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AC46881" w14:textId="77777777" w:rsidR="007143EE" w:rsidRPr="005D1A40" w:rsidRDefault="007143EE" w:rsidP="00BF2BFA">
      <w:pPr>
        <w:spacing w:line="480" w:lineRule="auto"/>
        <w:rPr>
          <w:rFonts w:ascii="Times New Roman" w:hAnsi="Times New Roman"/>
          <w:b/>
          <w:sz w:val="24"/>
          <w:szCs w:val="24"/>
        </w:rPr>
      </w:pPr>
      <w:r w:rsidRPr="005D1A40">
        <w:rPr>
          <w:rFonts w:ascii="Times New Roman" w:hAnsi="Times New Roman"/>
          <w:b/>
          <w:sz w:val="24"/>
          <w:szCs w:val="24"/>
        </w:rPr>
        <w:t>Familial hyperaldosteronism type III</w:t>
      </w:r>
    </w:p>
    <w:p w14:paraId="3AC46882" w14:textId="77777777" w:rsidR="007143EE" w:rsidRPr="0002125D" w:rsidRDefault="007143EE" w:rsidP="0002125D">
      <w:pPr>
        <w:spacing w:line="480" w:lineRule="auto"/>
        <w:rPr>
          <w:rFonts w:ascii="Times New Roman" w:hAnsi="Times New Roman"/>
          <w:sz w:val="24"/>
          <w:szCs w:val="24"/>
          <w:vertAlign w:val="superscript"/>
        </w:rPr>
      </w:pPr>
      <w:r w:rsidRPr="008946CE">
        <w:rPr>
          <w:rFonts w:ascii="Times New Roman" w:hAnsi="Times New Roman"/>
          <w:sz w:val="24"/>
          <w:szCs w:val="24"/>
        </w:rPr>
        <w:t>Silvi</w:t>
      </w:r>
      <w:r>
        <w:rPr>
          <w:rFonts w:ascii="Times New Roman" w:hAnsi="Times New Roman"/>
          <w:sz w:val="24"/>
          <w:szCs w:val="24"/>
        </w:rPr>
        <w:t>a Monticone</w:t>
      </w:r>
      <w:r>
        <w:rPr>
          <w:rFonts w:ascii="Times New Roman" w:hAnsi="Times New Roman"/>
          <w:sz w:val="24"/>
          <w:szCs w:val="24"/>
          <w:vertAlign w:val="superscript"/>
        </w:rPr>
        <w:t>1</w:t>
      </w:r>
      <w:r>
        <w:rPr>
          <w:rFonts w:ascii="Times New Roman" w:hAnsi="Times New Roman"/>
          <w:sz w:val="24"/>
          <w:szCs w:val="24"/>
        </w:rPr>
        <w:t>, Martina Tetti</w:t>
      </w:r>
      <w:r>
        <w:rPr>
          <w:rFonts w:ascii="Times New Roman" w:hAnsi="Times New Roman"/>
          <w:sz w:val="24"/>
          <w:szCs w:val="24"/>
          <w:vertAlign w:val="superscript"/>
        </w:rPr>
        <w:t>1</w:t>
      </w:r>
      <w:r>
        <w:rPr>
          <w:rFonts w:ascii="Times New Roman" w:hAnsi="Times New Roman"/>
          <w:sz w:val="24"/>
          <w:szCs w:val="24"/>
        </w:rPr>
        <w:t>, Jacopo Burrello</w:t>
      </w:r>
      <w:r>
        <w:rPr>
          <w:rFonts w:ascii="Times New Roman" w:hAnsi="Times New Roman"/>
          <w:sz w:val="24"/>
          <w:szCs w:val="24"/>
          <w:vertAlign w:val="superscript"/>
        </w:rPr>
        <w:t>1</w:t>
      </w:r>
      <w:r>
        <w:rPr>
          <w:rFonts w:ascii="Times New Roman" w:hAnsi="Times New Roman"/>
          <w:sz w:val="24"/>
          <w:szCs w:val="24"/>
        </w:rPr>
        <w:t>, Fabrizio Buffolo</w:t>
      </w:r>
      <w:r>
        <w:rPr>
          <w:rFonts w:ascii="Times New Roman" w:hAnsi="Times New Roman"/>
          <w:sz w:val="24"/>
          <w:szCs w:val="24"/>
          <w:vertAlign w:val="superscript"/>
        </w:rPr>
        <w:t>1</w:t>
      </w:r>
      <w:r>
        <w:rPr>
          <w:rFonts w:ascii="Times New Roman" w:hAnsi="Times New Roman"/>
          <w:sz w:val="24"/>
          <w:szCs w:val="24"/>
        </w:rPr>
        <w:t>, Raffaella De Giovanni</w:t>
      </w:r>
      <w:r>
        <w:rPr>
          <w:rFonts w:ascii="Times New Roman" w:hAnsi="Times New Roman"/>
          <w:sz w:val="24"/>
          <w:szCs w:val="24"/>
          <w:vertAlign w:val="superscript"/>
        </w:rPr>
        <w:t>2</w:t>
      </w:r>
      <w:r>
        <w:rPr>
          <w:rFonts w:ascii="Times New Roman" w:hAnsi="Times New Roman"/>
          <w:sz w:val="24"/>
          <w:szCs w:val="24"/>
        </w:rPr>
        <w:t>, Franco Veglio</w:t>
      </w:r>
      <w:r>
        <w:rPr>
          <w:rFonts w:ascii="Times New Roman" w:hAnsi="Times New Roman"/>
          <w:sz w:val="24"/>
          <w:szCs w:val="24"/>
          <w:vertAlign w:val="superscript"/>
        </w:rPr>
        <w:t>1</w:t>
      </w:r>
      <w:r>
        <w:rPr>
          <w:rFonts w:ascii="Times New Roman" w:hAnsi="Times New Roman"/>
          <w:sz w:val="24"/>
          <w:szCs w:val="24"/>
        </w:rPr>
        <w:t>, Tracy Ann Williams</w:t>
      </w:r>
      <w:r>
        <w:rPr>
          <w:rFonts w:ascii="Times New Roman" w:hAnsi="Times New Roman"/>
          <w:sz w:val="24"/>
          <w:szCs w:val="24"/>
          <w:vertAlign w:val="superscript"/>
        </w:rPr>
        <w:t>1,3</w:t>
      </w:r>
      <w:r>
        <w:rPr>
          <w:rFonts w:ascii="Times New Roman" w:hAnsi="Times New Roman"/>
          <w:sz w:val="24"/>
          <w:szCs w:val="24"/>
        </w:rPr>
        <w:t>, Paolo Mulatero</w:t>
      </w:r>
      <w:r>
        <w:rPr>
          <w:rFonts w:ascii="Times New Roman" w:hAnsi="Times New Roman"/>
          <w:sz w:val="24"/>
          <w:szCs w:val="24"/>
          <w:vertAlign w:val="superscript"/>
        </w:rPr>
        <w:t>1</w:t>
      </w:r>
    </w:p>
    <w:p w14:paraId="3AC46883" w14:textId="77777777" w:rsidR="007143EE" w:rsidRDefault="007143EE" w:rsidP="0002125D">
      <w:pPr>
        <w:spacing w:line="480" w:lineRule="auto"/>
        <w:rPr>
          <w:rFonts w:ascii="Times New Roman" w:hAnsi="Times New Roman"/>
          <w:sz w:val="24"/>
          <w:szCs w:val="24"/>
          <w:lang w:val="en-GB"/>
        </w:rPr>
      </w:pPr>
      <w:r w:rsidRPr="008946CE">
        <w:rPr>
          <w:rFonts w:ascii="Times New Roman" w:hAnsi="Times New Roman"/>
          <w:sz w:val="24"/>
          <w:szCs w:val="24"/>
          <w:vertAlign w:val="superscript"/>
          <w:lang w:val="en-GB"/>
        </w:rPr>
        <w:t>1</w:t>
      </w:r>
      <w:r w:rsidRPr="008946CE">
        <w:rPr>
          <w:rFonts w:ascii="Times New Roman" w:hAnsi="Times New Roman"/>
          <w:sz w:val="24"/>
          <w:szCs w:val="24"/>
          <w:lang w:val="en-GB"/>
        </w:rPr>
        <w:t xml:space="preserve"> University of Torino, Department of Medical Sciences, Division of Internal Medicine and Hypertension Unit, Via Genova 3, 10126, Torino, Italy.</w:t>
      </w:r>
    </w:p>
    <w:p w14:paraId="3AC46884" w14:textId="77777777" w:rsidR="007143EE" w:rsidRPr="00E6402E" w:rsidRDefault="007143EE" w:rsidP="0002125D">
      <w:pPr>
        <w:spacing w:line="480" w:lineRule="auto"/>
        <w:rPr>
          <w:rFonts w:ascii="Times New Roman" w:hAnsi="Times New Roman"/>
          <w:sz w:val="24"/>
          <w:szCs w:val="24"/>
          <w:lang w:val="en-GB"/>
        </w:rPr>
      </w:pPr>
      <w:r w:rsidRPr="008C22B9">
        <w:rPr>
          <w:rFonts w:ascii="Times New Roman" w:hAnsi="Times New Roman"/>
          <w:sz w:val="24"/>
          <w:szCs w:val="24"/>
          <w:vertAlign w:val="superscript"/>
          <w:lang w:val="en-GB"/>
        </w:rPr>
        <w:t>2</w:t>
      </w:r>
      <w:r w:rsidRPr="00E6402E">
        <w:rPr>
          <w:rFonts w:ascii="Times New Roman" w:hAnsi="Times New Roman"/>
          <w:sz w:val="24"/>
          <w:szCs w:val="24"/>
          <w:lang w:val="en-GB"/>
        </w:rPr>
        <w:t xml:space="preserve"> Division of Internal Medicine and Angiology, Department of Internal Medicine of Rimini, Giovanni Ceccarini Hospital, Riccione, Italy.</w:t>
      </w:r>
    </w:p>
    <w:p w14:paraId="3AC46885" w14:textId="77777777" w:rsidR="007143EE" w:rsidRPr="008C22B9" w:rsidRDefault="007143EE" w:rsidP="0002125D">
      <w:pPr>
        <w:spacing w:line="480" w:lineRule="auto"/>
        <w:rPr>
          <w:rFonts w:ascii="Times New Roman" w:hAnsi="Times New Roman"/>
          <w:sz w:val="24"/>
          <w:szCs w:val="24"/>
          <w:vertAlign w:val="superscript"/>
          <w:lang w:val="en-GB"/>
        </w:rPr>
      </w:pPr>
      <w:r w:rsidRPr="00E6402E">
        <w:rPr>
          <w:rFonts w:ascii="Times New Roman" w:hAnsi="Times New Roman"/>
          <w:sz w:val="24"/>
          <w:szCs w:val="24"/>
          <w:vertAlign w:val="superscript"/>
          <w:lang w:val="en-GB"/>
        </w:rPr>
        <w:t>3</w:t>
      </w:r>
      <w:r w:rsidRPr="00E6402E">
        <w:rPr>
          <w:rFonts w:ascii="Times New Roman" w:hAnsi="Times New Roman"/>
          <w:sz w:val="24"/>
          <w:szCs w:val="24"/>
          <w:vertAlign w:val="superscript"/>
          <w:lang w:val="en-US"/>
        </w:rPr>
        <w:t xml:space="preserve"> </w:t>
      </w:r>
      <w:r w:rsidRPr="00E6402E">
        <w:rPr>
          <w:rFonts w:ascii="Times New Roman" w:hAnsi="Times New Roman"/>
          <w:sz w:val="24"/>
          <w:szCs w:val="24"/>
          <w:lang w:val="en-US"/>
        </w:rPr>
        <w:t xml:space="preserve">Medizinische Klinik und Poliklinik IV, Klinikum der </w:t>
      </w:r>
      <w:smartTag w:uri="urn:schemas-microsoft-com:office:smarttags" w:element="City">
        <w:r w:rsidRPr="00E6402E">
          <w:rPr>
            <w:rFonts w:ascii="Times New Roman" w:hAnsi="Times New Roman"/>
            <w:sz w:val="24"/>
            <w:szCs w:val="24"/>
            <w:lang w:val="en-US"/>
          </w:rPr>
          <w:t>Universität München</w:t>
        </w:r>
      </w:smartTag>
      <w:r w:rsidRPr="00E6402E">
        <w:rPr>
          <w:rFonts w:ascii="Times New Roman" w:hAnsi="Times New Roman"/>
          <w:sz w:val="24"/>
          <w:szCs w:val="24"/>
          <w:lang w:val="en-US"/>
        </w:rPr>
        <w:t xml:space="preserve">, </w:t>
      </w:r>
      <w:smartTag w:uri="urn:schemas-microsoft-com:office:smarttags" w:element="PostalCode">
        <w:r w:rsidRPr="00E6402E">
          <w:rPr>
            <w:rFonts w:ascii="Times New Roman" w:hAnsi="Times New Roman"/>
            <w:sz w:val="24"/>
            <w:szCs w:val="24"/>
            <w:lang w:val="en-US"/>
          </w:rPr>
          <w:t>80336</w:t>
        </w:r>
      </w:smartTag>
      <w:r w:rsidRPr="00E6402E">
        <w:rPr>
          <w:rFonts w:ascii="Times New Roman" w:hAnsi="Times New Roman"/>
          <w:sz w:val="24"/>
          <w:szCs w:val="24"/>
          <w:lang w:val="en-US"/>
        </w:rPr>
        <w:t xml:space="preserve"> </w:t>
      </w:r>
      <w:smartTag w:uri="urn:schemas-microsoft-com:office:smarttags" w:element="City">
        <w:smartTag w:uri="urn:schemas-microsoft-com:office:smarttags" w:element="place">
          <w:r w:rsidRPr="00E6402E">
            <w:rPr>
              <w:rFonts w:ascii="Times New Roman" w:hAnsi="Times New Roman"/>
              <w:sz w:val="24"/>
              <w:szCs w:val="24"/>
              <w:lang w:val="en-US"/>
            </w:rPr>
            <w:t>München</w:t>
          </w:r>
        </w:smartTag>
        <w:r w:rsidRPr="00E6402E">
          <w:rPr>
            <w:rFonts w:ascii="Times New Roman" w:hAnsi="Times New Roman"/>
            <w:sz w:val="24"/>
            <w:szCs w:val="24"/>
            <w:lang w:val="en-US"/>
          </w:rPr>
          <w:t xml:space="preserve">, </w:t>
        </w:r>
        <w:smartTag w:uri="urn:schemas-microsoft-com:office:smarttags" w:element="metricconverter">
          <w:smartTagPr>
            <w:attr w:name="ProductID" w:val="10 mm"/>
          </w:smartTagPr>
          <w:r w:rsidRPr="00E6402E">
            <w:rPr>
              <w:rFonts w:ascii="Times New Roman" w:hAnsi="Times New Roman"/>
              <w:sz w:val="24"/>
              <w:szCs w:val="24"/>
              <w:lang w:val="en-US"/>
            </w:rPr>
            <w:t>Germany</w:t>
          </w:r>
        </w:smartTag>
      </w:smartTag>
    </w:p>
    <w:p w14:paraId="3AC46886" w14:textId="77777777" w:rsidR="007143EE" w:rsidRDefault="007143EE" w:rsidP="0002125D">
      <w:pPr>
        <w:spacing w:line="480" w:lineRule="auto"/>
        <w:rPr>
          <w:rFonts w:ascii="Times New Roman" w:hAnsi="Times New Roman"/>
          <w:sz w:val="24"/>
          <w:szCs w:val="24"/>
          <w:lang w:val="en-GB"/>
        </w:rPr>
      </w:pPr>
      <w:r>
        <w:rPr>
          <w:rFonts w:ascii="Times New Roman" w:hAnsi="Times New Roman"/>
          <w:sz w:val="24"/>
          <w:szCs w:val="24"/>
          <w:lang w:val="en-GB"/>
        </w:rPr>
        <w:t>Word count:</w:t>
      </w:r>
      <w:r w:rsidR="000C70AD">
        <w:rPr>
          <w:rFonts w:ascii="Times New Roman" w:hAnsi="Times New Roman"/>
          <w:sz w:val="24"/>
          <w:szCs w:val="24"/>
          <w:lang w:val="en-GB"/>
        </w:rPr>
        <w:t xml:space="preserve"> 3629</w:t>
      </w:r>
    </w:p>
    <w:p w14:paraId="3AC46887" w14:textId="77777777" w:rsidR="000C70AD" w:rsidRPr="007776AD" w:rsidRDefault="007143EE" w:rsidP="000C70AD">
      <w:pPr>
        <w:spacing w:line="480" w:lineRule="auto"/>
        <w:rPr>
          <w:rFonts w:ascii="Times New Roman" w:hAnsi="Times New Roman"/>
          <w:b/>
          <w:sz w:val="24"/>
          <w:szCs w:val="24"/>
          <w:lang w:val="en-GB"/>
        </w:rPr>
      </w:pPr>
      <w:r>
        <w:rPr>
          <w:rFonts w:ascii="Times New Roman" w:hAnsi="Times New Roman"/>
          <w:sz w:val="24"/>
          <w:szCs w:val="24"/>
          <w:lang w:val="en-GB"/>
        </w:rPr>
        <w:t xml:space="preserve">Brief title: </w:t>
      </w:r>
      <w:r w:rsidR="000C70AD" w:rsidRPr="007776AD">
        <w:rPr>
          <w:rFonts w:ascii="Times New Roman" w:hAnsi="Times New Roman"/>
          <w:sz w:val="24"/>
          <w:szCs w:val="24"/>
          <w:lang w:val="en-GB"/>
        </w:rPr>
        <w:t>Familial hyperaldosteronism type III</w:t>
      </w:r>
    </w:p>
    <w:p w14:paraId="3AC46888" w14:textId="77777777" w:rsidR="007143EE" w:rsidRPr="008946CE" w:rsidRDefault="007143EE" w:rsidP="0002125D">
      <w:pPr>
        <w:spacing w:line="480" w:lineRule="auto"/>
        <w:rPr>
          <w:rFonts w:ascii="Times New Roman" w:hAnsi="Times New Roman"/>
          <w:sz w:val="24"/>
          <w:szCs w:val="24"/>
          <w:lang w:val="en-GB"/>
        </w:rPr>
      </w:pPr>
    </w:p>
    <w:p w14:paraId="3AC46889" w14:textId="77777777" w:rsidR="007143EE" w:rsidRPr="008946CE" w:rsidRDefault="007143EE" w:rsidP="0002125D">
      <w:pPr>
        <w:spacing w:line="480" w:lineRule="auto"/>
        <w:rPr>
          <w:rFonts w:ascii="Times New Roman" w:hAnsi="Times New Roman"/>
          <w:sz w:val="24"/>
          <w:szCs w:val="24"/>
          <w:lang w:val="en-GB"/>
        </w:rPr>
      </w:pPr>
      <w:r w:rsidRPr="008946CE">
        <w:rPr>
          <w:rFonts w:ascii="Times New Roman" w:hAnsi="Times New Roman"/>
          <w:sz w:val="24"/>
          <w:szCs w:val="24"/>
          <w:lang w:val="en-GB"/>
        </w:rPr>
        <w:t>N° o</w:t>
      </w:r>
      <w:r>
        <w:rPr>
          <w:rFonts w:ascii="Times New Roman" w:hAnsi="Times New Roman"/>
          <w:sz w:val="24"/>
          <w:szCs w:val="24"/>
          <w:lang w:val="en-GB"/>
        </w:rPr>
        <w:t>f figures and tables: 2 figures, 1 table</w:t>
      </w:r>
    </w:p>
    <w:p w14:paraId="3AC4688A" w14:textId="77777777" w:rsidR="007143EE" w:rsidRPr="00A16FCB" w:rsidRDefault="007143EE" w:rsidP="00F329D4">
      <w:pPr>
        <w:spacing w:after="120" w:line="480" w:lineRule="auto"/>
        <w:rPr>
          <w:rFonts w:ascii="Times New Roman" w:hAnsi="Times New Roman"/>
          <w:sz w:val="24"/>
          <w:szCs w:val="24"/>
          <w:u w:val="single"/>
          <w:lang w:val="en-GB"/>
        </w:rPr>
      </w:pPr>
      <w:r>
        <w:rPr>
          <w:rFonts w:ascii="Times New Roman" w:hAnsi="Times New Roman"/>
          <w:sz w:val="24"/>
          <w:szCs w:val="24"/>
          <w:lang w:val="en-GB"/>
        </w:rPr>
        <w:t xml:space="preserve">Funding: </w:t>
      </w:r>
      <w:r w:rsidRPr="00A16FCB">
        <w:rPr>
          <w:rFonts w:ascii="Times New Roman" w:hAnsi="Times New Roman"/>
          <w:sz w:val="24"/>
          <w:szCs w:val="24"/>
          <w:lang w:val="en-GB"/>
        </w:rPr>
        <w:t xml:space="preserve">P.M. and S.M. are in receipt of a grant from the Italian Ministry of the Instruction, University and Research (ex-60% 2013 and 2014 P.M.; ex-60% 2014 and 2015 S.M). </w:t>
      </w:r>
    </w:p>
    <w:p w14:paraId="3AC4688B" w14:textId="77777777" w:rsidR="007143EE" w:rsidRPr="008946CE" w:rsidRDefault="007143EE" w:rsidP="00F329D4">
      <w:pPr>
        <w:spacing w:line="480" w:lineRule="auto"/>
        <w:rPr>
          <w:rFonts w:ascii="Times New Roman" w:hAnsi="Times New Roman"/>
          <w:sz w:val="24"/>
          <w:szCs w:val="24"/>
          <w:lang w:val="en-GB"/>
        </w:rPr>
      </w:pPr>
      <w:r w:rsidRPr="008946CE">
        <w:rPr>
          <w:rFonts w:ascii="Times New Roman" w:hAnsi="Times New Roman"/>
          <w:sz w:val="24"/>
          <w:szCs w:val="24"/>
          <w:lang w:val="en-GB"/>
        </w:rPr>
        <w:t xml:space="preserve">Corresponding author: </w:t>
      </w:r>
    </w:p>
    <w:p w14:paraId="3AC4688C" w14:textId="77777777" w:rsidR="007143EE" w:rsidRPr="008946CE" w:rsidRDefault="007143EE" w:rsidP="0002125D">
      <w:pPr>
        <w:spacing w:line="480" w:lineRule="auto"/>
        <w:rPr>
          <w:rFonts w:ascii="Times New Roman" w:hAnsi="Times New Roman"/>
          <w:sz w:val="24"/>
          <w:szCs w:val="24"/>
          <w:lang w:val="en-GB"/>
        </w:rPr>
      </w:pPr>
      <w:r w:rsidRPr="008946CE">
        <w:rPr>
          <w:rFonts w:ascii="Times New Roman" w:hAnsi="Times New Roman"/>
          <w:sz w:val="24"/>
          <w:szCs w:val="24"/>
          <w:lang w:val="en-GB"/>
        </w:rPr>
        <w:t>Paolo Mulatero, MD, Division of Internal Medicine and Hypertension, Department of Medical Sciences, University of Torino, Via Genova 3, 10126, Torino, Italy.</w:t>
      </w:r>
    </w:p>
    <w:p w14:paraId="3AC4688D" w14:textId="77777777" w:rsidR="007143EE" w:rsidRPr="007776AD" w:rsidRDefault="007143EE" w:rsidP="0002125D">
      <w:pPr>
        <w:spacing w:line="480" w:lineRule="auto"/>
        <w:rPr>
          <w:rFonts w:ascii="Times New Roman" w:hAnsi="Times New Roman"/>
          <w:sz w:val="24"/>
          <w:szCs w:val="24"/>
        </w:rPr>
      </w:pPr>
      <w:bookmarkStart w:id="0" w:name="_GoBack"/>
      <w:r w:rsidRPr="007776AD">
        <w:rPr>
          <w:rFonts w:ascii="Times New Roman" w:hAnsi="Times New Roman"/>
          <w:sz w:val="24"/>
          <w:szCs w:val="24"/>
        </w:rPr>
        <w:t>e-mail: paolo.mulatero@libero.it</w:t>
      </w:r>
    </w:p>
    <w:bookmarkEnd w:id="0"/>
    <w:p w14:paraId="3AC4688E" w14:textId="77777777" w:rsidR="007143EE" w:rsidRPr="00736356" w:rsidRDefault="007143EE" w:rsidP="0002125D">
      <w:pPr>
        <w:spacing w:line="480" w:lineRule="auto"/>
        <w:rPr>
          <w:rFonts w:ascii="Times New Roman" w:hAnsi="Times New Roman"/>
          <w:sz w:val="24"/>
          <w:szCs w:val="24"/>
          <w:lang w:val="en-GB"/>
        </w:rPr>
      </w:pPr>
      <w:r w:rsidRPr="00736356">
        <w:rPr>
          <w:rFonts w:ascii="Times New Roman" w:hAnsi="Times New Roman"/>
          <w:sz w:val="24"/>
          <w:szCs w:val="24"/>
          <w:lang w:val="en-GB"/>
        </w:rPr>
        <w:t>Phone: +390116336959 Fax: +390116336931</w:t>
      </w:r>
    </w:p>
    <w:p w14:paraId="3AC4688F" w14:textId="77777777" w:rsidR="007143EE" w:rsidRPr="00736356" w:rsidRDefault="007143EE" w:rsidP="0002125D">
      <w:pPr>
        <w:spacing w:line="480" w:lineRule="auto"/>
        <w:rPr>
          <w:rFonts w:ascii="Times New Roman" w:hAnsi="Times New Roman"/>
          <w:sz w:val="24"/>
          <w:szCs w:val="24"/>
          <w:lang w:val="en-GB"/>
        </w:rPr>
      </w:pPr>
      <w:r>
        <w:rPr>
          <w:rFonts w:ascii="Times New Roman" w:hAnsi="Times New Roman"/>
          <w:sz w:val="24"/>
          <w:szCs w:val="24"/>
          <w:lang w:val="en-GB"/>
        </w:rPr>
        <w:br w:type="page"/>
      </w:r>
    </w:p>
    <w:p w14:paraId="3AC46890" w14:textId="77777777" w:rsidR="007143EE" w:rsidRPr="00F4098D" w:rsidRDefault="007143EE" w:rsidP="00437C6F">
      <w:pPr>
        <w:spacing w:line="480" w:lineRule="auto"/>
        <w:jc w:val="both"/>
        <w:rPr>
          <w:rFonts w:ascii="Times New Roman" w:hAnsi="Times New Roman"/>
          <w:b/>
          <w:bCs/>
          <w:sz w:val="24"/>
          <w:szCs w:val="24"/>
          <w:lang w:val="en-GB"/>
        </w:rPr>
      </w:pPr>
      <w:r w:rsidRPr="00F4098D">
        <w:rPr>
          <w:rFonts w:ascii="Times New Roman" w:hAnsi="Times New Roman"/>
          <w:b/>
          <w:bCs/>
          <w:sz w:val="24"/>
          <w:szCs w:val="24"/>
          <w:lang w:val="en-GB"/>
        </w:rPr>
        <w:t xml:space="preserve">Abstract </w:t>
      </w:r>
    </w:p>
    <w:p w14:paraId="3AC46891" w14:textId="77777777" w:rsidR="007143EE" w:rsidRPr="00736356" w:rsidRDefault="007143EE" w:rsidP="007E6300">
      <w:pPr>
        <w:spacing w:line="480" w:lineRule="auto"/>
        <w:jc w:val="both"/>
        <w:rPr>
          <w:rFonts w:ascii="Times New Roman" w:hAnsi="Times New Roman"/>
          <w:b/>
          <w:sz w:val="24"/>
          <w:szCs w:val="24"/>
          <w:lang w:val="en-GB"/>
        </w:rPr>
      </w:pPr>
      <w:r w:rsidRPr="007E6300">
        <w:rPr>
          <w:rFonts w:ascii="Times New Roman" w:hAnsi="Times New Roman"/>
          <w:bCs/>
          <w:sz w:val="24"/>
          <w:szCs w:val="24"/>
          <w:lang w:val="en-GB"/>
        </w:rPr>
        <w:t>Primary aldosteronism is the most common form of endocrine hypertension. This disorder comprises both sporadic and familial forms. Four familial forms of primary aldosteronism (FH-I to FH-IV) have been described. FH-III is caused by germline mutations in KCNJ5, encoding the potassium channel Kir3.4 (also called GIRK4). These mutations alter the selectivity filter of the channel and lead to abnormal ion currents with loss of potassium selectivity, sodium influx and consequent increased intracellular calcium that causes excessive aldosterone biosynthesis. To date, eleven families have been reported, carrying six different mutations. Although the clinical features are variable, FH-III patients often display severe hyperaldosteronism with an early onset, associated with hypokalemia and diabetes insipidus-like symptoms. In most cases FH-III patients are resistant to pharmacological therapy and require bilateral adrenalectomy to control symptoms. In the present manuscript we review the genetics and pathological basis of FH-III, the diagnostic work-up, clinical features and therapeutic management. Finally, we will describe a new case of FH-III of an Italian patient carrying a Gly151Arg mutation.</w:t>
      </w:r>
    </w:p>
    <w:p w14:paraId="3AC46892" w14:textId="77777777" w:rsidR="007143EE" w:rsidRPr="00736356" w:rsidRDefault="007143EE" w:rsidP="00437C6F">
      <w:pPr>
        <w:spacing w:line="480" w:lineRule="auto"/>
        <w:jc w:val="both"/>
        <w:rPr>
          <w:rFonts w:ascii="Times New Roman" w:hAnsi="Times New Roman"/>
          <w:b/>
          <w:sz w:val="24"/>
          <w:szCs w:val="24"/>
          <w:lang w:val="en-GB"/>
        </w:rPr>
      </w:pPr>
      <w:r w:rsidRPr="00736356">
        <w:rPr>
          <w:rFonts w:ascii="Times New Roman" w:hAnsi="Times New Roman"/>
          <w:b/>
          <w:sz w:val="24"/>
          <w:szCs w:val="24"/>
          <w:lang w:val="en-GB"/>
        </w:rPr>
        <w:t>Introduction</w:t>
      </w:r>
    </w:p>
    <w:p w14:paraId="3AC46893" w14:textId="77777777" w:rsidR="007143EE" w:rsidRPr="0002125D" w:rsidRDefault="007143EE" w:rsidP="007E6300">
      <w:pPr>
        <w:spacing w:after="0" w:line="480" w:lineRule="auto"/>
        <w:jc w:val="both"/>
        <w:rPr>
          <w:rFonts w:ascii="Times New Roman" w:hAnsi="Times New Roman"/>
          <w:sz w:val="24"/>
          <w:szCs w:val="24"/>
          <w:lang w:val="en-GB"/>
        </w:rPr>
      </w:pPr>
      <w:r w:rsidRPr="0002125D">
        <w:rPr>
          <w:rFonts w:ascii="Times New Roman" w:hAnsi="Times New Roman"/>
          <w:sz w:val="24"/>
          <w:szCs w:val="24"/>
          <w:lang w:val="en-GB"/>
        </w:rPr>
        <w:t xml:space="preserve">Primary aldosteronism (PA) is now recognized as the most common form of endocrine hypertension, responsible for around 10% of all cases </w:t>
      </w:r>
      <w:r>
        <w:rPr>
          <w:rFonts w:ascii="Times New Roman" w:hAnsi="Times New Roman"/>
          <w:sz w:val="24"/>
          <w:szCs w:val="24"/>
          <w:lang w:val="en-GB"/>
        </w:rPr>
        <w:t xml:space="preserve">of </w:t>
      </w:r>
      <w:r w:rsidRPr="0002125D">
        <w:rPr>
          <w:rFonts w:ascii="Times New Roman" w:hAnsi="Times New Roman"/>
          <w:sz w:val="24"/>
          <w:szCs w:val="24"/>
          <w:lang w:val="en-GB"/>
        </w:rPr>
        <w:t>hypertension in referral centers</w:t>
      </w:r>
      <w:r>
        <w:rPr>
          <w:rFonts w:ascii="Times New Roman" w:hAnsi="Times New Roman"/>
          <w:sz w:val="24"/>
          <w:szCs w:val="24"/>
          <w:lang w:val="en-GB"/>
        </w:rPr>
        <w:t xml:space="preserve"> </w:t>
      </w:r>
      <w:r w:rsidR="00941306">
        <w:rPr>
          <w:rFonts w:ascii="Times New Roman" w:hAnsi="Times New Roman"/>
          <w:sz w:val="24"/>
          <w:szCs w:val="24"/>
          <w:lang w:val="en-GB"/>
        </w:rPr>
        <w:fldChar w:fldCharType="begin" w:fldLock="1"/>
      </w:r>
      <w:r w:rsidR="00941306">
        <w:rPr>
          <w:rFonts w:ascii="Times New Roman" w:hAnsi="Times New Roman"/>
          <w:sz w:val="24"/>
          <w:szCs w:val="24"/>
          <w:lang w:val="en-GB"/>
        </w:rPr>
        <w:instrText>ADDIN CSL_CITATION { "citationItems" : [ { "id" : "ITEM-1", "itemData" : { "DOI" : "10.1210/jc.2016-1472", "ISBN" : "1945-7197 (Electronic)\\r0021-972X (Linking)", "ISSN" : "0021-972X", "PMID" : "27172433", "abstract" : "Context: For health care planning and allocation of resources realistic estimation of the prevalence of primary aldosteronism is necessary. Reported prevalences of primary aldosteronism are highly variable, possibly due to study heterogeneity.   Objective: To identify and explain heterogeneity in studies that aimed to establish the prevalence of primary aldosteronism in hypertensive patients.   Data Sources: PubMed, EMBASE, Web of Science, Cochrane Library, and reference lists from 1\u20131\u20131990 to 31\u20131\u20132015.   Study Selection: Description of an adult hypertensive patient population with confirmed diagnosis of primary aldosteronism.   Data Extraction: Dual extraction and quality assessment.   Data Synthesis: 39 studies provided data on 42510 patients (9 studies, 5896 patients, from primary care). Prevalence estimates varied from 3.2 to 12.7% in primary care and from 1 to 29.8% in referral centers. Heterogeneity was too high to establish point estimates (I2 = 57.6% in primary care and 97.1% in referral centers). Meta-regression analysis showed higher prevalences in studies 1. published after 2000; 2. from Australia; 3. aimed at assessing prevalence of secondary hypertension; 4. that were retrospective; 5. that selected consecutive patients; 6. not using a screening test. All studies had minor or major flaws.   Conclusions: This study demonstrates that it is pointless to claim low or high prevalence of primary aldosteronism based on published reports. Because of the significant impact of a diagnosis of primary aldosteronism on health care resources and the necessary facilities, our findings urge for a prevalence study whose design takes into account the factors identified in the meta-regression analysis.", "author" : [ { "dropping-particle" : "", "family" : "K\u00e4yser", "given" : "Sabine C.", "non-dropping-particle" : "", "parse-names" : false, "suffix" : "" }, { "dropping-particle" : "", "family" : "Dekkers", "given" : "Tanja", "non-dropping-particle" : "", "parse-names" : false, "suffix" : "" }, { "dropping-particle" : "", "family" : "Groenewoud", "given" : "Hans J.", "non-dropping-particle" : "", "parse-names" : false, "suffix" : "" }, { "dropping-particle" : "", "family" : "Wilt", "given" : "Gert Jan", "non-dropping-particle" : "van der", "parse-names" : false, "suffix" : "" }, { "dropping-particle" : "", "family" : "Carel Bakx", "given" : "J.", "non-dropping-particle" : "", "parse-names" : false, "suffix" : "" }, { "dropping-particle" : "", "family" : "Wel", "given" : "Mark C.", "non-dropping-particle" : "van der", "parse-names" : false, "suffix" : "" }, { "dropping-particle" : "", "family" : "Hermus", "given" : "Ad R.", "non-dropping-particle" : "", "parse-names" : false, "suffix" : "" }, { "dropping-particle" : "", "family" : "Lenders", "given" : "Jacques W.", "non-dropping-particle" : "", "parse-names" : false, "suffix" : "" }, { "dropping-particle" : "", "family" : "Deinum", "given" : "Jaap", "non-dropping-particle" : "", "parse-names" : false, "suffix" : "" } ], "container-title" : "The Journal of Clinical Endocrinology &amp; Metabolism", "id" : "ITEM-1", "issue" : "July", "issued" : { "date-parts" : [ [ "2016" ] ] }, "page" : "jc.2016-1472", "title" : "Study Heterogeneity and Estimation of Prevalence of Primary Aldosteronism: a Systematic Review and Meta-regression Analysis", "type" : "article-journal", "volume" : "101" }, "uris" : [ "http://www.mendeley.com/documents/?uuid=dafe1e65-e1c2-4489-9f88-b9f7b0b11196" ] } ], "mendeley" : { "formattedCitation" : "(1)", "plainTextFormattedCitation" : "(1)", "previouslyFormattedCitation" : "(1)" }, "properties" : { "noteIndex" : 0 }, "schema" : "https://github.com/citation-style-language/schema/raw/master/csl-citation.json" }</w:instrText>
      </w:r>
      <w:r w:rsidR="00941306">
        <w:rPr>
          <w:rFonts w:ascii="Times New Roman" w:hAnsi="Times New Roman"/>
          <w:sz w:val="24"/>
          <w:szCs w:val="24"/>
          <w:lang w:val="en-GB"/>
        </w:rPr>
        <w:fldChar w:fldCharType="separate"/>
      </w:r>
      <w:r w:rsidR="00941306" w:rsidRPr="00941306">
        <w:rPr>
          <w:rFonts w:ascii="Times New Roman" w:hAnsi="Times New Roman"/>
          <w:noProof/>
          <w:sz w:val="24"/>
          <w:szCs w:val="24"/>
          <w:lang w:val="en-GB"/>
        </w:rPr>
        <w:t>(1)</w:t>
      </w:r>
      <w:r w:rsidR="00941306">
        <w:rPr>
          <w:rFonts w:ascii="Times New Roman" w:hAnsi="Times New Roman"/>
          <w:sz w:val="24"/>
          <w:szCs w:val="24"/>
          <w:lang w:val="en-GB"/>
        </w:rPr>
        <w:fldChar w:fldCharType="end"/>
      </w:r>
      <w:r w:rsidRPr="0002125D">
        <w:rPr>
          <w:rFonts w:ascii="Times New Roman" w:hAnsi="Times New Roman"/>
          <w:sz w:val="24"/>
          <w:szCs w:val="24"/>
          <w:lang w:val="en-GB"/>
        </w:rPr>
        <w:t xml:space="preserve">. </w:t>
      </w:r>
      <w:r>
        <w:rPr>
          <w:rFonts w:ascii="Times New Roman" w:hAnsi="Times New Roman"/>
          <w:sz w:val="24"/>
          <w:szCs w:val="24"/>
          <w:lang w:val="en-GB"/>
        </w:rPr>
        <w:t>The d</w:t>
      </w:r>
      <w:r w:rsidRPr="0002125D">
        <w:rPr>
          <w:rFonts w:ascii="Times New Roman" w:hAnsi="Times New Roman"/>
          <w:sz w:val="24"/>
          <w:szCs w:val="24"/>
          <w:lang w:val="en-GB"/>
        </w:rPr>
        <w:t xml:space="preserve">iagnosis of PA and </w:t>
      </w:r>
      <w:r>
        <w:rPr>
          <w:rFonts w:ascii="Times New Roman" w:hAnsi="Times New Roman"/>
          <w:sz w:val="24"/>
          <w:szCs w:val="24"/>
          <w:lang w:val="en-GB"/>
        </w:rPr>
        <w:t>correct</w:t>
      </w:r>
      <w:r w:rsidRPr="0002125D">
        <w:rPr>
          <w:rFonts w:ascii="Times New Roman" w:hAnsi="Times New Roman"/>
          <w:sz w:val="24"/>
          <w:szCs w:val="24"/>
          <w:lang w:val="en-GB"/>
        </w:rPr>
        <w:t xml:space="preserve"> subtype differentiation are of outmost importance, in light of the increased risk of cardio- and cerebrovascular complications</w:t>
      </w:r>
      <w:r>
        <w:rPr>
          <w:rFonts w:ascii="Times New Roman" w:hAnsi="Times New Roman"/>
          <w:sz w:val="24"/>
          <w:szCs w:val="24"/>
          <w:lang w:val="en-GB"/>
        </w:rPr>
        <w:t xml:space="preserve"> </w:t>
      </w:r>
      <w:r w:rsidRPr="0002125D">
        <w:rPr>
          <w:rFonts w:ascii="Times New Roman" w:hAnsi="Times New Roman"/>
          <w:sz w:val="24"/>
          <w:szCs w:val="24"/>
          <w:lang w:val="en-GB"/>
        </w:rPr>
        <w:t xml:space="preserve">associated to aldosterone excess </w:t>
      </w:r>
      <w:r w:rsidR="00941306">
        <w:rPr>
          <w:rFonts w:ascii="Times New Roman" w:hAnsi="Times New Roman"/>
          <w:sz w:val="24"/>
          <w:szCs w:val="24"/>
          <w:lang w:val="en-GB"/>
        </w:rPr>
        <w:fldChar w:fldCharType="begin" w:fldLock="1"/>
      </w:r>
      <w:r w:rsidR="00941306">
        <w:rPr>
          <w:rFonts w:ascii="Times New Roman" w:hAnsi="Times New Roman"/>
          <w:sz w:val="24"/>
          <w:szCs w:val="24"/>
          <w:lang w:val="en-GB"/>
        </w:rPr>
        <w:instrText>ADDIN CSL_CITATION { "citationItems" : [ { "id" : "ITEM-1", "itemData" : { "DOI" : "10.1161/HYPERTENSIONAHA.113.01060", "ISSN" : "0194-911X", "abstract" : "A higher risk of cardiovascular events has been reported in patients with primary aldosteronism (PA) than in otherwise similar patients with essential hypertension (EH). However, the evidence is limited by small sample size and potential confounding factors. We, therefore, compared the prevalence of cardiovascular events in 459 patients with PA diagnosed in our hypertension unit from 2001 to 2006 and 1290 controls with EH. PA cases and EH controls were individually matched for sex, age (\u00b12 years), and office systolic blood pressure (\u00b110 mm Hg). Patients with PA and EH differed significantly in duration of hypertension, serum potassium, plasma aldosterone and plasma renin concentrations, aldosterone-to-renin ratio, and urinary aldosterone concentration (P&lt;0.001 for all comparisons). The prevalence of electrocardiographic and echocardiographic left ventricular hypertrophy was about twice higher in patients with PA even after adjustment for hypertension duration. PA patients also had a significantly higher prevalence of coronary artery disease (adjusted odds ratio, 1.9), nonfatal myocardial infarction (adjusted odds ratio, 2.6), heart failure (adjusted odds ratio, 2.9), and atrial fibrillation (adjusted odds ratio, 5.0). The risks associated with PA were similar across levels of serum potassium and plasma aldosterone. To conclude, patients with PA are more likely to have had a cardiovascular complication at diagnosis than otherwise similar patients with EH. Target organ damage and complications disproportionate to blood pressure should be considered as an additional argument for suspecting PA in a given individual and possibly for broadening the scope of screening at the population level. \u00a9 2013 American Heart Association, Inc.", "author" : [ { "dropping-particle" : "", "family" : "Savard", "given" : "S.", "non-dropping-particle" : "", "parse-names" : false, "suffix" : "" }, { "dropping-particle" : "", "family" : "Amar", "given" : "L.", "non-dropping-particle" : "", "parse-names" : false, "suffix" : "" }, { "dropping-particle" : "", "family" : "Plouin", "given" : "P.-F.", "non-dropping-particle" : "", "parse-names" : false, "suffix" : "" }, { "dropping-particle" : "", "family" : "Steichen", "given" : "O.", "non-dropping-particle" : "", "parse-names" : false, "suffix" : "" } ], "container-title" : "Hypertension", "id" : "ITEM-1", "issue" : "2", "issued" : { "date-parts" : [ [ "2013" ] ] }, "page" : "331-336", "title" : "Cardiovascular Complications Associated With Primary Aldosteronism: A Controlled Cross-Sectional Study", "type" : "article-journal", "volume" : "62" }, "uris" : [ "http://www.mendeley.com/documents/?uuid=46e8c18b-215d-4a3c-8c0f-01fc548e73eb" ] }, { "id" : "ITEM-2", "itemData" : { "DOI" : "10.1210/jc.2013-2805", "ISBN" : "1945-7197 (Electronic) 0021-972X (Linking)", "ISSN" : "1945-7197", "PMID" : "24057288", "abstract" : "BACKGROUND: Aldosterone plays a detrimental role on the cardiovascular system and PA patients display a higher risk of events compared with EH. OBJECTIVES: The objectives of the study were to compare cardio- and cerebrovascular events in patients with primary aldosteronism (PA) and matched essential hypertension (EH). METHODS: We retrospectively compared the percentage of patients experiencing events at baseline and during a median follow-up of 12 years in 270 PA patients case-control matched 1:3 with EH patients and in PA subtypes [aldosterone-producing adenoma (n = 57); bilateral adrenal hyperplasia (n = 213)] vs matched EH. RESULTS: A significantly higher number of PA patients experienced cardiovascular events over the entire period of the study (22.6% vs 12.7%, P &lt; .001). At the diagnosis of PA, a higher number of patients had experienced total events (14.1% vs 8.4% EH, P = .007); furthermore, during the follow-up period, PA patients had a higher rate of events (8.5% vs 4.3% EH, P = .008). In particular, stroke and arrhythmias were more frequent in PA patients. During the follow-up, a higher percentage of PA patients developed type 2 diabetes. Parameters that were independently associated with the occurrence of all events were age, duration of hypertension, systolic blood pressure, presence of diabetes mellitus, and PA diagnosis. After division into PA subtypes, patients with either aldosterone-producing adenoma or bilateral adrenal hyperplasia displayed a higher rate of events compared with the matched EH patients. CONCLUSIONS: This study demonstrates in a large population of patients the pathogenetic role of aldosterone excess in the cardiovascular system and thus the importance of early diagnosis and targeted PA treatment.", "author" : [ { "dropping-particle" : "", "family" : "Mulatero", "given" : "Paolo", "non-dropping-particle" : "", "parse-names" : false, "suffix" : "" }, { "dropping-particle" : "", "family" : "Monticone", "given" : "Silvia", "non-dropping-particle" : "", "parse-names" : false, "suffix" : "" }, { "dropping-particle" : "", "family" : "Bertello", "given" : "Chiara", "non-dropping-particle" : "", "parse-names" : false, "suffix" : "" }, { "dropping-particle" : "", "family" : "Viola", "given" : "Andrea", "non-dropping-particle" : "", "parse-names" : false, "suffix" : "" }, { "dropping-particle" : "", "family" : "Tizzani", "given" : "Davide", "non-dropping-particle" : "", "parse-names" : false, "suffix" : "" }, { "dropping-particle" : "", "family" : "Iannaccone", "given" : "Andrea", "non-dropping-particle" : "", "parse-names" : false, "suffix" : "" }, { "dropping-particle" : "", "family" : "Crudo", "given" : "Valentina", "non-dropping-particle" : "", "parse-names" : false, "suffix" : "" }, { "dropping-particle" : "", "family" : "Burrello", "given" : "Jacopo", "non-dropping-particle" : "", "parse-names" : false, "suffix" : "" }, { "dropping-particle" : "", "family" : "Milan", "given" : "Alberto", "non-dropping-particle" : "", "parse-names" : false, "suffix" : "" }, { "dropping-particle" : "", "family" : "Rabbia", "given" : "Franco", "non-dropping-particle" : "", "parse-names" : false, "suffix" : "" }, { "dropping-particle" : "", "family" : "Veglio", "given" : "Franco", "non-dropping-particle" : "", "parse-names" : false, "suffix" : "" } ], "container-title" : "The Journal of clinical endocrinology and metabolism", "id" : "ITEM-2", "issue" : "12", "issued" : { "date-parts" : [ [ "2013" ] ] }, "page" : "4826-33", "title" : "Long-term cardio- and cerebrovascular events in patients with primary aldosteronism.", "type" : "article-journal", "volume" : "98" }, "uris" : [ "http://www.mendeley.com/documents/?uuid=979d7cce-cebd-4987-a2ca-b52669514a4b" ] } ], "mendeley" : { "formattedCitation" : "(2,3)", "plainTextFormattedCitation" : "(2,3)", "previouslyFormattedCitation" : "(2,3)" }, "properties" : { "noteIndex" : 0 }, "schema" : "https://github.com/citation-style-language/schema/raw/master/csl-citation.json" }</w:instrText>
      </w:r>
      <w:r w:rsidR="00941306">
        <w:rPr>
          <w:rFonts w:ascii="Times New Roman" w:hAnsi="Times New Roman"/>
          <w:sz w:val="24"/>
          <w:szCs w:val="24"/>
          <w:lang w:val="en-GB"/>
        </w:rPr>
        <w:fldChar w:fldCharType="separate"/>
      </w:r>
      <w:r w:rsidR="00941306" w:rsidRPr="00941306">
        <w:rPr>
          <w:rFonts w:ascii="Times New Roman" w:hAnsi="Times New Roman"/>
          <w:noProof/>
          <w:sz w:val="24"/>
          <w:szCs w:val="24"/>
          <w:lang w:val="en-GB"/>
        </w:rPr>
        <w:t>(2,3)</w:t>
      </w:r>
      <w:r w:rsidR="00941306">
        <w:rPr>
          <w:rFonts w:ascii="Times New Roman" w:hAnsi="Times New Roman"/>
          <w:sz w:val="24"/>
          <w:szCs w:val="24"/>
          <w:lang w:val="en-GB"/>
        </w:rPr>
        <w:fldChar w:fldCharType="end"/>
      </w:r>
      <w:r w:rsidRPr="0002125D">
        <w:rPr>
          <w:rFonts w:ascii="Times New Roman" w:hAnsi="Times New Roman"/>
          <w:sz w:val="24"/>
          <w:szCs w:val="24"/>
          <w:lang w:val="en-GB"/>
        </w:rPr>
        <w:t xml:space="preserve">. </w:t>
      </w:r>
      <w:r>
        <w:rPr>
          <w:rFonts w:ascii="Times New Roman" w:hAnsi="Times New Roman"/>
          <w:sz w:val="24"/>
          <w:szCs w:val="24"/>
          <w:lang w:val="en-GB"/>
        </w:rPr>
        <w:t xml:space="preserve">A wealth of studies has demonstrated the pivotal role </w:t>
      </w:r>
      <w:r w:rsidRPr="00286C4A">
        <w:rPr>
          <w:rFonts w:ascii="Times New Roman" w:hAnsi="Times New Roman"/>
          <w:sz w:val="24"/>
          <w:szCs w:val="24"/>
          <w:lang w:val="en-GB"/>
        </w:rPr>
        <w:t>of aldosterone</w:t>
      </w:r>
      <w:r w:rsidRPr="00286C4A">
        <w:rPr>
          <w:rFonts w:ascii="Times New Roman" w:hAnsi="Times New Roman"/>
          <w:sz w:val="24"/>
          <w:szCs w:val="24"/>
          <w:lang w:val="en-GB"/>
        </w:rPr>
        <w:t> </w:t>
      </w:r>
      <w:r w:rsidRPr="00286C4A">
        <w:rPr>
          <w:rFonts w:ascii="Times New Roman" w:hAnsi="Times New Roman"/>
          <w:sz w:val="24"/>
          <w:szCs w:val="24"/>
          <w:lang w:val="en-GB"/>
        </w:rPr>
        <w:t>excess</w:t>
      </w:r>
      <w:r w:rsidRPr="00286C4A">
        <w:rPr>
          <w:rFonts w:ascii="Times New Roman" w:hAnsi="Times New Roman"/>
          <w:sz w:val="24"/>
          <w:szCs w:val="24"/>
          <w:lang w:val="en-GB"/>
        </w:rPr>
        <w:t> </w:t>
      </w:r>
      <w:r w:rsidRPr="00286C4A">
        <w:rPr>
          <w:rFonts w:ascii="Times New Roman" w:hAnsi="Times New Roman"/>
          <w:sz w:val="24"/>
          <w:szCs w:val="24"/>
          <w:lang w:val="en-GB"/>
        </w:rPr>
        <w:t>in</w:t>
      </w:r>
      <w:r w:rsidRPr="00286C4A">
        <w:rPr>
          <w:rFonts w:ascii="Times New Roman" w:hAnsi="Times New Roman"/>
          <w:sz w:val="24"/>
          <w:szCs w:val="24"/>
          <w:lang w:val="en-GB"/>
        </w:rPr>
        <w:t> </w:t>
      </w:r>
      <w:r w:rsidRPr="00286C4A">
        <w:rPr>
          <w:rFonts w:ascii="Times New Roman" w:hAnsi="Times New Roman"/>
          <w:sz w:val="24"/>
          <w:szCs w:val="24"/>
          <w:lang w:val="en-GB"/>
        </w:rPr>
        <w:t>cardiac,</w:t>
      </w:r>
      <w:r w:rsidRPr="00286C4A">
        <w:rPr>
          <w:rFonts w:ascii="Times New Roman" w:hAnsi="Times New Roman"/>
          <w:sz w:val="24"/>
          <w:szCs w:val="24"/>
          <w:lang w:val="en-GB"/>
        </w:rPr>
        <w:t> </w:t>
      </w:r>
      <w:r w:rsidRPr="00286C4A">
        <w:rPr>
          <w:rFonts w:ascii="Times New Roman" w:hAnsi="Times New Roman"/>
          <w:sz w:val="24"/>
          <w:szCs w:val="24"/>
          <w:lang w:val="en-GB"/>
        </w:rPr>
        <w:t>vascular</w:t>
      </w:r>
      <w:r w:rsidRPr="00286C4A">
        <w:rPr>
          <w:rFonts w:ascii="Times New Roman" w:hAnsi="Times New Roman"/>
          <w:sz w:val="24"/>
          <w:szCs w:val="24"/>
          <w:lang w:val="en-GB"/>
        </w:rPr>
        <w:t> </w:t>
      </w:r>
      <w:r w:rsidRPr="00286C4A">
        <w:rPr>
          <w:rFonts w:ascii="Times New Roman" w:hAnsi="Times New Roman"/>
          <w:sz w:val="24"/>
          <w:szCs w:val="24"/>
          <w:lang w:val="en-GB"/>
        </w:rPr>
        <w:t>and</w:t>
      </w:r>
      <w:r w:rsidRPr="00286C4A">
        <w:rPr>
          <w:rFonts w:ascii="Times New Roman" w:hAnsi="Times New Roman"/>
          <w:sz w:val="24"/>
          <w:szCs w:val="24"/>
          <w:lang w:val="en-GB"/>
        </w:rPr>
        <w:t> </w:t>
      </w:r>
      <w:r w:rsidRPr="00286C4A">
        <w:rPr>
          <w:rFonts w:ascii="Times New Roman" w:hAnsi="Times New Roman"/>
          <w:sz w:val="24"/>
          <w:szCs w:val="24"/>
          <w:lang w:val="en-GB"/>
        </w:rPr>
        <w:t>renal</w:t>
      </w:r>
      <w:r w:rsidRPr="00286C4A">
        <w:rPr>
          <w:rFonts w:ascii="Times New Roman" w:hAnsi="Times New Roman"/>
          <w:sz w:val="24"/>
          <w:szCs w:val="24"/>
          <w:lang w:val="en-GB"/>
        </w:rPr>
        <w:t> </w:t>
      </w:r>
      <w:r w:rsidRPr="00286C4A">
        <w:rPr>
          <w:rFonts w:ascii="Times New Roman" w:hAnsi="Times New Roman"/>
          <w:sz w:val="24"/>
          <w:szCs w:val="24"/>
          <w:lang w:val="en-GB"/>
        </w:rPr>
        <w:t>damage</w:t>
      </w:r>
      <w:r>
        <w:rPr>
          <w:rFonts w:ascii="Times New Roman" w:hAnsi="Times New Roman"/>
          <w:sz w:val="24"/>
          <w:szCs w:val="24"/>
          <w:lang w:val="en-GB"/>
        </w:rPr>
        <w:t xml:space="preserve"> </w:t>
      </w:r>
      <w:r w:rsidR="00941306">
        <w:rPr>
          <w:rFonts w:ascii="Times New Roman" w:hAnsi="Times New Roman"/>
          <w:sz w:val="24"/>
          <w:szCs w:val="24"/>
          <w:lang w:val="en-GB"/>
        </w:rPr>
        <w:fldChar w:fldCharType="begin" w:fldLock="1"/>
      </w:r>
      <w:r w:rsidR="00941306">
        <w:rPr>
          <w:rFonts w:ascii="Times New Roman" w:hAnsi="Times New Roman"/>
          <w:sz w:val="24"/>
          <w:szCs w:val="24"/>
          <w:lang w:val="en-GB"/>
        </w:rPr>
        <w:instrText>ADDIN CSL_CITATION { "citationItems" : [ { "id" : "ITEM-1", "itemData" : { "abstract" : "Over the last decade a wealth of studies have shed new light on the role of aldosterone in the pathogenesis of cardiovascular diseases. It is now evident that in addition to its classical role in increasing sodium re-absorbtion in the kidney , aldosterone also exhibits several nonepithelial effects such as the induction of inflammation, fibrosis and necrosis in various organs. Herein we review the experimental evidences for the protective effects of mineralocorticoid receptor blockade in the prevention and treatment of target organ damage, both in animals and in humans. We also discuss the pharmacological and clinical differences between the two available mineralocorticoid receptor blockers, spironolactone and eplerenone", "author" : [ { "dropping-particle" : "", "family" : "Mulatero", "given" : "P.", "non-dropping-particle" : "", "parse-names" : false, "suffix" : "" }, { "dropping-particle" : "", "family" : "Milan", "given" : "A.", "non-dropping-particle" : "", "parse-names" : false, "suffix" : "" }, { "dropping-particle" : "", "family" : "Williams", "given" : "T.A.", "non-dropping-particle" : "", "parse-names" : false, "suffix" : "" }, { "dropping-particle" : "", "family" : "Veglio", "given" : "F.", "non-dropping-particle" : "", "parse-names" : false, "suffix" : "" } ], "container-title" : "Cardiovasc.Hematol.Agents Med.Chem.", "id" : "ITEM-1", "issue" : "1871-5257 (Print)", "issued" : { "date-parts" : [ [ "2006" ] ] }, "page" : "75-91", "title" : "Mineralocorticoid receptor blockade in the protection of target organ damage", "type" : "article-journal", "volume" : "4" }, "uris" : [ "http://www.mendeley.com/documents/?uuid=77bcff02-b639-422c-9624-bedc968e6880" ] } ], "mendeley" : { "formattedCitation" : "(4)", "plainTextFormattedCitation" : "(4)", "previouslyFormattedCitation" : "(4)" }, "properties" : { "noteIndex" : 0 }, "schema" : "https://github.com/citation-style-language/schema/raw/master/csl-citation.json" }</w:instrText>
      </w:r>
      <w:r w:rsidR="00941306">
        <w:rPr>
          <w:rFonts w:ascii="Times New Roman" w:hAnsi="Times New Roman"/>
          <w:sz w:val="24"/>
          <w:szCs w:val="24"/>
          <w:lang w:val="en-GB"/>
        </w:rPr>
        <w:fldChar w:fldCharType="separate"/>
      </w:r>
      <w:r w:rsidR="00941306" w:rsidRPr="00941306">
        <w:rPr>
          <w:rFonts w:ascii="Times New Roman" w:hAnsi="Times New Roman"/>
          <w:noProof/>
          <w:sz w:val="24"/>
          <w:szCs w:val="24"/>
          <w:lang w:val="en-GB"/>
        </w:rPr>
        <w:t>(4)</w:t>
      </w:r>
      <w:r w:rsidR="00941306">
        <w:rPr>
          <w:rFonts w:ascii="Times New Roman" w:hAnsi="Times New Roman"/>
          <w:sz w:val="24"/>
          <w:szCs w:val="24"/>
          <w:lang w:val="en-GB"/>
        </w:rPr>
        <w:fldChar w:fldCharType="end"/>
      </w:r>
      <w:r>
        <w:rPr>
          <w:rFonts w:ascii="Times New Roman" w:hAnsi="Times New Roman"/>
          <w:sz w:val="24"/>
          <w:szCs w:val="24"/>
          <w:lang w:val="en-GB"/>
        </w:rPr>
        <w:t xml:space="preserve">. </w:t>
      </w:r>
      <w:r w:rsidRPr="0002125D">
        <w:rPr>
          <w:rFonts w:ascii="Times New Roman" w:hAnsi="Times New Roman"/>
          <w:sz w:val="24"/>
          <w:szCs w:val="24"/>
          <w:lang w:val="en-GB"/>
        </w:rPr>
        <w:t xml:space="preserve">PA is a heterogeneous group of disorders, </w:t>
      </w:r>
      <w:r>
        <w:rPr>
          <w:rFonts w:ascii="Times New Roman" w:hAnsi="Times New Roman"/>
          <w:sz w:val="24"/>
          <w:szCs w:val="24"/>
          <w:lang w:val="en-GB"/>
        </w:rPr>
        <w:t>involving</w:t>
      </w:r>
      <w:r w:rsidRPr="0002125D">
        <w:rPr>
          <w:rFonts w:ascii="Times New Roman" w:hAnsi="Times New Roman"/>
          <w:sz w:val="24"/>
          <w:szCs w:val="24"/>
          <w:lang w:val="en-GB"/>
        </w:rPr>
        <w:t xml:space="preserve"> both sporadic (aldosterone</w:t>
      </w:r>
      <w:r>
        <w:rPr>
          <w:rFonts w:ascii="Times New Roman" w:hAnsi="Times New Roman"/>
          <w:sz w:val="24"/>
          <w:szCs w:val="24"/>
          <w:lang w:val="en-GB"/>
        </w:rPr>
        <w:t>-</w:t>
      </w:r>
      <w:r w:rsidRPr="0002125D">
        <w:rPr>
          <w:rFonts w:ascii="Times New Roman" w:hAnsi="Times New Roman"/>
          <w:sz w:val="24"/>
          <w:szCs w:val="24"/>
          <w:lang w:val="en-GB"/>
        </w:rPr>
        <w:t xml:space="preserve">producing adenoma and bilateral adrenal hyperplasia) and familial forms. To date, 4 </w:t>
      </w:r>
      <w:r w:rsidRPr="0002125D">
        <w:rPr>
          <w:rFonts w:ascii="Times New Roman" w:hAnsi="Times New Roman"/>
          <w:sz w:val="24"/>
          <w:szCs w:val="24"/>
          <w:lang w:val="en-GB"/>
        </w:rPr>
        <w:lastRenderedPageBreak/>
        <w:t xml:space="preserve">types of familial hyperaldosteronism (FH) have been reported, </w:t>
      </w:r>
      <w:r>
        <w:rPr>
          <w:rFonts w:ascii="Times New Roman" w:hAnsi="Times New Roman"/>
          <w:sz w:val="24"/>
          <w:szCs w:val="24"/>
          <w:lang w:val="en-GB"/>
        </w:rPr>
        <w:t>referred to</w:t>
      </w:r>
      <w:r w:rsidRPr="0002125D">
        <w:rPr>
          <w:rFonts w:ascii="Times New Roman" w:hAnsi="Times New Roman"/>
          <w:sz w:val="24"/>
          <w:szCs w:val="24"/>
          <w:lang w:val="en-GB"/>
        </w:rPr>
        <w:t xml:space="preserve"> as FH-I to FH-IV </w:t>
      </w:r>
      <w:r w:rsidR="00941306">
        <w:rPr>
          <w:rFonts w:ascii="Times New Roman" w:hAnsi="Times New Roman"/>
          <w:sz w:val="24"/>
          <w:szCs w:val="24"/>
          <w:lang w:val="en-GB"/>
        </w:rPr>
        <w:fldChar w:fldCharType="begin" w:fldLock="1"/>
      </w:r>
      <w:r w:rsidR="00DE6C5E">
        <w:rPr>
          <w:rFonts w:ascii="Times New Roman" w:hAnsi="Times New Roman"/>
          <w:sz w:val="24"/>
          <w:szCs w:val="24"/>
          <w:lang w:val="en-GB"/>
        </w:rPr>
        <w:instrText>ADDIN CSL_CITATION { "citationItems" : [ { "id" : "ITEM-1", "itemData" : { "DOI" : "10.1016/j.mce.2014.09.015", "ISBN" : "8585348585", "ISSN" : "18728057", "PMID" : "25240470", "abstract" : "Primary aldosteronism (PA) encompasses a broad, heterogeneous group of disorders including both sporadic and familial forms (familial hyperaldosteronism type I, II and III). PA is the most common form of secondary hypertension and associated with a higher rate of cardiovascular complications, compared with essential hypertension. Despite significant progress in the diagnosis and management of PA, until recently the molecular mechanisms leading to inappropriate aldosterone production were largely unknown. The introduction of next-generation sequencing has had a profound impact on the field of human genetics and has given new insight in the molecular determinants that lead to both sporadic and familial forms of PA. Here we review the recent progress toward understanding of the genetic and molecular mechanisms leading to autonomous aldosterone production in PA.", "author" : [ { "dropping-particle" : "", "family" : "Monticone", "given" : "Silvia", "non-dropping-particle" : "", "parse-names" : false, "suffix" : "" }, { "dropping-particle" : "", "family" : "Else", "given" : "Tobias", "non-dropping-particle" : "", "parse-names" : false, "suffix" : "" }, { "dropping-particle" : "", "family" : "Mulatero", "given" : "Paolo", "non-dropping-particle" : "", "parse-names" : false, "suffix" : "" }, { "dropping-particle" : "", "family" : "Williams", "given" : "Tracy A.", "non-dropping-particle" : "", "parse-names" : false, "suffix" : "" }, { "dropping-particle" : "", "family" : "Rainey", "given" : "William E.", "non-dropping-particle" : "", "parse-names" : false, "suffix" : "" } ], "container-title" : "Molecular and Cellular Endocrinology", "id" : "ITEM-1", "issued" : { "date-parts" : [ [ "2015" ] ] }, "page" : "311-320", "publisher" : "Elsevier Ireland Ltd", "title" : "Understanding primary aldosteronism: Impact of next generation sequencing and expression profiling", "type" : "article-journal", "volume" : "399" }, "uris" : [ "http://www.mendeley.com/documents/?uuid=38fdaacb-6dc5-489a-bba3-e6ae3d21ad78" ] }, { "id" : "ITEM-2", "itemData" : { "DOI" : "10.1016/j.mpdhp.2014.11.002", "ISBN" : "0975-1580 (Electronic)\\r0972-124X (Linking)", "ISSN" : "18767621", "PMID" : "19212310", "author" : [ { "dropping-particle" : "", "family" : "Scholl", "given" : "Ute I.", "non-dropping-particle" : "", "parse-names" : false, "suffix" : "" } ], "container-title" : "Hormone and Metabolic Research", "id" : "ITEM-2", "issue" : "9", "issued" : { "date-parts" : [ [ "2015" ] ] }, "page" : "941-946", "title" : "An update on", "type" : "article-journal", "volume" : "401" }, "uris" : [ "http://www.mendeley.com/documents/?uuid=30956997-4650-4825-8dc3-fe08334dfdbc" ] } ], "mendeley" : { "formattedCitation" : "(5,6)", "plainTextFormattedCitation" : "(5,6)", "previouslyFormattedCitation" : "(5,6)" }, "properties" : { "noteIndex" : 0 }, "schema" : "https://github.com/citation-style-language/schema/raw/master/csl-citation.json" }</w:instrText>
      </w:r>
      <w:r w:rsidR="00941306">
        <w:rPr>
          <w:rFonts w:ascii="Times New Roman" w:hAnsi="Times New Roman"/>
          <w:sz w:val="24"/>
          <w:szCs w:val="24"/>
          <w:lang w:val="en-GB"/>
        </w:rPr>
        <w:fldChar w:fldCharType="separate"/>
      </w:r>
      <w:r w:rsidR="00941306" w:rsidRPr="00941306">
        <w:rPr>
          <w:rFonts w:ascii="Times New Roman" w:hAnsi="Times New Roman"/>
          <w:noProof/>
          <w:sz w:val="24"/>
          <w:szCs w:val="24"/>
          <w:lang w:val="en-GB"/>
        </w:rPr>
        <w:t>(5,6)</w:t>
      </w:r>
      <w:r w:rsidR="00941306">
        <w:rPr>
          <w:rFonts w:ascii="Times New Roman" w:hAnsi="Times New Roman"/>
          <w:sz w:val="24"/>
          <w:szCs w:val="24"/>
          <w:lang w:val="en-GB"/>
        </w:rPr>
        <w:fldChar w:fldCharType="end"/>
      </w:r>
      <w:r w:rsidRPr="0002125D">
        <w:rPr>
          <w:rFonts w:ascii="Times New Roman" w:hAnsi="Times New Roman"/>
          <w:sz w:val="24"/>
          <w:szCs w:val="24"/>
          <w:lang w:val="en-GB"/>
        </w:rPr>
        <w:t xml:space="preserve">. Until </w:t>
      </w:r>
      <w:r>
        <w:rPr>
          <w:rFonts w:ascii="Times New Roman" w:hAnsi="Times New Roman"/>
          <w:sz w:val="24"/>
          <w:szCs w:val="24"/>
          <w:lang w:val="en-GB"/>
        </w:rPr>
        <w:t>recently</w:t>
      </w:r>
      <w:r w:rsidRPr="0002125D">
        <w:rPr>
          <w:rFonts w:ascii="Times New Roman" w:hAnsi="Times New Roman"/>
          <w:sz w:val="24"/>
          <w:szCs w:val="24"/>
          <w:lang w:val="en-GB"/>
        </w:rPr>
        <w:t xml:space="preserve">, our knowledge of the genetic and molecular basis of familial hyperaldosteronism was limited to FH-I, also known as glucocorticoid-remediable aldosteronism. </w:t>
      </w:r>
      <w:r>
        <w:rPr>
          <w:rFonts w:ascii="Times New Roman" w:hAnsi="Times New Roman"/>
          <w:sz w:val="24"/>
          <w:szCs w:val="24"/>
          <w:lang w:val="en-GB"/>
        </w:rPr>
        <w:t>FH-I</w:t>
      </w:r>
      <w:r w:rsidRPr="0002125D">
        <w:rPr>
          <w:rFonts w:ascii="Times New Roman" w:hAnsi="Times New Roman"/>
          <w:sz w:val="24"/>
          <w:szCs w:val="24"/>
          <w:lang w:val="en-GB"/>
        </w:rPr>
        <w:t xml:space="preserve"> is transmitted as an autosomal dominant disorder and is caused by an unequal crossing</w:t>
      </w:r>
      <w:r>
        <w:rPr>
          <w:rFonts w:ascii="Times New Roman" w:hAnsi="Times New Roman"/>
          <w:sz w:val="24"/>
          <w:szCs w:val="24"/>
          <w:lang w:val="en-GB"/>
        </w:rPr>
        <w:t>-</w:t>
      </w:r>
      <w:r w:rsidRPr="0002125D">
        <w:rPr>
          <w:rFonts w:ascii="Times New Roman" w:hAnsi="Times New Roman"/>
          <w:sz w:val="24"/>
          <w:szCs w:val="24"/>
          <w:lang w:val="en-GB"/>
        </w:rPr>
        <w:t>over between</w:t>
      </w:r>
      <w:r>
        <w:rPr>
          <w:rFonts w:ascii="Times New Roman" w:hAnsi="Times New Roman"/>
          <w:sz w:val="24"/>
          <w:szCs w:val="24"/>
          <w:lang w:val="en-GB"/>
        </w:rPr>
        <w:t xml:space="preserve"> the</w:t>
      </w:r>
      <w:r w:rsidRPr="0002125D">
        <w:rPr>
          <w:rFonts w:ascii="Times New Roman" w:hAnsi="Times New Roman"/>
          <w:sz w:val="24"/>
          <w:szCs w:val="24"/>
          <w:lang w:val="en-GB"/>
        </w:rPr>
        <w:t xml:space="preserve"> </w:t>
      </w:r>
      <w:r w:rsidRPr="0002125D">
        <w:rPr>
          <w:rFonts w:ascii="Times New Roman" w:hAnsi="Times New Roman"/>
          <w:i/>
          <w:sz w:val="24"/>
          <w:szCs w:val="24"/>
          <w:lang w:val="en-GB"/>
        </w:rPr>
        <w:t>CYP11B1</w:t>
      </w:r>
      <w:r w:rsidRPr="0002125D">
        <w:rPr>
          <w:rFonts w:ascii="Times New Roman" w:hAnsi="Times New Roman"/>
          <w:sz w:val="24"/>
          <w:szCs w:val="24"/>
          <w:lang w:val="en-GB"/>
        </w:rPr>
        <w:t xml:space="preserve"> and </w:t>
      </w:r>
      <w:r w:rsidRPr="0002125D">
        <w:rPr>
          <w:rFonts w:ascii="Times New Roman" w:hAnsi="Times New Roman"/>
          <w:i/>
          <w:sz w:val="24"/>
          <w:szCs w:val="24"/>
          <w:lang w:val="en-GB"/>
        </w:rPr>
        <w:t>CYP11B2</w:t>
      </w:r>
      <w:r w:rsidRPr="0002125D">
        <w:rPr>
          <w:rFonts w:ascii="Times New Roman" w:hAnsi="Times New Roman"/>
          <w:sz w:val="24"/>
          <w:szCs w:val="24"/>
          <w:lang w:val="en-GB"/>
        </w:rPr>
        <w:t xml:space="preserve"> genes, encoding for 11β-hydroxylase and aldosterone synthase</w:t>
      </w:r>
      <w:r>
        <w:rPr>
          <w:rFonts w:ascii="Times New Roman" w:hAnsi="Times New Roman"/>
          <w:sz w:val="24"/>
          <w:szCs w:val="24"/>
          <w:lang w:val="en-GB"/>
        </w:rPr>
        <w:t>,</w:t>
      </w:r>
      <w:r w:rsidRPr="0002125D">
        <w:rPr>
          <w:rFonts w:ascii="Times New Roman" w:hAnsi="Times New Roman"/>
          <w:sz w:val="24"/>
          <w:szCs w:val="24"/>
          <w:lang w:val="en-GB"/>
        </w:rPr>
        <w:t xml:space="preserve"> respectively</w:t>
      </w:r>
      <w:r>
        <w:rPr>
          <w:rFonts w:ascii="Times New Roman" w:hAnsi="Times New Roman"/>
          <w:sz w:val="24"/>
          <w:szCs w:val="24"/>
          <w:lang w:val="en-GB"/>
        </w:rPr>
        <w:t xml:space="preserve"> </w:t>
      </w:r>
      <w:r w:rsidR="00941306">
        <w:rPr>
          <w:rFonts w:ascii="Times New Roman" w:hAnsi="Times New Roman"/>
          <w:sz w:val="24"/>
          <w:szCs w:val="24"/>
          <w:lang w:val="en-GB"/>
        </w:rPr>
        <w:fldChar w:fldCharType="begin" w:fldLock="1"/>
      </w:r>
      <w:r w:rsidR="00941306">
        <w:rPr>
          <w:rFonts w:ascii="Times New Roman" w:hAnsi="Times New Roman"/>
          <w:sz w:val="24"/>
          <w:szCs w:val="24"/>
          <w:lang w:val="en-GB"/>
        </w:rPr>
        <w:instrText>ADDIN CSL_CITATION { "citationItems" : [ { "id" : "ITEM-1", "itemData" : { "DOI" : "10.1038/355262a0", "ISBN" : "0028-0836 (Print)", "ISSN" : "0028-0836", "PMID" : "1731223", "abstract" : "Glucocorticoid-remediable aldosteronism (GRA), an autosomal dominant disorder, is characterized by hypertension with variable hyperaldosteronism and by high levels of the abnormal adrenal steroids 18-oxocortisol and 18-hydroxycortisol, which are all under control of adrenocorticotropic hormone and suppressible by glucocorticoids. These abnormalities could result from ectopic expression of aldosterone synthase, which is normally expressed only in adrenal glomerulosa, in the adrenal fasciculata. Genes encoding aldosterone synthase and steroid 11 beta-hydroxylase (expressed in both adrenal fasciculata and glomerulosa), which are 95% identical and lie on chromosome 8q (refs 7, 10), are therefore candidate genes for GRA. Here we demonstrate complete linkage of GRA in a large kindred to a gene duplication arising from unequal crossing over, fusing the 5' regulatory region of 11 beta-hydroxylase to the coding sequences of aldosterone synthase (maximum lod score 5.23 for complete linkage, odds ratio of 170,000:1). This mutation can account for all the physiological abnormalities of GRA. Our result represents the demonstration of a mutation causing hypertension in otherwise phenotypically normal animals or humans.", "author" : [ { "dropping-particle" : "", "family" : "Lifton", "given" : "R P", "non-dropping-particle" : "", "parse-names" : false, "suffix" : "" }, { "dropping-particle" : "", "family" : "Dluhy", "given" : "R G", "non-dropping-particle" : "", "parse-names" : false, "suffix" : "" }, { "dropping-particle" : "", "family" : "Powers", "given" : "M", "non-dropping-particle" : "", "parse-names" : false, "suffix" : "" }, { "dropping-particle" : "", "family" : "Rich", "given" : "G M", "non-dropping-particle" : "", "parse-names" : false, "suffix" : "" }, { "dropping-particle" : "", "family" : "Cook", "given" : "S", "non-dropping-particle" : "", "parse-names" : false, "suffix" : "" }, { "dropping-particle" : "", "family" : "Ulick", "given" : "S", "non-dropping-particle" : "", "parse-names" : false, "suffix" : "" }, { "dropping-particle" : "", "family" : "Lalouel", "given" : "J M", "non-dropping-particle" : "", "parse-names" : false, "suffix" : "" } ], "container-title" : "Nature", "id" : "ITEM-1", "issue" : "6357", "issued" : { "date-parts" : [ [ "1992" ] ] }, "page" : "262-265", "title" : "A chimaeric 11 beta-hydroxylase/aldosterone synthase gene causes glucocorticoid-remediable aldosteronism and human hypertension.", "type" : "article-journal", "volume" : "355" }, "uris" : [ "http://www.mendeley.com/documents/?uuid=83433add-532b-4b2b-8aef-f68740694b91" ] } ], "mendeley" : { "formattedCitation" : "(7)", "plainTextFormattedCitation" : "(7)", "previouslyFormattedCitation" : "(7)" }, "properties" : { "noteIndex" : 0 }, "schema" : "https://github.com/citation-style-language/schema/raw/master/csl-citation.json" }</w:instrText>
      </w:r>
      <w:r w:rsidR="00941306">
        <w:rPr>
          <w:rFonts w:ascii="Times New Roman" w:hAnsi="Times New Roman"/>
          <w:sz w:val="24"/>
          <w:szCs w:val="24"/>
          <w:lang w:val="en-GB"/>
        </w:rPr>
        <w:fldChar w:fldCharType="separate"/>
      </w:r>
      <w:r w:rsidR="00941306" w:rsidRPr="00941306">
        <w:rPr>
          <w:rFonts w:ascii="Times New Roman" w:hAnsi="Times New Roman"/>
          <w:noProof/>
          <w:sz w:val="24"/>
          <w:szCs w:val="24"/>
          <w:lang w:val="en-GB"/>
        </w:rPr>
        <w:t>(7)</w:t>
      </w:r>
      <w:r w:rsidR="00941306">
        <w:rPr>
          <w:rFonts w:ascii="Times New Roman" w:hAnsi="Times New Roman"/>
          <w:sz w:val="24"/>
          <w:szCs w:val="24"/>
          <w:lang w:val="en-GB"/>
        </w:rPr>
        <w:fldChar w:fldCharType="end"/>
      </w:r>
      <w:r w:rsidRPr="0002125D">
        <w:rPr>
          <w:rFonts w:ascii="Times New Roman" w:hAnsi="Times New Roman"/>
          <w:sz w:val="24"/>
          <w:szCs w:val="24"/>
          <w:lang w:val="en-GB"/>
        </w:rPr>
        <w:t>. Th</w:t>
      </w:r>
      <w:r>
        <w:rPr>
          <w:rFonts w:ascii="Times New Roman" w:hAnsi="Times New Roman"/>
          <w:sz w:val="24"/>
          <w:szCs w:val="24"/>
          <w:lang w:val="en-GB"/>
        </w:rPr>
        <w:t>is</w:t>
      </w:r>
      <w:r w:rsidRPr="0002125D">
        <w:rPr>
          <w:rFonts w:ascii="Times New Roman" w:hAnsi="Times New Roman"/>
          <w:sz w:val="24"/>
          <w:szCs w:val="24"/>
          <w:lang w:val="en-GB"/>
        </w:rPr>
        <w:t xml:space="preserve"> </w:t>
      </w:r>
      <w:r>
        <w:rPr>
          <w:rFonts w:ascii="Times New Roman" w:hAnsi="Times New Roman"/>
          <w:sz w:val="24"/>
          <w:szCs w:val="24"/>
          <w:lang w:val="en-GB"/>
        </w:rPr>
        <w:t xml:space="preserve">genetic </w:t>
      </w:r>
      <w:r w:rsidRPr="0002125D">
        <w:rPr>
          <w:rFonts w:ascii="Times New Roman" w:hAnsi="Times New Roman"/>
          <w:sz w:val="24"/>
          <w:szCs w:val="24"/>
          <w:lang w:val="en-GB"/>
        </w:rPr>
        <w:t xml:space="preserve">recombination </w:t>
      </w:r>
      <w:r>
        <w:rPr>
          <w:rFonts w:ascii="Times New Roman" w:hAnsi="Times New Roman"/>
          <w:sz w:val="24"/>
          <w:szCs w:val="24"/>
          <w:lang w:val="en-GB"/>
        </w:rPr>
        <w:t>results in the formation of</w:t>
      </w:r>
      <w:r w:rsidRPr="0002125D">
        <w:rPr>
          <w:rFonts w:ascii="Times New Roman" w:hAnsi="Times New Roman"/>
          <w:sz w:val="24"/>
          <w:szCs w:val="24"/>
          <w:lang w:val="en-GB"/>
        </w:rPr>
        <w:t xml:space="preserve"> a chimeric enzyme with aldosterone synthase activity and 11β-hydroxylase regulation, that can produce aldosterone under </w:t>
      </w:r>
      <w:r>
        <w:rPr>
          <w:rFonts w:ascii="Times New Roman" w:hAnsi="Times New Roman"/>
          <w:sz w:val="24"/>
          <w:szCs w:val="24"/>
          <w:lang w:val="en-GB"/>
        </w:rPr>
        <w:t xml:space="preserve">the control of </w:t>
      </w:r>
      <w:r w:rsidRPr="0002125D">
        <w:rPr>
          <w:rFonts w:ascii="Times New Roman" w:hAnsi="Times New Roman"/>
          <w:sz w:val="24"/>
          <w:szCs w:val="24"/>
          <w:lang w:val="en-GB"/>
        </w:rPr>
        <w:t xml:space="preserve">ACTH </w:t>
      </w:r>
      <w:r w:rsidR="00941306">
        <w:rPr>
          <w:rFonts w:ascii="Times New Roman" w:hAnsi="Times New Roman"/>
          <w:sz w:val="24"/>
          <w:szCs w:val="24"/>
          <w:lang w:val="en-GB"/>
        </w:rPr>
        <w:fldChar w:fldCharType="begin" w:fldLock="1"/>
      </w:r>
      <w:r w:rsidR="00941306">
        <w:rPr>
          <w:rFonts w:ascii="Times New Roman" w:hAnsi="Times New Roman"/>
          <w:sz w:val="24"/>
          <w:szCs w:val="24"/>
          <w:lang w:val="en-GB"/>
        </w:rPr>
        <w:instrText>ADDIN CSL_CITATION { "citationItems" : [ { "id" : "ITEM-1", "itemData" : { "DOI" : "0021-972X/98/$03.00/0", "ISSN" : "0021972X", "PMID" : "9814482", "abstract" : "CYP11B1 (11beta-hydroxylase) and CYP11B2 (aldosterone synthase) are 93% identical mitochondrial enzymes that both catalyze 11beta-hydroxylation of steroid hormones. CYP11B2 has the additional 18-hydroxylase and 18-oxidase activities required for conversion of 11-deoxycorticosterone to aldosterone. These two additional C18 conversions can be catalyzed by CYP11B1 if serine-288 and valine-320 are replaced by the corresponding CYP11B2 residues, glycine and alanine. Here we show that such a hybrid enzyme also catalyzes conversion of 11-deoxycortisol to cortisol, 18-hydroxycortisol, and 18-oxocortisol. These latter two steroids are present at elevated levels in individuals with glucocorticoid suppressible hyperaldosteronism (GSH) and some forms of primary aldosteronism. Their production by the recombinant CYP11B enzyme is enhanced by substitution of further amino acids encoded in exons 4, 5, and 6 of CYP11B2. A converted CYP11B1 gene, containing these exons from CYP11B2, would be regulated like CYP11B1, yet encode an enzyme with the activities of CYP11B2, thus causing GSH or essential hypertension. In a sample of 103 low renin hypertensive patients, 218 patients with primary aldosteronism, and 90 normotensive individuals, we found a high level of conversion of CYP11B genes and four cases of GSH caused by unequal crossing over but no gene conversions of the type expected to cause GSH.", "author" : [ { "dropping-particle" : "", "family" : "Mulatero", "given" : "P.", "non-dropping-particle" : "", "parse-names" : false, "suffix" : "" }, { "dropping-particle" : "", "family" : "Curnow", "given" : "K. M.", "non-dropping-particle" : "", "parse-names" : false, "suffix" : "" }, { "dropping-particle" : "", "family" : "Aupetit-Faisant", "given" : "B.", "non-dropping-particle" : "", "parse-names" : false, "suffix" : "" }, { "dropping-particle" : "", "family" : "Foekling", "given" : "M.", "non-dropping-particle" : "", "parse-names" : false, "suffix" : "" }, { "dropping-particle" : "", "family" : "Gomez-Sanchez", "given" : "C.", "non-dropping-particle" : "", "parse-names" : false, "suffix" : "" }, { "dropping-particle" : "", "family" : "Veglio", "given" : "F.", "non-dropping-particle" : "", "parse-names" : false, "suffix" : "" }, { "dropping-particle" : "", "family" : "Jeunemaitre", "given" : "X.", "non-dropping-particle" : "", "parse-names" : false, "suffix" : "" }, { "dropping-particle" : "", "family" : "Corvol", "given" : "P.", "non-dropping-particle" : "", "parse-names" : false, "suffix" : "" }, { "dropping-particle" : "", "family" : "Pascoe", "given" : "L.", "non-dropping-particle" : "", "parse-names" : false, "suffix" : "" } ], "container-title" : "Journal of Clinical Endocrinology and Metabolism", "id" : "ITEM-1", "issue" : "11", "issued" : { "date-parts" : [ [ "1998" ] ] }, "page" : "3996-4001", "title" : "Recombinant CYP11B genes encode enzymes that can catalyze conversion of 11-deoxycortisol to cortisol, 18-hydroxycortisol, and 18-oxocortisol", "type" : "article-journal", "volume" : "83" }, "uris" : [ "http://www.mendeley.com/documents/?uuid=4b01e3b9-6ab3-4b1b-86e3-18529f1b08ec" ] }, { "id" : "ITEM-2", "itemData" : { "DOI" : "10.1038/355262a0", "ISBN" : "0028-0836 (Print)", "ISSN" : "0028-0836", "PMID" : "1731223", "abstract" : "Glucocorticoid-remediable aldosteronism (GRA), an autosomal dominant disorder, is characterized by hypertension with variable hyperaldosteronism and by high levels of the abnormal adrenal steroids 18-oxocortisol and 18-hydroxycortisol, which are all under control of adrenocorticotropic hormone and suppressible by glucocorticoids. These abnormalities could result from ectopic expression of aldosterone synthase, which is normally expressed only in adrenal glomerulosa, in the adrenal fasciculata. Genes encoding aldosterone synthase and steroid 11 beta-hydroxylase (expressed in both adrenal fasciculata and glomerulosa), which are 95% identical and lie on chromosome 8q (refs 7, 10), are therefore candidate genes for GRA. Here we demonstrate complete linkage of GRA in a large kindred to a gene duplication arising from unequal crossing over, fusing the 5' regulatory region of 11 beta-hydroxylase to the coding sequences of aldosterone synthase (maximum lod score 5.23 for complete linkage, odds ratio of 170,000:1). This mutation can account for all the physiological abnormalities of GRA. Our result represents the demonstration of a mutation causing hypertension in otherwise phenotypically normal animals or humans.", "author" : [ { "dropping-particle" : "", "family" : "Lifton", "given" : "R P", "non-dropping-particle" : "", "parse-names" : false, "suffix" : "" }, { "dropping-particle" : "", "family" : "Dluhy", "given" : "R G", "non-dropping-particle" : "", "parse-names" : false, "suffix" : "" }, { "dropping-particle" : "", "family" : "Powers", "given" : "M", "non-dropping-particle" : "", "parse-names" : false, "suffix" : "" }, { "dropping-particle" : "", "family" : "Rich", "given" : "G M", "non-dropping-particle" : "", "parse-names" : false, "suffix" : "" }, { "dropping-particle" : "", "family" : "Cook", "given" : "S", "non-dropping-particle" : "", "parse-names" : false, "suffix" : "" }, { "dropping-particle" : "", "family" : "Ulick", "given" : "S", "non-dropping-particle" : "", "parse-names" : false, "suffix" : "" }, { "dropping-particle" : "", "family" : "Lalouel", "given" : "J M", "non-dropping-particle" : "", "parse-names" : false, "suffix" : "" } ], "container-title" : "Nature", "id" : "ITEM-2", "issue" : "6357", "issued" : { "date-parts" : [ [ "1992" ] ] }, "page" : "262-265", "title" : "A chimaeric 11 beta-hydroxylase/aldosterone synthase gene causes glucocorticoid-remediable aldosteronism and human hypertension.", "type" : "article-journal", "volume" : "355" }, "uris" : [ "http://www.mendeley.com/documents/?uuid=83433add-532b-4b2b-8aef-f68740694b91" ] } ], "mendeley" : { "formattedCitation" : "(7,8)", "plainTextFormattedCitation" : "(7,8)", "previouslyFormattedCitation" : "(7,8)" }, "properties" : { "noteIndex" : 0 }, "schema" : "https://github.com/citation-style-language/schema/raw/master/csl-citation.json" }</w:instrText>
      </w:r>
      <w:r w:rsidR="00941306">
        <w:rPr>
          <w:rFonts w:ascii="Times New Roman" w:hAnsi="Times New Roman"/>
          <w:sz w:val="24"/>
          <w:szCs w:val="24"/>
          <w:lang w:val="en-GB"/>
        </w:rPr>
        <w:fldChar w:fldCharType="separate"/>
      </w:r>
      <w:r w:rsidR="00941306" w:rsidRPr="00941306">
        <w:rPr>
          <w:rFonts w:ascii="Times New Roman" w:hAnsi="Times New Roman"/>
          <w:noProof/>
          <w:sz w:val="24"/>
          <w:szCs w:val="24"/>
          <w:lang w:val="en-GB"/>
        </w:rPr>
        <w:t>(7,8)</w:t>
      </w:r>
      <w:r w:rsidR="00941306">
        <w:rPr>
          <w:rFonts w:ascii="Times New Roman" w:hAnsi="Times New Roman"/>
          <w:sz w:val="24"/>
          <w:szCs w:val="24"/>
          <w:lang w:val="en-GB"/>
        </w:rPr>
        <w:fldChar w:fldCharType="end"/>
      </w:r>
      <w:r w:rsidRPr="0002125D">
        <w:rPr>
          <w:rFonts w:ascii="Times New Roman" w:hAnsi="Times New Roman"/>
          <w:sz w:val="24"/>
          <w:szCs w:val="24"/>
          <w:lang w:val="en-GB"/>
        </w:rPr>
        <w:t xml:space="preserve">. </w:t>
      </w:r>
      <w:r>
        <w:rPr>
          <w:rFonts w:ascii="Times New Roman" w:hAnsi="Times New Roman"/>
          <w:sz w:val="24"/>
          <w:szCs w:val="24"/>
          <w:lang w:val="en-GB"/>
        </w:rPr>
        <w:t>The b</w:t>
      </w:r>
      <w:r w:rsidRPr="0002125D">
        <w:rPr>
          <w:rFonts w:ascii="Times New Roman" w:hAnsi="Times New Roman"/>
          <w:sz w:val="24"/>
          <w:szCs w:val="24"/>
          <w:lang w:val="en-GB"/>
        </w:rPr>
        <w:t>iochemica</w:t>
      </w:r>
      <w:r>
        <w:rPr>
          <w:rFonts w:ascii="Times New Roman" w:hAnsi="Times New Roman"/>
          <w:sz w:val="24"/>
          <w:szCs w:val="24"/>
          <w:lang w:val="en-GB"/>
        </w:rPr>
        <w:t>l</w:t>
      </w:r>
      <w:r w:rsidRPr="0002125D">
        <w:rPr>
          <w:rFonts w:ascii="Times New Roman" w:hAnsi="Times New Roman"/>
          <w:sz w:val="24"/>
          <w:szCs w:val="24"/>
          <w:lang w:val="en-GB"/>
        </w:rPr>
        <w:t xml:space="preserve"> hallmark of </w:t>
      </w:r>
      <w:r>
        <w:rPr>
          <w:rFonts w:ascii="Times New Roman" w:hAnsi="Times New Roman"/>
          <w:sz w:val="24"/>
          <w:szCs w:val="24"/>
          <w:lang w:val="en-GB"/>
        </w:rPr>
        <w:t>FH-I</w:t>
      </w:r>
      <w:r w:rsidRPr="0002125D">
        <w:rPr>
          <w:rFonts w:ascii="Times New Roman" w:hAnsi="Times New Roman"/>
          <w:sz w:val="24"/>
          <w:szCs w:val="24"/>
          <w:lang w:val="en-GB"/>
        </w:rPr>
        <w:t xml:space="preserve"> is the overproduction of </w:t>
      </w:r>
      <w:r>
        <w:rPr>
          <w:rFonts w:ascii="Times New Roman" w:hAnsi="Times New Roman"/>
          <w:sz w:val="24"/>
          <w:szCs w:val="24"/>
          <w:lang w:val="en-GB"/>
        </w:rPr>
        <w:t xml:space="preserve">the </w:t>
      </w:r>
      <w:r w:rsidRPr="0002125D">
        <w:rPr>
          <w:rFonts w:ascii="Times New Roman" w:hAnsi="Times New Roman"/>
          <w:sz w:val="24"/>
          <w:szCs w:val="24"/>
          <w:lang w:val="en-GB"/>
        </w:rPr>
        <w:t xml:space="preserve">hybrid steroids 18-hydroxycortisol and 18-oxocortisol and clinically it can be cured with low doses of dexamethasone </w:t>
      </w:r>
      <w:r w:rsidR="00941306">
        <w:rPr>
          <w:rFonts w:ascii="Times New Roman" w:hAnsi="Times New Roman"/>
          <w:sz w:val="24"/>
          <w:szCs w:val="24"/>
          <w:lang w:val="en-GB"/>
        </w:rPr>
        <w:fldChar w:fldCharType="begin" w:fldLock="1"/>
      </w:r>
      <w:r w:rsidR="001E4B74">
        <w:rPr>
          <w:rFonts w:ascii="Times New Roman" w:hAnsi="Times New Roman"/>
          <w:sz w:val="24"/>
          <w:szCs w:val="24"/>
          <w:lang w:val="en-GB"/>
        </w:rPr>
        <w:instrText>ADDIN CSL_CITATION { "citationItems" : [ { "id" : "ITEM-1", "itemData" : { "ISBN" : "0021-972X", "ISSN" : "0021972X", "abstract" : "In familial hyperaldosteronism type I, inheritance of a hybrid 11beta-hydroxylase/aldosterone synthase gene leads to ACTH-regulated overproduction of aldosterone (causing hypertension) and of \"hybrid\" steroids, 18-hydroxy- and 18-oxo-cortisol. To determine whether complete suppression of the hybrid gene is necessary to normalize blood pressure, we sought evidence of persisting expression in eight patients who were rendered normotensive for 1.3-4.5 yr by glucocorticoid treatment. At the time of the study, six patients were receiving dexamethasone (0.125-0.25 mg/day) and two patients were taking prednisolone (2.5 or 5 mg/day). Urinary 18-oxo-cortisol levels during treatment demonstrated close correlation with mean \"day curve\" (blood collected every 2 h for 24 h) cortisol (r = 0.74), consistent with regulation by ACTH. Although urinary 18-oxo-cortisol levels were lower during than before treatment (mean 12.6 +/- 2.4 SEM vs. 35.0 +/- 5.6 nmol/mmol creatinine; P &lt; 0.01), they remained above normal (0.8-5.2 nmol/mmol creatinine) in all eight patients. Although mean upright plasma potassium levels during treatment were higher, aldosterone levels lower, PRA levels higher, and aldosterone to PRA ratios lower than before treatment, PRA levels were uncorrected (&lt; 13 pmol/L x min) and aldosterone to PRA ratios were uncorrected (&gt;65) during treatment in four patients. For each of the eight patients, day curve aldosterone levels during treatment correlated more tightly with cortisol (mean r for the eight patients, 0.87 +/- 0.05 SEM) than with PRA (mean r = 0.36 +/- 0.10 SEM). Hence, control of hypertension by glucocorticoid treatment was associated, in all patients, with only partial suppression of ACTH-regulated hybrid steroid and aldosterone production. Normalization of urinary hybrid steroid levels and abolition of ACTH-regulated aldosterone production is not a requisite for hypertension control and, if used as a treatment goal, may unnecessarily increase the risk of Cushingoid side effects.", "author" : [ { "dropping-particle" : "", "family" : "Stowasser", "given" : "M.", "non-dropping-particle" : "", "parse-names" : false, "suffix" : "" }, { "dropping-particle" : "", "family" : "Bachmann", "given" : "A. W.", "non-dropping-particle" : "", "parse-names" : false, "suffix" : "" }, { "dropping-particle" : "", "family" : "Huggard", "given" : "P. R.", "non-dropping-particle" : "", "parse-names" : false, "suffix" : "" }, { "dropping-particle" : "", "family" : "Rossetti", "given" : "T. R.", "non-dropping-particle" : "", "parse-names" : false, "suffix" : "" }, { "dropping-particle" : "", "family" : "Gordon", "given" : "R. D.", "non-dropping-particle" : "", "parse-names" : false, "suffix" : "" } ], "container-title" : "Journal of Clinical Endocrinology and Metabolism", "id" : "ITEM-1", "issue" : "9", "issued" : { "date-parts" : [ [ "2000" ] ] }, "page" : "3313-3318", "title" : "Treatment of familial hyperaldosteronism type I: Only partial suppression of adrenocorticotropin required to correct hypertension", "type" : "article-journal", "volume" : "85" }, "uris" : [ "http://www.mendeley.com/documents/?uuid=b3e5ceaf-e7af-4e49-a4f6-9d20fcc89dc4" ] } ], "mendeley" : { "formattedCitation" : "(9)", "plainTextFormattedCitation" : "(9)", "previouslyFormattedCitation" : "(9)" }, "properties" : { "noteIndex" : 0 }, "schema" : "https://github.com/citation-style-language/schema/raw/master/csl-citation.json" }</w:instrText>
      </w:r>
      <w:r w:rsidR="00941306">
        <w:rPr>
          <w:rFonts w:ascii="Times New Roman" w:hAnsi="Times New Roman"/>
          <w:sz w:val="24"/>
          <w:szCs w:val="24"/>
          <w:lang w:val="en-GB"/>
        </w:rPr>
        <w:fldChar w:fldCharType="separate"/>
      </w:r>
      <w:r w:rsidR="00941306" w:rsidRPr="00941306">
        <w:rPr>
          <w:rFonts w:ascii="Times New Roman" w:hAnsi="Times New Roman"/>
          <w:noProof/>
          <w:sz w:val="24"/>
          <w:szCs w:val="24"/>
          <w:lang w:val="en-GB"/>
        </w:rPr>
        <w:t>(9)</w:t>
      </w:r>
      <w:r w:rsidR="00941306">
        <w:rPr>
          <w:rFonts w:ascii="Times New Roman" w:hAnsi="Times New Roman"/>
          <w:sz w:val="24"/>
          <w:szCs w:val="24"/>
          <w:lang w:val="en-GB"/>
        </w:rPr>
        <w:fldChar w:fldCharType="end"/>
      </w:r>
      <w:r w:rsidRPr="0002125D">
        <w:rPr>
          <w:rFonts w:ascii="Times New Roman" w:hAnsi="Times New Roman"/>
          <w:sz w:val="24"/>
          <w:szCs w:val="24"/>
          <w:lang w:val="en-GB"/>
        </w:rPr>
        <w:t>. FH-I</w:t>
      </w:r>
      <w:r>
        <w:rPr>
          <w:rFonts w:ascii="Times New Roman" w:hAnsi="Times New Roman"/>
          <w:sz w:val="24"/>
          <w:szCs w:val="24"/>
          <w:lang w:val="en-GB"/>
        </w:rPr>
        <w:t>I</w:t>
      </w:r>
      <w:r w:rsidRPr="0002125D">
        <w:rPr>
          <w:rFonts w:ascii="Times New Roman" w:hAnsi="Times New Roman"/>
          <w:sz w:val="24"/>
          <w:szCs w:val="24"/>
          <w:lang w:val="en-GB"/>
        </w:rPr>
        <w:t xml:space="preserve"> is a non glucoco</w:t>
      </w:r>
      <w:r>
        <w:rPr>
          <w:rFonts w:ascii="Times New Roman" w:hAnsi="Times New Roman"/>
          <w:sz w:val="24"/>
          <w:szCs w:val="24"/>
          <w:lang w:val="en-GB"/>
        </w:rPr>
        <w:t>r</w:t>
      </w:r>
      <w:r w:rsidRPr="0002125D">
        <w:rPr>
          <w:rFonts w:ascii="Times New Roman" w:hAnsi="Times New Roman"/>
          <w:sz w:val="24"/>
          <w:szCs w:val="24"/>
          <w:lang w:val="en-GB"/>
        </w:rPr>
        <w:t>ticoid reme</w:t>
      </w:r>
      <w:r>
        <w:rPr>
          <w:rFonts w:ascii="Times New Roman" w:hAnsi="Times New Roman"/>
          <w:sz w:val="24"/>
          <w:szCs w:val="24"/>
          <w:lang w:val="en-GB"/>
        </w:rPr>
        <w:t>diable familial form of PA,</w:t>
      </w:r>
      <w:r w:rsidRPr="0002125D">
        <w:rPr>
          <w:rFonts w:ascii="Times New Roman" w:hAnsi="Times New Roman"/>
          <w:sz w:val="24"/>
          <w:szCs w:val="24"/>
          <w:lang w:val="en-GB"/>
        </w:rPr>
        <w:t xml:space="preserve"> </w:t>
      </w:r>
      <w:r>
        <w:rPr>
          <w:rFonts w:ascii="Times New Roman" w:hAnsi="Times New Roman"/>
          <w:sz w:val="24"/>
          <w:szCs w:val="24"/>
          <w:lang w:val="en-GB"/>
        </w:rPr>
        <w:t xml:space="preserve">first </w:t>
      </w:r>
      <w:r w:rsidRPr="0002125D">
        <w:rPr>
          <w:rFonts w:ascii="Times New Roman" w:hAnsi="Times New Roman"/>
          <w:sz w:val="24"/>
          <w:szCs w:val="24"/>
          <w:lang w:val="en-GB"/>
        </w:rPr>
        <w:t xml:space="preserve">reported in 1991 </w:t>
      </w:r>
      <w:r w:rsidR="001E4B74">
        <w:rPr>
          <w:rFonts w:ascii="Times New Roman" w:hAnsi="Times New Roman"/>
          <w:sz w:val="24"/>
          <w:szCs w:val="24"/>
          <w:lang w:val="en-GB"/>
        </w:rPr>
        <w:fldChar w:fldCharType="begin" w:fldLock="1"/>
      </w:r>
      <w:r w:rsidR="00F15C8A">
        <w:rPr>
          <w:rFonts w:ascii="Times New Roman" w:hAnsi="Times New Roman"/>
          <w:sz w:val="24"/>
          <w:szCs w:val="24"/>
          <w:lang w:val="en-GB"/>
        </w:rPr>
        <w:instrText>ADDIN CSL_CITATION { "citationItems" : [ { "id" : "ITEM-1", "itemData" : { "DOI" : "10.1111/j.1440-1681.1991.tb01446.x", "ISSN" : "0305-1870", "author" : [ { "dropping-particle" : "", "family" : "Gordon", "given" : "Richard D.", "non-dropping-particle" : "", "parse-names" : false, "suffix" : "" }, { "dropping-particle" : "", "family" : "Stowasser", "given" : "Michael", "non-dropping-particle" : "", "parse-names" : false, "suffix" : "" }, { "dropping-particle" : "", "family" : "Tunny", "given" : "Terry J.", "non-dropping-particle" : "", "parse-names" : false, "suffix" : "" }, { "dropping-particle" : "", "family" : "Klemm", "given" : "Shelley A.", "non-dropping-particle" : "", "parse-names" : false, "suffix" : "" }, { "dropping-particle" : "", "family" : "Finn", "given" : "Wendy L.", "non-dropping-particle" : "", "parse-names" : false, "suffix" : "" }, { "dropping-particle" : "", "family" : "Krek", "given" : "Anton L.", "non-dropping-particle" : "", "parse-names" : false, "suffix" : "" } ], "container-title" : "Clinical and Experimental Pharmacology and Physiology", "id" : "ITEM-1", "issue" : "5", "issued" : { "date-parts" : [ [ "1991", "5" ] ] }, "page" : "283-286", "title" : "Clinical And Pathological Diversity Of Primary Aldosteronism, Including A New Familial Variety", "type" : "article-journal", "volume" : "18" }, "uris" : [ "http://www.mendeley.com/documents/?uuid=922849e3-1125-4980-8ff3-08b792875c0b" ] } ], "mendeley" : { "formattedCitation" : "(10)" }, "properties" : { "noteIndex" : 0 }, "schema" : "https://github.com/citation-style-language/schema/raw/master/csl-citation.json" }</w:instrText>
      </w:r>
      <w:r w:rsidR="001E4B74">
        <w:rPr>
          <w:rFonts w:ascii="Times New Roman" w:hAnsi="Times New Roman"/>
          <w:sz w:val="24"/>
          <w:szCs w:val="24"/>
          <w:lang w:val="en-GB"/>
        </w:rPr>
        <w:fldChar w:fldCharType="separate"/>
      </w:r>
      <w:r w:rsidR="001E4B74" w:rsidRPr="001E4B74">
        <w:rPr>
          <w:rFonts w:ascii="Times New Roman" w:hAnsi="Times New Roman"/>
          <w:noProof/>
          <w:sz w:val="24"/>
          <w:szCs w:val="24"/>
          <w:lang w:val="en-GB"/>
        </w:rPr>
        <w:t>(</w:t>
      </w:r>
      <w:r w:rsidR="00F15C8A">
        <w:rPr>
          <w:rFonts w:ascii="Times New Roman" w:hAnsi="Times New Roman"/>
          <w:noProof/>
          <w:sz w:val="24"/>
          <w:szCs w:val="24"/>
          <w:lang w:val="en-GB"/>
        </w:rPr>
        <w:t xml:space="preserve">ref. </w:t>
      </w:r>
      <w:r w:rsidR="001E4B74" w:rsidRPr="001E4B74">
        <w:rPr>
          <w:rFonts w:ascii="Times New Roman" w:hAnsi="Times New Roman"/>
          <w:noProof/>
          <w:sz w:val="24"/>
          <w:szCs w:val="24"/>
          <w:lang w:val="en-GB"/>
        </w:rPr>
        <w:t>10)</w:t>
      </w:r>
      <w:r w:rsidR="001E4B74">
        <w:rPr>
          <w:rFonts w:ascii="Times New Roman" w:hAnsi="Times New Roman"/>
          <w:sz w:val="24"/>
          <w:szCs w:val="24"/>
          <w:lang w:val="en-GB"/>
        </w:rPr>
        <w:fldChar w:fldCharType="end"/>
      </w:r>
      <w:r w:rsidRPr="0002125D">
        <w:rPr>
          <w:rFonts w:ascii="Times New Roman" w:hAnsi="Times New Roman"/>
          <w:sz w:val="24"/>
          <w:szCs w:val="24"/>
          <w:lang w:val="en-GB"/>
        </w:rPr>
        <w:t xml:space="preserve">. FH-II is clinically and biochemically indistinguishable from sporadic PA and is diagnosed when at least two first-degree members of the same family are affected by PA. </w:t>
      </w:r>
      <w:r>
        <w:rPr>
          <w:rFonts w:ascii="Times New Roman" w:hAnsi="Times New Roman"/>
          <w:sz w:val="24"/>
          <w:szCs w:val="24"/>
          <w:lang w:val="en-GB"/>
        </w:rPr>
        <w:t>The c</w:t>
      </w:r>
      <w:r w:rsidRPr="0002125D">
        <w:rPr>
          <w:rFonts w:ascii="Times New Roman" w:hAnsi="Times New Roman"/>
          <w:sz w:val="24"/>
          <w:szCs w:val="24"/>
          <w:lang w:val="en-GB"/>
        </w:rPr>
        <w:t>ausative molecular mechanism</w:t>
      </w:r>
      <w:r>
        <w:rPr>
          <w:rFonts w:ascii="Times New Roman" w:hAnsi="Times New Roman"/>
          <w:sz w:val="24"/>
          <w:szCs w:val="24"/>
          <w:lang w:val="en-GB"/>
        </w:rPr>
        <w:t xml:space="preserve"> is likely to be heterogeneous and</w:t>
      </w:r>
      <w:r w:rsidRPr="0002125D">
        <w:rPr>
          <w:rFonts w:ascii="Times New Roman" w:hAnsi="Times New Roman"/>
          <w:sz w:val="24"/>
          <w:szCs w:val="24"/>
          <w:lang w:val="en-GB"/>
        </w:rPr>
        <w:t xml:space="preserve"> remain</w:t>
      </w:r>
      <w:r>
        <w:rPr>
          <w:rFonts w:ascii="Times New Roman" w:hAnsi="Times New Roman"/>
          <w:sz w:val="24"/>
          <w:szCs w:val="24"/>
          <w:lang w:val="en-GB"/>
        </w:rPr>
        <w:t>s</w:t>
      </w:r>
      <w:r w:rsidRPr="0002125D">
        <w:rPr>
          <w:rFonts w:ascii="Times New Roman" w:hAnsi="Times New Roman"/>
          <w:sz w:val="24"/>
          <w:szCs w:val="24"/>
          <w:lang w:val="en-GB"/>
        </w:rPr>
        <w:t xml:space="preserve"> unclear</w:t>
      </w:r>
      <w:r>
        <w:rPr>
          <w:rFonts w:ascii="Times New Roman" w:hAnsi="Times New Roman"/>
          <w:sz w:val="24"/>
          <w:szCs w:val="24"/>
          <w:lang w:val="en-GB"/>
        </w:rPr>
        <w:t xml:space="preserve"> although</w:t>
      </w:r>
      <w:r w:rsidRPr="0002125D">
        <w:rPr>
          <w:rFonts w:ascii="Times New Roman" w:hAnsi="Times New Roman"/>
          <w:sz w:val="24"/>
          <w:szCs w:val="24"/>
          <w:lang w:val="en-GB"/>
        </w:rPr>
        <w:t xml:space="preserve"> a linkage with 7p22 has been </w:t>
      </w:r>
      <w:r>
        <w:rPr>
          <w:rFonts w:ascii="Times New Roman" w:hAnsi="Times New Roman"/>
          <w:sz w:val="24"/>
          <w:szCs w:val="24"/>
          <w:lang w:val="en-GB"/>
        </w:rPr>
        <w:t>implicated</w:t>
      </w:r>
      <w:r w:rsidRPr="0002125D">
        <w:rPr>
          <w:rFonts w:ascii="Times New Roman" w:hAnsi="Times New Roman"/>
          <w:sz w:val="24"/>
          <w:szCs w:val="24"/>
          <w:lang w:val="en-GB"/>
        </w:rPr>
        <w:t xml:space="preserve"> in </w:t>
      </w:r>
      <w:r>
        <w:rPr>
          <w:rFonts w:ascii="Times New Roman" w:hAnsi="Times New Roman"/>
          <w:sz w:val="24"/>
          <w:szCs w:val="24"/>
          <w:lang w:val="en-GB"/>
        </w:rPr>
        <w:t xml:space="preserve">some </w:t>
      </w:r>
      <w:r w:rsidRPr="0002125D">
        <w:rPr>
          <w:rFonts w:ascii="Times New Roman" w:hAnsi="Times New Roman"/>
          <w:sz w:val="24"/>
          <w:szCs w:val="24"/>
          <w:lang w:val="en-GB"/>
        </w:rPr>
        <w:t xml:space="preserve">families </w:t>
      </w:r>
      <w:r w:rsidR="001E4B74">
        <w:rPr>
          <w:rFonts w:ascii="Times New Roman" w:hAnsi="Times New Roman"/>
          <w:sz w:val="24"/>
          <w:szCs w:val="24"/>
          <w:lang w:val="en-GB"/>
        </w:rPr>
        <w:fldChar w:fldCharType="begin" w:fldLock="1"/>
      </w:r>
      <w:r w:rsidR="001E4B74">
        <w:rPr>
          <w:rFonts w:ascii="Times New Roman" w:hAnsi="Times New Roman"/>
          <w:sz w:val="24"/>
          <w:szCs w:val="24"/>
          <w:lang w:val="en-GB"/>
        </w:rPr>
        <w:instrText>ADDIN CSL_CITATION { "citationItems" : [ { "id" : "ITEM-1", "itemData" : { "DOI" : "10.1097/HJH.0b013e3283028352", "ISBN" : "0263-6352 (Print)\\r0263-6352 (Linking)", "ISSN" : "0263-6352", "PMID" : "18622235", "abstract" : "BACKGROUND: Familial hyperaldosteronism type II is a hereditary form of primary aldosteronism not attributable to the hybrid CYP11B1/CYP11B2 mutation that causes glucocorticoid remediable aldosteronism (or familial hyperaldosteronism type I). Although genetic defect(s) underlying familial hyperaldosteronism type II have not yet been elucidated, linkage to chromosome 7p22 was previously reported in two Australian families and a South American family with familial hyperaldosteronism type II. OBJECTIVE: To seek evidence of linkage to chromosome 7p22 in two Italian families with familial hyperaldosteronism type II based on markers that have already yielded evidence of linkage in one South American and two Australian familial hyperaldosteronism type II families and to assess the combined multipoint logarithm of odds score in these five families (two Australian, two Italian, and one South American). METHODS: Primary aldosteronism was diagnosed or excluded using widely accepted clinical and biochemical criteria. Genotypes of affected and unaffected Italian patients from two families were analysed using seven closely spaced microsatellite markers at 7p22, and multipoint logarithm of odds scores were calculated to assess linkage with familial hyperaldosteronism type II. RESULTS: All known affected individuals (four and two, respectively) from each of two Italian families shared identical haplotypes for the seven markers, consistent with linkage of the disease locus with the 7p22 region. The combined multipoint logarithm of odds score for five families showing linkage at 7p22 was highly significant at 5.22 (theta = 0) for markers D7S462 and D7S517. CONCLUSION: Linkage in two Italian families makes this the third geographical area to show linkage of familial hyperaldosteronism type II at 7p22, emphasizing the likely importance of this locus in identifying the causative mutation.", "author" : [ { "dropping-particle" : "", "family" : "Sukor", "given" : "Norlela", "non-dropping-particle" : "", "parse-names" : false, "suffix" : "" }, { "dropping-particle" : "", "family" : "Mulatero", "given" : "Paolo", "non-dropping-particle" : "", "parse-names" : false, "suffix" : "" }, { "dropping-particle" : "", "family" : "Gordon", "given" : "Richard D.", "non-dropping-particle" : "", "parse-names" : false, "suffix" : "" }, { "dropping-particle" : "", "family" : "So", "given" : "Albertina", "non-dropping-particle" : "", "parse-names" : false, "suffix" : "" }, { "dropping-particle" : "", "family" : "Duffy", "given" : "David L", "non-dropping-particle" : "", "parse-names" : false, "suffix" : "" }, { "dropping-particle" : "", "family" : "Bertello", "given" : "Chiara", "non-dropping-particle" : "", "parse-names" : false, "suffix" : "" }, { "dropping-particle" : "", "family" : "Kelemen", "given" : "Livia", "non-dropping-particle" : "", "parse-names" : false, "suffix" : "" }, { "dropping-particle" : "", "family" : "Jeske", "given" : "Yvette", "non-dropping-particle" : "", "parse-names" : false, "suffix" : "" }, { "dropping-particle" : "", "family" : "Veglio", "given" : "Franco", "non-dropping-particle" : "", "parse-names" : false, "suffix" : "" }, { "dropping-particle" : "", "family" : "Stowasser", "given" : "Michael", "non-dropping-particle" : "", "parse-names" : false, "suffix" : "" } ], "container-title" : "Journal of hypertension", "id" : "ITEM-1", "issue" : "8", "issued" : { "date-parts" : [ [ "2008" ] ] }, "page" : "1577-1582", "title" : "Further evidence for linkage of familial hyperaldosteronism type II at chromosome 7p22 in Italian as well as Australian and South American families.", "type" : "article-journal", "volume" : "26" }, "uris" : [ "http://www.mendeley.com/documents/?uuid=487ea035-ffd4-4200-a972-39bcffa42083" ] } ], "mendeley" : { "formattedCitation" : "(11)", "plainTextFormattedCitation" : "(11)", "previouslyFormattedCitation" : "(11)" }, "properties" : { "noteIndex" : 0 }, "schema" : "https://github.com/citation-style-language/schema/raw/master/csl-citation.json" }</w:instrText>
      </w:r>
      <w:r w:rsidR="001E4B74">
        <w:rPr>
          <w:rFonts w:ascii="Times New Roman" w:hAnsi="Times New Roman"/>
          <w:sz w:val="24"/>
          <w:szCs w:val="24"/>
          <w:lang w:val="en-GB"/>
        </w:rPr>
        <w:fldChar w:fldCharType="separate"/>
      </w:r>
      <w:r w:rsidR="001E4B74" w:rsidRPr="001E4B74">
        <w:rPr>
          <w:rFonts w:ascii="Times New Roman" w:hAnsi="Times New Roman"/>
          <w:noProof/>
          <w:sz w:val="24"/>
          <w:szCs w:val="24"/>
          <w:lang w:val="en-GB"/>
        </w:rPr>
        <w:t>(11)</w:t>
      </w:r>
      <w:r w:rsidR="001E4B74">
        <w:rPr>
          <w:rFonts w:ascii="Times New Roman" w:hAnsi="Times New Roman"/>
          <w:sz w:val="24"/>
          <w:szCs w:val="24"/>
          <w:lang w:val="en-GB"/>
        </w:rPr>
        <w:fldChar w:fldCharType="end"/>
      </w:r>
      <w:r w:rsidRPr="0002125D">
        <w:rPr>
          <w:rFonts w:ascii="Times New Roman" w:hAnsi="Times New Roman"/>
          <w:sz w:val="24"/>
          <w:szCs w:val="24"/>
          <w:lang w:val="en-GB"/>
        </w:rPr>
        <w:t xml:space="preserve">. The introduction of next-generation sequencing platforms, led to the identification of two novel forms of FH. FH-III was reported as a separate entity for the first time in 2008 and its genetic basis, represented by germline mutations in the </w:t>
      </w:r>
      <w:r w:rsidRPr="0002125D">
        <w:rPr>
          <w:rFonts w:ascii="Times New Roman" w:hAnsi="Times New Roman"/>
          <w:i/>
          <w:sz w:val="24"/>
          <w:szCs w:val="24"/>
          <w:lang w:val="en-GB"/>
        </w:rPr>
        <w:t>KCNJ5</w:t>
      </w:r>
      <w:r w:rsidRPr="0002125D">
        <w:rPr>
          <w:rFonts w:ascii="Times New Roman" w:hAnsi="Times New Roman"/>
          <w:sz w:val="24"/>
          <w:szCs w:val="24"/>
          <w:lang w:val="en-GB"/>
        </w:rPr>
        <w:t xml:space="preserve"> gene, </w:t>
      </w:r>
      <w:r>
        <w:rPr>
          <w:rFonts w:ascii="Times New Roman" w:hAnsi="Times New Roman"/>
          <w:sz w:val="24"/>
          <w:szCs w:val="24"/>
          <w:lang w:val="en-GB"/>
        </w:rPr>
        <w:t>was</w:t>
      </w:r>
      <w:r w:rsidRPr="0002125D">
        <w:rPr>
          <w:rFonts w:ascii="Times New Roman" w:hAnsi="Times New Roman"/>
          <w:sz w:val="24"/>
          <w:szCs w:val="24"/>
          <w:lang w:val="en-GB"/>
        </w:rPr>
        <w:t xml:space="preserve"> unravelled by Choi et al. in 2011</w:t>
      </w:r>
      <w:r>
        <w:rPr>
          <w:rFonts w:ascii="Times New Roman" w:hAnsi="Times New Roman"/>
          <w:sz w:val="24"/>
          <w:szCs w:val="24"/>
          <w:lang w:val="en-GB"/>
        </w:rPr>
        <w:t xml:space="preserve"> </w:t>
      </w:r>
      <w:r w:rsidR="001E4B74">
        <w:rPr>
          <w:rFonts w:ascii="Times New Roman" w:hAnsi="Times New Roman"/>
          <w:sz w:val="24"/>
          <w:szCs w:val="24"/>
          <w:lang w:val="en-GB"/>
        </w:rPr>
        <w:fldChar w:fldCharType="begin" w:fldLock="1"/>
      </w:r>
      <w:r w:rsidR="00BC59ED">
        <w:rPr>
          <w:rFonts w:ascii="Times New Roman" w:hAnsi="Times New Roman"/>
          <w:sz w:val="24"/>
          <w:szCs w:val="24"/>
          <w:lang w:val="en-GB"/>
        </w:rPr>
        <w:instrText>ADDIN CSL_CITATION { "citationItems" : [ { "id" : "ITEM-1", "itemData" : { "DOI" : "10.1126/science.1198785", "ISBN" : "1095-9203 (Electronic)\r0036-8075 (Linking)", "ISSN" : "0036-8075", "PMID" : "21311022", "author" : [ { "dropping-particle" : "", "family" : "Choi", "given" : "M.", "non-dropping-particle" : "", "parse-names" : false, "suffix" : "" }, { "dropping-particle" : "", "family" : "Scholl", "given" : "U. I.", "non-dropping-particle" : "", "parse-names" : false, "suffix" : "" }, { "dropping-particle" : "", "family" : "Yue", "given" : "P.", "non-dropping-particle" : "", "parse-names" : false, "suffix" : "" }, { "dropping-particle" : "", "family" : "Bjorklund", "given" : "P.", "non-dropping-particle" : "", "parse-names" : false, "suffix" : "" }, { "dropping-particle" : "", "family" : "Zhao", "given" : "B.", "non-dropping-particle" : "", "parse-names" : false, "suffix" : "" }, { "dropping-particle" : "", "family" : "Nelson-Williams", "given" : "C.", "non-dropping-particle" : "", "parse-names" : false, "suffix" : "" }, { "dropping-particle" : "", "family" : "Ji", "given" : "W.", "non-dropping-particle" : "", "parse-names" : false, "suffix" : "" }, { "dropping-particle" : "", "family" : "Cho", "given" : "Y.", "non-dropping-particle" : "", "parse-names" : false, "suffix" : "" }, { "dropping-particle" : "", "family" : "Patel", "given" : "A.", "non-dropping-particle" : "", "parse-names" : false, "suffix" : "" }, { "dropping-particle" : "", "family" : "Men", "given" : "C. J.", "non-dropping-particle" : "", "parse-names" : false, "suffix" : "" }, { "dropping-particle" : "", "family" : "Lolis", "given" : "E.", "non-dropping-particle" : "", "parse-names" : false, "suffix" : "" }, { "dropping-particle" : "V.", "family" : "Wisgerhof", "given" : "M.", "non-dropping-particle" : "", "parse-names" : false, "suffix" : "" }, { "dropping-particle" : "", "family" : "Geller", "given" : "D. S.", "non-dropping-particle" : "", "parse-names" : false, "suffix" : "" }, { "dropping-particle" : "", "family" : "Mane", "given" : "S.", "non-dropping-particle" : "", "parse-names" : false, "suffix" : "" }, { "dropping-particle" : "", "family" : "Hellman", "given" : "P.", "non-dropping-particle" : "", "parse-names" : false, "suffix" : "" }, { "dropping-particle" : "", "family" : "Westin", "given" : "G.", "non-dropping-particle" : "", "parse-names" : false, "suffix" : "" }, { "dropping-particle" : "", "family" : "Akerstrom", "given" : "G.", "non-dropping-particle" : "", "parse-names" : false, "suffix" : "" }, { "dropping-particle" : "", "family" : "Wang", "given" : "W.", "non-dropping-particle" : "", "parse-names" : false, "suffix" : "" }, { "dropping-particle" : "", "family" : "Carling", "given" : "T.", "non-dropping-particle" : "", "parse-names" : false, "suffix" : "" }, { "dropping-particle" : "", "family" : "Lifton", "given" : "R. P.", "non-dropping-particle" : "", "parse-names" : false, "suffix" : "" } ], "container-title" : "Science", "id" : "ITEM-1", "issue" : "6018", "issued" : { "date-parts" : [ [ "2011" ] ] }, "page" : "768-772", "title" : "K+ Channel Mutations in Adrenal Aldosterone-Producing Adenomas and Hereditary Hypertension", "type" : "article-journal", "volume" : "331" }, "uris" : [ "http://www.mendeley.com/documents/?uuid=ba17704a-d0b7-472c-a12e-d3d7002d5cf5" ] } ], "mendeley" : { "formattedCitation" : "(12)" }, "properties" : { "noteIndex" : 0 }, "schema" : "https://github.com/citation-style-language/schema/raw/master/csl-citation.json" }</w:instrText>
      </w:r>
      <w:r w:rsidR="001E4B74">
        <w:rPr>
          <w:rFonts w:ascii="Times New Roman" w:hAnsi="Times New Roman"/>
          <w:sz w:val="24"/>
          <w:szCs w:val="24"/>
          <w:lang w:val="en-GB"/>
        </w:rPr>
        <w:fldChar w:fldCharType="separate"/>
      </w:r>
      <w:r w:rsidR="001E4B74" w:rsidRPr="001E4B74">
        <w:rPr>
          <w:rFonts w:ascii="Times New Roman" w:hAnsi="Times New Roman"/>
          <w:noProof/>
          <w:sz w:val="24"/>
          <w:szCs w:val="24"/>
          <w:lang w:val="en-GB"/>
        </w:rPr>
        <w:t>(</w:t>
      </w:r>
      <w:r w:rsidR="00BC59ED">
        <w:rPr>
          <w:rFonts w:ascii="Times New Roman" w:hAnsi="Times New Roman"/>
          <w:noProof/>
          <w:sz w:val="24"/>
          <w:szCs w:val="24"/>
          <w:lang w:val="en-GB"/>
        </w:rPr>
        <w:t xml:space="preserve">ref. </w:t>
      </w:r>
      <w:r w:rsidR="001E4B74" w:rsidRPr="001E4B74">
        <w:rPr>
          <w:rFonts w:ascii="Times New Roman" w:hAnsi="Times New Roman"/>
          <w:noProof/>
          <w:sz w:val="24"/>
          <w:szCs w:val="24"/>
          <w:lang w:val="en-GB"/>
        </w:rPr>
        <w:t>12)</w:t>
      </w:r>
      <w:r w:rsidR="001E4B74">
        <w:rPr>
          <w:rFonts w:ascii="Times New Roman" w:hAnsi="Times New Roman"/>
          <w:sz w:val="24"/>
          <w:szCs w:val="24"/>
          <w:lang w:val="en-GB"/>
        </w:rPr>
        <w:fldChar w:fldCharType="end"/>
      </w:r>
      <w:r w:rsidRPr="0002125D">
        <w:rPr>
          <w:rFonts w:ascii="Times New Roman" w:hAnsi="Times New Roman"/>
          <w:sz w:val="24"/>
          <w:szCs w:val="24"/>
          <w:lang w:val="en-GB"/>
        </w:rPr>
        <w:t>. FH-IV is inherited as an autosomal dominant trait with incomplete penetrance and is caused by mutations in</w:t>
      </w:r>
      <w:r>
        <w:rPr>
          <w:rFonts w:ascii="Times New Roman" w:hAnsi="Times New Roman"/>
          <w:sz w:val="24"/>
          <w:szCs w:val="24"/>
          <w:lang w:val="en-GB"/>
        </w:rPr>
        <w:t xml:space="preserve"> the</w:t>
      </w:r>
      <w:r w:rsidRPr="0002125D">
        <w:rPr>
          <w:rFonts w:ascii="Times New Roman" w:hAnsi="Times New Roman"/>
          <w:sz w:val="24"/>
          <w:szCs w:val="24"/>
          <w:lang w:val="en-GB"/>
        </w:rPr>
        <w:t xml:space="preserve"> </w:t>
      </w:r>
      <w:r w:rsidRPr="0002125D">
        <w:rPr>
          <w:rFonts w:ascii="Times New Roman" w:hAnsi="Times New Roman"/>
          <w:i/>
          <w:sz w:val="24"/>
          <w:szCs w:val="24"/>
          <w:lang w:val="en-GB"/>
        </w:rPr>
        <w:t>CACNA1H</w:t>
      </w:r>
      <w:r w:rsidRPr="0002125D">
        <w:rPr>
          <w:rFonts w:ascii="Times New Roman" w:hAnsi="Times New Roman"/>
          <w:sz w:val="24"/>
          <w:szCs w:val="24"/>
          <w:lang w:val="en-GB"/>
        </w:rPr>
        <w:t xml:space="preserve"> gene,</w:t>
      </w:r>
      <w:r>
        <w:rPr>
          <w:rFonts w:ascii="Times New Roman" w:hAnsi="Times New Roman"/>
          <w:sz w:val="24"/>
          <w:szCs w:val="24"/>
          <w:lang w:val="en-GB"/>
        </w:rPr>
        <w:t xml:space="preserve"> encoding for the alpha subunit of a L-type</w:t>
      </w:r>
      <w:r w:rsidRPr="0002125D">
        <w:rPr>
          <w:rFonts w:ascii="Times New Roman" w:hAnsi="Times New Roman"/>
          <w:sz w:val="24"/>
          <w:szCs w:val="24"/>
          <w:lang w:val="en-GB"/>
        </w:rPr>
        <w:t xml:space="preserve"> voltage-gated calcium channel, Ca</w:t>
      </w:r>
      <w:r w:rsidRPr="0002125D">
        <w:rPr>
          <w:rFonts w:ascii="Times New Roman" w:hAnsi="Times New Roman"/>
          <w:sz w:val="24"/>
          <w:szCs w:val="24"/>
          <w:vertAlign w:val="subscript"/>
          <w:lang w:val="en-GB"/>
        </w:rPr>
        <w:t>v</w:t>
      </w:r>
      <w:r>
        <w:rPr>
          <w:rFonts w:ascii="Times New Roman" w:hAnsi="Times New Roman"/>
          <w:sz w:val="24"/>
          <w:szCs w:val="24"/>
          <w:lang w:val="en-GB"/>
        </w:rPr>
        <w:t>3.2</w:t>
      </w:r>
      <w:r w:rsidRPr="0002125D">
        <w:rPr>
          <w:rFonts w:ascii="Times New Roman" w:hAnsi="Times New Roman"/>
          <w:sz w:val="24"/>
          <w:szCs w:val="24"/>
          <w:lang w:val="en-GB"/>
        </w:rPr>
        <w:t xml:space="preserve">. </w:t>
      </w:r>
      <w:r>
        <w:rPr>
          <w:rFonts w:ascii="Times New Roman" w:hAnsi="Times New Roman"/>
          <w:sz w:val="24"/>
          <w:szCs w:val="24"/>
          <w:lang w:val="en-GB"/>
        </w:rPr>
        <w:t xml:space="preserve">Two patients have been reported with an additional </w:t>
      </w:r>
      <w:r w:rsidRPr="0002125D">
        <w:rPr>
          <w:rFonts w:ascii="Times New Roman" w:hAnsi="Times New Roman"/>
          <w:sz w:val="24"/>
          <w:szCs w:val="24"/>
          <w:lang w:val="en-GB"/>
        </w:rPr>
        <w:t>genetic</w:t>
      </w:r>
      <w:r>
        <w:rPr>
          <w:rFonts w:ascii="Times New Roman" w:hAnsi="Times New Roman"/>
          <w:sz w:val="24"/>
          <w:szCs w:val="24"/>
          <w:lang w:val="en-GB"/>
        </w:rPr>
        <w:t xml:space="preserve"> </w:t>
      </w:r>
      <w:r w:rsidRPr="0002125D">
        <w:rPr>
          <w:rFonts w:ascii="Times New Roman" w:hAnsi="Times New Roman"/>
          <w:sz w:val="24"/>
          <w:szCs w:val="24"/>
          <w:lang w:val="en-GB"/>
        </w:rPr>
        <w:t>form of PA</w:t>
      </w:r>
      <w:r w:rsidRPr="0076408B">
        <w:rPr>
          <w:rFonts w:ascii="Times New Roman" w:hAnsi="Times New Roman"/>
          <w:sz w:val="24"/>
          <w:szCs w:val="24"/>
          <w:lang w:val="en-GB"/>
        </w:rPr>
        <w:t xml:space="preserve"> </w:t>
      </w:r>
      <w:r w:rsidRPr="0002125D">
        <w:rPr>
          <w:rFonts w:ascii="Times New Roman" w:hAnsi="Times New Roman"/>
          <w:sz w:val="24"/>
          <w:szCs w:val="24"/>
          <w:lang w:val="en-GB"/>
        </w:rPr>
        <w:t xml:space="preserve">caused by germline </w:t>
      </w:r>
      <w:r w:rsidRPr="008F3963">
        <w:rPr>
          <w:rFonts w:ascii="Times New Roman" w:hAnsi="Times New Roman"/>
          <w:i/>
          <w:sz w:val="24"/>
          <w:szCs w:val="24"/>
          <w:lang w:val="en-GB"/>
        </w:rPr>
        <w:t>de novo</w:t>
      </w:r>
      <w:r w:rsidRPr="0002125D">
        <w:rPr>
          <w:rFonts w:ascii="Times New Roman" w:hAnsi="Times New Roman"/>
          <w:sz w:val="24"/>
          <w:szCs w:val="24"/>
          <w:lang w:val="en-GB"/>
        </w:rPr>
        <w:t xml:space="preserve"> mutations in </w:t>
      </w:r>
      <w:r w:rsidRPr="0002125D">
        <w:rPr>
          <w:rFonts w:ascii="Times New Roman" w:hAnsi="Times New Roman"/>
          <w:i/>
          <w:sz w:val="24"/>
          <w:szCs w:val="24"/>
          <w:lang w:val="en-GB"/>
        </w:rPr>
        <w:t>CACNA1D</w:t>
      </w:r>
      <w:r>
        <w:rPr>
          <w:rFonts w:ascii="Times New Roman" w:hAnsi="Times New Roman"/>
          <w:i/>
          <w:sz w:val="24"/>
          <w:szCs w:val="24"/>
          <w:lang w:val="en-GB"/>
        </w:rPr>
        <w:t xml:space="preserve"> </w:t>
      </w:r>
      <w:r>
        <w:rPr>
          <w:rFonts w:ascii="Times New Roman" w:hAnsi="Times New Roman"/>
          <w:sz w:val="24"/>
          <w:szCs w:val="24"/>
          <w:lang w:val="en-GB"/>
        </w:rPr>
        <w:t>that</w:t>
      </w:r>
      <w:r w:rsidRPr="0002125D">
        <w:rPr>
          <w:rFonts w:ascii="Times New Roman" w:hAnsi="Times New Roman"/>
          <w:sz w:val="24"/>
          <w:szCs w:val="24"/>
          <w:lang w:val="en-GB"/>
        </w:rPr>
        <w:t xml:space="preserve"> </w:t>
      </w:r>
      <w:r>
        <w:rPr>
          <w:rFonts w:ascii="Times New Roman" w:hAnsi="Times New Roman"/>
          <w:sz w:val="24"/>
          <w:szCs w:val="24"/>
          <w:lang w:val="en-GB"/>
        </w:rPr>
        <w:t xml:space="preserve">is </w:t>
      </w:r>
      <w:r w:rsidRPr="0002125D">
        <w:rPr>
          <w:rFonts w:ascii="Times New Roman" w:hAnsi="Times New Roman"/>
          <w:sz w:val="24"/>
          <w:szCs w:val="24"/>
          <w:lang w:val="en-GB"/>
        </w:rPr>
        <w:t>associated with neuro</w:t>
      </w:r>
      <w:r>
        <w:rPr>
          <w:rFonts w:ascii="Times New Roman" w:hAnsi="Times New Roman"/>
          <w:sz w:val="24"/>
          <w:szCs w:val="24"/>
          <w:lang w:val="en-GB"/>
        </w:rPr>
        <w:t>lo</w:t>
      </w:r>
      <w:r w:rsidRPr="0002125D">
        <w:rPr>
          <w:rFonts w:ascii="Times New Roman" w:hAnsi="Times New Roman"/>
          <w:sz w:val="24"/>
          <w:szCs w:val="24"/>
          <w:lang w:val="en-GB"/>
        </w:rPr>
        <w:t>gical alterations (</w:t>
      </w:r>
      <w:r>
        <w:rPr>
          <w:rFonts w:ascii="Times New Roman" w:hAnsi="Times New Roman"/>
          <w:sz w:val="24"/>
          <w:szCs w:val="24"/>
          <w:lang w:val="en-GB"/>
        </w:rPr>
        <w:t>referred to</w:t>
      </w:r>
      <w:r w:rsidRPr="0002125D">
        <w:rPr>
          <w:rFonts w:ascii="Times New Roman" w:hAnsi="Times New Roman"/>
          <w:sz w:val="24"/>
          <w:szCs w:val="24"/>
          <w:lang w:val="en-GB"/>
        </w:rPr>
        <w:t xml:space="preserve"> as PASNA syndrome, Primary Aldosteronism with Seizures and Neurologic Abnormalities) </w:t>
      </w:r>
      <w:r w:rsidR="001E4B74">
        <w:rPr>
          <w:rFonts w:ascii="Times New Roman" w:hAnsi="Times New Roman"/>
          <w:sz w:val="24"/>
          <w:szCs w:val="24"/>
          <w:lang w:val="en-GB"/>
        </w:rPr>
        <w:fldChar w:fldCharType="begin" w:fldLock="1"/>
      </w:r>
      <w:r w:rsidR="00DE6C5E">
        <w:rPr>
          <w:rFonts w:ascii="Times New Roman" w:hAnsi="Times New Roman"/>
          <w:sz w:val="24"/>
          <w:szCs w:val="24"/>
          <w:lang w:val="en-GB"/>
        </w:rPr>
        <w:instrText>ADDIN CSL_CITATION { "citationItems" : [ { "id" : "ITEM-1", "itemData" : { "DOI" : "10.1038/ng.2695", "ISBN" : "1546-1718 (Electronic)\\r1061-4036 (Linking)", "ISSN" : "1546-1718", "PMID" : "23913001", "abstract" : "Adrenal aldosterone-producing adenomas (APAs) constitutively produce the salt-retaining hormone aldosterone and are a common cause of severe hypertension. Recurrent mutations in the potassium channel gene KCNJ5 that result in cell depolarization and Ca(2+) influx cause \u223c40% of these tumors. We identified 5 somatic mutations (4 altering Gly403 and 1 altering Ile770) in CACNA1D, encoding a voltage-gated calcium channel, among 43 APAs without mutated KCNJ5. The altered residues lie in the S6 segments that line the channel pore. Both alterations result in channel activation at less depolarized potentials; Gly403 alterations also impair channel inactivation. These effects are inferred to cause increased Ca(2+) influx, which is a sufficient stimulus for aldosterone production and cell proliferation in adrenal glomerulosa. We also identified de novo germline mutations at identical positions in two children with a previously undescribed syndrome featuring primary aldosteronism and neuromuscular abnormalities. These findings implicate gain-of-function Ca(2+) channel mutations in APAs and primary aldosteronism.", "author" : [ { "dropping-particle" : "", "family" : "Scholl", "given" : "Ute I", "non-dropping-particle" : "", "parse-names" : false, "suffix" : "" }, { "dropping-particle" : "", "family" : "Goh", "given" : "Gerald", "non-dropping-particle" : "", "parse-names" : false, "suffix" : "" }, { "dropping-particle" : "", "family" : "St\u00f6lting", "given" : "Gabriel", "non-dropping-particle" : "", "parse-names" : false, "suffix" : "" }, { "dropping-particle" : "", "family" : "Oliveira", "given" : "Regina Campos", "non-dropping-particle" : "de", "parse-names" : false, "suffix" : "" }, { "dropping-particle" : "", "family" : "Choi", "given" : "Murim", "non-dropping-particle" : "", "parse-names" : false, "suffix" : "" }, { "dropping-particle" : "", "family" : "Overton", "given" : "John D", "non-dropping-particle" : "", "parse-names" : false, "suffix" : "" }, { "dropping-particle" : "", "family" : "Fonseca", "given" : "Annabelle L", "non-dropping-particle" : "", "parse-names" : false, "suffix" : "" }, { "dropping-particle" : "", "family" : "Korah", "given" : "Reju", "non-dropping-particle" : "", "parse-names" : false, "suffix" : "" }, { "dropping-particle" : "", "family" : "Starker", "given" : "Lee F", "non-dropping-particle" : "", "parse-names" : false, "suffix" : "" }, { "dropping-particle" : "", "family" : "Kunstman", "given" : "John W", "non-dropping-particle" : "", "parse-names" : false, "suffix" : "" }, { "dropping-particle" : "", "family" : "Prasad", "given" : "Manju L", "non-dropping-particle" : "", "parse-names" : false, "suffix" : "" }, { "dropping-particle" : "", "family" : "Hartung", "given" : "Erum a", "non-dropping-particle" : "", "parse-names" : false, "suffix" : "" }, { "dropping-particle" : "", "family" : "Mauras", "given" : "Nelly", "non-dropping-particle" : "", "parse-names" : false, "suffix" : "" }, { "dropping-particle" : "", "family" : "Benson", "given" : "Matthew R", "non-dropping-particle" : "", "parse-names" : false, "suffix" : "" }, { "dropping-particle" : "", "family" : "Brady", "given" : "Tammy", "non-dropping-particle" : "", "parse-names" : false, "suffix" : "" }, { "dropping-particle" : "", "family" : "Shapiro", "given" : "Jay R", "non-dropping-particle" : "", "parse-names" : false, "suffix" : "" }, { "dropping-particle" : "", "family" : "Loring", "given" : "Erin", "non-dropping-particle" : "", "parse-names" : false, "suffix" : "" }, { "dropping-particle" : "", "family" : "Nelson-Williams", "given" : "Carol", "non-dropping-particle" : "", "parse-names" : false, "suffix" : "" }, { "dropping-particle" : "", "family" : "Libutti", "given" : "Steven K", "non-dropping-particle" : "", "parse-names" : false, "suffix" : "" }, { "dropping-particle" : "", "family" : "Mane", "given" : "Shrikant", "non-dropping-particle" : "", "parse-names" : false, "suffix" : "" }, { "dropping-particle" : "", "family" : "Hellman", "given" : "Per", "non-dropping-particle" : "", "parse-names" : false, "suffix" : "" }, { "dropping-particle" : "", "family" : "Westin", "given" : "Gunnar", "non-dropping-particle" : "", "parse-names" : false, "suffix" : "" }, { "dropping-particle" : "", "family" : "\u00c5kerstr\u00f6m", "given" : "G\u00f6ran", "non-dropping-particle" : "", "parse-names" : false, "suffix" : "" }, { "dropping-particle" : "", "family" : "Bj\u00f6rklund", "given" : "Peyman", "non-dropping-particle" : "", "parse-names" : false, "suffix" : "" }, { "dropping-particle" : "", "family" : "Carling", "given" : "Tobias", "non-dropping-particle" : "", "parse-names" : false, "suffix" : "" }, { "dropping-particle" : "", "family" : "Fahlke", "given" : "Christoph", "non-dropping-particle" : "", "parse-names" : false, "suffix" : "" }, { "dropping-particle" : "", "family" : "Hidalgo", "given" : "Patricia", "non-dropping-particle" : "", "parse-names" : false, "suffix" : "" }, { "dropping-particle" : "", "family" : "Lifton", "given" : "Richard P", "non-dropping-particle" : "", "parse-names" : false, "suffix" : "" } ], "container-title" : "Nature genetics", "id" : "ITEM-1", "issue" : "9", "issued" : { "date-parts" : [ [ "2013" ] ] }, "page" : "1050-4", "publisher" : "Nature Publishing Group", "title" : "Somatic and germline CACNA1D calcium channel mutations in aldosterone-producing adenomas and primary aldosteronism.", "type" : "article-journal", "volume" : "45" }, "uris" : [ "http://www.mendeley.com/documents/?uuid=2e2548d0-a371-4f93-8aee-f3238c2a1f09" ] }, { "id" : "ITEM-2", "itemData" : { "DOI" : "10.1016/j.mpdhp.2014.11.002", "ISBN" : "0975-1580 (Electronic)\\r0972-124X (Linking)", "ISSN" : "18767621", "PMID" : "19212310", "author" : [ { "dropping-particle" : "", "family" : "Scholl", "given" : "Ute I.", "non-dropping-particle" : "", "parse-names" : false, "suffix" : "" } ], "container-title" : "Hormone and Metabolic Research", "id" : "ITEM-2", "issue" : "9", "issued" : { "date-parts" : [ [ "2015" ] ] }, "page" : "941-946", "title" : "An update on", "type" : "article-journal", "volume" : "401" }, "uris" : [ "http://www.mendeley.com/documents/?uuid=30956997-4650-4825-8dc3-fe08334dfdbc" ] } ], "mendeley" : { "formattedCitation" : "(6,13)", "plainTextFormattedCitation" : "(6,13)", "previouslyFormattedCitation" : "(6,13)" }, "properties" : { "noteIndex" : 0 }, "schema" : "https://github.com/citation-style-language/schema/raw/master/csl-citation.json" }</w:instrText>
      </w:r>
      <w:r w:rsidR="001E4B74">
        <w:rPr>
          <w:rFonts w:ascii="Times New Roman" w:hAnsi="Times New Roman"/>
          <w:sz w:val="24"/>
          <w:szCs w:val="24"/>
          <w:lang w:val="en-GB"/>
        </w:rPr>
        <w:fldChar w:fldCharType="separate"/>
      </w:r>
      <w:r w:rsidR="001E4B74" w:rsidRPr="001E4B74">
        <w:rPr>
          <w:rFonts w:ascii="Times New Roman" w:hAnsi="Times New Roman"/>
          <w:noProof/>
          <w:sz w:val="24"/>
          <w:szCs w:val="24"/>
          <w:lang w:val="en-GB"/>
        </w:rPr>
        <w:t>(6,13)</w:t>
      </w:r>
      <w:r w:rsidR="001E4B74">
        <w:rPr>
          <w:rFonts w:ascii="Times New Roman" w:hAnsi="Times New Roman"/>
          <w:sz w:val="24"/>
          <w:szCs w:val="24"/>
          <w:lang w:val="en-GB"/>
        </w:rPr>
        <w:fldChar w:fldCharType="end"/>
      </w:r>
      <w:r w:rsidRPr="0002125D">
        <w:rPr>
          <w:rFonts w:ascii="Times New Roman" w:hAnsi="Times New Roman"/>
          <w:sz w:val="24"/>
          <w:szCs w:val="24"/>
          <w:lang w:val="en-GB"/>
        </w:rPr>
        <w:t xml:space="preserve">. </w:t>
      </w:r>
      <w:r>
        <w:rPr>
          <w:rFonts w:ascii="Times New Roman" w:hAnsi="Times New Roman"/>
          <w:sz w:val="24"/>
          <w:szCs w:val="24"/>
          <w:lang w:val="en-GB"/>
        </w:rPr>
        <w:t>PASNA is not a</w:t>
      </w:r>
      <w:r w:rsidRPr="0002125D">
        <w:rPr>
          <w:rFonts w:ascii="Times New Roman" w:hAnsi="Times New Roman"/>
          <w:sz w:val="24"/>
          <w:szCs w:val="24"/>
          <w:lang w:val="en-GB"/>
        </w:rPr>
        <w:t xml:space="preserve"> familial</w:t>
      </w:r>
      <w:r>
        <w:rPr>
          <w:rFonts w:ascii="Times New Roman" w:hAnsi="Times New Roman"/>
          <w:sz w:val="24"/>
          <w:szCs w:val="24"/>
          <w:lang w:val="en-GB"/>
        </w:rPr>
        <w:t xml:space="preserve"> form of PA</w:t>
      </w:r>
      <w:r w:rsidRPr="0002125D">
        <w:rPr>
          <w:rFonts w:ascii="Times New Roman" w:hAnsi="Times New Roman"/>
          <w:sz w:val="24"/>
          <w:szCs w:val="24"/>
          <w:lang w:val="en-GB"/>
        </w:rPr>
        <w:t xml:space="preserve"> because the severe neurological comorbidities do not allow the affected individuals to reproduce.</w:t>
      </w:r>
    </w:p>
    <w:p w14:paraId="3AC46894" w14:textId="77777777" w:rsidR="007143EE" w:rsidRDefault="007143EE" w:rsidP="008C22B9">
      <w:pPr>
        <w:spacing w:line="480" w:lineRule="auto"/>
        <w:jc w:val="both"/>
        <w:rPr>
          <w:rFonts w:ascii="Times New Roman" w:hAnsi="Times New Roman"/>
          <w:sz w:val="24"/>
          <w:szCs w:val="24"/>
          <w:lang w:val="en-GB"/>
        </w:rPr>
      </w:pPr>
      <w:r>
        <w:rPr>
          <w:rFonts w:ascii="Times New Roman" w:hAnsi="Times New Roman"/>
          <w:sz w:val="24"/>
          <w:szCs w:val="24"/>
          <w:lang w:val="en-GB"/>
        </w:rPr>
        <w:lastRenderedPageBreak/>
        <w:t>This</w:t>
      </w:r>
      <w:r w:rsidRPr="0002125D">
        <w:rPr>
          <w:rFonts w:ascii="Times New Roman" w:hAnsi="Times New Roman"/>
          <w:sz w:val="24"/>
          <w:szCs w:val="24"/>
          <w:lang w:val="en-GB"/>
        </w:rPr>
        <w:t xml:space="preserve"> review provide</w:t>
      </w:r>
      <w:r>
        <w:rPr>
          <w:rFonts w:ascii="Times New Roman" w:hAnsi="Times New Roman"/>
          <w:sz w:val="24"/>
          <w:szCs w:val="24"/>
          <w:lang w:val="en-GB"/>
        </w:rPr>
        <w:t>s</w:t>
      </w:r>
      <w:r w:rsidRPr="0002125D">
        <w:rPr>
          <w:rFonts w:ascii="Times New Roman" w:hAnsi="Times New Roman"/>
          <w:sz w:val="24"/>
          <w:szCs w:val="24"/>
          <w:lang w:val="en-GB"/>
        </w:rPr>
        <w:t xml:space="preserve"> an overview of current knowledge on familial hyperaldosteronism type III</w:t>
      </w:r>
      <w:r>
        <w:rPr>
          <w:rFonts w:ascii="Times New Roman" w:hAnsi="Times New Roman"/>
          <w:sz w:val="24"/>
          <w:szCs w:val="24"/>
          <w:lang w:val="en-GB"/>
        </w:rPr>
        <w:t xml:space="preserve">. </w:t>
      </w:r>
      <w:r w:rsidRPr="008C22B9">
        <w:rPr>
          <w:rFonts w:ascii="Times New Roman" w:hAnsi="Times New Roman"/>
          <w:sz w:val="24"/>
          <w:szCs w:val="24"/>
          <w:lang w:val="en-GB"/>
        </w:rPr>
        <w:t>The genetic basis, clinical phenotype and medical management are discussed and a new clinical case is described.</w:t>
      </w:r>
    </w:p>
    <w:p w14:paraId="3AC46895" w14:textId="77777777" w:rsidR="007143EE" w:rsidRPr="0002125D" w:rsidRDefault="007143EE" w:rsidP="008C22B9">
      <w:pPr>
        <w:spacing w:line="480" w:lineRule="auto"/>
        <w:jc w:val="both"/>
        <w:rPr>
          <w:rFonts w:ascii="Times New Roman" w:hAnsi="Times New Roman"/>
          <w:b/>
          <w:sz w:val="24"/>
          <w:szCs w:val="24"/>
          <w:lang w:val="en-GB"/>
        </w:rPr>
      </w:pPr>
      <w:r w:rsidRPr="0002125D">
        <w:rPr>
          <w:rFonts w:ascii="Times New Roman" w:hAnsi="Times New Roman"/>
          <w:b/>
          <w:sz w:val="24"/>
          <w:szCs w:val="24"/>
          <w:lang w:val="en-GB"/>
        </w:rPr>
        <w:t>Familial hyperaldosteronism type III</w:t>
      </w:r>
    </w:p>
    <w:p w14:paraId="3AC46896" w14:textId="77777777" w:rsidR="007143EE" w:rsidRPr="0002125D" w:rsidRDefault="007143EE" w:rsidP="00437C6F">
      <w:pPr>
        <w:spacing w:line="480" w:lineRule="auto"/>
        <w:jc w:val="both"/>
        <w:rPr>
          <w:rFonts w:ascii="Times New Roman" w:hAnsi="Times New Roman"/>
          <w:b/>
          <w:sz w:val="24"/>
          <w:szCs w:val="24"/>
          <w:lang w:val="en-GB"/>
        </w:rPr>
      </w:pPr>
      <w:r w:rsidRPr="0002125D">
        <w:rPr>
          <w:rFonts w:ascii="Times New Roman" w:hAnsi="Times New Roman"/>
          <w:b/>
          <w:sz w:val="24"/>
          <w:szCs w:val="24"/>
          <w:lang w:val="en-GB"/>
        </w:rPr>
        <w:t>Historical description</w:t>
      </w:r>
    </w:p>
    <w:p w14:paraId="3AC46897" w14:textId="77777777" w:rsidR="007143EE" w:rsidRDefault="007143EE" w:rsidP="008C22B9">
      <w:pPr>
        <w:spacing w:after="0" w:line="480" w:lineRule="auto"/>
        <w:jc w:val="both"/>
        <w:rPr>
          <w:rFonts w:ascii="Times New Roman" w:hAnsi="Times New Roman"/>
          <w:sz w:val="24"/>
          <w:szCs w:val="24"/>
          <w:lang w:val="en-GB"/>
        </w:rPr>
      </w:pPr>
      <w:r w:rsidRPr="0002125D">
        <w:rPr>
          <w:rFonts w:ascii="Times New Roman" w:hAnsi="Times New Roman"/>
          <w:sz w:val="24"/>
          <w:szCs w:val="24"/>
          <w:lang w:val="en-GB"/>
        </w:rPr>
        <w:t xml:space="preserve">The first family affected by a form of non glucocorticoid-remediable familial hyperaldosteronism (that was named FH-III) was reported by Geller et al. in 2008 </w:t>
      </w:r>
      <w:r w:rsidR="001E4B74">
        <w:rPr>
          <w:rFonts w:ascii="Times New Roman" w:hAnsi="Times New Roman"/>
          <w:sz w:val="24"/>
          <w:szCs w:val="24"/>
          <w:lang w:val="en-GB"/>
        </w:rPr>
        <w:fldChar w:fldCharType="begin" w:fldLock="1"/>
      </w:r>
      <w:r w:rsidR="00BC59ED">
        <w:rPr>
          <w:rFonts w:ascii="Times New Roman" w:hAnsi="Times New Roman"/>
          <w:sz w:val="24"/>
          <w:szCs w:val="24"/>
          <w:lang w:val="en-GB"/>
        </w:rPr>
        <w:instrText>ADDIN CSL_CITATION { "citationItems" : [ { "id" : "ITEM-1", "itemData" : { "DOI" : "10.1210/jc.2008-0594", "ISSN" : "0021972X", "PMID" : "18505761", "abstract" : "CONTEXT: Primary aldosteronism is a leading cause of secondary hypertension (HTN), but the mechanisms underlying the characteristic renin-independent secretion of aldosterone remain unknown in most patients. OBJECTIVES: We report a new familial form of aldosteronism in a father and two daughters. All were diagnosed with severe HTN refractory to medical treatment by age 7 yr. We performed a variety of clinical, biochemical, and genetic studies to attempt to clarify the underlying molecular defect. RESULTS: Biochemical studies revealed hyporeninemia, hyperaldosteronism, and very high levels of 18-oxocortisol and 18-hydroxycortisol, steroids that reflect oxidation by both steroid 17-alpha hydroxylase and aldosterone synthase. These enzymes are normally compartmentalized in the adrenal fasciculata and glomerulosa, respectively. Administration of dexamethasone failed to suppress either aldosterone or cortisol secretion; these findings distinguish this clinical syndrome from glucocorticoid-remediable aldosteronism, another autosomal dominant form of HTN, and suggest a global defect in the regulation of adrenal steroid production. Genetic studies excluded mutation at the aldosterone synthase locus, further distinguishing this disorder from glucocorticoid-remediable aldosteronism. Because of unrelenting HTN, all three subjects underwent bilateral adrenalectomy, which in each case corrected the HTN. Adrenal glands showed dramatic enlargement, with paired adrenal weights as high as 82 g. Histology revealed massive hyperplasia and cellular hypertrophy of a single cortical compartment that had features of adrenal fasciculata or a transitional zone, with an atrophic glomerulosa. CONCLUSION: These findings define a new inherited form of aldosteronism and suggest that identification of the underlying defect will provide insight into normal mechanisms regulating adrenal steroid biosynthesis.", "author" : [ { "dropping-particle" : "", "family" : "Geller", "given" : "David S.", "non-dropping-particle" : "", "parse-names" : false, "suffix" : "" }, { "dropping-particle" : "", "family" : "Zhang", "given" : "Junhui", "non-dropping-particle" : "", "parse-names" : false, "suffix" : "" }, { "dropping-particle" : "V.", "family" : "Wisgerhof", "given" : "Max", "non-dropping-particle" : "", "parse-names" : false, "suffix" : "" }, { "dropping-particle" : "", "family" : "Shackleton", "given" : "Cedric", "non-dropping-particle" : "", "parse-names" : false, "suffix" : "" }, { "dropping-particle" : "", "family" : "Kashgarian", "given" : "Michael", "non-dropping-particle" : "", "parse-names" : false, "suffix" : "" }, { "dropping-particle" : "", "family" : "Lifton", "given" : "Richard P.", "non-dropping-particle" : "", "parse-names" : false, "suffix" : "" } ], "container-title" : "Journal of Clinical Endocrinology and Metabolism", "id" : "ITEM-1", "issue" : "8", "issued" : { "date-parts" : [ [ "2008" ] ] }, "page" : "3117-3123", "title" : "A novel form of human mendelian hypertension featuring nonglucocorticoid- remediable aldosteronism", "type" : "article-journal", "volume" : "93" }, "uris" : [ "http://www.mendeley.com/documents/?uuid=ad8cedad-bc28-4fc6-a708-cf422b0b01c0" ] } ], "mendeley" : { "formattedCitation" : "(14)" }, "properties" : { "noteIndex" : 0 }, "schema" : "https://github.com/citation-style-language/schema/raw/master/csl-citation.json" }</w:instrText>
      </w:r>
      <w:r w:rsidR="001E4B74">
        <w:rPr>
          <w:rFonts w:ascii="Times New Roman" w:hAnsi="Times New Roman"/>
          <w:sz w:val="24"/>
          <w:szCs w:val="24"/>
          <w:lang w:val="en-GB"/>
        </w:rPr>
        <w:fldChar w:fldCharType="separate"/>
      </w:r>
      <w:r w:rsidR="001E4B74" w:rsidRPr="001E4B74">
        <w:rPr>
          <w:rFonts w:ascii="Times New Roman" w:hAnsi="Times New Roman"/>
          <w:noProof/>
          <w:sz w:val="24"/>
          <w:szCs w:val="24"/>
          <w:lang w:val="en-GB"/>
        </w:rPr>
        <w:t>(</w:t>
      </w:r>
      <w:r w:rsidR="00BC59ED">
        <w:rPr>
          <w:rFonts w:ascii="Times New Roman" w:hAnsi="Times New Roman"/>
          <w:noProof/>
          <w:sz w:val="24"/>
          <w:szCs w:val="24"/>
          <w:lang w:val="en-GB"/>
        </w:rPr>
        <w:t xml:space="preserve">ref. </w:t>
      </w:r>
      <w:r w:rsidR="001E4B74" w:rsidRPr="001E4B74">
        <w:rPr>
          <w:rFonts w:ascii="Times New Roman" w:hAnsi="Times New Roman"/>
          <w:noProof/>
          <w:sz w:val="24"/>
          <w:szCs w:val="24"/>
          <w:lang w:val="en-GB"/>
        </w:rPr>
        <w:t>14)</w:t>
      </w:r>
      <w:r w:rsidR="001E4B74">
        <w:rPr>
          <w:rFonts w:ascii="Times New Roman" w:hAnsi="Times New Roman"/>
          <w:sz w:val="24"/>
          <w:szCs w:val="24"/>
          <w:lang w:val="en-GB"/>
        </w:rPr>
        <w:fldChar w:fldCharType="end"/>
      </w:r>
      <w:r w:rsidRPr="0002125D">
        <w:rPr>
          <w:rFonts w:ascii="Times New Roman" w:hAnsi="Times New Roman"/>
          <w:sz w:val="24"/>
          <w:szCs w:val="24"/>
          <w:lang w:val="en-GB"/>
        </w:rPr>
        <w:t xml:space="preserve">. This family was composed </w:t>
      </w:r>
      <w:r>
        <w:rPr>
          <w:rFonts w:ascii="Times New Roman" w:hAnsi="Times New Roman"/>
          <w:sz w:val="24"/>
          <w:szCs w:val="24"/>
          <w:lang w:val="en-GB"/>
        </w:rPr>
        <w:t>of</w:t>
      </w:r>
      <w:r w:rsidRPr="0002125D">
        <w:rPr>
          <w:rFonts w:ascii="Times New Roman" w:hAnsi="Times New Roman"/>
          <w:sz w:val="24"/>
          <w:szCs w:val="24"/>
          <w:lang w:val="en-GB"/>
        </w:rPr>
        <w:t xml:space="preserve"> three affected members, a father and his two daughters. Notably, the remarkable phenotype of the index case (the father) was previously reported by </w:t>
      </w:r>
      <w:r w:rsidRPr="00F4098D">
        <w:rPr>
          <w:rFonts w:ascii="Times New Roman" w:hAnsi="Times New Roman"/>
          <w:sz w:val="24"/>
          <w:szCs w:val="24"/>
          <w:lang w:val="en-GB"/>
        </w:rPr>
        <w:t>Therien el al. in 1958</w:t>
      </w:r>
      <w:r>
        <w:rPr>
          <w:rFonts w:ascii="Times New Roman" w:hAnsi="Times New Roman"/>
          <w:sz w:val="24"/>
          <w:szCs w:val="24"/>
          <w:lang w:val="en-GB"/>
        </w:rPr>
        <w:t xml:space="preserve"> </w:t>
      </w:r>
      <w:r w:rsidR="001E4B74">
        <w:rPr>
          <w:rFonts w:ascii="Times New Roman" w:hAnsi="Times New Roman"/>
          <w:sz w:val="24"/>
          <w:szCs w:val="24"/>
          <w:lang w:val="en-GB"/>
        </w:rPr>
        <w:fldChar w:fldCharType="begin" w:fldLock="1"/>
      </w:r>
      <w:r w:rsidR="00BC59ED">
        <w:rPr>
          <w:rFonts w:ascii="Times New Roman" w:hAnsi="Times New Roman"/>
          <w:sz w:val="24"/>
          <w:szCs w:val="24"/>
          <w:lang w:val="en-GB"/>
        </w:rPr>
        <w:instrText>ADDIN CSL_CITATION { "citationItems" : [ { "id" : "ITEM-1", "itemData" : { "author" : [ { "dropping-particle" : "", "family" : "Therien", "given" : "", "non-dropping-particle" : "", "parse-names" : false, "suffix" : "" }, { "dropping-particle" : "", "family" : "Howard", "given" : "Philip J", "non-dropping-particle" : "", "parse-names" : false, "suffix" : "" }, { "dropping-particle" : "", "family" : "Hospital", "given" : "Henry Ford", "non-dropping-particle" : "", "parse-names" : false, "suffix" : "" } ], "id" : "ITEM-1", "issued" : { "date-parts" : [ [ "1958" ] ] }, "title" : "Primary Aldosteronism Due to Adrenal Hyperplasia", "type" : "article-journal" }, "uris" : [ "http://www.mendeley.com/documents/?uuid=eceab327-00fe-4ae7-a91b-10e0d71a597a" ] } ], "mendeley" : { "formattedCitation" : "(15)" }, "properties" : { "noteIndex" : 0 }, "schema" : "https://github.com/citation-style-language/schema/raw/master/csl-citation.json" }</w:instrText>
      </w:r>
      <w:r w:rsidR="001E4B74">
        <w:rPr>
          <w:rFonts w:ascii="Times New Roman" w:hAnsi="Times New Roman"/>
          <w:sz w:val="24"/>
          <w:szCs w:val="24"/>
          <w:lang w:val="en-GB"/>
        </w:rPr>
        <w:fldChar w:fldCharType="separate"/>
      </w:r>
      <w:r w:rsidR="001E4B74" w:rsidRPr="001E4B74">
        <w:rPr>
          <w:rFonts w:ascii="Times New Roman" w:hAnsi="Times New Roman"/>
          <w:noProof/>
          <w:sz w:val="24"/>
          <w:szCs w:val="24"/>
          <w:lang w:val="en-GB"/>
        </w:rPr>
        <w:t>(</w:t>
      </w:r>
      <w:r w:rsidR="00BC59ED">
        <w:rPr>
          <w:rFonts w:ascii="Times New Roman" w:hAnsi="Times New Roman"/>
          <w:noProof/>
          <w:sz w:val="24"/>
          <w:szCs w:val="24"/>
          <w:lang w:val="en-GB"/>
        </w:rPr>
        <w:t xml:space="preserve">ref. </w:t>
      </w:r>
      <w:r w:rsidR="001E4B74" w:rsidRPr="001E4B74">
        <w:rPr>
          <w:rFonts w:ascii="Times New Roman" w:hAnsi="Times New Roman"/>
          <w:noProof/>
          <w:sz w:val="24"/>
          <w:szCs w:val="24"/>
          <w:lang w:val="en-GB"/>
        </w:rPr>
        <w:t>15)</w:t>
      </w:r>
      <w:r w:rsidR="001E4B74">
        <w:rPr>
          <w:rFonts w:ascii="Times New Roman" w:hAnsi="Times New Roman"/>
          <w:sz w:val="24"/>
          <w:szCs w:val="24"/>
          <w:lang w:val="en-GB"/>
        </w:rPr>
        <w:fldChar w:fldCharType="end"/>
      </w:r>
      <w:r w:rsidRPr="0002125D">
        <w:rPr>
          <w:rFonts w:ascii="Times New Roman" w:hAnsi="Times New Roman"/>
          <w:sz w:val="24"/>
          <w:szCs w:val="24"/>
          <w:lang w:val="en-GB"/>
        </w:rPr>
        <w:t xml:space="preserve">. He presented at the age of 3 with hypertension, polyuria, polydipsia, </w:t>
      </w:r>
      <w:r>
        <w:rPr>
          <w:rFonts w:ascii="Times New Roman" w:hAnsi="Times New Roman"/>
          <w:sz w:val="24"/>
          <w:szCs w:val="24"/>
          <w:lang w:val="en-GB"/>
        </w:rPr>
        <w:t>nicturia, daily headache</w:t>
      </w:r>
      <w:r w:rsidRPr="0002125D">
        <w:rPr>
          <w:rFonts w:ascii="Times New Roman" w:hAnsi="Times New Roman"/>
          <w:sz w:val="24"/>
          <w:szCs w:val="24"/>
          <w:lang w:val="en-GB"/>
        </w:rPr>
        <w:t xml:space="preserve"> and myalgia. Blood pressure recordings at age of 5 years ranged between 160/200 mmHg for systolic blood pressure and 115/140 for diastolic blood pressure</w:t>
      </w:r>
      <w:r>
        <w:rPr>
          <w:rFonts w:ascii="Times New Roman" w:hAnsi="Times New Roman"/>
          <w:sz w:val="24"/>
          <w:szCs w:val="24"/>
          <w:lang w:val="en-GB"/>
        </w:rPr>
        <w:t xml:space="preserve"> with one reading of 300/190 mmHg recorded</w:t>
      </w:r>
      <w:r w:rsidRPr="0002125D">
        <w:rPr>
          <w:rFonts w:ascii="Times New Roman" w:hAnsi="Times New Roman"/>
          <w:sz w:val="24"/>
          <w:szCs w:val="24"/>
          <w:lang w:val="en-GB"/>
        </w:rPr>
        <w:t xml:space="preserve">. An electrocardiogram and a chest X-ray were performed and left ventricular hypertrophy was diagnosed. </w:t>
      </w:r>
      <w:r>
        <w:rPr>
          <w:rFonts w:ascii="Times New Roman" w:hAnsi="Times New Roman"/>
          <w:sz w:val="24"/>
          <w:szCs w:val="24"/>
          <w:lang w:val="en-GB"/>
        </w:rPr>
        <w:t>The remarkable biochemical findings were</w:t>
      </w:r>
      <w:r w:rsidRPr="0002125D">
        <w:rPr>
          <w:rFonts w:ascii="Times New Roman" w:hAnsi="Times New Roman"/>
          <w:sz w:val="24"/>
          <w:szCs w:val="24"/>
          <w:lang w:val="en-GB"/>
        </w:rPr>
        <w:t xml:space="preserve"> </w:t>
      </w:r>
      <w:r>
        <w:rPr>
          <w:rFonts w:ascii="Times New Roman" w:hAnsi="Times New Roman"/>
          <w:sz w:val="24"/>
          <w:szCs w:val="24"/>
          <w:lang w:val="en-GB"/>
        </w:rPr>
        <w:t xml:space="preserve">alkalosis (venous blood pH 7.47), </w:t>
      </w:r>
      <w:r w:rsidRPr="0002125D">
        <w:rPr>
          <w:rFonts w:ascii="Times New Roman" w:hAnsi="Times New Roman"/>
          <w:sz w:val="24"/>
          <w:szCs w:val="24"/>
          <w:lang w:val="en-GB"/>
        </w:rPr>
        <w:t>severe hypokalaemia (2.1-3.0 mEq/L) and elevated 24h urinary aldosterone levels (67 µg/</w:t>
      </w:r>
      <w:r w:rsidRPr="00014E77">
        <w:rPr>
          <w:rFonts w:ascii="Times New Roman" w:hAnsi="Times New Roman"/>
          <w:sz w:val="24"/>
          <w:szCs w:val="24"/>
          <w:lang w:val="en-GB"/>
        </w:rPr>
        <w:t xml:space="preserve">die, </w:t>
      </w:r>
      <w:r w:rsidRPr="00E6402E">
        <w:rPr>
          <w:rFonts w:ascii="Times New Roman" w:hAnsi="Times New Roman"/>
          <w:sz w:val="24"/>
          <w:szCs w:val="24"/>
          <w:lang w:val="en-GB"/>
        </w:rPr>
        <w:t>normal range 1-8 µg/die</w:t>
      </w:r>
      <w:r w:rsidRPr="00014E77">
        <w:rPr>
          <w:rFonts w:ascii="Times New Roman" w:hAnsi="Times New Roman"/>
          <w:sz w:val="24"/>
          <w:szCs w:val="24"/>
          <w:lang w:val="en-GB"/>
        </w:rPr>
        <w:t>). Considering</w:t>
      </w:r>
      <w:r w:rsidRPr="0002125D">
        <w:rPr>
          <w:rFonts w:ascii="Times New Roman" w:hAnsi="Times New Roman"/>
          <w:sz w:val="24"/>
          <w:szCs w:val="24"/>
          <w:lang w:val="en-GB"/>
        </w:rPr>
        <w:t xml:space="preserve"> </w:t>
      </w:r>
      <w:r>
        <w:rPr>
          <w:rFonts w:ascii="Times New Roman" w:hAnsi="Times New Roman"/>
          <w:sz w:val="24"/>
          <w:szCs w:val="24"/>
          <w:lang w:val="en-GB"/>
        </w:rPr>
        <w:t xml:space="preserve">the </w:t>
      </w:r>
      <w:r w:rsidRPr="0002125D">
        <w:rPr>
          <w:rFonts w:ascii="Times New Roman" w:hAnsi="Times New Roman"/>
          <w:sz w:val="24"/>
          <w:szCs w:val="24"/>
          <w:lang w:val="en-GB"/>
        </w:rPr>
        <w:t xml:space="preserve">clinical, </w:t>
      </w:r>
      <w:r>
        <w:rPr>
          <w:rFonts w:ascii="Times New Roman" w:hAnsi="Times New Roman"/>
          <w:sz w:val="24"/>
          <w:szCs w:val="24"/>
          <w:lang w:val="en-GB"/>
        </w:rPr>
        <w:t>h</w:t>
      </w:r>
      <w:r w:rsidRPr="0002125D">
        <w:rPr>
          <w:rFonts w:ascii="Times New Roman" w:hAnsi="Times New Roman"/>
          <w:sz w:val="24"/>
          <w:szCs w:val="24"/>
          <w:lang w:val="en-GB"/>
        </w:rPr>
        <w:t>ormonal and biochemical phenotype the boy was diagnosed with PA and underwent bilateral adren</w:t>
      </w:r>
      <w:r>
        <w:rPr>
          <w:rFonts w:ascii="Times New Roman" w:hAnsi="Times New Roman"/>
          <w:sz w:val="24"/>
          <w:szCs w:val="24"/>
          <w:lang w:val="en-GB"/>
        </w:rPr>
        <w:t>a</w:t>
      </w:r>
      <w:r w:rsidRPr="0002125D">
        <w:rPr>
          <w:rFonts w:ascii="Times New Roman" w:hAnsi="Times New Roman"/>
          <w:sz w:val="24"/>
          <w:szCs w:val="24"/>
          <w:lang w:val="en-GB"/>
        </w:rPr>
        <w:t>lec</w:t>
      </w:r>
      <w:r>
        <w:rPr>
          <w:rFonts w:ascii="Times New Roman" w:hAnsi="Times New Roman"/>
          <w:sz w:val="24"/>
          <w:szCs w:val="24"/>
          <w:lang w:val="en-GB"/>
        </w:rPr>
        <w:t>t</w:t>
      </w:r>
      <w:r w:rsidRPr="0002125D">
        <w:rPr>
          <w:rFonts w:ascii="Times New Roman" w:hAnsi="Times New Roman"/>
          <w:sz w:val="24"/>
          <w:szCs w:val="24"/>
          <w:lang w:val="en-GB"/>
        </w:rPr>
        <w:t>omy at the age of 9</w:t>
      </w:r>
      <w:r>
        <w:rPr>
          <w:rFonts w:ascii="Times New Roman" w:hAnsi="Times New Roman"/>
          <w:sz w:val="24"/>
          <w:szCs w:val="24"/>
          <w:lang w:val="en-GB"/>
        </w:rPr>
        <w:t xml:space="preserve"> years</w:t>
      </w:r>
      <w:r w:rsidRPr="0002125D">
        <w:rPr>
          <w:rFonts w:ascii="Times New Roman" w:hAnsi="Times New Roman"/>
          <w:sz w:val="24"/>
          <w:szCs w:val="24"/>
          <w:lang w:val="en-GB"/>
        </w:rPr>
        <w:t>. Histopathological examination revealed bilateral enlargement of the adrenal glands</w:t>
      </w:r>
      <w:r>
        <w:rPr>
          <w:rFonts w:ascii="Times New Roman" w:hAnsi="Times New Roman"/>
          <w:sz w:val="24"/>
          <w:szCs w:val="24"/>
          <w:lang w:val="en-GB"/>
        </w:rPr>
        <w:t xml:space="preserve">, </w:t>
      </w:r>
      <w:r w:rsidRPr="0014226E">
        <w:rPr>
          <w:rFonts w:ascii="Times New Roman" w:hAnsi="Times New Roman"/>
          <w:sz w:val="24"/>
          <w:szCs w:val="24"/>
          <w:lang w:val="en-GB"/>
        </w:rPr>
        <w:t>with</w:t>
      </w:r>
      <w:r>
        <w:rPr>
          <w:rFonts w:ascii="Times New Roman" w:hAnsi="Times New Roman"/>
          <w:sz w:val="24"/>
          <w:szCs w:val="24"/>
          <w:lang w:val="en-GB"/>
        </w:rPr>
        <w:t xml:space="preserve"> </w:t>
      </w:r>
      <w:r w:rsidRPr="0014226E">
        <w:rPr>
          <w:rFonts w:ascii="Times New Roman" w:hAnsi="Times New Roman"/>
          <w:sz w:val="24"/>
          <w:szCs w:val="24"/>
          <w:lang w:val="en-GB"/>
        </w:rPr>
        <w:t>the</w:t>
      </w:r>
      <w:r>
        <w:rPr>
          <w:rFonts w:ascii="Times New Roman" w:hAnsi="Times New Roman"/>
          <w:sz w:val="24"/>
          <w:szCs w:val="24"/>
          <w:lang w:val="en-GB"/>
        </w:rPr>
        <w:t xml:space="preserve"> </w:t>
      </w:r>
      <w:r w:rsidRPr="0014226E">
        <w:rPr>
          <w:rFonts w:ascii="Times New Roman" w:hAnsi="Times New Roman"/>
          <w:sz w:val="24"/>
          <w:szCs w:val="24"/>
          <w:lang w:val="en-GB"/>
        </w:rPr>
        <w:t>right</w:t>
      </w:r>
      <w:r>
        <w:rPr>
          <w:rFonts w:ascii="Times New Roman" w:hAnsi="Times New Roman"/>
          <w:sz w:val="24"/>
          <w:szCs w:val="24"/>
          <w:lang w:val="en-GB"/>
        </w:rPr>
        <w:t xml:space="preserve"> </w:t>
      </w:r>
      <w:r w:rsidRPr="0014226E">
        <w:rPr>
          <w:rFonts w:ascii="Times New Roman" w:hAnsi="Times New Roman"/>
          <w:sz w:val="24"/>
          <w:szCs w:val="24"/>
          <w:lang w:val="en-GB"/>
        </w:rPr>
        <w:t>adrenal</w:t>
      </w:r>
      <w:r>
        <w:rPr>
          <w:rFonts w:ascii="Times New Roman" w:hAnsi="Times New Roman"/>
          <w:sz w:val="24"/>
          <w:szCs w:val="24"/>
          <w:lang w:val="en-GB"/>
        </w:rPr>
        <w:t xml:space="preserve"> </w:t>
      </w:r>
      <w:r w:rsidRPr="0014226E">
        <w:rPr>
          <w:rFonts w:ascii="Times New Roman" w:hAnsi="Times New Roman"/>
          <w:sz w:val="24"/>
          <w:szCs w:val="24"/>
          <w:lang w:val="en-GB"/>
        </w:rPr>
        <w:t>weighing</w:t>
      </w:r>
      <w:r>
        <w:rPr>
          <w:rFonts w:ascii="Times New Roman" w:hAnsi="Times New Roman"/>
          <w:sz w:val="24"/>
          <w:szCs w:val="24"/>
          <w:lang w:val="en-GB"/>
        </w:rPr>
        <w:t xml:space="preserve"> </w:t>
      </w:r>
      <w:smartTag w:uri="urn:schemas-microsoft-com:office:smarttags" w:element="metricconverter">
        <w:smartTagPr>
          <w:attr w:name="ProductID" w:val="10 mm"/>
        </w:smartTagPr>
        <w:r w:rsidRPr="0014226E">
          <w:rPr>
            <w:rFonts w:ascii="Times New Roman" w:hAnsi="Times New Roman"/>
            <w:sz w:val="24"/>
            <w:szCs w:val="24"/>
            <w:lang w:val="en-GB"/>
          </w:rPr>
          <w:t>8.0</w:t>
        </w:r>
        <w:r>
          <w:rPr>
            <w:rFonts w:ascii="Times New Roman" w:hAnsi="Times New Roman"/>
            <w:sz w:val="24"/>
            <w:szCs w:val="24"/>
            <w:lang w:val="en-GB"/>
          </w:rPr>
          <w:t xml:space="preserve"> </w:t>
        </w:r>
        <w:r w:rsidRPr="0014226E">
          <w:rPr>
            <w:rFonts w:ascii="Times New Roman" w:hAnsi="Times New Roman"/>
            <w:sz w:val="24"/>
            <w:szCs w:val="24"/>
            <w:lang w:val="en-GB"/>
          </w:rPr>
          <w:t>g</w:t>
        </w:r>
      </w:smartTag>
      <w:r>
        <w:rPr>
          <w:rFonts w:ascii="Times New Roman" w:hAnsi="Times New Roman"/>
          <w:sz w:val="24"/>
          <w:szCs w:val="24"/>
          <w:lang w:val="en-GB"/>
        </w:rPr>
        <w:t xml:space="preserve"> </w:t>
      </w:r>
      <w:r w:rsidRPr="0014226E">
        <w:rPr>
          <w:rFonts w:ascii="Times New Roman" w:hAnsi="Times New Roman"/>
          <w:sz w:val="24"/>
          <w:szCs w:val="24"/>
          <w:lang w:val="en-GB"/>
        </w:rPr>
        <w:t>and</w:t>
      </w:r>
      <w:r>
        <w:rPr>
          <w:rFonts w:ascii="Times New Roman" w:hAnsi="Times New Roman"/>
          <w:sz w:val="24"/>
          <w:szCs w:val="24"/>
          <w:lang w:val="en-GB"/>
        </w:rPr>
        <w:t xml:space="preserve"> </w:t>
      </w:r>
      <w:r w:rsidRPr="0014226E">
        <w:rPr>
          <w:rFonts w:ascii="Times New Roman" w:hAnsi="Times New Roman"/>
          <w:sz w:val="24"/>
          <w:szCs w:val="24"/>
          <w:lang w:val="en-GB"/>
        </w:rPr>
        <w:t>the left</w:t>
      </w:r>
      <w:r>
        <w:rPr>
          <w:rFonts w:ascii="Times New Roman" w:hAnsi="Times New Roman"/>
          <w:sz w:val="24"/>
          <w:szCs w:val="24"/>
          <w:lang w:val="en-GB"/>
        </w:rPr>
        <w:t xml:space="preserve"> </w:t>
      </w:r>
      <w:smartTag w:uri="urn:schemas-microsoft-com:office:smarttags" w:element="metricconverter">
        <w:smartTagPr>
          <w:attr w:name="ProductID" w:val="10 mm"/>
        </w:smartTagPr>
        <w:r w:rsidRPr="0014226E">
          <w:rPr>
            <w:rFonts w:ascii="Times New Roman" w:hAnsi="Times New Roman"/>
            <w:sz w:val="24"/>
            <w:szCs w:val="24"/>
            <w:lang w:val="en-GB"/>
          </w:rPr>
          <w:t>9.0</w:t>
        </w:r>
        <w:r>
          <w:rPr>
            <w:rFonts w:ascii="Times New Roman" w:hAnsi="Times New Roman"/>
            <w:sz w:val="24"/>
            <w:szCs w:val="24"/>
            <w:lang w:val="en-GB"/>
          </w:rPr>
          <w:t xml:space="preserve"> g</w:t>
        </w:r>
      </w:smartTag>
      <w:r>
        <w:rPr>
          <w:rFonts w:ascii="Times New Roman" w:hAnsi="Times New Roman"/>
          <w:sz w:val="24"/>
          <w:szCs w:val="24"/>
          <w:lang w:val="en-GB"/>
        </w:rPr>
        <w:t xml:space="preserve"> together with</w:t>
      </w:r>
      <w:r w:rsidRPr="0002125D">
        <w:rPr>
          <w:rFonts w:ascii="Times New Roman" w:hAnsi="Times New Roman"/>
          <w:sz w:val="24"/>
          <w:szCs w:val="24"/>
          <w:lang w:val="en-GB"/>
        </w:rPr>
        <w:t xml:space="preserve"> marked nodular hyperplasia of the </w:t>
      </w:r>
      <w:r w:rsidRPr="0002125D">
        <w:rPr>
          <w:rFonts w:ascii="Times New Roman" w:hAnsi="Times New Roman"/>
          <w:i/>
          <w:sz w:val="24"/>
          <w:szCs w:val="24"/>
          <w:lang w:val="en-GB"/>
        </w:rPr>
        <w:t>zona fasciculata</w:t>
      </w:r>
      <w:r>
        <w:rPr>
          <w:rFonts w:ascii="Times New Roman" w:hAnsi="Times New Roman"/>
          <w:sz w:val="24"/>
          <w:szCs w:val="24"/>
          <w:lang w:val="en-GB"/>
        </w:rPr>
        <w:t xml:space="preserve">. After surgery, </w:t>
      </w:r>
      <w:r w:rsidRPr="0002125D">
        <w:rPr>
          <w:rFonts w:ascii="Times New Roman" w:hAnsi="Times New Roman"/>
          <w:sz w:val="24"/>
          <w:szCs w:val="24"/>
          <w:lang w:val="en-GB"/>
        </w:rPr>
        <w:t xml:space="preserve">blood pressure, plasma potassium levels and diuresis normalized within two weeks </w:t>
      </w:r>
      <w:r w:rsidR="001E4B74">
        <w:rPr>
          <w:rFonts w:ascii="Times New Roman" w:hAnsi="Times New Roman"/>
          <w:sz w:val="24"/>
          <w:szCs w:val="24"/>
          <w:lang w:val="en-GB"/>
        </w:rPr>
        <w:fldChar w:fldCharType="begin" w:fldLock="1"/>
      </w:r>
      <w:r w:rsidR="00355209">
        <w:rPr>
          <w:rFonts w:ascii="Times New Roman" w:hAnsi="Times New Roman"/>
          <w:sz w:val="24"/>
          <w:szCs w:val="24"/>
          <w:lang w:val="en-GB"/>
        </w:rPr>
        <w:instrText>ADDIN CSL_CITATION { "citationItems" : [ { "id" : "ITEM-1", "itemData" : { "author" : [ { "dropping-particle" : "", "family" : "Therien", "given" : "", "non-dropping-particle" : "", "parse-names" : false, "suffix" : "" }, { "dropping-particle" : "", "family" : "Howard", "given" : "Philip J", "non-dropping-particle" : "", "parse-names" : false, "suffix" : "" }, { "dropping-particle" : "", "family" : "Hospital", "given" : "Henry Ford", "non-dropping-particle" : "", "parse-names" : false, "suffix" : "" } ], "id" : "ITEM-1", "issued" : { "date-parts" : [ [ "1958" ] ] }, "title" : "Primary Aldosteronism Due to Adrenal Hyperplasia", "type" : "article-journal" }, "uris" : [ "http://www.mendeley.com/documents/?uuid=eceab327-00fe-4ae7-a91b-10e0d71a597a" ] } ], "mendeley" : { "formattedCitation" : "(15)", "plainTextFormattedCitation" : "(15)", "previouslyFormattedCitation" : "(15)" }, "properties" : { "noteIndex" : 0 }, "schema" : "https://github.com/citation-style-language/schema/raw/master/csl-citation.json" }</w:instrText>
      </w:r>
      <w:r w:rsidR="001E4B74">
        <w:rPr>
          <w:rFonts w:ascii="Times New Roman" w:hAnsi="Times New Roman"/>
          <w:sz w:val="24"/>
          <w:szCs w:val="24"/>
          <w:lang w:val="en-GB"/>
        </w:rPr>
        <w:fldChar w:fldCharType="separate"/>
      </w:r>
      <w:r w:rsidR="001E4B74" w:rsidRPr="001E4B74">
        <w:rPr>
          <w:rFonts w:ascii="Times New Roman" w:hAnsi="Times New Roman"/>
          <w:noProof/>
          <w:sz w:val="24"/>
          <w:szCs w:val="24"/>
          <w:lang w:val="en-GB"/>
        </w:rPr>
        <w:t>(15)</w:t>
      </w:r>
      <w:r w:rsidR="001E4B74">
        <w:rPr>
          <w:rFonts w:ascii="Times New Roman" w:hAnsi="Times New Roman"/>
          <w:sz w:val="24"/>
          <w:szCs w:val="24"/>
          <w:lang w:val="en-GB"/>
        </w:rPr>
        <w:fldChar w:fldCharType="end"/>
      </w:r>
      <w:r w:rsidRPr="0002125D">
        <w:rPr>
          <w:rFonts w:ascii="Times New Roman" w:hAnsi="Times New Roman"/>
          <w:sz w:val="24"/>
          <w:szCs w:val="24"/>
          <w:lang w:val="en-GB"/>
        </w:rPr>
        <w:t xml:space="preserve">. Twenty-six years later, the two daughters of </w:t>
      </w:r>
      <w:r>
        <w:rPr>
          <w:rFonts w:ascii="Times New Roman" w:hAnsi="Times New Roman"/>
          <w:sz w:val="24"/>
          <w:szCs w:val="24"/>
          <w:lang w:val="en-GB"/>
        </w:rPr>
        <w:t xml:space="preserve">the </w:t>
      </w:r>
      <w:r w:rsidRPr="0002125D">
        <w:rPr>
          <w:rFonts w:ascii="Times New Roman" w:hAnsi="Times New Roman"/>
          <w:sz w:val="24"/>
          <w:szCs w:val="24"/>
          <w:lang w:val="en-GB"/>
        </w:rPr>
        <w:t xml:space="preserve">index case came to medical attention because of early onset severe hypertension </w:t>
      </w:r>
      <w:r w:rsidR="001E4B74">
        <w:rPr>
          <w:rFonts w:ascii="Times New Roman" w:hAnsi="Times New Roman"/>
          <w:sz w:val="24"/>
          <w:szCs w:val="24"/>
          <w:lang w:val="en-GB"/>
        </w:rPr>
        <w:fldChar w:fldCharType="begin" w:fldLock="1"/>
      </w:r>
      <w:r w:rsidR="001E4B74">
        <w:rPr>
          <w:rFonts w:ascii="Times New Roman" w:hAnsi="Times New Roman"/>
          <w:sz w:val="24"/>
          <w:szCs w:val="24"/>
          <w:lang w:val="en-GB"/>
        </w:rPr>
        <w:instrText>ADDIN CSL_CITATION { "citationItems" : [ { "id" : "ITEM-1", "itemData" : { "DOI" : "10.1210/jc.2008-0594", "ISSN" : "0021972X", "PMID" : "18505761", "abstract" : "CONTEXT: Primary aldosteronism is a leading cause of secondary hypertension (HTN), but the mechanisms underlying the characteristic renin-independent secretion of aldosterone remain unknown in most patients. OBJECTIVES: We report a new familial form of aldosteronism in a father and two daughters. All were diagnosed with severe HTN refractory to medical treatment by age 7 yr. We performed a variety of clinical, biochemical, and genetic studies to attempt to clarify the underlying molecular defect. RESULTS: Biochemical studies revealed hyporeninemia, hyperaldosteronism, and very high levels of 18-oxocortisol and 18-hydroxycortisol, steroids that reflect oxidation by both steroid 17-alpha hydroxylase and aldosterone synthase. These enzymes are normally compartmentalized in the adrenal fasciculata and glomerulosa, respectively. Administration of dexamethasone failed to suppress either aldosterone or cortisol secretion; these findings distinguish this clinical syndrome from glucocorticoid-remediable aldosteronism, another autosomal dominant form of HTN, and suggest a global defect in the regulation of adrenal steroid production. Genetic studies excluded mutation at the aldosterone synthase locus, further distinguishing this disorder from glucocorticoid-remediable aldosteronism. Because of unrelenting HTN, all three subjects underwent bilateral adrenalectomy, which in each case corrected the HTN. Adrenal glands showed dramatic enlargement, with paired adrenal weights as high as 82 g. Histology revealed massive hyperplasia and cellular hypertrophy of a single cortical compartment that had features of adrenal fasciculata or a transitional zone, with an atrophic glomerulosa. CONCLUSION: These findings define a new inherited form of aldosteronism and suggest that identification of the underlying defect will provide insight into normal mechanisms regulating adrenal steroid biosynthesis.", "author" : [ { "dropping-particle" : "", "family" : "Geller", "given" : "David S.", "non-dropping-particle" : "", "parse-names" : false, "suffix" : "" }, { "dropping-particle" : "", "family" : "Zhang", "given" : "Junhui", "non-dropping-particle" : "", "parse-names" : false, "suffix" : "" }, { "dropping-particle" : "V.", "family" : "Wisgerhof", "given" : "Max", "non-dropping-particle" : "", "parse-names" : false, "suffix" : "" }, { "dropping-particle" : "", "family" : "Shackleton", "given" : "Cedric", "non-dropping-particle" : "", "parse-names" : false, "suffix" : "" }, { "dropping-particle" : "", "family" : "Kashgarian", "given" : "Michael", "non-dropping-particle" : "", "parse-names" : false, "suffix" : "" }, { "dropping-particle" : "", "family" : "Lifton", "given" : "Richard P.", "non-dropping-particle" : "", "parse-names" : false, "suffix" : "" } ], "container-title" : "Journal of Clinical Endocrinology and Metabolism", "id" : "ITEM-1", "issue" : "8", "issued" : { "date-parts" : [ [ "2008" ] ] }, "page" : "3117-3123", "title" : "A novel form of human mendelian hypertension featuring nonglucocorticoid- remediable aldosteronism", "type" : "article-journal", "volume" : "93" }, "uris" : [ "http://www.mendeley.com/documents/?uuid=ad8cedad-bc28-4fc6-a708-cf422b0b01c0" ] } ], "mendeley" : { "formattedCitation" : "(14)", "plainTextFormattedCitation" : "(14)", "previouslyFormattedCitation" : "(14)" }, "properties" : { "noteIndex" : 0 }, "schema" : "https://github.com/citation-style-language/schema/raw/master/csl-citation.json" }</w:instrText>
      </w:r>
      <w:r w:rsidR="001E4B74">
        <w:rPr>
          <w:rFonts w:ascii="Times New Roman" w:hAnsi="Times New Roman"/>
          <w:sz w:val="24"/>
          <w:szCs w:val="24"/>
          <w:lang w:val="en-GB"/>
        </w:rPr>
        <w:fldChar w:fldCharType="separate"/>
      </w:r>
      <w:r w:rsidR="001E4B74" w:rsidRPr="001E4B74">
        <w:rPr>
          <w:rFonts w:ascii="Times New Roman" w:hAnsi="Times New Roman"/>
          <w:noProof/>
          <w:sz w:val="24"/>
          <w:szCs w:val="24"/>
          <w:lang w:val="en-GB"/>
        </w:rPr>
        <w:t>(14)</w:t>
      </w:r>
      <w:r w:rsidR="001E4B74">
        <w:rPr>
          <w:rFonts w:ascii="Times New Roman" w:hAnsi="Times New Roman"/>
          <w:sz w:val="24"/>
          <w:szCs w:val="24"/>
          <w:lang w:val="en-GB"/>
        </w:rPr>
        <w:fldChar w:fldCharType="end"/>
      </w:r>
      <w:r w:rsidRPr="0002125D">
        <w:rPr>
          <w:rFonts w:ascii="Times New Roman" w:hAnsi="Times New Roman"/>
          <w:sz w:val="24"/>
          <w:szCs w:val="24"/>
          <w:lang w:val="en-GB"/>
        </w:rPr>
        <w:t>. They were aged 7 and 4 years and blood pressure reported values were 188/140 and 148/114 mmHg respectively. Biochemical and hormonal phe</w:t>
      </w:r>
      <w:r>
        <w:rPr>
          <w:rFonts w:ascii="Times New Roman" w:hAnsi="Times New Roman"/>
          <w:sz w:val="24"/>
          <w:szCs w:val="24"/>
          <w:lang w:val="en-GB"/>
        </w:rPr>
        <w:t>notype were</w:t>
      </w:r>
      <w:r w:rsidRPr="0002125D">
        <w:rPr>
          <w:rFonts w:ascii="Times New Roman" w:hAnsi="Times New Roman"/>
          <w:sz w:val="24"/>
          <w:szCs w:val="24"/>
          <w:lang w:val="en-GB"/>
        </w:rPr>
        <w:t xml:space="preserve"> characterized by low plasma potassium levels (&lt;2 mEq/L for both sisters) and high aldosterone </w:t>
      </w:r>
      <w:r w:rsidRPr="0002125D">
        <w:rPr>
          <w:rFonts w:ascii="Times New Roman" w:hAnsi="Times New Roman"/>
          <w:sz w:val="24"/>
          <w:szCs w:val="24"/>
          <w:lang w:val="en-GB"/>
        </w:rPr>
        <w:lastRenderedPageBreak/>
        <w:t xml:space="preserve">levels (up to 185 ng/dL) despite suppressed PRA. </w:t>
      </w:r>
      <w:r>
        <w:rPr>
          <w:rFonts w:ascii="Times New Roman" w:hAnsi="Times New Roman"/>
          <w:sz w:val="24"/>
          <w:szCs w:val="24"/>
          <w:lang w:val="en-GB"/>
        </w:rPr>
        <w:t>To rule out</w:t>
      </w:r>
      <w:r w:rsidRPr="0002125D">
        <w:rPr>
          <w:rFonts w:ascii="Times New Roman" w:hAnsi="Times New Roman"/>
          <w:sz w:val="24"/>
          <w:szCs w:val="24"/>
          <w:lang w:val="en-GB"/>
        </w:rPr>
        <w:t xml:space="preserve"> </w:t>
      </w:r>
      <w:r>
        <w:rPr>
          <w:rFonts w:ascii="Times New Roman" w:hAnsi="Times New Roman"/>
          <w:sz w:val="24"/>
          <w:szCs w:val="24"/>
          <w:lang w:val="en-GB"/>
        </w:rPr>
        <w:t>FH-I</w:t>
      </w:r>
      <w:r w:rsidRPr="0002125D">
        <w:rPr>
          <w:rFonts w:ascii="Times New Roman" w:hAnsi="Times New Roman"/>
          <w:sz w:val="24"/>
          <w:szCs w:val="24"/>
          <w:lang w:val="en-GB"/>
        </w:rPr>
        <w:t>, the two girl</w:t>
      </w:r>
      <w:r>
        <w:rPr>
          <w:rFonts w:ascii="Times New Roman" w:hAnsi="Times New Roman"/>
          <w:sz w:val="24"/>
          <w:szCs w:val="24"/>
          <w:lang w:val="en-GB"/>
        </w:rPr>
        <w:t>s</w:t>
      </w:r>
      <w:r w:rsidRPr="0002125D">
        <w:rPr>
          <w:rFonts w:ascii="Times New Roman" w:hAnsi="Times New Roman"/>
          <w:sz w:val="24"/>
          <w:szCs w:val="24"/>
          <w:lang w:val="en-GB"/>
        </w:rPr>
        <w:t xml:space="preserve"> were hospitalized and underwent a 3-weeks dexamethasone suppression test. Unexpectedly, not on</w:t>
      </w:r>
      <w:r>
        <w:rPr>
          <w:rFonts w:ascii="Times New Roman" w:hAnsi="Times New Roman"/>
          <w:sz w:val="24"/>
          <w:szCs w:val="24"/>
          <w:lang w:val="en-GB"/>
        </w:rPr>
        <w:t>ly</w:t>
      </w:r>
      <w:r w:rsidRPr="0002125D">
        <w:rPr>
          <w:rFonts w:ascii="Times New Roman" w:hAnsi="Times New Roman"/>
          <w:sz w:val="24"/>
          <w:szCs w:val="24"/>
          <w:lang w:val="en-GB"/>
        </w:rPr>
        <w:t xml:space="preserve"> blood pressure and plasma aldosterone levels</w:t>
      </w:r>
      <w:r>
        <w:rPr>
          <w:rFonts w:ascii="Times New Roman" w:hAnsi="Times New Roman"/>
          <w:sz w:val="24"/>
          <w:szCs w:val="24"/>
          <w:lang w:val="en-GB"/>
        </w:rPr>
        <w:t xml:space="preserve"> failed to be normalized by dexamethasone,</w:t>
      </w:r>
      <w:r w:rsidRPr="0002125D">
        <w:rPr>
          <w:rFonts w:ascii="Times New Roman" w:hAnsi="Times New Roman"/>
          <w:sz w:val="24"/>
          <w:szCs w:val="24"/>
          <w:lang w:val="en-GB"/>
        </w:rPr>
        <w:t xml:space="preserve"> but </w:t>
      </w:r>
      <w:r>
        <w:rPr>
          <w:rFonts w:ascii="Times New Roman" w:hAnsi="Times New Roman"/>
          <w:sz w:val="24"/>
          <w:szCs w:val="24"/>
          <w:lang w:val="en-GB"/>
        </w:rPr>
        <w:t>showed</w:t>
      </w:r>
      <w:r w:rsidRPr="0002125D">
        <w:rPr>
          <w:rFonts w:ascii="Times New Roman" w:hAnsi="Times New Roman"/>
          <w:sz w:val="24"/>
          <w:szCs w:val="24"/>
          <w:lang w:val="en-GB"/>
        </w:rPr>
        <w:t xml:space="preserve"> a paradoxical progressive increase</w:t>
      </w:r>
      <w:r>
        <w:rPr>
          <w:rFonts w:ascii="Times New Roman" w:hAnsi="Times New Roman"/>
          <w:sz w:val="24"/>
          <w:szCs w:val="24"/>
          <w:lang w:val="en-GB"/>
        </w:rPr>
        <w:t xml:space="preserve"> during glucocorticoid administration</w:t>
      </w:r>
      <w:r w:rsidRPr="0002125D">
        <w:rPr>
          <w:rFonts w:ascii="Times New Roman" w:hAnsi="Times New Roman"/>
          <w:sz w:val="24"/>
          <w:szCs w:val="24"/>
          <w:lang w:val="en-GB"/>
        </w:rPr>
        <w:t xml:space="preserve">, while PRA remained suppressed.  The two girls were then lost at follow up, but presented again 11 years later with severe hypertension and hypokalaemia resistant to multidrug therapy, </w:t>
      </w:r>
      <w:r>
        <w:rPr>
          <w:rFonts w:ascii="Times New Roman" w:hAnsi="Times New Roman"/>
          <w:sz w:val="24"/>
          <w:szCs w:val="24"/>
          <w:lang w:val="en-GB"/>
        </w:rPr>
        <w:t>including spironolactone and</w:t>
      </w:r>
      <w:r w:rsidRPr="0002125D">
        <w:rPr>
          <w:rFonts w:ascii="Times New Roman" w:hAnsi="Times New Roman"/>
          <w:sz w:val="24"/>
          <w:szCs w:val="24"/>
          <w:lang w:val="en-GB"/>
        </w:rPr>
        <w:t xml:space="preserve"> potassium supplementation </w:t>
      </w:r>
      <w:r w:rsidR="001E4B74">
        <w:rPr>
          <w:rFonts w:ascii="Times New Roman" w:hAnsi="Times New Roman"/>
          <w:sz w:val="24"/>
          <w:szCs w:val="24"/>
          <w:lang w:val="en-GB"/>
        </w:rPr>
        <w:fldChar w:fldCharType="begin" w:fldLock="1"/>
      </w:r>
      <w:r w:rsidR="001E4B74">
        <w:rPr>
          <w:rFonts w:ascii="Times New Roman" w:hAnsi="Times New Roman"/>
          <w:sz w:val="24"/>
          <w:szCs w:val="24"/>
          <w:lang w:val="en-GB"/>
        </w:rPr>
        <w:instrText>ADDIN CSL_CITATION { "citationItems" : [ { "id" : "ITEM-1", "itemData" : { "DOI" : "10.1210/jc.2008-0594", "ISSN" : "0021972X", "PMID" : "18505761", "abstract" : "CONTEXT: Primary aldosteronism is a leading cause of secondary hypertension (HTN), but the mechanisms underlying the characteristic renin-independent secretion of aldosterone remain unknown in most patients. OBJECTIVES: We report a new familial form of aldosteronism in a father and two daughters. All were diagnosed with severe HTN refractory to medical treatment by age 7 yr. We performed a variety of clinical, biochemical, and genetic studies to attempt to clarify the underlying molecular defect. RESULTS: Biochemical studies revealed hyporeninemia, hyperaldosteronism, and very high levels of 18-oxocortisol and 18-hydroxycortisol, steroids that reflect oxidation by both steroid 17-alpha hydroxylase and aldosterone synthase. These enzymes are normally compartmentalized in the adrenal fasciculata and glomerulosa, respectively. Administration of dexamethasone failed to suppress either aldosterone or cortisol secretion; these findings distinguish this clinical syndrome from glucocorticoid-remediable aldosteronism, another autosomal dominant form of HTN, and suggest a global defect in the regulation of adrenal steroid production. Genetic studies excluded mutation at the aldosterone synthase locus, further distinguishing this disorder from glucocorticoid-remediable aldosteronism. Because of unrelenting HTN, all three subjects underwent bilateral adrenalectomy, which in each case corrected the HTN. Adrenal glands showed dramatic enlargement, with paired adrenal weights as high as 82 g. Histology revealed massive hyperplasia and cellular hypertrophy of a single cortical compartment that had features of adrenal fasciculata or a transitional zone, with an atrophic glomerulosa. CONCLUSION: These findings define a new inherited form of aldosteronism and suggest that identification of the underlying defect will provide insight into normal mechanisms regulating adrenal steroid biosynthesis.", "author" : [ { "dropping-particle" : "", "family" : "Geller", "given" : "David S.", "non-dropping-particle" : "", "parse-names" : false, "suffix" : "" }, { "dropping-particle" : "", "family" : "Zhang", "given" : "Junhui", "non-dropping-particle" : "", "parse-names" : false, "suffix" : "" }, { "dropping-particle" : "V.", "family" : "Wisgerhof", "given" : "Max", "non-dropping-particle" : "", "parse-names" : false, "suffix" : "" }, { "dropping-particle" : "", "family" : "Shackleton", "given" : "Cedric", "non-dropping-particle" : "", "parse-names" : false, "suffix" : "" }, { "dropping-particle" : "", "family" : "Kashgarian", "given" : "Michael", "non-dropping-particle" : "", "parse-names" : false, "suffix" : "" }, { "dropping-particle" : "", "family" : "Lifton", "given" : "Richard P.", "non-dropping-particle" : "", "parse-names" : false, "suffix" : "" } ], "container-title" : "Journal of Clinical Endocrinology and Metabolism", "id" : "ITEM-1", "issue" : "8", "issued" : { "date-parts" : [ [ "2008" ] ] }, "page" : "3117-3123", "title" : "A novel form of human mendelian hypertension featuring nonglucocorticoid- remediable aldosteronism", "type" : "article-journal", "volume" : "93" }, "uris" : [ "http://www.mendeley.com/documents/?uuid=ad8cedad-bc28-4fc6-a708-cf422b0b01c0" ] } ], "mendeley" : { "formattedCitation" : "(14)", "plainTextFormattedCitation" : "(14)", "previouslyFormattedCitation" : "(14)" }, "properties" : { "noteIndex" : 0 }, "schema" : "https://github.com/citation-style-language/schema/raw/master/csl-citation.json" }</w:instrText>
      </w:r>
      <w:r w:rsidR="001E4B74">
        <w:rPr>
          <w:rFonts w:ascii="Times New Roman" w:hAnsi="Times New Roman"/>
          <w:sz w:val="24"/>
          <w:szCs w:val="24"/>
          <w:lang w:val="en-GB"/>
        </w:rPr>
        <w:fldChar w:fldCharType="separate"/>
      </w:r>
      <w:r w:rsidR="001E4B74" w:rsidRPr="001E4B74">
        <w:rPr>
          <w:rFonts w:ascii="Times New Roman" w:hAnsi="Times New Roman"/>
          <w:noProof/>
          <w:sz w:val="24"/>
          <w:szCs w:val="24"/>
          <w:lang w:val="en-GB"/>
        </w:rPr>
        <w:t>(14)</w:t>
      </w:r>
      <w:r w:rsidR="001E4B74">
        <w:rPr>
          <w:rFonts w:ascii="Times New Roman" w:hAnsi="Times New Roman"/>
          <w:sz w:val="24"/>
          <w:szCs w:val="24"/>
          <w:lang w:val="en-GB"/>
        </w:rPr>
        <w:fldChar w:fldCharType="end"/>
      </w:r>
      <w:r w:rsidRPr="0002125D">
        <w:rPr>
          <w:rFonts w:ascii="Times New Roman" w:hAnsi="Times New Roman"/>
          <w:sz w:val="24"/>
          <w:szCs w:val="24"/>
          <w:lang w:val="en-GB"/>
        </w:rPr>
        <w:t>. Plasma steroid profiling revealed suppressed ACTH levels and cortisol levels in normal range, marked elevations of desoxy</w:t>
      </w:r>
      <w:r>
        <w:rPr>
          <w:rFonts w:ascii="Times New Roman" w:hAnsi="Times New Roman"/>
          <w:sz w:val="24"/>
          <w:szCs w:val="24"/>
          <w:lang w:val="en-GB"/>
        </w:rPr>
        <w:t>corticosterone, 18-hydroxy</w:t>
      </w:r>
      <w:r w:rsidRPr="0002125D">
        <w:rPr>
          <w:rFonts w:ascii="Times New Roman" w:hAnsi="Times New Roman"/>
          <w:sz w:val="24"/>
          <w:szCs w:val="24"/>
          <w:lang w:val="en-GB"/>
        </w:rPr>
        <w:t>corticosterone and minor elevations in corticosterone levels; urinary steroid excretion demonstrated normal free cortisone and cortisol and extremely elevated excretion of unconjugated 18-hydroxycortisol (6126 and 3432 µg/d) and 18</w:t>
      </w:r>
      <w:r>
        <w:rPr>
          <w:rFonts w:ascii="Times New Roman" w:hAnsi="Times New Roman"/>
          <w:sz w:val="24"/>
          <w:szCs w:val="24"/>
          <w:lang w:val="en-GB"/>
        </w:rPr>
        <w:t>-</w:t>
      </w:r>
      <w:r w:rsidRPr="0002125D">
        <w:rPr>
          <w:rFonts w:ascii="Times New Roman" w:hAnsi="Times New Roman"/>
          <w:sz w:val="24"/>
          <w:szCs w:val="24"/>
          <w:lang w:val="en-GB"/>
        </w:rPr>
        <w:t xml:space="preserve">oxocortisol (250 and 200 µg/d). Due to the marked increase in hybrid steroids a second dexamethasone suppression test was performed, which failed again to normalize </w:t>
      </w:r>
      <w:r>
        <w:rPr>
          <w:rFonts w:ascii="Times New Roman" w:hAnsi="Times New Roman"/>
          <w:sz w:val="24"/>
          <w:szCs w:val="24"/>
          <w:lang w:val="en-GB"/>
        </w:rPr>
        <w:t xml:space="preserve">blood pressure </w:t>
      </w:r>
      <w:r w:rsidRPr="0002125D">
        <w:rPr>
          <w:rFonts w:ascii="Times New Roman" w:hAnsi="Times New Roman"/>
          <w:sz w:val="24"/>
          <w:szCs w:val="24"/>
          <w:lang w:val="en-GB"/>
        </w:rPr>
        <w:t>and caus</w:t>
      </w:r>
      <w:r>
        <w:rPr>
          <w:rFonts w:ascii="Times New Roman" w:hAnsi="Times New Roman"/>
          <w:sz w:val="24"/>
          <w:szCs w:val="24"/>
          <w:lang w:val="en-GB"/>
        </w:rPr>
        <w:t xml:space="preserve">ed aldosterone level to double and </w:t>
      </w:r>
      <w:r w:rsidRPr="0002125D">
        <w:rPr>
          <w:rFonts w:ascii="Times New Roman" w:hAnsi="Times New Roman"/>
          <w:sz w:val="24"/>
          <w:szCs w:val="24"/>
          <w:lang w:val="en-GB"/>
        </w:rPr>
        <w:t xml:space="preserve">cortisol excretion </w:t>
      </w:r>
      <w:r>
        <w:rPr>
          <w:rFonts w:ascii="Times New Roman" w:hAnsi="Times New Roman"/>
          <w:sz w:val="24"/>
          <w:szCs w:val="24"/>
          <w:lang w:val="en-GB"/>
        </w:rPr>
        <w:t>to</w:t>
      </w:r>
      <w:r w:rsidRPr="0002125D">
        <w:rPr>
          <w:rFonts w:ascii="Times New Roman" w:hAnsi="Times New Roman"/>
          <w:sz w:val="24"/>
          <w:szCs w:val="24"/>
          <w:lang w:val="en-GB"/>
        </w:rPr>
        <w:t xml:space="preserve"> paradoxically in</w:t>
      </w:r>
      <w:r>
        <w:rPr>
          <w:rFonts w:ascii="Times New Roman" w:hAnsi="Times New Roman"/>
          <w:sz w:val="24"/>
          <w:szCs w:val="24"/>
          <w:lang w:val="en-GB"/>
        </w:rPr>
        <w:t>crease</w:t>
      </w:r>
      <w:r w:rsidRPr="0002125D">
        <w:rPr>
          <w:rFonts w:ascii="Times New Roman" w:hAnsi="Times New Roman"/>
          <w:sz w:val="24"/>
          <w:szCs w:val="24"/>
          <w:lang w:val="en-GB"/>
        </w:rPr>
        <w:t>, indicating</w:t>
      </w:r>
      <w:r>
        <w:rPr>
          <w:rFonts w:ascii="Times New Roman" w:hAnsi="Times New Roman"/>
          <w:sz w:val="24"/>
          <w:szCs w:val="24"/>
          <w:lang w:val="en-GB"/>
        </w:rPr>
        <w:t xml:space="preserve"> a complete deregulation of </w:t>
      </w:r>
      <w:r w:rsidRPr="0002125D">
        <w:rPr>
          <w:rFonts w:ascii="Times New Roman" w:hAnsi="Times New Roman"/>
          <w:sz w:val="24"/>
          <w:szCs w:val="24"/>
          <w:lang w:val="en-GB"/>
        </w:rPr>
        <w:t>adrenal cortex</w:t>
      </w:r>
      <w:r>
        <w:rPr>
          <w:rFonts w:ascii="Times New Roman" w:hAnsi="Times New Roman"/>
          <w:sz w:val="24"/>
          <w:szCs w:val="24"/>
          <w:lang w:val="en-GB"/>
        </w:rPr>
        <w:t xml:space="preserve"> function</w:t>
      </w:r>
      <w:r w:rsidRPr="0002125D">
        <w:rPr>
          <w:rFonts w:ascii="Times New Roman" w:hAnsi="Times New Roman"/>
          <w:sz w:val="24"/>
          <w:szCs w:val="24"/>
          <w:lang w:val="en-GB"/>
        </w:rPr>
        <w:t>. The control of hypertension required, as for th</w:t>
      </w:r>
      <w:r>
        <w:rPr>
          <w:rFonts w:ascii="Times New Roman" w:hAnsi="Times New Roman"/>
          <w:sz w:val="24"/>
          <w:szCs w:val="24"/>
          <w:lang w:val="en-GB"/>
        </w:rPr>
        <w:t>e father, bilateral adrenalectomy and after surgery blood pressure and potassium normalized within two weeks.</w:t>
      </w:r>
      <w:r w:rsidRPr="0002125D">
        <w:rPr>
          <w:rFonts w:ascii="Times New Roman" w:hAnsi="Times New Roman"/>
          <w:sz w:val="24"/>
          <w:szCs w:val="24"/>
          <w:lang w:val="en-GB"/>
        </w:rPr>
        <w:t xml:space="preserve"> The </w:t>
      </w:r>
      <w:r>
        <w:rPr>
          <w:rFonts w:ascii="Times New Roman" w:hAnsi="Times New Roman"/>
          <w:sz w:val="24"/>
          <w:szCs w:val="24"/>
          <w:lang w:val="en-GB"/>
        </w:rPr>
        <w:t>removed</w:t>
      </w:r>
      <w:r w:rsidRPr="0002125D">
        <w:rPr>
          <w:rFonts w:ascii="Times New Roman" w:hAnsi="Times New Roman"/>
          <w:sz w:val="24"/>
          <w:szCs w:val="24"/>
          <w:lang w:val="en-GB"/>
        </w:rPr>
        <w:t xml:space="preserve"> glands </w:t>
      </w:r>
      <w:r>
        <w:rPr>
          <w:rFonts w:ascii="Times New Roman" w:hAnsi="Times New Roman"/>
          <w:sz w:val="24"/>
          <w:szCs w:val="24"/>
          <w:lang w:val="en-GB"/>
        </w:rPr>
        <w:t>were markedly enlarged and</w:t>
      </w:r>
      <w:r w:rsidRPr="0002125D">
        <w:rPr>
          <w:rFonts w:ascii="Times New Roman" w:hAnsi="Times New Roman"/>
          <w:sz w:val="24"/>
          <w:szCs w:val="24"/>
          <w:lang w:val="en-GB"/>
        </w:rPr>
        <w:t xml:space="preserve"> </w:t>
      </w:r>
      <w:r>
        <w:rPr>
          <w:rFonts w:ascii="Times New Roman" w:hAnsi="Times New Roman"/>
          <w:sz w:val="24"/>
          <w:szCs w:val="24"/>
          <w:lang w:val="en-GB"/>
        </w:rPr>
        <w:t xml:space="preserve">at pathology </w:t>
      </w:r>
      <w:r w:rsidRPr="0002125D">
        <w:rPr>
          <w:rFonts w:ascii="Times New Roman" w:hAnsi="Times New Roman"/>
          <w:sz w:val="24"/>
          <w:szCs w:val="24"/>
          <w:lang w:val="en-GB"/>
        </w:rPr>
        <w:t>presented</w:t>
      </w:r>
      <w:r>
        <w:rPr>
          <w:rFonts w:ascii="Times New Roman" w:hAnsi="Times New Roman"/>
          <w:sz w:val="24"/>
          <w:szCs w:val="24"/>
          <w:lang w:val="en-GB"/>
        </w:rPr>
        <w:t xml:space="preserve"> complete loss of normal zonation, being composed mainly of lipid laden cells throughout the cortex without clearly discernible </w:t>
      </w:r>
      <w:r w:rsidRPr="00E6402E">
        <w:rPr>
          <w:rFonts w:ascii="Times New Roman" w:hAnsi="Times New Roman"/>
          <w:i/>
          <w:iCs/>
          <w:sz w:val="24"/>
          <w:szCs w:val="24"/>
          <w:lang w:val="en-GB"/>
        </w:rPr>
        <w:t>zona glomerulosa</w:t>
      </w:r>
      <w:r>
        <w:rPr>
          <w:rFonts w:ascii="Times New Roman" w:hAnsi="Times New Roman"/>
          <w:sz w:val="24"/>
          <w:szCs w:val="24"/>
          <w:lang w:val="en-GB"/>
        </w:rPr>
        <w:t xml:space="preserve">-like cells </w:t>
      </w:r>
      <w:r w:rsidR="001E4B74">
        <w:rPr>
          <w:rFonts w:ascii="Times New Roman" w:hAnsi="Times New Roman"/>
          <w:sz w:val="24"/>
          <w:szCs w:val="24"/>
          <w:lang w:val="en-GB"/>
        </w:rPr>
        <w:fldChar w:fldCharType="begin" w:fldLock="1"/>
      </w:r>
      <w:r w:rsidR="001E4B74">
        <w:rPr>
          <w:rFonts w:ascii="Times New Roman" w:hAnsi="Times New Roman"/>
          <w:sz w:val="24"/>
          <w:szCs w:val="24"/>
          <w:lang w:val="en-GB"/>
        </w:rPr>
        <w:instrText>ADDIN CSL_CITATION { "citationItems" : [ { "id" : "ITEM-1", "itemData" : { "DOI" : "10.1016/j.mce.2016.10.025", "ISSN" : "03037207", "author" : [ { "dropping-particle" : "", "family" : "Gomez-Sanchez", "given" : "Celso E.", "non-dropping-particle" : "", "parse-names" : false, "suffix" : "" }, { "dropping-particle" : "", "family" : "Qi", "given" : "Xin", "non-dropping-particle" : "", "parse-names" : false, "suffix" : "" }, { "dropping-particle" : "", "family" : "Gomez-Sanchez", "given" : "Elise P.", "non-dropping-particle" : "", "parse-names" : false, "suffix" : "" }, { "dropping-particle" : "", "family" : "Sasano", "given" : "Hironobu", "non-dropping-particle" : "", "parse-names" : false, "suffix" : "" }, { "dropping-particle" : "", "family" : "Bohlen", "given" : "Martin O.", "non-dropping-particle" : "", "parse-names" : false, "suffix" : "" }, { "dropping-particle" : "", "family" : "Wisgerhof", "given" : "Max", "non-dropping-particle" : "", "parse-names" : false, "suffix" : "" } ], "container-title" : "Molecular and Cellular Endocrinology", "id" : "ITEM-1", "issued" : { "date-parts" : [ [ "2016" ] ] }, "page" : "74-80", "publisher" : "Elsevier Ireland Ltd", "title" : "Disordered zonal and cellular CYP11B2 enzyme expression in familial hyperaldosteronism type 3", "type" : "article-journal", "volume" : "439" }, "uris" : [ "http://www.mendeley.com/documents/?uuid=768b1311-0993-49d9-9ff5-e449f52a85f7" ] } ], "mendeley" : { "formattedCitation" : "(16)", "plainTextFormattedCitation" : "(16)", "previouslyFormattedCitation" : "(16)" }, "properties" : { "noteIndex" : 0 }, "schema" : "https://github.com/citation-style-language/schema/raw/master/csl-citation.json" }</w:instrText>
      </w:r>
      <w:r w:rsidR="001E4B74">
        <w:rPr>
          <w:rFonts w:ascii="Times New Roman" w:hAnsi="Times New Roman"/>
          <w:sz w:val="24"/>
          <w:szCs w:val="24"/>
          <w:lang w:val="en-GB"/>
        </w:rPr>
        <w:fldChar w:fldCharType="separate"/>
      </w:r>
      <w:r w:rsidR="001E4B74" w:rsidRPr="001E4B74">
        <w:rPr>
          <w:rFonts w:ascii="Times New Roman" w:hAnsi="Times New Roman"/>
          <w:noProof/>
          <w:sz w:val="24"/>
          <w:szCs w:val="24"/>
          <w:lang w:val="en-GB"/>
        </w:rPr>
        <w:t>(16)</w:t>
      </w:r>
      <w:r w:rsidR="001E4B74">
        <w:rPr>
          <w:rFonts w:ascii="Times New Roman" w:hAnsi="Times New Roman"/>
          <w:sz w:val="24"/>
          <w:szCs w:val="24"/>
          <w:lang w:val="en-GB"/>
        </w:rPr>
        <w:fldChar w:fldCharType="end"/>
      </w:r>
      <w:r w:rsidRPr="0002125D">
        <w:rPr>
          <w:rFonts w:ascii="Times New Roman" w:hAnsi="Times New Roman"/>
          <w:sz w:val="24"/>
          <w:szCs w:val="24"/>
          <w:lang w:val="en-GB"/>
        </w:rPr>
        <w:t xml:space="preserve">. </w:t>
      </w:r>
      <w:r>
        <w:rPr>
          <w:rFonts w:ascii="Times New Roman" w:hAnsi="Times New Roman"/>
          <w:sz w:val="24"/>
          <w:szCs w:val="24"/>
          <w:lang w:val="en-GB"/>
        </w:rPr>
        <w:t xml:space="preserve">A recent immunohistochemical and immunofluorescence study explored the cellular distribution of the main enzymes involved in human steroidogenesis, CYP17 (17alpha-hydroxylase), CYP11B1 and CYP11B2 in the adrenal glands removed from the two girls. The most relevant and unexpected finding was the co-expression of CYP11B2 and CYP11B1, CYP11B2 and CYP17 or even the expression of the three enzymes in some cells (contrary to its normal expression pattern), thereby explaining the high levels of hybrid steroids 18OH-cortisol and 18oxo-cortisol in these patients </w:t>
      </w:r>
      <w:r w:rsidR="001E4B74">
        <w:rPr>
          <w:rFonts w:ascii="Times New Roman" w:hAnsi="Times New Roman"/>
          <w:sz w:val="24"/>
          <w:szCs w:val="24"/>
          <w:lang w:val="en-GB"/>
        </w:rPr>
        <w:fldChar w:fldCharType="begin" w:fldLock="1"/>
      </w:r>
      <w:r w:rsidR="00C30026">
        <w:rPr>
          <w:rFonts w:ascii="Times New Roman" w:hAnsi="Times New Roman"/>
          <w:sz w:val="24"/>
          <w:szCs w:val="24"/>
          <w:lang w:val="en-GB"/>
        </w:rPr>
        <w:instrText>ADDIN CSL_CITATION { "citationItems" : [ { "id" : "ITEM-1", "itemData" : { "DOI" : "10.1016/j.mce.2016.10.025", "ISSN" : "03037207", "author" : [ { "dropping-particle" : "", "family" : "Gomez-Sanchez", "given" : "Celso E.", "non-dropping-particle" : "", "parse-names" : false, "suffix" : "" }, { "dropping-particle" : "", "family" : "Qi", "given" : "Xin", "non-dropping-particle" : "", "parse-names" : false, "suffix" : "" }, { "dropping-particle" : "", "family" : "Gomez-Sanchez", "given" : "Elise P.", "non-dropping-particle" : "", "parse-names" : false, "suffix" : "" }, { "dropping-particle" : "", "family" : "Sasano", "given" : "Hironobu", "non-dropping-particle" : "", "parse-names" : false, "suffix" : "" }, { "dropping-particle" : "", "family" : "Bohlen", "given" : "Martin O.", "non-dropping-particle" : "", "parse-names" : false, "suffix" : "" }, { "dropping-particle" : "", "family" : "Wisgerhof", "given" : "Max", "non-dropping-particle" : "", "parse-names" : false, "suffix" : "" } ], "container-title" : "Molecular and Cellular Endocrinology", "id" : "ITEM-1", "issued" : { "date-parts" : [ [ "2016" ] ] }, "page" : "74-80", "publisher" : "Elsevier Ireland Ltd", "title" : "Disordered zonal and cellular CYP11B2 enzyme expression in familial hyperaldosteronism type 3", "type" : "article-journal", "volume" : "439" }, "uris" : [ "http://www.mendeley.com/documents/?uuid=768b1311-0993-49d9-9ff5-e449f52a85f7" ] } ], "mendeley" : { "formattedCitation" : "(16)", "plainTextFormattedCitation" : "(16)", "previouslyFormattedCitation" : "(16)" }, "properties" : { "noteIndex" : 0 }, "schema" : "https://github.com/citation-style-language/schema/raw/master/csl-citation.json" }</w:instrText>
      </w:r>
      <w:r w:rsidR="001E4B74">
        <w:rPr>
          <w:rFonts w:ascii="Times New Roman" w:hAnsi="Times New Roman"/>
          <w:sz w:val="24"/>
          <w:szCs w:val="24"/>
          <w:lang w:val="en-GB"/>
        </w:rPr>
        <w:fldChar w:fldCharType="separate"/>
      </w:r>
      <w:r w:rsidR="001E4B74" w:rsidRPr="001E4B74">
        <w:rPr>
          <w:rFonts w:ascii="Times New Roman" w:hAnsi="Times New Roman"/>
          <w:noProof/>
          <w:sz w:val="24"/>
          <w:szCs w:val="24"/>
          <w:lang w:val="en-GB"/>
        </w:rPr>
        <w:t>(16)</w:t>
      </w:r>
      <w:r w:rsidR="001E4B74">
        <w:rPr>
          <w:rFonts w:ascii="Times New Roman" w:hAnsi="Times New Roman"/>
          <w:sz w:val="24"/>
          <w:szCs w:val="24"/>
          <w:lang w:val="en-GB"/>
        </w:rPr>
        <w:fldChar w:fldCharType="end"/>
      </w:r>
      <w:r>
        <w:rPr>
          <w:rFonts w:ascii="Times New Roman" w:hAnsi="Times New Roman"/>
          <w:sz w:val="24"/>
          <w:szCs w:val="24"/>
          <w:lang w:val="en-GB"/>
        </w:rPr>
        <w:t>.</w:t>
      </w:r>
    </w:p>
    <w:p w14:paraId="3AC46898" w14:textId="77777777" w:rsidR="007143EE" w:rsidRDefault="007143EE" w:rsidP="00EA1BD6">
      <w:pPr>
        <w:spacing w:line="480" w:lineRule="auto"/>
        <w:jc w:val="both"/>
        <w:rPr>
          <w:rFonts w:ascii="Times New Roman" w:hAnsi="Times New Roman"/>
          <w:sz w:val="24"/>
          <w:szCs w:val="24"/>
          <w:lang w:val="en-GB"/>
        </w:rPr>
      </w:pPr>
      <w:r w:rsidRPr="0002125D">
        <w:rPr>
          <w:rFonts w:ascii="Times New Roman" w:hAnsi="Times New Roman"/>
          <w:sz w:val="24"/>
          <w:szCs w:val="24"/>
          <w:lang w:val="en-GB"/>
        </w:rPr>
        <w:t xml:space="preserve">At the </w:t>
      </w:r>
      <w:r>
        <w:rPr>
          <w:rFonts w:ascii="Times New Roman" w:hAnsi="Times New Roman"/>
          <w:sz w:val="24"/>
          <w:szCs w:val="24"/>
          <w:lang w:val="en-GB"/>
        </w:rPr>
        <w:t xml:space="preserve">first analysis, </w:t>
      </w:r>
      <w:r w:rsidRPr="0002125D">
        <w:rPr>
          <w:rFonts w:ascii="Times New Roman" w:hAnsi="Times New Roman"/>
          <w:sz w:val="24"/>
          <w:szCs w:val="24"/>
          <w:lang w:val="en-GB"/>
        </w:rPr>
        <w:t xml:space="preserve">DNA </w:t>
      </w:r>
      <w:r>
        <w:rPr>
          <w:rFonts w:ascii="Times New Roman" w:hAnsi="Times New Roman"/>
          <w:sz w:val="24"/>
          <w:szCs w:val="24"/>
          <w:lang w:val="en-GB"/>
        </w:rPr>
        <w:t>sequencing of candidate genes</w:t>
      </w:r>
      <w:r w:rsidRPr="0002125D">
        <w:rPr>
          <w:rFonts w:ascii="Times New Roman" w:hAnsi="Times New Roman"/>
          <w:sz w:val="24"/>
          <w:szCs w:val="24"/>
          <w:lang w:val="en-GB"/>
        </w:rPr>
        <w:t xml:space="preserve"> did not </w:t>
      </w:r>
      <w:r>
        <w:rPr>
          <w:rFonts w:ascii="Times New Roman" w:hAnsi="Times New Roman"/>
          <w:sz w:val="24"/>
          <w:szCs w:val="24"/>
          <w:lang w:val="en-GB"/>
        </w:rPr>
        <w:t>uncover</w:t>
      </w:r>
      <w:r w:rsidRPr="0002125D">
        <w:rPr>
          <w:rFonts w:ascii="Times New Roman" w:hAnsi="Times New Roman"/>
          <w:sz w:val="24"/>
          <w:szCs w:val="24"/>
          <w:lang w:val="en-GB"/>
        </w:rPr>
        <w:t xml:space="preserve"> any causative mutation</w:t>
      </w:r>
      <w:r>
        <w:rPr>
          <w:rFonts w:ascii="Times New Roman" w:hAnsi="Times New Roman"/>
          <w:sz w:val="24"/>
          <w:szCs w:val="24"/>
          <w:lang w:val="en-GB"/>
        </w:rPr>
        <w:t>s</w:t>
      </w:r>
      <w:r w:rsidRPr="0002125D">
        <w:rPr>
          <w:rFonts w:ascii="Times New Roman" w:hAnsi="Times New Roman"/>
          <w:sz w:val="24"/>
          <w:szCs w:val="24"/>
          <w:lang w:val="en-GB"/>
        </w:rPr>
        <w:t xml:space="preserve">. Thus, </w:t>
      </w:r>
      <w:r>
        <w:rPr>
          <w:rFonts w:ascii="Times New Roman" w:hAnsi="Times New Roman"/>
          <w:sz w:val="24"/>
          <w:szCs w:val="24"/>
          <w:lang w:val="en-GB"/>
        </w:rPr>
        <w:t>the genetic basis of FH-III</w:t>
      </w:r>
      <w:r w:rsidRPr="0002125D">
        <w:rPr>
          <w:rFonts w:ascii="Times New Roman" w:hAnsi="Times New Roman"/>
          <w:sz w:val="24"/>
          <w:szCs w:val="24"/>
          <w:lang w:val="en-GB"/>
        </w:rPr>
        <w:t xml:space="preserve"> remained unknown until the </w:t>
      </w:r>
      <w:r>
        <w:rPr>
          <w:rFonts w:ascii="Times New Roman" w:hAnsi="Times New Roman"/>
          <w:sz w:val="24"/>
          <w:szCs w:val="24"/>
          <w:lang w:val="en-GB"/>
        </w:rPr>
        <w:t xml:space="preserve">discovery of mutations driving aldosterone excess in the </w:t>
      </w:r>
      <w:r w:rsidRPr="00E6402E">
        <w:rPr>
          <w:rFonts w:ascii="Times New Roman" w:hAnsi="Times New Roman"/>
          <w:i/>
          <w:sz w:val="24"/>
          <w:szCs w:val="24"/>
          <w:lang w:val="en-GB"/>
        </w:rPr>
        <w:t>KCNJ5</w:t>
      </w:r>
      <w:r>
        <w:rPr>
          <w:rFonts w:ascii="Times New Roman" w:hAnsi="Times New Roman"/>
          <w:sz w:val="24"/>
          <w:szCs w:val="24"/>
          <w:lang w:val="en-GB"/>
        </w:rPr>
        <w:t xml:space="preserve"> gene as described below </w:t>
      </w:r>
      <w:r w:rsidR="00C30026">
        <w:rPr>
          <w:rFonts w:ascii="Times New Roman" w:hAnsi="Times New Roman"/>
          <w:sz w:val="24"/>
          <w:szCs w:val="24"/>
          <w:lang w:val="en-GB"/>
        </w:rPr>
        <w:fldChar w:fldCharType="begin" w:fldLock="1"/>
      </w:r>
      <w:r w:rsidR="00C30026">
        <w:rPr>
          <w:rFonts w:ascii="Times New Roman" w:hAnsi="Times New Roman"/>
          <w:sz w:val="24"/>
          <w:szCs w:val="24"/>
          <w:lang w:val="en-GB"/>
        </w:rPr>
        <w:instrText>ADDIN CSL_CITATION { "citationItems" : [ { "id" : "ITEM-1", "itemData" : { "DOI" : "10.1126/science.1198785", "ISBN" : "1095-9203 (Electronic)\r0036-8075 (Linking)", "ISSN" : "0036-8075", "PMID" : "21311022", "author" : [ { "dropping-particle" : "", "family" : "Choi", "given" : "M.", "non-dropping-particle" : "", "parse-names" : false, "suffix" : "" }, { "dropping-particle" : "", "family" : "Scholl", "given" : "U. I.", "non-dropping-particle" : "", "parse-names" : false, "suffix" : "" }, { "dropping-particle" : "", "family" : "Yue", "given" : "P.", "non-dropping-particle" : "", "parse-names" : false, "suffix" : "" }, { "dropping-particle" : "", "family" : "Bjorklund", "given" : "P.", "non-dropping-particle" : "", "parse-names" : false, "suffix" : "" }, { "dropping-particle" : "", "family" : "Zhao", "given" : "B.", "non-dropping-particle" : "", "parse-names" : false, "suffix" : "" }, { "dropping-particle" : "", "family" : "Nelson-Williams", "given" : "C.", "non-dropping-particle" : "", "parse-names" : false, "suffix" : "" }, { "dropping-particle" : "", "family" : "Ji", "given" : "W.", "non-dropping-particle" : "", "parse-names" : false, "suffix" : "" }, { "dropping-particle" : "", "family" : "Cho", "given" : "Y.", "non-dropping-particle" : "", "parse-names" : false, "suffix" : "" }, { "dropping-particle" : "", "family" : "Patel", "given" : "A.", "non-dropping-particle" : "", "parse-names" : false, "suffix" : "" }, { "dropping-particle" : "", "family" : "Men", "given" : "C. J.", "non-dropping-particle" : "", "parse-names" : false, "suffix" : "" }, { "dropping-particle" : "", "family" : "Lolis", "given" : "E.", "non-dropping-particle" : "", "parse-names" : false, "suffix" : "" }, { "dropping-particle" : "V.", "family" : "Wisgerhof", "given" : "M.", "non-dropping-particle" : "", "parse-names" : false, "suffix" : "" }, { "dropping-particle" : "", "family" : "Geller", "given" : "D. S.", "non-dropping-particle" : "", "parse-names" : false, "suffix" : "" }, { "dropping-particle" : "", "family" : "Mane", "given" : "S.", "non-dropping-particle" : "", "parse-names" : false, "suffix" : "" }, { "dropping-particle" : "", "family" : "Hellman", "given" : "P.", "non-dropping-particle" : "", "parse-names" : false, "suffix" : "" }, { "dropping-particle" : "", "family" : "Westin", "given" : "G.", "non-dropping-particle" : "", "parse-names" : false, "suffix" : "" }, { "dropping-particle" : "", "family" : "Akerstrom", "given" : "G.", "non-dropping-particle" : "", "parse-names" : false, "suffix" : "" }, { "dropping-particle" : "", "family" : "Wang", "given" : "W.", "non-dropping-particle" : "", "parse-names" : false, "suffix" : "" }, { "dropping-particle" : "", "family" : "Carling", "given" : "T.", "non-dropping-particle" : "", "parse-names" : false, "suffix" : "" }, { "dropping-particle" : "", "family" : "Lifton", "given" : "R. P.", "non-dropping-particle" : "", "parse-names" : false, "suffix" : "" } ], "container-title" : "Science", "id" : "ITEM-1", "issue" : "6018", "issued" : { "date-parts" : [ [ "2011" ] ] }, "page" : "768-772", "title" : "K+ Channel Mutations in Adrenal Aldosterone-Producing Adenomas and Hereditary Hypertension", "type" : "article-journal", "volume" : "331" }, "uris" : [ "http://www.mendeley.com/documents/?uuid=ba17704a-d0b7-472c-a12e-d3d7002d5cf5" ] } ], "mendeley" : { "formattedCitation" : "(12)", "plainTextFormattedCitation" : "(12)", "previouslyFormattedCitation" : "(12)" }, "properties" : { "noteIndex" : 0 }, "schema" : "https://github.com/citation-style-language/schema/raw/master/csl-citation.json" }</w:instrText>
      </w:r>
      <w:r w:rsidR="00C30026">
        <w:rPr>
          <w:rFonts w:ascii="Times New Roman" w:hAnsi="Times New Roman"/>
          <w:sz w:val="24"/>
          <w:szCs w:val="24"/>
          <w:lang w:val="en-GB"/>
        </w:rPr>
        <w:fldChar w:fldCharType="separate"/>
      </w:r>
      <w:r w:rsidR="00C30026" w:rsidRPr="00C30026">
        <w:rPr>
          <w:rFonts w:ascii="Times New Roman" w:hAnsi="Times New Roman"/>
          <w:noProof/>
          <w:sz w:val="24"/>
          <w:szCs w:val="24"/>
          <w:lang w:val="en-GB"/>
        </w:rPr>
        <w:t>(12)</w:t>
      </w:r>
      <w:r w:rsidR="00C30026">
        <w:rPr>
          <w:rFonts w:ascii="Times New Roman" w:hAnsi="Times New Roman"/>
          <w:sz w:val="24"/>
          <w:szCs w:val="24"/>
          <w:lang w:val="en-GB"/>
        </w:rPr>
        <w:fldChar w:fldCharType="end"/>
      </w:r>
      <w:r w:rsidRPr="0002125D">
        <w:rPr>
          <w:rFonts w:ascii="Times New Roman" w:hAnsi="Times New Roman"/>
          <w:sz w:val="24"/>
          <w:szCs w:val="24"/>
          <w:lang w:val="en-GB"/>
        </w:rPr>
        <w:t>.</w:t>
      </w:r>
    </w:p>
    <w:p w14:paraId="3AC46899" w14:textId="77777777" w:rsidR="007143EE" w:rsidRPr="00B027CD" w:rsidRDefault="007143EE" w:rsidP="00437C6F">
      <w:pPr>
        <w:spacing w:line="480" w:lineRule="auto"/>
        <w:jc w:val="both"/>
        <w:rPr>
          <w:rFonts w:ascii="Times New Roman" w:hAnsi="Times New Roman"/>
          <w:b/>
          <w:sz w:val="24"/>
          <w:szCs w:val="24"/>
          <w:lang w:val="en-GB"/>
        </w:rPr>
      </w:pPr>
      <w:r>
        <w:rPr>
          <w:rFonts w:ascii="Times New Roman" w:hAnsi="Times New Roman"/>
          <w:b/>
          <w:sz w:val="24"/>
          <w:szCs w:val="24"/>
          <w:lang w:val="en-GB"/>
        </w:rPr>
        <w:t>Genetics and pathophysiology.</w:t>
      </w:r>
    </w:p>
    <w:p w14:paraId="3AC4689A" w14:textId="77777777" w:rsidR="007143EE" w:rsidRDefault="007143EE" w:rsidP="004D4E1D">
      <w:pPr>
        <w:spacing w:after="0" w:line="480" w:lineRule="auto"/>
        <w:jc w:val="both"/>
        <w:rPr>
          <w:rFonts w:ascii="Times New Roman" w:hAnsi="Times New Roman"/>
          <w:sz w:val="24"/>
          <w:szCs w:val="24"/>
          <w:lang w:val="en-GB"/>
        </w:rPr>
      </w:pPr>
      <w:r>
        <w:rPr>
          <w:rFonts w:ascii="Times New Roman" w:hAnsi="Times New Roman"/>
          <w:sz w:val="24"/>
          <w:szCs w:val="24"/>
          <w:lang w:val="en-GB"/>
        </w:rPr>
        <w:t xml:space="preserve">FH-III is caused by germline mutations in the </w:t>
      </w:r>
      <w:r w:rsidRPr="002D7E77">
        <w:rPr>
          <w:rFonts w:ascii="Times New Roman" w:hAnsi="Times New Roman"/>
          <w:i/>
          <w:sz w:val="24"/>
          <w:szCs w:val="24"/>
          <w:lang w:val="en-GB"/>
        </w:rPr>
        <w:t>KCNJ5</w:t>
      </w:r>
      <w:r>
        <w:rPr>
          <w:rFonts w:ascii="Times New Roman" w:hAnsi="Times New Roman"/>
          <w:sz w:val="24"/>
          <w:szCs w:val="24"/>
          <w:lang w:val="en-GB"/>
        </w:rPr>
        <w:t xml:space="preserve"> gene. </w:t>
      </w:r>
      <w:r w:rsidRPr="007776AD">
        <w:rPr>
          <w:rFonts w:ascii="Times New Roman" w:hAnsi="Times New Roman"/>
          <w:sz w:val="24"/>
          <w:szCs w:val="24"/>
          <w:rPrChange w:id="1" w:author="silvia monticone" w:date="2018-09-19T12:27:00Z">
            <w:rPr>
              <w:rFonts w:ascii="Times New Roman" w:hAnsi="Times New Roman"/>
              <w:sz w:val="24"/>
              <w:szCs w:val="24"/>
              <w:lang w:val="en-GB"/>
            </w:rPr>
          </w:rPrChange>
        </w:rPr>
        <w:t xml:space="preserve">Choi et al </w:t>
      </w:r>
      <w:r w:rsidR="00C30026">
        <w:rPr>
          <w:rFonts w:ascii="Times New Roman" w:hAnsi="Times New Roman"/>
          <w:sz w:val="24"/>
          <w:szCs w:val="24"/>
          <w:lang w:val="en-GB"/>
        </w:rPr>
        <w:fldChar w:fldCharType="begin" w:fldLock="1"/>
      </w:r>
      <w:r w:rsidR="00C30026" w:rsidRPr="007776AD">
        <w:rPr>
          <w:rFonts w:ascii="Times New Roman" w:hAnsi="Times New Roman"/>
          <w:sz w:val="24"/>
          <w:szCs w:val="24"/>
          <w:rPrChange w:id="2" w:author="silvia monticone" w:date="2018-09-19T12:27:00Z">
            <w:rPr>
              <w:rFonts w:ascii="Times New Roman" w:hAnsi="Times New Roman"/>
              <w:sz w:val="24"/>
              <w:szCs w:val="24"/>
              <w:lang w:val="en-GB"/>
            </w:rPr>
          </w:rPrChange>
        </w:rPr>
        <w:instrText>ADDIN CSL_CITATION { "citationItems" : [ { "id" : "ITEM-1", "itemData" : { "DOI" : "10.1126/science.1198785", "ISBN" : "1095-9203 (Electronic)\r0036-8075 (Linking)", "ISSN" : "0036-8075", "PMID" : "21311022", "author" : [ { "dropping-particle" : "", "family" : "Choi", "given" : "M.", "non-dropping-particle" : "", "parse-names" : false, "suffix" : "" }, { "dropping-particle" : "", "family" : "Scholl", "given" : "U. I.", "non-dropping-particle" : "", "parse-names" : false, "suffix" : "" }, { "dropping-particle" : "", "family" : "Yue", "given" : "P.", "non-dropping-particle" : "", "parse-names" : false, "suffix" : "" }, { "dropping-particle" : "", "family" : "Bjorklund", "given" : "P.", "non-dropping-particle" : "", "parse-names" : false, "suffix" : "" }, { "dropping-particle" : "", "family" : "Zhao", "given" : "B.", "non-dropping-particle" : "", "parse-names" : false, "suffix" : "" }, { "dropping-particle" : "", "family" : "Nelson-Williams", "given" : "C.", "non-dropping-particle" : "", "parse-names" : false, "suffix" : "" }, { "dropping-particle" : "", "family" : "Ji", "given" : "W.", "non-dropping-particle" : "", "parse-names" : false, "suffix" : "" }, { "dropping-particle" : "", "family" : "Cho", "given" : "Y.", "non-dropping-particle" : "", "parse-names" : false, "suffix" : "" }, { "dropping-particle" : "", "family" : "Patel", "given" : "A.", "non-dropping-particle" : "", "parse-names" : false, "suffix" : "" }, { "dropping-particle" : "", "family" : "Men", "given" : "C. J.", "non-dropping-particle" : "", "parse-names" : false, "suffix" : "" }, { "dropping-particle" : "", "family" : "Lolis", "given" : "E.", "non-dropping-particle" : "", "parse-names" : false, "suffix" : "" }, { "dropping-particle" : "V.", "family" : "Wisgerhof", "given" : "M.", "non-dropping-particle" : "", "parse-names" : false, "suffix" : "" }, { "dropping-particle" : "", "family" : "Geller", "given" : "D. S.", "non-dropping-particle" : "", "parse-names" : false, "suffix" : "" }, { "dropping-particle" : "", "family" : "Mane", "given" : "S.", "non-dropping-particle" : "", "parse-names" : false, "suffix" : "" }, { "dropping-particle" : "", "family" : "Hellman", "given" : "P.", "non-dropping-particle" : "", "parse-names" : false, "suffix" : "" }, { "dropping-particle" : "", "family" : "Westin", "given" : "G.", "non-dropping-particle" : "", "parse-names" : false, "suffix" : "" }, { "dropping-particle" : "", "family" : "Akerstrom", "given" : "G.", "non-dropping-particle" : "", "parse-names" : false, "suffix" : "" }, { "dropping-particle" : "", "family" : "Wang", "given" : "W.", "non-dropping-particle" : "", "parse-names" : false, "suffix" : "" }, { "dropping-particle" : "", "family" : "Carling", "given" : "T.", "non-dropping-particle" : "", "parse-names" : false, "suffix" : "" }, { "dropping-particle" : "", "family" : "Lifton", "given" : "R. P.", "non-dropping-particle" : "", "parse-names" : false, "suffix" : "" } ], "container-title" : "Science", "id" : "ITEM-1", "issue" : "6018", "issued" : { "date-parts" : [ [ "2011" ] ] }, "page" : "768-772", "title" : "K+ Channel Mutations in Adrenal Aldosterone-Producing Adenomas and Hereditary Hypertension", "type" : "article-journal", "volume" : "331" }, "uris" : [ "http://www.mendeley.com/documents/?uuid=ba17704a-d0b7-472c-a12e-d3d7002d5cf5" ] } ], "mendeley" : { "formattedCitation" : "(12)", "plainTextFormattedCitation" : "(12)", "previouslyFormattedCitation" : "(12)" }, "properties" : { "noteIndex" : 0 }, "schema" : "https://github.com/citation-style-language/schema/raw/master/csl-citation.json" }</w:instrText>
      </w:r>
      <w:r w:rsidR="00C30026">
        <w:rPr>
          <w:rFonts w:ascii="Times New Roman" w:hAnsi="Times New Roman"/>
          <w:sz w:val="24"/>
          <w:szCs w:val="24"/>
          <w:lang w:val="en-GB"/>
        </w:rPr>
        <w:fldChar w:fldCharType="separate"/>
      </w:r>
      <w:r w:rsidR="00C30026" w:rsidRPr="007776AD">
        <w:rPr>
          <w:rFonts w:ascii="Times New Roman" w:hAnsi="Times New Roman"/>
          <w:noProof/>
          <w:sz w:val="24"/>
          <w:szCs w:val="24"/>
          <w:rPrChange w:id="3" w:author="silvia monticone" w:date="2018-09-19T12:27:00Z">
            <w:rPr>
              <w:rFonts w:ascii="Times New Roman" w:hAnsi="Times New Roman"/>
              <w:noProof/>
              <w:sz w:val="24"/>
              <w:szCs w:val="24"/>
              <w:lang w:val="en-GB"/>
            </w:rPr>
          </w:rPrChange>
        </w:rPr>
        <w:t>(12)</w:t>
      </w:r>
      <w:r w:rsidR="00C30026">
        <w:rPr>
          <w:rFonts w:ascii="Times New Roman" w:hAnsi="Times New Roman"/>
          <w:sz w:val="24"/>
          <w:szCs w:val="24"/>
          <w:lang w:val="en-GB"/>
        </w:rPr>
        <w:fldChar w:fldCharType="end"/>
      </w:r>
      <w:r w:rsidRPr="007776AD">
        <w:rPr>
          <w:rFonts w:ascii="Times New Roman" w:hAnsi="Times New Roman"/>
          <w:sz w:val="24"/>
          <w:szCs w:val="24"/>
          <w:rPrChange w:id="4" w:author="silvia monticone" w:date="2018-09-19T12:27:00Z">
            <w:rPr>
              <w:rFonts w:ascii="Times New Roman" w:hAnsi="Times New Roman"/>
              <w:sz w:val="24"/>
              <w:szCs w:val="24"/>
              <w:lang w:val="en-GB"/>
            </w:rPr>
          </w:rPrChange>
        </w:rPr>
        <w:t xml:space="preserve"> identified a germline </w:t>
      </w:r>
      <w:r w:rsidRPr="007776AD">
        <w:rPr>
          <w:rFonts w:ascii="Times New Roman" w:hAnsi="Times New Roman"/>
          <w:i/>
          <w:sz w:val="24"/>
          <w:szCs w:val="24"/>
          <w:rPrChange w:id="5" w:author="silvia monticone" w:date="2018-09-19T12:27:00Z">
            <w:rPr>
              <w:rFonts w:ascii="Times New Roman" w:hAnsi="Times New Roman"/>
              <w:i/>
              <w:sz w:val="24"/>
              <w:szCs w:val="24"/>
              <w:lang w:val="en-GB"/>
            </w:rPr>
          </w:rPrChange>
        </w:rPr>
        <w:t>KCNJ5</w:t>
      </w:r>
      <w:r w:rsidRPr="007776AD">
        <w:rPr>
          <w:rFonts w:ascii="Times New Roman" w:hAnsi="Times New Roman"/>
          <w:sz w:val="24"/>
          <w:szCs w:val="24"/>
          <w:rPrChange w:id="6" w:author="silvia monticone" w:date="2018-09-19T12:27:00Z">
            <w:rPr>
              <w:rFonts w:ascii="Times New Roman" w:hAnsi="Times New Roman"/>
              <w:sz w:val="24"/>
              <w:szCs w:val="24"/>
              <w:lang w:val="en-GB"/>
            </w:rPr>
          </w:rPrChange>
        </w:rPr>
        <w:t xml:space="preserve"> mutation (Thr158Ala) using a whole exome sequencing approach in the FH-III family described by Geller et al. </w:t>
      </w:r>
      <w:r w:rsidR="00C30026">
        <w:rPr>
          <w:rFonts w:ascii="Times New Roman" w:hAnsi="Times New Roman"/>
          <w:sz w:val="24"/>
          <w:szCs w:val="24"/>
          <w:lang w:val="en-GB"/>
        </w:rPr>
        <w:fldChar w:fldCharType="begin" w:fldLock="1"/>
      </w:r>
      <w:r w:rsidR="00C30026" w:rsidRPr="007776AD">
        <w:rPr>
          <w:rFonts w:ascii="Times New Roman" w:hAnsi="Times New Roman"/>
          <w:sz w:val="24"/>
          <w:szCs w:val="24"/>
          <w:rPrChange w:id="7" w:author="silvia monticone" w:date="2018-09-19T12:27:00Z">
            <w:rPr>
              <w:rFonts w:ascii="Times New Roman" w:hAnsi="Times New Roman"/>
              <w:sz w:val="24"/>
              <w:szCs w:val="24"/>
              <w:lang w:val="en-GB"/>
            </w:rPr>
          </w:rPrChange>
        </w:rPr>
        <w:instrText>ADDIN CSL_CITATION { "citationItems" : [ { "id" : "ITEM-1", "itemData" : { "DOI" : "10.1210/jc.2008-0594", "ISSN" : "0021972X", "PMID" : "18505761", "abstract" : "CONTEXT: Primary aldosteronism is a leading cause of secondary hypertension (HTN), but the mechanisms underlying the characteristic renin-independent secretion of aldosterone remain unknown in most patients. OBJECTIVES: We report a new familial form of aldosteronism in a father and two daughters. All were diagnosed with severe HTN refractory to medical treatment by age 7 yr. We performed a variety of clinical, biochemical, and genetic studies to attempt to clarify the underlying molecular defect. RESULTS: Biochemical studies revealed hyporeninemia, hyperaldosteronism, and very high levels of 18-oxocortisol and 18-hydroxycortisol, steroids that reflect oxidation by both steroid 17-alpha hydroxylase and aldosterone synthase. These enzymes are normally compartmentalized in the adrenal fasciculata and glomerulosa, respectively. Administration of dexamethasone failed to suppress either aldosterone or cortisol secretion; these findings distinguish this clinical syndrome from glucocorticoid-remediable aldosteronism, another autosomal dominant form of HTN, and suggest a global defect in the regulation of adrenal steroid production. Genetic studies excluded mutation at the aldosteron</w:instrText>
      </w:r>
      <w:r w:rsidR="00C30026">
        <w:rPr>
          <w:rFonts w:ascii="Times New Roman" w:hAnsi="Times New Roman"/>
          <w:sz w:val="24"/>
          <w:szCs w:val="24"/>
          <w:lang w:val="en-GB"/>
        </w:rPr>
        <w:instrText>e synthase locus, further distinguishing this disorder from glucocorticoid-remediable aldosteronism. Because of unrelenting HTN, all three subjects underwent bilateral adrenalectomy, which in each case corrected the HTN. Adrenal glands showed dramatic enlargement, with paired adrenal weights as high as 82 g. Histology revealed massive hyperplasia and cellular hypertrophy of a single cortical compartment that had features of adrenal fasciculata or a transitional zone, with an atrophic glomerulosa. CONCLUSION: These findings define a new inherited form of aldosteronism and suggest that identification of the underlying defect will provide insight into normal mechanisms regulating adrenal steroid biosynthesis.", "author" : [ { "dropping-particle" : "", "family" : "Geller", "given" : "David S.", "non-dropping-particle" : "", "parse-names" : false, "suffix" : "" }, { "dropping-particle" : "", "family" : "Zhang", "given" : "Junhui", "non-dropping-particle" : "", "parse-names" : false, "suffix" : "" }, { "dropping-particle" : "V.", "family" : "Wisgerhof", "given" : "Max", "non-dropping-particle" : "", "parse-names" : false, "suffix" : "" }, { "dropping-particle" : "", "family" : "Shackleton", "given" : "Cedric", "non-dropping-particle" : "", "parse-names" : false, "suffix" : "" }, { "dropping-particle" : "", "family" : "Kashgarian", "given" : "Michael", "non-dropping-particle" : "", "parse-names" : false, "suffix" : "" }, { "dropping-particle" : "", "family" : "Lifton", "given" : "Richard P.", "non-dropping-particle" : "", "parse-names" : false, "suffix" : "" } ], "container-title" : "Journal of Clinical Endocrinology and Metabolism", "id" : "ITEM-1", "issue" : "8", "issued" : { "date-parts" : [ [ "2008" ] ] }, "page" : "3117-3123", "title" : "A novel form of human mendelian hypertension featuring nonglucocorticoid- remediable aldosteronism", "type" : "article-journal", "volume" : "93" }, "uris" : [ "http://www.mendeley.com/documents/?uuid=ad8cedad-bc28-4fc6-a708-cf422b0b01c0" ] } ], "mendeley" : { "formattedCitation" : "(14)", "plainTextFormattedCitation" : "(14)", "previouslyFormattedCitation" : "(14)" }, "properties" : { "noteIndex" : 0 }, "schema" : "https://github.com/citation-style-language/schema/raw/master/csl-citation.json" }</w:instrText>
      </w:r>
      <w:r w:rsidR="00C30026">
        <w:rPr>
          <w:rFonts w:ascii="Times New Roman" w:hAnsi="Times New Roman"/>
          <w:sz w:val="24"/>
          <w:szCs w:val="24"/>
          <w:lang w:val="en-GB"/>
        </w:rPr>
        <w:fldChar w:fldCharType="separate"/>
      </w:r>
      <w:r w:rsidR="00C30026" w:rsidRPr="00C30026">
        <w:rPr>
          <w:rFonts w:ascii="Times New Roman" w:hAnsi="Times New Roman"/>
          <w:noProof/>
          <w:sz w:val="24"/>
          <w:szCs w:val="24"/>
          <w:lang w:val="en-GB"/>
        </w:rPr>
        <w:t>(14)</w:t>
      </w:r>
      <w:r w:rsidR="00C30026">
        <w:rPr>
          <w:rFonts w:ascii="Times New Roman" w:hAnsi="Times New Roman"/>
          <w:sz w:val="24"/>
          <w:szCs w:val="24"/>
          <w:lang w:val="en-GB"/>
        </w:rPr>
        <w:fldChar w:fldCharType="end"/>
      </w:r>
      <w:r>
        <w:rPr>
          <w:rFonts w:ascii="Times New Roman" w:hAnsi="Times New Roman"/>
          <w:sz w:val="24"/>
          <w:szCs w:val="24"/>
          <w:lang w:val="en-GB"/>
        </w:rPr>
        <w:t>. The</w:t>
      </w:r>
      <w:r w:rsidRPr="00B027CD">
        <w:rPr>
          <w:rFonts w:ascii="Times New Roman" w:hAnsi="Times New Roman"/>
          <w:sz w:val="24"/>
          <w:szCs w:val="24"/>
          <w:lang w:val="en-GB"/>
        </w:rPr>
        <w:t xml:space="preserve"> </w:t>
      </w:r>
      <w:r w:rsidRPr="002D7E77">
        <w:rPr>
          <w:rFonts w:ascii="Times New Roman" w:hAnsi="Times New Roman"/>
          <w:i/>
          <w:sz w:val="24"/>
          <w:szCs w:val="24"/>
          <w:lang w:val="en-GB"/>
        </w:rPr>
        <w:t>KCNJ5</w:t>
      </w:r>
      <w:r w:rsidRPr="00B027CD">
        <w:rPr>
          <w:rFonts w:ascii="Times New Roman" w:hAnsi="Times New Roman"/>
          <w:sz w:val="24"/>
          <w:szCs w:val="24"/>
          <w:lang w:val="en-GB"/>
        </w:rPr>
        <w:t xml:space="preserve"> gene is loca</w:t>
      </w:r>
      <w:r>
        <w:rPr>
          <w:rFonts w:ascii="Times New Roman" w:hAnsi="Times New Roman"/>
          <w:sz w:val="24"/>
          <w:szCs w:val="24"/>
          <w:lang w:val="en-GB"/>
        </w:rPr>
        <w:t>ted</w:t>
      </w:r>
      <w:r w:rsidRPr="00B027CD">
        <w:rPr>
          <w:rFonts w:ascii="Times New Roman" w:hAnsi="Times New Roman"/>
          <w:sz w:val="24"/>
          <w:szCs w:val="24"/>
          <w:lang w:val="en-GB"/>
        </w:rPr>
        <w:t xml:space="preserve"> on chromosome 11q24 </w:t>
      </w:r>
      <w:r>
        <w:rPr>
          <w:rFonts w:ascii="Times New Roman" w:hAnsi="Times New Roman"/>
          <w:sz w:val="24"/>
          <w:szCs w:val="24"/>
          <w:lang w:val="en-GB"/>
        </w:rPr>
        <w:t xml:space="preserve">and </w:t>
      </w:r>
      <w:r w:rsidRPr="00B027CD">
        <w:rPr>
          <w:rFonts w:ascii="Times New Roman" w:hAnsi="Times New Roman"/>
          <w:sz w:val="24"/>
          <w:szCs w:val="24"/>
          <w:lang w:val="en-GB"/>
        </w:rPr>
        <w:t>encodes for a</w:t>
      </w:r>
      <w:r>
        <w:rPr>
          <w:rFonts w:ascii="Times New Roman" w:hAnsi="Times New Roman"/>
          <w:sz w:val="24"/>
          <w:szCs w:val="24"/>
          <w:lang w:val="en-GB"/>
        </w:rPr>
        <w:t>n inward rectifying</w:t>
      </w:r>
      <w:r w:rsidRPr="00B027CD">
        <w:rPr>
          <w:rFonts w:ascii="Times New Roman" w:hAnsi="Times New Roman"/>
          <w:sz w:val="24"/>
          <w:szCs w:val="24"/>
          <w:lang w:val="en-GB"/>
        </w:rPr>
        <w:t xml:space="preserve"> potassium channel, GIRK4, also known as Kir3.4</w:t>
      </w:r>
      <w:r>
        <w:rPr>
          <w:rFonts w:ascii="Times New Roman" w:hAnsi="Times New Roman"/>
          <w:sz w:val="24"/>
          <w:szCs w:val="24"/>
          <w:lang w:val="en-GB"/>
        </w:rPr>
        <w:t xml:space="preserve">, that </w:t>
      </w:r>
      <w:r w:rsidRPr="00356821">
        <w:rPr>
          <w:rFonts w:ascii="Times New Roman" w:hAnsi="Times New Roman"/>
          <w:sz w:val="24"/>
          <w:szCs w:val="24"/>
          <w:lang w:val="en-GB"/>
        </w:rPr>
        <w:t>exists both as a homotetramer and a hetero tetrameric complex with GIRK1</w:t>
      </w:r>
      <w:r>
        <w:rPr>
          <w:rFonts w:ascii="Times New Roman" w:hAnsi="Times New Roman"/>
          <w:sz w:val="24"/>
          <w:szCs w:val="24"/>
          <w:lang w:val="en-GB"/>
        </w:rPr>
        <w:t xml:space="preserve"> (encoded by the </w:t>
      </w:r>
      <w:r w:rsidRPr="00EE32F0">
        <w:rPr>
          <w:rFonts w:ascii="Times New Roman" w:hAnsi="Times New Roman"/>
          <w:i/>
          <w:sz w:val="24"/>
          <w:szCs w:val="24"/>
          <w:lang w:val="en-GB"/>
        </w:rPr>
        <w:t>KCNJ3</w:t>
      </w:r>
      <w:r>
        <w:rPr>
          <w:rFonts w:ascii="Times New Roman" w:hAnsi="Times New Roman"/>
          <w:sz w:val="24"/>
          <w:szCs w:val="24"/>
          <w:lang w:val="en-GB"/>
        </w:rPr>
        <w:t xml:space="preserve"> gene) </w:t>
      </w:r>
      <w:r w:rsidR="00C30026">
        <w:rPr>
          <w:rFonts w:ascii="Times New Roman" w:hAnsi="Times New Roman"/>
          <w:sz w:val="24"/>
          <w:szCs w:val="24"/>
          <w:lang w:val="en-GB"/>
        </w:rPr>
        <w:fldChar w:fldCharType="begin" w:fldLock="1"/>
      </w:r>
      <w:r w:rsidR="00C30026">
        <w:rPr>
          <w:rFonts w:ascii="Times New Roman" w:hAnsi="Times New Roman"/>
          <w:sz w:val="24"/>
          <w:szCs w:val="24"/>
          <w:lang w:val="en-GB"/>
        </w:rPr>
        <w:instrText>ADDIN CSL_CITATION { "citationItems" : [ { "id" : "ITEM-1", "itemData" : { "DOI" : "10.1074/jbc.273.42.27499", "ISBN" : "0021-9258 (Print)", "ISSN" : "00219258", "PMID" : "9765280", "abstract" : "G-protein-regulated inwardly rectifying K+ (GIRK) channels play critical inhibitory roles throughout the nervous system, heart, and pancreas. They are believed to be heterotetramers consisting of GIRK1 (Kir3.1) and either GIRK2 (Kir3.2), GIRK3 (Kir3.3), or GIRK4 (Kir3.4) subunits. The GIRK1 subunit is hypothesized to be critical to form GIRK channels with normal channel kinetics based on heterologous expression studies. However, GIRK2 and GIRK3 proteins are present in areas of the brain where no GIRK1 has been detected. Here we demonstrate that GIRK tetramers lacking GIRK1 can be purified from bovine heart atria. We have found that only half of GIRK4 is purified as the GIRK1-GIRK4 heterotetramer, whereas the remaining GIRK4 forms a high molecular weight, SDS-resistant complex that does not contain GIRK1. These GIRK4 complexes, most likely GIRK4 homotetramers, were previously not seen because of their aberrant migration on SDS-polyacrylamide gels. We propose that all of GIRK1 and half of GIRK4 proteins in atria combine to form the heterotetramer IKACh, whereas the remaining GIRK4 forms a novel tetrameric complex. GIRK4 homotetramers form channels with unusual single channel behavior, and their contribution to native currents requires further investigation.", "author" : [ { "dropping-particle" : "", "family" : "Corey", "given" : "Shawn", "non-dropping-particle" : "", "parse-names" : false, "suffix" : "" }, { "dropping-particle" : "", "family" : "Clapham", "given" : "David E.", "non-dropping-particle" : "", "parse-names" : false, "suffix" : "" } ], "container-title" : "Journal of Biological Chemistry", "id" : "ITEM-1", "issue" : "42", "issued" : { "date-parts" : [ [ "1998" ] ] }, "page" : "27499-27504", "title" : "Identification of native atrial G-protein-regulated inwardly rectifying K+ (GIRK4) channel homomultimers", "type" : "article-journal", "volume" : "273" }, "uris" : [ "http://www.mendeley.com/documents/?uuid=cc77269f-11a7-46bc-9fba-cfa8363ad4ca" ] } ], "mendeley" : { "formattedCitation" : "(17)", "plainTextFormattedCitation" : "(17)", "previouslyFormattedCitation" : "(17)" }, "properties" : { "noteIndex" : 0 }, "schema" : "https://github.com/citation-style-language/schema/raw/master/csl-citation.json" }</w:instrText>
      </w:r>
      <w:r w:rsidR="00C30026">
        <w:rPr>
          <w:rFonts w:ascii="Times New Roman" w:hAnsi="Times New Roman"/>
          <w:sz w:val="24"/>
          <w:szCs w:val="24"/>
          <w:lang w:val="en-GB"/>
        </w:rPr>
        <w:fldChar w:fldCharType="separate"/>
      </w:r>
      <w:r w:rsidR="00C30026" w:rsidRPr="00C30026">
        <w:rPr>
          <w:rFonts w:ascii="Times New Roman" w:hAnsi="Times New Roman"/>
          <w:noProof/>
          <w:sz w:val="24"/>
          <w:szCs w:val="24"/>
          <w:lang w:val="en-GB"/>
        </w:rPr>
        <w:t>(17)</w:t>
      </w:r>
      <w:r w:rsidR="00C30026">
        <w:rPr>
          <w:rFonts w:ascii="Times New Roman" w:hAnsi="Times New Roman"/>
          <w:sz w:val="24"/>
          <w:szCs w:val="24"/>
          <w:lang w:val="en-GB"/>
        </w:rPr>
        <w:fldChar w:fldCharType="end"/>
      </w:r>
      <w:r w:rsidRPr="00EE32F0">
        <w:rPr>
          <w:rFonts w:ascii="Times New Roman" w:hAnsi="Times New Roman"/>
          <w:sz w:val="24"/>
          <w:szCs w:val="24"/>
          <w:lang w:val="en-GB"/>
        </w:rPr>
        <w:t>.</w:t>
      </w:r>
      <w:r>
        <w:rPr>
          <w:rFonts w:ascii="Times New Roman" w:hAnsi="Times New Roman"/>
          <w:sz w:val="24"/>
          <w:szCs w:val="24"/>
          <w:lang w:val="en-GB"/>
        </w:rPr>
        <w:t xml:space="preserve"> </w:t>
      </w:r>
    </w:p>
    <w:p w14:paraId="3AC4689B" w14:textId="77777777" w:rsidR="007143EE" w:rsidRDefault="007143EE" w:rsidP="00206A69">
      <w:pPr>
        <w:spacing w:after="0" w:line="480" w:lineRule="auto"/>
        <w:jc w:val="both"/>
        <w:rPr>
          <w:rFonts w:ascii="Times New Roman" w:hAnsi="Times New Roman"/>
          <w:sz w:val="24"/>
          <w:szCs w:val="24"/>
          <w:lang w:val="en-GB"/>
        </w:rPr>
      </w:pPr>
      <w:r>
        <w:rPr>
          <w:rFonts w:ascii="Times New Roman" w:hAnsi="Times New Roman"/>
          <w:sz w:val="24"/>
          <w:szCs w:val="24"/>
          <w:lang w:val="en-GB"/>
        </w:rPr>
        <w:t xml:space="preserve">GIRK4 </w:t>
      </w:r>
      <w:r w:rsidRPr="00B027CD">
        <w:rPr>
          <w:rFonts w:ascii="Times New Roman" w:hAnsi="Times New Roman"/>
          <w:sz w:val="24"/>
          <w:szCs w:val="24"/>
          <w:lang w:val="en-GB"/>
        </w:rPr>
        <w:t>is e</w:t>
      </w:r>
      <w:r>
        <w:rPr>
          <w:rFonts w:ascii="Times New Roman" w:hAnsi="Times New Roman"/>
          <w:sz w:val="24"/>
          <w:szCs w:val="24"/>
          <w:lang w:val="en-GB"/>
        </w:rPr>
        <w:t>x</w:t>
      </w:r>
      <w:r w:rsidRPr="00B027CD">
        <w:rPr>
          <w:rFonts w:ascii="Times New Roman" w:hAnsi="Times New Roman"/>
          <w:sz w:val="24"/>
          <w:szCs w:val="24"/>
          <w:lang w:val="en-GB"/>
        </w:rPr>
        <w:t>pressed</w:t>
      </w:r>
      <w:r>
        <w:rPr>
          <w:rFonts w:ascii="Times New Roman" w:hAnsi="Times New Roman"/>
          <w:sz w:val="24"/>
          <w:szCs w:val="24"/>
          <w:lang w:val="en-GB"/>
        </w:rPr>
        <w:t xml:space="preserve"> in heart </w:t>
      </w:r>
      <w:r w:rsidR="00C30026">
        <w:rPr>
          <w:rFonts w:ascii="Times New Roman" w:hAnsi="Times New Roman"/>
          <w:sz w:val="24"/>
          <w:szCs w:val="24"/>
          <w:lang w:val="en-GB"/>
        </w:rPr>
        <w:fldChar w:fldCharType="begin" w:fldLock="1"/>
      </w:r>
      <w:r w:rsidR="00C30026">
        <w:rPr>
          <w:rFonts w:ascii="Times New Roman" w:hAnsi="Times New Roman"/>
          <w:sz w:val="24"/>
          <w:szCs w:val="24"/>
          <w:lang w:val="en-GB"/>
        </w:rPr>
        <w:instrText>ADDIN CSL_CITATION { "citationItems" : [ { "id" : "ITEM-1", "itemData" : { "DOI" : "10.1113/jphysiol.2004.074047", "ISBN" : "0022-3751 (Print) 0022-3751 (Linking)", "ISSN" : "0022-3751", "PMID" : "15498808", "abstract" : "Even though sequencing of the mammalian genome has led to the discovery of a large number of ionic channel genes, identification of the molecular determinants of cellular electrical properties in different regions of the heart has been rarely obtained. We developed a high-throughput approach capable of simultaneously assessing the expression pattern of ionic channel repertoires from different regions of the mouse heart. By using large-scale real-time RT-PCR, we have profiled 71 channels and related genes in the sinoatrial node (SAN), atrioventricular node (AVN), the atria (A) and ventricles (V). Hearts from 30 adult male C57BL/6 mice were microdissected and RNA was isolated from six pools of five mice each. TaqMan data were analysed using the threshold cycle (C(t)) relative quantification method. Cross-contamination of each region was checked with expression of the atrial and ventricular myosin light chains. Two-way hierarchical clustering analysis of the 71 genes successfully classified the six pools from the four distinct regions. In comparison with the A, the SAN and AVN were characterized by higher expression of Nav beta 1, Nav beta 3, Cav1.3, Cav3.1 and Cav alpha 2 delta 2, and lower expression of Kv4.2, Cx40, Cx43 and Kir3.1. In addition, the SAN was characterized by higher expression of HCN1 and HCN4, and lower expression of RYR2, Kir6.2, Cav beta 2 and Cav gamma 4. The AVN was characterized by higher expression of Nav1.1, Nav1.7, Kv1.6, Kvbeta1, MinK and Cav gamma 7. Other gene expression profiles discriminate between the ventricular and the atrial myocardium. The present study provides the first genome-scale regional ionic channel expression profile in the mouse heart.", "author" : [ { "dropping-particle" : "", "family" : "Marionneau", "given" : "C\u00e9line", "non-dropping-particle" : "", "parse-names" : false, "suffix" : "" }, { "dropping-particle" : "", "family" : "Couette", "given" : "Brigitte", "non-dropping-particle" : "", "parse-names" : false, "suffix" : "" }, { "dropping-particle" : "", "family" : "Liu", "given" : "Jie", "non-dropping-particle" : "", "parse-names" : false, "suffix" : "" }, { "dropping-particle" : "", "family" : "Li", "given" : "Huiyu", "non-dropping-particle" : "", "parse-names" : false, "suffix" : "" }, { "dropping-particle" : "", "family" : "Mangoni", "given" : "Matteo E", "non-dropping-particle" : "", "parse-names" : false, "suffix" : "" }, { "dropping-particle" : "", "family" : "Nargeot", "given" : "Jo\u00ebl", "non-dropping-particle" : "", "parse-names" : false, "suffix" : "" }, { "dropping-particle" : "", "family" : "Lei", "given" : "Ming", "non-dropping-particle" : "", "parse-names" : false, "suffix" : "" }, { "dropping-particle" : "", "family" : "Escande", "given" : "Denis", "non-dropping-particle" : "", "parse-names" : false, "suffix" : "" }, { "dropping-particle" : "", "family" : "Demolombe", "given" : "Sophie", "non-dropping-particle" : "", "parse-names" : false, "suffix" : "" } ], "container-title" : "The Journal of physiology", "id" : "ITEM-1", "issue" : "Pt 1", "issued" : { "date-parts" : [ [ "2005" ] ] }, "page" : "223-234", "title" : "Specific pattern of ionic channel gene expression associated with pacemaker activity in the mouse heart.", "type" : "article-journal", "volume" : "562" }, "uris" : [ "http://www.mendeley.com/documents/?uuid=98d9d10a-7f62-4b19-a1db-cf4ea9c8fe97" ] } ], "mendeley" : { "formattedCitation" : "(18)", "plainTextFormattedCitation" : "(18)", "previouslyFormattedCitation" : "(18)" }, "properties" : { "noteIndex" : 0 }, "schema" : "https://github.com/citation-style-language/schema/raw/master/csl-citation.json" }</w:instrText>
      </w:r>
      <w:r w:rsidR="00C30026">
        <w:rPr>
          <w:rFonts w:ascii="Times New Roman" w:hAnsi="Times New Roman"/>
          <w:sz w:val="24"/>
          <w:szCs w:val="24"/>
          <w:lang w:val="en-GB"/>
        </w:rPr>
        <w:fldChar w:fldCharType="separate"/>
      </w:r>
      <w:r w:rsidR="00C30026" w:rsidRPr="00C30026">
        <w:rPr>
          <w:rFonts w:ascii="Times New Roman" w:hAnsi="Times New Roman"/>
          <w:noProof/>
          <w:sz w:val="24"/>
          <w:szCs w:val="24"/>
          <w:lang w:val="en-GB"/>
        </w:rPr>
        <w:t>(18)</w:t>
      </w:r>
      <w:r w:rsidR="00C30026">
        <w:rPr>
          <w:rFonts w:ascii="Times New Roman" w:hAnsi="Times New Roman"/>
          <w:sz w:val="24"/>
          <w:szCs w:val="24"/>
          <w:lang w:val="en-GB"/>
        </w:rPr>
        <w:fldChar w:fldCharType="end"/>
      </w:r>
      <w:r>
        <w:rPr>
          <w:rFonts w:ascii="Times New Roman" w:hAnsi="Times New Roman"/>
          <w:sz w:val="24"/>
          <w:szCs w:val="24"/>
          <w:lang w:val="en-GB"/>
        </w:rPr>
        <w:t xml:space="preserve">, central and peripheral neurons </w:t>
      </w:r>
      <w:r w:rsidR="00C30026">
        <w:rPr>
          <w:rFonts w:ascii="Times New Roman" w:hAnsi="Times New Roman"/>
          <w:sz w:val="24"/>
          <w:szCs w:val="24"/>
          <w:lang w:val="en-GB"/>
        </w:rPr>
        <w:fldChar w:fldCharType="begin" w:fldLock="1"/>
      </w:r>
      <w:r w:rsidR="00C30026">
        <w:rPr>
          <w:rFonts w:ascii="Times New Roman" w:hAnsi="Times New Roman"/>
          <w:sz w:val="24"/>
          <w:szCs w:val="24"/>
          <w:lang w:val="en-GB"/>
        </w:rPr>
        <w:instrText>ADDIN CSL_CITATION { "citationItems" : [ { "id" : "ITEM-1", "itemData" : { "DOI" : "10.1113/jphysiol.2007.140772", "ISBN" : "0022-3751 (Print)\\r0022-3751 (Linking)", "ISSN" : "0022-3751", "PMID" : "17884923", "abstract" : "Apart from gating by interaction with betagamma subunits from heterotrimeric G proteins upon stimulation of appropriate receptors, Kir.3 channels have been shown to be gated by intracellular Na+. However, no information is available on how Na+-dependent gating affects endogenous Kir3.1/Kir3.4 channels in mammalian atrial myocytes. We therefore studied how loading of adult atrial myocytes from rat hearts via the patch pipette filling solution with different concentrations of Na+ ([Na+]pip) affects Kir3 current. Surprisingly, in a range between 0 and 60 mm, Na+ neither had an effect on basal inward-rectifier current nor on the current activated by acetylcholine. Overexpression of Kir3.4 in adult atrial myocytes forced by adenoviral gene transfer results in formation of functional homomeric channels that interact with betagamma subunits upon activation of endogenous muscarinic receptors. These channels are activated at [Na+]pip &gt;or= 15 mm, resulting in a receptor-independent basal inward rectifier current (I bir). I bir was neither affected by pertussis toxin nor by GDP-beta-S, suggesting G-protein-independent activation. PIP(2) depletion via endogenous PLC-coupled alpha1 adrenergic receptors causes inhibition of endogenous Kir3.1/3.4 channel currents by about 75%. In contrast, inhibition of Na+-activated I bir amounts to &lt; 20%. The effect of the Kir3 channel blocker tertiapin-Q can be described using an IC50 of 12 nm (endogenous I K(ACh)) and 0.61 nm (I bir). These data clearly identify I bir as a homotetrameric Kir3.4 channel current with novel properties of regulation and pharmacology. Ibir shares some properties with a basal current recently described in atrial myocytes from an animal model of atrial fibrillation (AF) and AF patients.", "author" : [ { "dropping-particle" : "", "family" : "Mintert", "given" : "Elisa", "non-dropping-particle" : "", "parse-names" : false, "suffix" : "" }, { "dropping-particle" : "", "family" : "B\u00f6sche", "given" : "Leif I", "non-dropping-particle" : "", "parse-names" : false, "suffix" : "" }, { "dropping-particle" : "", "family" : "Rinne", "given" : "Andreas", "non-dropping-particle" : "", "parse-names" : false, "suffix" : "" }, { "dropping-particle" : "", "family" : "Timpert", "given" : "Mathias", "non-dropping-particle" : "", "parse-names" : false, "suffix" : "" }, { "dropping-particle" : "", "family" : "Kienitz", "given" : "Marie-C\u00e9cile", "non-dropping-particle" : "", "parse-names" : false, "suffix" : "" }, { "dropping-particle" : "", "family" : "Pott", "given" : "Lutz", "non-dropping-particle" : "", "parse-names" : false, "suffix" : "" }, { "dropping-particle" : "", "family" : "Bender", "given" : "Kirsten", "non-dropping-particle" : "", "parse-names" : false, "suffix" : "" } ], "container-title" : "The Journal of physiology", "id" : "ITEM-1", "issue" : "Pt 1", "issued" : { "date-parts" : [ [ "2007" ] ] }, "page" : "3-13", "title" : "Generation of a constitutive Na+-dependent inward-rectifier current in rat adult atrial myocytes by overexpression of Kir3.4.", "type" : "article-journal", "volume" : "585" }, "uris" : [ "http://www.mendeley.com/documents/?uuid=b2c9c32c-6126-48e0-8b23-5c3090fa3fe8" ] } ], "mendeley" : { "formattedCitation" : "(19)", "plainTextFormattedCitation" : "(19)", "previouslyFormattedCitation" : "(19)" }, "properties" : { "noteIndex" : 0 }, "schema" : "https://github.com/citation-style-language/schema/raw/master/csl-citation.json" }</w:instrText>
      </w:r>
      <w:r w:rsidR="00C30026">
        <w:rPr>
          <w:rFonts w:ascii="Times New Roman" w:hAnsi="Times New Roman"/>
          <w:sz w:val="24"/>
          <w:szCs w:val="24"/>
          <w:lang w:val="en-GB"/>
        </w:rPr>
        <w:fldChar w:fldCharType="separate"/>
      </w:r>
      <w:r w:rsidR="00C30026" w:rsidRPr="00C30026">
        <w:rPr>
          <w:rFonts w:ascii="Times New Roman" w:hAnsi="Times New Roman"/>
          <w:noProof/>
          <w:sz w:val="24"/>
          <w:szCs w:val="24"/>
          <w:lang w:val="en-GB"/>
        </w:rPr>
        <w:t>(19)</w:t>
      </w:r>
      <w:r w:rsidR="00C30026">
        <w:rPr>
          <w:rFonts w:ascii="Times New Roman" w:hAnsi="Times New Roman"/>
          <w:sz w:val="24"/>
          <w:szCs w:val="24"/>
          <w:lang w:val="en-GB"/>
        </w:rPr>
        <w:fldChar w:fldCharType="end"/>
      </w:r>
      <w:r>
        <w:rPr>
          <w:rFonts w:ascii="Times New Roman" w:hAnsi="Times New Roman"/>
          <w:sz w:val="24"/>
          <w:szCs w:val="24"/>
          <w:lang w:val="en-GB"/>
        </w:rPr>
        <w:t xml:space="preserve">. In the adrenal glands GIRK4 </w:t>
      </w:r>
      <w:r w:rsidRPr="00B027CD">
        <w:rPr>
          <w:rFonts w:ascii="Times New Roman" w:hAnsi="Times New Roman"/>
          <w:sz w:val="24"/>
          <w:szCs w:val="24"/>
          <w:lang w:val="en-GB"/>
        </w:rPr>
        <w:t>is e</w:t>
      </w:r>
      <w:r>
        <w:rPr>
          <w:rFonts w:ascii="Times New Roman" w:hAnsi="Times New Roman"/>
          <w:sz w:val="24"/>
          <w:szCs w:val="24"/>
          <w:lang w:val="en-GB"/>
        </w:rPr>
        <w:t>x</w:t>
      </w:r>
      <w:r w:rsidRPr="00B027CD">
        <w:rPr>
          <w:rFonts w:ascii="Times New Roman" w:hAnsi="Times New Roman"/>
          <w:sz w:val="24"/>
          <w:szCs w:val="24"/>
          <w:lang w:val="en-GB"/>
        </w:rPr>
        <w:t>pressed</w:t>
      </w:r>
      <w:r>
        <w:rPr>
          <w:rFonts w:ascii="Times New Roman" w:hAnsi="Times New Roman"/>
          <w:sz w:val="24"/>
          <w:szCs w:val="24"/>
          <w:lang w:val="en-GB"/>
        </w:rPr>
        <w:t xml:space="preserve"> in APAs, fetal and adult normal adrenals </w:t>
      </w:r>
      <w:r w:rsidR="00C30026">
        <w:rPr>
          <w:rFonts w:ascii="Times New Roman" w:hAnsi="Times New Roman"/>
          <w:sz w:val="24"/>
          <w:szCs w:val="24"/>
          <w:lang w:val="en-GB"/>
        </w:rPr>
        <w:fldChar w:fldCharType="begin" w:fldLock="1"/>
      </w:r>
      <w:r w:rsidR="00D15617">
        <w:rPr>
          <w:rFonts w:ascii="Times New Roman" w:hAnsi="Times New Roman"/>
          <w:sz w:val="24"/>
          <w:szCs w:val="24"/>
          <w:lang w:val="en-GB"/>
        </w:rPr>
        <w:instrText>ADDIN CSL_CITATION { "citationItems" : [ { "id" : "ITEM-1", "itemData" : { "DOI" : "10.1210/jc.2011-3132", "ISBN" : "1945-7197 (Electronic) 0021-972X (Linking)", "ISSN" : "0021972X", "PMID" : "22628608", "abstract" : "Primary aldosteronism is a heterogeneous disease that includes both sporadic and familial forms. A point mutation in the KCNJ5 gene is responsible for familial hyperaldosteronism type III. Somatic mutations in KCNJ5 also occur in sporadic aldosterone producing adenomas (APA).", "author" : [ { "dropping-particle" : "", "family" : "Monticone", "given" : "Silvia", "non-dropping-particle" : "", "parse-names" : false, "suffix" : "" }, { "dropping-particle" : "", "family" : "Hattangady", "given" : "Namita G.", "non-dropping-particle" : "", "parse-names" : false, "suffix" : "" }, { "dropping-particle" : "", "family" : "Nishimoto", "given" : "Koshiro", "non-dropping-particle" : "", "parse-names" : false, "suffix" : "" }, { "dropping-particle" : "", "family" : "Mantero", "given" : "Franco", "non-dropping-particle" : "", "parse-names" : false, "suffix" : "" }, { "dropping-particle" : "", "family" : "Rubin", "given" : "Beatrice", "non-dropping-particle" : "", "parse-names" : false, "suffix" : "" }, { "dropping-particle" : "", "family" : "Cicala", "given" : "Maria Verena", "non-dropping-particle" : "", "parse-names" : false, "suffix" : "" }, { "dropping-particle" : "", "family" : "Pezzani", "given" : "Raffaele", "non-dropping-particle" : "", "parse-names" : false, "suffix" : "" }, { "dropping-particle" : "", "family" : "Auchus", "given" : "Richard J.", "non-dropping-particle" : "", "parse-names" : false, "suffix" : "" }, { "dropping-particle" : "", "family" : "Ghayee", "given" : "Hans K.", "non-dropping-particle" : "", "parse-names" : false, "suffix" : "" }, { "dropping-particle" : "", "family" : "Shibata", "given" : "Hirotaka", "non-dropping-particle" : "", "parse-names" : false, "suffix" : "" }, { "dropping-particle" : "", "family" : "Kurihara", "given" : "Isao", "non-dropping-particle" : "", "parse-names" : false, "suffix" : "" }, { "dropping-particle" : "", "family" : "Williams", "given" : "Tracy A.", "non-dropping-particle" : "", "parse-names" : false, "suffix" : "" }, { "dropping-particle" : "", "family" : "Giri", "given" : "Judith G.", "non-dropping-particle" : "", "parse-names" : false, "suffix" : "" }, { "dropping-particle" : "", "family" : "Bollag", "given" : "Roni J.", "non-dropping-particle" : "", "parse-names" : false, "suffix" : "" }, { "dropping-particle" : "", "family" : "Edwards", "given" : "Michael A.", "non-dropping-particle" : "", "parse-names" : false, "suffix" : "" }, { "dropping-particle" : "", "family" : "Isales", "given" : "Carlos M.", "non-dropping-particle" : "", "parse-names" : false, "suffix" : "" }, { "dropping-particle" : "", "family" : "Rainey", "given" : "William E.", "non-dropping-particle" : "", "parse-names" : false, "suffix" : "" } ], "container-title" : "Journal of Clinical Endocrinology and Metabolism", "id" : "ITEM-1", "issue" : "8", "issued" : { "date-parts" : [ [ "2012" ] ] }, "page" : "1567-1572", "title" : "Effect of KCNJ5 mutations on gene expression in aldosterone-producing adenomas and adrenocortical cells", "type" : "article-journal", "volume" : "97" }, "uris" : [ "http://www.mendeley.com/documents/?uuid=8990796e-cfa0-4e59-a3d8-e531089e3909" ] } ], "mendeley" : { "formattedCitation" : "(20)", "plainTextFormattedCitation" : "(20)", "previouslyFormattedCitation" : "(20)" }, "properties" : { "noteIndex" : 0 }, "schema" : "https://github.com/citation-style-language/schema/raw/master/csl-citation.json" }</w:instrText>
      </w:r>
      <w:r w:rsidR="00C30026">
        <w:rPr>
          <w:rFonts w:ascii="Times New Roman" w:hAnsi="Times New Roman"/>
          <w:sz w:val="24"/>
          <w:szCs w:val="24"/>
          <w:lang w:val="en-GB"/>
        </w:rPr>
        <w:fldChar w:fldCharType="separate"/>
      </w:r>
      <w:r w:rsidR="00C30026" w:rsidRPr="00C30026">
        <w:rPr>
          <w:rFonts w:ascii="Times New Roman" w:hAnsi="Times New Roman"/>
          <w:noProof/>
          <w:sz w:val="24"/>
          <w:szCs w:val="24"/>
          <w:lang w:val="en-GB"/>
        </w:rPr>
        <w:t>(20)</w:t>
      </w:r>
      <w:r w:rsidR="00C30026">
        <w:rPr>
          <w:rFonts w:ascii="Times New Roman" w:hAnsi="Times New Roman"/>
          <w:sz w:val="24"/>
          <w:szCs w:val="24"/>
          <w:lang w:val="en-GB"/>
        </w:rPr>
        <w:fldChar w:fldCharType="end"/>
      </w:r>
      <w:r>
        <w:rPr>
          <w:rFonts w:ascii="Times New Roman" w:hAnsi="Times New Roman"/>
          <w:sz w:val="24"/>
          <w:szCs w:val="24"/>
          <w:lang w:val="en-GB"/>
        </w:rPr>
        <w:t>, where it is localized</w:t>
      </w:r>
      <w:r w:rsidRPr="00120ADD">
        <w:rPr>
          <w:rFonts w:ascii="Times New Roman" w:hAnsi="Times New Roman"/>
          <w:sz w:val="24"/>
          <w:szCs w:val="24"/>
          <w:lang w:val="en-GB"/>
        </w:rPr>
        <w:t xml:space="preserve"> to the </w:t>
      </w:r>
      <w:r w:rsidRPr="00120ADD">
        <w:rPr>
          <w:rFonts w:ascii="Times New Roman" w:hAnsi="Times New Roman"/>
          <w:i/>
          <w:sz w:val="24"/>
          <w:szCs w:val="24"/>
          <w:lang w:val="en-GB"/>
        </w:rPr>
        <w:t>zona glomerulosa</w:t>
      </w:r>
      <w:r w:rsidRPr="00120ADD">
        <w:rPr>
          <w:rFonts w:ascii="Times New Roman" w:hAnsi="Times New Roman"/>
          <w:sz w:val="24"/>
          <w:szCs w:val="24"/>
          <w:lang w:val="en-GB"/>
        </w:rPr>
        <w:t> </w:t>
      </w:r>
      <w:r w:rsidRPr="00120ADD">
        <w:rPr>
          <w:rFonts w:ascii="Times New Roman" w:hAnsi="Times New Roman"/>
          <w:sz w:val="24"/>
          <w:szCs w:val="24"/>
          <w:lang w:val="en-GB"/>
        </w:rPr>
        <w:t>and</w:t>
      </w:r>
      <w:r w:rsidRPr="00120ADD">
        <w:rPr>
          <w:rFonts w:ascii="Times New Roman" w:hAnsi="Times New Roman"/>
          <w:sz w:val="24"/>
          <w:szCs w:val="24"/>
          <w:lang w:val="en-GB"/>
        </w:rPr>
        <w:t> </w:t>
      </w:r>
      <w:r w:rsidRPr="00120ADD">
        <w:rPr>
          <w:rFonts w:ascii="Times New Roman" w:hAnsi="Times New Roman"/>
          <w:sz w:val="24"/>
          <w:szCs w:val="24"/>
          <w:lang w:val="en-GB"/>
        </w:rPr>
        <w:t>to</w:t>
      </w:r>
      <w:r w:rsidRPr="00120ADD">
        <w:rPr>
          <w:rFonts w:ascii="Times New Roman" w:hAnsi="Times New Roman"/>
          <w:sz w:val="24"/>
          <w:szCs w:val="24"/>
          <w:lang w:val="en-GB"/>
        </w:rPr>
        <w:t> </w:t>
      </w:r>
      <w:r w:rsidRPr="00120ADD">
        <w:rPr>
          <w:rFonts w:ascii="Times New Roman" w:hAnsi="Times New Roman"/>
          <w:sz w:val="24"/>
          <w:szCs w:val="24"/>
          <w:lang w:val="en-GB"/>
        </w:rPr>
        <w:t>the</w:t>
      </w:r>
      <w:r w:rsidRPr="00120ADD">
        <w:rPr>
          <w:rFonts w:ascii="Times New Roman" w:hAnsi="Times New Roman"/>
          <w:sz w:val="24"/>
          <w:szCs w:val="24"/>
          <w:lang w:val="en-GB"/>
        </w:rPr>
        <w:t> </w:t>
      </w:r>
      <w:r w:rsidRPr="00120ADD">
        <w:rPr>
          <w:rFonts w:ascii="Times New Roman" w:hAnsi="Times New Roman"/>
          <w:sz w:val="24"/>
          <w:szCs w:val="24"/>
          <w:lang w:val="en-GB"/>
        </w:rPr>
        <w:t>outer</w:t>
      </w:r>
      <w:r w:rsidRPr="00120ADD">
        <w:rPr>
          <w:rFonts w:ascii="Times New Roman" w:hAnsi="Times New Roman"/>
          <w:sz w:val="24"/>
          <w:szCs w:val="24"/>
          <w:lang w:val="en-GB"/>
        </w:rPr>
        <w:t> </w:t>
      </w:r>
      <w:r w:rsidRPr="00120ADD">
        <w:rPr>
          <w:rFonts w:ascii="Times New Roman" w:hAnsi="Times New Roman"/>
          <w:sz w:val="24"/>
          <w:szCs w:val="24"/>
          <w:lang w:val="en-GB"/>
        </w:rPr>
        <w:t>part</w:t>
      </w:r>
      <w:r w:rsidRPr="00120ADD">
        <w:rPr>
          <w:rFonts w:ascii="Times New Roman" w:hAnsi="Times New Roman"/>
          <w:sz w:val="24"/>
          <w:szCs w:val="24"/>
          <w:lang w:val="en-GB"/>
        </w:rPr>
        <w:t> </w:t>
      </w:r>
      <w:r w:rsidRPr="00120ADD">
        <w:rPr>
          <w:rFonts w:ascii="Times New Roman" w:hAnsi="Times New Roman"/>
          <w:sz w:val="24"/>
          <w:szCs w:val="24"/>
          <w:lang w:val="en-GB"/>
        </w:rPr>
        <w:t>of</w:t>
      </w:r>
      <w:r w:rsidRPr="00120ADD">
        <w:rPr>
          <w:rFonts w:ascii="Times New Roman" w:hAnsi="Times New Roman"/>
          <w:sz w:val="24"/>
          <w:szCs w:val="24"/>
          <w:lang w:val="en-GB"/>
        </w:rPr>
        <w:t> </w:t>
      </w:r>
      <w:r w:rsidRPr="00120ADD">
        <w:rPr>
          <w:rFonts w:ascii="Times New Roman" w:hAnsi="Times New Roman"/>
          <w:sz w:val="24"/>
          <w:szCs w:val="24"/>
          <w:lang w:val="en-GB"/>
        </w:rPr>
        <w:t>the</w:t>
      </w:r>
      <w:r w:rsidRPr="00120ADD">
        <w:rPr>
          <w:rFonts w:ascii="Times New Roman" w:hAnsi="Times New Roman"/>
          <w:sz w:val="24"/>
          <w:szCs w:val="24"/>
          <w:lang w:val="en-GB"/>
        </w:rPr>
        <w:t> </w:t>
      </w:r>
      <w:r w:rsidRPr="00120ADD">
        <w:rPr>
          <w:rFonts w:ascii="Times New Roman" w:hAnsi="Times New Roman"/>
          <w:i/>
          <w:sz w:val="24"/>
          <w:szCs w:val="24"/>
          <w:lang w:val="en-GB"/>
        </w:rPr>
        <w:t>zona</w:t>
      </w:r>
      <w:r w:rsidRPr="00120ADD">
        <w:rPr>
          <w:rFonts w:ascii="Times New Roman" w:hAnsi="Times New Roman"/>
          <w:i/>
          <w:sz w:val="24"/>
          <w:szCs w:val="24"/>
          <w:lang w:val="en-GB"/>
        </w:rPr>
        <w:t> </w:t>
      </w:r>
      <w:r w:rsidRPr="00120ADD">
        <w:rPr>
          <w:rFonts w:ascii="Times New Roman" w:hAnsi="Times New Roman"/>
          <w:i/>
          <w:sz w:val="24"/>
          <w:szCs w:val="24"/>
          <w:lang w:val="en-GB"/>
        </w:rPr>
        <w:t>fasciculata</w:t>
      </w:r>
      <w:r>
        <w:rPr>
          <w:rFonts w:ascii="Times New Roman" w:hAnsi="Times New Roman"/>
          <w:i/>
          <w:sz w:val="24"/>
          <w:szCs w:val="24"/>
          <w:lang w:val="en-GB"/>
        </w:rPr>
        <w:t xml:space="preserve"> </w:t>
      </w:r>
      <w:r w:rsidR="00C30026">
        <w:rPr>
          <w:rFonts w:ascii="Times New Roman" w:hAnsi="Times New Roman"/>
          <w:i/>
          <w:sz w:val="24"/>
          <w:szCs w:val="24"/>
          <w:lang w:val="en-GB"/>
        </w:rPr>
        <w:fldChar w:fldCharType="begin" w:fldLock="1"/>
      </w:r>
      <w:r w:rsidR="00DE6C5E">
        <w:rPr>
          <w:rFonts w:ascii="Times New Roman" w:hAnsi="Times New Roman"/>
          <w:i/>
          <w:sz w:val="24"/>
          <w:szCs w:val="24"/>
          <w:lang w:val="en-GB"/>
        </w:rPr>
        <w:instrText>ADDIN CSL_CITATION { "citationItems" : [ { "id" : "ITEM-1", "itemData" : { "DOI" : "10.1126/science.1198785", "ISBN" : "1095-9203 (Electronic)\r0036-8075 (Linking)", "ISSN" : "0036-8075", "PMID" : "21311022", "author" : [ { "dropping-particle" : "", "family" : "Choi", "given" : "M.", "non-dropping-particle" : "", "parse-names" : false, "suffix" : "" }, { "dropping-particle" : "", "family" : "Scholl", "given" : "U. I.", "non-dropping-particle" : "", "parse-names" : false, "suffix" : "" }, { "dropping-particle" : "", "family" : "Yue", "given" : "P.", "non-dropping-particle" : "", "parse-names" : false, "suffix" : "" }, { "dropping-particle" : "", "family" : "Bjorklund", "given" : "P.", "non-dropping-particle" : "", "parse-names" : false, "suffix" : "" }, { "dropping-particle" : "", "family" : "Zhao", "given" : "B.", "non-dropping-particle" : "", "parse-names" : false, "suffix" : "" }, { "dropping-particle" : "", "family" : "Nelson-Williams", "given" : "C.", "non-dropping-particle" : "", "parse-names" : false, "suffix" : "" }, { "dropping-particle" : "", "family" : "Ji", "given" : "W.", "non-dropping-particle" : "", "parse-names" : false, "suffix" : "" }, { "dropping-particle" : "", "family" : "Cho", "given" : "Y.", "non-dropping-particle" : "", "parse-names" : false, "suffix" : "" }, { "dropping-particle" : "", "family" : "Patel", "given" : "A.", "non-dropping-particle" : "", "parse-names" : false, "suffix" : "" }, { "dropping-particle" : "", "family" : "Men", "given" : "C. J.", "non-dropping-particle" : "", "parse-names" : false, "suffix" : "" }, { "dropping-particle" : "", "family" : "Lolis", "given" : "E.", "non-dropping-particle" : "", "parse-names" : false, "suffix" : "" }, { "dropping-particle" : "V.", "family" : "Wisgerhof", "given" : "M.", "non-dropping-particle" : "", "parse-names" : false, "suffix" : "" }, { "dropping-particle" : "", "family" : "Geller", "given" : "D. S.", "non-dropping-particle" : "", "parse-names" : false, "suffix" : "" }, { "dropping-particle" : "", "family" : "Mane", "given" : "S.", "non-dropping-particle" : "", "parse-names" : false, "suffix" : "" }, { "dropping-particle" : "", "family" : "Hellman", "given" : "P.", "non-dropping-particle" : "", "parse-names" : false, "suffix" : "" }, { "dropping-particle" : "", "family" : "Westin", "given" : "G.", "non-dropping-particle" : "", "parse-names" : false, "suffix" : "" }, { "dropping-particle" : "", "family" : "Akerstrom", "given" : "G.", "non-dropping-particle" : "", "parse-names" : false, "suffix" : "" }, { "dropping-particle" : "", "family" : "Wang", "given" : "W.", "non-dropping-particle" : "", "parse-names" : false, "suffix" : "" }, { "dropping-particle" : "", "family" : "Carling", "given" : "T.", "non-dropping-particle" : "", "parse-names" : false, "suffix" : "" }, { "dropping-particle" : "", "family" : "Lifton", "given" : "R. P.", "non-dropping-particle" : "", "parse-names" : false, "suffix" : "" } ], "container-title" : "Science", "id" : "ITEM-1", "issue" : "6018", "issued" : { "date-parts" : [ [ "2011" ] ] }, "page" : "768-772", "title" : "K+ Channel Mutations in Adrenal Aldosterone-Producing Adenomas and Hereditary Hypertension", "type" : "article-journal", "volume" : "331" }, "uris" : [ "http://www.mendeley.com/documents/?uuid=ba17704a-d0b7-472c-a12e-d3d7002d5cf5" ] }, { "id" : "ITEM-2", "itemData" : { "DOI" : "10.1210/jc.2011-3132", "ISBN" : "1945-7197 (Electronic) 0021-972X (Linking)", "ISSN" : "0021972X", "PMID" : "22628608", "abstract" : "Primary aldosteronism is a heterogeneous disease that includes both sporadic and familial forms. A point mutation in the KCNJ5 gene is responsible for familial hyperaldosteronism type III. Somatic mutations in KCNJ5 also occur in sporadic aldosterone producing adenomas (APA).", "author" : [ { "dropping-particle" : "", "family" : "Monticone", "given" : "Silvia", "non-dropping-particle" : "", "parse-names" : false, "suffix" : "" }, { "dropping-particle" : "", "family" : "Hattangady", "given" : "Namita G.", "non-dropping-particle" : "", "parse-names" : false, "suffix" : "" }, { "dropping-particle" : "", "family" : "Nishimoto", "given" : "Koshiro", "non-dropping-particle" : "", "parse-names" : false, "suffix" : "" }, { "dropping-particle" : "", "family" : "Mantero", "given" : "Franco", "non-dropping-particle" : "", "parse-names" : false, "suffix" : "" }, { "dropping-particle" : "", "family" : "Rubin", "given" : "Beatrice", "non-dropping-particle" : "", "parse-names" : false, "suffix" : "" }, { "dropping-particle" : "", "family" : "Cicala", "given" : "Maria Verena", "non-dropping-particle" : "", "parse-names" : false, "suffix" : "" }, { "dropping-particle" : "", "family" : "Pezzani", "given" : "Raffaele", "non-dropping-particle" : "", "parse-names" : false, "suffix" : "" }, { "dropping-particle" : "", "family" : "Auchus", "given" : "Richard J.", "non-dropping-particle" : "", "parse-names" : false, "suffix" : "" }, { "dropping-particle" : "", "family" : "Ghayee", "given" : "Hans K.", "non-dropping-particle" : "", "parse-names" : false, "suffix" : "" }, { "dropping-particle" : "", "family" : "Shibata", "given" : "Hirotaka", "non-dropping-particle" : "", "parse-names" : false, "suffix" : "" }, { "dropping-particle" : "", "family" : "Kurihara", "given" : "Isao", "non-dropping-particle" : "", "parse-names" : false, "suffix" : "" }, { "dropping-particle" : "", "family" : "Williams", "given" : "Tracy A.", "non-dropping-particle" : "", "parse-names" : false, "suffix" : "" }, { "dropping-particle" : "", "family" : "Giri", "given" : "Judith G.", "non-dropping-particle" : "", "parse-names" : false, "suffix" : "" }, { "dropping-particle" : "", "family" : "Bollag", "given" : "Roni J.", "non-dropping-particle" : "", "parse-names" : false, "suffix" : "" }, { "dropping-particle" : "", "family" : "Edwards", "given" : "Michael A.", "non-dropping-particle" : "", "parse-names" : false, "suffix" : "" }, { "dropping-particle" : "", "family" : "Isales", "given" : "Carlos M.", "non-dropping-particle" : "", "parse-names" : false, "suffix" : "" }, { "dropping-particle" : "", "family" : "Rainey", "given" : "William E.", "non-dropping-particle" : "", "parse-names" : false, "suffix" : "" } ], "container-title" : "Journal of Clinical Endocrinology and Metabolism", "id" : "ITEM-2", "issue" : "8", "issued" : { "date-parts" : [ [ "2012" ] ] }, "page" : "1567-1572", "title" : "Effect of KCNJ5 mutations on gene expression in aldosterone-producing adenomas and adrenocortical cells", "type" : "article-journal", "volume" : "97" }, "uris" : [ "http://www.mendeley.com/documents/?uuid=8990796e-cfa0-4e59-a3d8-e531089e3909" ] } ], "mendeley" : { "formattedCitation" : "(12,20)", "plainTextFormattedCitation" : "(12,20)", "previouslyFormattedCitation" : "(12,20)" }, "properties" : { "noteIndex" : 0 }, "schema" : "https://github.com/citation-style-language/schema/raw/master/csl-citation.json" }</w:instrText>
      </w:r>
      <w:r w:rsidR="00C30026">
        <w:rPr>
          <w:rFonts w:ascii="Times New Roman" w:hAnsi="Times New Roman"/>
          <w:i/>
          <w:sz w:val="24"/>
          <w:szCs w:val="24"/>
          <w:lang w:val="en-GB"/>
        </w:rPr>
        <w:fldChar w:fldCharType="separate"/>
      </w:r>
      <w:r w:rsidR="00D15617" w:rsidRPr="00D15617">
        <w:rPr>
          <w:rFonts w:ascii="Times New Roman" w:hAnsi="Times New Roman"/>
          <w:noProof/>
          <w:sz w:val="24"/>
          <w:szCs w:val="24"/>
          <w:lang w:val="en-GB"/>
        </w:rPr>
        <w:t>(12,20)</w:t>
      </w:r>
      <w:r w:rsidR="00C30026">
        <w:rPr>
          <w:rFonts w:ascii="Times New Roman" w:hAnsi="Times New Roman"/>
          <w:i/>
          <w:sz w:val="24"/>
          <w:szCs w:val="24"/>
          <w:lang w:val="en-GB"/>
        </w:rPr>
        <w:fldChar w:fldCharType="end"/>
      </w:r>
      <w:r>
        <w:rPr>
          <w:rFonts w:ascii="Times New Roman" w:hAnsi="Times New Roman"/>
          <w:sz w:val="24"/>
          <w:szCs w:val="24"/>
          <w:lang w:val="en-GB"/>
        </w:rPr>
        <w:t>.</w:t>
      </w:r>
    </w:p>
    <w:p w14:paraId="3AC4689C" w14:textId="77777777" w:rsidR="007143EE" w:rsidRDefault="007143EE" w:rsidP="00120ADD">
      <w:pPr>
        <w:spacing w:after="0" w:line="480" w:lineRule="auto"/>
        <w:jc w:val="both"/>
        <w:rPr>
          <w:rFonts w:ascii="Times New Roman" w:hAnsi="Times New Roman"/>
          <w:sz w:val="24"/>
          <w:szCs w:val="24"/>
          <w:lang w:val="en-GB"/>
        </w:rPr>
      </w:pPr>
      <w:r>
        <w:rPr>
          <w:rFonts w:ascii="Times New Roman" w:hAnsi="Times New Roman"/>
          <w:sz w:val="24"/>
          <w:szCs w:val="24"/>
          <w:lang w:val="en-GB"/>
        </w:rPr>
        <w:t xml:space="preserve">Under physiological conditions, adrenal </w:t>
      </w:r>
      <w:r w:rsidRPr="00E6402E">
        <w:rPr>
          <w:rFonts w:ascii="Times New Roman" w:hAnsi="Times New Roman"/>
          <w:i/>
          <w:iCs/>
          <w:sz w:val="24"/>
          <w:szCs w:val="24"/>
          <w:lang w:val="en-GB"/>
        </w:rPr>
        <w:t>zona glomerulosa</w:t>
      </w:r>
      <w:r>
        <w:rPr>
          <w:rFonts w:ascii="Times New Roman" w:hAnsi="Times New Roman"/>
          <w:sz w:val="24"/>
          <w:szCs w:val="24"/>
          <w:lang w:val="en-GB"/>
        </w:rPr>
        <w:t xml:space="preserve"> cells display high resting K</w:t>
      </w:r>
      <w:r>
        <w:rPr>
          <w:rFonts w:ascii="Times New Roman" w:hAnsi="Times New Roman"/>
          <w:sz w:val="24"/>
          <w:szCs w:val="24"/>
          <w:vertAlign w:val="superscript"/>
          <w:lang w:val="en-GB"/>
        </w:rPr>
        <w:t>+</w:t>
      </w:r>
      <w:r>
        <w:rPr>
          <w:rFonts w:ascii="Times New Roman" w:hAnsi="Times New Roman"/>
          <w:sz w:val="24"/>
          <w:szCs w:val="24"/>
          <w:lang w:val="en-GB"/>
        </w:rPr>
        <w:t xml:space="preserve"> conductance and GIRK4 contributes to the maintenance of the cell membrane in a hyperpolarized state. All the mutations alter highly conserved amino acids and affect the selectivity filter of the channel. Electrophysiological studies showed that </w:t>
      </w:r>
      <w:r w:rsidRPr="001E2DEF">
        <w:rPr>
          <w:rFonts w:ascii="Times New Roman" w:hAnsi="Times New Roman"/>
          <w:i/>
          <w:sz w:val="24"/>
          <w:szCs w:val="24"/>
          <w:lang w:val="en-GB"/>
        </w:rPr>
        <w:t>KCNJ5</w:t>
      </w:r>
      <w:r>
        <w:rPr>
          <w:rFonts w:ascii="Times New Roman" w:hAnsi="Times New Roman"/>
          <w:sz w:val="24"/>
          <w:szCs w:val="24"/>
          <w:lang w:val="en-GB"/>
        </w:rPr>
        <w:t xml:space="preserve"> mutations that cause FH-III result in  loss of ion selectivity, Na</w:t>
      </w:r>
      <w:r>
        <w:rPr>
          <w:rFonts w:ascii="Times New Roman" w:hAnsi="Times New Roman"/>
          <w:sz w:val="24"/>
          <w:szCs w:val="24"/>
          <w:vertAlign w:val="superscript"/>
          <w:lang w:val="en-GB"/>
        </w:rPr>
        <w:t>+</w:t>
      </w:r>
      <w:r>
        <w:rPr>
          <w:rFonts w:ascii="Times New Roman" w:hAnsi="Times New Roman"/>
          <w:sz w:val="24"/>
          <w:szCs w:val="24"/>
          <w:lang w:val="en-GB"/>
        </w:rPr>
        <w:t xml:space="preserve"> entry, cell membrane depolarization and increase intracellular Ca</w:t>
      </w:r>
      <w:r>
        <w:rPr>
          <w:rFonts w:ascii="Times New Roman" w:hAnsi="Times New Roman"/>
          <w:sz w:val="24"/>
          <w:szCs w:val="24"/>
          <w:vertAlign w:val="superscript"/>
          <w:lang w:val="en-GB"/>
        </w:rPr>
        <w:t>2+</w:t>
      </w:r>
      <w:r>
        <w:rPr>
          <w:rFonts w:ascii="Times New Roman" w:hAnsi="Times New Roman"/>
          <w:sz w:val="24"/>
          <w:szCs w:val="24"/>
          <w:lang w:val="en-GB"/>
        </w:rPr>
        <w:t xml:space="preserve"> concentration </w:t>
      </w:r>
      <w:r w:rsidR="00C30026">
        <w:rPr>
          <w:rFonts w:ascii="Times New Roman" w:hAnsi="Times New Roman"/>
          <w:sz w:val="24"/>
          <w:szCs w:val="24"/>
          <w:lang w:val="en-GB"/>
        </w:rPr>
        <w:fldChar w:fldCharType="begin" w:fldLock="1"/>
      </w:r>
      <w:r w:rsidR="00DE6C5E">
        <w:rPr>
          <w:rFonts w:ascii="Times New Roman" w:hAnsi="Times New Roman"/>
          <w:sz w:val="24"/>
          <w:szCs w:val="24"/>
          <w:lang w:val="en-GB"/>
        </w:rPr>
        <w:instrText>ADDIN CSL_CITATION { "citationItems" : [ { "id" : "ITEM-1", "itemData" : { "DOI" : "10.1210/en.2012-1241", "ISBN" : "1945-7170 (Electronic)\r0013-7227 (Linking)", "ISSN" : "00137227", "PMID" : "22798349", "abstract" : "Angiotensin II (A-II) regulation of aldosterone secretion is initiated by inducing cell membrane depolarization, thereby increasing intracellular calcium and activating the calcium calmodulin/calmodulin kinase cascade. Mutations in the selectivity filter of the KCNJ5 gene coding for inward rectifying potassium channel (Kir)3.4 has been found in about one third of aldosterone-producing adenomas. These mutations result in loss of selectivity of the inward rectifying current for potassium, which causes membrane depolarization and opening of calcium channels and activation of the calcium calmodulin/calmodulin kinase cascade and results in an increase in aldosterone secretion. In this study we show that A-II and a calcium ionophore down-regulate the expression of KCNJ5 mRNA and protein. Activation of Kir3.4 by naringin inhibits A-II-stimulated membrane voltage and aldosterone secretion. Overexpression of KCNJ5 in the HAC15 cells using a lentivirus resulted in a decrease in membrane voltage, intracellular calcium, expression of steroidogenic acute regulatory protein, 3-\u03b2-hydroxysteroid dehydrogenase 3B2, cytochrome P450 11B1 and cytochrome P450 11B2 mRNA, and aldosterone synthesis. In conclusion, A-II appears to stimulate aldosterone secretion by depolarizing the membrane acting in part through the regulation of the expression and activity of Kir3.4.", "author" : [ { "dropping-particle" : "", "family" : "Oki", "given" : "Kenji", "non-dropping-particle" : "", "parse-names" : false, "suffix" : "" }, { "dropping-particle" : "", "family" : "Plonczynski", "given" : "Maria W.", "non-dropping-particle" : "", "parse-names" : false, "suffix" : "" }, { "dropping-particle" : "", "family" : "Lam", "given" : "Milay Luis", "non-dropping-particle" : "", "parse-names" : false, "suffix" : "" }, { "dropping-particle" : "", "family" : "Gomez-Sanchez", "given" : "Elise P.", "non-dropping-particle" : "", "parse-names" : false, "suffix" : "" }, { "dropping-particle" : "", "family" : "Gomez-Sanchez", "given" : "Celso E.", "non-dropping-particle" : "", "parse-names" : false, "suffix" : "" } ], "container-title" : "Endocrinology", "id" : "ITEM-1", "issue" : "9", "issued" : { "date-parts" : [ [ "2012" ] ] }, "page" : "4328-4335", "title" : "The potassium channel, Kir3.4 participates in angiotensin II-stimulated aldosterone production by a human adrenocortical cell line", "type" : "article-journal", "volume" : "153" }, "uris" : [ "http://www.mendeley.com/documents/?uuid=78b36869-0a6a-4ba5-8de2-1d7d88bb67ca" ] }, { "id" : "ITEM-2", "itemData" : { "DOI" : "10.1210/jc.20143636", "ISBN" : "1945-7197 (Electronic)\r0021-972X (Linking)", "ISSN" : "19457197", "PMID" : "25322277", "abstract" : "CONTEXT: Familial hyperaldosteronism type III (FH-III) is a rare and clinically heterogeneous condition, that can display mild as well as severe phenotypes. Point mutations in the KCNJ5 gene, affecting the ion selectivity of the inward rectifier K(+) channel 4 (Kir3.4), underlie the molecular basis of FH-III.\\n\\nOBJECTIVE: The objective of the study was to investigate the effects of a de novo germline KCNJ5 mutation.\\n\\nPATIENTS AND METHODS: We describe the case of a girl who came to medical attention at the age of 2 years because of polydipsia, polyuria, and failure to thrive. The patient, affected by hypertension and hypokalemia, was diagnosed with primary aldosteronism on the basis of extremely high aldosterone levels and suppressed plasma renin activity. Genomic DNA was isolated and KCNJ5 sequenced. Human adrenocortical cells were used as an in vitro model for the functional characterization of the mutant channel.\\n\\nRESULTS: KCNJ5 sequencing in the index case and her parents revealed a de novo p.Glu145Gln germline mutation. The substitution resulted in Na(+)-dependent depolarization of adrenal cells and increased intracellular calcium concentration, which activated the transcription of NR4A2 and, in turn, CYP11B2. Pharmacological studies revealed that the mutant channel was insensitive to tertiapin-Q and calcium-channel blocker verapamil.\\n\\nCONCLUSIONS: Herein we report the identification of a novel KCNJ5 germline mutation responsible for severe hyperaldosteronism that presented in infancy with symptoms of diabetes insipidus. The findings of this study further elucidate the etiology of FH-III and expand our knowledge of this rare condition.", "author" : [ { "dropping-particle" : "", "family" : "Monticone", "given" : "Silvia", "non-dropping-particle" : "", "parse-names" : false, "suffix" : "" }, { "dropping-particle" : "", "family" : "Bandulik", "given" : "Sascha", "non-dropping-particle" : "", "parse-names" : false, "suffix" : "" }, { "dropping-particle" : "", "family" : "Stindl", "given" : "Julia", "non-dropping-particle" : "", "parse-names" : false, "suffix" : "" }, { "dropping-particle" : "", "family" : "Zilbermint", "given" : "Mihail", "non-dropping-particle" : "", "parse-names" : false, "suffix" : "" }, { "dropping-particle" : "", "family" : "Dedov", "given" : "Ivan", "non-dropping-particle" : "", "parse-names" : false, "suffix" : "" }, { "dropping-particle" : "", "family" : "Mulatero", "given" : "Paolo", "non-dropping-particle" : "", "parse-names" : false, "suffix" : "" }, { "dropping-particle" : "", "family" : "Allgaeuer", "given" : "Michael", "non-dropping-particle" : "", "parse-names" : false, "suffix" : "" }, { "dropping-particle" : "", "family" : "Lee", "given" : "Chyi Chia Richard", "non-dropping-particle" : "", "parse-names" : false, "suffix" : "" }, { "dropping-particle" : "", "family" : "Stratakis", "given" : "Constantine A.", "non-dropping-particle" : "", "parse-names" : false, "suffix" : "" }, { "dropping-particle" : "", "family" : "Williams", "given" : "Tracy A.", "non-dropping-particle" : "", "parse-names" : false, "suffix" : "" }, { "dropping-particle" : "", "family" : "Tiulpakov", "given" : "Anatoly", "non-dropping-particle" : "", "parse-names" : false, "suffix" : "" } ], "container-title" : "Journal of Clinical Endocrinology and Metabolism", "id" : "ITEM-2", "issue" : "1", "issued" : { "date-parts" : [ [ "2015" ] ] }, "page" : "E114-E118", "title" : "A case of severe hyperaldosteronism caused by a de novo mutation affecting a critical salt bridge Kir3.4 residue", "type" : "article-journal", "volume" : "100" }, "uris" : [ "http://www.mendeley.com/documents/?uuid=78381224-1dbd-4bd7-ab6e-0fef3d72887b" ] } ], "mendeley" : { "formattedCitation" : "(21,22)", "plainTextFormattedCitation" : "(21,22)", "previouslyFormattedCitation" : "(21,22)" }, "properties" : { "noteIndex" : 0 }, "schema" : "https://github.com/citation-style-language/schema/raw/master/csl-citation.json" }</w:instrText>
      </w:r>
      <w:r w:rsidR="00C30026">
        <w:rPr>
          <w:rFonts w:ascii="Times New Roman" w:hAnsi="Times New Roman"/>
          <w:sz w:val="24"/>
          <w:szCs w:val="24"/>
          <w:lang w:val="en-GB"/>
        </w:rPr>
        <w:fldChar w:fldCharType="separate"/>
      </w:r>
      <w:r w:rsidR="00D15617" w:rsidRPr="00D15617">
        <w:rPr>
          <w:rFonts w:ascii="Times New Roman" w:hAnsi="Times New Roman"/>
          <w:noProof/>
          <w:sz w:val="24"/>
          <w:szCs w:val="24"/>
          <w:lang w:val="en-GB"/>
        </w:rPr>
        <w:t>(21,22)</w:t>
      </w:r>
      <w:r w:rsidR="00C30026">
        <w:rPr>
          <w:rFonts w:ascii="Times New Roman" w:hAnsi="Times New Roman"/>
          <w:sz w:val="24"/>
          <w:szCs w:val="24"/>
          <w:lang w:val="en-GB"/>
        </w:rPr>
        <w:fldChar w:fldCharType="end"/>
      </w:r>
      <w:r>
        <w:rPr>
          <w:rFonts w:ascii="Times New Roman" w:hAnsi="Times New Roman"/>
          <w:sz w:val="24"/>
          <w:szCs w:val="24"/>
          <w:lang w:val="en-GB"/>
        </w:rPr>
        <w:t xml:space="preserve">. </w:t>
      </w:r>
      <w:r w:rsidRPr="00B027CD">
        <w:rPr>
          <w:rFonts w:ascii="Times New Roman" w:hAnsi="Times New Roman"/>
          <w:sz w:val="24"/>
          <w:szCs w:val="24"/>
          <w:lang w:val="en-GB"/>
        </w:rPr>
        <w:t xml:space="preserve">The </w:t>
      </w:r>
      <w:r>
        <w:rPr>
          <w:rFonts w:ascii="Times New Roman" w:hAnsi="Times New Roman"/>
          <w:sz w:val="24"/>
          <w:szCs w:val="24"/>
          <w:lang w:val="en-GB"/>
        </w:rPr>
        <w:t xml:space="preserve">increased calcium concentration stimulates the transcription of </w:t>
      </w:r>
      <w:r w:rsidRPr="00273B78">
        <w:rPr>
          <w:rFonts w:ascii="Times New Roman" w:hAnsi="Times New Roman"/>
          <w:i/>
          <w:sz w:val="24"/>
          <w:szCs w:val="24"/>
          <w:lang w:val="en-GB"/>
        </w:rPr>
        <w:t>CYP11B2</w:t>
      </w:r>
      <w:r>
        <w:rPr>
          <w:rFonts w:ascii="Times New Roman" w:hAnsi="Times New Roman"/>
          <w:i/>
          <w:sz w:val="24"/>
          <w:szCs w:val="24"/>
          <w:lang w:val="en-GB"/>
        </w:rPr>
        <w:t xml:space="preserve"> </w:t>
      </w:r>
      <w:r>
        <w:rPr>
          <w:rFonts w:ascii="Times New Roman" w:hAnsi="Times New Roman"/>
          <w:sz w:val="24"/>
          <w:szCs w:val="24"/>
          <w:lang w:val="en-GB"/>
        </w:rPr>
        <w:t xml:space="preserve">through its main transcriptional factor </w:t>
      </w:r>
      <w:r w:rsidRPr="00120ADD">
        <w:rPr>
          <w:rFonts w:ascii="Times New Roman" w:hAnsi="Times New Roman"/>
          <w:i/>
          <w:sz w:val="24"/>
          <w:szCs w:val="24"/>
          <w:lang w:val="en-GB"/>
        </w:rPr>
        <w:t>NR4A2</w:t>
      </w:r>
      <w:r>
        <w:rPr>
          <w:rFonts w:ascii="Times New Roman" w:hAnsi="Times New Roman"/>
          <w:sz w:val="24"/>
          <w:szCs w:val="24"/>
          <w:lang w:val="en-GB"/>
        </w:rPr>
        <w:t xml:space="preserve"> </w:t>
      </w:r>
      <w:r w:rsidR="00456C41">
        <w:rPr>
          <w:rFonts w:ascii="Times New Roman" w:hAnsi="Times New Roman"/>
          <w:sz w:val="24"/>
          <w:szCs w:val="24"/>
          <w:lang w:val="en-GB"/>
        </w:rPr>
        <w:fldChar w:fldCharType="begin" w:fldLock="1"/>
      </w:r>
      <w:r w:rsidR="00BC59ED">
        <w:rPr>
          <w:rFonts w:ascii="Times New Roman" w:hAnsi="Times New Roman"/>
          <w:sz w:val="24"/>
          <w:szCs w:val="24"/>
          <w:lang w:val="en-GB"/>
        </w:rPr>
        <w:instrText>ADDIN CSL_CITATION { "citationItems" : [ { "id" : "ITEM-1", "itemData" : { "DOI" : "10.1210/jc.2011-3132", "ISBN" : "1945-7197 (Electronic) 0021-972X (Linking)", "ISSN" : "0021972X", "PMID" : "22628608", "abstract" : "Primary aldosteronism is a heterogeneous disease that includes both sporadic and familial forms. A point mutation in the KCNJ5 gene is responsible for familial hyperaldosteronism type III. Somatic mutations in KCNJ5 also occur in sporadic aldosterone producing adenomas (APA).", "author" : [ { "dropping-particle" : "", "family" : "Monticone", "given" : "Silvia", "non-dropping-particle" : "", "parse-names" : false, "suffix" : "" }, { "dropping-particle" : "", "family" : "Hattangady", "given" : "Namita G.", "non-dropping-particle" : "", "parse-names" : false, "suffix" : "" }, { "dropping-particle" : "", "family" : "Nishimoto", "given" : "Koshiro", "non-dropping-particle" : "", "parse-names" : false, "suffix" : "" }, { "dropping-particle" : "", "family" : "Mantero", "given" : "Franco", "non-dropping-particle" : "", "parse-names" : false, "suffix" : "" }, { "dropping-particle" : "", "family" : "Rubin", "given" : "Beatrice", "non-dropping-particle" : "", "parse-names" : false, "suffix" : "" }, { "dropping-particle" : "", "family" : "Cicala", "given" : "Maria Verena", "non-dropping-particle" : "", "parse-names" : false, "suffix" : "" }, { "dropping-particle" : "", "family" : "Pezzani", "given" : "Raffaele", "non-dropping-particle" : "", "parse-names" : false, "suffix" : "" }, { "dropping-particle" : "", "family" : "Auchus", "given" : "Richard J.", "non-dropping-particle" : "", "parse-names" : false, "suffix" : "" }, { "dropping-particle" : "", "family" : "Ghayee", "given" : "Hans K.", "non-dropping-particle" : "", "parse-names" : false, "suffix" : "" }, { "dropping-particle" : "", "family" : "Shibata", "given" : "Hirotaka", "non-dropping-particle" : "", "parse-names" : false, "suffix" : "" }, { "dropping-particle" : "", "family" : "Kurihara", "given" : "Isao", "non-dropping-particle" : "", "parse-names" : false, "suffix" : "" }, { "dropping-particle" : "", "family" : "Williams", "given" : "Tracy A.", "non-dropping-particle" : "", "parse-names" : false, "suffix" : "" }, { "dropping-particle" : "", "family" : "Giri", "given" : "Judith G.", "non-dropping-particle" : "", "parse-names" : false, "suffix" : "" }, { "dropping-particle" : "", "family" : "Bollag", "given" : "Roni J.", "non-dropping-particle" : "", "parse-names" : false, "suffix" : "" }, { "dropping-particle" : "", "family" : "Edwards", "given" : "Michael A.", "non-dropping-particle" : "", "parse-names" : false, "suffix" : "" }, { "dropping-particle" : "", "family" : "Isales", "given" : "Carlos M.", "non-dropping-particle" : "", "parse-names" : false, "suffix" : "" }, { "dropping-particle" : "", "family" : "Rainey", "given" : "William E.", "non-dropping-particle" : "", "parse-names" : false, "suffix" : "" } ], "container-title" : "Journal of Clinical Endocrinology and Metabolism", "id" : "ITEM-1", "issue" : "8", "issued" : { "date-parts" : [ [ "2012" ] ] }, "page" : "1567-1572", "title" : "Effect of KCNJ5 mutations on gene expression in aldosterone-producing adenomas and adrenocortical cells", "type" : "article-journal", "volume" : "97" }, "uris" : [ "http://www.mendeley.com/documents/?uuid=8990796e-cfa0-4e59-a3d8-e531089e3909" ] } ], "mendeley" : { "formattedCitation" : "(20)" }, "properties" : { "noteIndex" : 0 }, "schema" : "https://github.com/citation-style-language/schema/raw/master/csl-citation.json" }</w:instrText>
      </w:r>
      <w:r w:rsidR="00456C41">
        <w:rPr>
          <w:rFonts w:ascii="Times New Roman" w:hAnsi="Times New Roman"/>
          <w:sz w:val="24"/>
          <w:szCs w:val="24"/>
          <w:lang w:val="en-GB"/>
        </w:rPr>
        <w:fldChar w:fldCharType="separate"/>
      </w:r>
      <w:r w:rsidR="00D15617" w:rsidRPr="00D15617">
        <w:rPr>
          <w:rFonts w:ascii="Times New Roman" w:hAnsi="Times New Roman"/>
          <w:noProof/>
          <w:sz w:val="24"/>
          <w:szCs w:val="24"/>
          <w:lang w:val="en-GB"/>
        </w:rPr>
        <w:t>(</w:t>
      </w:r>
      <w:r w:rsidR="00BC59ED">
        <w:rPr>
          <w:rFonts w:ascii="Times New Roman" w:hAnsi="Times New Roman"/>
          <w:noProof/>
          <w:sz w:val="24"/>
          <w:szCs w:val="24"/>
          <w:lang w:val="en-GB"/>
        </w:rPr>
        <w:t xml:space="preserve">ref. </w:t>
      </w:r>
      <w:r w:rsidR="00D15617" w:rsidRPr="00D15617">
        <w:rPr>
          <w:rFonts w:ascii="Times New Roman" w:hAnsi="Times New Roman"/>
          <w:noProof/>
          <w:sz w:val="24"/>
          <w:szCs w:val="24"/>
          <w:lang w:val="en-GB"/>
        </w:rPr>
        <w:t>20)</w:t>
      </w:r>
      <w:r w:rsidR="00456C41">
        <w:rPr>
          <w:rFonts w:ascii="Times New Roman" w:hAnsi="Times New Roman"/>
          <w:sz w:val="24"/>
          <w:szCs w:val="24"/>
          <w:lang w:val="en-GB"/>
        </w:rPr>
        <w:fldChar w:fldCharType="end"/>
      </w:r>
      <w:r>
        <w:rPr>
          <w:rFonts w:ascii="Times New Roman" w:hAnsi="Times New Roman"/>
          <w:sz w:val="24"/>
          <w:szCs w:val="24"/>
          <w:lang w:val="en-GB"/>
        </w:rPr>
        <w:t>, which finally results in</w:t>
      </w:r>
      <w:r w:rsidRPr="00B027CD">
        <w:rPr>
          <w:rFonts w:ascii="Times New Roman" w:hAnsi="Times New Roman"/>
          <w:sz w:val="24"/>
          <w:szCs w:val="24"/>
          <w:lang w:val="en-GB"/>
        </w:rPr>
        <w:t xml:space="preserve"> </w:t>
      </w:r>
      <w:r>
        <w:rPr>
          <w:rFonts w:ascii="Times New Roman" w:hAnsi="Times New Roman"/>
          <w:sz w:val="24"/>
          <w:szCs w:val="24"/>
          <w:lang w:val="en-GB"/>
        </w:rPr>
        <w:t>an increased</w:t>
      </w:r>
      <w:r w:rsidRPr="00B027CD">
        <w:rPr>
          <w:rFonts w:ascii="Times New Roman" w:hAnsi="Times New Roman"/>
          <w:sz w:val="24"/>
          <w:szCs w:val="24"/>
          <w:lang w:val="en-GB"/>
        </w:rPr>
        <w:t xml:space="preserve"> aldosterone </w:t>
      </w:r>
      <w:r>
        <w:rPr>
          <w:rFonts w:ascii="Times New Roman" w:hAnsi="Times New Roman"/>
          <w:sz w:val="24"/>
          <w:szCs w:val="24"/>
          <w:lang w:val="en-GB"/>
        </w:rPr>
        <w:t xml:space="preserve">overproduction </w:t>
      </w:r>
      <w:r w:rsidR="00456C41">
        <w:rPr>
          <w:rFonts w:ascii="Times New Roman" w:hAnsi="Times New Roman"/>
          <w:sz w:val="24"/>
          <w:szCs w:val="24"/>
          <w:lang w:val="en-GB"/>
        </w:rPr>
        <w:fldChar w:fldCharType="begin" w:fldLock="1"/>
      </w:r>
      <w:r w:rsidR="00DE6C5E">
        <w:rPr>
          <w:rFonts w:ascii="Times New Roman" w:hAnsi="Times New Roman"/>
          <w:sz w:val="24"/>
          <w:szCs w:val="24"/>
          <w:lang w:val="en-GB"/>
        </w:rPr>
        <w:instrText>ADDIN CSL_CITATION { "citationItems" : [ { "id" : "ITEM-1", "itemData" : { "DOI" : "10.1210/en.2012-1241", "ISBN" : "1945-7170 (Electronic)\r0013-7227 (Linking)", "ISSN" : "00137227", "PMID" : "22798349", "abstract" : "Angiotensin II (A-II) regulation of aldosterone secretion is initiated by inducing cell membrane depolarization, thereby increasing intracellular calcium and activating the calcium calmodulin/calmodulin kinase cascade. Mutations in the selectivity filter of the KCNJ5 gene coding for inward rectifying potassium channel (Kir)3.4 has been found in about one third of aldosterone-producing adenomas. These mutations result in loss of selectivity of the inward rectifying current for potassium, which causes membrane depolarization and opening of calcium channels and activation of the calcium calmodulin/calmodulin kinase cascade and results in an increase in aldosterone secretion. In this study we show that A-II and a calcium ionophore down-regulate the expression of KCNJ5 mRNA and protein. Activation of Kir3.4 by naringin inhibits A-II-stimulated membrane voltage and aldosterone secretion. Overexpression of KCNJ5 in the HAC15 cells using a lentivirus resulted in a decrease in membrane voltage, intracellular calcium, expression of steroidogenic acute regulatory protein, 3-\u03b2-hydroxysteroid dehydrogenase 3B2, cytochrome P450 11B1 and cytochrome P450 11B2 mRNA, and aldosterone synthesis. In conclusion, A-II appears to stimulate aldosterone secretion by depolarizing the membrane acting in part through the regulation of the expression and activity of Kir3.4.", "author" : [ { "dropping-particle" : "", "family" : "Oki", "given" : "Kenji", "non-dropping-particle" : "", "parse-names" : false, "suffix" : "" }, { "dropping-particle" : "", "family" : "Plonczynski", "given" : "Maria W.", "non-dropping-particle" : "", "parse-names" : false, "suffix" : "" }, { "dropping-particle" : "", "family" : "Lam", "given" : "Milay Luis", "non-dropping-particle" : "", "parse-names" : false, "suffix" : "" }, { "dropping-particle" : "", "family" : "Gomez-Sanchez", "given" : "Elise P.", "non-dropping-particle" : "", "parse-names" : false, "suffix" : "" }, { "dropping-particle" : "", "family" : "Gomez-Sanchez", "given" : "Celso E.", "non-dropping-particle" : "", "parse-names" : false, "suffix" : "" } ], "container-title" : "Endocrinology", "id" : "ITEM-1", "issue" : "9", "issued" : { "date-parts" : [ [ "2012" ] ] }, "page" : "4328-4335", "title" : "The potassium channel, Kir3.4 participates in angiotensin II-stimulated aldosterone production by a human adrenocortical cell line", "type" : "article-journal", "volume" : "153" }, "uris" : [ "http://www.mendeley.com/documents/?uuid=78b36869-0a6a-4ba5-8de2-1d7d88bb67ca" ] } ], "mendeley" : { "formattedCitation" : "(21)", "plainTextFormattedCitation" : "(21)", "previouslyFormattedCitation" : "(21)" }, "properties" : { "noteIndex" : 0 }, "schema" : "https://github.com/citation-style-language/schema/raw/master/csl-citation.json" }</w:instrText>
      </w:r>
      <w:r w:rsidR="00456C41">
        <w:rPr>
          <w:rFonts w:ascii="Times New Roman" w:hAnsi="Times New Roman"/>
          <w:sz w:val="24"/>
          <w:szCs w:val="24"/>
          <w:lang w:val="en-GB"/>
        </w:rPr>
        <w:fldChar w:fldCharType="separate"/>
      </w:r>
      <w:r w:rsidR="00D15617" w:rsidRPr="00D15617">
        <w:rPr>
          <w:rFonts w:ascii="Times New Roman" w:hAnsi="Times New Roman"/>
          <w:noProof/>
          <w:sz w:val="24"/>
          <w:szCs w:val="24"/>
          <w:lang w:val="en-GB"/>
        </w:rPr>
        <w:t>(21)</w:t>
      </w:r>
      <w:r w:rsidR="00456C41">
        <w:rPr>
          <w:rFonts w:ascii="Times New Roman" w:hAnsi="Times New Roman"/>
          <w:sz w:val="24"/>
          <w:szCs w:val="24"/>
          <w:lang w:val="en-GB"/>
        </w:rPr>
        <w:fldChar w:fldCharType="end"/>
      </w:r>
      <w:r w:rsidRPr="00B027CD">
        <w:rPr>
          <w:rFonts w:ascii="Times New Roman" w:hAnsi="Times New Roman"/>
          <w:sz w:val="24"/>
          <w:szCs w:val="24"/>
          <w:lang w:val="en-GB"/>
        </w:rPr>
        <w:t>.</w:t>
      </w:r>
      <w:r>
        <w:rPr>
          <w:rFonts w:ascii="Times New Roman" w:hAnsi="Times New Roman"/>
          <w:sz w:val="24"/>
          <w:szCs w:val="24"/>
          <w:lang w:val="en-GB"/>
        </w:rPr>
        <w:t xml:space="preserve"> </w:t>
      </w:r>
    </w:p>
    <w:p w14:paraId="3AC4689D" w14:textId="77777777" w:rsidR="007143EE" w:rsidRDefault="007143EE" w:rsidP="00206A69">
      <w:pPr>
        <w:spacing w:after="0" w:line="480" w:lineRule="auto"/>
        <w:jc w:val="both"/>
        <w:rPr>
          <w:rFonts w:ascii="Times New Roman" w:hAnsi="Times New Roman"/>
          <w:sz w:val="24"/>
          <w:szCs w:val="24"/>
          <w:lang w:val="en-GB"/>
        </w:rPr>
      </w:pPr>
      <w:r>
        <w:rPr>
          <w:rFonts w:ascii="Times New Roman" w:hAnsi="Times New Roman"/>
          <w:sz w:val="24"/>
          <w:szCs w:val="24"/>
          <w:lang w:val="en-GB"/>
        </w:rPr>
        <w:t>Following the original findings by Choi et al., a further</w:t>
      </w:r>
      <w:r w:rsidRPr="00B027CD">
        <w:rPr>
          <w:rFonts w:ascii="Times New Roman" w:hAnsi="Times New Roman"/>
          <w:sz w:val="24"/>
          <w:szCs w:val="24"/>
          <w:lang w:val="en-GB"/>
        </w:rPr>
        <w:t xml:space="preserve"> </w:t>
      </w:r>
      <w:r>
        <w:rPr>
          <w:rFonts w:ascii="Times New Roman" w:hAnsi="Times New Roman"/>
          <w:sz w:val="24"/>
          <w:szCs w:val="24"/>
          <w:lang w:val="en-GB"/>
        </w:rPr>
        <w:t xml:space="preserve">5 germline </w:t>
      </w:r>
      <w:r w:rsidRPr="002D7E77">
        <w:rPr>
          <w:rFonts w:ascii="Times New Roman" w:hAnsi="Times New Roman"/>
          <w:i/>
          <w:sz w:val="24"/>
          <w:szCs w:val="24"/>
          <w:lang w:val="en-GB"/>
        </w:rPr>
        <w:t>KCNJ5</w:t>
      </w:r>
      <w:r>
        <w:rPr>
          <w:rFonts w:ascii="Times New Roman" w:hAnsi="Times New Roman"/>
          <w:sz w:val="24"/>
          <w:szCs w:val="24"/>
          <w:lang w:val="en-GB"/>
        </w:rPr>
        <w:t xml:space="preserve"> mutations (</w:t>
      </w:r>
      <w:r w:rsidRPr="0079249A">
        <w:rPr>
          <w:rFonts w:ascii="Times New Roman" w:hAnsi="Times New Roman"/>
          <w:sz w:val="24"/>
          <w:szCs w:val="24"/>
          <w:lang w:val="en-GB"/>
        </w:rPr>
        <w:t>Figure 1</w:t>
      </w:r>
      <w:r>
        <w:rPr>
          <w:rFonts w:ascii="Times New Roman" w:hAnsi="Times New Roman"/>
          <w:sz w:val="24"/>
          <w:szCs w:val="24"/>
          <w:lang w:val="en-GB"/>
        </w:rPr>
        <w:t xml:space="preserve">) and </w:t>
      </w:r>
      <w:r w:rsidRPr="00437C9C">
        <w:rPr>
          <w:rFonts w:ascii="Times New Roman" w:hAnsi="Times New Roman"/>
          <w:sz w:val="24"/>
          <w:szCs w:val="24"/>
          <w:lang w:val="en-GB"/>
        </w:rPr>
        <w:t>10 FH-III</w:t>
      </w:r>
      <w:r>
        <w:rPr>
          <w:rFonts w:ascii="Times New Roman" w:hAnsi="Times New Roman"/>
          <w:sz w:val="24"/>
          <w:szCs w:val="24"/>
          <w:lang w:val="en-GB"/>
        </w:rPr>
        <w:t xml:space="preserve"> </w:t>
      </w:r>
      <w:r w:rsidRPr="00B027CD">
        <w:rPr>
          <w:rFonts w:ascii="Times New Roman" w:hAnsi="Times New Roman"/>
          <w:sz w:val="24"/>
          <w:szCs w:val="24"/>
          <w:lang w:val="en-GB"/>
        </w:rPr>
        <w:t xml:space="preserve">families </w:t>
      </w:r>
      <w:r>
        <w:rPr>
          <w:rFonts w:ascii="Times New Roman" w:hAnsi="Times New Roman"/>
          <w:sz w:val="24"/>
          <w:szCs w:val="24"/>
          <w:lang w:val="en-GB"/>
        </w:rPr>
        <w:t xml:space="preserve">were reported (plus one in the present manuscript), as shown in </w:t>
      </w:r>
      <w:r w:rsidRPr="0079249A">
        <w:rPr>
          <w:rFonts w:ascii="Times New Roman" w:hAnsi="Times New Roman"/>
          <w:sz w:val="24"/>
          <w:szCs w:val="24"/>
          <w:lang w:val="en-GB"/>
        </w:rPr>
        <w:t>Table 1</w:t>
      </w:r>
      <w:r>
        <w:rPr>
          <w:rFonts w:ascii="Times New Roman" w:hAnsi="Times New Roman"/>
          <w:sz w:val="24"/>
          <w:szCs w:val="24"/>
          <w:lang w:val="en-GB"/>
        </w:rPr>
        <w:t xml:space="preserve">. Of note, studies </w:t>
      </w:r>
      <w:r w:rsidRPr="00E6402E">
        <w:rPr>
          <w:rFonts w:ascii="Times New Roman" w:hAnsi="Times New Roman"/>
          <w:i/>
          <w:sz w:val="24"/>
          <w:szCs w:val="24"/>
          <w:lang w:val="en-GB"/>
        </w:rPr>
        <w:t>in vitro</w:t>
      </w:r>
      <w:r>
        <w:rPr>
          <w:rFonts w:ascii="Times New Roman" w:hAnsi="Times New Roman"/>
          <w:sz w:val="24"/>
          <w:szCs w:val="24"/>
          <w:lang w:val="en-GB"/>
        </w:rPr>
        <w:t xml:space="preserve"> conducted on HAC15 adrenocortical cells, showed that the Tyr152Cys substitution resulted in a milder electrophysiological phenotype compared to other </w:t>
      </w:r>
      <w:r w:rsidRPr="00273B78">
        <w:rPr>
          <w:rFonts w:ascii="Times New Roman" w:hAnsi="Times New Roman"/>
          <w:i/>
          <w:sz w:val="24"/>
          <w:szCs w:val="24"/>
          <w:lang w:val="en-GB"/>
        </w:rPr>
        <w:t>KCNJ5</w:t>
      </w:r>
      <w:r>
        <w:rPr>
          <w:rFonts w:ascii="Times New Roman" w:hAnsi="Times New Roman"/>
          <w:sz w:val="24"/>
          <w:szCs w:val="24"/>
          <w:lang w:val="en-GB"/>
        </w:rPr>
        <w:t xml:space="preserve"> mutations </w:t>
      </w:r>
      <w:r w:rsidR="00456C41">
        <w:rPr>
          <w:rFonts w:ascii="Times New Roman" w:hAnsi="Times New Roman"/>
          <w:sz w:val="24"/>
          <w:szCs w:val="24"/>
          <w:lang w:val="en-GB"/>
        </w:rPr>
        <w:fldChar w:fldCharType="begin" w:fldLock="1"/>
      </w:r>
      <w:r w:rsidR="00DE6C5E">
        <w:rPr>
          <w:rFonts w:ascii="Times New Roman" w:hAnsi="Times New Roman"/>
          <w:sz w:val="24"/>
          <w:szCs w:val="24"/>
          <w:lang w:val="en-GB"/>
        </w:rPr>
        <w:instrText>ADDIN CSL_CITATION { "citationItems" : [ { "id" : "ITEM-1", "itemData" : { "DOI" : "10.1210/jc.2013-2428", "ISBN" : "1945-7197 (Electronic)\r0021-972X (Linking)", "ISSN" : "0021972X", "PMID" : "24037882", "abstract" : "CONTEXT Primary aldosteronism is a heterogeneous group of disorders comprising both sporadic and familial forms. Mutations in the KCNJ5 gene, which encodes the inward rectifier K(+) channel 4 (G protein-activated inward rectifier K(+) channel 4, Kir3.4), cause familial hyperaldosteronism type III (FH-III) and are involved in the pathogenesis of sporadic aldosterone-producing adenomas. OBJECTIVE The objective of the study was to characterize the effects of a newly described KCNJ5 mutation in vitro. PATIENTS AND METHODS The index case is a 62-year-old woman affected by primary aldosteronism, who underwent left adrenalectomy after workup for adrenal adenoma. Exon 1 of KCNJ5 was PCR amplified from adrenal tissue and peripheral blood and sequenced. Electrophysiological and gene expression studies were performed to establish the functional effects of the new mutation on the membrane potential and adrenal cell CYP11B2 expression. RESULTS KCNJ5 sequencing in the index case revealed a new p.Y152C germline mutation; interestingly, the phenotype of the patient was milder than most of the previously described FH-III families. The tyrosine-to-cysteine substitution resulted in pathological Na(+) permeability, cell membrane depolarization, and disturbed intracellular Ca(2+) homeostasis, effects similar, albeit smaller, to the ones demonstrated for other KCNJ5 mutations. Gene expression studies revealed an increased expression of CYP11B2 and its transcriptional regulator NR4A2 in HAC15 adrenal cells overexpressing KCNJ5(Y152C) compared to the wild-type channel. The effect was clearly Ca(2+)-dependent, because it was abolished by the calcium channel blocker nifedipine. CONCLUSIONS Herein we describe a new germline mutation in KCNJ5 responsible for FH-III.", "author" : [ { "dropping-particle" : "", "family" : "Monticone", "given" : "Silvia", "non-dropping-particle" : "", "parse-names" : false, "suffix" : "" }, { "dropping-particle" : "", "family" : "Hattangady", "given" : "Namita G.", "non-dropping-particle" : "", "parse-names" : false, "suffix" : "" }, { "dropping-particle" : "", "family" : "Penton", "given" : "David", "non-dropping-particle" : "", "parse-names" : false, "suffix" : "" }, { "dropping-particle" : "", "family" : "Isales", "given" : "Carlos M.", "non-dropping-particle" : "", "parse-names" : false, "suffix" : "" }, { "dropping-particle" : "", "family" : "Edwards", "given" : "Michael A.", "non-dropping-particle" : "", "parse-names" : false, "suffix" : "" }, { "dropping-particle" : "", "family" : "Williams", "given" : "Tracy A.", "non-dropping-particle" : "", "parse-names" : false, "suffix" : "" }, { "dropping-particle" : "", "family" : "Sterner", "given" : "Christina", "non-dropping-particle" : "", "parse-names" : false, "suffix" : "" }, { "dropping-particle" : "", "family" : "Warth", "given" : "Richard", "non-dropping-particle" : "", "parse-names" : false, "suffix" : "" }, { "dropping-particle" : "", "family" : "Mulatero", "given" : "Paolo", "non-dropping-particle" : "", "parse-names" : false, "suffix" : "" }, { "dropping-particle" : "", "family" : "Rainey", "given" : "William E.", "non-dropping-particle" : "", "parse-names" : false, "suffix" : "" } ], "container-title" : "Journal of Clinical Endocrinology and Metabolism", "id" : "ITEM-1", "issue" : "11", "issued" : { "date-parts" : [ [ "2013" ] ] }, "page" : "1861-1865", "title" : "A novel Y152C KCNJ5 mutation responsible for familial hyperaldosteronism type III", "type" : "article-journal", "volume" : "98" }, "uris" : [ "http://www.mendeley.com/documents/?uuid=2228006e-7301-49af-896b-b521bedc46b3" ] } ], "mendeley" : { "formattedCitation" : "(23)", "plainTextFormattedCitation" : "(23)", "previouslyFormattedCitation" : "(23)" }, "properties" : { "noteIndex" : 0 }, "schema" : "https://github.com/citation-style-language/schema/raw/master/csl-citation.json" }</w:instrText>
      </w:r>
      <w:r w:rsidR="00456C41">
        <w:rPr>
          <w:rFonts w:ascii="Times New Roman" w:hAnsi="Times New Roman"/>
          <w:sz w:val="24"/>
          <w:szCs w:val="24"/>
          <w:lang w:val="en-GB"/>
        </w:rPr>
        <w:fldChar w:fldCharType="separate"/>
      </w:r>
      <w:r w:rsidR="00D15617" w:rsidRPr="00D15617">
        <w:rPr>
          <w:rFonts w:ascii="Times New Roman" w:hAnsi="Times New Roman"/>
          <w:noProof/>
          <w:sz w:val="24"/>
          <w:szCs w:val="24"/>
          <w:lang w:val="en-GB"/>
        </w:rPr>
        <w:t>(23)</w:t>
      </w:r>
      <w:r w:rsidR="00456C41">
        <w:rPr>
          <w:rFonts w:ascii="Times New Roman" w:hAnsi="Times New Roman"/>
          <w:sz w:val="24"/>
          <w:szCs w:val="24"/>
          <w:lang w:val="en-GB"/>
        </w:rPr>
        <w:fldChar w:fldCharType="end"/>
      </w:r>
      <w:r>
        <w:rPr>
          <w:rFonts w:ascii="Times New Roman" w:hAnsi="Times New Roman"/>
          <w:sz w:val="24"/>
          <w:szCs w:val="24"/>
          <w:lang w:val="en-GB"/>
        </w:rPr>
        <w:t>. The Gly151Glu mutation</w:t>
      </w:r>
      <w:r w:rsidRPr="00277E61">
        <w:rPr>
          <w:rFonts w:ascii="Times New Roman" w:hAnsi="Times New Roman"/>
          <w:sz w:val="24"/>
          <w:szCs w:val="24"/>
          <w:lang w:val="en-GB"/>
        </w:rPr>
        <w:t xml:space="preserve"> caused</w:t>
      </w:r>
      <w:r>
        <w:rPr>
          <w:rFonts w:ascii="Times New Roman" w:hAnsi="Times New Roman"/>
          <w:sz w:val="24"/>
          <w:szCs w:val="24"/>
          <w:lang w:val="en-GB"/>
        </w:rPr>
        <w:t xml:space="preserve"> </w:t>
      </w:r>
      <w:r w:rsidRPr="00277E61">
        <w:rPr>
          <w:rFonts w:ascii="Times New Roman" w:hAnsi="Times New Roman"/>
          <w:sz w:val="24"/>
          <w:szCs w:val="24"/>
          <w:lang w:val="en-GB"/>
        </w:rPr>
        <w:t>cell lethality</w:t>
      </w:r>
      <w:r>
        <w:rPr>
          <w:rFonts w:ascii="Times New Roman" w:hAnsi="Times New Roman"/>
          <w:sz w:val="24"/>
          <w:szCs w:val="24"/>
          <w:lang w:val="en-GB"/>
        </w:rPr>
        <w:t>. This lethality was due to a massive</w:t>
      </w:r>
      <w:r w:rsidRPr="00277E61">
        <w:rPr>
          <w:rFonts w:ascii="Times New Roman" w:hAnsi="Times New Roman"/>
          <w:sz w:val="24"/>
          <w:szCs w:val="24"/>
          <w:lang w:val="en-GB"/>
        </w:rPr>
        <w:t xml:space="preserve"> increase</w:t>
      </w:r>
      <w:r>
        <w:rPr>
          <w:rFonts w:ascii="Times New Roman" w:hAnsi="Times New Roman"/>
          <w:sz w:val="24"/>
          <w:szCs w:val="24"/>
          <w:lang w:val="en-GB"/>
        </w:rPr>
        <w:t xml:space="preserve"> in</w:t>
      </w:r>
      <w:r w:rsidRPr="00277E61">
        <w:rPr>
          <w:rFonts w:ascii="Times New Roman" w:hAnsi="Times New Roman"/>
          <w:sz w:val="24"/>
          <w:szCs w:val="24"/>
          <w:lang w:val="en-GB"/>
        </w:rPr>
        <w:t xml:space="preserve"> Na</w:t>
      </w:r>
      <w:r w:rsidRPr="00CF129F">
        <w:rPr>
          <w:rFonts w:ascii="Times New Roman" w:hAnsi="Times New Roman"/>
          <w:sz w:val="24"/>
          <w:szCs w:val="24"/>
          <w:vertAlign w:val="superscript"/>
          <w:lang w:val="en-GB"/>
        </w:rPr>
        <w:t>+</w:t>
      </w:r>
      <w:r w:rsidRPr="00277E61">
        <w:rPr>
          <w:rFonts w:ascii="Times New Roman" w:hAnsi="Times New Roman"/>
          <w:sz w:val="24"/>
          <w:szCs w:val="24"/>
          <w:lang w:val="en-GB"/>
        </w:rPr>
        <w:t xml:space="preserve"> con</w:t>
      </w:r>
      <w:r>
        <w:rPr>
          <w:rFonts w:ascii="Times New Roman" w:hAnsi="Times New Roman"/>
          <w:sz w:val="24"/>
          <w:szCs w:val="24"/>
          <w:lang w:val="en-GB"/>
        </w:rPr>
        <w:t>ductance with</w:t>
      </w:r>
      <w:r w:rsidRPr="00277E61">
        <w:rPr>
          <w:rFonts w:ascii="Times New Roman" w:hAnsi="Times New Roman"/>
          <w:sz w:val="24"/>
          <w:szCs w:val="24"/>
          <w:lang w:val="en-GB"/>
        </w:rPr>
        <w:t xml:space="preserve"> </w:t>
      </w:r>
      <w:r>
        <w:rPr>
          <w:rFonts w:ascii="Times New Roman" w:hAnsi="Times New Roman"/>
          <w:sz w:val="24"/>
          <w:szCs w:val="24"/>
          <w:lang w:val="en-GB"/>
        </w:rPr>
        <w:t xml:space="preserve">extremely </w:t>
      </w:r>
      <w:r w:rsidRPr="00277E61">
        <w:rPr>
          <w:rFonts w:ascii="Times New Roman" w:hAnsi="Times New Roman"/>
          <w:sz w:val="24"/>
          <w:szCs w:val="24"/>
          <w:lang w:val="en-GB"/>
        </w:rPr>
        <w:t>high level</w:t>
      </w:r>
      <w:r>
        <w:rPr>
          <w:rFonts w:ascii="Times New Roman" w:hAnsi="Times New Roman"/>
          <w:sz w:val="24"/>
          <w:szCs w:val="24"/>
          <w:lang w:val="en-GB"/>
        </w:rPr>
        <w:t>s</w:t>
      </w:r>
      <w:r w:rsidRPr="00277E61">
        <w:rPr>
          <w:rFonts w:ascii="Times New Roman" w:hAnsi="Times New Roman"/>
          <w:sz w:val="24"/>
          <w:szCs w:val="24"/>
          <w:lang w:val="en-GB"/>
        </w:rPr>
        <w:t xml:space="preserve"> of intracellular Na</w:t>
      </w:r>
      <w:r w:rsidRPr="002F30E9">
        <w:rPr>
          <w:rFonts w:ascii="Times New Roman" w:hAnsi="Times New Roman"/>
          <w:sz w:val="24"/>
          <w:szCs w:val="24"/>
          <w:vertAlign w:val="superscript"/>
          <w:lang w:val="en-GB"/>
        </w:rPr>
        <w:t>+</w:t>
      </w:r>
      <w:r>
        <w:rPr>
          <w:rFonts w:ascii="Times New Roman" w:hAnsi="Times New Roman"/>
          <w:sz w:val="24"/>
          <w:szCs w:val="24"/>
          <w:lang w:val="en-GB"/>
        </w:rPr>
        <w:t xml:space="preserve">, </w:t>
      </w:r>
      <w:r w:rsidRPr="00277E61">
        <w:rPr>
          <w:rFonts w:ascii="Times New Roman" w:hAnsi="Times New Roman"/>
          <w:sz w:val="24"/>
          <w:szCs w:val="24"/>
          <w:lang w:val="en-GB"/>
        </w:rPr>
        <w:t xml:space="preserve">causing </w:t>
      </w:r>
      <w:r>
        <w:rPr>
          <w:rFonts w:ascii="Times New Roman" w:hAnsi="Times New Roman"/>
          <w:sz w:val="24"/>
          <w:szCs w:val="24"/>
          <w:lang w:val="en-GB"/>
        </w:rPr>
        <w:t xml:space="preserve">osmotic shock and </w:t>
      </w:r>
      <w:r w:rsidRPr="00277E61">
        <w:rPr>
          <w:rFonts w:ascii="Times New Roman" w:hAnsi="Times New Roman"/>
          <w:sz w:val="24"/>
          <w:szCs w:val="24"/>
          <w:lang w:val="en-GB"/>
        </w:rPr>
        <w:t xml:space="preserve">cell death. </w:t>
      </w:r>
      <w:r>
        <w:rPr>
          <w:rFonts w:ascii="Times New Roman" w:hAnsi="Times New Roman"/>
          <w:sz w:val="24"/>
          <w:szCs w:val="24"/>
          <w:lang w:val="en-GB"/>
        </w:rPr>
        <w:t>This finding could at least partially explain the lack of adrenal hyperplasia and the mild clinical phenotype in the affected individual, as it will be further detailed.</w:t>
      </w:r>
      <w:r w:rsidRPr="00277E61">
        <w:rPr>
          <w:rFonts w:ascii="Times New Roman" w:hAnsi="Times New Roman"/>
          <w:sz w:val="24"/>
          <w:szCs w:val="24"/>
          <w:lang w:val="en-GB"/>
        </w:rPr>
        <w:t xml:space="preserve"> None</w:t>
      </w:r>
      <w:r>
        <w:rPr>
          <w:rFonts w:ascii="Times New Roman" w:hAnsi="Times New Roman"/>
          <w:sz w:val="24"/>
          <w:szCs w:val="24"/>
          <w:lang w:val="en-GB"/>
        </w:rPr>
        <w:t>theless the surviving cells are able to produce large</w:t>
      </w:r>
      <w:r w:rsidRPr="00277E61">
        <w:rPr>
          <w:rFonts w:ascii="Times New Roman" w:hAnsi="Times New Roman"/>
          <w:sz w:val="24"/>
          <w:szCs w:val="24"/>
          <w:lang w:val="en-GB"/>
        </w:rPr>
        <w:t xml:space="preserve"> amount of aldosterone cau</w:t>
      </w:r>
      <w:r>
        <w:rPr>
          <w:rFonts w:ascii="Times New Roman" w:hAnsi="Times New Roman"/>
          <w:sz w:val="24"/>
          <w:szCs w:val="24"/>
          <w:lang w:val="en-GB"/>
        </w:rPr>
        <w:t xml:space="preserve">sing hypertension </w:t>
      </w:r>
      <w:r w:rsidR="00456C41">
        <w:rPr>
          <w:rFonts w:ascii="Times New Roman" w:hAnsi="Times New Roman"/>
          <w:sz w:val="24"/>
          <w:szCs w:val="24"/>
          <w:lang w:val="en-GB"/>
        </w:rPr>
        <w:fldChar w:fldCharType="begin" w:fldLock="1"/>
      </w:r>
      <w:r w:rsidR="00456C41">
        <w:rPr>
          <w:rFonts w:ascii="Times New Roman" w:hAnsi="Times New Roman"/>
          <w:sz w:val="24"/>
          <w:szCs w:val="24"/>
          <w:lang w:val="en-GB"/>
        </w:rPr>
        <w:instrText>ADDIN CSL_CITATION { "citationItems" : [ { "id" : "ITEM-1", "itemData" : { "DOI" : "10.1073/pnas.1121407109", "ISBN" : "1091-6490 (Electronic)\r0027-8424 (Linking)", "ISSN" : "1091-6490", "PMID" : "22308486", "abstract" : "We recently implicated two recurrent somatic mutations in an adrenal potassium channel, KCNJ5, as a cause of aldosterone-producing adrenal adenomas (APAs) and one inherited KCNJ5 mutation in a Mendelian form of early severe hypertension with massive adrenal hyperplasia. The mutations identified all altered the channel selectivity filter, producing increased Na(+) conductance and membrane depolarization, the signal for aldosterone production and proliferation of adrenal glomerulosa cells. We report herein members of four kindreds with early onset primary aldosteronism of unknown cause. Sequencing of KCNJ5 revealed that affected members of two kindreds had KCNJ5(G151R) mutations, identical to one of the prevalent recurrent mutations in APAs. These individuals had severe progressive aldosteronism and hyperplasia requiring bilateral adrenalectomy in childhood for blood pressure control. Affected members of the other two kindreds had KCNJ5(G151E) mutations, which are not seen in APAs. These subjects had easily controlled hypertension and no evidence of hyperplasia. Surprisingly, electrophysiology of channels expressed in 293T cells demonstrated that KCNJ5(G151E) was the more extreme mutation, producing a much larger Na(+) conductance than KCNJ5(G151R), resulting in rapid Na(+)-dependent cell lethality. We infer that this increased lethality limits adrenocortical cell mass and the severity of aldosteronism in vivo, accounting for the milder phenotype among these patients. These findings demonstrate striking variations in phenotypes and clinical outcome resulting from different mutations of the same amino acid in KCNJ5 and have implications for the diagnosis and pathogenesis of primary aldosteronism with and without adrenal hyperplasia.", "author" : [ { "dropping-particle" : "", "family" : "Scholl", "given" : "Ute I", "non-dropping-particle" : "", "parse-names" : false, "suffix" : "" }, { "dropping-particle" : "", "family" : "Nelson-Williams", "given" : "Carol", "non-dropping-particle" : "", "parse-names" : false, "suffix" : "" }, { "dropping-particle" : "", "family" : "Yue", "given" : "Peng", "non-dropping-particle" : "", "parse-names" : false, "suffix" : "" }, { "dropping-particle" : "", "family" : "Grekin", "given" : "Roger", "non-dropping-particle" : "", "parse-names" : false, "suffix" : "" }, { "dropping-particle" : "", "family" : "Wyatt", "given" : "Robert J", "non-dropping-particle" : "", "parse-names" : false, "suffix" : "" }, { "dropping-particle" : "", "family" : "Dillon", "given" : "Michael J", "non-dropping-particle" : "", "parse-names" : false, "suffix" : "" }, { "dropping-particle" : "", "family" : "Couch", "given" : "Robert", "non-dropping-particle" : "", "parse-names" : false, "suffix" : "" }, { "dropping-particle" : "", "family" : "Hammer", "given" : "Lisa K", "non-dropping-particle" : "", "parse-names" : false, "suffix" : "" }, { "dropping-particle" : "", "family" : "Harley", "given" : "Frances L", "non-dropping-particle" : "", "parse-names" : false, "suffix" : "" }, { "dropping-particle" : "", "family" : "Farhi", "given" : "Anita", "non-dropping-particle" : "", "parse-names" : false, "suffix" : "" }, { "dropping-particle" : "", "family" : "Wang", "given" : "Wen-Hui", "non-dropping-particle" : "", "parse-names" : false, "suffix" : "" }, { "dropping-particle" : "", "family" : "Lifton", "given" : "Richard P", "non-dropping-particle" : "", "parse-names" : false, "suffix" : "" } ], "container-title" : "Proceedings of the National Academy of Sciences of the United States of America", "id" : "ITEM-1", "issue" : "7", "issued" : { "date-parts" : [ [ "2012" ] ] }, "page" : "2533-8", "title" : "Hypertension with or without adrenal hyperplasia due to different inherited mutations in the potassium channel KCNJ5.", "type" : "article-journal", "volume" : "109" }, "uris" : [ "http://www.mendeley.com/documents/?uuid=1bc8ea91-74b3-4d5a-9416-97b28ec54b50" ] }, { "id" : "ITEM-2", "itemData" : { "DOI" : "10.1161/HYPERTENSIONAHA.111.183996", "ISBN" : "1524-4563 (Electronic)\\r0194-911X (Linking)", "ISSN" : "0194911X", "PMID" : "22203740", "abstract" : "Primary aldosteronism is the most frequent cause of endocrine hypertension. Three forms of familial hyperaldosteronism (FH) have been described, named FH-I to -III. Recently, a mutation of KCNJ5 has been shown to be associated with FH-III, whereas the cause of FH-II is still unknown. In this study we searched for mutations in KCNJ5 in 46 patients from 21 families with FH, in which FH-I was excluded. We identified a new germline G151E mutation in 2 primary aldosteronism-affected subjects from an Italian family and 3 somatic mutations in aldosterone-producing adenomas, T158A described previously as a germline mutation associated with FH-III, and G151R and L168R both described as somatic mutations in aldosterone-producing adenoma. The phenotype of the family with the G151E mutation was remarkably milder compared with the previously described American family, in terms of both clinical and biochemical parameters. Furthermore, patients with somatic KCNJ5 mutations displayed a phenotype indistinguishable from that of sporadic primary aldosteronism. The functional characterization of the effects of the G151E mutation in vitro showed a profound alteration of the channel function, with loss of K(+) selectivity, Na(+) influx, and membrane depolarization. These alterations have been postulated to be responsible for voltage gate Ca(2+) channel activation, increase in cytosolic calcium, and stimulation of aldosterone production and adrenal cell proliferation. In conclusion, we describe herein a new mutation in the KCNJ5 potassium channel associated with FH-III, responsible for marked alterations of channel function but associated with a mild clinical and hormonal phenotype.", "author" : [ { "dropping-particle" : "", "family" : "Mulatero", "given" : "Paolo", "non-dropping-particle" : "", "parse-names" : false, "suffix" : "" }, { "dropping-particle" : "", "family" : "Tauber", "given" : "Philipp", "non-dropping-particle" : "", "parse-names" : false, "suffix" : "" }, { "dropping-particle" : "", "family" : "Zennaro", "given" : "Maria Christina", "non-dropping-particle" : "", "parse-names" : false, "suffix" : "" }, { "dropping-particle" : "", "family" : "Monticone", "given" : "Silvia", "non-dropping-particle" : "", "parse-names" : false, "suffix" : "" }, { "dropping-particle" : "", "family" : "Lang", "given" : "Katharina", "non-dropping-particle" : "", "parse-names" : false, "suffix" : "" }, { "dropping-particle" : "", "family" : "Beuschlein", "given" : "Felix", "non-dropping-particle" : "", "parse-names" : false, "suffix" : "" }, { "dropping-particle" : "", "family" : "Fischer", "given" : "Evelyn", "non-dropping-particle" : "", "parse-names" : false, "suffix" : "" }, { "dropping-particle" : "", "family" : "Tizzani", "given" : "Davide", "non-dropping-particle" : "", "parse-names" : false, "suffix" : "" }, { "dropping-particle" : "", "family" : "Pallauf", "given" : "Anna", "non-dropping-particle" : "", "parse-names" : false, "suffix" : "" }, { "dropping-particle" : "", "family" : "Viola", "given" : "Andrea", "non-dropping-particle" : "", "parse-names" : false, "suffix" : "" }, { "dropping-particle" : "", "family" : "Amar", "given" : "Laurence", "non-dropping-particle" : "", "parse-names" : false, "suffix" : "" }, { "dropping-particle" : "", "family" : "Williams", "given" : "Tracy Ann", "non-dropping-particle" : "", "parse-names" : false, "suffix" : "" }, { "dropping-particle" : "", "family" : "Strom", "given" : "Tim M.", "non-dropping-particle" : "", "parse-names" : false, "suffix" : "" }, { "dropping-particle" : "", "family" : "Graf", "given" : "Elisabeth", "non-dropping-particle" : "", "parse-names" : false, "suffix" : "" }, { "dropping-particle" : "", "family" : "Bandulik", "given" : "Sascha", "non-dropping-particle" : "", "parse-names" : false, "suffix" : "" }, { "dropping-particle" : "", "family" : "Penton", "given" : "David", "non-dropping-particle" : "", "parse-names" : false, "suffix" : "" }, { "dropping-particle" : "", "family" : "Plouin", "given" : "Pierre Fran\u00e7ois", "non-dropping-particle" : "", "parse-names" : false, "suffix" : "" }, { "dropping-particle" : "", "family" : "Warth", "given" : "Richard", "non-dropping-particle" : "", "parse-names" : false, "suffix" : "" }, { "dropping-particle" : "", "family" : "Allolio", "given" : "Bruno", "non-dropping-particle" : "", "parse-names" : false, "suffix" : "" }, { "dropping-particle" : "", "family" : "Jeunemaitre", "given" : "Xavier", "non-dropping-particle" : "", "parse-names" : false, "suffix" : "" }, { "dropping-particle" : "", "family" : "Veglio", "given" : "Franco", "non-dropping-particle" : "", "parse-names" : false, "suffix" : "" }, { "dropping-particle" : "", "family" : "Reincke", "given" : "Martin", "non-dropping-particle" : "", "parse-names" : false, "suffix" : "" } ], "container-title" : "Hypertension", "id" : "ITEM-2", "issue" : "2", "issued" : { "date-parts" : [ [ "2012" ] ] }, "page" : "235-240", "title" : "KCNJ5 mutations in European families with nonglucocorticoid remediable familial hyperaldosteronism", "type" : "article-journal", "volume" : "59" }, "uris" : [ "http://www.mendeley.com/documents/?uuid=09049b8c-76de-456c-8112-474739a6e928" ] } ], "mendeley" : { "formattedCitation" : "(24,25)", "plainTextFormattedCitation" : "(24,25)", "previouslyFormattedCitation" : "(24,25)" }, "properties" : { "noteIndex" : 0 }, "schema" : "https://github.com/citation-style-language/schema/raw/master/csl-citation.json" }</w:instrText>
      </w:r>
      <w:r w:rsidR="00456C41">
        <w:rPr>
          <w:rFonts w:ascii="Times New Roman" w:hAnsi="Times New Roman"/>
          <w:sz w:val="24"/>
          <w:szCs w:val="24"/>
          <w:lang w:val="en-GB"/>
        </w:rPr>
        <w:fldChar w:fldCharType="separate"/>
      </w:r>
      <w:r w:rsidR="00456C41" w:rsidRPr="00456C41">
        <w:rPr>
          <w:rFonts w:ascii="Times New Roman" w:hAnsi="Times New Roman"/>
          <w:noProof/>
          <w:sz w:val="24"/>
          <w:szCs w:val="24"/>
          <w:lang w:val="en-GB"/>
        </w:rPr>
        <w:t>(24,25)</w:t>
      </w:r>
      <w:r w:rsidR="00456C41">
        <w:rPr>
          <w:rFonts w:ascii="Times New Roman" w:hAnsi="Times New Roman"/>
          <w:sz w:val="24"/>
          <w:szCs w:val="24"/>
          <w:lang w:val="en-GB"/>
        </w:rPr>
        <w:fldChar w:fldCharType="end"/>
      </w:r>
      <w:r>
        <w:rPr>
          <w:rFonts w:ascii="Times New Roman" w:hAnsi="Times New Roman"/>
          <w:sz w:val="24"/>
          <w:szCs w:val="24"/>
          <w:lang w:val="en-GB"/>
        </w:rPr>
        <w:t xml:space="preserve">. In vitro studies on NCI-H295R adrenocortical cells showed that the mutated GIRK4 exhibited a different pharmacological profile compared to the wild-type channel. In particular, treatment with verapamil partially blocked the activity of both Gly151Arg and Thr158Ala GIRK4 </w:t>
      </w:r>
      <w:r w:rsidR="00456C41">
        <w:rPr>
          <w:rFonts w:ascii="Times New Roman" w:hAnsi="Times New Roman"/>
          <w:sz w:val="24"/>
          <w:szCs w:val="24"/>
          <w:lang w:val="en-GB"/>
        </w:rPr>
        <w:fldChar w:fldCharType="begin" w:fldLock="1"/>
      </w:r>
      <w:r w:rsidR="00BC59ED">
        <w:rPr>
          <w:rFonts w:ascii="Times New Roman" w:hAnsi="Times New Roman"/>
          <w:sz w:val="24"/>
          <w:szCs w:val="24"/>
          <w:lang w:val="en-GB"/>
        </w:rPr>
        <w:instrText>ADDIN CSL_CITATION { "citationItems" : [ { "id" : "ITEM-1", "itemData" : { "DOI" : "10.1210/en.2013-1944", "ISBN" : "1945-7170 (Electronic)\\r0013-7227 (Linking)", "ISSN" : "00137227", "PMID" : "24506072", "abstract" : "Somatic mutations of the potassium channel KCNJ5 are found in 40% of aldosterone producing adenomas (APA). APA-related mutations of KCNJ5 lead to a pathological Na(+) permeability and a rise in cytosolic Ca(2+), the latter presumably by depolarizing the membrane and activating voltage-gated Ca(2+) channels. The aim of this study was to further investigate the effects of mutated KCNJ5 channels on intracellular Na(+) and Ca(2+) homeostasis in human adrenocortical NCI-H295R cells. Expression of mutant KCNJ5 led to a 2-fold increase in intracellular Na(+) and, in parallel, to a substantial rise in intracellular Ca(2+). The increase in Ca(2+) appeared to be caused by activation of voltage-gated Ca(2+) channels and by an impairment of Ca(2+) extrusion by Na(+)/Ca(2+) exchangers. The mutated KCNJ5 exhibited a pharmacological profile that differed from the one of wildtype channels. Mutated KCNJ5 was less Ba(2+) and tertiapin-Q sensitive but was inhibited by blockers of Na(+) and Ca(2+) transporting proteins, such as verapamil and amiloride. The clinical use of these drugs might influence aldosterone levels in APA patients with KCNJ5 mutations. This might implicate diagnostic testing of APAs and could offer new therapeutic strategies.", "author" : [ { "dropping-particle" : "", "family" : "Tauber", "given" : "P.", "non-dropping-particle" : "", "parse-names" : false, "suffix" : "" }, { "dropping-particle" : "", "family" : "Penton", "given" : "D.", "non-dropping-particle" : "", "parse-names" : false, "suffix" : "" }, { "dropping-particle" : "", "family" : "Stindl", "given" : "J.", "non-dropping-particle" : "", "parse-names" : false, "suffix" : "" }, { "dropping-particle" : "", "family" : "Humberg", "given" : "E.", "non-dropping-particle" : "", "parse-names" : false, "suffix" : "" }, { "dropping-particle" : "", "family" : "Tegtmeier", "given" : "I.", "non-dropping-particle" : "", "parse-names" : false, "suffix" : "" }, { "dropping-particle" : "", "family" : "Sterner", "given" : "C.", "non-dropping-particle" : "", "parse-names" : false, "suffix" : "" }, { "dropping-particle" : "", "family" : "Beuschlein", "given" : "F.", "non-dropping-particle" : "", "parse-names" : false, "suffix" : "" }, { "dropping-particle" : "", "family" : "Reincke", "given" : "M.", "non-dropping-particle" : "", "parse-names" : false, "suffix" : "" }, { "dropping-particle" : "", "family" : "Barhanin", "given" : "J.", "non-dropping-particle" : "", "parse-names" : false, "suffix" : "" }, { "dropping-particle" : "", "family" : "Bandulik", "given" : "Sascha", "non-dropping-particle" : "", "parse-names" : false, "suffix" : "" }, { "dropping-particle" : "", "family" : "Warth", "given" : "R.", "non-dropping-particle" : "", "parse-names" : false, "suffix" : "" } ], "container-title" : "Endocrinology", "id" : "ITEM-1", "issue" : "4", "issued" : { "date-parts" : [ [ "2014" ] ] }, "page" : "1353-1362", "title" : "Pharmacology and pathophysiology of mutated KCNJ5 found in adrenal aldosterone-producing adenomas", "type" : "article-journal", "volume" : "155" }, "uris" : [ "http://www.mendeley.com/documents/?uuid=7d6d6318-2981-4e5d-a4bc-ab9e47325681" ] } ], "mendeley" : { "formattedCitation" : "(26)" }, "properties" : { "noteIndex" : 0 }, "schema" : "https://github.com/citation-style-language/schema/raw/master/csl-citation.json" }</w:instrText>
      </w:r>
      <w:r w:rsidR="00456C41">
        <w:rPr>
          <w:rFonts w:ascii="Times New Roman" w:hAnsi="Times New Roman"/>
          <w:sz w:val="24"/>
          <w:szCs w:val="24"/>
          <w:lang w:val="en-GB"/>
        </w:rPr>
        <w:fldChar w:fldCharType="separate"/>
      </w:r>
      <w:r w:rsidR="00456C41" w:rsidRPr="00456C41">
        <w:rPr>
          <w:rFonts w:ascii="Times New Roman" w:hAnsi="Times New Roman"/>
          <w:noProof/>
          <w:sz w:val="24"/>
          <w:szCs w:val="24"/>
          <w:lang w:val="en-GB"/>
        </w:rPr>
        <w:t>(</w:t>
      </w:r>
      <w:r w:rsidR="00BC59ED">
        <w:rPr>
          <w:rFonts w:ascii="Times New Roman" w:hAnsi="Times New Roman"/>
          <w:noProof/>
          <w:sz w:val="24"/>
          <w:szCs w:val="24"/>
          <w:lang w:val="en-GB"/>
        </w:rPr>
        <w:t xml:space="preserve">ref. </w:t>
      </w:r>
      <w:r w:rsidR="00456C41" w:rsidRPr="00456C41">
        <w:rPr>
          <w:rFonts w:ascii="Times New Roman" w:hAnsi="Times New Roman"/>
          <w:noProof/>
          <w:sz w:val="24"/>
          <w:szCs w:val="24"/>
          <w:lang w:val="en-GB"/>
        </w:rPr>
        <w:t>26)</w:t>
      </w:r>
      <w:r w:rsidR="00456C41">
        <w:rPr>
          <w:rFonts w:ascii="Times New Roman" w:hAnsi="Times New Roman"/>
          <w:sz w:val="24"/>
          <w:szCs w:val="24"/>
          <w:lang w:val="en-GB"/>
        </w:rPr>
        <w:fldChar w:fldCharType="end"/>
      </w:r>
      <w:r>
        <w:rPr>
          <w:rFonts w:ascii="Times New Roman" w:hAnsi="Times New Roman"/>
          <w:sz w:val="24"/>
          <w:szCs w:val="24"/>
          <w:lang w:val="en-GB"/>
        </w:rPr>
        <w:t>, however this experimental data did not have a practical therapeutic implication in FH-III patients carrying these two mutations, which display hypertension resistant to multi-drug regimens.</w:t>
      </w:r>
    </w:p>
    <w:p w14:paraId="3AC4689E" w14:textId="77777777" w:rsidR="007143EE" w:rsidRDefault="007143EE" w:rsidP="002D7E77">
      <w:pPr>
        <w:spacing w:line="480" w:lineRule="auto"/>
        <w:jc w:val="both"/>
        <w:rPr>
          <w:rFonts w:ascii="Times New Roman" w:hAnsi="Times New Roman"/>
          <w:sz w:val="24"/>
          <w:szCs w:val="24"/>
          <w:lang w:val="en-GB"/>
        </w:rPr>
      </w:pPr>
      <w:r>
        <w:rPr>
          <w:rFonts w:ascii="Times New Roman" w:hAnsi="Times New Roman"/>
          <w:sz w:val="24"/>
          <w:szCs w:val="24"/>
          <w:lang w:val="en-GB"/>
        </w:rPr>
        <w:t xml:space="preserve">Germline missense mutations that are further removed from the selectivity filter </w:t>
      </w:r>
      <w:r w:rsidRPr="00C10814">
        <w:rPr>
          <w:rFonts w:ascii="Times New Roman" w:hAnsi="Times New Roman"/>
          <w:sz w:val="24"/>
          <w:szCs w:val="24"/>
          <w:lang w:val="en-GB"/>
        </w:rPr>
        <w:t>(Arg52His, Glu246Lys, and Gly247Arg)</w:t>
      </w:r>
      <w:r>
        <w:rPr>
          <w:rFonts w:ascii="Times New Roman" w:hAnsi="Times New Roman"/>
          <w:sz w:val="24"/>
          <w:szCs w:val="24"/>
          <w:lang w:val="en-GB"/>
        </w:rPr>
        <w:t xml:space="preserve"> and a rare</w:t>
      </w:r>
      <w:r w:rsidRPr="00B543CA">
        <w:rPr>
          <w:rFonts w:ascii="Times New Roman" w:hAnsi="Times New Roman"/>
          <w:sz w:val="24"/>
          <w:szCs w:val="24"/>
          <w:lang w:val="en-GB"/>
        </w:rPr>
        <w:t xml:space="preserve"> non</w:t>
      </w:r>
      <w:r>
        <w:rPr>
          <w:rFonts w:ascii="Times New Roman" w:hAnsi="Times New Roman"/>
          <w:sz w:val="24"/>
          <w:szCs w:val="24"/>
          <w:lang w:val="en-GB"/>
        </w:rPr>
        <w:t>-</w:t>
      </w:r>
      <w:r w:rsidRPr="00B543CA">
        <w:rPr>
          <w:rFonts w:ascii="Times New Roman" w:hAnsi="Times New Roman"/>
          <w:sz w:val="24"/>
          <w:szCs w:val="24"/>
          <w:lang w:val="en-GB"/>
        </w:rPr>
        <w:t xml:space="preserve">synonymous single nucleotide polymorphism rs7102584 causing </w:t>
      </w:r>
      <w:r>
        <w:rPr>
          <w:rFonts w:ascii="Times New Roman" w:hAnsi="Times New Roman"/>
          <w:sz w:val="24"/>
          <w:szCs w:val="24"/>
          <w:lang w:val="en-GB"/>
        </w:rPr>
        <w:t>the Glu</w:t>
      </w:r>
      <w:r w:rsidRPr="00C10814">
        <w:rPr>
          <w:rFonts w:ascii="Times New Roman" w:hAnsi="Times New Roman"/>
          <w:sz w:val="24"/>
          <w:szCs w:val="24"/>
          <w:lang w:val="en-GB"/>
        </w:rPr>
        <w:t>282</w:t>
      </w:r>
      <w:r>
        <w:rPr>
          <w:rFonts w:ascii="Times New Roman" w:hAnsi="Times New Roman"/>
          <w:sz w:val="24"/>
          <w:szCs w:val="24"/>
          <w:lang w:val="en-GB"/>
        </w:rPr>
        <w:t>Gln</w:t>
      </w:r>
      <w:r w:rsidRPr="00B543CA">
        <w:rPr>
          <w:rFonts w:ascii="Times New Roman" w:hAnsi="Times New Roman"/>
          <w:sz w:val="24"/>
          <w:szCs w:val="24"/>
          <w:lang w:val="en-GB"/>
        </w:rPr>
        <w:t xml:space="preserve"> substitution</w:t>
      </w:r>
      <w:r>
        <w:rPr>
          <w:rFonts w:ascii="Times New Roman" w:hAnsi="Times New Roman"/>
          <w:sz w:val="24"/>
          <w:szCs w:val="24"/>
          <w:lang w:val="en-GB"/>
        </w:rPr>
        <w:t xml:space="preserve">, have been proposed to play a role in the development of sporadic idiopathic hyperaldosteronism </w:t>
      </w:r>
      <w:r w:rsidR="00456C41">
        <w:rPr>
          <w:rFonts w:ascii="Times New Roman" w:hAnsi="Times New Roman"/>
          <w:sz w:val="24"/>
          <w:szCs w:val="24"/>
          <w:lang w:val="en-GB"/>
        </w:rPr>
        <w:fldChar w:fldCharType="begin" w:fldLock="1"/>
      </w:r>
      <w:r w:rsidR="00456C41">
        <w:rPr>
          <w:rFonts w:ascii="Times New Roman" w:hAnsi="Times New Roman"/>
          <w:sz w:val="24"/>
          <w:szCs w:val="24"/>
          <w:lang w:val="en-GB"/>
        </w:rPr>
        <w:instrText>ADDIN CSL_CITATION { "citationItems" : [ { "id" : "ITEM-1", "itemData" : { "DOI" : "10.1161/HYPERTENSIONAHA.113.02234", "ISBN" : "1524-4563 (Electronic)\r0194-911X (Linking)", "ISSN" : "15244563", "PMID" : "24420545", "abstract" : "Primary aldosteronism (autonomous aldosterone production with suppressed renin) plays an important pathophysiological role in what has been previously labeled as essential hypertension. Besides the recently described germline mutations in the KCNJ5 potassium channel associated with familial primary aldosteronism, somatic mutations in the same channel have been identified within aldosterone-producing adenomas. In this study, we have resequenced the flanking and coding region of KCNJ5 in peripheral blood DNA from 251 white subjects with primary aldosteronism to look for rare variants that might be important for the pathophysiology of sporadic primary aldosteronism. We have identified 3 heterozygous missense mutations (R52H, E246K, and G247R) in the cohort and found that 12 (5% of the cohort) were carriers for the rare nonsynonymous single nucleotide polymorphism rs7102584 causing E282Q substitution of KCNJ5. By expressing the channels in Xenopus oocytes and human adrenal H295R cells, we have shown that the R52H, E246K, and E282Q substitutions are functional, but the G247R mutation is indistinguishable from wild type. Although the functional substitutions are remote from the selectivity filter, they affect the inward-rectification, the ability of the KCNJ5 channels to conduct Na(+) currents and ATII-induced aldosterone release from the H295R cell line. Together these data suggest that germline variation in the KCNJ5 gene has a role to play in the common sporadic form as well as the much rarer syndromic forms of primary aldosteronism.", "author" : [ { "dropping-particle" : "", "family" : "Murthy", "given" : "Meena", "non-dropping-particle" : "", "parse-names" : false, "suffix" : "" }, { "dropping-particle" : "", "family" : "Xu", "given" : "Shengxin", "non-dropping-particle" : "", "parse-names" : false, "suffix" : "" }, { "dropping-particle" : "", "family" : "Massimo", "given" : "Gianmichele", "non-dropping-particle" : "", "parse-names" : false, "suffix" : "" }, { "dropping-particle" : "", "family" : "Wolley", "given" : "Martin", "non-dropping-particle" : "", "parse-names" : false, "suffix" : "" }, { "dropping-particle" : "", "family" : "Gordon", "given" : "Richard D.", "non-dropping-particle" : "", "parse-names" : false, "suffix" : "" }, { "dropping-particle" : "", "family" : "Stowasser", "given" : "Michael", "non-dropping-particle" : "", "parse-names" : false, "suffix" : "" }, { "dropping-particle" : "", "family" : "O'Shaughnessy", "given" : "Kevin M.", "non-dropping-particle" : "", "parse-names" : false, "suffix" : "" } ], "container-title" : "Hypertension", "id" : "ITEM-1", "issue" : "4", "issued" : { "date-parts" : [ [ "2014" ] ] }, "page" : "783-789", "title" : "Role for germline mutations and a rare coding single nucleotide polymorphism within the KCNJ5 potassium channel in a large cohort of sporadic cases of primary aldosteronism", "type" : "article-journal", "volume" : "63" }, "uris" : [ "http://www.mendeley.com/documents/?uuid=45d64dde-bf2e-42eb-8197-1dcd8ad35b72" ] } ], "mendeley" : { "formattedCitation" : "(27)", "plainTextFormattedCitation" : "(27)", "previouslyFormattedCitation" : "(27)" }, "properties" : { "noteIndex" : 0 }, "schema" : "https://github.com/citation-style-language/schema/raw/master/csl-citation.json" }</w:instrText>
      </w:r>
      <w:r w:rsidR="00456C41">
        <w:rPr>
          <w:rFonts w:ascii="Times New Roman" w:hAnsi="Times New Roman"/>
          <w:sz w:val="24"/>
          <w:szCs w:val="24"/>
          <w:lang w:val="en-GB"/>
        </w:rPr>
        <w:fldChar w:fldCharType="separate"/>
      </w:r>
      <w:r w:rsidR="00456C41" w:rsidRPr="00456C41">
        <w:rPr>
          <w:rFonts w:ascii="Times New Roman" w:hAnsi="Times New Roman"/>
          <w:noProof/>
          <w:sz w:val="24"/>
          <w:szCs w:val="24"/>
          <w:lang w:val="en-GB"/>
        </w:rPr>
        <w:t>(27)</w:t>
      </w:r>
      <w:r w:rsidR="00456C41">
        <w:rPr>
          <w:rFonts w:ascii="Times New Roman" w:hAnsi="Times New Roman"/>
          <w:sz w:val="24"/>
          <w:szCs w:val="24"/>
          <w:lang w:val="en-GB"/>
        </w:rPr>
        <w:fldChar w:fldCharType="end"/>
      </w:r>
      <w:r>
        <w:rPr>
          <w:rFonts w:ascii="Times New Roman" w:hAnsi="Times New Roman"/>
          <w:sz w:val="24"/>
          <w:szCs w:val="24"/>
          <w:lang w:val="en-GB"/>
        </w:rPr>
        <w:t xml:space="preserve">. </w:t>
      </w:r>
      <w:r w:rsidRPr="00B027CD">
        <w:rPr>
          <w:rFonts w:ascii="Times New Roman" w:hAnsi="Times New Roman"/>
          <w:sz w:val="24"/>
          <w:szCs w:val="24"/>
          <w:lang w:val="en-GB"/>
        </w:rPr>
        <w:t>Moreover, Se</w:t>
      </w:r>
      <w:r w:rsidR="00AD6DE4">
        <w:rPr>
          <w:rFonts w:ascii="Times New Roman" w:hAnsi="Times New Roman"/>
          <w:sz w:val="24"/>
          <w:szCs w:val="24"/>
          <w:lang w:val="en-GB"/>
        </w:rPr>
        <w:t>rte</w:t>
      </w:r>
      <w:r w:rsidRPr="00B027CD">
        <w:rPr>
          <w:rFonts w:ascii="Times New Roman" w:hAnsi="Times New Roman"/>
          <w:sz w:val="24"/>
          <w:szCs w:val="24"/>
          <w:lang w:val="en-GB"/>
        </w:rPr>
        <w:t>daki et al. described two novel</w:t>
      </w:r>
      <w:r>
        <w:rPr>
          <w:rFonts w:ascii="Times New Roman" w:hAnsi="Times New Roman"/>
          <w:sz w:val="24"/>
          <w:szCs w:val="24"/>
          <w:lang w:val="en-GB"/>
        </w:rPr>
        <w:t xml:space="preserve"> heterozygous</w:t>
      </w:r>
      <w:r w:rsidRPr="00B027CD">
        <w:rPr>
          <w:rFonts w:ascii="Times New Roman" w:hAnsi="Times New Roman"/>
          <w:sz w:val="24"/>
          <w:szCs w:val="24"/>
          <w:lang w:val="en-GB"/>
        </w:rPr>
        <w:t xml:space="preserve"> germline mutations in</w:t>
      </w:r>
      <w:r>
        <w:rPr>
          <w:rFonts w:ascii="Times New Roman" w:hAnsi="Times New Roman"/>
          <w:sz w:val="24"/>
          <w:szCs w:val="24"/>
          <w:lang w:val="en-GB"/>
        </w:rPr>
        <w:t xml:space="preserve"> the</w:t>
      </w:r>
      <w:r w:rsidRPr="00B027CD">
        <w:rPr>
          <w:rFonts w:ascii="Times New Roman" w:hAnsi="Times New Roman"/>
          <w:sz w:val="24"/>
          <w:szCs w:val="24"/>
          <w:lang w:val="en-GB"/>
        </w:rPr>
        <w:t xml:space="preserve"> </w:t>
      </w:r>
      <w:r w:rsidRPr="00B027CD">
        <w:rPr>
          <w:rFonts w:ascii="Times New Roman" w:hAnsi="Times New Roman"/>
          <w:i/>
          <w:sz w:val="24"/>
          <w:szCs w:val="24"/>
          <w:lang w:val="en-GB"/>
        </w:rPr>
        <w:t>KCNJ5</w:t>
      </w:r>
      <w:r w:rsidRPr="00B027CD">
        <w:rPr>
          <w:rFonts w:ascii="Times New Roman" w:hAnsi="Times New Roman"/>
          <w:sz w:val="24"/>
          <w:szCs w:val="24"/>
          <w:lang w:val="en-GB"/>
        </w:rPr>
        <w:t xml:space="preserve"> gene, </w:t>
      </w:r>
      <w:r w:rsidRPr="00C10814">
        <w:rPr>
          <w:rFonts w:ascii="Times New Roman" w:hAnsi="Times New Roman"/>
          <w:sz w:val="24"/>
          <w:szCs w:val="24"/>
          <w:lang w:val="en-GB"/>
        </w:rPr>
        <w:t>Val259Met and Tyr348</w:t>
      </w:r>
      <w:r>
        <w:rPr>
          <w:rFonts w:ascii="Times New Roman" w:hAnsi="Times New Roman"/>
          <w:sz w:val="24"/>
          <w:szCs w:val="24"/>
          <w:lang w:val="en-GB"/>
        </w:rPr>
        <w:t>Asn</w:t>
      </w:r>
      <w:r w:rsidRPr="00B027CD">
        <w:rPr>
          <w:rFonts w:ascii="Times New Roman" w:hAnsi="Times New Roman"/>
          <w:sz w:val="24"/>
          <w:szCs w:val="24"/>
          <w:lang w:val="en-GB"/>
        </w:rPr>
        <w:t xml:space="preserve"> in two </w:t>
      </w:r>
      <w:r>
        <w:rPr>
          <w:rFonts w:ascii="Times New Roman" w:hAnsi="Times New Roman"/>
          <w:sz w:val="24"/>
          <w:szCs w:val="24"/>
          <w:lang w:val="en-GB"/>
        </w:rPr>
        <w:t xml:space="preserve">hypertensive </w:t>
      </w:r>
      <w:r w:rsidRPr="00B027CD">
        <w:rPr>
          <w:rFonts w:ascii="Times New Roman" w:hAnsi="Times New Roman"/>
          <w:sz w:val="24"/>
          <w:szCs w:val="24"/>
          <w:lang w:val="en-GB"/>
        </w:rPr>
        <w:t>patients</w:t>
      </w:r>
      <w:r>
        <w:rPr>
          <w:rFonts w:ascii="Times New Roman" w:hAnsi="Times New Roman"/>
          <w:sz w:val="24"/>
          <w:szCs w:val="24"/>
          <w:lang w:val="en-GB"/>
        </w:rPr>
        <w:t xml:space="preserve"> without PA, but who exhibited ACTH-dependent aldosterone hypersecretion, further expanding the clinical spectrum of phenotypes associated with </w:t>
      </w:r>
      <w:r w:rsidRPr="001A79F2">
        <w:rPr>
          <w:rFonts w:ascii="Times New Roman" w:hAnsi="Times New Roman"/>
          <w:i/>
          <w:sz w:val="24"/>
          <w:szCs w:val="24"/>
          <w:lang w:val="en-GB"/>
        </w:rPr>
        <w:t>KCNJ5</w:t>
      </w:r>
      <w:r>
        <w:rPr>
          <w:rFonts w:ascii="Times New Roman" w:hAnsi="Times New Roman"/>
          <w:sz w:val="24"/>
          <w:szCs w:val="24"/>
          <w:lang w:val="en-GB"/>
        </w:rPr>
        <w:t xml:space="preserve"> mutations </w:t>
      </w:r>
      <w:r w:rsidR="00456C41">
        <w:rPr>
          <w:rFonts w:ascii="Times New Roman" w:hAnsi="Times New Roman"/>
          <w:sz w:val="24"/>
          <w:szCs w:val="24"/>
          <w:lang w:val="en-GB"/>
        </w:rPr>
        <w:fldChar w:fldCharType="begin" w:fldLock="1"/>
      </w:r>
      <w:r w:rsidR="00AD6DE4">
        <w:rPr>
          <w:rFonts w:ascii="Times New Roman" w:hAnsi="Times New Roman"/>
          <w:sz w:val="24"/>
          <w:szCs w:val="24"/>
          <w:lang w:val="en-GB"/>
        </w:rPr>
        <w:instrText>ADDIN CSL_CITATION { "citationItems" : [ { "id" : "ITEM-1", "itemData" : { "DOI" : "10.1111/cen.13132", "ISSN" : "1365-2265", "PMID" : "27293068", "abstract" : "BACKGROUND Germline mutations of the KCNJ5 gene encoding Kir3.4, a member of the inwardly rectifying K(+) channel, have been identified in \"normal\" adrenal glands, patients with Familial Hyperaldosteronism (FH) type III, aldosterone-producing adenomas (APAs) and sporadic cases of primary aldosteronism (PA). OBJECTIVE To present two novel KCNJ5 gene mutations in hypertensive patients without PA, but with ACTH-dependent aldosterone hypersecretion. DESIGN AND PATIENTS Two hypertensive patients without PA, who exhibited enhanced ACTH-dependent response of aldosterone secretion, underwent genetic testing for the presence of the CYP11B1/CYP11B2 chimeric gene and KCNJ5 gene mutations. Genomic DNA was isolated from peripheral white blood cells and the exons of the entire coding regions of the above genes were amplified and sequenced. Electrophysiological studies were performed to determine the effect of identified mutation(s) on the membrane reversal potentials. Structural biology studies were also carried out. RESULTS Two novel germline heterozygous KCNJ5 mutations, p.V259M and p.Y348N, were detected in the two subjects. Electrophysiological studies showed that the Y348N mutation resulted in significantly less negative reversal potentials, suggesting loss of ion selectivity, while the V259M mutation did not affect the Kir3.4 current. In the mutated structural biology model, the N348 mutant resulted in significant loss of the ability for hydrogen bonding, while the M259 mutant was capable of establishing weaker interactions. The CYP11B1/CYP11B2 chimeric gene was not detected. CONCLUSIONS These findings expand on the clinical spectrum of phenotypes associated with KCNJ5 mutations, and implicate these mutations in the pathogenesis of hypertension associated with increased aldosterone response to ACTH stimulation. This article is protected by copyright. All rights reserved.", "author" : [ { "dropping-particle" : "", "family" : "Sertedaki", "given" : "Amalia", "non-dropping-particle" : "", "parse-names" : false, "suffix" : "" }, { "dropping-particle" : "", "family" : "Markou", "given" : "Athina", "non-dropping-particle" : "", "parse-names" : false, "suffix" : "" }, { "dropping-particle" : "", "family" : "Vlachakis", "given" : "Dimitrios", "non-dropping-particle" : "", "parse-names" : false, "suffix" : "" }, { "dropping-particle" : "", "family" : "Kossida", "given" : "Sophia", "non-dropping-particle" : "", "parse-names" : false, "suffix" : "" }, { "dropping-particle" : "", "family" : "Campanac", "given" : "Emilie", "non-dropping-particle" : "", "parse-names" : false, "suffix" : "" }, { "dropping-particle" : "", "family" : "Hoffman", "given" : "Dax A", "non-dropping-particle" : "", "parse-names" : false, "suffix" : "" }, { "dropping-particle" : "", "family" : "Sierra", "given" : "Maria De La Luz", "non-dropping-particle" : "", "parse-names" : false, "suffix" : "" }, { "dropping-particle" : "", "family" : "Xekouki", "given" : "Paraskevi", "non-dropping-particle" : "", "parse-names" : false, "suffix" : "" }, { "dropping-particle" : "", "family" : "Stratakis", "given" : "Constantine A", "non-dropping-particle" : "", "parse-names" : false, "suffix" : "" }, { "dropping-particle" : "", "family" : "Kaltsas", "given" : "Gregory", "non-dropping-particle" : "", "parse-names" : false, "suffix" : "" }, { "dropping-particle" : "", "family" : "Piaditis", "given" : "George P", "non-dropping-particle" : "", "parse-names" : false, "suffix" : "" }, { "dropping-particle" : "", "family" : "Chrousos", "given" : "George P", "non-dropping-particle" : "", "parse-names" : false, "suffix" : "" }, { "dropping-particle" : "", "family" : "Charmandari", "given" : "Evangelia", "non-dropping-particle" : "", "parse-names" : false, "suffix" : "" } ], "container-title" : "Clinical endocrinology", "id" : "ITEM-1", "issued" : { "date-parts" : [ [ "2016" ] ] }, "title" : "Functional characterization of two novel germline mutations of the KCNJ5 gene in hypertensive patients without Primary Aldosteronism but with ACTH-dependent aldosterone hypersecretion.", "type" : "article-journal" }, "uris" : [ "http://www.mendeley.com/documents/?uuid=0586aed8-88e8-4319-83b8-4e240eae83b0" ] } ], "mendeley" : { "formattedCitation" : "(28)", "plainTextFormattedCitation" : "(28)", "previouslyFormattedCitation" : "(28)" }, "properties" : { "noteIndex" : 0 }, "schema" : "https://github.com/citation-style-language/schema/raw/master/csl-citation.json" }</w:instrText>
      </w:r>
      <w:r w:rsidR="00456C41">
        <w:rPr>
          <w:rFonts w:ascii="Times New Roman" w:hAnsi="Times New Roman"/>
          <w:sz w:val="24"/>
          <w:szCs w:val="24"/>
          <w:lang w:val="en-GB"/>
        </w:rPr>
        <w:fldChar w:fldCharType="separate"/>
      </w:r>
      <w:r w:rsidR="00456C41" w:rsidRPr="00456C41">
        <w:rPr>
          <w:rFonts w:ascii="Times New Roman" w:hAnsi="Times New Roman"/>
          <w:noProof/>
          <w:sz w:val="24"/>
          <w:szCs w:val="24"/>
          <w:lang w:val="en-GB"/>
        </w:rPr>
        <w:t>(28)</w:t>
      </w:r>
      <w:r w:rsidR="00456C41">
        <w:rPr>
          <w:rFonts w:ascii="Times New Roman" w:hAnsi="Times New Roman"/>
          <w:sz w:val="24"/>
          <w:szCs w:val="24"/>
          <w:lang w:val="en-GB"/>
        </w:rPr>
        <w:fldChar w:fldCharType="end"/>
      </w:r>
      <w:r w:rsidRPr="00B027CD">
        <w:rPr>
          <w:rFonts w:ascii="Times New Roman" w:hAnsi="Times New Roman"/>
          <w:sz w:val="24"/>
          <w:szCs w:val="24"/>
          <w:lang w:val="en-GB"/>
        </w:rPr>
        <w:t xml:space="preserve">. </w:t>
      </w:r>
    </w:p>
    <w:p w14:paraId="3AC4689F" w14:textId="77777777" w:rsidR="007143EE" w:rsidRPr="00AB2058" w:rsidRDefault="007143EE" w:rsidP="00277E61">
      <w:pPr>
        <w:spacing w:line="480" w:lineRule="auto"/>
        <w:jc w:val="both"/>
        <w:rPr>
          <w:rFonts w:ascii="Times New Roman" w:hAnsi="Times New Roman"/>
          <w:b/>
          <w:sz w:val="24"/>
          <w:szCs w:val="24"/>
          <w:lang w:val="en-GB"/>
        </w:rPr>
      </w:pPr>
      <w:r w:rsidRPr="00AB2058">
        <w:rPr>
          <w:rFonts w:ascii="Times New Roman" w:hAnsi="Times New Roman"/>
          <w:b/>
          <w:sz w:val="24"/>
          <w:szCs w:val="24"/>
          <w:lang w:val="en-GB"/>
        </w:rPr>
        <w:t>Diagnosis, Prevalence and Phenotypes</w:t>
      </w:r>
    </w:p>
    <w:p w14:paraId="3AC468A0" w14:textId="77777777" w:rsidR="007143EE" w:rsidRDefault="007143EE" w:rsidP="007E5390">
      <w:pPr>
        <w:spacing w:after="0" w:line="480" w:lineRule="auto"/>
        <w:jc w:val="both"/>
        <w:rPr>
          <w:rFonts w:ascii="Times New Roman" w:hAnsi="Times New Roman"/>
          <w:sz w:val="24"/>
          <w:szCs w:val="24"/>
          <w:lang w:val="en-GB"/>
        </w:rPr>
      </w:pPr>
      <w:r>
        <w:rPr>
          <w:rFonts w:ascii="Times New Roman" w:hAnsi="Times New Roman"/>
          <w:sz w:val="24"/>
          <w:szCs w:val="24"/>
          <w:lang w:val="en-GB"/>
        </w:rPr>
        <w:t xml:space="preserve">According to the recently updated Endocrine Society Guideline, the diagnosis of FH-III should be considered in all patients with PA with onset at a very young age </w:t>
      </w:r>
      <w:r w:rsidR="00AD6DE4">
        <w:rPr>
          <w:rFonts w:ascii="Times New Roman" w:hAnsi="Times New Roman"/>
          <w:sz w:val="24"/>
          <w:szCs w:val="24"/>
          <w:lang w:val="en-GB"/>
        </w:rPr>
        <w:fldChar w:fldCharType="begin" w:fldLock="1"/>
      </w:r>
      <w:r w:rsidR="00AD6DE4">
        <w:rPr>
          <w:rFonts w:ascii="Times New Roman" w:hAnsi="Times New Roman"/>
          <w:sz w:val="24"/>
          <w:szCs w:val="24"/>
          <w:lang w:val="en-GB"/>
        </w:rPr>
        <w:instrText>ADDIN CSL_CITATION { "citationItems" : [ { "id" : "ITEM-1", "itemData" : { "DOI" : "10.1210/jc.2015-4061", "ISSN" : "1945-7197", "PMID" : "26934393", "abstract" : "OBJECTIVE: To develop clinical practice guidelines for the management of patients with primary aldosteronism Participants: The Task Force included a chair, selected by the Clinical Guidelines Subcommittee of the Endocrine Society, six additional experts, a methodologist, and a medical writer. The Task Force received no corporate funding or remuneration. EVIDENCE: We searched for systematic reviews and primary studies to formulate the key treatment and prevention recommendations. We used the Grading of Recommendations, Assessment, Development, and Evaluation group criteria to describe both the quality of evidence and the strength of recommendations. We used 'recommend' for strong recommendations and 'suggest' for weak recommendations. CONSENSUS PROCESS: We achieved consensus by collecting the best available evidence and conducting one group meeting, several conference calls, and multiple e-mail communications. With the help of a medical writer, the Endocrine Society's Clinical Guidelines Subcommittee, Clinical Affairs Core Committee, and Council successfully reviewed the drafts prepared by the Task Force. We placed the version approved by the Clinical Guidelines Subcommittee and Clinical Affairs Core Committee on the Endocrine Society's Web site for comments by members. At each stage of review, the Task Force received written comments and incorporated necessary changes. CONCLUSIONS: For high-risk groups of hypertensive patients and those with hypokalemia, we recommend case detection of primary aldosteronism by determining the aldosterone-renin ratio under standard conditions, and that a commonly used confirmatory test should confirm/exclude the condition. We recommend that all patients with primary aldosteronism undergo adrenal computed tomography as the initial study in subtype testing and to exclude adrenocortical carcinoma. We recommend that an experienced radiologist should establish/exclude unilateral primary aldosteronism using bilateral adrenal venous sampling, and if confirmed, should optimally be treated by laparoscopic adrenalectomy. We recommend that patients with bilateral adrenal hyperplasia or those unsuitable for surgery should be treated primarily with a mineralocorticoid receptor antagonist.", "author" : [ { "dropping-particle" : "", "family" : "Funder", "given" : "John W", "non-dropping-particle" : "", "parse-names" : false, "suffix" : "" }, { "dropping-particle" : "", "family" : "Carey", "given" : "Robert M", "non-dropping-particle" : "", "parse-names" : false, "suffix" : "" }, { "dropping-particle" : "", "family" : "Mantero", "given" : "Franco", "non-dropping-particle" : "", "parse-names" : false, "suffix" : "" }, { "dropping-particle" : "", "family" : "Murad", "given" : "M Hassan", "non-dropping-particle" : "", "parse-names" : false, "suffix" : "" }, { "dropping-particle" : "", "family" : "Reincke", "given" : "Martin", "non-dropping-particle" : "", "parse-names" : false, "suffix" : "" }, { "dropping-particle" : "", "family" : "Shibata", "given" : "Hirotaka", "non-dropping-particle" : "", "parse-names" : false, "suffix" : "" }, { "dropping-particle" : "", "family" : "Stowasser", "given" : "Michael", "non-dropping-particle" : "", "parse-names" : false, "suffix" : "" }, { "dropping-particle" : "", "family" : "Young", "given" : "William F", "non-dropping-particle" : "", "parse-names" : false, "suffix" : "" } ], "container-title" : "The Journal of clinical endocrinology and metabolism", "id" : "ITEM-1", "issue" : "March", "issued" : { "date-parts" : [ [ "2016" ] ] }, "page" : "jc20154061", "title" : "The Management of Primary Aldosteronism: Case Detection, Diagnosis, and Treatment: An Endocrine Society Clinical Practice Guideline.", "type" : "article-journal" }, "uris" : [ "http://www.mendeley.com/documents/?uuid=d9a587c4-6ddb-4664-80d0-1cd61188e66e" ] } ], "mendeley" : { "formattedCitation" : "(29)", "plainTextFormattedCitation" : "(29)", "previouslyFormattedCitation" : "(29)" }, "properties" : { "noteIndex" : 0 }, "schema" : "https://github.com/citation-style-language/schema/raw/master/csl-citation.json" }</w:instrText>
      </w:r>
      <w:r w:rsidR="00AD6DE4">
        <w:rPr>
          <w:rFonts w:ascii="Times New Roman" w:hAnsi="Times New Roman"/>
          <w:sz w:val="24"/>
          <w:szCs w:val="24"/>
          <w:lang w:val="en-GB"/>
        </w:rPr>
        <w:fldChar w:fldCharType="separate"/>
      </w:r>
      <w:r w:rsidR="00AD6DE4" w:rsidRPr="00AD6DE4">
        <w:rPr>
          <w:rFonts w:ascii="Times New Roman" w:hAnsi="Times New Roman"/>
          <w:noProof/>
          <w:sz w:val="24"/>
          <w:szCs w:val="24"/>
          <w:lang w:val="en-GB"/>
        </w:rPr>
        <w:t>(29)</w:t>
      </w:r>
      <w:r w:rsidR="00AD6DE4">
        <w:rPr>
          <w:rFonts w:ascii="Times New Roman" w:hAnsi="Times New Roman"/>
          <w:sz w:val="24"/>
          <w:szCs w:val="24"/>
          <w:lang w:val="en-GB"/>
        </w:rPr>
        <w:fldChar w:fldCharType="end"/>
      </w:r>
      <w:r w:rsidRPr="0079249A">
        <w:rPr>
          <w:rFonts w:ascii="Times New Roman" w:hAnsi="Times New Roman"/>
          <w:sz w:val="24"/>
          <w:szCs w:val="24"/>
          <w:highlight w:val="lightGray"/>
          <w:lang w:val="en-GB"/>
        </w:rPr>
        <w:t>.</w:t>
      </w:r>
      <w:r>
        <w:rPr>
          <w:rFonts w:ascii="Times New Roman" w:hAnsi="Times New Roman"/>
          <w:sz w:val="24"/>
          <w:szCs w:val="24"/>
          <w:lang w:val="en-GB"/>
        </w:rPr>
        <w:t xml:space="preserve"> The</w:t>
      </w:r>
      <w:r w:rsidRPr="00277E61">
        <w:rPr>
          <w:rFonts w:ascii="Times New Roman" w:hAnsi="Times New Roman"/>
          <w:sz w:val="24"/>
          <w:szCs w:val="24"/>
          <w:lang w:val="en-GB"/>
        </w:rPr>
        <w:t xml:space="preserve"> diagnosis of FH-III was based</w:t>
      </w:r>
      <w:r>
        <w:rPr>
          <w:rFonts w:ascii="Times New Roman" w:hAnsi="Times New Roman"/>
          <w:sz w:val="24"/>
          <w:szCs w:val="24"/>
          <w:lang w:val="en-GB"/>
        </w:rPr>
        <w:t xml:space="preserve"> initially</w:t>
      </w:r>
      <w:r w:rsidRPr="00277E61">
        <w:rPr>
          <w:rFonts w:ascii="Times New Roman" w:hAnsi="Times New Roman"/>
          <w:sz w:val="24"/>
          <w:szCs w:val="24"/>
          <w:lang w:val="en-GB"/>
        </w:rPr>
        <w:t xml:space="preserve"> on the </w:t>
      </w:r>
      <w:r>
        <w:rPr>
          <w:rFonts w:ascii="Times New Roman" w:hAnsi="Times New Roman"/>
          <w:sz w:val="24"/>
          <w:szCs w:val="24"/>
          <w:lang w:val="en-GB"/>
        </w:rPr>
        <w:t>peculiar clinical phenotype</w:t>
      </w:r>
      <w:r w:rsidRPr="00277E61">
        <w:rPr>
          <w:rFonts w:ascii="Times New Roman" w:hAnsi="Times New Roman"/>
          <w:sz w:val="24"/>
          <w:szCs w:val="24"/>
          <w:lang w:val="en-GB"/>
        </w:rPr>
        <w:t xml:space="preserve"> of the family </w:t>
      </w:r>
      <w:r>
        <w:rPr>
          <w:rFonts w:ascii="Times New Roman" w:hAnsi="Times New Roman"/>
          <w:sz w:val="24"/>
          <w:szCs w:val="24"/>
          <w:lang w:val="en-GB"/>
        </w:rPr>
        <w:t>reported</w:t>
      </w:r>
      <w:r w:rsidRPr="00277E61">
        <w:rPr>
          <w:rFonts w:ascii="Times New Roman" w:hAnsi="Times New Roman"/>
          <w:sz w:val="24"/>
          <w:szCs w:val="24"/>
          <w:lang w:val="en-GB"/>
        </w:rPr>
        <w:t xml:space="preserve"> by </w:t>
      </w:r>
      <w:r w:rsidRPr="00E6402E">
        <w:rPr>
          <w:rFonts w:ascii="Times New Roman" w:hAnsi="Times New Roman"/>
          <w:sz w:val="24"/>
          <w:szCs w:val="24"/>
          <w:lang w:val="en-GB"/>
        </w:rPr>
        <w:t xml:space="preserve">Geller et al. </w:t>
      </w:r>
      <w:r w:rsidR="00AD6DE4">
        <w:rPr>
          <w:rFonts w:ascii="Times New Roman" w:hAnsi="Times New Roman"/>
          <w:sz w:val="24"/>
          <w:szCs w:val="24"/>
          <w:lang w:val="en-GB"/>
        </w:rPr>
        <w:fldChar w:fldCharType="begin" w:fldLock="1"/>
      </w:r>
      <w:r w:rsidR="00AD6DE4">
        <w:rPr>
          <w:rFonts w:ascii="Times New Roman" w:hAnsi="Times New Roman"/>
          <w:sz w:val="24"/>
          <w:szCs w:val="24"/>
          <w:lang w:val="en-GB"/>
        </w:rPr>
        <w:instrText>ADDIN CSL_CITATION { "citationItems" : [ { "id" : "ITEM-1", "itemData" : { "DOI" : "10.1210/jc.2008-0594", "ISSN" : "0021972X", "PMID" : "18505761", "abstract" : "CONTEXT: Primary aldosteronism is a leading cause of secondary hypertension (HTN), but the mechanisms underlying the characteristic renin-independent secretion of aldosterone remain unknown in most patients. OBJECTIVES: We report a new familial form of aldosteronism in a father and two daughters. All were diagnosed with severe HTN refractory to medical treatment by age 7 yr. We performed a variety of clinical, biochemical, and genetic studies to attempt to clarify the underlying molecular defect. RESULTS: Biochemical studies revealed hyporeninemia, hyperaldosteronism, and very high levels of 18-oxocortisol and 18-hydroxycortisol, steroids that reflect oxidation by both steroid 17-alpha hydroxylase and aldosterone synthase. These enzymes are normally compartmentalized in the adrenal fasciculata and glomerulosa, respectively. Administration of dexamethasone failed to suppress either aldosterone or cortisol secretion; these findings distinguish this clinical syndrome from glucocorticoid-remediable aldosteronism, another autosomal dominant form of HTN, and suggest a global defect in the regulation of adrenal steroid production. Genetic studies excluded mutation at the aldosterone synthase locus, further distinguishing this disorder from glucocorticoid-remediable aldosteronism. Because of unrelenting HTN, all three subjects underwent bilateral adrenalectomy, which in each case corrected the HTN. Adrenal glands showed dramatic enlargement, with paired adrenal weights as high as 82 g. Histology revealed massive hyperplasia and cellular hypertrophy of a single cortical compartment that had features of adrenal fasciculata or a transitional zone, with an atrophic glomerulosa. CONCLUSION: These findings define a new inherited form of aldosteronism and suggest that identification of the underlying defect will provide insight into normal mechanisms regulating adrenal steroid biosynthesis.", "author" : [ { "dropping-particle" : "", "family" : "Geller", "given" : "David S.", "non-dropping-particle" : "", "parse-names" : false, "suffix" : "" }, { "dropping-particle" : "", "family" : "Zhang", "given" : "Junhui", "non-dropping-particle" : "", "parse-names" : false, "suffix" : "" }, { "dropping-particle" : "V.", "family" : "Wisgerhof", "given" : "Max", "non-dropping-particle" : "", "parse-names" : false, "suffix" : "" }, { "dropping-particle" : "", "family" : "Shackleton", "given" : "Cedric", "non-dropping-particle" : "", "parse-names" : false, "suffix" : "" }, { "dropping-particle" : "", "family" : "Kashgarian", "given" : "Michael", "non-dropping-particle" : "", "parse-names" : false, "suffix" : "" }, { "dropping-particle" : "", "family" : "Lifton", "given" : "Richard P.", "non-dropping-particle" : "", "parse-names" : false, "suffix" : "" } ], "container-title" : "Journal of Clinical Endocrinology and Metabolism", "id" : "ITEM-1", "issue" : "8", "issued" : { "date-parts" : [ [ "2008" ] ] }, "page" : "3117-3123", "title" : "A novel form of human mendelian hypertension featuring nonglucocorticoid- remediable aldosteronism", "type" : "article-journal", "volume" : "93" }, "uris" : [ "http://www.mendeley.com/documents/?uuid=ad8cedad-bc28-4fc6-a708-cf422b0b01c0" ] } ], "mendeley" : { "formattedCitation" : "(14)", "plainTextFormattedCitation" : "(14)", "previouslyFormattedCitation" : "(14)" }, "properties" : { "noteIndex" : 0 }, "schema" : "https://github.com/citation-style-language/schema/raw/master/csl-citation.json" }</w:instrText>
      </w:r>
      <w:r w:rsidR="00AD6DE4">
        <w:rPr>
          <w:rFonts w:ascii="Times New Roman" w:hAnsi="Times New Roman"/>
          <w:sz w:val="24"/>
          <w:szCs w:val="24"/>
          <w:lang w:val="en-GB"/>
        </w:rPr>
        <w:fldChar w:fldCharType="separate"/>
      </w:r>
      <w:r w:rsidR="00AD6DE4" w:rsidRPr="00AD6DE4">
        <w:rPr>
          <w:rFonts w:ascii="Times New Roman" w:hAnsi="Times New Roman"/>
          <w:noProof/>
          <w:sz w:val="24"/>
          <w:szCs w:val="24"/>
          <w:lang w:val="en-GB"/>
        </w:rPr>
        <w:t>(14)</w:t>
      </w:r>
      <w:r w:rsidR="00AD6DE4">
        <w:rPr>
          <w:rFonts w:ascii="Times New Roman" w:hAnsi="Times New Roman"/>
          <w:sz w:val="24"/>
          <w:szCs w:val="24"/>
          <w:lang w:val="en-GB"/>
        </w:rPr>
        <w:fldChar w:fldCharType="end"/>
      </w:r>
      <w:r w:rsidRPr="00E6402E">
        <w:rPr>
          <w:rFonts w:ascii="Times New Roman" w:hAnsi="Times New Roman"/>
          <w:sz w:val="24"/>
          <w:szCs w:val="24"/>
          <w:lang w:val="en-GB"/>
        </w:rPr>
        <w:t xml:space="preserve">. </w:t>
      </w:r>
      <w:r w:rsidRPr="00277E61">
        <w:rPr>
          <w:rFonts w:ascii="Times New Roman" w:hAnsi="Times New Roman"/>
          <w:sz w:val="24"/>
          <w:szCs w:val="24"/>
          <w:lang w:val="en-GB"/>
        </w:rPr>
        <w:t>However, it</w:t>
      </w:r>
      <w:r>
        <w:rPr>
          <w:rFonts w:ascii="Times New Roman" w:hAnsi="Times New Roman"/>
          <w:sz w:val="24"/>
          <w:szCs w:val="24"/>
          <w:lang w:val="en-GB"/>
        </w:rPr>
        <w:t xml:space="preserve"> soon became evident</w:t>
      </w:r>
      <w:r w:rsidRPr="00277E61">
        <w:rPr>
          <w:rFonts w:ascii="Times New Roman" w:hAnsi="Times New Roman"/>
          <w:sz w:val="24"/>
          <w:szCs w:val="24"/>
          <w:lang w:val="en-GB"/>
        </w:rPr>
        <w:t xml:space="preserve"> that these </w:t>
      </w:r>
      <w:r>
        <w:rPr>
          <w:rFonts w:ascii="Times New Roman" w:hAnsi="Times New Roman"/>
          <w:sz w:val="24"/>
          <w:szCs w:val="24"/>
          <w:lang w:val="en-GB"/>
        </w:rPr>
        <w:t>special</w:t>
      </w:r>
      <w:r w:rsidRPr="00277E61">
        <w:rPr>
          <w:rFonts w:ascii="Times New Roman" w:hAnsi="Times New Roman"/>
          <w:sz w:val="24"/>
          <w:szCs w:val="24"/>
          <w:lang w:val="en-GB"/>
        </w:rPr>
        <w:t xml:space="preserve"> features </w:t>
      </w:r>
      <w:r>
        <w:rPr>
          <w:rFonts w:ascii="Times New Roman" w:hAnsi="Times New Roman"/>
          <w:sz w:val="24"/>
          <w:szCs w:val="24"/>
          <w:lang w:val="en-GB"/>
        </w:rPr>
        <w:t xml:space="preserve">were not a general feature of FH-III </w:t>
      </w:r>
      <w:r w:rsidR="00AD6DE4">
        <w:rPr>
          <w:rFonts w:ascii="Times New Roman" w:hAnsi="Times New Roman"/>
          <w:sz w:val="24"/>
          <w:szCs w:val="24"/>
          <w:lang w:val="en-GB"/>
        </w:rPr>
        <w:fldChar w:fldCharType="begin" w:fldLock="1"/>
      </w:r>
      <w:r w:rsidR="00AD6DE4">
        <w:rPr>
          <w:rFonts w:ascii="Times New Roman" w:hAnsi="Times New Roman"/>
          <w:sz w:val="24"/>
          <w:szCs w:val="24"/>
          <w:lang w:val="en-GB"/>
        </w:rPr>
        <w:instrText>ADDIN CSL_CITATION { "citationItems" : [ { "id" : "ITEM-1", "itemData" : { "DOI" : "10.1038/nrendo.2012.230", "ISBN" : "1759-5037 (Electronic)\r1759-5029 (Linking)", "ISSN" : "1759-5037", "PMID" : "23229280", "abstract" : "Primary aldosteronism is characterised by the dysregulation of aldosterone production and comprises both sporadic forms, caused by an aldosterone-producing adenoma or bilateral adrenal hyperplasia, and familial forms (familial hyperaldosteronism types I, II and III). The two principal physiological regulators of aldosterone synthesis are angiotensin II and serum K(+), which reverse the high resting K(+) conductance and hyperpolarized membrane potential of adrenal glomerulosa cells. The resulting membrane depolarization causes the opening of voltage-gated Ca(2+) channels and an increase in intracellular Ca(2+) that stimulates aldosterone biosynthesis. Point mutations in the KCNJ5 gene, which encodes the G-protein-activated inward rectifier K(+) channel 4 (GIRK4), have been implicated in the pathogenesis of both sporadic and familial forms of primary aldosteronism. These mutations interfere with the selectivity filter of GIRK4 causing Na(+) entry, cell depolarization and Ca(2+) channel opening, resulting in constitutive aldosterone production. Seven families with familial hyperaldosteronism caused by KCNJ5 germline mutations have so far been described, and multicentre studies have reported KCNJ5 mutations in approximately 40% of sporadic aldosterone-producing adenomas. Herein, we review the role of GIRK4 in adrenal pathophysiology and provide an overview of the clinical and biochemical phenotypes resulting from KCNJ5 mutations in patients with sporadic and familial primary aldosteronism.", "author" : [ { "dropping-particle" : "", "family" : "Mulatero", "given" : "Paolo", "non-dropping-particle" : "", "parse-names" : false, "suffix" : "" }, { "dropping-particle" : "", "family" : "Monticone", "given" : "Silvia", "non-dropping-particle" : "", "parse-names" : false, "suffix" : "" }, { "dropping-particle" : "", "family" : "Rainey", "given" : "William E", "non-dropping-particle" : "", "parse-names" : false, "suffix" : "" }, { "dropping-particle" : "", "family" : "Veglio", "given" : "Franco", "non-dropping-particle" : "", "parse-names" : false, "suffix" : "" }, { "dropping-particle" : "", "family" : "Williams", "given" : "Tracy Ann", "non-dropping-particle" : "", "parse-names" : false, "suffix" : "" } ], "container-title" : "Nature Reviews Endocrinology", "id" : "ITEM-1", "issue" : "2", "issued" : { "date-parts" : [ [ "2013" ] ] }, "page" : "104-12", "publisher" : "Nature Publishing Group", "title" : "Role of KCNJ5 in familial and sporadic primary aldosteronism.", "type" : "article-journal", "volume" : "9" }, "uris" : [ "http://www.mendeley.com/documents/?uuid=cf7c9bbf-a95d-4b7b-ac82-6a8595479656" ] } ], "mendeley" : { "formattedCitation" : "(30)", "plainTextFormattedCitation" : "(30)", "previouslyFormattedCitation" : "(30)" }, "properties" : { "noteIndex" : 0 }, "schema" : "https://github.com/citation-style-language/schema/raw/master/csl-citation.json" }</w:instrText>
      </w:r>
      <w:r w:rsidR="00AD6DE4">
        <w:rPr>
          <w:rFonts w:ascii="Times New Roman" w:hAnsi="Times New Roman"/>
          <w:sz w:val="24"/>
          <w:szCs w:val="24"/>
          <w:lang w:val="en-GB"/>
        </w:rPr>
        <w:fldChar w:fldCharType="separate"/>
      </w:r>
      <w:r w:rsidR="00AD6DE4" w:rsidRPr="00AD6DE4">
        <w:rPr>
          <w:rFonts w:ascii="Times New Roman" w:hAnsi="Times New Roman"/>
          <w:noProof/>
          <w:sz w:val="24"/>
          <w:szCs w:val="24"/>
          <w:lang w:val="en-GB"/>
        </w:rPr>
        <w:t>(30)</w:t>
      </w:r>
      <w:r w:rsidR="00AD6DE4">
        <w:rPr>
          <w:rFonts w:ascii="Times New Roman" w:hAnsi="Times New Roman"/>
          <w:sz w:val="24"/>
          <w:szCs w:val="24"/>
          <w:lang w:val="en-GB"/>
        </w:rPr>
        <w:fldChar w:fldCharType="end"/>
      </w:r>
      <w:r>
        <w:rPr>
          <w:rFonts w:ascii="Times New Roman" w:hAnsi="Times New Roman"/>
          <w:sz w:val="24"/>
          <w:szCs w:val="24"/>
          <w:lang w:val="en-GB"/>
        </w:rPr>
        <w:t xml:space="preserve"> and </w:t>
      </w:r>
      <w:r w:rsidRPr="003D3A8A">
        <w:rPr>
          <w:rFonts w:ascii="Times New Roman" w:hAnsi="Times New Roman"/>
          <w:i/>
          <w:sz w:val="24"/>
          <w:szCs w:val="24"/>
          <w:lang w:val="en-GB"/>
        </w:rPr>
        <w:t>KCNJ5</w:t>
      </w:r>
      <w:r>
        <w:rPr>
          <w:rFonts w:ascii="Times New Roman" w:hAnsi="Times New Roman"/>
          <w:sz w:val="24"/>
          <w:szCs w:val="24"/>
          <w:lang w:val="en-GB"/>
        </w:rPr>
        <w:t xml:space="preserve"> </w:t>
      </w:r>
      <w:r w:rsidRPr="00277E61">
        <w:rPr>
          <w:rFonts w:ascii="Times New Roman" w:hAnsi="Times New Roman"/>
          <w:sz w:val="24"/>
          <w:szCs w:val="24"/>
          <w:lang w:val="en-GB"/>
        </w:rPr>
        <w:t>sequencing</w:t>
      </w:r>
      <w:r>
        <w:rPr>
          <w:rFonts w:ascii="Times New Roman" w:hAnsi="Times New Roman"/>
          <w:sz w:val="24"/>
          <w:szCs w:val="24"/>
          <w:lang w:val="en-GB"/>
        </w:rPr>
        <w:t xml:space="preserve"> of a peripheral blood sample</w:t>
      </w:r>
      <w:r w:rsidRPr="00277E61">
        <w:rPr>
          <w:rFonts w:ascii="Times New Roman" w:hAnsi="Times New Roman"/>
          <w:sz w:val="24"/>
          <w:szCs w:val="24"/>
          <w:lang w:val="en-GB"/>
        </w:rPr>
        <w:t xml:space="preserve"> </w:t>
      </w:r>
      <w:r>
        <w:rPr>
          <w:rFonts w:ascii="Times New Roman" w:hAnsi="Times New Roman"/>
          <w:sz w:val="24"/>
          <w:szCs w:val="24"/>
          <w:lang w:val="en-GB"/>
        </w:rPr>
        <w:t>is</w:t>
      </w:r>
      <w:r w:rsidRPr="00277E61">
        <w:rPr>
          <w:rFonts w:ascii="Times New Roman" w:hAnsi="Times New Roman"/>
          <w:sz w:val="24"/>
          <w:szCs w:val="24"/>
          <w:lang w:val="en-GB"/>
        </w:rPr>
        <w:t xml:space="preserve"> the only reliable way to diagnose </w:t>
      </w:r>
      <w:r>
        <w:rPr>
          <w:rFonts w:ascii="Times New Roman" w:hAnsi="Times New Roman"/>
          <w:sz w:val="24"/>
          <w:szCs w:val="24"/>
          <w:lang w:val="en-GB"/>
        </w:rPr>
        <w:t>the condition</w:t>
      </w:r>
      <w:r w:rsidRPr="00277E61">
        <w:rPr>
          <w:rFonts w:ascii="Times New Roman" w:hAnsi="Times New Roman"/>
          <w:sz w:val="24"/>
          <w:szCs w:val="24"/>
          <w:lang w:val="en-GB"/>
        </w:rPr>
        <w:t xml:space="preserve">. </w:t>
      </w:r>
      <w:r>
        <w:rPr>
          <w:rFonts w:ascii="Times New Roman" w:hAnsi="Times New Roman"/>
          <w:sz w:val="24"/>
          <w:szCs w:val="24"/>
          <w:lang w:val="en-GB"/>
        </w:rPr>
        <w:t xml:space="preserve">Moreover, </w:t>
      </w:r>
      <w:r w:rsidRPr="00B85AC5">
        <w:rPr>
          <w:rFonts w:ascii="Times New Roman" w:hAnsi="Times New Roman"/>
          <w:sz w:val="24"/>
          <w:szCs w:val="24"/>
          <w:lang w:val="en-GB"/>
        </w:rPr>
        <w:t>dexamethasone suppression test</w:t>
      </w:r>
      <w:r>
        <w:rPr>
          <w:rFonts w:ascii="Times New Roman" w:hAnsi="Times New Roman"/>
          <w:sz w:val="24"/>
          <w:szCs w:val="24"/>
          <w:lang w:val="en-GB"/>
        </w:rPr>
        <w:t>ing</w:t>
      </w:r>
      <w:r w:rsidRPr="00B85AC5">
        <w:rPr>
          <w:rFonts w:ascii="Times New Roman" w:hAnsi="Times New Roman"/>
          <w:sz w:val="24"/>
          <w:szCs w:val="24"/>
          <w:lang w:val="en-GB"/>
        </w:rPr>
        <w:t xml:space="preserve"> has </w:t>
      </w:r>
      <w:r>
        <w:rPr>
          <w:rFonts w:ascii="Times New Roman" w:hAnsi="Times New Roman"/>
          <w:sz w:val="24"/>
          <w:szCs w:val="24"/>
          <w:lang w:val="en-GB"/>
        </w:rPr>
        <w:t>not</w:t>
      </w:r>
      <w:r w:rsidRPr="00B85AC5">
        <w:rPr>
          <w:rFonts w:ascii="Times New Roman" w:hAnsi="Times New Roman"/>
          <w:sz w:val="24"/>
          <w:szCs w:val="24"/>
          <w:lang w:val="en-GB"/>
        </w:rPr>
        <w:t xml:space="preserve"> been performed </w:t>
      </w:r>
      <w:r>
        <w:rPr>
          <w:rFonts w:ascii="Times New Roman" w:hAnsi="Times New Roman"/>
          <w:sz w:val="24"/>
          <w:szCs w:val="24"/>
          <w:lang w:val="en-GB"/>
        </w:rPr>
        <w:t>systematically in all affected</w:t>
      </w:r>
      <w:r w:rsidRPr="00B85AC5">
        <w:rPr>
          <w:rFonts w:ascii="Times New Roman" w:hAnsi="Times New Roman"/>
          <w:sz w:val="24"/>
          <w:szCs w:val="24"/>
          <w:lang w:val="en-GB"/>
        </w:rPr>
        <w:t xml:space="preserve"> </w:t>
      </w:r>
      <w:r>
        <w:rPr>
          <w:rFonts w:ascii="Times New Roman" w:hAnsi="Times New Roman"/>
          <w:sz w:val="24"/>
          <w:szCs w:val="24"/>
          <w:lang w:val="en-GB"/>
        </w:rPr>
        <w:t>subjects:</w:t>
      </w:r>
      <w:r w:rsidRPr="00B85AC5">
        <w:rPr>
          <w:rFonts w:ascii="Times New Roman" w:hAnsi="Times New Roman"/>
          <w:sz w:val="24"/>
          <w:szCs w:val="24"/>
          <w:lang w:val="en-GB"/>
        </w:rPr>
        <w:t xml:space="preserve"> therefore, the characteristic response of a patient with FH-III to this test </w:t>
      </w:r>
      <w:r>
        <w:rPr>
          <w:rFonts w:ascii="Times New Roman" w:hAnsi="Times New Roman"/>
          <w:sz w:val="24"/>
          <w:szCs w:val="24"/>
          <w:lang w:val="en-GB"/>
        </w:rPr>
        <w:t>remains</w:t>
      </w:r>
      <w:r w:rsidRPr="00B85AC5">
        <w:rPr>
          <w:rFonts w:ascii="Times New Roman" w:hAnsi="Times New Roman"/>
          <w:sz w:val="24"/>
          <w:szCs w:val="24"/>
          <w:lang w:val="en-GB"/>
        </w:rPr>
        <w:t xml:space="preserve"> to be determined</w:t>
      </w:r>
      <w:r>
        <w:rPr>
          <w:rFonts w:ascii="Times New Roman" w:hAnsi="Times New Roman"/>
          <w:sz w:val="24"/>
          <w:szCs w:val="24"/>
          <w:lang w:val="en-GB"/>
        </w:rPr>
        <w:t>.</w:t>
      </w:r>
    </w:p>
    <w:p w14:paraId="3AC468A1" w14:textId="77777777" w:rsidR="007143EE" w:rsidRDefault="007143EE" w:rsidP="002A6D57">
      <w:pPr>
        <w:spacing w:after="0" w:line="480" w:lineRule="auto"/>
        <w:jc w:val="both"/>
        <w:rPr>
          <w:rFonts w:ascii="Times New Roman" w:hAnsi="Times New Roman"/>
          <w:sz w:val="24"/>
          <w:szCs w:val="24"/>
          <w:lang w:val="en-GB"/>
        </w:rPr>
      </w:pPr>
      <w:r>
        <w:rPr>
          <w:rFonts w:ascii="Times New Roman" w:hAnsi="Times New Roman"/>
          <w:sz w:val="24"/>
          <w:szCs w:val="24"/>
          <w:lang w:val="en-GB"/>
        </w:rPr>
        <w:t>FH-III is rare and the</w:t>
      </w:r>
      <w:r w:rsidRPr="00277E61">
        <w:rPr>
          <w:rFonts w:ascii="Times New Roman" w:hAnsi="Times New Roman"/>
          <w:sz w:val="24"/>
          <w:szCs w:val="24"/>
          <w:lang w:val="en-GB"/>
        </w:rPr>
        <w:t xml:space="preserve"> </w:t>
      </w:r>
      <w:r>
        <w:rPr>
          <w:rFonts w:ascii="Times New Roman" w:hAnsi="Times New Roman"/>
          <w:sz w:val="24"/>
          <w:szCs w:val="24"/>
          <w:lang w:val="en-GB"/>
        </w:rPr>
        <w:t>prevalence of the condition has not been</w:t>
      </w:r>
      <w:r w:rsidRPr="00277E61">
        <w:rPr>
          <w:rFonts w:ascii="Times New Roman" w:hAnsi="Times New Roman"/>
          <w:sz w:val="24"/>
          <w:szCs w:val="24"/>
          <w:lang w:val="en-GB"/>
        </w:rPr>
        <w:t xml:space="preserve"> </w:t>
      </w:r>
      <w:r>
        <w:rPr>
          <w:rFonts w:ascii="Times New Roman" w:hAnsi="Times New Roman"/>
          <w:sz w:val="24"/>
          <w:szCs w:val="24"/>
          <w:lang w:val="en-GB"/>
        </w:rPr>
        <w:t xml:space="preserve">investigated in large populations. Mulatero et al. reported the presence of a </w:t>
      </w:r>
      <w:r w:rsidRPr="000C0006">
        <w:rPr>
          <w:rFonts w:ascii="Times New Roman" w:hAnsi="Times New Roman"/>
          <w:i/>
          <w:sz w:val="24"/>
          <w:szCs w:val="24"/>
          <w:lang w:val="en-GB"/>
        </w:rPr>
        <w:t>KCNJ5</w:t>
      </w:r>
      <w:r>
        <w:rPr>
          <w:rFonts w:ascii="Times New Roman" w:hAnsi="Times New Roman"/>
          <w:sz w:val="24"/>
          <w:szCs w:val="24"/>
          <w:lang w:val="en-GB"/>
        </w:rPr>
        <w:t xml:space="preserve"> germline mutation in 2 PA-affected subjects from an Italian fam</w:t>
      </w:r>
      <w:r w:rsidRPr="002A6D57">
        <w:rPr>
          <w:rFonts w:ascii="Times New Roman" w:hAnsi="Times New Roman"/>
          <w:sz w:val="24"/>
          <w:szCs w:val="24"/>
          <w:lang w:val="en-GB"/>
        </w:rPr>
        <w:t xml:space="preserve">ily in a </w:t>
      </w:r>
      <w:r w:rsidRPr="00437C9C">
        <w:rPr>
          <w:rFonts w:ascii="Times New Roman" w:hAnsi="Times New Roman"/>
          <w:sz w:val="24"/>
          <w:szCs w:val="24"/>
          <w:lang w:val="en-GB"/>
        </w:rPr>
        <w:t>cohort of 300 patients with PA and 12 families with non glucoc</w:t>
      </w:r>
      <w:r>
        <w:rPr>
          <w:rFonts w:ascii="Times New Roman" w:hAnsi="Times New Roman"/>
          <w:sz w:val="24"/>
          <w:szCs w:val="24"/>
          <w:lang w:val="en-GB"/>
        </w:rPr>
        <w:t>o</w:t>
      </w:r>
      <w:r w:rsidRPr="00437C9C">
        <w:rPr>
          <w:rFonts w:ascii="Times New Roman" w:hAnsi="Times New Roman"/>
          <w:sz w:val="24"/>
          <w:szCs w:val="24"/>
          <w:lang w:val="en-GB"/>
        </w:rPr>
        <w:t>rticoid remediable familial PA, corresponding to a 0.3% prevalence among PA patients and 8% among familial forms</w:t>
      </w:r>
      <w:r w:rsidRPr="002A6D57">
        <w:rPr>
          <w:rFonts w:ascii="Times New Roman" w:hAnsi="Times New Roman"/>
          <w:sz w:val="24"/>
          <w:szCs w:val="24"/>
          <w:lang w:val="en-GB"/>
        </w:rPr>
        <w:t xml:space="preserve"> </w:t>
      </w:r>
      <w:r w:rsidR="00AD6DE4">
        <w:rPr>
          <w:rFonts w:ascii="Times New Roman" w:hAnsi="Times New Roman"/>
          <w:sz w:val="24"/>
          <w:szCs w:val="24"/>
          <w:lang w:val="en-GB"/>
        </w:rPr>
        <w:fldChar w:fldCharType="begin" w:fldLock="1"/>
      </w:r>
      <w:r w:rsidR="00AD6DE4">
        <w:rPr>
          <w:rFonts w:ascii="Times New Roman" w:hAnsi="Times New Roman"/>
          <w:sz w:val="24"/>
          <w:szCs w:val="24"/>
          <w:lang w:val="en-GB"/>
        </w:rPr>
        <w:instrText>ADDIN CSL_CITATION { "citationItems" : [ { "id" : "ITEM-1", "itemData" : { "DOI" : "10.1161/HYPERTENSIONAHA.111.183996", "ISBN" : "1524-4563 (Electronic)\\r0194-911X (Linking)", "ISSN" : "0194911X", "PMID" : "22203740", "abstract" : "Primary aldosteronism is the most frequent cause of endocrine hypertension. Three forms of familial hyperaldosteronism (FH) have been described, named FH-I to -III. Recently, a mutation of KCNJ5 has been shown to be associated with FH-III, whereas the cause of FH-II is still unknown. In this study we searched for mutations in KCNJ5 in 46 patients from 21 families with FH, in which FH-I was excluded. We identified a new germline G151E mutation in 2 primary aldosteronism-affected subjects from an Italian family and 3 somatic mutations in aldosterone-producing adenomas, T158A described previously as a germline mutation associated with FH-III, and G151R and L168R both described as somatic mutations in aldosterone-producing adenoma. The phenotype of the family with the G151E mutation was remarkably milder compared with the previously described American family, in terms of both clinical and biochemical parameters. Furthermore, patients with somatic KCNJ5 mutations displayed a phenotype indistinguishable from that of sporadic primary aldosteronism. The functional characterization of the effects of the G151E mutation in vitro showed a profound alteration of the channel function, with loss of K(+) selectivity, Na(+) influx, and membrane depolarization. These alterations have been postulated to be responsible for voltage gate Ca(2+) channel activation, increase in cytosolic calcium, and stimulation of aldosterone production and adrenal cell proliferation. In conclusion, we describe herein a new mutation in the KCNJ5 potassium channel associated with FH-III, responsible for marked alterations of channel function but associated with a mild clinical and hormonal phenotype.", "author" : [ { "dropping-particle" : "", "family" : "Mulatero", "given" : "Paolo", "non-dropping-particle" : "", "parse-names" : false, "suffix" : "" }, { "dropping-particle" : "", "family" : "Tauber", "given" : "Philipp", "non-dropping-particle" : "", "parse-names" : false, "suffix" : "" }, { "dropping-particle" : "", "family" : "Zennaro", "given" : "Maria Christina", "non-dropping-particle" : "", "parse-names" : false, "suffix" : "" }, { "dropping-particle" : "", "family" : "Monticone", "given" : "Silvia", "non-dropping-particle" : "", "parse-names" : false, "suffix" : "" }, { "dropping-particle" : "", "family" : "Lang", "given" : "Katharina", "non-dropping-particle" : "", "parse-names" : false, "suffix" : "" }, { "dropping-particle" : "", "family" : "Beuschlein", "given" : "Felix", "non-dropping-particle" : "", "parse-names" : false, "suffix" : "" }, { "dropping-particle" : "", "family" : "Fischer", "given" : "Evelyn", "non-dropping-particle" : "", "parse-names" : false, "suffix" : "" }, { "dropping-particle" : "", "family" : "Tizzani", "given" : "Davide", "non-dropping-particle" : "", "parse-names" : false, "suffix" : "" }, { "dropping-particle" : "", "family" : "Pallauf", "given" : "Anna", "non-dropping-particle" : "", "parse-names" : false, "suffix" : "" }, { "dropping-particle" : "", "family" : "Viola", "given" : "Andrea", "non-dropping-particle" : "", "parse-names" : false, "suffix" : "" }, { "dropping-particle" : "", "family" : "Amar", "given" : "Laurence", "non-dropping-particle" : "", "parse-names" : false, "suffix" : "" }, { "dropping-particle" : "", "family" : "Williams", "given" : "Tracy Ann", "non-dropping-particle" : "", "parse-names" : false, "suffix" : "" }, { "dropping-particle" : "", "family" : "Strom", "given" : "Tim M.", "non-dropping-particle" : "", "parse-names" : false, "suffix" : "" }, { "dropping-particle" : "", "family" : "Graf", "given" : "Elisabeth", "non-dropping-particle" : "", "parse-names" : false, "suffix" : "" }, { "dropping-particle" : "", "family" : "Bandulik", "given" : "Sascha", "non-dropping-particle" : "", "parse-names" : false, "suffix" : "" }, { "dropping-particle" : "", "family" : "Penton", "given" : "David", "non-dropping-particle" : "", "parse-names" : false, "suffix" : "" }, { "dropping-particle" : "", "family" : "Plouin", "given" : "Pierre Fran\u00e7ois", "non-dropping-particle" : "", "parse-names" : false, "suffix" : "" }, { "dropping-particle" : "", "family" : "Warth", "given" : "Richard", "non-dropping-particle" : "", "parse-names" : false, "suffix" : "" }, { "dropping-particle" : "", "family" : "Allolio", "given" : "Bruno", "non-dropping-particle" : "", "parse-names" : false, "suffix" : "" }, { "dropping-particle" : "", "family" : "Jeunemaitre", "given" : "Xavier", "non-dropping-particle" : "", "parse-names" : false, "suffix" : "" }, { "dropping-particle" : "", "family" : "Veglio", "given" : "Franco", "non-dropping-particle" : "", "parse-names" : false, "suffix" : "" }, { "dropping-particle" : "", "family" : "Reincke", "given" : "Martin", "non-dropping-particle" : "", "parse-names" : false, "suffix" : "" } ], "container-title" : "Hypertension", "id" : "ITEM-1", "issue" : "2", "issued" : { "date-parts" : [ [ "2012" ] ] }, "page" : "235-240", "title" : "KCNJ5 mutations in European families with nonglucocorticoid remediable familial hyperaldosteronism", "type" : "article-journal", "volume" : "59" }, "uris" : [ "http://www.mendeley.com/documents/?uuid=09049b8c-76de-456c-8112-474739a6e928" ] } ], "mendeley" : { "formattedCitation" : "(25)", "plainTextFormattedCitation" : "(25)", "previouslyFormattedCitation" : "(25)" }, "properties" : { "noteIndex" : 0 }, "schema" : "https://github.com/citation-style-language/schema/raw/master/csl-citation.json" }</w:instrText>
      </w:r>
      <w:r w:rsidR="00AD6DE4">
        <w:rPr>
          <w:rFonts w:ascii="Times New Roman" w:hAnsi="Times New Roman"/>
          <w:sz w:val="24"/>
          <w:szCs w:val="24"/>
          <w:lang w:val="en-GB"/>
        </w:rPr>
        <w:fldChar w:fldCharType="separate"/>
      </w:r>
      <w:r w:rsidR="00AD6DE4" w:rsidRPr="00AD6DE4">
        <w:rPr>
          <w:rFonts w:ascii="Times New Roman" w:hAnsi="Times New Roman"/>
          <w:noProof/>
          <w:sz w:val="24"/>
          <w:szCs w:val="24"/>
          <w:lang w:val="en-GB"/>
        </w:rPr>
        <w:t>(25)</w:t>
      </w:r>
      <w:r w:rsidR="00AD6DE4">
        <w:rPr>
          <w:rFonts w:ascii="Times New Roman" w:hAnsi="Times New Roman"/>
          <w:sz w:val="24"/>
          <w:szCs w:val="24"/>
          <w:lang w:val="en-GB"/>
        </w:rPr>
        <w:fldChar w:fldCharType="end"/>
      </w:r>
      <w:r w:rsidRPr="002A6D57">
        <w:rPr>
          <w:rFonts w:ascii="Times New Roman" w:hAnsi="Times New Roman"/>
          <w:sz w:val="24"/>
          <w:szCs w:val="24"/>
          <w:lang w:val="en-GB"/>
        </w:rPr>
        <w:t xml:space="preserve">. Following the discovery of different </w:t>
      </w:r>
      <w:r w:rsidRPr="002A6D57">
        <w:rPr>
          <w:rFonts w:ascii="Times New Roman" w:hAnsi="Times New Roman"/>
          <w:i/>
          <w:sz w:val="24"/>
          <w:szCs w:val="24"/>
          <w:lang w:val="en-GB"/>
        </w:rPr>
        <w:t>KCNJ5</w:t>
      </w:r>
      <w:r w:rsidRPr="002A6D57">
        <w:rPr>
          <w:rFonts w:ascii="Times New Roman" w:hAnsi="Times New Roman"/>
          <w:sz w:val="24"/>
          <w:szCs w:val="24"/>
          <w:lang w:val="en-GB"/>
        </w:rPr>
        <w:t xml:space="preserve"> mutations caus</w:t>
      </w:r>
      <w:r>
        <w:rPr>
          <w:rFonts w:ascii="Times New Roman" w:hAnsi="Times New Roman"/>
          <w:sz w:val="24"/>
          <w:szCs w:val="24"/>
          <w:lang w:val="en-GB"/>
        </w:rPr>
        <w:t>ative for FH-III,</w:t>
      </w:r>
      <w:r w:rsidRPr="00277E61">
        <w:rPr>
          <w:rFonts w:ascii="Times New Roman" w:hAnsi="Times New Roman"/>
          <w:sz w:val="24"/>
          <w:szCs w:val="24"/>
          <w:lang w:val="en-GB"/>
        </w:rPr>
        <w:t xml:space="preserve"> </w:t>
      </w:r>
      <w:r w:rsidRPr="009F0EE6">
        <w:rPr>
          <w:rFonts w:ascii="Times New Roman" w:hAnsi="Times New Roman"/>
          <w:sz w:val="24"/>
          <w:szCs w:val="24"/>
          <w:lang w:val="en-GB"/>
        </w:rPr>
        <w:t>a</w:t>
      </w:r>
      <w:r>
        <w:rPr>
          <w:rFonts w:ascii="Times New Roman" w:hAnsi="Times New Roman"/>
          <w:sz w:val="24"/>
          <w:szCs w:val="24"/>
          <w:lang w:val="en-GB"/>
        </w:rPr>
        <w:t xml:space="preserve"> genotype-phenotype correlation became evident, with most of the affected families displaying a severe phenotype </w:t>
      </w:r>
      <w:r w:rsidR="00AD6DE4">
        <w:rPr>
          <w:rFonts w:ascii="Times New Roman" w:hAnsi="Times New Roman"/>
          <w:sz w:val="24"/>
          <w:szCs w:val="24"/>
          <w:lang w:val="en-GB"/>
        </w:rPr>
        <w:fldChar w:fldCharType="begin" w:fldLock="1"/>
      </w:r>
      <w:r w:rsidR="00AD6DE4">
        <w:rPr>
          <w:rFonts w:ascii="Times New Roman" w:hAnsi="Times New Roman"/>
          <w:sz w:val="24"/>
          <w:szCs w:val="24"/>
          <w:lang w:val="en-GB"/>
        </w:rPr>
        <w:instrText>ADDIN CSL_CITATION { "citationItems" : [ { "id" : "ITEM-1", "itemData" : { "DOI" : "10.1038/nrendo.2012.230", "ISBN" : "1759-5037 (Electronic)\r1759-5029 (Linking)", "ISSN" : "1759-5037", "PMID" : "23229280", "abstract" : "Primary aldosteronism is characterised by the dysregulation of aldosterone production and comprises both sporadic forms, caused by an aldosterone-producing adenoma or bilateral adrenal hyperplasia, and familial forms (familial hyperaldosteronism types I, II and III). The two principal physiological regulators of aldosterone synthesis are angiotensin II and serum K(+), which reverse the high resting K(+) conductance and hyperpolarized membrane potential of adrenal glomerulosa cells. The resulting membrane depolarization causes the opening of voltage-gated Ca(2+) channels and an increase in intracellular Ca(2+) that stimulates aldosterone biosynthesis. Point mutations in the KCNJ5 gene, which encodes the G-protein-activated inward rectifier K(+) channel 4 (GIRK4), have been implicated in the pathogenesis of both sporadic and familial forms of primary aldosteronism. These mutations interfere with the selectivity filter of GIRK4 causing Na(+) entry, cell depolarization and Ca(2+) channel opening, resulting in constitutive aldosterone production. Seven families with familial hyperaldosteronism caused by KCNJ5 germline mutations have so far been described, and multicentre studies have reported KCNJ5 mutations in approximately 40% of sporadic aldosterone-producing adenomas. Herein, we review the role of GIRK4 in adrenal pathophysiology and provide an overview of the clinical and biochemical phenotypes resulting from KCNJ5 mutations in patients with sporadic and familial primary aldosteronism.", "author" : [ { "dropping-particle" : "", "family" : "Mulatero", "given" : "Paolo", "non-dropping-particle" : "", "parse-names" : false, "suffix" : "" }, { "dropping-particle" : "", "family" : "Monticone", "given" : "Silvia", "non-dropping-particle" : "", "parse-names" : false, "suffix" : "" }, { "dropping-particle" : "", "family" : "Rainey", "given" : "William E", "non-dropping-particle" : "", "parse-names" : false, "suffix" : "" }, { "dropping-particle" : "", "family" : "Veglio", "given" : "Franco", "non-dropping-particle" : "", "parse-names" : false, "suffix" : "" }, { "dropping-particle" : "", "family" : "Williams", "given" : "Tracy Ann", "non-dropping-particle" : "", "parse-names" : false, "suffix" : "" } ], "container-title" : "Nature Reviews Endocrinology", "id" : "ITEM-1", "issue" : "2", "issued" : { "date-parts" : [ [ "2013" ] ] }, "page" : "104-12", "publisher" : "Nature Publishing Group", "title" : "Role of KCNJ5 in familial and sporadic primary aldosteronism.", "type" : "article-journal", "volume" : "9" }, "uris" : [ "http://www.mendeley.com/documents/?uuid=cf7c9bbf-a95d-4b7b-ac82-6a8595479656" ] } ], "mendeley" : { "formattedCitation" : "(30)", "plainTextFormattedCitation" : "(30)", "previouslyFormattedCitation" : "(30)" }, "properties" : { "noteIndex" : 0 }, "schema" : "https://github.com/citation-style-language/schema/raw/master/csl-citation.json" }</w:instrText>
      </w:r>
      <w:r w:rsidR="00AD6DE4">
        <w:rPr>
          <w:rFonts w:ascii="Times New Roman" w:hAnsi="Times New Roman"/>
          <w:sz w:val="24"/>
          <w:szCs w:val="24"/>
          <w:lang w:val="en-GB"/>
        </w:rPr>
        <w:fldChar w:fldCharType="separate"/>
      </w:r>
      <w:r w:rsidR="00AD6DE4" w:rsidRPr="00AD6DE4">
        <w:rPr>
          <w:rFonts w:ascii="Times New Roman" w:hAnsi="Times New Roman"/>
          <w:noProof/>
          <w:sz w:val="24"/>
          <w:szCs w:val="24"/>
          <w:lang w:val="en-GB"/>
        </w:rPr>
        <w:t>(30)</w:t>
      </w:r>
      <w:r w:rsidR="00AD6DE4">
        <w:rPr>
          <w:rFonts w:ascii="Times New Roman" w:hAnsi="Times New Roman"/>
          <w:sz w:val="24"/>
          <w:szCs w:val="24"/>
          <w:lang w:val="en-GB"/>
        </w:rPr>
        <w:fldChar w:fldCharType="end"/>
      </w:r>
      <w:r>
        <w:rPr>
          <w:rFonts w:ascii="Times New Roman" w:hAnsi="Times New Roman"/>
          <w:sz w:val="24"/>
          <w:szCs w:val="24"/>
          <w:lang w:val="en-GB"/>
        </w:rPr>
        <w:t>.</w:t>
      </w:r>
    </w:p>
    <w:p w14:paraId="3AC468A2" w14:textId="77777777" w:rsidR="007143EE" w:rsidRDefault="007143EE" w:rsidP="00302846">
      <w:pPr>
        <w:spacing w:after="0" w:line="480" w:lineRule="auto"/>
        <w:jc w:val="both"/>
        <w:rPr>
          <w:rFonts w:ascii="Times New Roman" w:hAnsi="Times New Roman"/>
          <w:sz w:val="24"/>
          <w:szCs w:val="24"/>
          <w:lang w:val="en-GB"/>
        </w:rPr>
      </w:pPr>
      <w:r>
        <w:rPr>
          <w:rFonts w:ascii="Times New Roman" w:hAnsi="Times New Roman"/>
          <w:sz w:val="24"/>
          <w:szCs w:val="24"/>
          <w:lang w:val="en-GB"/>
        </w:rPr>
        <w:t>The clinical phenotype of the subjects carrying the Thr158Ala</w:t>
      </w:r>
      <w:r w:rsidRPr="00705669">
        <w:rPr>
          <w:rFonts w:ascii="Times New Roman" w:hAnsi="Times New Roman"/>
          <w:sz w:val="24"/>
          <w:szCs w:val="24"/>
          <w:lang w:val="en-GB"/>
        </w:rPr>
        <w:t xml:space="preserve"> </w:t>
      </w:r>
      <w:r w:rsidR="00AD6DE4">
        <w:rPr>
          <w:rFonts w:ascii="Times New Roman" w:hAnsi="Times New Roman"/>
          <w:sz w:val="24"/>
          <w:szCs w:val="24"/>
          <w:lang w:val="en-GB"/>
        </w:rPr>
        <w:fldChar w:fldCharType="begin" w:fldLock="1"/>
      </w:r>
      <w:r w:rsidR="00355209">
        <w:rPr>
          <w:rFonts w:ascii="Times New Roman" w:hAnsi="Times New Roman"/>
          <w:sz w:val="24"/>
          <w:szCs w:val="24"/>
          <w:lang w:val="en-GB"/>
        </w:rPr>
        <w:instrText>ADDIN CSL_CITATION { "citationItems" : [ { "id" : "ITEM-1", "itemData" : { "author" : [ { "dropping-particle" : "", "family" : "Therien", "given" : "", "non-dropping-particle" : "", "parse-names" : false, "suffix" : "" }, { "dropping-particle" : "", "family" : "Howard", "given" : "Philip J", "non-dropping-particle" : "", "parse-names" : false, "suffix" : "" }, { "dropping-particle" : "", "family" : "Hospital", "given" : "Henry Ford", "non-dropping-particle" : "", "parse-names" : false, "suffix" : "" } ], "id" : "ITEM-1", "issued" : { "date-parts" : [ [ "1958" ] ] }, "title" : "Primary Aldosteronism Due to Adrenal Hyperplasia", "type" : "article-journal" }, "uris" : [ "http://www.mendeley.com/documents/?uuid=eceab327-00fe-4ae7-a91b-10e0d71a597a" ] }, { "id" : "ITEM-2", "itemData" : { "DOI" : "10.1210/jc.2008-0594", "ISSN" : "0021972X", "PMID" : "18505761", "abstract" : "CONTEXT: Primary aldosteronism is a leading cause of secondary hypertension (HTN), but the mechanisms underlying the characteristic renin-independent secretion of aldosterone remain unknown in most patients. OBJECTIVES: We report a new familial form of aldosteronism in a father and two daughters. All were diagnosed with severe HTN refractory to medical treatment by age 7 yr. We performed a variety of clinical, biochemical, and genetic studies to attempt to clarify the underlying molecular defect. RESULTS: Biochemical studies revealed hyporeninemia, hyperaldosteronism, and very high levels of 18-oxocortisol and 18-hydroxycortisol, steroids that reflect oxidation by both steroid 17-alpha hydroxylase and aldosterone synthase. These enzymes are normally compartmentalized in the adrenal fasciculata and glomerulosa, respectively. Administration of dexamethasone failed to suppress either aldosterone or cortisol secretion; these findings distinguish this clinical syndrome from glucocorticoid-remediable aldosteronism, another autosomal dominant form of HTN, and suggest a global defect in the regulation of adrenal steroid production. Genetic studies excluded mutation at the aldosterone synthase locus, further distinguishing this disorder from glucocorticoid-remediable aldosteronism. Because of unrelenting HTN, all three subjects underwent bilateral adrenalectomy, which in each case corrected the HTN. Adrenal glands showed dramatic enlargement, with paired adrenal weights as high as 82 g. Histology revealed massive hyperplasia and cellular hypertrophy of a single cortical compartment that had features of adrenal fasciculata or a transitional zone, with an atrophic glomerulosa. CONCLUSION: These findings define a new inherited form of aldosteronism and suggest that identification of the underlying defect will provide insight into normal mechanisms regulating adrenal steroid biosynthesis.", "author" : [ { "dropping-particle" : "", "family" : "Geller", "given" : "David S.", "non-dropping-particle" : "", "parse-names" : false, "suffix" : "" }, { "dropping-particle" : "", "family" : "Zhang", "given" : "Junhui", "non-dropping-particle" : "", "parse-names" : false, "suffix" : "" }, { "dropping-particle" : "V.", "family" : "Wisgerhof", "given" : "Max", "non-dropping-particle" : "", "parse-names" : false, "suffix" : "" }, { "dropping-particle" : "", "family" : "Shackleton", "given" : "Cedric", "non-dropping-particle" : "", "parse-names" : false, "suffix" : "" }, { "dropping-particle" : "", "family" : "Kashgarian", "given" : "Michael", "non-dropping-particle" : "", "parse-names" : false, "suffix" : "" }, { "dropping-particle" : "", "family" : "Lifton", "given" : "Richard P.", "non-dropping-particle" : "", "parse-names" : false, "suffix" : "" } ], "container-title" : "Journal of Clinical Endocrinology and Metabolism", "id" : "ITEM-2", "issue" : "8", "issued" : { "date-parts" : [ [ "2008" ] ] }, "page" : "3117-3123", "title" : "A novel form of human mendelian hypertension featuring nonglucocorticoid- remediable aldosteronism", "type" : "article-journal", "volume" : "93" }, "uris" : [ "http://www.mendeley.com/documents/?uuid=ad8cedad-bc28-4fc6-a708-cf422b0b01c0" ] }, { "id" : "ITEM-3", "itemData" : { "DOI" : "10.1126/science.1198785", "ISBN" : "1095-9203 (Electronic)\r0036-8075 (Linking)", "ISSN" : "0036-8075", "PMID" : "21311022", "author" : [ { "dropping-particle" : "", "family" : "Choi", "given" : "M.", "non-dropping-particle" : "", "parse-names" : false, "suffix" : "" }, { "dropping-particle" : "", "family" : "Scholl", "given" : "U. I.", "non-dropping-particle" : "", "parse-names" : false, "suffix" : "" }, { "dropping-particle" : "", "family" : "Yue", "given" : "P.", "non-dropping-particle" : "", "parse-names" : false, "suffix" : "" }, { "dropping-particle" : "", "family" : "Bjorklund", "given" : "P.", "non-dropping-particle" : "", "parse-names" : false, "suffix" : "" }, { "dropping-particle" : "", "family" : "Zhao", "given" : "B.", "non-dropping-particle" : "", "parse-names" : false, "suffix" : "" }, { "dropping-particle" : "", "family" : "Nelson-Williams", "given" : "C.", "non-dropping-particle" : "", "parse-names" : false, "suffix" : "" }, { "dropping-particle" : "", "family" : "Ji", "given" : "W.", "non-dropping-particle" : "", "parse-names" : false, "suffix" : "" }, { "dropping-particle" : "", "family" : "Cho", "given" : "Y.", "non-dropping-particle" : "", "parse-names" : false, "suffix" : "" }, { "dropping-particle" : "", "family" : "Patel", "given" : "A.", "non-dropping-particle" : "", "parse-names" : false, "suffix" : "" }, { "dropping-particle" : "", "family" : "Men", "given" : "C. J.", "non-dropping-particle" : "", "parse-names" : false, "suffix" : "" }, { "dropping-particle" : "", "family" : "Lolis", "given" : "E.", "non-dropping-particle" : "", "parse-names" : false, "suffix" : "" }, { "dropping-particle" : "V.", "family" : "Wisgerhof", "given" : "M.", "non-dropping-particle" : "", "parse-names" : false, "suffix" : "" }, { "dropping-particle" : "", "family" : "Geller", "given" : "D. S.", "non-dropping-particle" : "", "parse-names" : false, "suffix" : "" }, { "dropping-particle" : "", "family" : "Mane", "given" : "S.", "non-dropping-particle" : "", "parse-names" : false, "suffix" : "" }, { "dropping-particle" : "", "family" : "Hellman", "given" : "P.", "non-dropping-particle" : "", "parse-names" : false, "suffix" : "" }, { "dropping-particle" : "", "family" : "Westin", "given" : "G.", "non-dropping-particle" : "", "parse-names" : false, "suffix" : "" }, { "dropping-particle" : "", "family" : "Akerstrom", "given" : "G.", "non-dropping-particle" : "", "parse-names" : false, "suffix" : "" }, { "dropping-particle" : "", "family" : "Wang", "given" : "W.", "non-dropping-particle" : "", "parse-names" : false, "suffix" : "" }, { "dropping-particle" : "", "family" : "Carling", "given" : "T.", "non-dropping-particle" : "", "parse-names" : false, "suffix" : "" }, { "dropping-particle" : "", "family" : "Lifton", "given" : "R. P.", "non-dropping-particle" : "", "parse-names" : false, "suffix" : "" } ], "container-title" : "Science", "id" : "ITEM-3", "issue" : "6018", "issued" : { "date-parts" : [ [ "2011" ] ] }, "page" : "768-772", "title" : "K+ Channel Mutations in Adrenal Aldosterone-Producing Adenomas and Hereditary Hypertension", "type" : "article-journal", "volume" : "331" }, "uris" : [ "http://www.mendeley.com/documents/?uuid=ba17704a-d0b7-472c-a12e-d3d7002d5cf5" ] } ], "mendeley" : { "formattedCitation" : "(12,14,15)", "plainTextFormattedCitation" : "(12,14,15)", "previouslyFormattedCitation" : "(12,14,15)" }, "properties" : { "noteIndex" : 0 }, "schema" : "https://github.com/citation-style-language/schema/raw/master/csl-citation.json" }</w:instrText>
      </w:r>
      <w:r w:rsidR="00AD6DE4">
        <w:rPr>
          <w:rFonts w:ascii="Times New Roman" w:hAnsi="Times New Roman"/>
          <w:sz w:val="24"/>
          <w:szCs w:val="24"/>
          <w:lang w:val="en-GB"/>
        </w:rPr>
        <w:fldChar w:fldCharType="separate"/>
      </w:r>
      <w:r w:rsidR="00AD6DE4" w:rsidRPr="00AD6DE4">
        <w:rPr>
          <w:rFonts w:ascii="Times New Roman" w:hAnsi="Times New Roman"/>
          <w:noProof/>
          <w:sz w:val="24"/>
          <w:szCs w:val="24"/>
          <w:lang w:val="en-GB"/>
        </w:rPr>
        <w:t>(12,14,15)</w:t>
      </w:r>
      <w:r w:rsidR="00AD6DE4">
        <w:rPr>
          <w:rFonts w:ascii="Times New Roman" w:hAnsi="Times New Roman"/>
          <w:sz w:val="24"/>
          <w:szCs w:val="24"/>
          <w:lang w:val="en-GB"/>
        </w:rPr>
        <w:fldChar w:fldCharType="end"/>
      </w:r>
      <w:r>
        <w:rPr>
          <w:rFonts w:ascii="Times New Roman" w:hAnsi="Times New Roman"/>
          <w:sz w:val="24"/>
          <w:szCs w:val="24"/>
          <w:lang w:val="en-GB"/>
        </w:rPr>
        <w:t xml:space="preserve"> mutation has been described in a previous paragraph.</w:t>
      </w:r>
    </w:p>
    <w:p w14:paraId="3AC468A3" w14:textId="77777777" w:rsidR="007143EE" w:rsidRDefault="007143EE" w:rsidP="00302846">
      <w:pPr>
        <w:spacing w:after="0" w:line="480" w:lineRule="auto"/>
        <w:jc w:val="both"/>
        <w:rPr>
          <w:rFonts w:ascii="Times New Roman" w:hAnsi="Times New Roman"/>
          <w:sz w:val="24"/>
          <w:szCs w:val="24"/>
          <w:lang w:val="en-GB"/>
        </w:rPr>
      </w:pPr>
      <w:r>
        <w:rPr>
          <w:rFonts w:ascii="Times New Roman" w:hAnsi="Times New Roman"/>
          <w:sz w:val="24"/>
          <w:szCs w:val="24"/>
          <w:lang w:val="en-GB"/>
        </w:rPr>
        <w:t xml:space="preserve">The </w:t>
      </w:r>
      <w:r w:rsidRPr="006D19A0">
        <w:rPr>
          <w:rFonts w:ascii="Times New Roman" w:hAnsi="Times New Roman"/>
          <w:sz w:val="24"/>
          <w:szCs w:val="24"/>
          <w:lang w:val="en-GB"/>
        </w:rPr>
        <w:t xml:space="preserve">Gly151Glu </w:t>
      </w:r>
      <w:r>
        <w:rPr>
          <w:rFonts w:ascii="Times New Roman" w:hAnsi="Times New Roman"/>
          <w:sz w:val="24"/>
          <w:szCs w:val="24"/>
          <w:lang w:val="en-GB"/>
        </w:rPr>
        <w:t>mutation</w:t>
      </w:r>
      <w:r w:rsidRPr="006D19A0">
        <w:rPr>
          <w:rFonts w:ascii="Times New Roman" w:hAnsi="Times New Roman"/>
          <w:sz w:val="24"/>
          <w:szCs w:val="24"/>
          <w:lang w:val="en-GB"/>
        </w:rPr>
        <w:t xml:space="preserve"> </w:t>
      </w:r>
      <w:r w:rsidR="00AD6DE4">
        <w:rPr>
          <w:rFonts w:ascii="Times New Roman" w:hAnsi="Times New Roman"/>
          <w:sz w:val="24"/>
          <w:szCs w:val="24"/>
          <w:lang w:val="en-GB"/>
        </w:rPr>
        <w:fldChar w:fldCharType="begin" w:fldLock="1"/>
      </w:r>
      <w:r w:rsidR="00AD6DE4">
        <w:rPr>
          <w:rFonts w:ascii="Times New Roman" w:hAnsi="Times New Roman"/>
          <w:sz w:val="24"/>
          <w:szCs w:val="24"/>
          <w:lang w:val="en-GB"/>
        </w:rPr>
        <w:instrText>ADDIN CSL_CITATION { "citationItems" : [ { "id" : "ITEM-1", "itemData" : { "DOI" : "10.1161/HYPERTENSIONAHA.111.183996", "ISBN" : "1524-4563 (Electronic)\\r0194-911X (Linking)", "ISSN" : "0194911X", "PMID" : "22203740", "abstract" : "Primary aldosteronism is the most frequent cause of endocrine hypertension. Three forms of familial hyperaldosteronism (FH) have been described, named FH-I to -III. Recently, a mutation of KCNJ5 has been shown to be associated with FH-III, whereas the cause of FH-II is still unknown. In this study we searched for mutations in KCNJ5 in 46 patients from 21 families with FH, in which FH-I was excluded. We identified a new germline G151E mutation in 2 primary aldosteronism-affected subjects from an Italian family and 3 somatic mutations in aldosterone-producing adenomas, T158A described previously as a germline mutation associated with FH-III, and G151R and L168R both described as somatic mutations in aldosterone-producing adenoma. The phenotype of the family with the G151E mutation was remarkably milder compared with the previously described American family, in terms of both clinical and biochemical parameters. Furthermore, patients with somatic KCNJ5 mutations displayed a phenotype indistinguishable from that of sporadic primary aldosteronism. The functional characterization of the effects of the G151E mutation in vitro showed a profound alteration of the channel function, with loss of K(+) selectivity, Na(+) influx, and membrane depolarization. These alterations have been postulated to be responsible for voltage gate Ca(2+) channel activation, increase in cytosolic calcium, and stimulation of aldosterone production and adrenal cell proliferation. In conclusion, we describe herein a new mutation in the KCNJ5 potassium channel associated with FH-III, responsible for marked alterations of channel function but associated with a mild clinical and hormonal phenotype.", "author" : [ { "dropping-particle" : "", "family" : "Mulatero", "given" : "Paolo", "non-dropping-particle" : "", "parse-names" : false, "suffix" : "" }, { "dropping-particle" : "", "family" : "Tauber", "given" : "Philipp", "non-dropping-particle" : "", "parse-names" : false, "suffix" : "" }, { "dropping-particle" : "", "family" : "Zennaro", "given" : "Maria Christina", "non-dropping-particle" : "", "parse-names" : false, "suffix" : "" }, { "dropping-particle" : "", "family" : "Monticone", "given" : "Silvia", "non-dropping-particle" : "", "parse-names" : false, "suffix" : "" }, { "dropping-particle" : "", "family" : "Lang", "given" : "Katharina", "non-dropping-particle" : "", "parse-names" : false, "suffix" : "" }, { "dropping-particle" : "", "family" : "Beuschlein", "given" : "Felix", "non-dropping-particle" : "", "parse-names" : false, "suffix" : "" }, { "dropping-particle" : "", "family" : "Fischer", "given" : "Evelyn", "non-dropping-particle" : "", "parse-names" : false, "suffix" : "" }, { "dropping-particle" : "", "family" : "Tizzani", "given" : "Davide", "non-dropping-particle" : "", "parse-names" : false, "suffix" : "" }, { "dropping-particle" : "", "family" : "Pallauf", "given" : "Anna", "non-dropping-particle" : "", "parse-names" : false, "suffix" : "" }, { "dropping-particle" : "", "family" : "Viola", "given" : "Andrea", "non-dropping-particle" : "", "parse-names" : false, "suffix" : "" }, { "dropping-particle" : "", "family" : "Amar", "given" : "Laurence", "non-dropping-particle" : "", "parse-names" : false, "suffix" : "" }, { "dropping-particle" : "", "family" : "Williams", "given" : "Tracy Ann", "non-dropping-particle" : "", "parse-names" : false, "suffix" : "" }, { "dropping-particle" : "", "family" : "Strom", "given" : "Tim M.", "non-dropping-particle" : "", "parse-names" : false, "suffix" : "" }, { "dropping-particle" : "", "family" : "Graf", "given" : "Elisabeth", "non-dropping-particle" : "", "parse-names" : false, "suffix" : "" }, { "dropping-particle" : "", "family" : "Bandulik", "given" : "Sascha", "non-dropping-particle" : "", "parse-names" : false, "suffix" : "" }, { "dropping-particle" : "", "family" : "Penton", "given" : "David", "non-dropping-particle" : "", "parse-names" : false, "suffix" : "" }, { "dropping-particle" : "", "family" : "Plouin", "given" : "Pierre Fran\u00e7ois", "non-dropping-particle" : "", "parse-names" : false, "suffix" : "" }, { "dropping-particle" : "", "family" : "Warth", "given" : "Richard", "non-dropping-particle" : "", "parse-names" : false, "suffix" : "" }, { "dropping-particle" : "", "family" : "Allolio", "given" : "Bruno", "non-dropping-particle" : "", "parse-names" : false, "suffix" : "" }, { "dropping-particle" : "", "family" : "Jeunemaitre", "given" : "Xavier", "non-dropping-particle" : "", "parse-names" : false, "suffix" : "" }, { "dropping-particle" : "", "family" : "Veglio", "given" : "Franco", "non-dropping-particle" : "", "parse-names" : false, "suffix" : "" }, { "dropping-particle" : "", "family" : "Reincke", "given" : "Martin", "non-dropping-particle" : "", "parse-names" : false, "suffix" : "" } ], "container-title" : "Hypertension", "id" : "ITEM-1", "issue" : "2", "issued" : { "date-parts" : [ [ "2012" ] ] }, "page" : "235-240", "title" : "KCNJ5 mutations in European families with nonglucocorticoid remediable familial hyperaldosteronism", "type" : "article-journal", "volume" : "59" }, "uris" : [ "http://www.mendeley.com/documents/?uuid=09049b8c-76de-456c-8112-474739a6e928" ] }, { "id" : "ITEM-2", "itemData" : { "DOI" : "10.1507/endocrj.EJ11-0406", "ISSN" : "1348-4540 (Electronic)", "PMID" : "22447138", "abstract" : "Familial hyperaldosteronism (FH) encompasses 3 types of autosomal dominant hyperaldosteronisms leading to inheritable hypertension. FH type II (FH-II), undistinguishable from sporadic hyperaldosteronism, represents the most frequent cause of inheritable hypertension and is believed to only manifest in adults. FH-III is a severe variety of PA resistant to pharmacotherapy and recently demonstrated to be caused by mutations in the gene encoding the potassium channel KCNJ5. In this report, we describe a FH pediatric patient, remarkable both for age at onset and unusual presentation: a two-years old girl with polyuric-polydipsic syndrome and severe hypertension, successfully treated with canrenone and amiloride. The girl had severe hypertension, hypokalemia, hypercalciuria, suppressed renin activity, high aldosterone, and unremarkable adrenal imaging. FH type I was ruled out by glucocorticoid suppression test, PCR test for CYP11B1/CYP11B2 gene, and urinary 18-oxo-cortisol and 18-hydroxy-cortisol excretion, which was in FH-II range. In spite of a clear-cut FH-II phenotype, the girl and her mother were found to harbor a FH-III genotype with KCNJ5 mutation (c.452G&gt;A). Treatment with canrenone was started, resulting in prompt normalization of electrolytes and remission of polyuric-polydypsic syndrome. The addition of amiloride led to a complete normalization of blood pressure. This report expands the phenotypic spectrum of FH-III to a milder end, mimiking FH-II phenotype demonstrating that pharmacotherapy may be effective. This also implies that FH-II/III should be considered in the differential diagnosis of hypertensive children and, perhaps, that the offspring of patients with hyperaldosteronism should be screened for hypertension.", "author" : [ { "dropping-particle" : "", "family" : "Mussa", "given" : "Alessandro", "non-dropping-particle" : "", "parse-names" : false, "suffix" : "" }, { "dropping-particle" : "", "family" : "Camilla", "given" : "Roberta", "non-dropping-particle" : "", "parse-names" : false, "suffix" : "" }, { "dropping-particle" : "", "family" : "Monticone", "given" : "Silvia", "non-dropping-particle" : "", "parse-names" : false, "suffix" : "" }, { "dropping-particle" : "", "family" : "Porta", "given" : "Francesco", "non-dropping-particle" : "", "parse-names" : false, "suffix" : "" }, { "dropping-particle" : "", "family" : "Tessaris", "given" : "Daniele", "non-dropping-particle" : "", "parse-names" : false, "suffix" : "" }, { "dropping-particle" : "", "family" : "Verna", "given" : "Francesca", "non-dropping-particle" : "", "parse-names" : false, "suffix" : "" }, { "dropping-particle" : "", "family" : "Mulatero", "given" : "Paolo", "non-dropping-particle" : "", "parse-names" : false, "suffix" : "" }, { "dropping-particle" : "", "family" : "Einaudi", "given" : "Silvia", "non-dropping-particle" : "", "parse-names" : false, "suffix" : "" } ], "container-title" : "Endocrine journal", "id" : "ITEM-2", "issue" : "6", "issued" : { "date-parts" : [ [ "2012" ] ] }, "page" : "497-502", "title" : "Polyuric-polydipsic syndrome in a pediatric case of non-glucocorticoid remediable familial hyperaldosteronism.", "type" : "article-journal", "volume" : "59" }, "uris" : [ "http://www.mendeley.com/documents/?uuid=445ddb20-c2bf-4393-a079-8299ba0b471b" ] }, { "id" : "ITEM-3", "itemData" : { "DOI" : "10.1073/pnas.1121407109", "ISBN" : "1091-6490 (Electronic)\r0027-8424 (Linking)", "ISSN" : "1091-6490", "PMID" : "22308486", "abstract" : "We recently implicated two recurrent somatic mutations in an adrenal potassium channel, KCNJ5, as a cause of aldosterone-producing adrenal adenomas (APAs) and one inherited KCNJ5 mutation in a Mendelian form of early severe hypertension with massive adrenal hyperplasia. The mutations identified all altered the channel selectivity filter, producing increased Na(+) conductance and membrane depolarization, the signal for aldosterone production and proliferation of adrenal glomerulosa cells. We report herein members of four kindreds with early onset primary aldosteronism of unknown cause. Sequencing of KCNJ5 revealed that affected members of two kindreds had KCNJ5(G151R) mutations, identical to one of the prevalent recurrent mutations in APAs. These individuals had severe progressive aldosteronism and hyperplasia requiring bilateral adrenalectomy in childhood for blood pressure control. Affected members of the other two kindreds had KCNJ5(G151E) mutations, which are not seen in APAs. These subjects had easily controlled hypertension and no evidence of hyperplasia. Surprisingly, electrophysiology of channels expressed in 293T cells demonstrated that KCNJ5(G151E) was the more extreme mutation, producing a much larger Na(+) conductance than KCNJ5(G151R), resulting in rapid Na(+)-dependent cell lethality. We infer that this increased lethality limits adrenocortical cell mass and the severity of aldosteronism in vivo, accounting for the milder phenotype among these patients. These findings demonstrate striking variations in phenotypes and clinical outcome resulting from different mutations of the same amino acid in KCNJ5 and have implications for the diagnosis and pathogenesis of primary aldosteronism with and without adrenal hyperplasia.", "author" : [ { "dropping-particle" : "", "family" : "Scholl", "given" : "Ute I", "non-dropping-particle" : "", "parse-names" : false, "suffix" : "" }, { "dropping-particle" : "", "family" : "Nelson-Williams", "given" : "Carol", "non-dropping-particle" : "", "parse-names" : false, "suffix" : "" }, { "dropping-particle" : "", "family" : "Yue", "given" : "Peng", "non-dropping-particle" : "", "parse-names" : false, "suffix" : "" }, { "dropping-particle" : "", "family" : "Grekin", "given" : "Roger", "non-dropping-particle" : "", "parse-names" : false, "suffix" : "" }, { "dropping-particle" : "", "family" : "Wyatt", "given" : "Robert J", "non-dropping-particle" : "", "parse-names" : false, "suffix" : "" }, { "dropping-particle" : "", "family" : "Dillon", "given" : "Michael J", "non-dropping-particle" : "", "parse-names" : false, "suffix" : "" }, { "dropping-particle" : "", "family" : "Couch", "given" : "Robert", "non-dropping-particle" : "", "parse-names" : false, "suffix" : "" }, { "dropping-particle" : "", "family" : "Hammer", "given" : "Lisa K", "non-dropping-particle" : "", "parse-names" : false, "suffix" : "" }, { "dropping-particle" : "", "family" : "Harley", "given" : "Frances L", "non-dropping-particle" : "", "parse-names" : false, "suffix" : "" }, { "dropping-particle" : "", "family" : "Farhi", "given" : "Anita", "non-dropping-particle" : "", "parse-names" : false, "suffix" : "" }, { "dropping-particle" : "", "family" : "Wang", "given" : "Wen-Hui", "non-dropping-particle" : "", "parse-names" : false, "suffix" : "" }, { "dropping-particle" : "", "family" : "Lifton", "given" : "Richard P", "non-dropping-particle" : "", "parse-names" : false, "suffix" : "" } ], "container-title" : "Proceedings of the National Academy of Sciences of the United States of America", "id" : "ITEM-3", "issue" : "7", "issued" : { "date-parts" : [ [ "2012" ] ] }, "page" : "2533-8", "title" : "Hypertension with or without adrenal hyperplasia due to different inherited mutations in the potassium channel KCNJ5.", "type" : "article-journal", "volume" : "109" }, "uris" : [ "http://www.mendeley.com/documents/?uuid=1bc8ea91-74b3-4d5a-9416-97b28ec54b50" ] } ], "mendeley" : { "formattedCitation" : "(24,25,31)", "plainTextFormattedCitation" : "(24,25,31)", "previouslyFormattedCitation" : "(24,25,31)" }, "properties" : { "noteIndex" : 0 }, "schema" : "https://github.com/citation-style-language/schema/raw/master/csl-citation.json" }</w:instrText>
      </w:r>
      <w:r w:rsidR="00AD6DE4">
        <w:rPr>
          <w:rFonts w:ascii="Times New Roman" w:hAnsi="Times New Roman"/>
          <w:sz w:val="24"/>
          <w:szCs w:val="24"/>
          <w:lang w:val="en-GB"/>
        </w:rPr>
        <w:fldChar w:fldCharType="separate"/>
      </w:r>
      <w:r w:rsidR="00AD6DE4" w:rsidRPr="00AD6DE4">
        <w:rPr>
          <w:rFonts w:ascii="Times New Roman" w:hAnsi="Times New Roman"/>
          <w:noProof/>
          <w:sz w:val="24"/>
          <w:szCs w:val="24"/>
          <w:lang w:val="en-GB"/>
        </w:rPr>
        <w:t>(24,25,31)</w:t>
      </w:r>
      <w:r w:rsidR="00AD6DE4">
        <w:rPr>
          <w:rFonts w:ascii="Times New Roman" w:hAnsi="Times New Roman"/>
          <w:sz w:val="24"/>
          <w:szCs w:val="24"/>
          <w:lang w:val="en-GB"/>
        </w:rPr>
        <w:fldChar w:fldCharType="end"/>
      </w:r>
      <w:r>
        <w:rPr>
          <w:rFonts w:ascii="Times New Roman" w:hAnsi="Times New Roman"/>
          <w:sz w:val="24"/>
          <w:szCs w:val="24"/>
          <w:lang w:val="en-GB"/>
        </w:rPr>
        <w:t xml:space="preserve"> has been </w:t>
      </w:r>
      <w:r w:rsidRPr="007A4B9C">
        <w:rPr>
          <w:rFonts w:ascii="Times New Roman" w:hAnsi="Times New Roman"/>
          <w:sz w:val="24"/>
          <w:szCs w:val="24"/>
          <w:lang w:val="en-GB"/>
        </w:rPr>
        <w:t xml:space="preserve">reported </w:t>
      </w:r>
      <w:r w:rsidRPr="00437C9C">
        <w:rPr>
          <w:rFonts w:ascii="Times New Roman" w:hAnsi="Times New Roman"/>
          <w:sz w:val="24"/>
          <w:szCs w:val="24"/>
          <w:lang w:val="en-GB"/>
        </w:rPr>
        <w:t>in seven patients from three different families (in one patient from a three generation kindred the genotype is not available, however he displayed the typical FH-III clinical phenotype</w:t>
      </w:r>
      <w:r w:rsidRPr="007A4B9C">
        <w:rPr>
          <w:rFonts w:ascii="Times New Roman" w:hAnsi="Times New Roman"/>
          <w:sz w:val="24"/>
          <w:szCs w:val="24"/>
          <w:lang w:val="en-GB"/>
        </w:rPr>
        <w:t xml:space="preserve"> with early onset PA</w:t>
      </w:r>
      <w:r w:rsidRPr="00437C9C">
        <w:rPr>
          <w:rFonts w:ascii="Times New Roman" w:hAnsi="Times New Roman"/>
          <w:sz w:val="24"/>
          <w:szCs w:val="24"/>
          <w:lang w:val="en-GB"/>
        </w:rPr>
        <w:t>).</w:t>
      </w:r>
      <w:r>
        <w:rPr>
          <w:rFonts w:ascii="Times New Roman" w:hAnsi="Times New Roman"/>
          <w:sz w:val="24"/>
          <w:szCs w:val="24"/>
          <w:lang w:val="en-GB"/>
        </w:rPr>
        <w:t xml:space="preserve">  In one family from Torino, Italy, t</w:t>
      </w:r>
      <w:r w:rsidRPr="002625E2">
        <w:rPr>
          <w:rFonts w:ascii="Times New Roman" w:hAnsi="Times New Roman"/>
          <w:sz w:val="24"/>
          <w:szCs w:val="24"/>
          <w:lang w:val="en-GB"/>
        </w:rPr>
        <w:t>he hybrid steroid levels were slightly increased, but within the range observed for s</w:t>
      </w:r>
      <w:r>
        <w:rPr>
          <w:rFonts w:ascii="Times New Roman" w:hAnsi="Times New Roman"/>
          <w:sz w:val="24"/>
          <w:szCs w:val="24"/>
          <w:lang w:val="en-GB"/>
        </w:rPr>
        <w:t xml:space="preserve">poradic primary aldosteronism </w:t>
      </w:r>
      <w:r w:rsidR="00AD6DE4">
        <w:rPr>
          <w:rFonts w:ascii="Times New Roman" w:hAnsi="Times New Roman"/>
          <w:sz w:val="24"/>
          <w:szCs w:val="24"/>
          <w:lang w:val="en-GB"/>
        </w:rPr>
        <w:fldChar w:fldCharType="begin" w:fldLock="1"/>
      </w:r>
      <w:r w:rsidR="00AD6DE4">
        <w:rPr>
          <w:rFonts w:ascii="Times New Roman" w:hAnsi="Times New Roman"/>
          <w:sz w:val="24"/>
          <w:szCs w:val="24"/>
          <w:lang w:val="en-GB"/>
        </w:rPr>
        <w:instrText>ADDIN CSL_CITATION { "citationItems" : [ { "id" : "ITEM-1", "itemData" : { "DOI" : "10.1161/HYPERTENSIONAHA.111.183996", "ISBN" : "1524-4563 (Electronic)\\r0194-911X (Linking)", "ISSN" : "0194911X", "PMID" : "22203740", "abstract" : "Primary aldosteronism is the most frequent cause of endocrine hypertension. Three forms of familial hyperaldosteronism (FH) have been described, named FH-I to -III. Recently, a mutation of KCNJ5 has been shown to be associated with FH-III, whereas the cause of FH-II is still unknown. In this study we searched for mutations in KCNJ5 in 46 patients from 21 families with FH, in which FH-I was excluded. We identified a new germline G151E mutation in 2 primary aldosteronism-affected subjects from an Italian family and 3 somatic mutations in aldosterone-producing adenomas, T158A described previously as a germline mutation associated with FH-III, and G151R and L168R both described as somatic mutations in aldosterone-producing adenoma. The phenotype of the family with the G151E mutation was remarkably milder compared with the previously described American family, in terms of both clinical and biochemical parameters. Furthermore, patients with somatic KCNJ5 mutations displayed a phenotype indistinguishable from that of sporadic primary aldosteronism. The functional characterization of the effects of the G151E mutation in vitro showed a profound alteration of the channel function, with loss of K(+) selectivity, Na(+) influx, and membrane depolarization. These alterations have been postulated to be responsible for voltage gate Ca(2+) channel activation, increase in cytosolic calcium, and stimulation of aldosterone production and adrenal cell proliferation. In conclusion, we describe herein a new mutation in the KCNJ5 potassium channel associated with FH-III, responsible for marked alterations of channel function but associated with a mild clinical and hormonal phenotype.", "author" : [ { "dropping-particle" : "", "family" : "Mulatero", "given" : "Paolo", "non-dropping-particle" : "", "parse-names" : false, "suffix" : "" }, { "dropping-particle" : "", "family" : "Tauber", "given" : "Philipp", "non-dropping-particle" : "", "parse-names" : false, "suffix" : "" }, { "dropping-particle" : "", "family" : "Zennaro", "given" : "Maria Christina", "non-dropping-particle" : "", "parse-names" : false, "suffix" : "" }, { "dropping-particle" : "", "family" : "Monticone", "given" : "Silvia", "non-dropping-particle" : "", "parse-names" : false, "suffix" : "" }, { "dropping-particle" : "", "family" : "Lang", "given" : "Katharina", "non-dropping-particle" : "", "parse-names" : false, "suffix" : "" }, { "dropping-particle" : "", "family" : "Beuschlein", "given" : "Felix", "non-dropping-particle" : "", "parse-names" : false, "suffix" : "" }, { "dropping-particle" : "", "family" : "Fischer", "given" : "Evelyn", "non-dropping-particle" : "", "parse-names" : false, "suffix" : "" }, { "dropping-particle" : "", "family" : "Tizzani", "given" : "Davide", "non-dropping-particle" : "", "parse-names" : false, "suffix" : "" }, { "dropping-particle" : "", "family" : "Pallauf", "given" : "Anna", "non-dropping-particle" : "", "parse-names" : false, "suffix" : "" }, { "dropping-particle" : "", "family" : "Viola", "given" : "Andrea", "non-dropping-particle" : "", "parse-names" : false, "suffix" : "" }, { "dropping-particle" : "", "family" : "Amar", "given" : "Laurence", "non-dropping-particle" : "", "parse-names" : false, "suffix" : "" }, { "dropping-particle" : "", "family" : "Williams", "given" : "Tracy Ann", "non-dropping-particle" : "", "parse-names" : false, "suffix" : "" }, { "dropping-particle" : "", "family" : "Strom", "given" : "Tim M.", "non-dropping-particle" : "", "parse-names" : false, "suffix" : "" }, { "dropping-particle" : "", "family" : "Graf", "given" : "Elisabeth", "non-dropping-particle" : "", "parse-names" : false, "suffix" : "" }, { "dropping-particle" : "", "family" : "Bandulik", "given" : "Sascha", "non-dropping-particle" : "", "parse-names" : false, "suffix" : "" }, { "dropping-particle" : "", "family" : "Penton", "given" : "David", "non-dropping-particle" : "", "parse-names" : false, "suffix" : "" }, { "dropping-particle" : "", "family" : "Plouin", "given" : "Pierre Fran\u00e7ois", "non-dropping-particle" : "", "parse-names" : false, "suffix" : "" }, { "dropping-particle" : "", "family" : "Warth", "given" : "Richard", "non-dropping-particle" : "", "parse-names" : false, "suffix" : "" }, { "dropping-particle" : "", "family" : "Allolio", "given" : "Bruno", "non-dropping-particle" : "", "parse-names" : false, "suffix" : "" }, { "dropping-particle" : "", "family" : "Jeunemaitre", "given" : "Xavier", "non-dropping-particle" : "", "parse-names" : false, "suffix" : "" }, { "dropping-particle" : "", "family" : "Veglio", "given" : "Franco", "non-dropping-particle" : "", "parse-names" : false, "suffix" : "" }, { "dropping-particle" : "", "family" : "Reincke", "given" : "Martin", "non-dropping-particle" : "", "parse-names" : false, "suffix" : "" } ], "container-title" : "Hypertension", "id" : "ITEM-1", "issue" : "2", "issued" : { "date-parts" : [ [ "2012" ] ] }, "page" : "235-240", "title" : "KCNJ5 mutations in European families with nonglucocorticoid remediable familial hyperaldosteronism", "type" : "article-journal", "volume" : "59" }, "uris" : [ "http://www.mendeley.com/documents/?uuid=09049b8c-76de-456c-8112-474739a6e928" ] }, { "id" : "ITEM-2", "itemData" : { "DOI" : "10.1210/jc.2011-2384", "ISBN" : "1945-7197 (Electronic)\\r0021-972X (Linking)", "ISSN" : "0021972X", "PMID" : "22238407", "abstract" : "CONTEXT: Diagnosis of primary aldosteronism (PA) is made by screening, confirmation testing, and subtype diagnosis (computed tomography scan and adrenal vein sampling). However, some tests are costly and unavailable in most hospitals.\\n\\nOBJECTIVE: The aim of the study was to evaluate the role of serum 18-hydroxycorticosterone (s18OHB), urinary and serum 18-hydroxycortisol (u- and s18OHF), and urinary and serum 18-oxocortisol (u- and s18oxoF) in the diagnosis of PA and its subtypes, aldosterone-producing adenoma (APA) and bilateral adrenal hyperplasia (BAH).\\n\\nPATIENTS: The study included 62 patients with low-renin essential hypertension (EH), 81 patients with PA (20 APA, 61 BAH), 24 patients with glucocorticoid-remediable aldosteronism, 16 patients with adrenal incidentaloma, and 30 normotensives.\\n\\nINTERVENTION AND MAIN OUTCOME MEASURES: We measured s18OHB, s18OHF, and s18oxoF before and after saline load test (SLT) and 24-h u18OHF and u18oxoF.\\n\\nRESULTS: PA patients displayed significantly higher levels of s18OHB, u18OHF, and u18oxoF compared to EH and normal subjects; APA patients displayed s18OHB, u18OHF, and u18oxoF levels significantly higher than BAH patients. Similar results were obtained for s18OHF and s18oxoF. SLT significantly reduced s18OHB, s18OHF, and s18oxoF in all groups, but steroid reduction was much less for APA patients compared to BAH and EH. The s18OHB/aldosterone ratio after SLT more than doubled in EH but remained unchanged in APA patients.\\n\\nCONCLUSIONS: u18OHF, u18oxoF, and s18OHB measurements in patients with a positive aldosterone/plasma renin activity ratio correlate with confirmatory tests and adrenal vein sampling in PA patients. If verified, these steroid assays would refine the diagnostic workup for PA.", "author" : [ { "dropping-particle" : "", "family" : "Mulatero", "given" : "Paolo", "non-dropping-particle" : "", "parse-names" : false, "suffix" : "" }, { "dropping-particle" : "", "family" : "Cella", "given" : "Stefania Morra", "non-dropping-particle" : "Di", "parse-names" : false, "suffix" : "" }, { "dropping-particle" : "", "family" : "Monticone", "given" : "Silvia", "non-dropping-particle" : "", "parse-names" : false, "suffix" : "" }, { "dropping-particle" : "", "family" : "Schiavone", "given" : "Domenica", "non-dropping-particle" : "", "parse-names" : false, "suffix" : "" }, { "dropping-particle" : "", "family" : "Manzo", "given" : "Maria", "non-dropping-particle" : "", "parse-names" : false, "suffix" : "" }, { "dropping-particle" : "", "family" : "Mengozzi", "given" : "Giulio", "non-dropping-particle" : "", "parse-names" : false, "suffix" : "" }, { "dropping-particle" : "", "family" : "Rabbia", "given" : "Franco", "non-dropping-particle" : "", "parse-names" : false, "suffix" : "" }, { "dropping-particle" : "", "family" : "Terzolo", "given" : "Massimo", "non-dropping-particle" : "", "parse-names" : false, "suffix" : "" }, { "dropping-particle" : "", "family" : "Gomez-Sanchez", "given" : "Elise P.", "non-dropping-particle" : "", "parse-names" : false, "suffix" : "" }, { "dropping-particle" : "", "family" : "Gomez-Sanchez", "given" : "Celso E.", "non-dropping-particle" : "", "parse-names" : false, "suffix" : "" }, { "dropping-particle" : "", "family" : "Veglio", "given" : "Franco", "non-dropping-particle" : "", "parse-names" : false, "suffix" : "" } ], "container-title" : "Journal of Clinical Endocrinology and Metabolism", "id" : "ITEM-2", "issue" : "3", "issued" : { "date-parts" : [ [ "2012" ] ] }, "page" : "881-889", "title" : "18-Hydroxycorticosterone, 18-Hydroxycortisol, and 18-Oxocortisol in the Diagnosis of Primary Aldosteronism and Its Subtypes", "type" : "article-journal", "volume" : "97" }, "uris" : [ "http://www.mendeley.com/documents/?uuid=e378d591-a3c9-4f1a-b256-d9f54d912af8" ] } ], "mendeley" : { "formattedCitation" : "(25,32)", "plainTextFormattedCitation" : "(25,32)", "previouslyFormattedCitation" : "(25,32)" }, "properties" : { "noteIndex" : 0 }, "schema" : "https://github.com/citation-style-language/schema/raw/master/csl-citation.json" }</w:instrText>
      </w:r>
      <w:r w:rsidR="00AD6DE4">
        <w:rPr>
          <w:rFonts w:ascii="Times New Roman" w:hAnsi="Times New Roman"/>
          <w:sz w:val="24"/>
          <w:szCs w:val="24"/>
          <w:lang w:val="en-GB"/>
        </w:rPr>
        <w:fldChar w:fldCharType="separate"/>
      </w:r>
      <w:r w:rsidR="00AD6DE4" w:rsidRPr="00AD6DE4">
        <w:rPr>
          <w:rFonts w:ascii="Times New Roman" w:hAnsi="Times New Roman"/>
          <w:noProof/>
          <w:sz w:val="24"/>
          <w:szCs w:val="24"/>
          <w:lang w:val="en-GB"/>
        </w:rPr>
        <w:t>(25,32)</w:t>
      </w:r>
      <w:r w:rsidR="00AD6DE4">
        <w:rPr>
          <w:rFonts w:ascii="Times New Roman" w:hAnsi="Times New Roman"/>
          <w:sz w:val="24"/>
          <w:szCs w:val="24"/>
          <w:lang w:val="en-GB"/>
        </w:rPr>
        <w:fldChar w:fldCharType="end"/>
      </w:r>
      <w:r>
        <w:rPr>
          <w:rFonts w:ascii="Times New Roman" w:hAnsi="Times New Roman"/>
          <w:sz w:val="24"/>
          <w:szCs w:val="24"/>
          <w:lang w:val="en-GB"/>
        </w:rPr>
        <w:t>.</w:t>
      </w:r>
      <w:r w:rsidRPr="002625E2">
        <w:rPr>
          <w:rFonts w:ascii="Times New Roman" w:hAnsi="Times New Roman"/>
          <w:sz w:val="24"/>
          <w:szCs w:val="24"/>
          <w:lang w:val="en-GB"/>
        </w:rPr>
        <w:t xml:space="preserve"> Dexamethasone suppression testing demonstrated unchanged blood pressure and aldosterone levels, in contrast to the original FH-III fami</w:t>
      </w:r>
      <w:r>
        <w:rPr>
          <w:rFonts w:ascii="Times New Roman" w:hAnsi="Times New Roman"/>
          <w:sz w:val="24"/>
          <w:szCs w:val="24"/>
          <w:lang w:val="en-GB"/>
        </w:rPr>
        <w:t xml:space="preserve">ly described </w:t>
      </w:r>
      <w:r w:rsidRPr="00F4098D">
        <w:rPr>
          <w:rFonts w:ascii="Times New Roman" w:hAnsi="Times New Roman"/>
          <w:sz w:val="24"/>
          <w:szCs w:val="24"/>
          <w:lang w:val="en-GB"/>
        </w:rPr>
        <w:t>by Geller et al</w:t>
      </w:r>
      <w:r w:rsidR="00BC59ED">
        <w:rPr>
          <w:rFonts w:ascii="Times New Roman" w:hAnsi="Times New Roman"/>
          <w:sz w:val="24"/>
          <w:szCs w:val="24"/>
          <w:lang w:val="en-GB"/>
        </w:rPr>
        <w:t xml:space="preserve"> </w:t>
      </w:r>
      <w:r w:rsidR="00AD6DE4" w:rsidRPr="00F4098D">
        <w:rPr>
          <w:rFonts w:ascii="Times New Roman" w:hAnsi="Times New Roman"/>
          <w:sz w:val="24"/>
          <w:szCs w:val="24"/>
          <w:lang w:val="en-GB"/>
        </w:rPr>
        <w:fldChar w:fldCharType="begin" w:fldLock="1"/>
      </w:r>
      <w:r w:rsidR="00AD6DE4" w:rsidRPr="00F4098D">
        <w:rPr>
          <w:rFonts w:ascii="Times New Roman" w:hAnsi="Times New Roman"/>
          <w:sz w:val="24"/>
          <w:szCs w:val="24"/>
          <w:lang w:val="en-GB"/>
        </w:rPr>
        <w:instrText>ADDIN CSL_CITATION { "citationItems" : [ { "id" : "ITEM-1", "itemData" : { "DOI" : "10.1210/jc.2008-0594", "ISSN" : "0021972X", "PMID" : "18505761", "abstract" : "CONTEXT: Primary aldosteronism is a leading cause of secondary hypertension (HTN), but the mechanisms underlying the characteristic renin-independent secretion of aldosterone remain unknown in most patients. OBJECTIVES: We report a new familial form of aldosteronism in a father and two daughters. All were diagnosed with severe HTN refractory to medical treatment by age 7 yr. We performed a variety of clinical, biochemical, and genetic studies to attempt to clarify the underlying molecular defect. RESULTS: Biochemical studies revealed hyporeninemia, hyperaldosteronism, and very high levels of 18-oxocortisol and 18-hydroxycortisol, steroids that reflect oxidation by both steroid 17-alpha hydroxylase and aldosterone synthase. These enzymes are normally compartmentalized in the adrenal fasciculata and glomerulosa, respectively. Administration of dexamethasone failed to suppress either aldosterone or cortisol secretion; these findings distinguish this clinical syndrome from glucocorticoid-remediable aldosteronism, another autosomal dominant form of HTN, and suggest a global defect in the regulation of adrenal steroid production. Genetic studies excluded mutation at the aldosterone synthase locus, further distinguishing this disorder from glucocorticoid-remediable aldosteronism. Because of unrelenting HTN, all three subjects underwent bilateral adrenalectomy, which in each case corrected the HTN. Adrenal glands showed dramatic enlargement, with paired adrenal weights as high as 82 g. Histology revealed massive hyperplasia and cellular hypertrophy of a single cortical compartment that had features of adrenal fasciculata or a transitional zone, with an atrophic glomerulosa. CONCLUSION: These findings define a new inherited form of aldosteronism and suggest that identification of the underlying defect will provide insight into normal mechanisms regulating adrenal steroid biosynthesis.", "author" : [ { "dropping-particle" : "", "family" : "Geller", "given" : "David S.", "non-dropping-particle" : "", "parse-names" : false, "suffix" : "" }, { "dropping-particle" : "", "family" : "Zhang", "given" : "Junhui", "non-dropping-particle" : "", "parse-names" : false, "suffix" : "" }, { "dropping-particle" : "V.", "family" : "Wisgerhof", "given" : "Max", "non-dropping-particle" : "", "parse-names" : false, "suffix" : "" }, { "dropping-particle" : "", "family" : "Shackleton", "given" : "Cedric", "non-dropping-particle" : "", "parse-names" : false, "suffix" : "" }, { "dropping-particle" : "", "family" : "Kashgarian", "given" : "Michael", "non-dropping-particle" : "", "parse-names" : false, "suffix" : "" }, { "dropping-particle" : "", "family" : "Lifton", "given" : "Richard P.", "non-dropping-particle" : "", "parse-names" : false, "suffix" : "" } ], "container-title" : "Journal of Clinical Endocrinology and Metabolism", "id" : "ITEM-1", "issue" : "8", "issued" : { "date-parts" : [ [ "2008" ] ] }, "page" : "3117-3123", "title" : "A novel form of human mendelian hypertension featuring nonglucocorticoid- remediable aldosteronism", "type" : "article-journal", "volume" : "93" }, "uris" : [ "http://www.mendeley.com/documents/?uuid=ad8cedad-bc28-4fc6-a708-cf422b0b01c0" ] } ], "mendeley" : { "formattedCitation" : "(14)", "plainTextFormattedCitation" : "(14)", "previouslyFormattedCitation" : "(14)" }, "properties" : { "noteIndex" : 0 }, "schema" : "https://github.com/citation-style-language/schema/raw/master/csl-citation.json" }</w:instrText>
      </w:r>
      <w:r w:rsidR="00AD6DE4" w:rsidRPr="00F4098D">
        <w:rPr>
          <w:rFonts w:ascii="Times New Roman" w:hAnsi="Times New Roman"/>
          <w:sz w:val="24"/>
          <w:szCs w:val="24"/>
          <w:lang w:val="en-GB"/>
        </w:rPr>
        <w:fldChar w:fldCharType="separate"/>
      </w:r>
      <w:r w:rsidR="00AD6DE4" w:rsidRPr="00F4098D">
        <w:rPr>
          <w:rFonts w:ascii="Times New Roman" w:hAnsi="Times New Roman"/>
          <w:noProof/>
          <w:sz w:val="24"/>
          <w:szCs w:val="24"/>
          <w:lang w:val="en-GB"/>
        </w:rPr>
        <w:t>(14)</w:t>
      </w:r>
      <w:r w:rsidR="00AD6DE4" w:rsidRPr="00F4098D">
        <w:rPr>
          <w:rFonts w:ascii="Times New Roman" w:hAnsi="Times New Roman"/>
          <w:sz w:val="24"/>
          <w:szCs w:val="24"/>
          <w:lang w:val="en-GB"/>
        </w:rPr>
        <w:fldChar w:fldCharType="end"/>
      </w:r>
      <w:r>
        <w:rPr>
          <w:rFonts w:ascii="Times New Roman" w:hAnsi="Times New Roman"/>
          <w:sz w:val="24"/>
          <w:szCs w:val="24"/>
          <w:lang w:val="en-GB"/>
        </w:rPr>
        <w:t xml:space="preserve">. All but two of the affected members presented with severe hypertension and hypokalemia in early childhood. They were diagnosed with PA (high aldosterone levels and suppressed renin activity) </w:t>
      </w:r>
      <w:r w:rsidRPr="008176F0">
        <w:rPr>
          <w:rFonts w:ascii="Times New Roman" w:hAnsi="Times New Roman"/>
          <w:sz w:val="24"/>
          <w:szCs w:val="24"/>
          <w:lang w:val="en-GB"/>
        </w:rPr>
        <w:t xml:space="preserve">but the disease progress </w:t>
      </w:r>
      <w:r>
        <w:rPr>
          <w:rFonts w:ascii="Times New Roman" w:hAnsi="Times New Roman"/>
          <w:sz w:val="24"/>
          <w:szCs w:val="24"/>
          <w:lang w:val="en-GB"/>
        </w:rPr>
        <w:t>was</w:t>
      </w:r>
      <w:r w:rsidRPr="008176F0">
        <w:rPr>
          <w:rFonts w:ascii="Times New Roman" w:hAnsi="Times New Roman"/>
          <w:sz w:val="24"/>
          <w:szCs w:val="24"/>
          <w:lang w:val="en-GB"/>
        </w:rPr>
        <w:t xml:space="preserve"> favourable.</w:t>
      </w:r>
      <w:r>
        <w:rPr>
          <w:rFonts w:ascii="Times New Roman" w:hAnsi="Times New Roman"/>
          <w:sz w:val="24"/>
          <w:szCs w:val="24"/>
          <w:lang w:val="en-GB"/>
        </w:rPr>
        <w:t xml:space="preserve"> In all affected patients hypertension and hypokalemia were well controlled with pharmacological therapy with spironolactone and amiloride. Only two patients underwent adrenalectomy (one had bilateral adrenalectomy and the other had 90% left adrenalectomy) because </w:t>
      </w:r>
      <w:r w:rsidRPr="002E4BC7">
        <w:rPr>
          <w:rFonts w:ascii="Times New Roman" w:hAnsi="Times New Roman"/>
          <w:sz w:val="24"/>
          <w:szCs w:val="24"/>
          <w:lang w:val="en-GB"/>
        </w:rPr>
        <w:t>mineralocorticoid receptor antagonists were not available</w:t>
      </w:r>
      <w:r>
        <w:rPr>
          <w:rFonts w:ascii="Times New Roman" w:hAnsi="Times New Roman"/>
          <w:sz w:val="24"/>
          <w:szCs w:val="24"/>
          <w:lang w:val="en-GB"/>
        </w:rPr>
        <w:t xml:space="preserve"> </w:t>
      </w:r>
      <w:r w:rsidR="00AD6DE4">
        <w:rPr>
          <w:rFonts w:ascii="Times New Roman" w:hAnsi="Times New Roman"/>
          <w:sz w:val="24"/>
          <w:szCs w:val="24"/>
          <w:lang w:val="en-GB"/>
        </w:rPr>
        <w:fldChar w:fldCharType="begin" w:fldLock="1"/>
      </w:r>
      <w:r w:rsidR="00AD6DE4">
        <w:rPr>
          <w:rFonts w:ascii="Times New Roman" w:hAnsi="Times New Roman"/>
          <w:sz w:val="24"/>
          <w:szCs w:val="24"/>
          <w:lang w:val="en-GB"/>
        </w:rPr>
        <w:instrText>ADDIN CSL_CITATION { "citationItems" : [ { "id" : "ITEM-1", "itemData" : { "DOI" : "10.1073/pnas.1121407109", "ISBN" : "1091-6490 (Electronic)\r0027-8424 (Linking)", "ISSN" : "1091-6490", "PMID" : "22308486", "abstract" : "We recently implicated two recurrent somatic mutations in an adrenal potassium channel, KCNJ5, as a cause of aldosterone-producing adrenal adenomas (APAs) and one inherited KCNJ5 mutation in a Mendelian form of early severe hypertension with massive adrenal hyperplasia. The mutations identified all altered the channel selectivity filter, producing increased Na(+) conductance and membrane depolarization, the signal for aldosterone production and proliferation of adrenal glomerulosa cells. We report herein members of four kindreds with early onset primary aldosteronism of unknown cause. Sequencing of KCNJ5 revealed that affected members of two kindreds had KCNJ5(G151R) mutations, identical to one of the prevalent recurrent mutations in APAs. These individuals had severe progressive aldosteronism and hyperplasia requiring bilateral adrenalectomy in childhood for blood pressure control. Affected members of the other two kindreds had KCNJ5(G151E) mutations, which are not seen in APAs. These subjects had easily controlled hypertension and no evidence of hyperplasia. Surprisingly, electrophysiology of channels expressed in 293T cells demonstrated that KCNJ5(G151E) was the more extreme mutation, producing a much larger Na(+) conductance than KCNJ5(G151R), resulting in rapid Na(+)-dependent cell lethality. We infer that this increased lethality limits adrenocortical cell mass and the severity of aldosteronism in vivo, accounting for the milder phenotype among these patients. These findings demonstrate striking variations in phenotypes and clinical outcome resulting from different mutations of the same amino acid in KCNJ5 and have implications for the diagnosis and pathogenesis of primary aldosteronism with and without adrenal hyperplasia.", "author" : [ { "dropping-particle" : "", "family" : "Scholl", "given" : "Ute I", "non-dropping-particle" : "", "parse-names" : false, "suffix" : "" }, { "dropping-particle" : "", "family" : "Nelson-Williams", "given" : "Carol", "non-dropping-particle" : "", "parse-names" : false, "suffix" : "" }, { "dropping-particle" : "", "family" : "Yue", "given" : "Peng", "non-dropping-particle" : "", "parse-names" : false, "suffix" : "" }, { "dropping-particle" : "", "family" : "Grekin", "given" : "Roger", "non-dropping-particle" : "", "parse-names" : false, "suffix" : "" }, { "dropping-particle" : "", "family" : "Wyatt", "given" : "Robert J", "non-dropping-particle" : "", "parse-names" : false, "suffix" : "" }, { "dropping-particle" : "", "family" : "Dillon", "given" : "Michael J", "non-dropping-particle" : "", "parse-names" : false, "suffix" : "" }, { "dropping-particle" : "", "family" : "Couch", "given" : "Robert", "non-dropping-particle" : "", "parse-names" : false, "suffix" : "" }, { "dropping-particle" : "", "family" : "Hammer", "given" : "Lisa K", "non-dropping-particle" : "", "parse-names" : false, "suffix" : "" }, { "dropping-particle" : "", "family" : "Harley", "given" : "Frances L", "non-dropping-particle" : "", "parse-names" : false, "suffix" : "" }, { "dropping-particle" : "", "family" : "Farhi", "given" : "Anita", "non-dropping-particle" : "", "parse-names" : false, "suffix" : "" }, { "dropping-particle" : "", "family" : "Wang", "given" : "Wen-Hui", "non-dropping-particle" : "", "parse-names" : false, "suffix" : "" }, { "dropping-particle" : "", "family" : "Lifton", "given" : "Richard P", "non-dropping-particle" : "", "parse-names" : false, "suffix" : "" } ], "container-title" : "Proceedings of the National Academy of Sciences of the United States of America", "id" : "ITEM-1", "issue" : "7", "issued" : { "date-parts" : [ [ "2012" ] ] }, "page" : "2533-8", "title" : "Hypertension with or without adrenal hyperplasia due to different inherited mutations in the potassium channel KCNJ5.", "type" : "article-journal", "volume" : "109" }, "uris" : [ "http://www.mendeley.com/documents/?uuid=1bc8ea91-74b3-4d5a-9416-97b28ec54b50" ] } ], "mendeley" : { "formattedCitation" : "(24)", "plainTextFormattedCitation" : "(24)", "previouslyFormattedCitation" : "(24)" }, "properties" : { "noteIndex" : 0 }, "schema" : "https://github.com/citation-style-language/schema/raw/master/csl-citation.json" }</w:instrText>
      </w:r>
      <w:r w:rsidR="00AD6DE4">
        <w:rPr>
          <w:rFonts w:ascii="Times New Roman" w:hAnsi="Times New Roman"/>
          <w:sz w:val="24"/>
          <w:szCs w:val="24"/>
          <w:lang w:val="en-GB"/>
        </w:rPr>
        <w:fldChar w:fldCharType="separate"/>
      </w:r>
      <w:r w:rsidR="00AD6DE4" w:rsidRPr="00AD6DE4">
        <w:rPr>
          <w:rFonts w:ascii="Times New Roman" w:hAnsi="Times New Roman"/>
          <w:noProof/>
          <w:sz w:val="24"/>
          <w:szCs w:val="24"/>
          <w:lang w:val="en-GB"/>
        </w:rPr>
        <w:t>(24)</w:t>
      </w:r>
      <w:r w:rsidR="00AD6DE4">
        <w:rPr>
          <w:rFonts w:ascii="Times New Roman" w:hAnsi="Times New Roman"/>
          <w:sz w:val="24"/>
          <w:szCs w:val="24"/>
          <w:lang w:val="en-GB"/>
        </w:rPr>
        <w:fldChar w:fldCharType="end"/>
      </w:r>
      <w:r>
        <w:rPr>
          <w:rFonts w:ascii="Times New Roman" w:hAnsi="Times New Roman"/>
          <w:sz w:val="24"/>
          <w:szCs w:val="24"/>
          <w:lang w:val="en-GB"/>
        </w:rPr>
        <w:t xml:space="preserve">. Furthermore, none of the patients showed hyperplasia at adrenal imaging. </w:t>
      </w:r>
    </w:p>
    <w:p w14:paraId="3AC468A4" w14:textId="77777777" w:rsidR="007143EE" w:rsidRDefault="007143EE" w:rsidP="008C22B9">
      <w:pPr>
        <w:spacing w:after="0" w:line="480" w:lineRule="auto"/>
        <w:jc w:val="both"/>
        <w:rPr>
          <w:rFonts w:ascii="Times New Roman" w:hAnsi="Times New Roman"/>
          <w:sz w:val="24"/>
          <w:szCs w:val="24"/>
          <w:lang w:val="en-GB"/>
        </w:rPr>
      </w:pPr>
      <w:r>
        <w:rPr>
          <w:rFonts w:ascii="Times New Roman" w:hAnsi="Times New Roman"/>
          <w:sz w:val="24"/>
          <w:szCs w:val="24"/>
          <w:lang w:val="en-GB"/>
        </w:rPr>
        <w:t xml:space="preserve">The Gly151Arg mutation </w:t>
      </w:r>
      <w:r w:rsidR="00AD6DE4">
        <w:rPr>
          <w:rFonts w:ascii="Times New Roman" w:hAnsi="Times New Roman"/>
          <w:sz w:val="24"/>
          <w:szCs w:val="24"/>
          <w:lang w:val="en-GB"/>
        </w:rPr>
        <w:fldChar w:fldCharType="begin" w:fldLock="1"/>
      </w:r>
      <w:r w:rsidR="00AD6DE4">
        <w:rPr>
          <w:rFonts w:ascii="Times New Roman" w:hAnsi="Times New Roman"/>
          <w:sz w:val="24"/>
          <w:szCs w:val="24"/>
          <w:lang w:val="en-GB"/>
        </w:rPr>
        <w:instrText>ADDIN CSL_CITATION { "citationItems" : [ { "id" : "ITEM-1", "itemData" : { "DOI" : "10.1073/pnas.1121407109", "ISBN" : "1091-6490 (Electronic)\r0027-8424 (Linking)", "ISSN" : "1091-6490", "PMID" : "22308486", "abstract" : "We recently implicated two recurrent somatic mutations in an adrenal potassium channel, KCNJ5, as a cause of aldosterone-producing adrenal adenomas (APAs) and one inherited KCNJ5 mutation in a Mendelian form of early severe hypertension with massive adrenal hyperplasia. The mutations identified all altered the channel selectivity filter, producing increased Na(+) conductance and membrane depolarization, the signal for aldosterone production and proliferation of adrenal glomerulosa cells. We report herein members of four kindreds with early onset primary aldosteronism of unknown cause. Sequencing of KCNJ5 revealed that affected members of two kindreds had KCNJ5(G151R) mutations, identical to one of the prevalent recurrent mutations in APAs. These individuals had severe progressive aldosteronism and hyperplasia requiring bilateral adrenalectomy in childhood for blood pressure control. Affected members of the other two kindreds had KCNJ5(G151E) mutations, which are not seen in APAs. These subjects had easily controlled hypertension and no evidence of hyperplasia. Surprisingly, electrophysiology of channels expressed in 293T cells demonstrated that KCNJ5(G151E) was the more extreme mutation, producing a much larger Na(+) conductance than KCNJ5(G151R), resulting in rapid Na(+)-dependent cell lethality. We infer that this increased lethality limits adrenocortical cell mass and the severity of aldosteronism in vivo, accounting for the milder phenotype among these patients. These findings demonstrate striking variations in phenotypes and clinical outcome resulting from different mutations of the same amino acid in KCNJ5 and have implications for the diagnosis and pathogenesis of primary aldosteronism with and without adrenal hyperplasia.", "author" : [ { "dropping-particle" : "", "family" : "Scholl", "given" : "Ute I", "non-dropping-particle" : "", "parse-names" : false, "suffix" : "" }, { "dropping-particle" : "", "family" : "Nelson-Williams", "given" : "Carol", "non-dropping-particle" : "", "parse-names" : false, "suffix" : "" }, { "dropping-particle" : "", "family" : "Yue", "given" : "Peng", "non-dropping-particle" : "", "parse-names" : false, "suffix" : "" }, { "dropping-particle" : "", "family" : "Grekin", "given" : "Roger", "non-dropping-particle" : "", "parse-names" : false, "suffix" : "" }, { "dropping-particle" : "", "family" : "Wyatt", "given" : "Robert J", "non-dropping-particle" : "", "parse-names" : false, "suffix" : "" }, { "dropping-particle" : "", "family" : "Dillon", "given" : "Michael J", "non-dropping-particle" : "", "parse-names" : false, "suffix" : "" }, { "dropping-particle" : "", "family" : "Couch", "given" : "Robert", "non-dropping-particle" : "", "parse-names" : false, "suffix" : "" }, { "dropping-particle" : "", "family" : "Hammer", "given" : "Lisa K", "non-dropping-particle" : "", "parse-names" : false, "suffix" : "" }, { "dropping-particle" : "", "family" : "Harley", "given" : "Frances L", "non-dropping-particle" : "", "parse-names" : false, "suffix" : "" }, { "dropping-particle" : "", "family" : "Farhi", "given" : "Anita", "non-dropping-particle" : "", "parse-names" : false, "suffix" : "" }, { "dropping-particle" : "", "family" : "Wang", "given" : "Wen-Hui", "non-dropping-particle" : "", "parse-names" : false, "suffix" : "" }, { "dropping-particle" : "", "family" : "Lifton", "given" : "Richard P", "non-dropping-particle" : "", "parse-names" : false, "suffix" : "" } ], "container-title" : "Proceedings of the National Academy of Sciences of the United States of America", "id" : "ITEM-1", "issue" : "7", "issued" : { "date-parts" : [ [ "2012" ] ] }, "page" : "2533-8", "title" : "Hypertension with or without adrenal hyperplasia due to different inherited mutations in the potassium channel KCNJ5.", "type" : "article-journal", "volume" : "109" }, "uris" : [ "http://www.mendeley.com/documents/?uuid=1bc8ea91-74b3-4d5a-9416-97b28ec54b50" ] }, { "id" : "ITEM-2", "itemData" : { "DOI" : "10.1159/000358197", "ISSN" : "16632826", "PMID" : "24819081", "abstract" : "BACKGROUND: Familial hyperaldosteronism type III (FH-III) is a rare autosomal dominant disease for which five missense mutations in KCNJ5 have been identified. FH-III has a wide phenotypic variability from spironolactone-responsive hyperaldosteronism to massive adrenal hypertrophy with drug-resistant hypertension. This variation has mainly been attributed to genotype, because, in contrast to other genotypes (G151R, T158A, I157S, and Y152C), (1) FH-III patients with G151E have shown milder phenotype, and (2) G151E-harboring cells were found to have rapid lethality due to much larger sodium conductance of the encoded channel (Kir3.4), which prevents adrenal hypertrophy.\\n\\nMETHODS: Here we describe the clinical course of a sporadic case of FH-III, with de novo G151R mutation.\\n\\nRESULTS: The patient developed polyuria at around 1.5 years of age and developed hypertension and hypokalemia by 4 years of age. Thereafter, spironolactone treatment successfully ameliorated hyperaldosteronism for 7 years with no discernible adrenal enlargement.\\n\\nCONCLUSION: Diverse clinical severity in FH-III cannot be defined solely by KCNJ5 genotype.", "author" : [ { "dropping-particle" : "", "family" : "Adachi", "given" : "Masanori", "non-dropping-particle" : "", "parse-names" : false, "suffix" : "" }, { "dropping-particle" : "", "family" : "Muroya", "given" : "Koji", "non-dropping-particle" : "", "parse-names" : false, "suffix" : "" }, { "dropping-particle" : "", "family" : "Asakura", "given" : "Yumi", "non-dropping-particle" : "", "parse-names" : false, "suffix" : "" }, { "dropping-particle" : "", "family" : "Sugiyama", "given" : "Kenji", "non-dropping-particle" : "", "parse-names" : false, "suffix" : "" }, { "dropping-particle" : "", "family" : "Homma", "given" : "Keiko", "non-dropping-particle" : "", "parse-names" : false, "suffix" : "" }, { "dropping-particle" : "", "family" : "Hasegawa", "given" : "Tomonobu", "non-dropping-particle" : "", "parse-names" : false, "suffix" : "" } ], "container-title" : "Hormone Research in Paediatrics", "id" : "ITEM-2", "issue" : "2", "issued" : { "date-parts" : [ [ "2014" ] ] }, "page" : "138-142", "title" : "Discordant genotype-phenotype correlation in familial hyperaldosteronism type III with KCNJ5 gene mutation: A patient report and review of the literature", "type" : "article-journal", "volume" : "82" }, "uris" : [ "http://www.mendeley.com/documents/?uuid=fd1185dd-3013-4e9c-8375-79df7b50c10e" ] } ], "mendeley" : { "formattedCitation" : "(24,33)", "plainTextFormattedCitation" : "(24,33)", "previouslyFormattedCitation" : "(24,33)" }, "properties" : { "noteIndex" : 0 }, "schema" : "https://github.com/citation-style-language/schema/raw/master/csl-citation.json" }</w:instrText>
      </w:r>
      <w:r w:rsidR="00AD6DE4">
        <w:rPr>
          <w:rFonts w:ascii="Times New Roman" w:hAnsi="Times New Roman"/>
          <w:sz w:val="24"/>
          <w:szCs w:val="24"/>
          <w:lang w:val="en-GB"/>
        </w:rPr>
        <w:fldChar w:fldCharType="separate"/>
      </w:r>
      <w:r w:rsidR="00AD6DE4" w:rsidRPr="00AD6DE4">
        <w:rPr>
          <w:rFonts w:ascii="Times New Roman" w:hAnsi="Times New Roman"/>
          <w:noProof/>
          <w:sz w:val="24"/>
          <w:szCs w:val="24"/>
          <w:lang w:val="en-GB"/>
        </w:rPr>
        <w:t>(24,33)</w:t>
      </w:r>
      <w:r w:rsidR="00AD6DE4">
        <w:rPr>
          <w:rFonts w:ascii="Times New Roman" w:hAnsi="Times New Roman"/>
          <w:sz w:val="24"/>
          <w:szCs w:val="24"/>
          <w:lang w:val="en-GB"/>
        </w:rPr>
        <w:fldChar w:fldCharType="end"/>
      </w:r>
      <w:r w:rsidRPr="00277E61">
        <w:rPr>
          <w:rFonts w:ascii="Times New Roman" w:hAnsi="Times New Roman"/>
          <w:sz w:val="24"/>
          <w:szCs w:val="24"/>
          <w:lang w:val="en-GB"/>
        </w:rPr>
        <w:t xml:space="preserve"> was </w:t>
      </w:r>
      <w:r w:rsidRPr="007A4B9C">
        <w:rPr>
          <w:rFonts w:ascii="Times New Roman" w:hAnsi="Times New Roman"/>
          <w:sz w:val="24"/>
          <w:szCs w:val="24"/>
          <w:lang w:val="en-GB"/>
        </w:rPr>
        <w:t xml:space="preserve">detected </w:t>
      </w:r>
      <w:r w:rsidRPr="00437C9C">
        <w:rPr>
          <w:rFonts w:ascii="Times New Roman" w:hAnsi="Times New Roman"/>
          <w:sz w:val="24"/>
          <w:szCs w:val="24"/>
          <w:lang w:val="en-GB"/>
        </w:rPr>
        <w:t>in six patients belonging to four different families (including the new case reported in the present manuscript).</w:t>
      </w:r>
      <w:r w:rsidRPr="007A4B9C">
        <w:rPr>
          <w:rFonts w:ascii="Times New Roman" w:hAnsi="Times New Roman"/>
          <w:sz w:val="24"/>
          <w:szCs w:val="24"/>
          <w:lang w:val="en-GB"/>
        </w:rPr>
        <w:t xml:space="preserve"> The affected patients had early onset PA (similar to patients with the Gly151Glu mutation</w:t>
      </w:r>
      <w:r>
        <w:rPr>
          <w:rFonts w:ascii="Times New Roman" w:hAnsi="Times New Roman"/>
          <w:sz w:val="24"/>
          <w:szCs w:val="24"/>
          <w:lang w:val="en-GB"/>
        </w:rPr>
        <w:t>), but the disease was progressive;</w:t>
      </w:r>
      <w:r w:rsidRPr="008E31FF">
        <w:rPr>
          <w:rFonts w:ascii="Times New Roman" w:hAnsi="Times New Roman"/>
          <w:sz w:val="24"/>
          <w:szCs w:val="24"/>
          <w:lang w:val="en-GB"/>
        </w:rPr>
        <w:t xml:space="preserve"> the normalization of blood pressure, serum K</w:t>
      </w:r>
      <w:r w:rsidRPr="008E31FF">
        <w:rPr>
          <w:rFonts w:ascii="Times New Roman" w:hAnsi="Times New Roman"/>
          <w:sz w:val="24"/>
          <w:szCs w:val="24"/>
          <w:vertAlign w:val="superscript"/>
          <w:lang w:val="en-GB"/>
        </w:rPr>
        <w:t>+</w:t>
      </w:r>
      <w:r w:rsidRPr="008E31FF">
        <w:rPr>
          <w:rFonts w:ascii="Times New Roman" w:hAnsi="Times New Roman"/>
          <w:sz w:val="24"/>
          <w:szCs w:val="24"/>
          <w:lang w:val="en-GB"/>
        </w:rPr>
        <w:t xml:space="preserve"> levels and </w:t>
      </w:r>
      <w:r>
        <w:rPr>
          <w:rFonts w:ascii="Times New Roman" w:hAnsi="Times New Roman"/>
          <w:sz w:val="24"/>
          <w:szCs w:val="24"/>
          <w:lang w:val="en-GB"/>
        </w:rPr>
        <w:t xml:space="preserve">the </w:t>
      </w:r>
      <w:r w:rsidRPr="008E31FF">
        <w:rPr>
          <w:rFonts w:ascii="Times New Roman" w:hAnsi="Times New Roman"/>
          <w:sz w:val="24"/>
          <w:szCs w:val="24"/>
          <w:lang w:val="en-GB"/>
        </w:rPr>
        <w:t xml:space="preserve">symptoms </w:t>
      </w:r>
      <w:r>
        <w:rPr>
          <w:rFonts w:ascii="Times New Roman" w:hAnsi="Times New Roman"/>
          <w:sz w:val="24"/>
          <w:szCs w:val="24"/>
          <w:lang w:val="en-GB"/>
        </w:rPr>
        <w:t xml:space="preserve">mimicking </w:t>
      </w:r>
      <w:r w:rsidRPr="008E31FF">
        <w:rPr>
          <w:rFonts w:ascii="Times New Roman" w:hAnsi="Times New Roman"/>
          <w:sz w:val="24"/>
          <w:szCs w:val="24"/>
          <w:lang w:val="en-GB"/>
        </w:rPr>
        <w:t xml:space="preserve">diabetes insipidus required bilateral </w:t>
      </w:r>
      <w:r>
        <w:rPr>
          <w:rFonts w:ascii="Times New Roman" w:hAnsi="Times New Roman"/>
          <w:sz w:val="24"/>
          <w:szCs w:val="24"/>
          <w:lang w:val="en-GB"/>
        </w:rPr>
        <w:t xml:space="preserve">adrenalectomy in three patients, one had total left adrenalectomy and partial right adrenalectomy and one patient was reported to have difficult to control hypertension but was lost at follow-up. Histological examination showed diffuse hyperplasia of the adrenal cortex in three out of four patients who had surgery. Interestingly, the patient reported </w:t>
      </w:r>
      <w:r w:rsidRPr="00C24501">
        <w:rPr>
          <w:rFonts w:ascii="Times New Roman" w:hAnsi="Times New Roman"/>
          <w:sz w:val="24"/>
          <w:szCs w:val="24"/>
          <w:lang w:val="en-GB"/>
        </w:rPr>
        <w:t>by Adachi et al.</w:t>
      </w:r>
      <w:r w:rsidR="00AD6DE4" w:rsidRPr="00F4098D">
        <w:rPr>
          <w:rFonts w:ascii="Times New Roman" w:hAnsi="Times New Roman"/>
          <w:sz w:val="24"/>
          <w:szCs w:val="24"/>
          <w:lang w:val="en-GB"/>
        </w:rPr>
        <w:t xml:space="preserve"> </w:t>
      </w:r>
      <w:r w:rsidR="00AD6DE4" w:rsidRPr="00F4098D">
        <w:rPr>
          <w:rFonts w:ascii="Times New Roman" w:hAnsi="Times New Roman"/>
          <w:sz w:val="24"/>
          <w:szCs w:val="24"/>
          <w:lang w:val="en-GB"/>
        </w:rPr>
        <w:fldChar w:fldCharType="begin" w:fldLock="1"/>
      </w:r>
      <w:r w:rsidR="00AD6DE4" w:rsidRPr="00F4098D">
        <w:rPr>
          <w:rFonts w:ascii="Times New Roman" w:hAnsi="Times New Roman"/>
          <w:sz w:val="24"/>
          <w:szCs w:val="24"/>
          <w:lang w:val="en-GB"/>
        </w:rPr>
        <w:instrText>ADDIN CSL_CITATION { "citationItems" : [ { "id" : "ITEM-1", "itemData" : { "DOI" : "10.1159/000358197", "ISSN" : "16632826", "PMID" : "24819081", "abstract" : "BACKGROUND: Familial hyperaldosteronism type III (FH-III) is a rare autosomal dominant disease for which five missense mutations in KCNJ5 have been identified. FH-III has a wide phenotypic variability from spironolactone-responsive hyperaldosteronism to massive adrenal hypertrophy with drug-resistant hypertension. This variation has mainly been attributed to genotype, because, in contrast to other genotypes (G151R, T158A, I157S, and Y152C), (1) FH-III patients with G151E have shown milder phenotype, and (2) G151E-harboring cells were found to have rapid lethality due to much larger sodium conductance of the encoded channel (Kir3.4), which prevents adrenal hypertrophy.\\n\\nMETHODS: Here we describe the clinical course of a sporadic case of FH-III, with de novo G151R mutation.\\n\\nRESULTS: The patient developed polyuria at around 1.5 years of age and developed hypertension and hypokalemia by 4 years of age. Thereafter, spironolactone treatment successfully ameliorated hyperaldosteronism for 7 years with no discernible adrenal enlargement.\\n\\nCONCLUSION: Diverse clinical severity in FH-III cannot be defined solely by KCNJ5 genotype.", "author" : [ { "dropping-particle" : "", "family" : "Adachi", "given" : "Masanori", "non-dropping-particle" : "", "parse-names" : false, "suffix" : "" }, { "dropping-particle" : "", "family" : "Muroya", "given" : "Koji", "non-dropping-particle" : "", "parse-names" : false, "suffix" : "" }, { "dropping-particle" : "", "family" : "Asakura", "given" : "Yumi", "non-dropping-particle" : "", "parse-names" : false, "suffix" : "" }, { "dropping-particle" : "", "family" : "Sugiyama", "given" : "Kenji", "non-dropping-particle" : "", "parse-names" : false, "suffix" : "" }, { "dropping-particle" : "", "family" : "Homma", "given" : "Keiko", "non-dropping-particle" : "", "parse-names" : false, "suffix" : "" }, { "dropping-particle" : "", "family" : "Hasegawa", "given" : "Tomonobu", "non-dropping-particle" : "", "parse-names" : false, "suffix" : "" } ], "container-title" : "Hormone Research in Paediatrics", "id" : "ITEM-1", "issue" : "2", "issued" : { "date-parts" : [ [ "2014" ] ] }, "page" : "138-142", "title" : "Discordant genotype-phenotype correlation in familial hyperaldosteronism type III with KCNJ5 gene mutation: A patient report and review of the literature", "type" : "article-journal", "volume" : "82" }, "uris" : [ "http://www.mendeley.com/documents/?uuid=fd1185dd-3013-4e9c-8375-79df7b50c10e" ] } ], "mendeley" : { "formattedCitation" : "(33)", "plainTextFormattedCitation" : "(33)", "previouslyFormattedCitation" : "(33)" }, "properties" : { "noteIndex" : 0 }, "schema" : "https://github.com/citation-style-language/schema/raw/master/csl-citation.json" }</w:instrText>
      </w:r>
      <w:r w:rsidR="00AD6DE4" w:rsidRPr="00F4098D">
        <w:rPr>
          <w:rFonts w:ascii="Times New Roman" w:hAnsi="Times New Roman"/>
          <w:sz w:val="24"/>
          <w:szCs w:val="24"/>
          <w:lang w:val="en-GB"/>
        </w:rPr>
        <w:fldChar w:fldCharType="separate"/>
      </w:r>
      <w:r w:rsidR="00AD6DE4" w:rsidRPr="00F4098D">
        <w:rPr>
          <w:rFonts w:ascii="Times New Roman" w:hAnsi="Times New Roman"/>
          <w:noProof/>
          <w:sz w:val="24"/>
          <w:szCs w:val="24"/>
          <w:lang w:val="en-GB"/>
        </w:rPr>
        <w:t>(33)</w:t>
      </w:r>
      <w:r w:rsidR="00AD6DE4" w:rsidRPr="00F4098D">
        <w:rPr>
          <w:rFonts w:ascii="Times New Roman" w:hAnsi="Times New Roman"/>
          <w:sz w:val="24"/>
          <w:szCs w:val="24"/>
          <w:lang w:val="en-GB"/>
        </w:rPr>
        <w:fldChar w:fldCharType="end"/>
      </w:r>
      <w:r w:rsidRPr="00F4098D">
        <w:rPr>
          <w:rFonts w:ascii="Times New Roman" w:hAnsi="Times New Roman"/>
          <w:sz w:val="24"/>
          <w:szCs w:val="24"/>
          <w:lang w:val="en-GB"/>
        </w:rPr>
        <w:t>,</w:t>
      </w:r>
      <w:r>
        <w:rPr>
          <w:rFonts w:ascii="Times New Roman" w:hAnsi="Times New Roman"/>
          <w:sz w:val="24"/>
          <w:szCs w:val="24"/>
          <w:lang w:val="en-GB"/>
        </w:rPr>
        <w:t xml:space="preserve"> despite early onset and a severe phenotype, had blood pressure successfully controlled with spironolactone and adrenal imaging did not show adrenal enlargement </w:t>
      </w:r>
      <w:r w:rsidR="00AD6DE4">
        <w:rPr>
          <w:rFonts w:ascii="Times New Roman" w:hAnsi="Times New Roman"/>
          <w:sz w:val="24"/>
          <w:szCs w:val="24"/>
          <w:lang w:val="en-GB"/>
        </w:rPr>
        <w:fldChar w:fldCharType="begin" w:fldLock="1"/>
      </w:r>
      <w:r w:rsidR="00AD6DE4">
        <w:rPr>
          <w:rFonts w:ascii="Times New Roman" w:hAnsi="Times New Roman"/>
          <w:sz w:val="24"/>
          <w:szCs w:val="24"/>
          <w:lang w:val="en-GB"/>
        </w:rPr>
        <w:instrText>ADDIN CSL_CITATION { "citationItems" : [ { "id" : "ITEM-1", "itemData" : { "DOI" : "10.1159/000358197", "ISSN" : "16632826", "PMID" : "24819081", "abstract" : "BACKGROUND: Familial hyperaldosteronism type III (FH-III) is a rare autosomal dominant disease for which five missense mutations in KCNJ5 have been identified. FH-III has a wide phenotypic variability from spironolactone-responsive hyperaldosteronism to massive adrenal hypertrophy with drug-resistant hypertension. This variation has mainly been attributed to genotype, because, in contrast to other genotypes (G151R, T158A, I157S, and Y152C), (1) FH-III patients with G151E have shown milder phenotype, and (2) G151E-harboring cells were found to have rapid lethality due to much larger sodium conductance of the encoded channel (Kir3.4), which prevents adrenal hypertrophy.\\n\\nMETHODS: Here we describe the clinical course of a sporadic case of FH-III, with de novo G151R mutation.\\n\\nRESULTS: The patient developed polyuria at around 1.5 years of age and developed hypertension and hypokalemia by 4 years of age. Thereafter, spironolactone treatment successfully ameliorated hyperaldosteronism for 7 years with no discernible adrenal enlargement.\\n\\nCONCLUSION: Diverse clinical severity in FH-III cannot be defined solely by KCNJ5 genotype.", "author" : [ { "dropping-particle" : "", "family" : "Adachi", "given" : "Masanori", "non-dropping-particle" : "", "parse-names" : false, "suffix" : "" }, { "dropping-particle" : "", "family" : "Muroya", "given" : "Koji", "non-dropping-particle" : "", "parse-names" : false, "suffix" : "" }, { "dropping-particle" : "", "family" : "Asakura", "given" : "Yumi", "non-dropping-particle" : "", "parse-names" : false, "suffix" : "" }, { "dropping-particle" : "", "family" : "Sugiyama", "given" : "Kenji", "non-dropping-particle" : "", "parse-names" : false, "suffix" : "" }, { "dropping-particle" : "", "family" : "Homma", "given" : "Keiko", "non-dropping-particle" : "", "parse-names" : false, "suffix" : "" }, { "dropping-particle" : "", "family" : "Hasegawa", "given" : "Tomonobu", "non-dropping-particle" : "", "parse-names" : false, "suffix" : "" } ], "container-title" : "Hormone Research in Paediatrics", "id" : "ITEM-1", "issue" : "2", "issued" : { "date-parts" : [ [ "2014" ] ] }, "page" : "138-142", "title" : "Discordant genotype-phenotype correlation in familial hyperaldosteronism type III with KCNJ5 gene mutation: A patient report and review of the literature", "type" : "article-journal", "volume" : "82" }, "uris" : [ "http://www.mendeley.com/documents/?uuid=fd1185dd-3013-4e9c-8375-79df7b50c10e" ] } ], "mendeley" : { "formattedCitation" : "(33)", "plainTextFormattedCitation" : "(33)", "previouslyFormattedCitation" : "(33)" }, "properties" : { "noteIndex" : 0 }, "schema" : "https://github.com/citation-style-language/schema/raw/master/csl-citation.json" }</w:instrText>
      </w:r>
      <w:r w:rsidR="00AD6DE4">
        <w:rPr>
          <w:rFonts w:ascii="Times New Roman" w:hAnsi="Times New Roman"/>
          <w:sz w:val="24"/>
          <w:szCs w:val="24"/>
          <w:lang w:val="en-GB"/>
        </w:rPr>
        <w:fldChar w:fldCharType="separate"/>
      </w:r>
      <w:r w:rsidR="00AD6DE4" w:rsidRPr="00AD6DE4">
        <w:rPr>
          <w:rFonts w:ascii="Times New Roman" w:hAnsi="Times New Roman"/>
          <w:noProof/>
          <w:sz w:val="24"/>
          <w:szCs w:val="24"/>
          <w:lang w:val="en-GB"/>
        </w:rPr>
        <w:t>(33)</w:t>
      </w:r>
      <w:r w:rsidR="00AD6DE4">
        <w:rPr>
          <w:rFonts w:ascii="Times New Roman" w:hAnsi="Times New Roman"/>
          <w:sz w:val="24"/>
          <w:szCs w:val="24"/>
          <w:lang w:val="en-GB"/>
        </w:rPr>
        <w:fldChar w:fldCharType="end"/>
      </w:r>
      <w:r>
        <w:rPr>
          <w:rFonts w:ascii="Times New Roman" w:hAnsi="Times New Roman"/>
          <w:sz w:val="24"/>
          <w:szCs w:val="24"/>
          <w:lang w:val="en-GB"/>
        </w:rPr>
        <w:t xml:space="preserve">. She displayed a modest increase in 18-hydroxycortisol </w:t>
      </w:r>
      <w:r w:rsidR="00AD6DE4">
        <w:rPr>
          <w:rFonts w:ascii="Times New Roman" w:hAnsi="Times New Roman"/>
          <w:sz w:val="24"/>
          <w:szCs w:val="24"/>
          <w:lang w:val="en-GB"/>
        </w:rPr>
        <w:fldChar w:fldCharType="begin" w:fldLock="1"/>
      </w:r>
      <w:r w:rsidR="00AD6DE4">
        <w:rPr>
          <w:rFonts w:ascii="Times New Roman" w:hAnsi="Times New Roman"/>
          <w:sz w:val="24"/>
          <w:szCs w:val="24"/>
          <w:lang w:val="en-GB"/>
        </w:rPr>
        <w:instrText>ADDIN CSL_CITATION { "citationItems" : [ { "id" : "ITEM-1", "itemData" : { "DOI" : "10.1159/000358197", "ISSN" : "16632826", "PMID" : "24819081", "abstract" : "BACKGROUND: Familial hyperaldosteronism type III (FH-III) is a rare autosomal dominant disease for which five missense mutations in KCNJ5 have been identified. FH-III has a wide phenotypic variability from spironolactone-responsive hyperaldosteronism to massive adrenal hypertrophy with drug-resistant hypertension. This variation has mainly been attributed to genotype, because, in contrast to other genotypes (G151R, T158A, I157S, and Y152C), (1) FH-III patients with G151E have shown milder phenotype, and (2) G151E-harboring cells were found to have rapid lethality due to much larger sodium conductance of the encoded channel (Kir3.4), which prevents adrenal hypertrophy.\\n\\nMETHODS: Here we describe the clinical course of a sporadic case of FH-III, with de novo G151R mutation.\\n\\nRESULTS: The patient developed polyuria at around 1.5 years of age and developed hypertension and hypokalemia by 4 years of age. Thereafter, spironolactone treatment successfully ameliorated hyperaldosteronism for 7 years with no discernible adrenal enlargement.\\n\\nCONCLUSION: Diverse clinical severity in FH-III cannot be defined solely by KCNJ5 genotype.", "author" : [ { "dropping-particle" : "", "family" : "Adachi", "given" : "Masanori", "non-dropping-particle" : "", "parse-names" : false, "suffix" : "" }, { "dropping-particle" : "", "family" : "Muroya", "given" : "Koji", "non-dropping-particle" : "", "parse-names" : false, "suffix" : "" }, { "dropping-particle" : "", "family" : "Asakura", "given" : "Yumi", "non-dropping-particle" : "", "parse-names" : false, "suffix" : "" }, { "dropping-particle" : "", "family" : "Sugiyama", "given" : "Kenji", "non-dropping-particle" : "", "parse-names" : false, "suffix" : "" }, { "dropping-particle" : "", "family" : "Homma", "given" : "Keiko", "non-dropping-particle" : "", "parse-names" : false, "suffix" : "" }, { "dropping-particle" : "", "family" : "Hasegawa", "given" : "Tomonobu", "non-dropping-particle" : "", "parse-names" : false, "suffix" : "" } ], "container-title" : "Hormone Research in Paediatrics", "id" : "ITEM-1", "issue" : "2", "issued" : { "date-parts" : [ [ "2014" ] ] }, "page" : "138-142", "title" : "Discordant genotype-phenotype correlation in familial hyperaldosteronism type III with KCNJ5 gene mutation: A patient report and review of the literature", "type" : "article-journal", "volume" : "82" }, "uris" : [ "http://www.mendeley.com/documents/?uuid=fd1185dd-3013-4e9c-8375-79df7b50c10e" ] } ], "mendeley" : { "formattedCitation" : "(33)", "plainTextFormattedCitation" : "(33)", "previouslyFormattedCitation" : "(33)" }, "properties" : { "noteIndex" : 0 }, "schema" : "https://github.com/citation-style-language/schema/raw/master/csl-citation.json" }</w:instrText>
      </w:r>
      <w:r w:rsidR="00AD6DE4">
        <w:rPr>
          <w:rFonts w:ascii="Times New Roman" w:hAnsi="Times New Roman"/>
          <w:sz w:val="24"/>
          <w:szCs w:val="24"/>
          <w:lang w:val="en-GB"/>
        </w:rPr>
        <w:fldChar w:fldCharType="separate"/>
      </w:r>
      <w:r w:rsidR="00AD6DE4" w:rsidRPr="00AD6DE4">
        <w:rPr>
          <w:rFonts w:ascii="Times New Roman" w:hAnsi="Times New Roman"/>
          <w:noProof/>
          <w:sz w:val="24"/>
          <w:szCs w:val="24"/>
          <w:lang w:val="en-GB"/>
        </w:rPr>
        <w:t>(33)</w:t>
      </w:r>
      <w:r w:rsidR="00AD6DE4">
        <w:rPr>
          <w:rFonts w:ascii="Times New Roman" w:hAnsi="Times New Roman"/>
          <w:sz w:val="24"/>
          <w:szCs w:val="24"/>
          <w:lang w:val="en-GB"/>
        </w:rPr>
        <w:fldChar w:fldCharType="end"/>
      </w:r>
      <w:r>
        <w:rPr>
          <w:rFonts w:ascii="Times New Roman" w:hAnsi="Times New Roman"/>
          <w:sz w:val="24"/>
          <w:szCs w:val="24"/>
          <w:lang w:val="en-GB"/>
        </w:rPr>
        <w:t>, while for all the other patients carrying the Gly151Arg mutation hybrid steroids data were not available.</w:t>
      </w:r>
    </w:p>
    <w:p w14:paraId="3AC468A5" w14:textId="77777777" w:rsidR="007143EE" w:rsidRDefault="007143EE" w:rsidP="004F771A">
      <w:pPr>
        <w:spacing w:after="0" w:line="480" w:lineRule="auto"/>
        <w:jc w:val="both"/>
        <w:rPr>
          <w:rFonts w:ascii="Times New Roman" w:hAnsi="Times New Roman"/>
          <w:sz w:val="24"/>
          <w:szCs w:val="24"/>
          <w:lang w:val="en-GB"/>
        </w:rPr>
      </w:pPr>
      <w:r>
        <w:rPr>
          <w:rFonts w:ascii="Times New Roman" w:hAnsi="Times New Roman"/>
          <w:sz w:val="24"/>
          <w:szCs w:val="24"/>
          <w:lang w:val="en-GB"/>
        </w:rPr>
        <w:t xml:space="preserve">The </w:t>
      </w:r>
      <w:r w:rsidRPr="00CD6E54">
        <w:rPr>
          <w:rFonts w:ascii="Times New Roman" w:hAnsi="Times New Roman"/>
          <w:sz w:val="24"/>
          <w:szCs w:val="24"/>
          <w:lang w:val="en-GB"/>
        </w:rPr>
        <w:t>Il</w:t>
      </w:r>
      <w:r>
        <w:rPr>
          <w:rFonts w:ascii="Times New Roman" w:hAnsi="Times New Roman"/>
          <w:sz w:val="24"/>
          <w:szCs w:val="24"/>
          <w:lang w:val="en-GB"/>
        </w:rPr>
        <w:t xml:space="preserve">e157Ser mutation </w:t>
      </w:r>
      <w:r w:rsidR="00AD6DE4">
        <w:rPr>
          <w:rFonts w:ascii="Times New Roman" w:hAnsi="Times New Roman"/>
          <w:sz w:val="24"/>
          <w:szCs w:val="24"/>
          <w:lang w:val="en-GB"/>
        </w:rPr>
        <w:fldChar w:fldCharType="begin" w:fldLock="1"/>
      </w:r>
      <w:r w:rsidR="00AD6DE4">
        <w:rPr>
          <w:rFonts w:ascii="Times New Roman" w:hAnsi="Times New Roman"/>
          <w:sz w:val="24"/>
          <w:szCs w:val="24"/>
          <w:lang w:val="en-GB"/>
        </w:rPr>
        <w:instrText>ADDIN CSL_CITATION { "citationItems" : [ { "id" : "ITEM-1", "itemData" : { "DOI" : "10.1210/jc.2012-1334", "ISBN" : "1945-7197 (Electronic)\\r0021-972X (Linking)", "ISSN" : "0021972X", "PMID" : "22628607", "abstract" : "CONTEXT: Aldosterone production in the adrenal zona glomerulosa is mainly regulated by angiotensin II, [K(+)], and ACTH. Genetic deletion of subunits of K(+)-selective leak (KCNK) channels TWIK-related acid sensitive K(+)-1 and/or TWIK-related acid sensitive K(+)-3 in mice results in primary hyperaldosteronism, whereas mutations in the KCNJ5 (potassium inwardly rectifying channel, subfamily J, member 5) gene are implicated in primary hyperaldosteronism and, in certain cases, in autonomous glomerulosa cell proliferation in humans.\\n\\nOBJECTIVE: The objective of the study was to investigate the role of KCNK3, KCNK5, KCNK9, and KCNJ5 genes in a family with primary hyperaldosteronism and early-onset hypertension.\\n\\nPATIENTS AND METHODS: Two patients, a mother and a daughter, presented with severe primary hyperaldosteronism, bilateral massive adrenal hyperplasia, and early-onset hypertension refractory to medical treatment. Genomic DNA was isolated and the exons of the entire coding regions of the above genes were amplified and sequenced. Electrophysiological studies were performed to determine the effect of identified mutation(s) on the membrane reversal potentials.\\n\\nRESULTS: Sequencing of the KCNJ5 gene revealed a single, heterozygous guanine to thymine (G \u2192 T) substitution at nucleotide position 470 (n.G470T), resulting in isoleucine (I) to serine (S) substitution at amino acid 157 (p.I157S). This mutation results in loss of ion selectivity, cell membrane depolarization, increased Ca(2+) entry in adrenal glomerulosa cells, and increased aldosterone synthesis. Sequencing of the KCNK3, KCNK5, and KCNK9 genes revealed no mutations in our patients.\\n\\nCONCLUSIONS: These findings explain the pathogenesis in a subset of patients with severe hypertension and implicate loss of K(+) channel selectivity in constitutive aldosterone production.", "author" : [ { "dropping-particle" : "", "family" : "Charmandari", "given" : "Evangelia", "non-dropping-particle" : "", "parse-names" : false, "suffix" : "" }, { "dropping-particle" : "", "family" : "Sertedaki", "given" : "Amalia", "non-dropping-particle" : "", "parse-names" : false, "suffix" : "" }, { "dropping-particle" : "", "family" : "Kino", "given" : "Tomoshige", "non-dropping-particle" : "", "parse-names" : false, "suffix" : "" }, { "dropping-particle" : "", "family" : "Merakou", "given" : "Christina", "non-dropping-particle" : "", "parse-names" : false, "suffix" : "" }, { "dropping-particle" : "", "family" : "Hoffman", "given" : "Dax A.", "non-dropping-particle" : "", "parse-names" : false, "suffix" : "" }, { "dropping-particle" : "", "family" : "Hatch", "given" : "Michael M.", "non-dropping-particle" : "", "parse-names" : false, "suffix" : "" }, { "dropping-particle" : "", "family" : "Hurt", "given" : "Darrell E.", "non-dropping-particle" : "", "parse-names" : false, "suffix" : "" }, { "dropping-particle" : "", "family" : "Lin", "given" : "Lin", "non-dropping-particle" : "", "parse-names" : false, "suffix" : "" }, { "dropping-particle" : "", "family" : "Xekouki", "given" : "Paraskevi", "non-dropping-particle" : "", "parse-names" : false, "suffix" : "" }, { "dropping-particle" : "", "family" : "Stratakis", "given" : "Constantine A.", "non-dropping-particle" : "", "parse-names" : false, "suffix" : "" }, { "dropping-particle" : "", "family" : "Chrousos", "given" : "George P.", "non-dropping-particle" : "", "parse-names" : false, "suffix" : "" } ], "container-title" : "Journal of Clinical Endocrinology and Metabolism", "id" : "ITEM-1", "issue" : "8", "issued" : { "date-parts" : [ [ "2012" ] ] }, "page" : "1-8", "title" : "A novel point mutation in the KCNJ5 gene causing primary hyperaldosteronism and early-onset autosomal dominant hypertension", "type" : "article-journal", "volume" : "97" }, "uris" : [ "http://www.mendeley.com/documents/?uuid=0ca1fe5e-0e9c-48b0-946b-768443e4e538" ] } ], "mendeley" : { "formattedCitation" : "(34)", "plainTextFormattedCitation" : "(34)", "previouslyFormattedCitation" : "(34)" }, "properties" : { "noteIndex" : 0 }, "schema" : "https://github.com/citation-style-language/schema/raw/master/csl-citation.json" }</w:instrText>
      </w:r>
      <w:r w:rsidR="00AD6DE4">
        <w:rPr>
          <w:rFonts w:ascii="Times New Roman" w:hAnsi="Times New Roman"/>
          <w:sz w:val="24"/>
          <w:szCs w:val="24"/>
          <w:lang w:val="en-GB"/>
        </w:rPr>
        <w:fldChar w:fldCharType="separate"/>
      </w:r>
      <w:r w:rsidR="00AD6DE4" w:rsidRPr="00AD6DE4">
        <w:rPr>
          <w:rFonts w:ascii="Times New Roman" w:hAnsi="Times New Roman"/>
          <w:noProof/>
          <w:sz w:val="24"/>
          <w:szCs w:val="24"/>
          <w:lang w:val="en-GB"/>
        </w:rPr>
        <w:t>(34)</w:t>
      </w:r>
      <w:r w:rsidR="00AD6DE4">
        <w:rPr>
          <w:rFonts w:ascii="Times New Roman" w:hAnsi="Times New Roman"/>
          <w:sz w:val="24"/>
          <w:szCs w:val="24"/>
          <w:lang w:val="en-GB"/>
        </w:rPr>
        <w:fldChar w:fldCharType="end"/>
      </w:r>
      <w:r>
        <w:rPr>
          <w:rFonts w:ascii="Times New Roman" w:hAnsi="Times New Roman"/>
          <w:sz w:val="24"/>
          <w:szCs w:val="24"/>
          <w:lang w:val="en-GB"/>
        </w:rPr>
        <w:t xml:space="preserve"> was reported in two patients from a single family. Both showed severe hypertension and hypokalemia in childhood with massive adrenal hyperplasia and bilateral adrenalectomy was required.</w:t>
      </w:r>
    </w:p>
    <w:p w14:paraId="3AC468A6" w14:textId="77777777" w:rsidR="007143EE" w:rsidRDefault="007143EE" w:rsidP="00482DEF">
      <w:pPr>
        <w:spacing w:after="0" w:line="480" w:lineRule="auto"/>
        <w:jc w:val="both"/>
        <w:rPr>
          <w:rFonts w:ascii="Times New Roman" w:hAnsi="Times New Roman"/>
          <w:sz w:val="24"/>
          <w:szCs w:val="24"/>
          <w:lang w:val="en-GB"/>
        </w:rPr>
      </w:pPr>
      <w:r>
        <w:rPr>
          <w:rFonts w:ascii="Times New Roman" w:hAnsi="Times New Roman"/>
          <w:sz w:val="24"/>
          <w:szCs w:val="24"/>
          <w:lang w:val="en-GB"/>
        </w:rPr>
        <w:t xml:space="preserve">The </w:t>
      </w:r>
      <w:r w:rsidRPr="00277E61">
        <w:rPr>
          <w:rFonts w:ascii="Times New Roman" w:hAnsi="Times New Roman"/>
          <w:sz w:val="24"/>
          <w:szCs w:val="24"/>
          <w:lang w:val="en-GB"/>
        </w:rPr>
        <w:t xml:space="preserve">Tyr152Cys </w:t>
      </w:r>
      <w:r>
        <w:rPr>
          <w:rFonts w:ascii="Times New Roman" w:hAnsi="Times New Roman"/>
          <w:sz w:val="24"/>
          <w:szCs w:val="24"/>
          <w:lang w:val="en-GB"/>
        </w:rPr>
        <w:t xml:space="preserve">mutation </w:t>
      </w:r>
      <w:r w:rsidR="00AD6DE4">
        <w:rPr>
          <w:rFonts w:ascii="Times New Roman" w:hAnsi="Times New Roman"/>
          <w:sz w:val="24"/>
          <w:szCs w:val="24"/>
          <w:lang w:val="en-GB"/>
        </w:rPr>
        <w:fldChar w:fldCharType="begin" w:fldLock="1"/>
      </w:r>
      <w:r w:rsidR="00DE6C5E">
        <w:rPr>
          <w:rFonts w:ascii="Times New Roman" w:hAnsi="Times New Roman"/>
          <w:sz w:val="24"/>
          <w:szCs w:val="24"/>
          <w:lang w:val="en-GB"/>
        </w:rPr>
        <w:instrText>ADDIN CSL_CITATION { "citationItems" : [ { "id" : "ITEM-1", "itemData" : { "DOI" : "10.1210/jc.2013-2428", "ISBN" : "1945-7197 (Electronic)\r0021-972X (Linking)", "ISSN" : "0021972X", "PMID" : "24037882", "abstract" : "CONTEXT Primary aldosteronism is a heterogeneous group of disorders comprising both sporadic and familial forms. Mutations in the KCNJ5 gene, which encodes the inward rectifier K(+) channel 4 (G protein-activated inward rectifier K(+) channel 4, Kir3.4), cause familial hyperaldosteronism type III (FH-III) and are involved in the pathogenesis of sporadic aldosterone-producing adenomas. OBJECTIVE The objective of the study was to characterize the effects of a newly described KCNJ5 mutation in vitro. PATIENTS AND METHODS The index case is a 62-year-old woman affected by primary aldosteronism, who underwent left adrenalectomy after workup for adrenal adenoma. Exon 1 of KCNJ5 was PCR amplified from adrenal tissue and peripheral blood and sequenced. Electrophysiological and gene expression studies were performed to establish the functional effects of the new mutation on the membrane potential and adrenal cell CYP11B2 expression. RESULTS KCNJ5 sequencing in the index case revealed a new p.Y152C germline mutation; interestingly, the phenotype of the patient was milder than most of the previously described FH-III families. The tyrosine-to-cysteine substitution resulted in pathological Na(+) permeability, cell membrane depolarization, and disturbed intracellular Ca(2+) homeostasis, effects similar, albeit smaller, to the ones demonstrated for other KCNJ5 mutations. Gene expression studies revealed an increased expression of CYP11B2 and its transcriptional regulator NR4A2 in HAC15 adrenal cells overexpressing KCNJ5(Y152C) compared to the wild-type channel. The effect was clearly Ca(2+)-dependent, because it was abolished by the calcium channel blocker nifedipine. CONCLUSIONS Herein we describe a new germline mutation in KCNJ5 responsible for FH-III.", "author" : [ { "dropping-particle" : "", "family" : "Monticone", "given" : "Silvia", "non-dropping-particle" : "", "parse-names" : false, "suffix" : "" }, { "dropping-particle" : "", "family" : "Hattangady", "given" : "Namita G.", "non-dropping-particle" : "", "parse-names" : false, "suffix" : "" }, { "dropping-particle" : "", "family" : "Penton", "given" : "David", "non-dropping-particle" : "", "parse-names" : false, "suffix" : "" }, { "dropping-particle" : "", "family" : "Isales", "given" : "Carlos M.", "non-dropping-particle" : "", "parse-names" : false, "suffix" : "" }, { "dropping-particle" : "", "family" : "Edwards", "given" : "Michael A.", "non-dropping-particle" : "", "parse-names" : false, "suffix" : "" }, { "dropping-particle" : "", "family" : "Williams", "given" : "Tracy A.", "non-dropping-particle" : "", "parse-names" : false, "suffix" : "" }, { "dropping-particle" : "", "family" : "Sterner", "given" : "Christina", "non-dropping-particle" : "", "parse-names" : false, "suffix" : "" }, { "dropping-particle" : "", "family" : "Warth", "given" : "Richard", "non-dropping-particle" : "", "parse-names" : false, "suffix" : "" }, { "dropping-particle" : "", "family" : "Mulatero", "given" : "Paolo", "non-dropping-particle" : "", "parse-names" : false, "suffix" : "" }, { "dropping-particle" : "", "family" : "Rainey", "given" : "William E.", "non-dropping-particle" : "", "parse-names" : false, "suffix" : "" } ], "container-title" : "Journal of Clinical Endocrinology and Metabolism", "id" : "ITEM-1", "issue" : "11", "issued" : { "date-parts" : [ [ "2013" ] ] }, "page" : "1861-1865", "title" : "A novel Y152C KCNJ5 mutation responsible for familial hyperaldosteronism type III", "type" : "article-journal", "volume" : "98" }, "uris" : [ "http://www.mendeley.com/documents/?uuid=2228006e-7301-49af-896b-b521bedc46b3" ] } ], "mendeley" : { "formattedCitation" : "(23)", "plainTextFormattedCitation" : "(23)", "previouslyFormattedCitation" : "(23)" }, "properties" : { "noteIndex" : 0 }, "schema" : "https://github.com/citation-style-language/schema/raw/master/csl-citation.json" }</w:instrText>
      </w:r>
      <w:r w:rsidR="00AD6DE4">
        <w:rPr>
          <w:rFonts w:ascii="Times New Roman" w:hAnsi="Times New Roman"/>
          <w:sz w:val="24"/>
          <w:szCs w:val="24"/>
          <w:lang w:val="en-GB"/>
        </w:rPr>
        <w:fldChar w:fldCharType="separate"/>
      </w:r>
      <w:r w:rsidR="00D15617" w:rsidRPr="00D15617">
        <w:rPr>
          <w:rFonts w:ascii="Times New Roman" w:hAnsi="Times New Roman"/>
          <w:noProof/>
          <w:sz w:val="24"/>
          <w:szCs w:val="24"/>
          <w:lang w:val="en-GB"/>
        </w:rPr>
        <w:t>(23)</w:t>
      </w:r>
      <w:r w:rsidR="00AD6DE4">
        <w:rPr>
          <w:rFonts w:ascii="Times New Roman" w:hAnsi="Times New Roman"/>
          <w:sz w:val="24"/>
          <w:szCs w:val="24"/>
          <w:lang w:val="en-GB"/>
        </w:rPr>
        <w:fldChar w:fldCharType="end"/>
      </w:r>
      <w:r>
        <w:rPr>
          <w:rFonts w:ascii="Times New Roman" w:hAnsi="Times New Roman"/>
          <w:sz w:val="24"/>
          <w:szCs w:val="24"/>
          <w:lang w:val="en-GB"/>
        </w:rPr>
        <w:t xml:space="preserve"> was detected in a 62-year</w:t>
      </w:r>
      <w:r w:rsidRPr="00277E61">
        <w:rPr>
          <w:rFonts w:ascii="Times New Roman" w:hAnsi="Times New Roman"/>
          <w:sz w:val="24"/>
          <w:szCs w:val="24"/>
          <w:lang w:val="en-GB"/>
        </w:rPr>
        <w:t>-old African-American woman. Surprisingly, she was diagnosed with arterial hypert</w:t>
      </w:r>
      <w:r>
        <w:rPr>
          <w:rFonts w:ascii="Times New Roman" w:hAnsi="Times New Roman"/>
          <w:sz w:val="24"/>
          <w:szCs w:val="24"/>
          <w:lang w:val="en-GB"/>
        </w:rPr>
        <w:t>ension at 48 years. Considering her resistant hypertension on four antihypertensive drugs, she underwent left adrenalectomy on the basis of adrenal CT scanning but serum aldosterone levels did not normalize. She displayed chronic kidney failure that progressed to end stage renal disease and she is currently on hemodialysis.</w:t>
      </w:r>
    </w:p>
    <w:p w14:paraId="3AC468A7" w14:textId="77777777" w:rsidR="007143EE" w:rsidRDefault="007143EE" w:rsidP="004F771A">
      <w:pPr>
        <w:spacing w:after="0" w:line="480" w:lineRule="auto"/>
        <w:jc w:val="both"/>
        <w:rPr>
          <w:rFonts w:ascii="Times New Roman" w:hAnsi="Times New Roman"/>
          <w:sz w:val="24"/>
          <w:szCs w:val="24"/>
          <w:lang w:val="en-GB"/>
        </w:rPr>
      </w:pPr>
      <w:r w:rsidRPr="00C03217">
        <w:rPr>
          <w:rFonts w:ascii="Times New Roman" w:hAnsi="Times New Roman"/>
          <w:sz w:val="24"/>
          <w:szCs w:val="24"/>
          <w:lang w:val="en-GB"/>
        </w:rPr>
        <w:t>Glu145Gln mutation</w:t>
      </w:r>
      <w:r>
        <w:rPr>
          <w:rFonts w:ascii="Times New Roman" w:hAnsi="Times New Roman"/>
          <w:sz w:val="24"/>
          <w:szCs w:val="24"/>
          <w:lang w:val="en-GB"/>
        </w:rPr>
        <w:t xml:space="preserve"> </w:t>
      </w:r>
      <w:r w:rsidR="00831DB8">
        <w:rPr>
          <w:rFonts w:ascii="Times New Roman" w:hAnsi="Times New Roman"/>
          <w:sz w:val="24"/>
          <w:szCs w:val="24"/>
          <w:lang w:val="en-GB"/>
        </w:rPr>
        <w:fldChar w:fldCharType="begin" w:fldLock="1"/>
      </w:r>
      <w:r w:rsidR="00DE6C5E">
        <w:rPr>
          <w:rFonts w:ascii="Times New Roman" w:hAnsi="Times New Roman"/>
          <w:sz w:val="24"/>
          <w:szCs w:val="24"/>
          <w:lang w:val="en-GB"/>
        </w:rPr>
        <w:instrText>ADDIN CSL_CITATION { "citationItems" : [ { "id" : "ITEM-1", "itemData" : { "DOI" : "10.1210/jc.20143636", "ISBN" : "1945-7197 (Electronic)\r0021-972X (Linking)", "ISSN" : "19457197", "PMID" : "25322277", "abstract" : "CONTEXT: Familial hyperaldosteronism type III (FH-III) is a rare and clinically heterogeneous condition, that can display mild as well as severe phenotypes. Point mutations in the KCNJ5 gene, affecting the ion selectivity of the inward rectifier K(+) channel 4 (Kir3.4), underlie the molecular basis of FH-III.\\n\\nOBJECTIVE: The objective of the study was to investigate the effects of a de novo germline KCNJ5 mutation.\\n\\nPATIENTS AND METHODS: We describe the case of a girl who came to medical attention at the age of 2 years because of polydipsia, polyuria, and failure to thrive. The patient, affected by hypertension and hypokalemia, was diagnosed with primary aldosteronism on the basis of extremely high aldosterone levels and suppressed plasma renin activity. Genomic DNA was isolated and KCNJ5 sequenced. Human adrenocortical cells were used as an in vitro model for the functional characterization of the mutant channel.\\n\\nRESULTS: KCNJ5 sequencing in the index case and her parents revealed a de novo p.Glu145Gln germline mutation. The substitution resulted in Na(+)-dependent depolarization of adrenal cells and increased intracellular calcium concentration, which activated the transcription of NR4A2 and, in turn, CYP11B2. Pharmacological studies revealed that the mutant channel was insensitive to tertiapin-Q and calcium-channel blocker verapamil.\\n\\nCONCLUSIONS: Herein we report the identification of a novel KCNJ5 germline mutation responsible for severe hyperaldosteronism that presented in infancy with symptoms of diabetes insipidus. The findings of this study further elucidate the etiology of FH-III and expand our knowledge of this rare condition.", "author" : [ { "dropping-particle" : "", "family" : "Monticone", "given" : "Silvia", "non-dropping-particle" : "", "parse-names" : false, "suffix" : "" }, { "dropping-particle" : "", "family" : "Bandulik", "given" : "Sascha", "non-dropping-particle" : "", "parse-names" : false, "suffix" : "" }, { "dropping-particle" : "", "family" : "Stindl", "given" : "Julia", "non-dropping-particle" : "", "parse-names" : false, "suffix" : "" }, { "dropping-particle" : "", "family" : "Zilbermint", "given" : "Mihail", "non-dropping-particle" : "", "parse-names" : false, "suffix" : "" }, { "dropping-particle" : "", "family" : "Dedov", "given" : "Ivan", "non-dropping-particle" : "", "parse-names" : false, "suffix" : "" }, { "dropping-particle" : "", "family" : "Mulatero", "given" : "Paolo", "non-dropping-particle" : "", "parse-names" : false, "suffix" : "" }, { "dropping-particle" : "", "family" : "Allgaeuer", "given" : "Michael", "non-dropping-particle" : "", "parse-names" : false, "suffix" : "" }, { "dropping-particle" : "", "family" : "Lee", "given" : "Chyi Chia Richard", "non-dropping-particle" : "", "parse-names" : false, "suffix" : "" }, { "dropping-particle" : "", "family" : "Stratakis", "given" : "Constantine A.", "non-dropping-particle" : "", "parse-names" : false, "suffix" : "" }, { "dropping-particle" : "", "family" : "Williams", "given" : "Tracy A.", "non-dropping-particle" : "", "parse-names" : false, "suffix" : "" }, { "dropping-particle" : "", "family" : "Tiulpakov", "given" : "Anatoly", "non-dropping-particle" : "", "parse-names" : false, "suffix" : "" } ], "container-title" : "Journal of Clinical Endocrinology and Metabolism", "id" : "ITEM-1", "issue" : "1", "issued" : { "date-parts" : [ [ "2015" ] ] }, "page" : "E114-E118", "title" : "A case of severe hyperaldosteronism caused by a de novo mutation affecting a critical salt bridge Kir3.4 residue", "type" : "article-journal", "volume" : "100" }, "uris" : [ "http://www.mendeley.com/documents/?uuid=78381224-1dbd-4bd7-ab6e-0fef3d72887b" ] }, { "id" : "ITEM-2", "itemData" : { "DOI" : "10.1210/jc.2016-1504", "ISSN" : "1945-7197", "PMID" : "27403928", "abstract" : "CONTEXT To date, all the familial hyperaldosteronism type III (FH-III) patients reported presented with typical primary aldosteronism (PA), without showing other adrenal hormone abnormalities. OBJECTIVE This study characterized a novel phenotype of FH-III, and explored the possible pathogenesis. PATIENTS AND METHODS A male patient presented with severe hypertension and hypokalemia at the age of 2, and developed Cushing's syndrome at 20. He was diagnosed with PA and Cushing's syndrome on the basis of typical biochemical findings. He had massive bilateral adrenal hyperplasia, and underwent left adrenalectomy. KCNJ5 was sequenced, and secretion of aldosterone and cortisol were observed both in vivo and in vitro. RESULTS A heterozygous germline p. Glu 145 Gln mutation of KCNJ5 was identified. ARMC5, PRKAR1A, PDE8B, PDE11A and PRKACA genes and \u03b2-catenin, P53 immunoactivity were normal in the adrenal. CYP11B2 was highly expressed, while mRNA expression of CYP11B1, CYP17A1 and STAR was relatively low in the hyperplastic adrenal, compared to normal adrenal cortex and other adrenal diseases. In primary cell culture of the resected hyperplastic adrenal, verapamil and nifedipine, two calcium channel blockers, markedly inhibited the secretion of both aldosterone and cortisol, and the mRNA expression of CYP11B1, CYP11B2, CYP17A1 and STAR. CONCLUSIONS We presented the first FH-III patient who had both severe PA and Cushing's syndrome. Hypersecretion of cortisol might be ascribed to overly-large size of the hyperplastic adrenal since CYP11B1 expression was relatively low in his adrenal. Like aldosterone, synthesis and secretion of cortisol in the mutant adrenal may be mediated by voltage-gated Ca(2+) channels.", "author" : [ { "dropping-particle" : "", "family" : "Tong", "given" : "Anli", "non-dropping-particle" : "", "parse-names" : false, "suffix" : "" }, { "dropping-particle" : "", "family" : "Liu", "given" : "Guanghua", "non-dropping-particle" : "", "parse-names" : false, "suffix" : "" }, { "dropping-particle" : "", "family" : "Wang", "given" : "Fen", "non-dropping-particle" : "", "parse-names" : false, "suffix" : "" }, { "dropping-particle" : "", "family" : "Jiang", "given" : "Jun", "non-dropping-particle" : "", "parse-names" : false, "suffix" : "" }, { "dropping-particle" : "", "family" : "Yan", "given" : "Zhaoli", "non-dropping-particle" : "", "parse-names" : false, "suffix" : "" }, { "dropping-particle" : "", "family" : "Zhang", "given" : "Dianxi", "non-dropping-particle" : "", "parse-names" : false, "suffix" : "" }, { "dropping-particle" : "", "family" : "Zhang", "given" : "Yinsheng", "non-dropping-particle" : "", "parse-names" : false, "suffix" : "" }, { "dropping-particle" : "", "family" : "Cai", "given" : "Jun", "non-dropping-particle" : "", "parse-names" : false, "suffix" : "" } ], "container-title" : "The Journal of clinical endocrinology and metabolism", "id" : "ITEM-2", "issue" : "July", "issued" : { "date-parts" : [ [ "2016" ] ] }, "page" : "jc20161504", "title" : "A novel phenotype of familial hyperaldosteronism type III: Concurrence of aldosteronism and Cushing's syndrome.", "type" : "article-journal" }, "uris" : [ "http://www.mendeley.com/documents/?uuid=33a9dbb5-cd96-4b8e-9295-93f9c7d3c2b5" ] } ], "mendeley" : { "formattedCitation" : "(22,35)", "plainTextFormattedCitation" : "(22,35)", "previouslyFormattedCitation" : "(22,35)" }, "properties" : { "noteIndex" : 0 }, "schema" : "https://github.com/citation-style-language/schema/raw/master/csl-citation.json" }</w:instrText>
      </w:r>
      <w:r w:rsidR="00831DB8">
        <w:rPr>
          <w:rFonts w:ascii="Times New Roman" w:hAnsi="Times New Roman"/>
          <w:sz w:val="24"/>
          <w:szCs w:val="24"/>
          <w:lang w:val="en-GB"/>
        </w:rPr>
        <w:fldChar w:fldCharType="separate"/>
      </w:r>
      <w:r w:rsidR="00D15617" w:rsidRPr="00D15617">
        <w:rPr>
          <w:rFonts w:ascii="Times New Roman" w:hAnsi="Times New Roman"/>
          <w:noProof/>
          <w:sz w:val="24"/>
          <w:szCs w:val="24"/>
          <w:lang w:val="en-GB"/>
        </w:rPr>
        <w:t>(22,35)</w:t>
      </w:r>
      <w:r w:rsidR="00831DB8">
        <w:rPr>
          <w:rFonts w:ascii="Times New Roman" w:hAnsi="Times New Roman"/>
          <w:sz w:val="24"/>
          <w:szCs w:val="24"/>
          <w:lang w:val="en-GB"/>
        </w:rPr>
        <w:fldChar w:fldCharType="end"/>
      </w:r>
      <w:r>
        <w:rPr>
          <w:rFonts w:ascii="Times New Roman" w:hAnsi="Times New Roman"/>
          <w:sz w:val="24"/>
          <w:szCs w:val="24"/>
          <w:lang w:val="en-GB"/>
        </w:rPr>
        <w:t xml:space="preserve"> was identified</w:t>
      </w:r>
      <w:r w:rsidRPr="00277E61">
        <w:rPr>
          <w:rFonts w:ascii="Times New Roman" w:hAnsi="Times New Roman"/>
          <w:sz w:val="24"/>
          <w:szCs w:val="24"/>
          <w:lang w:val="en-GB"/>
        </w:rPr>
        <w:t xml:space="preserve"> in </w:t>
      </w:r>
      <w:r>
        <w:rPr>
          <w:rFonts w:ascii="Times New Roman" w:hAnsi="Times New Roman"/>
          <w:sz w:val="24"/>
          <w:szCs w:val="24"/>
          <w:lang w:val="en-GB"/>
        </w:rPr>
        <w:t>2 affected members from 2</w:t>
      </w:r>
      <w:r w:rsidRPr="00277E61">
        <w:rPr>
          <w:rFonts w:ascii="Times New Roman" w:hAnsi="Times New Roman"/>
          <w:sz w:val="24"/>
          <w:szCs w:val="24"/>
          <w:lang w:val="en-GB"/>
        </w:rPr>
        <w:t xml:space="preserve"> families.</w:t>
      </w:r>
      <w:r>
        <w:rPr>
          <w:rFonts w:ascii="Times New Roman" w:hAnsi="Times New Roman"/>
          <w:sz w:val="24"/>
          <w:szCs w:val="24"/>
          <w:lang w:val="en-GB"/>
        </w:rPr>
        <w:t xml:space="preserve"> The first case is a Caucasian girl showing severe hypertension, hypokalemia and hyperaldosteronism since the age of 2 years, who underwent bilateral adrenalectomy at the age of 19 years. The second case is a Chinese boy who presented with high blood pressure and low serum K</w:t>
      </w:r>
      <w:r w:rsidRPr="003630A4">
        <w:rPr>
          <w:rFonts w:ascii="Times New Roman" w:hAnsi="Times New Roman"/>
          <w:sz w:val="24"/>
          <w:szCs w:val="24"/>
          <w:vertAlign w:val="superscript"/>
          <w:lang w:val="en-GB"/>
        </w:rPr>
        <w:t>+</w:t>
      </w:r>
      <w:r>
        <w:rPr>
          <w:rFonts w:ascii="Times New Roman" w:hAnsi="Times New Roman"/>
          <w:sz w:val="24"/>
          <w:szCs w:val="24"/>
          <w:lang w:val="en-GB"/>
        </w:rPr>
        <w:t xml:space="preserve"> levels. He was diagnosed with PA and Cushing’s syndrome at the age of 23 years and underwent unilateral left adrenalectomy, he is now awaiting right adrenalectomy.</w:t>
      </w:r>
    </w:p>
    <w:p w14:paraId="3AC468A8" w14:textId="77777777" w:rsidR="007143EE" w:rsidRDefault="007143EE" w:rsidP="00277E61">
      <w:pPr>
        <w:spacing w:line="480" w:lineRule="auto"/>
        <w:jc w:val="both"/>
        <w:rPr>
          <w:rFonts w:ascii="Times New Roman" w:hAnsi="Times New Roman"/>
          <w:sz w:val="24"/>
          <w:szCs w:val="24"/>
          <w:highlight w:val="cyan"/>
          <w:lang w:val="en-GB"/>
        </w:rPr>
      </w:pPr>
    </w:p>
    <w:p w14:paraId="3AC468A9" w14:textId="77777777" w:rsidR="007143EE" w:rsidRPr="00E81C25" w:rsidRDefault="007143EE" w:rsidP="00277E61">
      <w:pPr>
        <w:spacing w:line="480" w:lineRule="auto"/>
        <w:jc w:val="both"/>
        <w:rPr>
          <w:rFonts w:ascii="Times New Roman" w:hAnsi="Times New Roman"/>
          <w:b/>
          <w:sz w:val="24"/>
          <w:szCs w:val="24"/>
          <w:lang w:val="en-GB"/>
        </w:rPr>
      </w:pPr>
      <w:r>
        <w:rPr>
          <w:rFonts w:ascii="Times New Roman" w:hAnsi="Times New Roman"/>
          <w:b/>
          <w:sz w:val="24"/>
          <w:szCs w:val="24"/>
          <w:lang w:val="en-GB"/>
        </w:rPr>
        <w:t>Description of a new case.</w:t>
      </w:r>
    </w:p>
    <w:p w14:paraId="3AC468AA" w14:textId="77777777" w:rsidR="007143EE" w:rsidRDefault="007143EE" w:rsidP="00176866">
      <w:pPr>
        <w:spacing w:after="0" w:line="480" w:lineRule="auto"/>
        <w:jc w:val="both"/>
        <w:rPr>
          <w:rFonts w:ascii="Times New Roman" w:hAnsi="Times New Roman"/>
          <w:sz w:val="24"/>
          <w:szCs w:val="24"/>
          <w:lang w:val="en-GB"/>
        </w:rPr>
      </w:pPr>
      <w:r>
        <w:rPr>
          <w:rFonts w:ascii="Times New Roman" w:hAnsi="Times New Roman"/>
          <w:sz w:val="24"/>
          <w:szCs w:val="24"/>
          <w:lang w:val="en-GB"/>
        </w:rPr>
        <w:t xml:space="preserve">The index case is a Caucasian 55-year old man, who was referred to our Division with clinical suspicion of FH. He was born in 1961 to non-consanguineous parents from an uneventful pregnancy. Familial history revealed that the father suffered from hypertension and died from ischaemic stroke at the </w:t>
      </w:r>
      <w:r w:rsidRPr="00176866">
        <w:rPr>
          <w:rFonts w:ascii="Times New Roman" w:hAnsi="Times New Roman"/>
          <w:sz w:val="24"/>
          <w:szCs w:val="24"/>
          <w:lang w:val="en-GB"/>
        </w:rPr>
        <w:t>age of 50</w:t>
      </w:r>
      <w:r>
        <w:rPr>
          <w:rFonts w:ascii="Times New Roman" w:hAnsi="Times New Roman"/>
          <w:sz w:val="24"/>
          <w:szCs w:val="24"/>
          <w:lang w:val="en-GB"/>
        </w:rPr>
        <w:t xml:space="preserve"> years</w:t>
      </w:r>
      <w:r w:rsidRPr="00176866">
        <w:rPr>
          <w:rFonts w:ascii="Times New Roman" w:hAnsi="Times New Roman"/>
          <w:sz w:val="24"/>
          <w:szCs w:val="24"/>
          <w:lang w:val="en-GB"/>
        </w:rPr>
        <w:t xml:space="preserve">; </w:t>
      </w:r>
      <w:r w:rsidRPr="00E6402E">
        <w:rPr>
          <w:rFonts w:ascii="Times New Roman" w:hAnsi="Times New Roman"/>
          <w:sz w:val="24"/>
          <w:szCs w:val="24"/>
          <w:lang w:val="en-GB"/>
        </w:rPr>
        <w:t>the mother is normotensive</w:t>
      </w:r>
      <w:r>
        <w:rPr>
          <w:rFonts w:ascii="Times New Roman" w:hAnsi="Times New Roman"/>
          <w:sz w:val="24"/>
          <w:szCs w:val="24"/>
          <w:lang w:val="en-GB"/>
        </w:rPr>
        <w:t>.</w:t>
      </w:r>
      <w:r w:rsidRPr="00176866">
        <w:rPr>
          <w:rFonts w:ascii="Times New Roman" w:hAnsi="Times New Roman"/>
          <w:sz w:val="24"/>
          <w:szCs w:val="24"/>
          <w:lang w:val="en-GB"/>
        </w:rPr>
        <w:t xml:space="preserve"> </w:t>
      </w:r>
      <w:r>
        <w:rPr>
          <w:rFonts w:ascii="Times New Roman" w:hAnsi="Times New Roman"/>
          <w:sz w:val="24"/>
          <w:szCs w:val="24"/>
          <w:lang w:val="en-GB"/>
        </w:rPr>
        <w:t>H</w:t>
      </w:r>
      <w:r w:rsidRPr="00176866">
        <w:rPr>
          <w:rFonts w:ascii="Times New Roman" w:hAnsi="Times New Roman"/>
          <w:sz w:val="24"/>
          <w:szCs w:val="24"/>
          <w:lang w:val="en-GB"/>
        </w:rPr>
        <w:t xml:space="preserve">e had three younger brothers, one died from lung cancer, </w:t>
      </w:r>
      <w:r w:rsidRPr="00E6402E">
        <w:rPr>
          <w:rFonts w:ascii="Times New Roman" w:hAnsi="Times New Roman"/>
          <w:sz w:val="24"/>
          <w:szCs w:val="24"/>
          <w:lang w:val="en-GB"/>
        </w:rPr>
        <w:t>the others are in a good health</w:t>
      </w:r>
      <w:r w:rsidRPr="00176866">
        <w:rPr>
          <w:rFonts w:ascii="Times New Roman" w:hAnsi="Times New Roman"/>
          <w:sz w:val="24"/>
          <w:szCs w:val="24"/>
          <w:lang w:val="en-GB"/>
        </w:rPr>
        <w:t>. B</w:t>
      </w:r>
      <w:r>
        <w:rPr>
          <w:rFonts w:ascii="Times New Roman" w:hAnsi="Times New Roman"/>
          <w:sz w:val="24"/>
          <w:szCs w:val="24"/>
          <w:lang w:val="en-GB"/>
        </w:rPr>
        <w:t>i</w:t>
      </w:r>
      <w:r w:rsidRPr="00176866">
        <w:rPr>
          <w:rFonts w:ascii="Times New Roman" w:hAnsi="Times New Roman"/>
          <w:sz w:val="24"/>
          <w:szCs w:val="24"/>
          <w:lang w:val="en-GB"/>
        </w:rPr>
        <w:t>ophysical</w:t>
      </w:r>
      <w:r>
        <w:rPr>
          <w:rFonts w:ascii="Times New Roman" w:hAnsi="Times New Roman"/>
          <w:sz w:val="24"/>
          <w:szCs w:val="24"/>
          <w:lang w:val="en-GB"/>
        </w:rPr>
        <w:t xml:space="preserve"> development was characterized by mild retarded</w:t>
      </w:r>
      <w:r w:rsidRPr="001F7400">
        <w:rPr>
          <w:rFonts w:ascii="Times New Roman" w:hAnsi="Times New Roman"/>
          <w:sz w:val="24"/>
          <w:szCs w:val="24"/>
          <w:lang w:val="en-GB"/>
        </w:rPr>
        <w:t xml:space="preserve"> </w:t>
      </w:r>
      <w:r>
        <w:rPr>
          <w:rFonts w:ascii="Times New Roman" w:hAnsi="Times New Roman"/>
          <w:sz w:val="24"/>
          <w:szCs w:val="24"/>
          <w:lang w:val="en-GB"/>
        </w:rPr>
        <w:t xml:space="preserve">growth </w:t>
      </w:r>
      <w:r w:rsidRPr="001F7400">
        <w:rPr>
          <w:rFonts w:ascii="Times New Roman" w:hAnsi="Times New Roman"/>
          <w:sz w:val="24"/>
          <w:szCs w:val="24"/>
          <w:lang w:val="en-GB"/>
        </w:rPr>
        <w:t>a</w:t>
      </w:r>
      <w:r>
        <w:rPr>
          <w:rFonts w:ascii="Times New Roman" w:hAnsi="Times New Roman"/>
          <w:sz w:val="24"/>
          <w:szCs w:val="24"/>
          <w:lang w:val="en-GB"/>
        </w:rPr>
        <w:t>nd low body weight, polyuria, polydipsia and enuresis since early childhood.</w:t>
      </w:r>
    </w:p>
    <w:p w14:paraId="3AC468AB" w14:textId="77777777" w:rsidR="007143EE" w:rsidRPr="006F17AD" w:rsidRDefault="007143EE" w:rsidP="008C22B9">
      <w:pPr>
        <w:spacing w:after="0" w:line="480" w:lineRule="auto"/>
        <w:jc w:val="both"/>
        <w:rPr>
          <w:rFonts w:ascii="Times New Roman" w:hAnsi="Times New Roman"/>
          <w:sz w:val="24"/>
          <w:szCs w:val="24"/>
          <w:lang w:val="en-GB"/>
        </w:rPr>
      </w:pPr>
      <w:r>
        <w:rPr>
          <w:rFonts w:ascii="Times New Roman" w:hAnsi="Times New Roman"/>
          <w:sz w:val="24"/>
          <w:szCs w:val="24"/>
          <w:lang w:val="en-GB"/>
        </w:rPr>
        <w:t xml:space="preserve">He was diagnosed with PA at the age of 7 years, on the basis of arterial hypertension, severe hypokalemia and elevated urinary aldosterone levels despite </w:t>
      </w:r>
      <w:r w:rsidRPr="00464783">
        <w:rPr>
          <w:rFonts w:ascii="Times New Roman" w:hAnsi="Times New Roman"/>
          <w:sz w:val="24"/>
          <w:szCs w:val="24"/>
          <w:lang w:val="en-GB"/>
        </w:rPr>
        <w:t xml:space="preserve">low </w:t>
      </w:r>
      <w:r w:rsidRPr="00E6402E">
        <w:rPr>
          <w:rFonts w:ascii="Times New Roman" w:hAnsi="Times New Roman"/>
          <w:sz w:val="24"/>
          <w:szCs w:val="24"/>
          <w:lang w:val="en-GB"/>
        </w:rPr>
        <w:t>plasma renin levels</w:t>
      </w:r>
      <w:r>
        <w:rPr>
          <w:rFonts w:ascii="Times New Roman" w:hAnsi="Times New Roman"/>
          <w:sz w:val="24"/>
          <w:szCs w:val="24"/>
          <w:lang w:val="en-GB"/>
        </w:rPr>
        <w:t xml:space="preserve"> (clinical and hormonal data at diagnosis are not available). Treatment with spironolactone and K</w:t>
      </w:r>
      <w:r w:rsidRPr="003C4D79">
        <w:rPr>
          <w:rFonts w:ascii="Times New Roman" w:hAnsi="Times New Roman"/>
          <w:sz w:val="24"/>
          <w:szCs w:val="24"/>
          <w:vertAlign w:val="superscript"/>
          <w:lang w:val="en-GB"/>
        </w:rPr>
        <w:t xml:space="preserve">+ </w:t>
      </w:r>
      <w:r>
        <w:rPr>
          <w:rFonts w:ascii="Times New Roman" w:hAnsi="Times New Roman"/>
          <w:sz w:val="24"/>
          <w:szCs w:val="24"/>
          <w:lang w:val="en-GB"/>
        </w:rPr>
        <w:t>supplementation was started, however, on the basis of persistent resistant hypertension, he underwent left adrenalectomy at the same age. Between the ages of 7 and 15 years he had several hospital admissions because of uncontrolled hypertension and hypokalemia. In particular, at the age of 10 years he presented with severe hypertension (165/120 mmHg) and tetany secondary to severe hypokalemia (plasma K</w:t>
      </w:r>
      <w:r>
        <w:rPr>
          <w:rFonts w:ascii="Times New Roman" w:hAnsi="Times New Roman"/>
          <w:sz w:val="24"/>
          <w:szCs w:val="24"/>
          <w:vertAlign w:val="superscript"/>
          <w:lang w:val="en-GB"/>
        </w:rPr>
        <w:t>+</w:t>
      </w:r>
      <w:r>
        <w:rPr>
          <w:rFonts w:ascii="Times New Roman" w:hAnsi="Times New Roman"/>
          <w:sz w:val="24"/>
          <w:szCs w:val="24"/>
          <w:lang w:val="en-GB"/>
        </w:rPr>
        <w:t xml:space="preserve"> 1.4 mEq/L). At the age of 15 years he was again admitted to hospital because of uncontrolled hypertension (210/140 mmHg) and headache. Blood and urine testing revealed a suppressed plasma renin activity (0.82 mg/mL/h) with elevated urinary aldosterone levels (&gt; 100 µg/24h) and hypokalemia (1.8 mEq/L), mild chronic kidney failure (serum creatinine 1.8 mg/dL) with a proteinuria of 150 mg/dL and 24h urinary K</w:t>
      </w:r>
      <w:r>
        <w:rPr>
          <w:rFonts w:ascii="Times New Roman" w:hAnsi="Times New Roman"/>
          <w:sz w:val="24"/>
          <w:szCs w:val="24"/>
          <w:vertAlign w:val="superscript"/>
          <w:lang w:val="en-GB"/>
        </w:rPr>
        <w:t>+</w:t>
      </w:r>
      <w:r>
        <w:rPr>
          <w:rFonts w:ascii="Times New Roman" w:hAnsi="Times New Roman"/>
          <w:sz w:val="24"/>
          <w:szCs w:val="24"/>
          <w:lang w:val="en-GB"/>
        </w:rPr>
        <w:t xml:space="preserve"> of 100 mEq. Moreover, he had signs of left ventricular hypertrophy with altered repolarization at electrocardiogram and fundus oculi examination revealed hypertensive retinopathy stage III.  </w:t>
      </w:r>
      <w:r w:rsidRPr="009F39A6">
        <w:rPr>
          <w:rFonts w:ascii="Times New Roman" w:hAnsi="Times New Roman"/>
          <w:sz w:val="24"/>
          <w:szCs w:val="24"/>
          <w:lang w:val="en-GB"/>
        </w:rPr>
        <w:t>To further investigate the chronic kidney failure he underwent pyelography and renal vein cat</w:t>
      </w:r>
      <w:r>
        <w:rPr>
          <w:rFonts w:ascii="Times New Roman" w:hAnsi="Times New Roman"/>
          <w:sz w:val="24"/>
          <w:szCs w:val="24"/>
          <w:lang w:val="en-GB"/>
        </w:rPr>
        <w:t>h</w:t>
      </w:r>
      <w:r w:rsidRPr="009F39A6">
        <w:rPr>
          <w:rFonts w:ascii="Times New Roman" w:hAnsi="Times New Roman"/>
          <w:sz w:val="24"/>
          <w:szCs w:val="24"/>
          <w:lang w:val="en-GB"/>
        </w:rPr>
        <w:t xml:space="preserve">eterization (to dose PRA in each renal vein and exclude a concomitant renal artery stenosis). </w:t>
      </w:r>
      <w:r w:rsidRPr="006F17AD">
        <w:rPr>
          <w:rFonts w:ascii="Times New Roman" w:hAnsi="Times New Roman"/>
          <w:sz w:val="24"/>
          <w:szCs w:val="24"/>
          <w:lang w:val="en-GB"/>
        </w:rPr>
        <w:t xml:space="preserve">During renal vein catheterization right adrenal venography was attempted, but the adrenal vein was not cannulated. </w:t>
      </w:r>
    </w:p>
    <w:p w14:paraId="3AC468AC" w14:textId="77777777" w:rsidR="007143EE" w:rsidRDefault="007143EE" w:rsidP="00176866">
      <w:pPr>
        <w:spacing w:after="0" w:line="480" w:lineRule="auto"/>
        <w:jc w:val="both"/>
        <w:rPr>
          <w:rFonts w:ascii="Times New Roman" w:hAnsi="Times New Roman"/>
          <w:sz w:val="24"/>
          <w:szCs w:val="24"/>
          <w:lang w:val="en-GB"/>
        </w:rPr>
      </w:pPr>
      <w:r>
        <w:rPr>
          <w:rFonts w:ascii="Times New Roman" w:hAnsi="Times New Roman"/>
          <w:sz w:val="24"/>
          <w:szCs w:val="24"/>
          <w:lang w:val="en-GB"/>
        </w:rPr>
        <w:t xml:space="preserve">Successively, in 1977 at the age of 16, he underwent partial right adrenalectomy. The partially removed right adrenal weighted 20 g and presented nodular hyperplasia of the </w:t>
      </w:r>
      <w:r w:rsidRPr="00E6402E">
        <w:rPr>
          <w:rFonts w:ascii="Times New Roman" w:hAnsi="Times New Roman"/>
          <w:i/>
          <w:iCs/>
          <w:sz w:val="24"/>
          <w:szCs w:val="24"/>
          <w:lang w:val="en-GB"/>
        </w:rPr>
        <w:t>zona fasciculata</w:t>
      </w:r>
      <w:r>
        <w:rPr>
          <w:rFonts w:ascii="Times New Roman" w:hAnsi="Times New Roman"/>
          <w:sz w:val="24"/>
          <w:szCs w:val="24"/>
          <w:lang w:val="en-GB"/>
        </w:rPr>
        <w:t xml:space="preserve">. At discharge, he showed a blood pressure of 130/80-90 mmHg, serum K+ of 3.9-4.8 mEq/L and urinary aldosterone of 9.5 µg/24h under treatment with clonidine and hydralazine three times/day. Kidney failure progressively worsened and the patient is now on hemodialysis since 2001. A recent cardiological evaluation (02/2016) revealed a diagnosis of aortic root dilatation (44 mm) with moderate aortic insufficiency and bicuspid aortic valve </w:t>
      </w:r>
      <w:r w:rsidRPr="00176866">
        <w:rPr>
          <w:rFonts w:ascii="Times New Roman" w:hAnsi="Times New Roman"/>
          <w:sz w:val="24"/>
          <w:szCs w:val="24"/>
          <w:lang w:val="en-GB"/>
        </w:rPr>
        <w:t xml:space="preserve">with </w:t>
      </w:r>
      <w:r w:rsidRPr="00E6402E">
        <w:rPr>
          <w:rFonts w:ascii="Times New Roman" w:hAnsi="Times New Roman"/>
          <w:sz w:val="24"/>
          <w:szCs w:val="24"/>
          <w:lang w:val="en-GB"/>
        </w:rPr>
        <w:t>normal left ventricular function</w:t>
      </w:r>
      <w:r>
        <w:rPr>
          <w:rFonts w:ascii="Times New Roman" w:hAnsi="Times New Roman"/>
          <w:sz w:val="24"/>
          <w:szCs w:val="24"/>
          <w:lang w:val="en-GB"/>
        </w:rPr>
        <w:t xml:space="preserve"> and wall thickness</w:t>
      </w:r>
      <w:r w:rsidRPr="00E6402E">
        <w:rPr>
          <w:rFonts w:ascii="Times New Roman" w:hAnsi="Times New Roman"/>
          <w:sz w:val="24"/>
          <w:szCs w:val="24"/>
          <w:lang w:val="en-GB"/>
        </w:rPr>
        <w:t>.</w:t>
      </w:r>
      <w:r w:rsidRPr="00176866">
        <w:rPr>
          <w:rFonts w:ascii="Times New Roman" w:hAnsi="Times New Roman"/>
          <w:sz w:val="24"/>
          <w:szCs w:val="24"/>
          <w:lang w:val="en-GB"/>
        </w:rPr>
        <w:t xml:space="preserve"> Adrenal CT scanning</w:t>
      </w:r>
      <w:r>
        <w:rPr>
          <w:rFonts w:ascii="Times New Roman" w:hAnsi="Times New Roman"/>
          <w:sz w:val="24"/>
          <w:szCs w:val="24"/>
          <w:lang w:val="en-GB"/>
        </w:rPr>
        <w:t xml:space="preserve"> (06/2016) showed multinodular hyperplasia of the residual right adrenal gland (with two nodules measuring 16 mm and one nodule measuring 10 mm). Blood pressure was 120/80 mmHg under treatment with bisoprolol, enalapril and canrenone.</w:t>
      </w:r>
    </w:p>
    <w:p w14:paraId="3AC468AD" w14:textId="77777777" w:rsidR="007143EE" w:rsidRDefault="007143EE" w:rsidP="00176866">
      <w:pPr>
        <w:spacing w:line="480" w:lineRule="auto"/>
        <w:jc w:val="both"/>
        <w:rPr>
          <w:rFonts w:ascii="Times New Roman" w:hAnsi="Times New Roman"/>
          <w:sz w:val="24"/>
          <w:szCs w:val="24"/>
          <w:lang w:val="en-GB"/>
        </w:rPr>
      </w:pPr>
      <w:r>
        <w:rPr>
          <w:rFonts w:ascii="Times New Roman" w:hAnsi="Times New Roman"/>
          <w:sz w:val="24"/>
          <w:szCs w:val="24"/>
          <w:lang w:val="en-GB"/>
        </w:rPr>
        <w:t xml:space="preserve">DNA sequencing from peripheral blood showed that the patient carries the </w:t>
      </w:r>
      <w:r w:rsidRPr="003C4D79">
        <w:rPr>
          <w:rFonts w:ascii="Times New Roman" w:hAnsi="Times New Roman"/>
          <w:i/>
          <w:sz w:val="24"/>
          <w:szCs w:val="24"/>
          <w:lang w:val="en-GB"/>
        </w:rPr>
        <w:t>KCNJ5</w:t>
      </w:r>
      <w:r>
        <w:rPr>
          <w:rFonts w:ascii="Times New Roman" w:hAnsi="Times New Roman"/>
          <w:sz w:val="24"/>
          <w:szCs w:val="24"/>
          <w:lang w:val="en-GB"/>
        </w:rPr>
        <w:t xml:space="preserve"> p.Gly151Arg mutation (</w:t>
      </w:r>
      <w:r w:rsidRPr="0079249A">
        <w:rPr>
          <w:rFonts w:ascii="Times New Roman" w:hAnsi="Times New Roman"/>
          <w:sz w:val="24"/>
          <w:szCs w:val="24"/>
          <w:lang w:val="en-GB"/>
        </w:rPr>
        <w:t>Figure 2</w:t>
      </w:r>
      <w:r>
        <w:rPr>
          <w:rFonts w:ascii="Times New Roman" w:hAnsi="Times New Roman"/>
          <w:sz w:val="24"/>
          <w:szCs w:val="24"/>
          <w:lang w:val="en-GB"/>
        </w:rPr>
        <w:t xml:space="preserve">), the presence of the chimaeric </w:t>
      </w:r>
      <w:r w:rsidRPr="009F39A6">
        <w:rPr>
          <w:rFonts w:ascii="Times New Roman" w:hAnsi="Times New Roman"/>
          <w:i/>
          <w:sz w:val="24"/>
          <w:szCs w:val="24"/>
          <w:lang w:val="en-GB"/>
        </w:rPr>
        <w:t>CYP11B1/CYP11B2</w:t>
      </w:r>
      <w:r>
        <w:rPr>
          <w:rFonts w:ascii="Times New Roman" w:hAnsi="Times New Roman"/>
          <w:sz w:val="24"/>
          <w:szCs w:val="24"/>
          <w:lang w:val="en-GB"/>
        </w:rPr>
        <w:t xml:space="preserve"> gene was excluded by long PCR </w:t>
      </w:r>
      <w:r w:rsidR="00831DB8">
        <w:rPr>
          <w:rFonts w:ascii="Times New Roman" w:hAnsi="Times New Roman"/>
          <w:sz w:val="24"/>
          <w:szCs w:val="24"/>
          <w:lang w:val="en-GB"/>
        </w:rPr>
        <w:fldChar w:fldCharType="begin" w:fldLock="1"/>
      </w:r>
      <w:r w:rsidR="00831DB8">
        <w:rPr>
          <w:rFonts w:ascii="Times New Roman" w:hAnsi="Times New Roman"/>
          <w:sz w:val="24"/>
          <w:szCs w:val="24"/>
          <w:lang w:val="en-GB"/>
        </w:rPr>
        <w:instrText>ADDIN CSL_CITATION { "citationItems" : [ { "id" : "ITEM-1", "itemData" : { "DOI" : "0021-972X/98/$03.00/0", "ISSN" : "0021972X", "PMID" : "9814482", "abstract" : "CYP11B1 (11beta-hydroxylase) and CYP11B2 (aldosterone synthase) are 93% identical mitochondrial enzymes that both catalyze 11beta-hydroxylation of steroid hormones. CYP11B2 has the additional 18-hydroxylase and 18-oxidase activities required for conversion of 11-deoxycorticosterone to aldosterone. These two additional C18 conversions can be catalyzed by CYP11B1 if serine-288 and valine-320 are replaced by the corresponding CYP11B2 residues, glycine and alanine. Here we show that such a hybrid enzyme also catalyzes conversion of 11-deoxycortisol to cortisol, 18-hydroxycortisol, and 18-oxocortisol. These latter two steroids are present at elevated levels in individuals with glucocorticoid suppressible hyperaldosteronism (GSH) and some forms of primary aldosteronism. Their production by the recombinant CYP11B enzyme is enhanced by substitution of further amino acids encoded in exons 4, 5, and 6 of CYP11B2. A converted CYP11B1 gene, containing these exons from CYP11B2, would be regulated like CYP11B1, yet encode an enzyme with the activities of CYP11B2, thus causing GSH or essential hypertension. In a sample of 103 low renin hypertensive patients, 218 patients with primary aldosteronism, and 90 normotensive individuals, we found a high level of conversion of CYP11B genes and four cases of GSH caused by unequal crossing over but no gene conversions of the type expected to cause GSH.", "author" : [ { "dropping-particle" : "", "family" : "Mulatero", "given" : "P.", "non-dropping-particle" : "", "parse-names" : false, "suffix" : "" }, { "dropping-particle" : "", "family" : "Curnow", "given" : "K. M.", "non-dropping-particle" : "", "parse-names" : false, "suffix" : "" }, { "dropping-particle" : "", "family" : "Aupetit-Faisant", "given" : "B.", "non-dropping-particle" : "", "parse-names" : false, "suffix" : "" }, { "dropping-particle" : "", "family" : "Foekling", "given" : "M.", "non-dropping-particle" : "", "parse-names" : false, "suffix" : "" }, { "dropping-particle" : "", "family" : "Gomez-Sanchez", "given" : "C.", "non-dropping-particle" : "", "parse-names" : false, "suffix" : "" }, { "dropping-particle" : "", "family" : "Veglio", "given" : "F.", "non-dropping-particle" : "", "parse-names" : false, "suffix" : "" }, { "dropping-particle" : "", "family" : "Jeunemaitre", "given" : "X.", "non-dropping-particle" : "", "parse-names" : false, "suffix" : "" }, { "dropping-particle" : "", "family" : "Corvol", "given" : "P.", "non-dropping-particle" : "", "parse-names" : false, "suffix" : "" }, { "dropping-particle" : "", "family" : "Pascoe", "given" : "L.", "non-dropping-particle" : "", "parse-names" : false, "suffix" : "" } ], "container-title" : "Journal of Clinical Endocrinology and Metabolism", "id" : "ITEM-1", "issue" : "11", "issued" : { "date-parts" : [ [ "1998" ] ] }, "page" : "3996-4001", "title" : "Recombinant CYP11B genes encode enzymes that can catalyze conversion of 11-deoxycortisol to cortisol, 18-hydroxycortisol, and 18-oxocortisol", "type" : "article-journal", "volume" : "83" }, "uris" : [ "http://www.mendeley.com/documents/?uuid=4b01e3b9-6ab3-4b1b-86e3-18529f1b08ec" ] } ], "mendeley" : { "formattedCitation" : "(8)", "plainTextFormattedCitation" : "(8)", "previouslyFormattedCitation" : "(8)" }, "properties" : { "noteIndex" : 0 }, "schema" : "https://github.com/citation-style-language/schema/raw/master/csl-citation.json" }</w:instrText>
      </w:r>
      <w:r w:rsidR="00831DB8">
        <w:rPr>
          <w:rFonts w:ascii="Times New Roman" w:hAnsi="Times New Roman"/>
          <w:sz w:val="24"/>
          <w:szCs w:val="24"/>
          <w:lang w:val="en-GB"/>
        </w:rPr>
        <w:fldChar w:fldCharType="separate"/>
      </w:r>
      <w:r w:rsidR="00831DB8" w:rsidRPr="00831DB8">
        <w:rPr>
          <w:rFonts w:ascii="Times New Roman" w:hAnsi="Times New Roman"/>
          <w:noProof/>
          <w:sz w:val="24"/>
          <w:szCs w:val="24"/>
          <w:lang w:val="en-GB"/>
        </w:rPr>
        <w:t>(8)</w:t>
      </w:r>
      <w:r w:rsidR="00831DB8">
        <w:rPr>
          <w:rFonts w:ascii="Times New Roman" w:hAnsi="Times New Roman"/>
          <w:sz w:val="24"/>
          <w:szCs w:val="24"/>
          <w:lang w:val="en-GB"/>
        </w:rPr>
        <w:fldChar w:fldCharType="end"/>
      </w:r>
      <w:r>
        <w:rPr>
          <w:rFonts w:ascii="Times New Roman" w:hAnsi="Times New Roman"/>
          <w:sz w:val="24"/>
          <w:szCs w:val="24"/>
          <w:lang w:val="en-GB"/>
        </w:rPr>
        <w:t>.</w:t>
      </w:r>
    </w:p>
    <w:p w14:paraId="3AC468AE" w14:textId="77777777" w:rsidR="007143EE" w:rsidRDefault="007143EE" w:rsidP="003C4D79">
      <w:pPr>
        <w:spacing w:line="480" w:lineRule="auto"/>
        <w:jc w:val="both"/>
        <w:rPr>
          <w:rFonts w:ascii="Times New Roman" w:hAnsi="Times New Roman"/>
          <w:sz w:val="24"/>
          <w:szCs w:val="24"/>
          <w:lang w:val="en-GB"/>
        </w:rPr>
      </w:pPr>
    </w:p>
    <w:p w14:paraId="3AC468AF" w14:textId="77777777" w:rsidR="007143EE" w:rsidRDefault="007143EE" w:rsidP="00F3233B">
      <w:pPr>
        <w:spacing w:line="480" w:lineRule="auto"/>
        <w:jc w:val="both"/>
        <w:rPr>
          <w:rFonts w:ascii="Times New Roman" w:hAnsi="Times New Roman"/>
          <w:b/>
          <w:sz w:val="24"/>
          <w:szCs w:val="24"/>
          <w:lang w:val="en-GB"/>
        </w:rPr>
      </w:pPr>
      <w:r w:rsidRPr="00397896">
        <w:rPr>
          <w:rFonts w:ascii="Times New Roman" w:hAnsi="Times New Roman"/>
          <w:b/>
          <w:sz w:val="24"/>
          <w:szCs w:val="24"/>
          <w:lang w:val="en-GB"/>
        </w:rPr>
        <w:t>Conclusion</w:t>
      </w:r>
      <w:r>
        <w:rPr>
          <w:rFonts w:ascii="Times New Roman" w:hAnsi="Times New Roman"/>
          <w:b/>
          <w:sz w:val="24"/>
          <w:szCs w:val="24"/>
          <w:lang w:val="en-GB"/>
        </w:rPr>
        <w:t>s</w:t>
      </w:r>
    </w:p>
    <w:p w14:paraId="3AC468B0" w14:textId="77777777" w:rsidR="007143EE" w:rsidRDefault="007143EE" w:rsidP="00176866">
      <w:pPr>
        <w:spacing w:line="480" w:lineRule="auto"/>
        <w:jc w:val="both"/>
        <w:rPr>
          <w:rFonts w:ascii="Times New Roman" w:hAnsi="Times New Roman"/>
          <w:sz w:val="24"/>
          <w:szCs w:val="24"/>
          <w:lang w:val="en-GB"/>
        </w:rPr>
      </w:pPr>
      <w:r>
        <w:rPr>
          <w:rFonts w:ascii="Times New Roman" w:hAnsi="Times New Roman"/>
          <w:sz w:val="24"/>
          <w:szCs w:val="24"/>
          <w:lang w:val="en-GB"/>
        </w:rPr>
        <w:t>FH-III is a rare and clinical heterogeneous form of genetic hyperaldosteronism caused by germline mutations affecting the selectivity filter of the K</w:t>
      </w:r>
      <w:r>
        <w:rPr>
          <w:rFonts w:ascii="Times New Roman" w:hAnsi="Times New Roman"/>
          <w:sz w:val="24"/>
          <w:szCs w:val="24"/>
          <w:vertAlign w:val="superscript"/>
          <w:lang w:val="en-GB"/>
        </w:rPr>
        <w:t>+</w:t>
      </w:r>
      <w:r>
        <w:rPr>
          <w:rFonts w:ascii="Times New Roman" w:hAnsi="Times New Roman"/>
          <w:sz w:val="24"/>
          <w:szCs w:val="24"/>
          <w:lang w:val="en-GB"/>
        </w:rPr>
        <w:t xml:space="preserve"> channel GIRK4 (encoded by the </w:t>
      </w:r>
      <w:r w:rsidRPr="000E6497">
        <w:rPr>
          <w:rFonts w:ascii="Times New Roman" w:hAnsi="Times New Roman"/>
          <w:i/>
          <w:sz w:val="24"/>
          <w:szCs w:val="24"/>
          <w:lang w:val="en-GB"/>
        </w:rPr>
        <w:t>KCNJ5</w:t>
      </w:r>
      <w:r>
        <w:rPr>
          <w:rFonts w:ascii="Times New Roman" w:hAnsi="Times New Roman"/>
          <w:sz w:val="24"/>
          <w:szCs w:val="24"/>
          <w:lang w:val="en-GB"/>
        </w:rPr>
        <w:t xml:space="preserve"> gene). In the majority of the patients, the disorder presents with early onset PA, polyuria, polydipsia, hypokalemia and severe resistant hypertension requiring bilateral adrenalectomy to control blood pressure. However, a mild presentation characterized by hypertension and hypokalemia well controlled by medical therapy has also been reported. Until recently, the different clinical phenotypes in FH-III patients were attributed to the degree of the electrophysiological effects induced by the germline mutations responsible of the disease, with a clear-cut genotype phenotype correlation. Nevertheless, a FH-III patient, carrying the Gly151Arg mutation, predictive of a severe phenotype, displayed a good response to spironolactone therapy, indicating that other genetic or epigenetic factors might influence the different clinical presentations observed in FH-III patients. Herein, we report a new FH-</w:t>
      </w:r>
      <w:r w:rsidRPr="00176866">
        <w:rPr>
          <w:rFonts w:ascii="Times New Roman" w:hAnsi="Times New Roman"/>
          <w:sz w:val="24"/>
          <w:szCs w:val="24"/>
          <w:lang w:val="en-GB"/>
        </w:rPr>
        <w:t xml:space="preserve">III case, due to a Gly151Arg mutation, presenting in infancy with symptoms of diabetes insipidus and </w:t>
      </w:r>
      <w:r w:rsidRPr="00E6402E">
        <w:rPr>
          <w:rFonts w:ascii="Times New Roman" w:hAnsi="Times New Roman"/>
          <w:sz w:val="24"/>
          <w:szCs w:val="24"/>
          <w:lang w:val="en-GB"/>
        </w:rPr>
        <w:t>requiring adrenalectomy on one side and partial adrenalectomy</w:t>
      </w:r>
      <w:r w:rsidRPr="00176866">
        <w:rPr>
          <w:rFonts w:ascii="Times New Roman" w:hAnsi="Times New Roman"/>
          <w:sz w:val="24"/>
          <w:szCs w:val="24"/>
          <w:lang w:val="en-GB"/>
        </w:rPr>
        <w:t xml:space="preserve"> on the other side, further expanding our knowledge of</w:t>
      </w:r>
      <w:r>
        <w:rPr>
          <w:rFonts w:ascii="Times New Roman" w:hAnsi="Times New Roman"/>
          <w:sz w:val="24"/>
          <w:szCs w:val="24"/>
          <w:lang w:val="en-GB"/>
        </w:rPr>
        <w:t xml:space="preserve"> this rare condition. In conclusion, additional studies are warranted to further elucidate the prevalence and the clinical spectrum of FH-III, including the molecular mechanisms responsible, in some patients, for massive adrenal hyperplasia and overproduction of hybrid steroids.</w:t>
      </w:r>
    </w:p>
    <w:p w14:paraId="3AC468B1" w14:textId="77777777" w:rsidR="007143EE" w:rsidRDefault="007143EE" w:rsidP="00277E61">
      <w:pPr>
        <w:spacing w:line="480" w:lineRule="auto"/>
        <w:jc w:val="both"/>
        <w:rPr>
          <w:rFonts w:ascii="Times New Roman" w:hAnsi="Times New Roman"/>
          <w:sz w:val="24"/>
          <w:szCs w:val="24"/>
          <w:lang w:val="en-GB"/>
        </w:rPr>
      </w:pPr>
    </w:p>
    <w:p w14:paraId="3AC468B2" w14:textId="77777777" w:rsidR="007143EE" w:rsidRPr="0002125D" w:rsidRDefault="007143EE" w:rsidP="00AE1977">
      <w:pPr>
        <w:spacing w:line="480" w:lineRule="auto"/>
        <w:jc w:val="both"/>
        <w:rPr>
          <w:rFonts w:ascii="Times New Roman" w:hAnsi="Times New Roman"/>
          <w:b/>
          <w:sz w:val="24"/>
          <w:szCs w:val="24"/>
          <w:lang w:val="en-GB"/>
        </w:rPr>
      </w:pPr>
      <w:r w:rsidRPr="0002125D">
        <w:rPr>
          <w:rFonts w:ascii="Times New Roman" w:hAnsi="Times New Roman"/>
          <w:b/>
          <w:sz w:val="24"/>
          <w:szCs w:val="24"/>
          <w:lang w:val="en-GB"/>
        </w:rPr>
        <w:t>Search strategy</w:t>
      </w:r>
    </w:p>
    <w:p w14:paraId="3AC468B3" w14:textId="77777777" w:rsidR="007143EE" w:rsidRDefault="007143EE" w:rsidP="00AE1977">
      <w:pPr>
        <w:spacing w:line="480" w:lineRule="auto"/>
        <w:jc w:val="both"/>
        <w:rPr>
          <w:rFonts w:ascii="Times New Roman" w:hAnsi="Times New Roman"/>
          <w:sz w:val="24"/>
          <w:szCs w:val="24"/>
          <w:lang w:val="en-GB"/>
        </w:rPr>
      </w:pPr>
      <w:r w:rsidRPr="0002125D">
        <w:rPr>
          <w:rFonts w:ascii="Times New Roman" w:hAnsi="Times New Roman"/>
          <w:sz w:val="24"/>
          <w:szCs w:val="24"/>
          <w:lang w:val="en-GB"/>
        </w:rPr>
        <w:t>We performed a literature search o</w:t>
      </w:r>
      <w:r>
        <w:rPr>
          <w:rFonts w:ascii="Times New Roman" w:hAnsi="Times New Roman"/>
          <w:sz w:val="24"/>
          <w:szCs w:val="24"/>
          <w:lang w:val="en-GB"/>
        </w:rPr>
        <w:t>f articles published in English</w:t>
      </w:r>
      <w:r w:rsidRPr="0002125D">
        <w:rPr>
          <w:rFonts w:ascii="Times New Roman" w:hAnsi="Times New Roman"/>
          <w:sz w:val="24"/>
          <w:szCs w:val="24"/>
          <w:lang w:val="en-GB"/>
        </w:rPr>
        <w:t xml:space="preserve"> using PubMed Database. The</w:t>
      </w:r>
      <w:r>
        <w:rPr>
          <w:rFonts w:ascii="Times New Roman" w:hAnsi="Times New Roman"/>
          <w:sz w:val="24"/>
          <w:szCs w:val="24"/>
          <w:lang w:val="en-GB"/>
        </w:rPr>
        <w:t xml:space="preserve"> key words used were “familial </w:t>
      </w:r>
      <w:r w:rsidRPr="0002125D">
        <w:rPr>
          <w:rFonts w:ascii="Times New Roman" w:hAnsi="Times New Roman"/>
          <w:sz w:val="24"/>
          <w:szCs w:val="24"/>
          <w:lang w:val="en-GB"/>
        </w:rPr>
        <w:t>hyperaldosteronism” and “</w:t>
      </w:r>
      <w:r w:rsidRPr="00F03A94">
        <w:rPr>
          <w:rFonts w:ascii="Times New Roman" w:hAnsi="Times New Roman"/>
          <w:i/>
          <w:sz w:val="24"/>
          <w:szCs w:val="24"/>
          <w:lang w:val="en-GB"/>
        </w:rPr>
        <w:t>KCNJ5</w:t>
      </w:r>
      <w:r>
        <w:rPr>
          <w:rFonts w:ascii="Times New Roman" w:hAnsi="Times New Roman"/>
          <w:sz w:val="24"/>
          <w:szCs w:val="24"/>
          <w:lang w:val="en-GB"/>
        </w:rPr>
        <w:t>”</w:t>
      </w:r>
      <w:r w:rsidRPr="0002125D">
        <w:rPr>
          <w:rFonts w:ascii="Times New Roman" w:hAnsi="Times New Roman"/>
          <w:sz w:val="24"/>
          <w:szCs w:val="24"/>
          <w:lang w:val="en-GB"/>
        </w:rPr>
        <w:t>. We took in consideration those articles that concerned the aim of this review.</w:t>
      </w:r>
    </w:p>
    <w:p w14:paraId="3AC468B4" w14:textId="77777777" w:rsidR="007143EE" w:rsidRDefault="00D82520" w:rsidP="00437C9C">
      <w:pPr>
        <w:spacing w:line="480" w:lineRule="auto"/>
        <w:jc w:val="both"/>
        <w:rPr>
          <w:rFonts w:ascii="Times New Roman" w:hAnsi="Times New Roman"/>
          <w:b/>
          <w:sz w:val="24"/>
          <w:szCs w:val="24"/>
          <w:lang w:val="en-GB"/>
        </w:rPr>
      </w:pPr>
      <w:r>
        <w:rPr>
          <w:rFonts w:ascii="Times New Roman" w:hAnsi="Times New Roman"/>
          <w:b/>
          <w:sz w:val="24"/>
          <w:szCs w:val="24"/>
          <w:lang w:val="en-GB"/>
        </w:rPr>
        <w:t>References</w:t>
      </w:r>
    </w:p>
    <w:p w14:paraId="3AC468B5" w14:textId="77777777" w:rsidR="000E07F4" w:rsidRPr="000E07F4" w:rsidRDefault="00831DB8" w:rsidP="000E07F4">
      <w:pPr>
        <w:widowControl w:val="0"/>
        <w:autoSpaceDE w:val="0"/>
        <w:autoSpaceDN w:val="0"/>
        <w:adjustRightInd w:val="0"/>
        <w:spacing w:line="480" w:lineRule="auto"/>
        <w:ind w:left="640" w:hanging="640"/>
        <w:rPr>
          <w:rFonts w:ascii="Times New Roman" w:hAnsi="Times New Roman"/>
          <w:noProof/>
          <w:sz w:val="24"/>
          <w:szCs w:val="24"/>
        </w:rPr>
      </w:pPr>
      <w:r>
        <w:rPr>
          <w:rFonts w:ascii="Times New Roman" w:hAnsi="Times New Roman"/>
          <w:b/>
          <w:sz w:val="24"/>
          <w:szCs w:val="24"/>
          <w:lang w:val="en-GB"/>
        </w:rPr>
        <w:fldChar w:fldCharType="begin" w:fldLock="1"/>
      </w:r>
      <w:r>
        <w:rPr>
          <w:rFonts w:ascii="Times New Roman" w:hAnsi="Times New Roman"/>
          <w:b/>
          <w:sz w:val="24"/>
          <w:szCs w:val="24"/>
          <w:lang w:val="en-GB"/>
        </w:rPr>
        <w:instrText xml:space="preserve">ADDIN Mendeley Bibliography CSL_BIBLIOGRAPHY </w:instrText>
      </w:r>
      <w:r>
        <w:rPr>
          <w:rFonts w:ascii="Times New Roman" w:hAnsi="Times New Roman"/>
          <w:b/>
          <w:sz w:val="24"/>
          <w:szCs w:val="24"/>
          <w:lang w:val="en-GB"/>
        </w:rPr>
        <w:fldChar w:fldCharType="separate"/>
      </w:r>
      <w:r w:rsidR="000E07F4" w:rsidRPr="000E07F4">
        <w:rPr>
          <w:rFonts w:ascii="Times New Roman" w:hAnsi="Times New Roman"/>
          <w:noProof/>
          <w:sz w:val="24"/>
          <w:szCs w:val="24"/>
        </w:rPr>
        <w:t xml:space="preserve">1. </w:t>
      </w:r>
      <w:r w:rsidR="000E07F4" w:rsidRPr="000E07F4">
        <w:rPr>
          <w:rFonts w:ascii="Times New Roman" w:hAnsi="Times New Roman"/>
          <w:noProof/>
          <w:sz w:val="24"/>
          <w:szCs w:val="24"/>
        </w:rPr>
        <w:tab/>
        <w:t xml:space="preserve">Käyser SC, Dekkers T, Groenewoud HJ, van der Wilt GJ, Carel Bakx J, van der Wel MC, </w:t>
      </w:r>
      <w:r w:rsidR="000E07F4" w:rsidRPr="00F4098D">
        <w:rPr>
          <w:rFonts w:ascii="Times New Roman" w:hAnsi="Times New Roman"/>
          <w:i/>
          <w:noProof/>
          <w:sz w:val="24"/>
          <w:szCs w:val="24"/>
        </w:rPr>
        <w:t>et al.</w:t>
      </w:r>
      <w:r w:rsidR="000E07F4" w:rsidRPr="000E07F4">
        <w:rPr>
          <w:rFonts w:ascii="Times New Roman" w:hAnsi="Times New Roman"/>
          <w:noProof/>
          <w:sz w:val="24"/>
          <w:szCs w:val="24"/>
        </w:rPr>
        <w:t xml:space="preserve"> Study </w:t>
      </w:r>
      <w:r w:rsidR="00B84B87">
        <w:rPr>
          <w:rFonts w:ascii="Times New Roman" w:hAnsi="Times New Roman"/>
          <w:noProof/>
          <w:sz w:val="24"/>
          <w:szCs w:val="24"/>
        </w:rPr>
        <w:t>h</w:t>
      </w:r>
      <w:r w:rsidR="000E07F4" w:rsidRPr="000E07F4">
        <w:rPr>
          <w:rFonts w:ascii="Times New Roman" w:hAnsi="Times New Roman"/>
          <w:noProof/>
          <w:sz w:val="24"/>
          <w:szCs w:val="24"/>
        </w:rPr>
        <w:t xml:space="preserve">eterogeneity and </w:t>
      </w:r>
      <w:r w:rsidR="00B84B87">
        <w:rPr>
          <w:rFonts w:ascii="Times New Roman" w:hAnsi="Times New Roman"/>
          <w:noProof/>
          <w:sz w:val="24"/>
          <w:szCs w:val="24"/>
        </w:rPr>
        <w:t>e</w:t>
      </w:r>
      <w:r w:rsidR="000E07F4" w:rsidRPr="000E07F4">
        <w:rPr>
          <w:rFonts w:ascii="Times New Roman" w:hAnsi="Times New Roman"/>
          <w:noProof/>
          <w:sz w:val="24"/>
          <w:szCs w:val="24"/>
        </w:rPr>
        <w:t xml:space="preserve">stimation of </w:t>
      </w:r>
      <w:r w:rsidR="00B84B87">
        <w:rPr>
          <w:rFonts w:ascii="Times New Roman" w:hAnsi="Times New Roman"/>
          <w:noProof/>
          <w:sz w:val="24"/>
          <w:szCs w:val="24"/>
        </w:rPr>
        <w:t>p</w:t>
      </w:r>
      <w:r w:rsidR="000E07F4" w:rsidRPr="000E07F4">
        <w:rPr>
          <w:rFonts w:ascii="Times New Roman" w:hAnsi="Times New Roman"/>
          <w:noProof/>
          <w:sz w:val="24"/>
          <w:szCs w:val="24"/>
        </w:rPr>
        <w:t xml:space="preserve">revalence of </w:t>
      </w:r>
      <w:r w:rsidR="00B84B87">
        <w:rPr>
          <w:rFonts w:ascii="Times New Roman" w:hAnsi="Times New Roman"/>
          <w:noProof/>
          <w:sz w:val="24"/>
          <w:szCs w:val="24"/>
        </w:rPr>
        <w:t>p</w:t>
      </w:r>
      <w:r w:rsidR="000E07F4" w:rsidRPr="000E07F4">
        <w:rPr>
          <w:rFonts w:ascii="Times New Roman" w:hAnsi="Times New Roman"/>
          <w:noProof/>
          <w:sz w:val="24"/>
          <w:szCs w:val="24"/>
        </w:rPr>
        <w:t xml:space="preserve">rimary </w:t>
      </w:r>
      <w:r w:rsidR="00B84B87">
        <w:rPr>
          <w:rFonts w:ascii="Times New Roman" w:hAnsi="Times New Roman"/>
          <w:noProof/>
          <w:sz w:val="24"/>
          <w:szCs w:val="24"/>
        </w:rPr>
        <w:t>a</w:t>
      </w:r>
      <w:r w:rsidR="000E07F4" w:rsidRPr="000E07F4">
        <w:rPr>
          <w:rFonts w:ascii="Times New Roman" w:hAnsi="Times New Roman"/>
          <w:noProof/>
          <w:sz w:val="24"/>
          <w:szCs w:val="24"/>
        </w:rPr>
        <w:t xml:space="preserve">ldosteronism: a </w:t>
      </w:r>
      <w:r w:rsidR="00B84B87">
        <w:rPr>
          <w:rFonts w:ascii="Times New Roman" w:hAnsi="Times New Roman"/>
          <w:noProof/>
          <w:sz w:val="24"/>
          <w:szCs w:val="24"/>
        </w:rPr>
        <w:t>s</w:t>
      </w:r>
      <w:r w:rsidR="000E07F4" w:rsidRPr="000E07F4">
        <w:rPr>
          <w:rFonts w:ascii="Times New Roman" w:hAnsi="Times New Roman"/>
          <w:noProof/>
          <w:sz w:val="24"/>
          <w:szCs w:val="24"/>
        </w:rPr>
        <w:t xml:space="preserve">ystematic </w:t>
      </w:r>
      <w:r w:rsidR="00B84B87">
        <w:rPr>
          <w:rFonts w:ascii="Times New Roman" w:hAnsi="Times New Roman"/>
          <w:noProof/>
          <w:sz w:val="24"/>
          <w:szCs w:val="24"/>
        </w:rPr>
        <w:t>r</w:t>
      </w:r>
      <w:r w:rsidR="000E07F4" w:rsidRPr="000E07F4">
        <w:rPr>
          <w:rFonts w:ascii="Times New Roman" w:hAnsi="Times New Roman"/>
          <w:noProof/>
          <w:sz w:val="24"/>
          <w:szCs w:val="24"/>
        </w:rPr>
        <w:t xml:space="preserve">eview and </w:t>
      </w:r>
      <w:r w:rsidR="00B84B87">
        <w:rPr>
          <w:rFonts w:ascii="Times New Roman" w:hAnsi="Times New Roman"/>
          <w:noProof/>
          <w:sz w:val="24"/>
          <w:szCs w:val="24"/>
        </w:rPr>
        <w:t>m</w:t>
      </w:r>
      <w:r w:rsidR="000E07F4" w:rsidRPr="000E07F4">
        <w:rPr>
          <w:rFonts w:ascii="Times New Roman" w:hAnsi="Times New Roman"/>
          <w:noProof/>
          <w:sz w:val="24"/>
          <w:szCs w:val="24"/>
        </w:rPr>
        <w:t xml:space="preserve">eta-regression </w:t>
      </w:r>
      <w:r w:rsidR="00B84B87">
        <w:rPr>
          <w:rFonts w:ascii="Times New Roman" w:hAnsi="Times New Roman"/>
          <w:noProof/>
          <w:sz w:val="24"/>
          <w:szCs w:val="24"/>
        </w:rPr>
        <w:t>a</w:t>
      </w:r>
      <w:r w:rsidR="000E07F4" w:rsidRPr="000E07F4">
        <w:rPr>
          <w:rFonts w:ascii="Times New Roman" w:hAnsi="Times New Roman"/>
          <w:noProof/>
          <w:sz w:val="24"/>
          <w:szCs w:val="24"/>
        </w:rPr>
        <w:t xml:space="preserve">nalysis. </w:t>
      </w:r>
      <w:r w:rsidR="000E16E8" w:rsidRPr="00F4098D">
        <w:rPr>
          <w:rFonts w:ascii="Times New Roman" w:hAnsi="Times New Roman"/>
          <w:i/>
          <w:noProof/>
          <w:sz w:val="24"/>
          <w:szCs w:val="24"/>
        </w:rPr>
        <w:t>J Clin Endocrinol Metab</w:t>
      </w:r>
      <w:r w:rsidR="000E16E8" w:rsidRPr="000E16E8">
        <w:rPr>
          <w:rFonts w:ascii="Times New Roman" w:hAnsi="Times New Roman"/>
          <w:noProof/>
          <w:sz w:val="24"/>
          <w:szCs w:val="24"/>
        </w:rPr>
        <w:t xml:space="preserve"> 2016;</w:t>
      </w:r>
      <w:r w:rsidR="005103E4">
        <w:rPr>
          <w:rFonts w:ascii="Times New Roman" w:hAnsi="Times New Roman"/>
          <w:noProof/>
          <w:sz w:val="24"/>
          <w:szCs w:val="24"/>
        </w:rPr>
        <w:t xml:space="preserve"> </w:t>
      </w:r>
      <w:r w:rsidR="000E16E8" w:rsidRPr="00F4098D">
        <w:rPr>
          <w:rFonts w:ascii="Times New Roman" w:hAnsi="Times New Roman"/>
          <w:b/>
          <w:noProof/>
          <w:sz w:val="24"/>
          <w:szCs w:val="24"/>
        </w:rPr>
        <w:t>101</w:t>
      </w:r>
      <w:r w:rsidR="000E16E8" w:rsidRPr="000E16E8">
        <w:rPr>
          <w:rFonts w:ascii="Times New Roman" w:hAnsi="Times New Roman"/>
          <w:noProof/>
          <w:sz w:val="24"/>
          <w:szCs w:val="24"/>
        </w:rPr>
        <w:t>:</w:t>
      </w:r>
      <w:r w:rsidR="00FA4F5C">
        <w:rPr>
          <w:rFonts w:ascii="Times New Roman" w:hAnsi="Times New Roman"/>
          <w:noProof/>
          <w:sz w:val="24"/>
          <w:szCs w:val="24"/>
        </w:rPr>
        <w:t xml:space="preserve"> </w:t>
      </w:r>
      <w:r w:rsidR="000E16E8" w:rsidRPr="000E16E8">
        <w:rPr>
          <w:rFonts w:ascii="Times New Roman" w:hAnsi="Times New Roman"/>
          <w:noProof/>
          <w:sz w:val="24"/>
          <w:szCs w:val="24"/>
        </w:rPr>
        <w:t>2826-35</w:t>
      </w:r>
      <w:r w:rsidR="00F4098D">
        <w:rPr>
          <w:rFonts w:ascii="Times New Roman" w:hAnsi="Times New Roman"/>
          <w:noProof/>
          <w:sz w:val="24"/>
          <w:szCs w:val="24"/>
        </w:rPr>
        <w:t>.</w:t>
      </w:r>
    </w:p>
    <w:p w14:paraId="3AC468B6"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2. </w:t>
      </w:r>
      <w:r w:rsidRPr="000E07F4">
        <w:rPr>
          <w:rFonts w:ascii="Times New Roman" w:hAnsi="Times New Roman"/>
          <w:noProof/>
          <w:sz w:val="24"/>
          <w:szCs w:val="24"/>
        </w:rPr>
        <w:tab/>
        <w:t xml:space="preserve">Savard S, Amar L, Plouin P-F, Steichen O. Cardiovascular </w:t>
      </w:r>
      <w:r w:rsidR="00B84B87">
        <w:rPr>
          <w:rFonts w:ascii="Times New Roman" w:hAnsi="Times New Roman"/>
          <w:noProof/>
          <w:sz w:val="24"/>
          <w:szCs w:val="24"/>
        </w:rPr>
        <w:t>c</w:t>
      </w:r>
      <w:r w:rsidRPr="000E07F4">
        <w:rPr>
          <w:rFonts w:ascii="Times New Roman" w:hAnsi="Times New Roman"/>
          <w:noProof/>
          <w:sz w:val="24"/>
          <w:szCs w:val="24"/>
        </w:rPr>
        <w:t xml:space="preserve">omplications </w:t>
      </w:r>
      <w:r w:rsidR="00B84B87">
        <w:rPr>
          <w:rFonts w:ascii="Times New Roman" w:hAnsi="Times New Roman"/>
          <w:noProof/>
          <w:sz w:val="24"/>
          <w:szCs w:val="24"/>
        </w:rPr>
        <w:t>a</w:t>
      </w:r>
      <w:r w:rsidRPr="000E07F4">
        <w:rPr>
          <w:rFonts w:ascii="Times New Roman" w:hAnsi="Times New Roman"/>
          <w:noProof/>
          <w:sz w:val="24"/>
          <w:szCs w:val="24"/>
        </w:rPr>
        <w:t xml:space="preserve">ssociated </w:t>
      </w:r>
      <w:r w:rsidR="00B84B87">
        <w:rPr>
          <w:rFonts w:ascii="Times New Roman" w:hAnsi="Times New Roman"/>
          <w:noProof/>
          <w:sz w:val="24"/>
          <w:szCs w:val="24"/>
        </w:rPr>
        <w:t>w</w:t>
      </w:r>
      <w:r w:rsidRPr="000E07F4">
        <w:rPr>
          <w:rFonts w:ascii="Times New Roman" w:hAnsi="Times New Roman"/>
          <w:noProof/>
          <w:sz w:val="24"/>
          <w:szCs w:val="24"/>
        </w:rPr>
        <w:t xml:space="preserve">ith </w:t>
      </w:r>
      <w:r w:rsidR="00B84B87">
        <w:rPr>
          <w:rFonts w:ascii="Times New Roman" w:hAnsi="Times New Roman"/>
          <w:noProof/>
          <w:sz w:val="24"/>
          <w:szCs w:val="24"/>
        </w:rPr>
        <w:t>p</w:t>
      </w:r>
      <w:r w:rsidRPr="000E07F4">
        <w:rPr>
          <w:rFonts w:ascii="Times New Roman" w:hAnsi="Times New Roman"/>
          <w:noProof/>
          <w:sz w:val="24"/>
          <w:szCs w:val="24"/>
        </w:rPr>
        <w:t xml:space="preserve">rimary </w:t>
      </w:r>
      <w:r w:rsidR="00B84B87">
        <w:rPr>
          <w:rFonts w:ascii="Times New Roman" w:hAnsi="Times New Roman"/>
          <w:noProof/>
          <w:sz w:val="24"/>
          <w:szCs w:val="24"/>
        </w:rPr>
        <w:t>a</w:t>
      </w:r>
      <w:r w:rsidRPr="000E07F4">
        <w:rPr>
          <w:rFonts w:ascii="Times New Roman" w:hAnsi="Times New Roman"/>
          <w:noProof/>
          <w:sz w:val="24"/>
          <w:szCs w:val="24"/>
        </w:rPr>
        <w:t xml:space="preserve">ldosteronism: </w:t>
      </w:r>
      <w:r w:rsidR="00B84B87">
        <w:rPr>
          <w:rFonts w:ascii="Times New Roman" w:hAnsi="Times New Roman"/>
          <w:noProof/>
          <w:sz w:val="24"/>
          <w:szCs w:val="24"/>
        </w:rPr>
        <w:t>a</w:t>
      </w:r>
      <w:r w:rsidRPr="000E07F4">
        <w:rPr>
          <w:rFonts w:ascii="Times New Roman" w:hAnsi="Times New Roman"/>
          <w:noProof/>
          <w:sz w:val="24"/>
          <w:szCs w:val="24"/>
        </w:rPr>
        <w:t xml:space="preserve"> </w:t>
      </w:r>
      <w:r w:rsidR="00B84B87">
        <w:rPr>
          <w:rFonts w:ascii="Times New Roman" w:hAnsi="Times New Roman"/>
          <w:noProof/>
          <w:sz w:val="24"/>
          <w:szCs w:val="24"/>
        </w:rPr>
        <w:t>c</w:t>
      </w:r>
      <w:r w:rsidRPr="000E07F4">
        <w:rPr>
          <w:rFonts w:ascii="Times New Roman" w:hAnsi="Times New Roman"/>
          <w:noProof/>
          <w:sz w:val="24"/>
          <w:szCs w:val="24"/>
        </w:rPr>
        <w:t xml:space="preserve">ontrolled </w:t>
      </w:r>
      <w:r w:rsidR="00B84B87">
        <w:rPr>
          <w:rFonts w:ascii="Times New Roman" w:hAnsi="Times New Roman"/>
          <w:noProof/>
          <w:sz w:val="24"/>
          <w:szCs w:val="24"/>
        </w:rPr>
        <w:t>c</w:t>
      </w:r>
      <w:r w:rsidRPr="000E07F4">
        <w:rPr>
          <w:rFonts w:ascii="Times New Roman" w:hAnsi="Times New Roman"/>
          <w:noProof/>
          <w:sz w:val="24"/>
          <w:szCs w:val="24"/>
        </w:rPr>
        <w:t>ross-</w:t>
      </w:r>
      <w:r w:rsidR="00B84B87">
        <w:rPr>
          <w:rFonts w:ascii="Times New Roman" w:hAnsi="Times New Roman"/>
          <w:noProof/>
          <w:sz w:val="24"/>
          <w:szCs w:val="24"/>
        </w:rPr>
        <w:t>s</w:t>
      </w:r>
      <w:r w:rsidRPr="000E07F4">
        <w:rPr>
          <w:rFonts w:ascii="Times New Roman" w:hAnsi="Times New Roman"/>
          <w:noProof/>
          <w:sz w:val="24"/>
          <w:szCs w:val="24"/>
        </w:rPr>
        <w:t xml:space="preserve">ectional </w:t>
      </w:r>
      <w:r w:rsidR="00B84B87">
        <w:rPr>
          <w:rFonts w:ascii="Times New Roman" w:hAnsi="Times New Roman"/>
          <w:noProof/>
          <w:sz w:val="24"/>
          <w:szCs w:val="24"/>
        </w:rPr>
        <w:t>s</w:t>
      </w:r>
      <w:r w:rsidRPr="000E07F4">
        <w:rPr>
          <w:rFonts w:ascii="Times New Roman" w:hAnsi="Times New Roman"/>
          <w:noProof/>
          <w:sz w:val="24"/>
          <w:szCs w:val="24"/>
        </w:rPr>
        <w:t xml:space="preserve">tudy. </w:t>
      </w:r>
      <w:r w:rsidR="000E16E8" w:rsidRPr="00F4098D">
        <w:rPr>
          <w:rFonts w:ascii="Times New Roman" w:hAnsi="Times New Roman"/>
          <w:i/>
          <w:noProof/>
          <w:sz w:val="24"/>
          <w:szCs w:val="24"/>
        </w:rPr>
        <w:t>Hypertension</w:t>
      </w:r>
      <w:r w:rsidR="000E16E8" w:rsidRPr="000E16E8">
        <w:rPr>
          <w:rFonts w:ascii="Times New Roman" w:hAnsi="Times New Roman"/>
          <w:noProof/>
          <w:sz w:val="24"/>
          <w:szCs w:val="24"/>
        </w:rPr>
        <w:t xml:space="preserve"> 2013;</w:t>
      </w:r>
      <w:r w:rsidR="005103E4">
        <w:rPr>
          <w:rFonts w:ascii="Times New Roman" w:hAnsi="Times New Roman"/>
          <w:noProof/>
          <w:sz w:val="24"/>
          <w:szCs w:val="24"/>
        </w:rPr>
        <w:t xml:space="preserve"> </w:t>
      </w:r>
      <w:r w:rsidR="000E16E8" w:rsidRPr="00F4098D">
        <w:rPr>
          <w:rFonts w:ascii="Times New Roman" w:hAnsi="Times New Roman"/>
          <w:b/>
          <w:noProof/>
          <w:sz w:val="24"/>
          <w:szCs w:val="24"/>
        </w:rPr>
        <w:t>62</w:t>
      </w:r>
      <w:r w:rsidR="000E16E8" w:rsidRPr="000E16E8">
        <w:rPr>
          <w:rFonts w:ascii="Times New Roman" w:hAnsi="Times New Roman"/>
          <w:noProof/>
          <w:sz w:val="24"/>
          <w:szCs w:val="24"/>
        </w:rPr>
        <w:t>:</w:t>
      </w:r>
      <w:r w:rsidR="00FA4F5C">
        <w:rPr>
          <w:rFonts w:ascii="Times New Roman" w:hAnsi="Times New Roman"/>
          <w:noProof/>
          <w:sz w:val="24"/>
          <w:szCs w:val="24"/>
        </w:rPr>
        <w:t xml:space="preserve"> </w:t>
      </w:r>
      <w:r w:rsidR="000E16E8" w:rsidRPr="000E16E8">
        <w:rPr>
          <w:rFonts w:ascii="Times New Roman" w:hAnsi="Times New Roman"/>
          <w:noProof/>
          <w:sz w:val="24"/>
          <w:szCs w:val="24"/>
        </w:rPr>
        <w:t>331-6</w:t>
      </w:r>
      <w:r w:rsidR="00F4098D">
        <w:rPr>
          <w:rFonts w:ascii="Times New Roman" w:hAnsi="Times New Roman"/>
          <w:noProof/>
          <w:sz w:val="24"/>
          <w:szCs w:val="24"/>
        </w:rPr>
        <w:t>.</w:t>
      </w:r>
    </w:p>
    <w:p w14:paraId="3AC468B7"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3. </w:t>
      </w:r>
      <w:r w:rsidRPr="000E07F4">
        <w:rPr>
          <w:rFonts w:ascii="Times New Roman" w:hAnsi="Times New Roman"/>
          <w:noProof/>
          <w:sz w:val="24"/>
          <w:szCs w:val="24"/>
        </w:rPr>
        <w:tab/>
        <w:t xml:space="preserve">Mulatero P, Monticone S, Bertello C, Viola A, Tizzani D, Iannaccone A, </w:t>
      </w:r>
      <w:r w:rsidRPr="00F4098D">
        <w:rPr>
          <w:rFonts w:ascii="Times New Roman" w:hAnsi="Times New Roman"/>
          <w:i/>
          <w:noProof/>
          <w:sz w:val="24"/>
          <w:szCs w:val="24"/>
        </w:rPr>
        <w:t>et al.</w:t>
      </w:r>
      <w:r w:rsidRPr="000E07F4">
        <w:rPr>
          <w:rFonts w:ascii="Times New Roman" w:hAnsi="Times New Roman"/>
          <w:noProof/>
          <w:sz w:val="24"/>
          <w:szCs w:val="24"/>
        </w:rPr>
        <w:t xml:space="preserve"> Long-term cardio- and cerebrovascular events in patients with primary aldosteronism. </w:t>
      </w:r>
      <w:r w:rsidRPr="00F4098D">
        <w:rPr>
          <w:rFonts w:ascii="Times New Roman" w:hAnsi="Times New Roman"/>
          <w:i/>
          <w:noProof/>
          <w:sz w:val="24"/>
          <w:szCs w:val="24"/>
        </w:rPr>
        <w:t>J Clin Endocrinol Metab</w:t>
      </w:r>
      <w:r w:rsidRPr="000E07F4">
        <w:rPr>
          <w:rFonts w:ascii="Times New Roman" w:hAnsi="Times New Roman"/>
          <w:noProof/>
          <w:sz w:val="24"/>
          <w:szCs w:val="24"/>
        </w:rPr>
        <w:t xml:space="preserve"> </w:t>
      </w:r>
      <w:r w:rsidR="005103E4" w:rsidRPr="005103E4">
        <w:rPr>
          <w:rFonts w:ascii="Times New Roman" w:hAnsi="Times New Roman"/>
          <w:noProof/>
          <w:sz w:val="24"/>
          <w:szCs w:val="24"/>
        </w:rPr>
        <w:t>2013;</w:t>
      </w:r>
      <w:r w:rsidR="005103E4">
        <w:rPr>
          <w:rFonts w:ascii="Times New Roman" w:hAnsi="Times New Roman"/>
          <w:noProof/>
          <w:sz w:val="24"/>
          <w:szCs w:val="24"/>
        </w:rPr>
        <w:t xml:space="preserve"> </w:t>
      </w:r>
      <w:r w:rsidR="005103E4" w:rsidRPr="00F4098D">
        <w:rPr>
          <w:rFonts w:ascii="Times New Roman" w:hAnsi="Times New Roman"/>
          <w:b/>
          <w:noProof/>
          <w:sz w:val="24"/>
          <w:szCs w:val="24"/>
        </w:rPr>
        <w:t>98</w:t>
      </w:r>
      <w:r w:rsidR="005103E4" w:rsidRPr="005103E4">
        <w:rPr>
          <w:rFonts w:ascii="Times New Roman" w:hAnsi="Times New Roman"/>
          <w:noProof/>
          <w:sz w:val="24"/>
          <w:szCs w:val="24"/>
        </w:rPr>
        <w:t>:</w:t>
      </w:r>
      <w:r w:rsidR="00FA4F5C">
        <w:rPr>
          <w:rFonts w:ascii="Times New Roman" w:hAnsi="Times New Roman"/>
          <w:noProof/>
          <w:sz w:val="24"/>
          <w:szCs w:val="24"/>
        </w:rPr>
        <w:t xml:space="preserve"> </w:t>
      </w:r>
      <w:r w:rsidR="005103E4" w:rsidRPr="005103E4">
        <w:rPr>
          <w:rFonts w:ascii="Times New Roman" w:hAnsi="Times New Roman"/>
          <w:noProof/>
          <w:sz w:val="24"/>
          <w:szCs w:val="24"/>
        </w:rPr>
        <w:t>4826-33</w:t>
      </w:r>
      <w:r w:rsidR="00F4098D">
        <w:rPr>
          <w:rFonts w:ascii="Times New Roman" w:hAnsi="Times New Roman"/>
          <w:noProof/>
          <w:sz w:val="24"/>
          <w:szCs w:val="24"/>
        </w:rPr>
        <w:t>.</w:t>
      </w:r>
    </w:p>
    <w:p w14:paraId="3AC468B8"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4. </w:t>
      </w:r>
      <w:r w:rsidRPr="000E07F4">
        <w:rPr>
          <w:rFonts w:ascii="Times New Roman" w:hAnsi="Times New Roman"/>
          <w:noProof/>
          <w:sz w:val="24"/>
          <w:szCs w:val="24"/>
        </w:rPr>
        <w:tab/>
        <w:t xml:space="preserve">Mulatero P, Milan A, Williams TA, Veglio F. Mineralocorticoid receptor blockade in the protection of target organ damage. </w:t>
      </w:r>
      <w:hyperlink r:id="rId8" w:tooltip="Cardiovascular &amp; hematological agents in medicinal chemistry." w:history="1">
        <w:r w:rsidR="005103E4" w:rsidRPr="00F4098D">
          <w:rPr>
            <w:rStyle w:val="Collegamentoipertestuale"/>
            <w:rFonts w:ascii="Times New Roman" w:hAnsi="Times New Roman"/>
            <w:i/>
            <w:noProof/>
            <w:color w:val="auto"/>
            <w:sz w:val="24"/>
            <w:szCs w:val="24"/>
            <w:u w:val="none"/>
          </w:rPr>
          <w:t>Cardiovasc Hematol Agents Med Chem</w:t>
        </w:r>
      </w:hyperlink>
      <w:r w:rsidR="005103E4" w:rsidRPr="005103E4">
        <w:rPr>
          <w:rFonts w:ascii="Times New Roman" w:hAnsi="Times New Roman"/>
          <w:noProof/>
          <w:sz w:val="24"/>
          <w:szCs w:val="24"/>
        </w:rPr>
        <w:t> 2006;</w:t>
      </w:r>
      <w:r w:rsidR="005103E4" w:rsidRPr="00F4098D">
        <w:rPr>
          <w:rFonts w:ascii="Times New Roman" w:hAnsi="Times New Roman"/>
          <w:b/>
          <w:noProof/>
          <w:sz w:val="24"/>
          <w:szCs w:val="24"/>
        </w:rPr>
        <w:t xml:space="preserve"> 4</w:t>
      </w:r>
      <w:r w:rsidR="005103E4" w:rsidRPr="005103E4">
        <w:rPr>
          <w:rFonts w:ascii="Times New Roman" w:hAnsi="Times New Roman"/>
          <w:noProof/>
          <w:sz w:val="24"/>
          <w:szCs w:val="24"/>
        </w:rPr>
        <w:t>:</w:t>
      </w:r>
      <w:r w:rsidR="00FA4F5C">
        <w:rPr>
          <w:rFonts w:ascii="Times New Roman" w:hAnsi="Times New Roman"/>
          <w:noProof/>
          <w:sz w:val="24"/>
          <w:szCs w:val="24"/>
        </w:rPr>
        <w:t xml:space="preserve"> </w:t>
      </w:r>
      <w:r w:rsidR="005103E4" w:rsidRPr="005103E4">
        <w:rPr>
          <w:rFonts w:ascii="Times New Roman" w:hAnsi="Times New Roman"/>
          <w:noProof/>
          <w:sz w:val="24"/>
          <w:szCs w:val="24"/>
        </w:rPr>
        <w:t>75-91</w:t>
      </w:r>
      <w:r w:rsidR="00F4098D">
        <w:rPr>
          <w:rFonts w:ascii="Times New Roman" w:hAnsi="Times New Roman"/>
          <w:noProof/>
          <w:sz w:val="24"/>
          <w:szCs w:val="24"/>
        </w:rPr>
        <w:t>.</w:t>
      </w:r>
    </w:p>
    <w:p w14:paraId="3AC468B9"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5. </w:t>
      </w:r>
      <w:r w:rsidRPr="000E07F4">
        <w:rPr>
          <w:rFonts w:ascii="Times New Roman" w:hAnsi="Times New Roman"/>
          <w:noProof/>
          <w:sz w:val="24"/>
          <w:szCs w:val="24"/>
        </w:rPr>
        <w:tab/>
        <w:t xml:space="preserve">Monticone S, Else T, Mulatero P, Williams TA, Rainey WE. Understanding primary aldosteronism: </w:t>
      </w:r>
      <w:r w:rsidR="00FA4F5C">
        <w:rPr>
          <w:rFonts w:ascii="Times New Roman" w:hAnsi="Times New Roman"/>
          <w:noProof/>
          <w:sz w:val="24"/>
          <w:szCs w:val="24"/>
        </w:rPr>
        <w:t>i</w:t>
      </w:r>
      <w:r w:rsidRPr="000E07F4">
        <w:rPr>
          <w:rFonts w:ascii="Times New Roman" w:hAnsi="Times New Roman"/>
          <w:noProof/>
          <w:sz w:val="24"/>
          <w:szCs w:val="24"/>
        </w:rPr>
        <w:t xml:space="preserve">mpact of next generation sequencing and expression profiling. </w:t>
      </w:r>
      <w:r w:rsidRPr="00F4098D">
        <w:rPr>
          <w:rFonts w:ascii="Times New Roman" w:hAnsi="Times New Roman"/>
          <w:i/>
          <w:noProof/>
          <w:sz w:val="24"/>
          <w:szCs w:val="24"/>
        </w:rPr>
        <w:t>Mol Cell Endocrinol</w:t>
      </w:r>
      <w:r w:rsidRPr="000E07F4">
        <w:rPr>
          <w:rFonts w:ascii="Times New Roman" w:hAnsi="Times New Roman"/>
          <w:noProof/>
          <w:sz w:val="24"/>
          <w:szCs w:val="24"/>
        </w:rPr>
        <w:t xml:space="preserve"> </w:t>
      </w:r>
      <w:r w:rsidR="005103E4" w:rsidRPr="005103E4">
        <w:rPr>
          <w:rFonts w:ascii="Times New Roman" w:hAnsi="Times New Roman"/>
          <w:noProof/>
          <w:sz w:val="24"/>
          <w:szCs w:val="24"/>
        </w:rPr>
        <w:t>2015;</w:t>
      </w:r>
      <w:r w:rsidR="005103E4">
        <w:rPr>
          <w:rFonts w:ascii="Times New Roman" w:hAnsi="Times New Roman"/>
          <w:noProof/>
          <w:sz w:val="24"/>
          <w:szCs w:val="24"/>
        </w:rPr>
        <w:t xml:space="preserve"> </w:t>
      </w:r>
      <w:r w:rsidR="005103E4" w:rsidRPr="00F4098D">
        <w:rPr>
          <w:rFonts w:ascii="Times New Roman" w:hAnsi="Times New Roman"/>
          <w:b/>
          <w:noProof/>
          <w:sz w:val="24"/>
          <w:szCs w:val="24"/>
        </w:rPr>
        <w:t>399</w:t>
      </w:r>
      <w:r w:rsidR="005103E4" w:rsidRPr="005103E4">
        <w:rPr>
          <w:rFonts w:ascii="Times New Roman" w:hAnsi="Times New Roman"/>
          <w:noProof/>
          <w:sz w:val="24"/>
          <w:szCs w:val="24"/>
        </w:rPr>
        <w:t>:</w:t>
      </w:r>
      <w:r w:rsidR="008B3A95">
        <w:rPr>
          <w:rFonts w:ascii="Times New Roman" w:hAnsi="Times New Roman"/>
          <w:noProof/>
          <w:sz w:val="24"/>
          <w:szCs w:val="24"/>
        </w:rPr>
        <w:t xml:space="preserve"> </w:t>
      </w:r>
      <w:r w:rsidR="005103E4" w:rsidRPr="005103E4">
        <w:rPr>
          <w:rFonts w:ascii="Times New Roman" w:hAnsi="Times New Roman"/>
          <w:noProof/>
          <w:sz w:val="24"/>
          <w:szCs w:val="24"/>
        </w:rPr>
        <w:t>311-20</w:t>
      </w:r>
      <w:r w:rsidR="00F4098D">
        <w:rPr>
          <w:rFonts w:ascii="Times New Roman" w:hAnsi="Times New Roman"/>
          <w:noProof/>
          <w:sz w:val="24"/>
          <w:szCs w:val="24"/>
        </w:rPr>
        <w:t>.</w:t>
      </w:r>
    </w:p>
    <w:p w14:paraId="3AC468BA"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6. </w:t>
      </w:r>
      <w:r w:rsidRPr="000E07F4">
        <w:rPr>
          <w:rFonts w:ascii="Times New Roman" w:hAnsi="Times New Roman"/>
          <w:noProof/>
          <w:sz w:val="24"/>
          <w:szCs w:val="24"/>
        </w:rPr>
        <w:tab/>
      </w:r>
      <w:r w:rsidR="005103E4">
        <w:rPr>
          <w:rFonts w:ascii="Times New Roman" w:hAnsi="Times New Roman"/>
          <w:noProof/>
          <w:sz w:val="24"/>
          <w:szCs w:val="24"/>
        </w:rPr>
        <w:t xml:space="preserve">Korah HE, </w:t>
      </w:r>
      <w:r w:rsidRPr="000E07F4">
        <w:rPr>
          <w:rFonts w:ascii="Times New Roman" w:hAnsi="Times New Roman"/>
          <w:noProof/>
          <w:sz w:val="24"/>
          <w:szCs w:val="24"/>
        </w:rPr>
        <w:t>Scholl UI. An update on</w:t>
      </w:r>
      <w:r w:rsidR="005103E4">
        <w:rPr>
          <w:rFonts w:ascii="Times New Roman" w:hAnsi="Times New Roman"/>
          <w:noProof/>
          <w:sz w:val="24"/>
          <w:szCs w:val="24"/>
        </w:rPr>
        <w:t xml:space="preserve"> familial hyperaldosteronism</w:t>
      </w:r>
      <w:r w:rsidRPr="000E07F4">
        <w:rPr>
          <w:rFonts w:ascii="Times New Roman" w:hAnsi="Times New Roman"/>
          <w:noProof/>
          <w:sz w:val="24"/>
          <w:szCs w:val="24"/>
        </w:rPr>
        <w:t>.</w:t>
      </w:r>
      <w:r w:rsidRPr="00F4098D">
        <w:rPr>
          <w:rFonts w:ascii="Times New Roman" w:hAnsi="Times New Roman"/>
          <w:i/>
          <w:noProof/>
          <w:sz w:val="24"/>
          <w:szCs w:val="24"/>
        </w:rPr>
        <w:t xml:space="preserve"> Horm Metab Res</w:t>
      </w:r>
      <w:r w:rsidRPr="000E07F4">
        <w:rPr>
          <w:rFonts w:ascii="Times New Roman" w:hAnsi="Times New Roman"/>
          <w:noProof/>
          <w:sz w:val="24"/>
          <w:szCs w:val="24"/>
        </w:rPr>
        <w:t xml:space="preserve"> 2015;</w:t>
      </w:r>
      <w:r w:rsidR="005103E4" w:rsidRPr="005103E4">
        <w:rPr>
          <w:rFonts w:ascii="Arial" w:hAnsi="Arial" w:cs="Arial"/>
          <w:color w:val="000000"/>
          <w:sz w:val="17"/>
          <w:szCs w:val="17"/>
          <w:shd w:val="clear" w:color="auto" w:fill="FFFFFF"/>
        </w:rPr>
        <w:t xml:space="preserve"> </w:t>
      </w:r>
      <w:r w:rsidR="005103E4" w:rsidRPr="00F4098D">
        <w:rPr>
          <w:rFonts w:ascii="Times New Roman" w:hAnsi="Times New Roman"/>
          <w:b/>
          <w:noProof/>
          <w:sz w:val="24"/>
          <w:szCs w:val="24"/>
        </w:rPr>
        <w:t>47</w:t>
      </w:r>
      <w:r w:rsidR="005103E4" w:rsidRPr="005103E4">
        <w:rPr>
          <w:rFonts w:ascii="Times New Roman" w:hAnsi="Times New Roman"/>
          <w:noProof/>
          <w:sz w:val="24"/>
          <w:szCs w:val="24"/>
        </w:rPr>
        <w:t>:</w:t>
      </w:r>
      <w:r w:rsidR="008B3A95">
        <w:rPr>
          <w:rFonts w:ascii="Times New Roman" w:hAnsi="Times New Roman"/>
          <w:noProof/>
          <w:sz w:val="24"/>
          <w:szCs w:val="24"/>
        </w:rPr>
        <w:t xml:space="preserve"> </w:t>
      </w:r>
      <w:r w:rsidR="005103E4" w:rsidRPr="005103E4">
        <w:rPr>
          <w:rFonts w:ascii="Times New Roman" w:hAnsi="Times New Roman"/>
          <w:noProof/>
          <w:sz w:val="24"/>
          <w:szCs w:val="24"/>
        </w:rPr>
        <w:t>941-6</w:t>
      </w:r>
      <w:r w:rsidRPr="000E07F4">
        <w:rPr>
          <w:rFonts w:ascii="Times New Roman" w:hAnsi="Times New Roman"/>
          <w:noProof/>
          <w:sz w:val="24"/>
          <w:szCs w:val="24"/>
        </w:rPr>
        <w:t xml:space="preserve">. </w:t>
      </w:r>
    </w:p>
    <w:p w14:paraId="3AC468BB"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7. </w:t>
      </w:r>
      <w:r w:rsidRPr="000E07F4">
        <w:rPr>
          <w:rFonts w:ascii="Times New Roman" w:hAnsi="Times New Roman"/>
          <w:noProof/>
          <w:sz w:val="24"/>
          <w:szCs w:val="24"/>
        </w:rPr>
        <w:tab/>
        <w:t xml:space="preserve">Lifton RP, Dluhy RG, Powers M, Rich GM, Cook S, Ulick S, </w:t>
      </w:r>
      <w:r w:rsidRPr="00F4098D">
        <w:rPr>
          <w:rFonts w:ascii="Times New Roman" w:hAnsi="Times New Roman"/>
          <w:i/>
          <w:noProof/>
          <w:sz w:val="24"/>
          <w:szCs w:val="24"/>
        </w:rPr>
        <w:t>et al</w:t>
      </w:r>
      <w:r w:rsidRPr="000E07F4">
        <w:rPr>
          <w:rFonts w:ascii="Times New Roman" w:hAnsi="Times New Roman"/>
          <w:noProof/>
          <w:sz w:val="24"/>
          <w:szCs w:val="24"/>
        </w:rPr>
        <w:t xml:space="preserve">. A chimaeric 11 beta-hydroxylase/aldosterone synthase gene causes glucocorticoid-remediable aldosteronism and human hypertension. </w:t>
      </w:r>
      <w:r w:rsidRPr="00F4098D">
        <w:rPr>
          <w:rFonts w:ascii="Times New Roman" w:hAnsi="Times New Roman"/>
          <w:i/>
          <w:noProof/>
          <w:sz w:val="24"/>
          <w:szCs w:val="24"/>
        </w:rPr>
        <w:t>Nature</w:t>
      </w:r>
      <w:r w:rsidRPr="000E07F4">
        <w:rPr>
          <w:rFonts w:ascii="Times New Roman" w:hAnsi="Times New Roman"/>
          <w:noProof/>
          <w:sz w:val="24"/>
          <w:szCs w:val="24"/>
        </w:rPr>
        <w:t xml:space="preserve"> 1992;</w:t>
      </w:r>
      <w:r w:rsidR="005103E4">
        <w:rPr>
          <w:rFonts w:ascii="Times New Roman" w:hAnsi="Times New Roman"/>
          <w:noProof/>
          <w:sz w:val="24"/>
          <w:szCs w:val="24"/>
        </w:rPr>
        <w:t xml:space="preserve"> </w:t>
      </w:r>
      <w:r w:rsidRPr="00F4098D">
        <w:rPr>
          <w:rFonts w:ascii="Times New Roman" w:hAnsi="Times New Roman"/>
          <w:b/>
          <w:noProof/>
          <w:sz w:val="24"/>
          <w:szCs w:val="24"/>
        </w:rPr>
        <w:t>355</w:t>
      </w:r>
      <w:r w:rsidRPr="000E07F4">
        <w:rPr>
          <w:rFonts w:ascii="Times New Roman" w:hAnsi="Times New Roman"/>
          <w:noProof/>
          <w:sz w:val="24"/>
          <w:szCs w:val="24"/>
        </w:rPr>
        <w:t>:</w:t>
      </w:r>
      <w:r w:rsidR="008B3A95">
        <w:rPr>
          <w:rFonts w:ascii="Times New Roman" w:hAnsi="Times New Roman"/>
          <w:noProof/>
          <w:sz w:val="24"/>
          <w:szCs w:val="24"/>
        </w:rPr>
        <w:t xml:space="preserve"> </w:t>
      </w:r>
      <w:r w:rsidRPr="000E07F4">
        <w:rPr>
          <w:rFonts w:ascii="Times New Roman" w:hAnsi="Times New Roman"/>
          <w:noProof/>
          <w:sz w:val="24"/>
          <w:szCs w:val="24"/>
        </w:rPr>
        <w:t xml:space="preserve">262–5. </w:t>
      </w:r>
    </w:p>
    <w:p w14:paraId="3AC468BC"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8. </w:t>
      </w:r>
      <w:r w:rsidRPr="000E07F4">
        <w:rPr>
          <w:rFonts w:ascii="Times New Roman" w:hAnsi="Times New Roman"/>
          <w:noProof/>
          <w:sz w:val="24"/>
          <w:szCs w:val="24"/>
        </w:rPr>
        <w:tab/>
        <w:t xml:space="preserve">Mulatero P, Curnow KM, Aupetit-Faisant B, Foekling M, Gomez-Sanchez C, Veglio F, </w:t>
      </w:r>
      <w:r w:rsidRPr="00F4098D">
        <w:rPr>
          <w:rFonts w:ascii="Times New Roman" w:hAnsi="Times New Roman"/>
          <w:i/>
          <w:noProof/>
          <w:sz w:val="24"/>
          <w:szCs w:val="24"/>
        </w:rPr>
        <w:t>et al</w:t>
      </w:r>
      <w:r w:rsidRPr="000E07F4">
        <w:rPr>
          <w:rFonts w:ascii="Times New Roman" w:hAnsi="Times New Roman"/>
          <w:noProof/>
          <w:sz w:val="24"/>
          <w:szCs w:val="24"/>
        </w:rPr>
        <w:t xml:space="preserve">. Recombinant CYP11B genes encode enzymes that can catalyze conversion of 11-deoxycortisol to cortisol, 18-hydroxycortisol, and 18-oxocortisol. </w:t>
      </w:r>
      <w:r w:rsidRPr="00F4098D">
        <w:rPr>
          <w:rFonts w:ascii="Times New Roman" w:hAnsi="Times New Roman"/>
          <w:i/>
          <w:noProof/>
          <w:sz w:val="24"/>
          <w:szCs w:val="24"/>
        </w:rPr>
        <w:t>J Clin Endocrinol Metab</w:t>
      </w:r>
      <w:r w:rsidRPr="000E07F4">
        <w:rPr>
          <w:rFonts w:ascii="Times New Roman" w:hAnsi="Times New Roman"/>
          <w:noProof/>
          <w:sz w:val="24"/>
          <w:szCs w:val="24"/>
        </w:rPr>
        <w:t xml:space="preserve"> 1998;</w:t>
      </w:r>
      <w:r w:rsidR="001369F0" w:rsidRPr="00F4098D">
        <w:rPr>
          <w:rFonts w:ascii="Times New Roman" w:hAnsi="Times New Roman"/>
          <w:b/>
          <w:noProof/>
          <w:sz w:val="24"/>
          <w:szCs w:val="24"/>
        </w:rPr>
        <w:t xml:space="preserve"> </w:t>
      </w:r>
      <w:r w:rsidRPr="00F4098D">
        <w:rPr>
          <w:rFonts w:ascii="Times New Roman" w:hAnsi="Times New Roman"/>
          <w:b/>
          <w:noProof/>
          <w:sz w:val="24"/>
          <w:szCs w:val="24"/>
        </w:rPr>
        <w:t>83</w:t>
      </w:r>
      <w:r w:rsidRPr="000E07F4">
        <w:rPr>
          <w:rFonts w:ascii="Times New Roman" w:hAnsi="Times New Roman"/>
          <w:noProof/>
          <w:sz w:val="24"/>
          <w:szCs w:val="24"/>
        </w:rPr>
        <w:t>:</w:t>
      </w:r>
      <w:r w:rsidR="008B3A95">
        <w:rPr>
          <w:rFonts w:ascii="Times New Roman" w:hAnsi="Times New Roman"/>
          <w:noProof/>
          <w:sz w:val="24"/>
          <w:szCs w:val="24"/>
        </w:rPr>
        <w:t xml:space="preserve"> </w:t>
      </w:r>
      <w:r w:rsidRPr="000E07F4">
        <w:rPr>
          <w:rFonts w:ascii="Times New Roman" w:hAnsi="Times New Roman"/>
          <w:noProof/>
          <w:sz w:val="24"/>
          <w:szCs w:val="24"/>
        </w:rPr>
        <w:t xml:space="preserve">3996–4001. </w:t>
      </w:r>
    </w:p>
    <w:p w14:paraId="3AC468BD"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9. </w:t>
      </w:r>
      <w:r w:rsidRPr="000E07F4">
        <w:rPr>
          <w:rFonts w:ascii="Times New Roman" w:hAnsi="Times New Roman"/>
          <w:noProof/>
          <w:sz w:val="24"/>
          <w:szCs w:val="24"/>
        </w:rPr>
        <w:tab/>
        <w:t xml:space="preserve">Stowasser M, Bachmann AW, Huggard PR, Rossetti TR, Gordon RD. Treatment of familial hyperaldosteronism type I: </w:t>
      </w:r>
      <w:r w:rsidR="001369F0">
        <w:rPr>
          <w:rFonts w:ascii="Times New Roman" w:hAnsi="Times New Roman"/>
          <w:noProof/>
          <w:sz w:val="24"/>
          <w:szCs w:val="24"/>
        </w:rPr>
        <w:t>o</w:t>
      </w:r>
      <w:r w:rsidRPr="000E07F4">
        <w:rPr>
          <w:rFonts w:ascii="Times New Roman" w:hAnsi="Times New Roman"/>
          <w:noProof/>
          <w:sz w:val="24"/>
          <w:szCs w:val="24"/>
        </w:rPr>
        <w:t xml:space="preserve">nly partial suppression of adrenocorticotropin required to correct hypertension. </w:t>
      </w:r>
      <w:r w:rsidRPr="00F4098D">
        <w:rPr>
          <w:rFonts w:ascii="Times New Roman" w:hAnsi="Times New Roman"/>
          <w:i/>
          <w:noProof/>
          <w:sz w:val="24"/>
          <w:szCs w:val="24"/>
        </w:rPr>
        <w:t>J Clin Endocrinol Metab</w:t>
      </w:r>
      <w:r w:rsidRPr="000E07F4">
        <w:rPr>
          <w:rFonts w:ascii="Times New Roman" w:hAnsi="Times New Roman"/>
          <w:noProof/>
          <w:sz w:val="24"/>
          <w:szCs w:val="24"/>
        </w:rPr>
        <w:t xml:space="preserve"> 2000;</w:t>
      </w:r>
      <w:r w:rsidR="001369F0">
        <w:rPr>
          <w:rFonts w:ascii="Times New Roman" w:hAnsi="Times New Roman"/>
          <w:noProof/>
          <w:sz w:val="24"/>
          <w:szCs w:val="24"/>
        </w:rPr>
        <w:t xml:space="preserve"> </w:t>
      </w:r>
      <w:r w:rsidRPr="00F4098D">
        <w:rPr>
          <w:rFonts w:ascii="Times New Roman" w:hAnsi="Times New Roman"/>
          <w:b/>
          <w:noProof/>
          <w:sz w:val="24"/>
          <w:szCs w:val="24"/>
        </w:rPr>
        <w:t>85</w:t>
      </w:r>
      <w:r w:rsidRPr="000E07F4">
        <w:rPr>
          <w:rFonts w:ascii="Times New Roman" w:hAnsi="Times New Roman"/>
          <w:noProof/>
          <w:sz w:val="24"/>
          <w:szCs w:val="24"/>
        </w:rPr>
        <w:t>:</w:t>
      </w:r>
      <w:r w:rsidR="008B3A95">
        <w:rPr>
          <w:rFonts w:ascii="Times New Roman" w:hAnsi="Times New Roman"/>
          <w:noProof/>
          <w:sz w:val="24"/>
          <w:szCs w:val="24"/>
        </w:rPr>
        <w:t xml:space="preserve"> </w:t>
      </w:r>
      <w:r w:rsidRPr="000E07F4">
        <w:rPr>
          <w:rFonts w:ascii="Times New Roman" w:hAnsi="Times New Roman"/>
          <w:noProof/>
          <w:sz w:val="24"/>
          <w:szCs w:val="24"/>
        </w:rPr>
        <w:t xml:space="preserve">3313–8. </w:t>
      </w:r>
    </w:p>
    <w:p w14:paraId="3AC468BE" w14:textId="77777777" w:rsidR="00F4098D"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10. </w:t>
      </w:r>
      <w:r w:rsidRPr="000E07F4">
        <w:rPr>
          <w:rFonts w:ascii="Times New Roman" w:hAnsi="Times New Roman"/>
          <w:noProof/>
          <w:sz w:val="24"/>
          <w:szCs w:val="24"/>
        </w:rPr>
        <w:tab/>
        <w:t xml:space="preserve">Gordon RD, Stowasser M, Tunny TJ, Klemm SA, Finn WL, Krek AL. </w:t>
      </w:r>
      <w:r w:rsidR="001369F0">
        <w:rPr>
          <w:rFonts w:ascii="Times New Roman" w:hAnsi="Times New Roman"/>
          <w:noProof/>
          <w:sz w:val="24"/>
          <w:szCs w:val="24"/>
        </w:rPr>
        <w:t>C</w:t>
      </w:r>
      <w:r w:rsidRPr="000E07F4">
        <w:rPr>
          <w:rFonts w:ascii="Times New Roman" w:hAnsi="Times New Roman"/>
          <w:noProof/>
          <w:sz w:val="24"/>
          <w:szCs w:val="24"/>
        </w:rPr>
        <w:t xml:space="preserve">linical </w:t>
      </w:r>
      <w:r w:rsidR="001369F0">
        <w:rPr>
          <w:rFonts w:ascii="Times New Roman" w:hAnsi="Times New Roman"/>
          <w:noProof/>
          <w:sz w:val="24"/>
          <w:szCs w:val="24"/>
        </w:rPr>
        <w:t>a</w:t>
      </w:r>
      <w:r w:rsidRPr="000E07F4">
        <w:rPr>
          <w:rFonts w:ascii="Times New Roman" w:hAnsi="Times New Roman"/>
          <w:noProof/>
          <w:sz w:val="24"/>
          <w:szCs w:val="24"/>
        </w:rPr>
        <w:t xml:space="preserve">nd </w:t>
      </w:r>
      <w:r w:rsidR="001369F0">
        <w:rPr>
          <w:rFonts w:ascii="Times New Roman" w:hAnsi="Times New Roman"/>
          <w:noProof/>
          <w:sz w:val="24"/>
          <w:szCs w:val="24"/>
        </w:rPr>
        <w:t>p</w:t>
      </w:r>
      <w:r w:rsidRPr="000E07F4">
        <w:rPr>
          <w:rFonts w:ascii="Times New Roman" w:hAnsi="Times New Roman"/>
          <w:noProof/>
          <w:sz w:val="24"/>
          <w:szCs w:val="24"/>
        </w:rPr>
        <w:t xml:space="preserve">athological </w:t>
      </w:r>
      <w:r w:rsidR="001369F0">
        <w:rPr>
          <w:rFonts w:ascii="Times New Roman" w:hAnsi="Times New Roman"/>
          <w:noProof/>
          <w:sz w:val="24"/>
          <w:szCs w:val="24"/>
        </w:rPr>
        <w:t>d</w:t>
      </w:r>
      <w:r w:rsidRPr="000E07F4">
        <w:rPr>
          <w:rFonts w:ascii="Times New Roman" w:hAnsi="Times New Roman"/>
          <w:noProof/>
          <w:sz w:val="24"/>
          <w:szCs w:val="24"/>
        </w:rPr>
        <w:t xml:space="preserve">iversity </w:t>
      </w:r>
      <w:r w:rsidR="001369F0">
        <w:rPr>
          <w:rFonts w:ascii="Times New Roman" w:hAnsi="Times New Roman"/>
          <w:noProof/>
          <w:sz w:val="24"/>
          <w:szCs w:val="24"/>
        </w:rPr>
        <w:t>o</w:t>
      </w:r>
      <w:r w:rsidRPr="000E07F4">
        <w:rPr>
          <w:rFonts w:ascii="Times New Roman" w:hAnsi="Times New Roman"/>
          <w:noProof/>
          <w:sz w:val="24"/>
          <w:szCs w:val="24"/>
        </w:rPr>
        <w:t xml:space="preserve">f </w:t>
      </w:r>
      <w:r w:rsidR="001369F0">
        <w:rPr>
          <w:rFonts w:ascii="Times New Roman" w:hAnsi="Times New Roman"/>
          <w:noProof/>
          <w:sz w:val="24"/>
          <w:szCs w:val="24"/>
        </w:rPr>
        <w:t>p</w:t>
      </w:r>
      <w:r w:rsidRPr="000E07F4">
        <w:rPr>
          <w:rFonts w:ascii="Times New Roman" w:hAnsi="Times New Roman"/>
          <w:noProof/>
          <w:sz w:val="24"/>
          <w:szCs w:val="24"/>
        </w:rPr>
        <w:t xml:space="preserve">rimary </w:t>
      </w:r>
      <w:r w:rsidR="001369F0">
        <w:rPr>
          <w:rFonts w:ascii="Times New Roman" w:hAnsi="Times New Roman"/>
          <w:noProof/>
          <w:sz w:val="24"/>
          <w:szCs w:val="24"/>
        </w:rPr>
        <w:t>a</w:t>
      </w:r>
      <w:r w:rsidRPr="000E07F4">
        <w:rPr>
          <w:rFonts w:ascii="Times New Roman" w:hAnsi="Times New Roman"/>
          <w:noProof/>
          <w:sz w:val="24"/>
          <w:szCs w:val="24"/>
        </w:rPr>
        <w:t xml:space="preserve">ldosteronism, </w:t>
      </w:r>
      <w:r w:rsidR="001369F0">
        <w:rPr>
          <w:rFonts w:ascii="Times New Roman" w:hAnsi="Times New Roman"/>
          <w:noProof/>
          <w:sz w:val="24"/>
          <w:szCs w:val="24"/>
        </w:rPr>
        <w:t>i</w:t>
      </w:r>
      <w:r w:rsidRPr="000E07F4">
        <w:rPr>
          <w:rFonts w:ascii="Times New Roman" w:hAnsi="Times New Roman"/>
          <w:noProof/>
          <w:sz w:val="24"/>
          <w:szCs w:val="24"/>
        </w:rPr>
        <w:t xml:space="preserve">ncluding </w:t>
      </w:r>
      <w:r w:rsidR="001369F0">
        <w:rPr>
          <w:rFonts w:ascii="Times New Roman" w:hAnsi="Times New Roman"/>
          <w:noProof/>
          <w:sz w:val="24"/>
          <w:szCs w:val="24"/>
        </w:rPr>
        <w:t>a</w:t>
      </w:r>
      <w:r w:rsidRPr="000E07F4">
        <w:rPr>
          <w:rFonts w:ascii="Times New Roman" w:hAnsi="Times New Roman"/>
          <w:noProof/>
          <w:sz w:val="24"/>
          <w:szCs w:val="24"/>
        </w:rPr>
        <w:t xml:space="preserve"> </w:t>
      </w:r>
      <w:r w:rsidR="001369F0">
        <w:rPr>
          <w:rFonts w:ascii="Times New Roman" w:hAnsi="Times New Roman"/>
          <w:noProof/>
          <w:sz w:val="24"/>
          <w:szCs w:val="24"/>
        </w:rPr>
        <w:t>n</w:t>
      </w:r>
      <w:r w:rsidRPr="000E07F4">
        <w:rPr>
          <w:rFonts w:ascii="Times New Roman" w:hAnsi="Times New Roman"/>
          <w:noProof/>
          <w:sz w:val="24"/>
          <w:szCs w:val="24"/>
        </w:rPr>
        <w:t xml:space="preserve">ew </w:t>
      </w:r>
      <w:r w:rsidR="001369F0">
        <w:rPr>
          <w:rFonts w:ascii="Times New Roman" w:hAnsi="Times New Roman"/>
          <w:noProof/>
          <w:sz w:val="24"/>
          <w:szCs w:val="24"/>
        </w:rPr>
        <w:t>f</w:t>
      </w:r>
      <w:r w:rsidRPr="000E07F4">
        <w:rPr>
          <w:rFonts w:ascii="Times New Roman" w:hAnsi="Times New Roman"/>
          <w:noProof/>
          <w:sz w:val="24"/>
          <w:szCs w:val="24"/>
        </w:rPr>
        <w:t xml:space="preserve">amilial </w:t>
      </w:r>
      <w:r w:rsidR="001369F0">
        <w:rPr>
          <w:rFonts w:ascii="Times New Roman" w:hAnsi="Times New Roman"/>
          <w:noProof/>
          <w:sz w:val="24"/>
          <w:szCs w:val="24"/>
        </w:rPr>
        <w:t>v</w:t>
      </w:r>
      <w:r w:rsidRPr="000E07F4">
        <w:rPr>
          <w:rFonts w:ascii="Times New Roman" w:hAnsi="Times New Roman"/>
          <w:noProof/>
          <w:sz w:val="24"/>
          <w:szCs w:val="24"/>
        </w:rPr>
        <w:t xml:space="preserve">ariety. </w:t>
      </w:r>
      <w:r w:rsidRPr="00F4098D">
        <w:rPr>
          <w:rFonts w:ascii="Times New Roman" w:hAnsi="Times New Roman"/>
          <w:i/>
          <w:noProof/>
          <w:sz w:val="24"/>
          <w:szCs w:val="24"/>
        </w:rPr>
        <w:t>Clin Exp Pharmacol Physiol</w:t>
      </w:r>
      <w:r w:rsidRPr="000E07F4">
        <w:rPr>
          <w:rFonts w:ascii="Times New Roman" w:hAnsi="Times New Roman"/>
          <w:noProof/>
          <w:sz w:val="24"/>
          <w:szCs w:val="24"/>
        </w:rPr>
        <w:t xml:space="preserve"> </w:t>
      </w:r>
      <w:r w:rsidR="001369F0" w:rsidRPr="001369F0">
        <w:rPr>
          <w:rFonts w:ascii="Times New Roman" w:hAnsi="Times New Roman"/>
          <w:noProof/>
          <w:sz w:val="24"/>
          <w:szCs w:val="24"/>
        </w:rPr>
        <w:t>1991;</w:t>
      </w:r>
      <w:r w:rsidR="001369F0">
        <w:rPr>
          <w:rFonts w:ascii="Times New Roman" w:hAnsi="Times New Roman"/>
          <w:noProof/>
          <w:sz w:val="24"/>
          <w:szCs w:val="24"/>
        </w:rPr>
        <w:t xml:space="preserve"> </w:t>
      </w:r>
      <w:r w:rsidR="001369F0" w:rsidRPr="00F4098D">
        <w:rPr>
          <w:rFonts w:ascii="Times New Roman" w:hAnsi="Times New Roman"/>
          <w:b/>
          <w:noProof/>
          <w:sz w:val="24"/>
          <w:szCs w:val="24"/>
        </w:rPr>
        <w:t>18</w:t>
      </w:r>
      <w:r w:rsidR="001369F0" w:rsidRPr="001369F0">
        <w:rPr>
          <w:rFonts w:ascii="Times New Roman" w:hAnsi="Times New Roman"/>
          <w:noProof/>
          <w:sz w:val="24"/>
          <w:szCs w:val="24"/>
        </w:rPr>
        <w:t>:</w:t>
      </w:r>
      <w:r w:rsidR="008B3A95">
        <w:rPr>
          <w:rFonts w:ascii="Times New Roman" w:hAnsi="Times New Roman"/>
          <w:noProof/>
          <w:sz w:val="24"/>
          <w:szCs w:val="24"/>
        </w:rPr>
        <w:t xml:space="preserve"> </w:t>
      </w:r>
      <w:r w:rsidR="001369F0" w:rsidRPr="001369F0">
        <w:rPr>
          <w:rFonts w:ascii="Times New Roman" w:hAnsi="Times New Roman"/>
          <w:noProof/>
          <w:sz w:val="24"/>
          <w:szCs w:val="24"/>
        </w:rPr>
        <w:t>283-6</w:t>
      </w:r>
      <w:r w:rsidR="00F4098D">
        <w:rPr>
          <w:rFonts w:ascii="Times New Roman" w:hAnsi="Times New Roman"/>
          <w:noProof/>
          <w:sz w:val="24"/>
          <w:szCs w:val="24"/>
        </w:rPr>
        <w:t>.</w:t>
      </w:r>
      <w:r w:rsidR="001369F0" w:rsidRPr="001369F0" w:rsidDel="001369F0">
        <w:rPr>
          <w:rFonts w:ascii="Times New Roman" w:hAnsi="Times New Roman"/>
          <w:noProof/>
          <w:sz w:val="24"/>
          <w:szCs w:val="24"/>
        </w:rPr>
        <w:t xml:space="preserve"> </w:t>
      </w:r>
    </w:p>
    <w:p w14:paraId="3AC468BF"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11. </w:t>
      </w:r>
      <w:r w:rsidRPr="000E07F4">
        <w:rPr>
          <w:rFonts w:ascii="Times New Roman" w:hAnsi="Times New Roman"/>
          <w:noProof/>
          <w:sz w:val="24"/>
          <w:szCs w:val="24"/>
        </w:rPr>
        <w:tab/>
        <w:t xml:space="preserve">Sukor N, Mulatero P, Gordon RD, So A, Duffy DL, Bertello C, </w:t>
      </w:r>
      <w:r w:rsidRPr="00F4098D">
        <w:rPr>
          <w:rFonts w:ascii="Times New Roman" w:hAnsi="Times New Roman"/>
          <w:i/>
          <w:noProof/>
          <w:sz w:val="24"/>
          <w:szCs w:val="24"/>
        </w:rPr>
        <w:t>et al.</w:t>
      </w:r>
      <w:r w:rsidRPr="000E07F4">
        <w:rPr>
          <w:rFonts w:ascii="Times New Roman" w:hAnsi="Times New Roman"/>
          <w:noProof/>
          <w:sz w:val="24"/>
          <w:szCs w:val="24"/>
        </w:rPr>
        <w:t xml:space="preserve"> Further evidence for linkage of familial hyperaldosteronism type II at chromosome 7p22 in Italian as well as Australian and South American families. </w:t>
      </w:r>
      <w:r w:rsidRPr="00F4098D">
        <w:rPr>
          <w:rFonts w:ascii="Times New Roman" w:hAnsi="Times New Roman"/>
          <w:i/>
          <w:noProof/>
          <w:sz w:val="24"/>
          <w:szCs w:val="24"/>
        </w:rPr>
        <w:t>J Hypertens</w:t>
      </w:r>
      <w:r w:rsidRPr="000E07F4">
        <w:rPr>
          <w:rFonts w:ascii="Times New Roman" w:hAnsi="Times New Roman"/>
          <w:noProof/>
          <w:sz w:val="24"/>
          <w:szCs w:val="24"/>
        </w:rPr>
        <w:t xml:space="preserve"> 2008;</w:t>
      </w:r>
      <w:r w:rsidR="00B84B87">
        <w:rPr>
          <w:rFonts w:ascii="Times New Roman" w:hAnsi="Times New Roman"/>
          <w:noProof/>
          <w:sz w:val="24"/>
          <w:szCs w:val="24"/>
        </w:rPr>
        <w:t xml:space="preserve"> </w:t>
      </w:r>
      <w:r w:rsidRPr="00F4098D">
        <w:rPr>
          <w:rFonts w:ascii="Times New Roman" w:hAnsi="Times New Roman"/>
          <w:b/>
          <w:noProof/>
          <w:sz w:val="24"/>
          <w:szCs w:val="24"/>
        </w:rPr>
        <w:t>26</w:t>
      </w:r>
      <w:r w:rsidRPr="000E07F4">
        <w:rPr>
          <w:rFonts w:ascii="Times New Roman" w:hAnsi="Times New Roman"/>
          <w:noProof/>
          <w:sz w:val="24"/>
          <w:szCs w:val="24"/>
        </w:rPr>
        <w:t>:</w:t>
      </w:r>
      <w:r w:rsidR="008B3A95">
        <w:rPr>
          <w:rFonts w:ascii="Times New Roman" w:hAnsi="Times New Roman"/>
          <w:noProof/>
          <w:sz w:val="24"/>
          <w:szCs w:val="24"/>
        </w:rPr>
        <w:t xml:space="preserve"> </w:t>
      </w:r>
      <w:r w:rsidRPr="000E07F4">
        <w:rPr>
          <w:rFonts w:ascii="Times New Roman" w:hAnsi="Times New Roman"/>
          <w:noProof/>
          <w:sz w:val="24"/>
          <w:szCs w:val="24"/>
        </w:rPr>
        <w:t xml:space="preserve">1577–82. </w:t>
      </w:r>
    </w:p>
    <w:p w14:paraId="3AC468C0"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12. </w:t>
      </w:r>
      <w:r w:rsidRPr="000E07F4">
        <w:rPr>
          <w:rFonts w:ascii="Times New Roman" w:hAnsi="Times New Roman"/>
          <w:noProof/>
          <w:sz w:val="24"/>
          <w:szCs w:val="24"/>
        </w:rPr>
        <w:tab/>
        <w:t xml:space="preserve">Choi M, Scholl UI, Yue P, Bjorklund P, Zhao B, Nelson-Williams C, </w:t>
      </w:r>
      <w:r w:rsidRPr="00F4098D">
        <w:rPr>
          <w:rFonts w:ascii="Times New Roman" w:hAnsi="Times New Roman"/>
          <w:i/>
          <w:noProof/>
          <w:sz w:val="24"/>
          <w:szCs w:val="24"/>
        </w:rPr>
        <w:t>et al</w:t>
      </w:r>
      <w:r w:rsidRPr="000E07F4">
        <w:rPr>
          <w:rFonts w:ascii="Times New Roman" w:hAnsi="Times New Roman"/>
          <w:noProof/>
          <w:sz w:val="24"/>
          <w:szCs w:val="24"/>
        </w:rPr>
        <w:t xml:space="preserve">. K+ </w:t>
      </w:r>
      <w:r w:rsidR="00B84B87">
        <w:rPr>
          <w:rFonts w:ascii="Times New Roman" w:hAnsi="Times New Roman"/>
          <w:noProof/>
          <w:sz w:val="24"/>
          <w:szCs w:val="24"/>
        </w:rPr>
        <w:t>c</w:t>
      </w:r>
      <w:r w:rsidRPr="000E07F4">
        <w:rPr>
          <w:rFonts w:ascii="Times New Roman" w:hAnsi="Times New Roman"/>
          <w:noProof/>
          <w:sz w:val="24"/>
          <w:szCs w:val="24"/>
        </w:rPr>
        <w:t xml:space="preserve">hannel </w:t>
      </w:r>
      <w:r w:rsidR="00B84B87">
        <w:rPr>
          <w:rFonts w:ascii="Times New Roman" w:hAnsi="Times New Roman"/>
          <w:noProof/>
          <w:sz w:val="24"/>
          <w:szCs w:val="24"/>
        </w:rPr>
        <w:t>m</w:t>
      </w:r>
      <w:r w:rsidRPr="000E07F4">
        <w:rPr>
          <w:rFonts w:ascii="Times New Roman" w:hAnsi="Times New Roman"/>
          <w:noProof/>
          <w:sz w:val="24"/>
          <w:szCs w:val="24"/>
        </w:rPr>
        <w:t xml:space="preserve">utations in </w:t>
      </w:r>
      <w:r w:rsidR="00B84B87">
        <w:rPr>
          <w:rFonts w:ascii="Times New Roman" w:hAnsi="Times New Roman"/>
          <w:noProof/>
          <w:sz w:val="24"/>
          <w:szCs w:val="24"/>
        </w:rPr>
        <w:t>a</w:t>
      </w:r>
      <w:r w:rsidRPr="000E07F4">
        <w:rPr>
          <w:rFonts w:ascii="Times New Roman" w:hAnsi="Times New Roman"/>
          <w:noProof/>
          <w:sz w:val="24"/>
          <w:szCs w:val="24"/>
        </w:rPr>
        <w:t xml:space="preserve">drenal </w:t>
      </w:r>
      <w:r w:rsidR="00B84B87">
        <w:rPr>
          <w:rFonts w:ascii="Times New Roman" w:hAnsi="Times New Roman"/>
          <w:noProof/>
          <w:sz w:val="24"/>
          <w:szCs w:val="24"/>
        </w:rPr>
        <w:t>a</w:t>
      </w:r>
      <w:r w:rsidRPr="000E07F4">
        <w:rPr>
          <w:rFonts w:ascii="Times New Roman" w:hAnsi="Times New Roman"/>
          <w:noProof/>
          <w:sz w:val="24"/>
          <w:szCs w:val="24"/>
        </w:rPr>
        <w:t>ldosterone-</w:t>
      </w:r>
      <w:r w:rsidR="00B84B87">
        <w:rPr>
          <w:rFonts w:ascii="Times New Roman" w:hAnsi="Times New Roman"/>
          <w:noProof/>
          <w:sz w:val="24"/>
          <w:szCs w:val="24"/>
        </w:rPr>
        <w:t>p</w:t>
      </w:r>
      <w:r w:rsidRPr="000E07F4">
        <w:rPr>
          <w:rFonts w:ascii="Times New Roman" w:hAnsi="Times New Roman"/>
          <w:noProof/>
          <w:sz w:val="24"/>
          <w:szCs w:val="24"/>
        </w:rPr>
        <w:t xml:space="preserve">roducing </w:t>
      </w:r>
      <w:r w:rsidR="00B84B87">
        <w:rPr>
          <w:rFonts w:ascii="Times New Roman" w:hAnsi="Times New Roman"/>
          <w:noProof/>
          <w:sz w:val="24"/>
          <w:szCs w:val="24"/>
        </w:rPr>
        <w:t>a</w:t>
      </w:r>
      <w:r w:rsidRPr="000E07F4">
        <w:rPr>
          <w:rFonts w:ascii="Times New Roman" w:hAnsi="Times New Roman"/>
          <w:noProof/>
          <w:sz w:val="24"/>
          <w:szCs w:val="24"/>
        </w:rPr>
        <w:t xml:space="preserve">denomas and </w:t>
      </w:r>
      <w:r w:rsidR="00B84B87">
        <w:rPr>
          <w:rFonts w:ascii="Times New Roman" w:hAnsi="Times New Roman"/>
          <w:noProof/>
          <w:sz w:val="24"/>
          <w:szCs w:val="24"/>
        </w:rPr>
        <w:t>h</w:t>
      </w:r>
      <w:r w:rsidRPr="000E07F4">
        <w:rPr>
          <w:rFonts w:ascii="Times New Roman" w:hAnsi="Times New Roman"/>
          <w:noProof/>
          <w:sz w:val="24"/>
          <w:szCs w:val="24"/>
        </w:rPr>
        <w:t xml:space="preserve">ereditary </w:t>
      </w:r>
      <w:r w:rsidR="00B84B87">
        <w:rPr>
          <w:rFonts w:ascii="Times New Roman" w:hAnsi="Times New Roman"/>
          <w:noProof/>
          <w:sz w:val="24"/>
          <w:szCs w:val="24"/>
        </w:rPr>
        <w:t>h</w:t>
      </w:r>
      <w:r w:rsidRPr="000E07F4">
        <w:rPr>
          <w:rFonts w:ascii="Times New Roman" w:hAnsi="Times New Roman"/>
          <w:noProof/>
          <w:sz w:val="24"/>
          <w:szCs w:val="24"/>
        </w:rPr>
        <w:t xml:space="preserve">ypertension. </w:t>
      </w:r>
      <w:r w:rsidRPr="00F4098D">
        <w:rPr>
          <w:rFonts w:ascii="Times New Roman" w:hAnsi="Times New Roman"/>
          <w:i/>
          <w:noProof/>
          <w:sz w:val="24"/>
          <w:szCs w:val="24"/>
        </w:rPr>
        <w:t>Science</w:t>
      </w:r>
      <w:r w:rsidRPr="000E07F4">
        <w:rPr>
          <w:rFonts w:ascii="Times New Roman" w:hAnsi="Times New Roman"/>
          <w:noProof/>
          <w:sz w:val="24"/>
          <w:szCs w:val="24"/>
        </w:rPr>
        <w:t xml:space="preserve"> 2011;</w:t>
      </w:r>
      <w:r w:rsidR="00B84B87">
        <w:rPr>
          <w:rFonts w:ascii="Times New Roman" w:hAnsi="Times New Roman"/>
          <w:noProof/>
          <w:sz w:val="24"/>
          <w:szCs w:val="24"/>
        </w:rPr>
        <w:t xml:space="preserve"> </w:t>
      </w:r>
      <w:r w:rsidRPr="00F4098D">
        <w:rPr>
          <w:rFonts w:ascii="Times New Roman" w:hAnsi="Times New Roman"/>
          <w:b/>
          <w:noProof/>
          <w:sz w:val="24"/>
          <w:szCs w:val="24"/>
        </w:rPr>
        <w:t>331</w:t>
      </w:r>
      <w:r w:rsidRPr="000E07F4">
        <w:rPr>
          <w:rFonts w:ascii="Times New Roman" w:hAnsi="Times New Roman"/>
          <w:noProof/>
          <w:sz w:val="24"/>
          <w:szCs w:val="24"/>
        </w:rPr>
        <w:t>:</w:t>
      </w:r>
      <w:r w:rsidR="008B3A95">
        <w:rPr>
          <w:rFonts w:ascii="Times New Roman" w:hAnsi="Times New Roman"/>
          <w:noProof/>
          <w:sz w:val="24"/>
          <w:szCs w:val="24"/>
        </w:rPr>
        <w:t xml:space="preserve"> </w:t>
      </w:r>
      <w:r w:rsidRPr="000E07F4">
        <w:rPr>
          <w:rFonts w:ascii="Times New Roman" w:hAnsi="Times New Roman"/>
          <w:noProof/>
          <w:sz w:val="24"/>
          <w:szCs w:val="24"/>
        </w:rPr>
        <w:t>768–72.</w:t>
      </w:r>
    </w:p>
    <w:p w14:paraId="3AC468C1"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13. </w:t>
      </w:r>
      <w:r w:rsidRPr="000E07F4">
        <w:rPr>
          <w:rFonts w:ascii="Times New Roman" w:hAnsi="Times New Roman"/>
          <w:noProof/>
          <w:sz w:val="24"/>
          <w:szCs w:val="24"/>
        </w:rPr>
        <w:tab/>
        <w:t xml:space="preserve">Scholl UI, Goh G, Stölting G, de Oliveira RC, Choi M, Overton JD, </w:t>
      </w:r>
      <w:r w:rsidRPr="00F4098D">
        <w:rPr>
          <w:rFonts w:ascii="Times New Roman" w:hAnsi="Times New Roman"/>
          <w:i/>
          <w:noProof/>
          <w:sz w:val="24"/>
          <w:szCs w:val="24"/>
        </w:rPr>
        <w:t xml:space="preserve">et al. </w:t>
      </w:r>
      <w:r w:rsidRPr="000E07F4">
        <w:rPr>
          <w:rFonts w:ascii="Times New Roman" w:hAnsi="Times New Roman"/>
          <w:noProof/>
          <w:sz w:val="24"/>
          <w:szCs w:val="24"/>
        </w:rPr>
        <w:t xml:space="preserve">Somatic and germline CACNA1D calcium channel mutations in aldosterone-producing adenomas and primary aldosteronism. </w:t>
      </w:r>
      <w:r w:rsidRPr="00F4098D">
        <w:rPr>
          <w:rFonts w:ascii="Times New Roman" w:hAnsi="Times New Roman"/>
          <w:i/>
          <w:noProof/>
          <w:sz w:val="24"/>
          <w:szCs w:val="24"/>
        </w:rPr>
        <w:t>Nat Genet</w:t>
      </w:r>
      <w:r w:rsidRPr="000E07F4">
        <w:rPr>
          <w:rFonts w:ascii="Times New Roman" w:hAnsi="Times New Roman"/>
          <w:noProof/>
          <w:sz w:val="24"/>
          <w:szCs w:val="24"/>
        </w:rPr>
        <w:t xml:space="preserve"> 2013;</w:t>
      </w:r>
      <w:r w:rsidR="0075349C">
        <w:rPr>
          <w:rFonts w:ascii="Times New Roman" w:hAnsi="Times New Roman"/>
          <w:noProof/>
          <w:sz w:val="24"/>
          <w:szCs w:val="24"/>
        </w:rPr>
        <w:t xml:space="preserve"> </w:t>
      </w:r>
      <w:r w:rsidRPr="00F4098D">
        <w:rPr>
          <w:rFonts w:ascii="Times New Roman" w:hAnsi="Times New Roman"/>
          <w:b/>
          <w:noProof/>
          <w:sz w:val="24"/>
          <w:szCs w:val="24"/>
        </w:rPr>
        <w:t>45</w:t>
      </w:r>
      <w:r w:rsidRPr="000E07F4">
        <w:rPr>
          <w:rFonts w:ascii="Times New Roman" w:hAnsi="Times New Roman"/>
          <w:noProof/>
          <w:sz w:val="24"/>
          <w:szCs w:val="24"/>
        </w:rPr>
        <w:t>:</w:t>
      </w:r>
      <w:r w:rsidR="008B3A95">
        <w:rPr>
          <w:rFonts w:ascii="Times New Roman" w:hAnsi="Times New Roman"/>
          <w:noProof/>
          <w:sz w:val="24"/>
          <w:szCs w:val="24"/>
        </w:rPr>
        <w:t xml:space="preserve"> </w:t>
      </w:r>
      <w:r w:rsidRPr="000E07F4">
        <w:rPr>
          <w:rFonts w:ascii="Times New Roman" w:hAnsi="Times New Roman"/>
          <w:noProof/>
          <w:sz w:val="24"/>
          <w:szCs w:val="24"/>
        </w:rPr>
        <w:t>1050–4.</w:t>
      </w:r>
    </w:p>
    <w:p w14:paraId="3AC468C2"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14. </w:t>
      </w:r>
      <w:r w:rsidRPr="000E07F4">
        <w:rPr>
          <w:rFonts w:ascii="Times New Roman" w:hAnsi="Times New Roman"/>
          <w:noProof/>
          <w:sz w:val="24"/>
          <w:szCs w:val="24"/>
        </w:rPr>
        <w:tab/>
        <w:t>Geller DS, Zhang J, Wisgerhof M V., Shackleton C, Kashgarian M, Lifton RP. A novel form of human mendelian hypertension featuring nonglucocorticoid- remediable aldosteronism.</w:t>
      </w:r>
      <w:r w:rsidRPr="00F4098D">
        <w:rPr>
          <w:rFonts w:ascii="Times New Roman" w:hAnsi="Times New Roman"/>
          <w:i/>
          <w:noProof/>
          <w:sz w:val="24"/>
          <w:szCs w:val="24"/>
        </w:rPr>
        <w:t xml:space="preserve"> J Clin Endocrinol Metab</w:t>
      </w:r>
      <w:r w:rsidRPr="000E07F4">
        <w:rPr>
          <w:rFonts w:ascii="Times New Roman" w:hAnsi="Times New Roman"/>
          <w:noProof/>
          <w:sz w:val="24"/>
          <w:szCs w:val="24"/>
        </w:rPr>
        <w:t xml:space="preserve"> 2008;</w:t>
      </w:r>
      <w:r w:rsidR="0075349C">
        <w:rPr>
          <w:rFonts w:ascii="Times New Roman" w:hAnsi="Times New Roman"/>
          <w:noProof/>
          <w:sz w:val="24"/>
          <w:szCs w:val="24"/>
        </w:rPr>
        <w:t xml:space="preserve"> </w:t>
      </w:r>
      <w:r w:rsidRPr="00F4098D">
        <w:rPr>
          <w:rFonts w:ascii="Times New Roman" w:hAnsi="Times New Roman"/>
          <w:b/>
          <w:noProof/>
          <w:sz w:val="24"/>
          <w:szCs w:val="24"/>
        </w:rPr>
        <w:t>93</w:t>
      </w:r>
      <w:r w:rsidRPr="000E07F4">
        <w:rPr>
          <w:rFonts w:ascii="Times New Roman" w:hAnsi="Times New Roman"/>
          <w:noProof/>
          <w:sz w:val="24"/>
          <w:szCs w:val="24"/>
        </w:rPr>
        <w:t>:</w:t>
      </w:r>
      <w:r w:rsidR="008B3A95">
        <w:rPr>
          <w:rFonts w:ascii="Times New Roman" w:hAnsi="Times New Roman"/>
          <w:noProof/>
          <w:sz w:val="24"/>
          <w:szCs w:val="24"/>
        </w:rPr>
        <w:t xml:space="preserve"> </w:t>
      </w:r>
      <w:r w:rsidRPr="000E07F4">
        <w:rPr>
          <w:rFonts w:ascii="Times New Roman" w:hAnsi="Times New Roman"/>
          <w:noProof/>
          <w:sz w:val="24"/>
          <w:szCs w:val="24"/>
        </w:rPr>
        <w:t xml:space="preserve">3117–23. </w:t>
      </w:r>
    </w:p>
    <w:p w14:paraId="3AC468C3"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15. </w:t>
      </w:r>
      <w:r w:rsidRPr="000E07F4">
        <w:rPr>
          <w:rFonts w:ascii="Times New Roman" w:hAnsi="Times New Roman"/>
          <w:noProof/>
          <w:sz w:val="24"/>
          <w:szCs w:val="24"/>
        </w:rPr>
        <w:tab/>
        <w:t>Therien</w:t>
      </w:r>
      <w:r w:rsidR="00E02AB6">
        <w:rPr>
          <w:rFonts w:ascii="Times New Roman" w:hAnsi="Times New Roman"/>
          <w:noProof/>
          <w:sz w:val="24"/>
          <w:szCs w:val="24"/>
        </w:rPr>
        <w:t xml:space="preserve"> B</w:t>
      </w:r>
      <w:r w:rsidRPr="000E07F4">
        <w:rPr>
          <w:rFonts w:ascii="Times New Roman" w:hAnsi="Times New Roman"/>
          <w:noProof/>
          <w:sz w:val="24"/>
          <w:szCs w:val="24"/>
        </w:rPr>
        <w:t>,</w:t>
      </w:r>
      <w:r w:rsidR="00E02AB6">
        <w:rPr>
          <w:rFonts w:ascii="Times New Roman" w:hAnsi="Times New Roman"/>
          <w:noProof/>
          <w:sz w:val="24"/>
          <w:szCs w:val="24"/>
        </w:rPr>
        <w:t xml:space="preserve"> Mellinger RC, Caldwell JR,</w:t>
      </w:r>
      <w:r w:rsidRPr="000E07F4">
        <w:rPr>
          <w:rFonts w:ascii="Times New Roman" w:hAnsi="Times New Roman"/>
          <w:noProof/>
          <w:sz w:val="24"/>
          <w:szCs w:val="24"/>
        </w:rPr>
        <w:t xml:space="preserve"> Howard PJ. Primary </w:t>
      </w:r>
      <w:r w:rsidR="0075349C">
        <w:rPr>
          <w:rFonts w:ascii="Times New Roman" w:hAnsi="Times New Roman"/>
          <w:noProof/>
          <w:sz w:val="24"/>
          <w:szCs w:val="24"/>
        </w:rPr>
        <w:t>a</w:t>
      </w:r>
      <w:r w:rsidRPr="000E07F4">
        <w:rPr>
          <w:rFonts w:ascii="Times New Roman" w:hAnsi="Times New Roman"/>
          <w:noProof/>
          <w:sz w:val="24"/>
          <w:szCs w:val="24"/>
        </w:rPr>
        <w:t xml:space="preserve">ldosteronism </w:t>
      </w:r>
      <w:r w:rsidR="0075349C">
        <w:rPr>
          <w:rFonts w:ascii="Times New Roman" w:hAnsi="Times New Roman"/>
          <w:noProof/>
          <w:sz w:val="24"/>
          <w:szCs w:val="24"/>
        </w:rPr>
        <w:t>d</w:t>
      </w:r>
      <w:r w:rsidRPr="000E07F4">
        <w:rPr>
          <w:rFonts w:ascii="Times New Roman" w:hAnsi="Times New Roman"/>
          <w:noProof/>
          <w:sz w:val="24"/>
          <w:szCs w:val="24"/>
        </w:rPr>
        <w:t xml:space="preserve">ue to </w:t>
      </w:r>
      <w:r w:rsidR="0075349C">
        <w:rPr>
          <w:rFonts w:ascii="Times New Roman" w:hAnsi="Times New Roman"/>
          <w:noProof/>
          <w:sz w:val="24"/>
          <w:szCs w:val="24"/>
        </w:rPr>
        <w:t>ad</w:t>
      </w:r>
      <w:r w:rsidRPr="000E07F4">
        <w:rPr>
          <w:rFonts w:ascii="Times New Roman" w:hAnsi="Times New Roman"/>
          <w:noProof/>
          <w:sz w:val="24"/>
          <w:szCs w:val="24"/>
        </w:rPr>
        <w:t xml:space="preserve">renal </w:t>
      </w:r>
      <w:r w:rsidR="0075349C">
        <w:rPr>
          <w:rFonts w:ascii="Times New Roman" w:hAnsi="Times New Roman"/>
          <w:noProof/>
          <w:sz w:val="24"/>
          <w:szCs w:val="24"/>
        </w:rPr>
        <w:t>h</w:t>
      </w:r>
      <w:r w:rsidRPr="000E07F4">
        <w:rPr>
          <w:rFonts w:ascii="Times New Roman" w:hAnsi="Times New Roman"/>
          <w:noProof/>
          <w:sz w:val="24"/>
          <w:szCs w:val="24"/>
        </w:rPr>
        <w:t>yperplasia.</w:t>
      </w:r>
      <w:r w:rsidR="0075349C">
        <w:rPr>
          <w:rFonts w:ascii="Times New Roman" w:hAnsi="Times New Roman"/>
          <w:noProof/>
          <w:sz w:val="24"/>
          <w:szCs w:val="24"/>
        </w:rPr>
        <w:t xml:space="preserve"> </w:t>
      </w:r>
      <w:r w:rsidR="0075349C" w:rsidRPr="00F4098D">
        <w:rPr>
          <w:rFonts w:ascii="Times New Roman" w:hAnsi="Times New Roman"/>
          <w:i/>
          <w:noProof/>
          <w:sz w:val="24"/>
          <w:szCs w:val="24"/>
        </w:rPr>
        <w:t>AMA J Dis Child</w:t>
      </w:r>
      <w:r w:rsidRPr="000E07F4">
        <w:rPr>
          <w:rFonts w:ascii="Times New Roman" w:hAnsi="Times New Roman"/>
          <w:noProof/>
          <w:sz w:val="24"/>
          <w:szCs w:val="24"/>
        </w:rPr>
        <w:t xml:space="preserve"> 1958;</w:t>
      </w:r>
      <w:r w:rsidR="0075349C">
        <w:rPr>
          <w:rFonts w:ascii="Times New Roman" w:hAnsi="Times New Roman"/>
          <w:noProof/>
          <w:sz w:val="24"/>
          <w:szCs w:val="24"/>
        </w:rPr>
        <w:t xml:space="preserve"> </w:t>
      </w:r>
      <w:r w:rsidR="0075349C" w:rsidRPr="00F4098D">
        <w:rPr>
          <w:rFonts w:ascii="Times New Roman" w:hAnsi="Times New Roman"/>
          <w:b/>
          <w:noProof/>
          <w:sz w:val="24"/>
          <w:szCs w:val="24"/>
        </w:rPr>
        <w:t>98</w:t>
      </w:r>
      <w:r w:rsidR="0075349C">
        <w:rPr>
          <w:rFonts w:ascii="Times New Roman" w:hAnsi="Times New Roman"/>
          <w:noProof/>
          <w:sz w:val="24"/>
          <w:szCs w:val="24"/>
        </w:rPr>
        <w:t>:</w:t>
      </w:r>
      <w:r w:rsidR="008B3A95">
        <w:rPr>
          <w:rFonts w:ascii="Times New Roman" w:hAnsi="Times New Roman"/>
          <w:noProof/>
          <w:sz w:val="24"/>
          <w:szCs w:val="24"/>
        </w:rPr>
        <w:t xml:space="preserve"> </w:t>
      </w:r>
      <w:r w:rsidR="0075349C">
        <w:rPr>
          <w:rFonts w:ascii="Times New Roman" w:hAnsi="Times New Roman"/>
          <w:noProof/>
          <w:sz w:val="24"/>
          <w:szCs w:val="24"/>
        </w:rPr>
        <w:t>90-9</w:t>
      </w:r>
      <w:r w:rsidRPr="000E07F4">
        <w:rPr>
          <w:rFonts w:ascii="Times New Roman" w:hAnsi="Times New Roman"/>
          <w:noProof/>
          <w:sz w:val="24"/>
          <w:szCs w:val="24"/>
        </w:rPr>
        <w:t xml:space="preserve"> </w:t>
      </w:r>
    </w:p>
    <w:p w14:paraId="3AC468C4"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16. </w:t>
      </w:r>
      <w:r w:rsidRPr="000E07F4">
        <w:rPr>
          <w:rFonts w:ascii="Times New Roman" w:hAnsi="Times New Roman"/>
          <w:noProof/>
          <w:sz w:val="24"/>
          <w:szCs w:val="24"/>
        </w:rPr>
        <w:tab/>
        <w:t xml:space="preserve">Gomez-Sanchez CE, Qi X, Gomez-Sanchez EP, Sasano H, Bohlen MO, Wisgerhof M. Disordered zonal and cellular CYP11B2 enzyme expression in familial hyperaldosteronism type 3. </w:t>
      </w:r>
      <w:r w:rsidRPr="00F4098D">
        <w:rPr>
          <w:rFonts w:ascii="Times New Roman" w:hAnsi="Times New Roman"/>
          <w:i/>
          <w:noProof/>
          <w:sz w:val="24"/>
          <w:szCs w:val="24"/>
        </w:rPr>
        <w:t>Mol Cell Endocrinol</w:t>
      </w:r>
      <w:r w:rsidRPr="000E07F4">
        <w:rPr>
          <w:rFonts w:ascii="Times New Roman" w:hAnsi="Times New Roman"/>
          <w:noProof/>
          <w:sz w:val="24"/>
          <w:szCs w:val="24"/>
        </w:rPr>
        <w:t xml:space="preserve"> 201</w:t>
      </w:r>
      <w:r w:rsidR="00E02AB6">
        <w:rPr>
          <w:rFonts w:ascii="Times New Roman" w:hAnsi="Times New Roman"/>
          <w:noProof/>
          <w:sz w:val="24"/>
          <w:szCs w:val="24"/>
        </w:rPr>
        <w:t>7</w:t>
      </w:r>
      <w:r w:rsidRPr="000E07F4">
        <w:rPr>
          <w:rFonts w:ascii="Times New Roman" w:hAnsi="Times New Roman"/>
          <w:noProof/>
          <w:sz w:val="24"/>
          <w:szCs w:val="24"/>
        </w:rPr>
        <w:t>;</w:t>
      </w:r>
      <w:r w:rsidR="00E02AB6">
        <w:rPr>
          <w:rFonts w:ascii="Times New Roman" w:hAnsi="Times New Roman"/>
          <w:noProof/>
          <w:sz w:val="24"/>
          <w:szCs w:val="24"/>
        </w:rPr>
        <w:t xml:space="preserve"> </w:t>
      </w:r>
      <w:r w:rsidRPr="00F4098D">
        <w:rPr>
          <w:rFonts w:ascii="Times New Roman" w:hAnsi="Times New Roman"/>
          <w:b/>
          <w:noProof/>
          <w:sz w:val="24"/>
          <w:szCs w:val="24"/>
        </w:rPr>
        <w:t>439</w:t>
      </w:r>
      <w:r w:rsidRPr="000E07F4">
        <w:rPr>
          <w:rFonts w:ascii="Times New Roman" w:hAnsi="Times New Roman"/>
          <w:noProof/>
          <w:sz w:val="24"/>
          <w:szCs w:val="24"/>
        </w:rPr>
        <w:t>:</w:t>
      </w:r>
      <w:r w:rsidR="008B3A95">
        <w:rPr>
          <w:rFonts w:ascii="Times New Roman" w:hAnsi="Times New Roman"/>
          <w:noProof/>
          <w:sz w:val="24"/>
          <w:szCs w:val="24"/>
        </w:rPr>
        <w:t xml:space="preserve"> </w:t>
      </w:r>
      <w:r w:rsidRPr="000E07F4">
        <w:rPr>
          <w:rFonts w:ascii="Times New Roman" w:hAnsi="Times New Roman"/>
          <w:noProof/>
          <w:sz w:val="24"/>
          <w:szCs w:val="24"/>
        </w:rPr>
        <w:t>74–80.</w:t>
      </w:r>
    </w:p>
    <w:p w14:paraId="3AC468C5"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17. </w:t>
      </w:r>
      <w:r w:rsidRPr="000E07F4">
        <w:rPr>
          <w:rFonts w:ascii="Times New Roman" w:hAnsi="Times New Roman"/>
          <w:noProof/>
          <w:sz w:val="24"/>
          <w:szCs w:val="24"/>
        </w:rPr>
        <w:tab/>
        <w:t xml:space="preserve">Corey S, Clapham DE. Identification of native atrial G-protein-regulated inwardly rectifying K+ (GIRK4) channel homomultimers. </w:t>
      </w:r>
      <w:r w:rsidRPr="00F4098D">
        <w:rPr>
          <w:rFonts w:ascii="Times New Roman" w:hAnsi="Times New Roman"/>
          <w:i/>
          <w:noProof/>
          <w:sz w:val="24"/>
          <w:szCs w:val="24"/>
        </w:rPr>
        <w:t>J Biol Chem</w:t>
      </w:r>
      <w:r w:rsidR="00E02AB6">
        <w:rPr>
          <w:rFonts w:ascii="Times New Roman" w:hAnsi="Times New Roman"/>
          <w:noProof/>
          <w:sz w:val="24"/>
          <w:szCs w:val="24"/>
        </w:rPr>
        <w:t xml:space="preserve"> </w:t>
      </w:r>
      <w:r w:rsidRPr="000E07F4">
        <w:rPr>
          <w:rFonts w:ascii="Times New Roman" w:hAnsi="Times New Roman"/>
          <w:noProof/>
          <w:sz w:val="24"/>
          <w:szCs w:val="24"/>
        </w:rPr>
        <w:t>1998;</w:t>
      </w:r>
      <w:r w:rsidR="00E02AB6">
        <w:rPr>
          <w:rFonts w:ascii="Times New Roman" w:hAnsi="Times New Roman"/>
          <w:noProof/>
          <w:sz w:val="24"/>
          <w:szCs w:val="24"/>
        </w:rPr>
        <w:t xml:space="preserve"> </w:t>
      </w:r>
      <w:r w:rsidRPr="00F4098D">
        <w:rPr>
          <w:rFonts w:ascii="Times New Roman" w:hAnsi="Times New Roman"/>
          <w:b/>
          <w:noProof/>
          <w:sz w:val="24"/>
          <w:szCs w:val="24"/>
        </w:rPr>
        <w:t>273</w:t>
      </w:r>
      <w:r w:rsidRPr="000E07F4">
        <w:rPr>
          <w:rFonts w:ascii="Times New Roman" w:hAnsi="Times New Roman"/>
          <w:noProof/>
          <w:sz w:val="24"/>
          <w:szCs w:val="24"/>
        </w:rPr>
        <w:t>:</w:t>
      </w:r>
      <w:r w:rsidR="00C87145">
        <w:rPr>
          <w:rFonts w:ascii="Times New Roman" w:hAnsi="Times New Roman"/>
          <w:noProof/>
          <w:sz w:val="24"/>
          <w:szCs w:val="24"/>
        </w:rPr>
        <w:t xml:space="preserve"> </w:t>
      </w:r>
      <w:r w:rsidRPr="000E07F4">
        <w:rPr>
          <w:rFonts w:ascii="Times New Roman" w:hAnsi="Times New Roman"/>
          <w:noProof/>
          <w:sz w:val="24"/>
          <w:szCs w:val="24"/>
        </w:rPr>
        <w:t xml:space="preserve">27499–504. </w:t>
      </w:r>
    </w:p>
    <w:p w14:paraId="3AC468C6"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18. </w:t>
      </w:r>
      <w:r w:rsidRPr="000E07F4">
        <w:rPr>
          <w:rFonts w:ascii="Times New Roman" w:hAnsi="Times New Roman"/>
          <w:noProof/>
          <w:sz w:val="24"/>
          <w:szCs w:val="24"/>
        </w:rPr>
        <w:tab/>
        <w:t xml:space="preserve">Marionneau C, Couette B, Liu J, Li H, Mangoni ME, Nargeot J, </w:t>
      </w:r>
      <w:r w:rsidRPr="00F4098D">
        <w:rPr>
          <w:rFonts w:ascii="Times New Roman" w:hAnsi="Times New Roman"/>
          <w:i/>
          <w:noProof/>
          <w:sz w:val="24"/>
          <w:szCs w:val="24"/>
        </w:rPr>
        <w:t>et al</w:t>
      </w:r>
      <w:r w:rsidRPr="000E07F4">
        <w:rPr>
          <w:rFonts w:ascii="Times New Roman" w:hAnsi="Times New Roman"/>
          <w:noProof/>
          <w:sz w:val="24"/>
          <w:szCs w:val="24"/>
        </w:rPr>
        <w:t xml:space="preserve">. Specific pattern of ionic channel gene expression associated with pacemaker activity in the mouse heart. </w:t>
      </w:r>
      <w:r w:rsidRPr="00F4098D">
        <w:rPr>
          <w:rFonts w:ascii="Times New Roman" w:hAnsi="Times New Roman"/>
          <w:i/>
          <w:noProof/>
          <w:sz w:val="24"/>
          <w:szCs w:val="24"/>
        </w:rPr>
        <w:t>J Physiol</w:t>
      </w:r>
      <w:r w:rsidRPr="000E07F4">
        <w:rPr>
          <w:rFonts w:ascii="Times New Roman" w:hAnsi="Times New Roman"/>
          <w:noProof/>
          <w:sz w:val="24"/>
          <w:szCs w:val="24"/>
        </w:rPr>
        <w:t xml:space="preserve"> 2005;</w:t>
      </w:r>
      <w:r w:rsidR="00F46BEE">
        <w:rPr>
          <w:rFonts w:ascii="Times New Roman" w:hAnsi="Times New Roman"/>
          <w:noProof/>
          <w:sz w:val="24"/>
          <w:szCs w:val="24"/>
        </w:rPr>
        <w:t xml:space="preserve"> </w:t>
      </w:r>
      <w:r w:rsidRPr="00F4098D">
        <w:rPr>
          <w:rFonts w:ascii="Times New Roman" w:hAnsi="Times New Roman"/>
          <w:b/>
          <w:noProof/>
          <w:sz w:val="24"/>
          <w:szCs w:val="24"/>
        </w:rPr>
        <w:t>562</w:t>
      </w:r>
      <w:r w:rsidRPr="000E07F4">
        <w:rPr>
          <w:rFonts w:ascii="Times New Roman" w:hAnsi="Times New Roman"/>
          <w:noProof/>
          <w:sz w:val="24"/>
          <w:szCs w:val="24"/>
        </w:rPr>
        <w:t>:</w:t>
      </w:r>
      <w:r w:rsidR="00C87145">
        <w:rPr>
          <w:rFonts w:ascii="Times New Roman" w:hAnsi="Times New Roman"/>
          <w:noProof/>
          <w:sz w:val="24"/>
          <w:szCs w:val="24"/>
        </w:rPr>
        <w:t xml:space="preserve"> </w:t>
      </w:r>
      <w:r w:rsidRPr="000E07F4">
        <w:rPr>
          <w:rFonts w:ascii="Times New Roman" w:hAnsi="Times New Roman"/>
          <w:noProof/>
          <w:sz w:val="24"/>
          <w:szCs w:val="24"/>
        </w:rPr>
        <w:t xml:space="preserve">223–34. </w:t>
      </w:r>
    </w:p>
    <w:p w14:paraId="3AC468C7"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19. </w:t>
      </w:r>
      <w:r w:rsidRPr="000E07F4">
        <w:rPr>
          <w:rFonts w:ascii="Times New Roman" w:hAnsi="Times New Roman"/>
          <w:noProof/>
          <w:sz w:val="24"/>
          <w:szCs w:val="24"/>
        </w:rPr>
        <w:tab/>
        <w:t>Mintert E, Bösche LI, Rinne A, Timpert M, Kienitz M-C, Pott L,</w:t>
      </w:r>
      <w:r w:rsidRPr="00F4098D">
        <w:rPr>
          <w:rFonts w:ascii="Times New Roman" w:hAnsi="Times New Roman"/>
          <w:i/>
          <w:noProof/>
          <w:sz w:val="24"/>
          <w:szCs w:val="24"/>
        </w:rPr>
        <w:t xml:space="preserve"> et al. </w:t>
      </w:r>
      <w:r w:rsidRPr="000E07F4">
        <w:rPr>
          <w:rFonts w:ascii="Times New Roman" w:hAnsi="Times New Roman"/>
          <w:noProof/>
          <w:sz w:val="24"/>
          <w:szCs w:val="24"/>
        </w:rPr>
        <w:t xml:space="preserve">Generation of a constitutive Na+-dependent inward-rectifier current in rat adult atrial myocytes by overexpression of Kir3.4. </w:t>
      </w:r>
      <w:r w:rsidRPr="00F4098D">
        <w:rPr>
          <w:rFonts w:ascii="Times New Roman" w:hAnsi="Times New Roman"/>
          <w:i/>
          <w:noProof/>
          <w:sz w:val="24"/>
          <w:szCs w:val="24"/>
        </w:rPr>
        <w:t>J Physiol</w:t>
      </w:r>
      <w:r w:rsidRPr="000E07F4">
        <w:rPr>
          <w:rFonts w:ascii="Times New Roman" w:hAnsi="Times New Roman"/>
          <w:noProof/>
          <w:sz w:val="24"/>
          <w:szCs w:val="24"/>
        </w:rPr>
        <w:t xml:space="preserve"> 2007;</w:t>
      </w:r>
      <w:r w:rsidR="00F46BEE">
        <w:rPr>
          <w:rFonts w:ascii="Times New Roman" w:hAnsi="Times New Roman"/>
          <w:noProof/>
          <w:sz w:val="24"/>
          <w:szCs w:val="24"/>
        </w:rPr>
        <w:t xml:space="preserve"> </w:t>
      </w:r>
      <w:r w:rsidRPr="00F4098D">
        <w:rPr>
          <w:rFonts w:ascii="Times New Roman" w:hAnsi="Times New Roman"/>
          <w:b/>
          <w:noProof/>
          <w:sz w:val="24"/>
          <w:szCs w:val="24"/>
        </w:rPr>
        <w:t>585</w:t>
      </w:r>
      <w:r w:rsidRPr="000E07F4">
        <w:rPr>
          <w:rFonts w:ascii="Times New Roman" w:hAnsi="Times New Roman"/>
          <w:noProof/>
          <w:sz w:val="24"/>
          <w:szCs w:val="24"/>
        </w:rPr>
        <w:t>:</w:t>
      </w:r>
      <w:r w:rsidR="00C87145">
        <w:rPr>
          <w:rFonts w:ascii="Times New Roman" w:hAnsi="Times New Roman"/>
          <w:noProof/>
          <w:sz w:val="24"/>
          <w:szCs w:val="24"/>
        </w:rPr>
        <w:t xml:space="preserve"> </w:t>
      </w:r>
      <w:r w:rsidRPr="000E07F4">
        <w:rPr>
          <w:rFonts w:ascii="Times New Roman" w:hAnsi="Times New Roman"/>
          <w:noProof/>
          <w:sz w:val="24"/>
          <w:szCs w:val="24"/>
        </w:rPr>
        <w:t xml:space="preserve">3–13. </w:t>
      </w:r>
    </w:p>
    <w:p w14:paraId="3AC468C8"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20. </w:t>
      </w:r>
      <w:r w:rsidRPr="000E07F4">
        <w:rPr>
          <w:rFonts w:ascii="Times New Roman" w:hAnsi="Times New Roman"/>
          <w:noProof/>
          <w:sz w:val="24"/>
          <w:szCs w:val="24"/>
        </w:rPr>
        <w:tab/>
        <w:t xml:space="preserve">Monticone S, Hattangady NG, Nishimoto K, Mantero F, Rubin B, Cicala MV, </w:t>
      </w:r>
      <w:r w:rsidRPr="00F4098D">
        <w:rPr>
          <w:rFonts w:ascii="Times New Roman" w:hAnsi="Times New Roman"/>
          <w:i/>
          <w:noProof/>
          <w:sz w:val="24"/>
          <w:szCs w:val="24"/>
        </w:rPr>
        <w:t>et al.</w:t>
      </w:r>
      <w:r w:rsidRPr="000E07F4">
        <w:rPr>
          <w:rFonts w:ascii="Times New Roman" w:hAnsi="Times New Roman"/>
          <w:noProof/>
          <w:sz w:val="24"/>
          <w:szCs w:val="24"/>
        </w:rPr>
        <w:t xml:space="preserve"> Effect of KCNJ5 mutations on gene expression in aldosterone-producing adenomas and adrenocortical cells.</w:t>
      </w:r>
      <w:r w:rsidRPr="00F4098D">
        <w:rPr>
          <w:rFonts w:ascii="Times New Roman" w:hAnsi="Times New Roman"/>
          <w:i/>
          <w:noProof/>
          <w:sz w:val="24"/>
          <w:szCs w:val="24"/>
        </w:rPr>
        <w:t xml:space="preserve"> J Clin Endocrinol Metab</w:t>
      </w:r>
      <w:r w:rsidRPr="000E07F4">
        <w:rPr>
          <w:rFonts w:ascii="Times New Roman" w:hAnsi="Times New Roman"/>
          <w:noProof/>
          <w:sz w:val="24"/>
          <w:szCs w:val="24"/>
        </w:rPr>
        <w:t xml:space="preserve"> 2012;</w:t>
      </w:r>
      <w:r w:rsidR="00F46BEE">
        <w:rPr>
          <w:rFonts w:ascii="Times New Roman" w:hAnsi="Times New Roman"/>
          <w:noProof/>
          <w:sz w:val="24"/>
          <w:szCs w:val="24"/>
        </w:rPr>
        <w:t xml:space="preserve"> </w:t>
      </w:r>
      <w:r w:rsidRPr="00F4098D">
        <w:rPr>
          <w:rFonts w:ascii="Times New Roman" w:hAnsi="Times New Roman"/>
          <w:b/>
          <w:noProof/>
          <w:sz w:val="24"/>
          <w:szCs w:val="24"/>
        </w:rPr>
        <w:t>97</w:t>
      </w:r>
      <w:r w:rsidRPr="000E07F4">
        <w:rPr>
          <w:rFonts w:ascii="Times New Roman" w:hAnsi="Times New Roman"/>
          <w:noProof/>
          <w:sz w:val="24"/>
          <w:szCs w:val="24"/>
        </w:rPr>
        <w:t>:</w:t>
      </w:r>
      <w:r w:rsidR="00C87145">
        <w:rPr>
          <w:rFonts w:ascii="Times New Roman" w:hAnsi="Times New Roman"/>
          <w:noProof/>
          <w:sz w:val="24"/>
          <w:szCs w:val="24"/>
        </w:rPr>
        <w:t xml:space="preserve"> </w:t>
      </w:r>
      <w:r w:rsidR="00F46BEE">
        <w:rPr>
          <w:rFonts w:ascii="Times New Roman" w:hAnsi="Times New Roman"/>
          <w:noProof/>
          <w:sz w:val="24"/>
          <w:szCs w:val="24"/>
        </w:rPr>
        <w:t>E</w:t>
      </w:r>
      <w:r w:rsidRPr="000E07F4">
        <w:rPr>
          <w:rFonts w:ascii="Times New Roman" w:hAnsi="Times New Roman"/>
          <w:noProof/>
          <w:sz w:val="24"/>
          <w:szCs w:val="24"/>
        </w:rPr>
        <w:t xml:space="preserve">1567–72. </w:t>
      </w:r>
    </w:p>
    <w:p w14:paraId="3AC468C9"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21. </w:t>
      </w:r>
      <w:r w:rsidRPr="000E07F4">
        <w:rPr>
          <w:rFonts w:ascii="Times New Roman" w:hAnsi="Times New Roman"/>
          <w:noProof/>
          <w:sz w:val="24"/>
          <w:szCs w:val="24"/>
        </w:rPr>
        <w:tab/>
        <w:t xml:space="preserve">Oki K, Plonczynski MW, Lam ML, Gomez-Sanchez EP, Gomez-Sanchez CE. The potassium channel, Kir3.4 participates in angiotensin II-stimulated aldosterone production by a human adrenocortical cell line. </w:t>
      </w:r>
      <w:r w:rsidRPr="00F4098D">
        <w:rPr>
          <w:rFonts w:ascii="Times New Roman" w:hAnsi="Times New Roman"/>
          <w:i/>
          <w:noProof/>
          <w:sz w:val="24"/>
          <w:szCs w:val="24"/>
        </w:rPr>
        <w:t>Endocrinology</w:t>
      </w:r>
      <w:r w:rsidRPr="000E07F4">
        <w:rPr>
          <w:rFonts w:ascii="Times New Roman" w:hAnsi="Times New Roman"/>
          <w:noProof/>
          <w:sz w:val="24"/>
          <w:szCs w:val="24"/>
        </w:rPr>
        <w:t xml:space="preserve"> 2012;</w:t>
      </w:r>
      <w:r w:rsidR="00F46BEE">
        <w:rPr>
          <w:rFonts w:ascii="Times New Roman" w:hAnsi="Times New Roman"/>
          <w:noProof/>
          <w:sz w:val="24"/>
          <w:szCs w:val="24"/>
        </w:rPr>
        <w:t xml:space="preserve"> </w:t>
      </w:r>
      <w:r w:rsidRPr="00F4098D">
        <w:rPr>
          <w:rFonts w:ascii="Times New Roman" w:hAnsi="Times New Roman"/>
          <w:b/>
          <w:noProof/>
          <w:sz w:val="24"/>
          <w:szCs w:val="24"/>
        </w:rPr>
        <w:t>153</w:t>
      </w:r>
      <w:r w:rsidRPr="000E07F4">
        <w:rPr>
          <w:rFonts w:ascii="Times New Roman" w:hAnsi="Times New Roman"/>
          <w:noProof/>
          <w:sz w:val="24"/>
          <w:szCs w:val="24"/>
        </w:rPr>
        <w:t>:</w:t>
      </w:r>
      <w:r w:rsidR="00C87145">
        <w:rPr>
          <w:rFonts w:ascii="Times New Roman" w:hAnsi="Times New Roman"/>
          <w:noProof/>
          <w:sz w:val="24"/>
          <w:szCs w:val="24"/>
        </w:rPr>
        <w:t xml:space="preserve"> </w:t>
      </w:r>
      <w:r w:rsidRPr="000E07F4">
        <w:rPr>
          <w:rFonts w:ascii="Times New Roman" w:hAnsi="Times New Roman"/>
          <w:noProof/>
          <w:sz w:val="24"/>
          <w:szCs w:val="24"/>
        </w:rPr>
        <w:t xml:space="preserve">4328–35. </w:t>
      </w:r>
    </w:p>
    <w:p w14:paraId="3AC468CA"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22. </w:t>
      </w:r>
      <w:r w:rsidRPr="000E07F4">
        <w:rPr>
          <w:rFonts w:ascii="Times New Roman" w:hAnsi="Times New Roman"/>
          <w:noProof/>
          <w:sz w:val="24"/>
          <w:szCs w:val="24"/>
        </w:rPr>
        <w:tab/>
        <w:t>Monticone S, Bandulik S, Stindl J, Zilbermint M, Dedov I, Mulatero P,</w:t>
      </w:r>
      <w:r w:rsidRPr="00F4098D">
        <w:rPr>
          <w:rFonts w:ascii="Times New Roman" w:hAnsi="Times New Roman"/>
          <w:i/>
          <w:noProof/>
          <w:sz w:val="24"/>
          <w:szCs w:val="24"/>
        </w:rPr>
        <w:t xml:space="preserve"> et al.</w:t>
      </w:r>
      <w:r w:rsidRPr="000E07F4">
        <w:rPr>
          <w:rFonts w:ascii="Times New Roman" w:hAnsi="Times New Roman"/>
          <w:noProof/>
          <w:sz w:val="24"/>
          <w:szCs w:val="24"/>
        </w:rPr>
        <w:t xml:space="preserve"> A case of severe hyperaldosteronism caused by a de novo mutation affecting a critical salt bridge Kir3.4 residue. </w:t>
      </w:r>
      <w:r w:rsidRPr="00F4098D">
        <w:rPr>
          <w:rFonts w:ascii="Times New Roman" w:hAnsi="Times New Roman"/>
          <w:i/>
          <w:noProof/>
          <w:sz w:val="24"/>
          <w:szCs w:val="24"/>
        </w:rPr>
        <w:t>J Clin Endocrinol Metab</w:t>
      </w:r>
      <w:r w:rsidRPr="000E07F4">
        <w:rPr>
          <w:rFonts w:ascii="Times New Roman" w:hAnsi="Times New Roman"/>
          <w:noProof/>
          <w:sz w:val="24"/>
          <w:szCs w:val="24"/>
        </w:rPr>
        <w:t xml:space="preserve"> 2015;</w:t>
      </w:r>
      <w:r w:rsidR="00F46BEE">
        <w:rPr>
          <w:rFonts w:ascii="Times New Roman" w:hAnsi="Times New Roman"/>
          <w:noProof/>
          <w:sz w:val="24"/>
          <w:szCs w:val="24"/>
        </w:rPr>
        <w:t xml:space="preserve"> </w:t>
      </w:r>
      <w:r w:rsidRPr="00F4098D">
        <w:rPr>
          <w:rFonts w:ascii="Times New Roman" w:hAnsi="Times New Roman"/>
          <w:b/>
          <w:noProof/>
          <w:sz w:val="24"/>
          <w:szCs w:val="24"/>
        </w:rPr>
        <w:t>100</w:t>
      </w:r>
      <w:r w:rsidRPr="000E07F4">
        <w:rPr>
          <w:rFonts w:ascii="Times New Roman" w:hAnsi="Times New Roman"/>
          <w:noProof/>
          <w:sz w:val="24"/>
          <w:szCs w:val="24"/>
        </w:rPr>
        <w:t>:</w:t>
      </w:r>
      <w:r w:rsidR="00C87145">
        <w:rPr>
          <w:rFonts w:ascii="Times New Roman" w:hAnsi="Times New Roman"/>
          <w:noProof/>
          <w:sz w:val="24"/>
          <w:szCs w:val="24"/>
        </w:rPr>
        <w:t xml:space="preserve"> </w:t>
      </w:r>
      <w:r w:rsidRPr="000E07F4">
        <w:rPr>
          <w:rFonts w:ascii="Times New Roman" w:hAnsi="Times New Roman"/>
          <w:noProof/>
          <w:sz w:val="24"/>
          <w:szCs w:val="24"/>
        </w:rPr>
        <w:t xml:space="preserve">114–8. </w:t>
      </w:r>
    </w:p>
    <w:p w14:paraId="3AC468CB"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23. </w:t>
      </w:r>
      <w:r w:rsidRPr="000E07F4">
        <w:rPr>
          <w:rFonts w:ascii="Times New Roman" w:hAnsi="Times New Roman"/>
          <w:noProof/>
          <w:sz w:val="24"/>
          <w:szCs w:val="24"/>
        </w:rPr>
        <w:tab/>
        <w:t xml:space="preserve">Monticone S, Hattangady NG, Penton D, Isales CM, Edwards MA, Williams TA, </w:t>
      </w:r>
      <w:r w:rsidRPr="00F4098D">
        <w:rPr>
          <w:rFonts w:ascii="Times New Roman" w:hAnsi="Times New Roman"/>
          <w:i/>
          <w:noProof/>
          <w:sz w:val="24"/>
          <w:szCs w:val="24"/>
        </w:rPr>
        <w:t>et al.</w:t>
      </w:r>
      <w:r w:rsidRPr="000E07F4">
        <w:rPr>
          <w:rFonts w:ascii="Times New Roman" w:hAnsi="Times New Roman"/>
          <w:noProof/>
          <w:sz w:val="24"/>
          <w:szCs w:val="24"/>
        </w:rPr>
        <w:t xml:space="preserve"> A novel Y152C KCNJ5 mutation responsible for familial hyperaldosteronism type III. </w:t>
      </w:r>
      <w:r w:rsidRPr="00F4098D">
        <w:rPr>
          <w:rFonts w:ascii="Times New Roman" w:hAnsi="Times New Roman"/>
          <w:i/>
          <w:noProof/>
          <w:sz w:val="24"/>
          <w:szCs w:val="24"/>
        </w:rPr>
        <w:t>J Clin Endocrinol Metab</w:t>
      </w:r>
      <w:r w:rsidRPr="000E07F4">
        <w:rPr>
          <w:rFonts w:ascii="Times New Roman" w:hAnsi="Times New Roman"/>
          <w:noProof/>
          <w:sz w:val="24"/>
          <w:szCs w:val="24"/>
        </w:rPr>
        <w:t xml:space="preserve"> 2013;</w:t>
      </w:r>
      <w:r w:rsidR="00B94845">
        <w:rPr>
          <w:rFonts w:ascii="Times New Roman" w:hAnsi="Times New Roman"/>
          <w:noProof/>
          <w:sz w:val="24"/>
          <w:szCs w:val="24"/>
        </w:rPr>
        <w:t xml:space="preserve"> </w:t>
      </w:r>
      <w:r w:rsidRPr="00F4098D">
        <w:rPr>
          <w:rFonts w:ascii="Times New Roman" w:hAnsi="Times New Roman"/>
          <w:b/>
          <w:noProof/>
          <w:sz w:val="24"/>
          <w:szCs w:val="24"/>
        </w:rPr>
        <w:t>98</w:t>
      </w:r>
      <w:r w:rsidRPr="000E07F4">
        <w:rPr>
          <w:rFonts w:ascii="Times New Roman" w:hAnsi="Times New Roman"/>
          <w:noProof/>
          <w:sz w:val="24"/>
          <w:szCs w:val="24"/>
        </w:rPr>
        <w:t>:</w:t>
      </w:r>
      <w:r w:rsidR="00C87145">
        <w:rPr>
          <w:rFonts w:ascii="Times New Roman" w:hAnsi="Times New Roman"/>
          <w:noProof/>
          <w:sz w:val="24"/>
          <w:szCs w:val="24"/>
        </w:rPr>
        <w:t xml:space="preserve"> </w:t>
      </w:r>
      <w:r w:rsidRPr="000E07F4">
        <w:rPr>
          <w:rFonts w:ascii="Times New Roman" w:hAnsi="Times New Roman"/>
          <w:noProof/>
          <w:sz w:val="24"/>
          <w:szCs w:val="24"/>
        </w:rPr>
        <w:t xml:space="preserve">1861–5. </w:t>
      </w:r>
    </w:p>
    <w:p w14:paraId="3AC468CC"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24. </w:t>
      </w:r>
      <w:r w:rsidRPr="000E07F4">
        <w:rPr>
          <w:rFonts w:ascii="Times New Roman" w:hAnsi="Times New Roman"/>
          <w:noProof/>
          <w:sz w:val="24"/>
          <w:szCs w:val="24"/>
        </w:rPr>
        <w:tab/>
        <w:t>Scholl UI, Nelson-Williams C, Yue P, Grekin R, Wyatt RJ, Dillon MJ,</w:t>
      </w:r>
      <w:r w:rsidRPr="00F4098D">
        <w:rPr>
          <w:rFonts w:ascii="Times New Roman" w:hAnsi="Times New Roman"/>
          <w:i/>
          <w:noProof/>
          <w:sz w:val="24"/>
          <w:szCs w:val="24"/>
        </w:rPr>
        <w:t xml:space="preserve"> et al.</w:t>
      </w:r>
      <w:r w:rsidRPr="000E07F4">
        <w:rPr>
          <w:rFonts w:ascii="Times New Roman" w:hAnsi="Times New Roman"/>
          <w:noProof/>
          <w:sz w:val="24"/>
          <w:szCs w:val="24"/>
        </w:rPr>
        <w:t xml:space="preserve"> Hypertension with or without adrenal hyperplasia due to different inherited mutations in the potassium channel KCNJ5. </w:t>
      </w:r>
      <w:r w:rsidRPr="00F4098D">
        <w:rPr>
          <w:rFonts w:ascii="Times New Roman" w:hAnsi="Times New Roman"/>
          <w:i/>
          <w:noProof/>
          <w:sz w:val="24"/>
          <w:szCs w:val="24"/>
        </w:rPr>
        <w:t>Proc Natl Acad Sci U S A</w:t>
      </w:r>
      <w:r w:rsidRPr="000E07F4">
        <w:rPr>
          <w:rFonts w:ascii="Times New Roman" w:hAnsi="Times New Roman"/>
          <w:noProof/>
          <w:sz w:val="24"/>
          <w:szCs w:val="24"/>
        </w:rPr>
        <w:t xml:space="preserve">  2012;</w:t>
      </w:r>
      <w:r w:rsidR="00B94845">
        <w:rPr>
          <w:rFonts w:ascii="Times New Roman" w:hAnsi="Times New Roman"/>
          <w:noProof/>
          <w:sz w:val="24"/>
          <w:szCs w:val="24"/>
        </w:rPr>
        <w:t xml:space="preserve"> </w:t>
      </w:r>
      <w:r w:rsidRPr="00F4098D">
        <w:rPr>
          <w:rFonts w:ascii="Times New Roman" w:hAnsi="Times New Roman"/>
          <w:b/>
          <w:noProof/>
          <w:sz w:val="24"/>
          <w:szCs w:val="24"/>
        </w:rPr>
        <w:t>109</w:t>
      </w:r>
      <w:r w:rsidRPr="000E07F4">
        <w:rPr>
          <w:rFonts w:ascii="Times New Roman" w:hAnsi="Times New Roman"/>
          <w:noProof/>
          <w:sz w:val="24"/>
          <w:szCs w:val="24"/>
        </w:rPr>
        <w:t>:</w:t>
      </w:r>
      <w:r w:rsidR="00C87145">
        <w:rPr>
          <w:rFonts w:ascii="Times New Roman" w:hAnsi="Times New Roman"/>
          <w:noProof/>
          <w:sz w:val="24"/>
          <w:szCs w:val="24"/>
        </w:rPr>
        <w:t xml:space="preserve"> </w:t>
      </w:r>
      <w:r w:rsidRPr="000E07F4">
        <w:rPr>
          <w:rFonts w:ascii="Times New Roman" w:hAnsi="Times New Roman"/>
          <w:noProof/>
          <w:sz w:val="24"/>
          <w:szCs w:val="24"/>
        </w:rPr>
        <w:t>2533–8.</w:t>
      </w:r>
    </w:p>
    <w:p w14:paraId="3AC468CD"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25. </w:t>
      </w:r>
      <w:r w:rsidRPr="000E07F4">
        <w:rPr>
          <w:rFonts w:ascii="Times New Roman" w:hAnsi="Times New Roman"/>
          <w:noProof/>
          <w:sz w:val="24"/>
          <w:szCs w:val="24"/>
        </w:rPr>
        <w:tab/>
        <w:t xml:space="preserve">Mulatero P, Tauber P, Zennaro MC, Monticone S, Lang K, Beuschlein F, </w:t>
      </w:r>
      <w:r w:rsidRPr="00F4098D">
        <w:rPr>
          <w:rFonts w:ascii="Times New Roman" w:hAnsi="Times New Roman"/>
          <w:i/>
          <w:noProof/>
          <w:sz w:val="24"/>
          <w:szCs w:val="24"/>
        </w:rPr>
        <w:t>et al</w:t>
      </w:r>
      <w:r w:rsidRPr="000E07F4">
        <w:rPr>
          <w:rFonts w:ascii="Times New Roman" w:hAnsi="Times New Roman"/>
          <w:noProof/>
          <w:sz w:val="24"/>
          <w:szCs w:val="24"/>
        </w:rPr>
        <w:t xml:space="preserve">. KCNJ5 mutations in European families with nonglucocorticoid remediable familial hyperaldosteronism. </w:t>
      </w:r>
      <w:r w:rsidRPr="00D82520">
        <w:rPr>
          <w:rFonts w:ascii="Times New Roman" w:hAnsi="Times New Roman"/>
          <w:i/>
          <w:noProof/>
          <w:sz w:val="24"/>
          <w:szCs w:val="24"/>
        </w:rPr>
        <w:t>Hypertension</w:t>
      </w:r>
      <w:r w:rsidRPr="000E07F4">
        <w:rPr>
          <w:rFonts w:ascii="Times New Roman" w:hAnsi="Times New Roman"/>
          <w:noProof/>
          <w:sz w:val="24"/>
          <w:szCs w:val="24"/>
        </w:rPr>
        <w:t xml:space="preserve"> 2012;</w:t>
      </w:r>
      <w:r w:rsidR="00B94845">
        <w:rPr>
          <w:rFonts w:ascii="Times New Roman" w:hAnsi="Times New Roman"/>
          <w:noProof/>
          <w:sz w:val="24"/>
          <w:szCs w:val="24"/>
        </w:rPr>
        <w:t xml:space="preserve"> </w:t>
      </w:r>
      <w:r w:rsidRPr="00F4098D">
        <w:rPr>
          <w:rFonts w:ascii="Times New Roman" w:hAnsi="Times New Roman"/>
          <w:b/>
          <w:noProof/>
          <w:sz w:val="24"/>
          <w:szCs w:val="24"/>
        </w:rPr>
        <w:t>59</w:t>
      </w:r>
      <w:r w:rsidRPr="000E07F4">
        <w:rPr>
          <w:rFonts w:ascii="Times New Roman" w:hAnsi="Times New Roman"/>
          <w:noProof/>
          <w:sz w:val="24"/>
          <w:szCs w:val="24"/>
        </w:rPr>
        <w:t>:</w:t>
      </w:r>
      <w:r w:rsidR="00C87145">
        <w:rPr>
          <w:rFonts w:ascii="Times New Roman" w:hAnsi="Times New Roman"/>
          <w:noProof/>
          <w:sz w:val="24"/>
          <w:szCs w:val="24"/>
        </w:rPr>
        <w:t xml:space="preserve"> </w:t>
      </w:r>
      <w:r w:rsidRPr="000E07F4">
        <w:rPr>
          <w:rFonts w:ascii="Times New Roman" w:hAnsi="Times New Roman"/>
          <w:noProof/>
          <w:sz w:val="24"/>
          <w:szCs w:val="24"/>
        </w:rPr>
        <w:t xml:space="preserve">235–40. </w:t>
      </w:r>
    </w:p>
    <w:p w14:paraId="3AC468CE"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26. </w:t>
      </w:r>
      <w:r w:rsidRPr="000E07F4">
        <w:rPr>
          <w:rFonts w:ascii="Times New Roman" w:hAnsi="Times New Roman"/>
          <w:noProof/>
          <w:sz w:val="24"/>
          <w:szCs w:val="24"/>
        </w:rPr>
        <w:tab/>
        <w:t xml:space="preserve">Tauber P, Penton D, Stindl J, Humberg E, Tegtmeier I, Sterner C, </w:t>
      </w:r>
      <w:r w:rsidRPr="00F4098D">
        <w:rPr>
          <w:rFonts w:ascii="Times New Roman" w:hAnsi="Times New Roman"/>
          <w:i/>
          <w:noProof/>
          <w:sz w:val="24"/>
          <w:szCs w:val="24"/>
        </w:rPr>
        <w:t>et al</w:t>
      </w:r>
      <w:r w:rsidRPr="000E07F4">
        <w:rPr>
          <w:rFonts w:ascii="Times New Roman" w:hAnsi="Times New Roman"/>
          <w:noProof/>
          <w:sz w:val="24"/>
          <w:szCs w:val="24"/>
        </w:rPr>
        <w:t xml:space="preserve">. Pharmacology and pathophysiology of mutated KCNJ5 found in adrenal aldosterone-producing adenomas. </w:t>
      </w:r>
      <w:r w:rsidRPr="00F4098D">
        <w:rPr>
          <w:rFonts w:ascii="Times New Roman" w:hAnsi="Times New Roman"/>
          <w:i/>
          <w:noProof/>
          <w:sz w:val="24"/>
          <w:szCs w:val="24"/>
        </w:rPr>
        <w:t>Endocrinology</w:t>
      </w:r>
      <w:r w:rsidRPr="000E07F4">
        <w:rPr>
          <w:rFonts w:ascii="Times New Roman" w:hAnsi="Times New Roman"/>
          <w:noProof/>
          <w:sz w:val="24"/>
          <w:szCs w:val="24"/>
        </w:rPr>
        <w:t xml:space="preserve"> 2014;</w:t>
      </w:r>
      <w:r w:rsidR="00B94845">
        <w:rPr>
          <w:rFonts w:ascii="Times New Roman" w:hAnsi="Times New Roman"/>
          <w:noProof/>
          <w:sz w:val="24"/>
          <w:szCs w:val="24"/>
        </w:rPr>
        <w:t xml:space="preserve"> </w:t>
      </w:r>
      <w:r w:rsidRPr="00830B3E">
        <w:rPr>
          <w:rFonts w:ascii="Times New Roman" w:hAnsi="Times New Roman"/>
          <w:b/>
          <w:noProof/>
          <w:sz w:val="24"/>
          <w:szCs w:val="24"/>
        </w:rPr>
        <w:t>155</w:t>
      </w:r>
      <w:r w:rsidRPr="000E07F4">
        <w:rPr>
          <w:rFonts w:ascii="Times New Roman" w:hAnsi="Times New Roman"/>
          <w:noProof/>
          <w:sz w:val="24"/>
          <w:szCs w:val="24"/>
        </w:rPr>
        <w:t>:</w:t>
      </w:r>
      <w:r w:rsidR="00C87145">
        <w:rPr>
          <w:rFonts w:ascii="Times New Roman" w:hAnsi="Times New Roman"/>
          <w:noProof/>
          <w:sz w:val="24"/>
          <w:szCs w:val="24"/>
        </w:rPr>
        <w:t xml:space="preserve"> </w:t>
      </w:r>
      <w:r w:rsidRPr="000E07F4">
        <w:rPr>
          <w:rFonts w:ascii="Times New Roman" w:hAnsi="Times New Roman"/>
          <w:noProof/>
          <w:sz w:val="24"/>
          <w:szCs w:val="24"/>
        </w:rPr>
        <w:t xml:space="preserve">1353–62. </w:t>
      </w:r>
    </w:p>
    <w:p w14:paraId="3AC468CF"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27. </w:t>
      </w:r>
      <w:r w:rsidRPr="000E07F4">
        <w:rPr>
          <w:rFonts w:ascii="Times New Roman" w:hAnsi="Times New Roman"/>
          <w:noProof/>
          <w:sz w:val="24"/>
          <w:szCs w:val="24"/>
        </w:rPr>
        <w:tab/>
        <w:t xml:space="preserve">Murthy M, Xu S, Massimo G, Wolley M, Gordon RD, Stowasser M, </w:t>
      </w:r>
      <w:r w:rsidRPr="00F4098D">
        <w:rPr>
          <w:rFonts w:ascii="Times New Roman" w:hAnsi="Times New Roman"/>
          <w:i/>
          <w:noProof/>
          <w:sz w:val="24"/>
          <w:szCs w:val="24"/>
        </w:rPr>
        <w:t>et al</w:t>
      </w:r>
      <w:r w:rsidRPr="000E07F4">
        <w:rPr>
          <w:rFonts w:ascii="Times New Roman" w:hAnsi="Times New Roman"/>
          <w:noProof/>
          <w:sz w:val="24"/>
          <w:szCs w:val="24"/>
        </w:rPr>
        <w:t xml:space="preserve">. Role for germline mutations and a rare coding single nucleotide polymorphism within the KCNJ5 potassium channel in a large cohort of sporadic cases of primary aldosteronism. </w:t>
      </w:r>
      <w:r w:rsidRPr="00F4098D">
        <w:rPr>
          <w:rFonts w:ascii="Times New Roman" w:hAnsi="Times New Roman"/>
          <w:i/>
          <w:noProof/>
          <w:sz w:val="24"/>
          <w:szCs w:val="24"/>
        </w:rPr>
        <w:t>Hypertension</w:t>
      </w:r>
      <w:r w:rsidRPr="000E07F4">
        <w:rPr>
          <w:rFonts w:ascii="Times New Roman" w:hAnsi="Times New Roman"/>
          <w:noProof/>
          <w:sz w:val="24"/>
          <w:szCs w:val="24"/>
        </w:rPr>
        <w:t xml:space="preserve"> 2014;</w:t>
      </w:r>
      <w:r w:rsidR="009255D8">
        <w:rPr>
          <w:rFonts w:ascii="Times New Roman" w:hAnsi="Times New Roman"/>
          <w:noProof/>
          <w:sz w:val="24"/>
          <w:szCs w:val="24"/>
        </w:rPr>
        <w:t xml:space="preserve"> </w:t>
      </w:r>
      <w:r w:rsidRPr="00F4098D">
        <w:rPr>
          <w:rFonts w:ascii="Times New Roman" w:hAnsi="Times New Roman"/>
          <w:b/>
          <w:noProof/>
          <w:sz w:val="24"/>
          <w:szCs w:val="24"/>
        </w:rPr>
        <w:t>63</w:t>
      </w:r>
      <w:r w:rsidRPr="000E07F4">
        <w:rPr>
          <w:rFonts w:ascii="Times New Roman" w:hAnsi="Times New Roman"/>
          <w:noProof/>
          <w:sz w:val="24"/>
          <w:szCs w:val="24"/>
        </w:rPr>
        <w:t>:</w:t>
      </w:r>
      <w:r w:rsidR="00C87145">
        <w:rPr>
          <w:rFonts w:ascii="Times New Roman" w:hAnsi="Times New Roman"/>
          <w:noProof/>
          <w:sz w:val="24"/>
          <w:szCs w:val="24"/>
        </w:rPr>
        <w:t xml:space="preserve"> </w:t>
      </w:r>
      <w:r w:rsidRPr="000E07F4">
        <w:rPr>
          <w:rFonts w:ascii="Times New Roman" w:hAnsi="Times New Roman"/>
          <w:noProof/>
          <w:sz w:val="24"/>
          <w:szCs w:val="24"/>
        </w:rPr>
        <w:t xml:space="preserve">783–9. </w:t>
      </w:r>
    </w:p>
    <w:p w14:paraId="3AC468D0"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28. </w:t>
      </w:r>
      <w:r w:rsidRPr="000E07F4">
        <w:rPr>
          <w:rFonts w:ascii="Times New Roman" w:hAnsi="Times New Roman"/>
          <w:noProof/>
          <w:sz w:val="24"/>
          <w:szCs w:val="24"/>
        </w:rPr>
        <w:tab/>
        <w:t xml:space="preserve">Sertedaki A, Markou A, Vlachakis D, Kossida S, Campanac E, Hoffman DA, </w:t>
      </w:r>
      <w:r w:rsidRPr="00F4098D">
        <w:rPr>
          <w:rFonts w:ascii="Times New Roman" w:hAnsi="Times New Roman"/>
          <w:i/>
          <w:noProof/>
          <w:sz w:val="24"/>
          <w:szCs w:val="24"/>
        </w:rPr>
        <w:t>et al</w:t>
      </w:r>
      <w:r w:rsidRPr="000E07F4">
        <w:rPr>
          <w:rFonts w:ascii="Times New Roman" w:hAnsi="Times New Roman"/>
          <w:noProof/>
          <w:sz w:val="24"/>
          <w:szCs w:val="24"/>
        </w:rPr>
        <w:t xml:space="preserve">. Functional characterization of two novel germline mutations of the KCNJ5 gene in hypertensive patients without </w:t>
      </w:r>
      <w:r w:rsidR="009255D8">
        <w:rPr>
          <w:rFonts w:ascii="Times New Roman" w:hAnsi="Times New Roman"/>
          <w:noProof/>
          <w:sz w:val="24"/>
          <w:szCs w:val="24"/>
        </w:rPr>
        <w:t>p</w:t>
      </w:r>
      <w:r w:rsidRPr="000E07F4">
        <w:rPr>
          <w:rFonts w:ascii="Times New Roman" w:hAnsi="Times New Roman"/>
          <w:noProof/>
          <w:sz w:val="24"/>
          <w:szCs w:val="24"/>
        </w:rPr>
        <w:t xml:space="preserve">rimary </w:t>
      </w:r>
      <w:r w:rsidR="009255D8">
        <w:rPr>
          <w:rFonts w:ascii="Times New Roman" w:hAnsi="Times New Roman"/>
          <w:noProof/>
          <w:sz w:val="24"/>
          <w:szCs w:val="24"/>
        </w:rPr>
        <w:t>a</w:t>
      </w:r>
      <w:r w:rsidRPr="000E07F4">
        <w:rPr>
          <w:rFonts w:ascii="Times New Roman" w:hAnsi="Times New Roman"/>
          <w:noProof/>
          <w:sz w:val="24"/>
          <w:szCs w:val="24"/>
        </w:rPr>
        <w:t xml:space="preserve">ldosteronism but with ACTH-dependent aldosterone hypersecretion. </w:t>
      </w:r>
      <w:r w:rsidRPr="00F4098D">
        <w:rPr>
          <w:rFonts w:ascii="Times New Roman" w:hAnsi="Times New Roman"/>
          <w:i/>
          <w:noProof/>
          <w:sz w:val="24"/>
          <w:szCs w:val="24"/>
        </w:rPr>
        <w:t>Clin Endocrinol (Oxf)</w:t>
      </w:r>
      <w:r w:rsidRPr="000E07F4">
        <w:rPr>
          <w:rFonts w:ascii="Times New Roman" w:hAnsi="Times New Roman"/>
          <w:noProof/>
          <w:sz w:val="24"/>
          <w:szCs w:val="24"/>
        </w:rPr>
        <w:t xml:space="preserve"> 2016; </w:t>
      </w:r>
      <w:r w:rsidR="009255D8" w:rsidRPr="00F4098D">
        <w:rPr>
          <w:rFonts w:ascii="Times New Roman" w:hAnsi="Times New Roman"/>
          <w:b/>
          <w:noProof/>
          <w:sz w:val="24"/>
          <w:szCs w:val="24"/>
        </w:rPr>
        <w:t>85</w:t>
      </w:r>
      <w:r w:rsidR="009255D8">
        <w:rPr>
          <w:rFonts w:ascii="Times New Roman" w:hAnsi="Times New Roman"/>
          <w:noProof/>
          <w:sz w:val="24"/>
          <w:szCs w:val="24"/>
        </w:rPr>
        <w:t>:</w:t>
      </w:r>
      <w:r w:rsidR="00C87145">
        <w:rPr>
          <w:rFonts w:ascii="Times New Roman" w:hAnsi="Times New Roman"/>
          <w:noProof/>
          <w:sz w:val="24"/>
          <w:szCs w:val="24"/>
        </w:rPr>
        <w:t xml:space="preserve"> </w:t>
      </w:r>
      <w:r w:rsidR="009255D8">
        <w:rPr>
          <w:rFonts w:ascii="Times New Roman" w:hAnsi="Times New Roman"/>
          <w:noProof/>
          <w:sz w:val="24"/>
          <w:szCs w:val="24"/>
        </w:rPr>
        <w:t>845-851</w:t>
      </w:r>
      <w:r w:rsidR="00F4098D">
        <w:rPr>
          <w:rFonts w:ascii="Times New Roman" w:hAnsi="Times New Roman"/>
          <w:noProof/>
          <w:sz w:val="24"/>
          <w:szCs w:val="24"/>
        </w:rPr>
        <w:t>.</w:t>
      </w:r>
    </w:p>
    <w:p w14:paraId="3AC468D1"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29. </w:t>
      </w:r>
      <w:r w:rsidRPr="000E07F4">
        <w:rPr>
          <w:rFonts w:ascii="Times New Roman" w:hAnsi="Times New Roman"/>
          <w:noProof/>
          <w:sz w:val="24"/>
          <w:szCs w:val="24"/>
        </w:rPr>
        <w:tab/>
        <w:t xml:space="preserve">Funder JW, Carey RM, Mantero F, Murad MH, Reincke M, Shibata H, </w:t>
      </w:r>
      <w:r w:rsidRPr="00F4098D">
        <w:rPr>
          <w:rFonts w:ascii="Times New Roman" w:hAnsi="Times New Roman"/>
          <w:i/>
          <w:noProof/>
          <w:sz w:val="24"/>
          <w:szCs w:val="24"/>
        </w:rPr>
        <w:t>et al.</w:t>
      </w:r>
      <w:r w:rsidRPr="000E07F4">
        <w:rPr>
          <w:rFonts w:ascii="Times New Roman" w:hAnsi="Times New Roman"/>
          <w:noProof/>
          <w:sz w:val="24"/>
          <w:szCs w:val="24"/>
        </w:rPr>
        <w:t xml:space="preserve"> The </w:t>
      </w:r>
      <w:r w:rsidR="009255D8">
        <w:rPr>
          <w:rFonts w:ascii="Times New Roman" w:hAnsi="Times New Roman"/>
          <w:noProof/>
          <w:sz w:val="24"/>
          <w:szCs w:val="24"/>
        </w:rPr>
        <w:t>m</w:t>
      </w:r>
      <w:r w:rsidRPr="000E07F4">
        <w:rPr>
          <w:rFonts w:ascii="Times New Roman" w:hAnsi="Times New Roman"/>
          <w:noProof/>
          <w:sz w:val="24"/>
          <w:szCs w:val="24"/>
        </w:rPr>
        <w:t xml:space="preserve">anagement of </w:t>
      </w:r>
      <w:r w:rsidR="009255D8">
        <w:rPr>
          <w:rFonts w:ascii="Times New Roman" w:hAnsi="Times New Roman"/>
          <w:noProof/>
          <w:sz w:val="24"/>
          <w:szCs w:val="24"/>
        </w:rPr>
        <w:t>p</w:t>
      </w:r>
      <w:r w:rsidRPr="000E07F4">
        <w:rPr>
          <w:rFonts w:ascii="Times New Roman" w:hAnsi="Times New Roman"/>
          <w:noProof/>
          <w:sz w:val="24"/>
          <w:szCs w:val="24"/>
        </w:rPr>
        <w:t xml:space="preserve">rimary </w:t>
      </w:r>
      <w:r w:rsidR="009255D8">
        <w:rPr>
          <w:rFonts w:ascii="Times New Roman" w:hAnsi="Times New Roman"/>
          <w:noProof/>
          <w:sz w:val="24"/>
          <w:szCs w:val="24"/>
        </w:rPr>
        <w:t>a</w:t>
      </w:r>
      <w:r w:rsidRPr="000E07F4">
        <w:rPr>
          <w:rFonts w:ascii="Times New Roman" w:hAnsi="Times New Roman"/>
          <w:noProof/>
          <w:sz w:val="24"/>
          <w:szCs w:val="24"/>
        </w:rPr>
        <w:t xml:space="preserve">ldosteronism: </w:t>
      </w:r>
      <w:r w:rsidR="009255D8">
        <w:rPr>
          <w:rFonts w:ascii="Times New Roman" w:hAnsi="Times New Roman"/>
          <w:noProof/>
          <w:sz w:val="24"/>
          <w:szCs w:val="24"/>
        </w:rPr>
        <w:t>c</w:t>
      </w:r>
      <w:r w:rsidRPr="000E07F4">
        <w:rPr>
          <w:rFonts w:ascii="Times New Roman" w:hAnsi="Times New Roman"/>
          <w:noProof/>
          <w:sz w:val="24"/>
          <w:szCs w:val="24"/>
        </w:rPr>
        <w:t xml:space="preserve">ase </w:t>
      </w:r>
      <w:r w:rsidR="009255D8">
        <w:rPr>
          <w:rFonts w:ascii="Times New Roman" w:hAnsi="Times New Roman"/>
          <w:noProof/>
          <w:sz w:val="24"/>
          <w:szCs w:val="24"/>
        </w:rPr>
        <w:t>d</w:t>
      </w:r>
      <w:r w:rsidRPr="000E07F4">
        <w:rPr>
          <w:rFonts w:ascii="Times New Roman" w:hAnsi="Times New Roman"/>
          <w:noProof/>
          <w:sz w:val="24"/>
          <w:szCs w:val="24"/>
        </w:rPr>
        <w:t xml:space="preserve">etection, </w:t>
      </w:r>
      <w:r w:rsidR="009255D8">
        <w:rPr>
          <w:rFonts w:ascii="Times New Roman" w:hAnsi="Times New Roman"/>
          <w:noProof/>
          <w:sz w:val="24"/>
          <w:szCs w:val="24"/>
        </w:rPr>
        <w:t>d</w:t>
      </w:r>
      <w:r w:rsidRPr="000E07F4">
        <w:rPr>
          <w:rFonts w:ascii="Times New Roman" w:hAnsi="Times New Roman"/>
          <w:noProof/>
          <w:sz w:val="24"/>
          <w:szCs w:val="24"/>
        </w:rPr>
        <w:t xml:space="preserve">iagnosis, and </w:t>
      </w:r>
      <w:r w:rsidR="009255D8">
        <w:rPr>
          <w:rFonts w:ascii="Times New Roman" w:hAnsi="Times New Roman"/>
          <w:noProof/>
          <w:sz w:val="24"/>
          <w:szCs w:val="24"/>
        </w:rPr>
        <w:t>t</w:t>
      </w:r>
      <w:r w:rsidRPr="000E07F4">
        <w:rPr>
          <w:rFonts w:ascii="Times New Roman" w:hAnsi="Times New Roman"/>
          <w:noProof/>
          <w:sz w:val="24"/>
          <w:szCs w:val="24"/>
        </w:rPr>
        <w:t xml:space="preserve">reatment: </w:t>
      </w:r>
      <w:r w:rsidR="009255D8">
        <w:rPr>
          <w:rFonts w:ascii="Times New Roman" w:hAnsi="Times New Roman"/>
          <w:noProof/>
          <w:sz w:val="24"/>
          <w:szCs w:val="24"/>
        </w:rPr>
        <w:t>a</w:t>
      </w:r>
      <w:r w:rsidRPr="000E07F4">
        <w:rPr>
          <w:rFonts w:ascii="Times New Roman" w:hAnsi="Times New Roman"/>
          <w:noProof/>
          <w:sz w:val="24"/>
          <w:szCs w:val="24"/>
        </w:rPr>
        <w:t xml:space="preserve">n </w:t>
      </w:r>
      <w:r w:rsidR="009255D8">
        <w:rPr>
          <w:rFonts w:ascii="Times New Roman" w:hAnsi="Times New Roman"/>
          <w:noProof/>
          <w:sz w:val="24"/>
          <w:szCs w:val="24"/>
        </w:rPr>
        <w:t>e</w:t>
      </w:r>
      <w:r w:rsidRPr="000E07F4">
        <w:rPr>
          <w:rFonts w:ascii="Times New Roman" w:hAnsi="Times New Roman"/>
          <w:noProof/>
          <w:sz w:val="24"/>
          <w:szCs w:val="24"/>
        </w:rPr>
        <w:t xml:space="preserve">ndocrine </w:t>
      </w:r>
      <w:r w:rsidR="009255D8">
        <w:rPr>
          <w:rFonts w:ascii="Times New Roman" w:hAnsi="Times New Roman"/>
          <w:noProof/>
          <w:sz w:val="24"/>
          <w:szCs w:val="24"/>
        </w:rPr>
        <w:t>s</w:t>
      </w:r>
      <w:r w:rsidRPr="000E07F4">
        <w:rPr>
          <w:rFonts w:ascii="Times New Roman" w:hAnsi="Times New Roman"/>
          <w:noProof/>
          <w:sz w:val="24"/>
          <w:szCs w:val="24"/>
        </w:rPr>
        <w:t xml:space="preserve">ociety </w:t>
      </w:r>
      <w:r w:rsidR="009255D8">
        <w:rPr>
          <w:rFonts w:ascii="Times New Roman" w:hAnsi="Times New Roman"/>
          <w:noProof/>
          <w:sz w:val="24"/>
          <w:szCs w:val="24"/>
        </w:rPr>
        <w:t>c</w:t>
      </w:r>
      <w:r w:rsidRPr="000E07F4">
        <w:rPr>
          <w:rFonts w:ascii="Times New Roman" w:hAnsi="Times New Roman"/>
          <w:noProof/>
          <w:sz w:val="24"/>
          <w:szCs w:val="24"/>
        </w:rPr>
        <w:t xml:space="preserve">linical </w:t>
      </w:r>
      <w:r w:rsidR="009255D8">
        <w:rPr>
          <w:rFonts w:ascii="Times New Roman" w:hAnsi="Times New Roman"/>
          <w:noProof/>
          <w:sz w:val="24"/>
          <w:szCs w:val="24"/>
        </w:rPr>
        <w:t>p</w:t>
      </w:r>
      <w:r w:rsidRPr="000E07F4">
        <w:rPr>
          <w:rFonts w:ascii="Times New Roman" w:hAnsi="Times New Roman"/>
          <w:noProof/>
          <w:sz w:val="24"/>
          <w:szCs w:val="24"/>
        </w:rPr>
        <w:t xml:space="preserve">ractice </w:t>
      </w:r>
      <w:r w:rsidR="009255D8">
        <w:rPr>
          <w:rFonts w:ascii="Times New Roman" w:hAnsi="Times New Roman"/>
          <w:noProof/>
          <w:sz w:val="24"/>
          <w:szCs w:val="24"/>
        </w:rPr>
        <w:t>g</w:t>
      </w:r>
      <w:r w:rsidRPr="000E07F4">
        <w:rPr>
          <w:rFonts w:ascii="Times New Roman" w:hAnsi="Times New Roman"/>
          <w:noProof/>
          <w:sz w:val="24"/>
          <w:szCs w:val="24"/>
        </w:rPr>
        <w:t xml:space="preserve">uideline. </w:t>
      </w:r>
      <w:r w:rsidRPr="00F4098D">
        <w:rPr>
          <w:rFonts w:ascii="Times New Roman" w:hAnsi="Times New Roman"/>
          <w:i/>
          <w:noProof/>
          <w:sz w:val="24"/>
          <w:szCs w:val="24"/>
        </w:rPr>
        <w:t>J Clin Endocrinol Metab</w:t>
      </w:r>
      <w:r w:rsidRPr="000E07F4">
        <w:rPr>
          <w:rFonts w:ascii="Times New Roman" w:hAnsi="Times New Roman"/>
          <w:noProof/>
          <w:sz w:val="24"/>
          <w:szCs w:val="24"/>
        </w:rPr>
        <w:t xml:space="preserve"> 2016;</w:t>
      </w:r>
      <w:r w:rsidR="009255D8">
        <w:rPr>
          <w:rFonts w:ascii="Times New Roman" w:hAnsi="Times New Roman"/>
          <w:noProof/>
          <w:sz w:val="24"/>
          <w:szCs w:val="24"/>
        </w:rPr>
        <w:t xml:space="preserve"> </w:t>
      </w:r>
      <w:r w:rsidR="009255D8" w:rsidRPr="00F4098D">
        <w:rPr>
          <w:rFonts w:ascii="Times New Roman" w:hAnsi="Times New Roman"/>
          <w:b/>
          <w:noProof/>
          <w:sz w:val="24"/>
          <w:szCs w:val="24"/>
        </w:rPr>
        <w:t>101</w:t>
      </w:r>
      <w:r w:rsidR="009255D8">
        <w:rPr>
          <w:rFonts w:ascii="Times New Roman" w:hAnsi="Times New Roman"/>
          <w:noProof/>
          <w:sz w:val="24"/>
          <w:szCs w:val="24"/>
        </w:rPr>
        <w:t>:</w:t>
      </w:r>
      <w:r w:rsidR="00C87145">
        <w:rPr>
          <w:rFonts w:ascii="Times New Roman" w:hAnsi="Times New Roman"/>
          <w:noProof/>
          <w:sz w:val="24"/>
          <w:szCs w:val="24"/>
        </w:rPr>
        <w:t xml:space="preserve"> </w:t>
      </w:r>
      <w:r w:rsidR="009255D8">
        <w:rPr>
          <w:rFonts w:ascii="Times New Roman" w:hAnsi="Times New Roman"/>
          <w:noProof/>
          <w:sz w:val="24"/>
          <w:szCs w:val="24"/>
        </w:rPr>
        <w:t>1889-916</w:t>
      </w:r>
      <w:r w:rsidRPr="000E07F4">
        <w:rPr>
          <w:rFonts w:ascii="Times New Roman" w:hAnsi="Times New Roman"/>
          <w:noProof/>
          <w:sz w:val="24"/>
          <w:szCs w:val="24"/>
        </w:rPr>
        <w:t xml:space="preserve">. </w:t>
      </w:r>
    </w:p>
    <w:p w14:paraId="3AC468D2"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30. </w:t>
      </w:r>
      <w:r w:rsidRPr="000E07F4">
        <w:rPr>
          <w:rFonts w:ascii="Times New Roman" w:hAnsi="Times New Roman"/>
          <w:noProof/>
          <w:sz w:val="24"/>
          <w:szCs w:val="24"/>
        </w:rPr>
        <w:tab/>
        <w:t xml:space="preserve">Mulatero P, Monticone S, Rainey WE, Veglio F, Williams TA. Role of KCNJ5 in familial and sporadic primary aldosteronism. </w:t>
      </w:r>
      <w:r w:rsidRPr="00F4098D">
        <w:rPr>
          <w:rFonts w:ascii="Times New Roman" w:hAnsi="Times New Roman"/>
          <w:i/>
          <w:noProof/>
          <w:sz w:val="24"/>
          <w:szCs w:val="24"/>
        </w:rPr>
        <w:t>Nat Rev Endocrinol</w:t>
      </w:r>
      <w:r w:rsidRPr="000E07F4">
        <w:rPr>
          <w:rFonts w:ascii="Times New Roman" w:hAnsi="Times New Roman"/>
          <w:noProof/>
          <w:sz w:val="24"/>
          <w:szCs w:val="24"/>
        </w:rPr>
        <w:t xml:space="preserve"> 2013;</w:t>
      </w:r>
      <w:r w:rsidR="00934DC0">
        <w:rPr>
          <w:rFonts w:ascii="Times New Roman" w:hAnsi="Times New Roman"/>
          <w:noProof/>
          <w:sz w:val="24"/>
          <w:szCs w:val="24"/>
        </w:rPr>
        <w:t xml:space="preserve"> </w:t>
      </w:r>
      <w:r w:rsidRPr="00F4098D">
        <w:rPr>
          <w:rFonts w:ascii="Times New Roman" w:hAnsi="Times New Roman"/>
          <w:b/>
          <w:noProof/>
          <w:sz w:val="24"/>
          <w:szCs w:val="24"/>
        </w:rPr>
        <w:t>9</w:t>
      </w:r>
      <w:r w:rsidRPr="000E07F4">
        <w:rPr>
          <w:rFonts w:ascii="Times New Roman" w:hAnsi="Times New Roman"/>
          <w:noProof/>
          <w:sz w:val="24"/>
          <w:szCs w:val="24"/>
        </w:rPr>
        <w:t>:</w:t>
      </w:r>
      <w:r w:rsidR="00C87145">
        <w:rPr>
          <w:rFonts w:ascii="Times New Roman" w:hAnsi="Times New Roman"/>
          <w:noProof/>
          <w:sz w:val="24"/>
          <w:szCs w:val="24"/>
        </w:rPr>
        <w:t xml:space="preserve"> </w:t>
      </w:r>
      <w:r w:rsidRPr="000E07F4">
        <w:rPr>
          <w:rFonts w:ascii="Times New Roman" w:hAnsi="Times New Roman"/>
          <w:noProof/>
          <w:sz w:val="24"/>
          <w:szCs w:val="24"/>
        </w:rPr>
        <w:t>104–12.</w:t>
      </w:r>
    </w:p>
    <w:p w14:paraId="3AC468D3"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31. </w:t>
      </w:r>
      <w:r w:rsidRPr="000E07F4">
        <w:rPr>
          <w:rFonts w:ascii="Times New Roman" w:hAnsi="Times New Roman"/>
          <w:noProof/>
          <w:sz w:val="24"/>
          <w:szCs w:val="24"/>
        </w:rPr>
        <w:tab/>
        <w:t xml:space="preserve">Mussa A, Camilla R, Monticone S, Porta F, Tessaris D, Verna F, </w:t>
      </w:r>
      <w:r w:rsidRPr="00F4098D">
        <w:rPr>
          <w:rFonts w:ascii="Times New Roman" w:hAnsi="Times New Roman"/>
          <w:i/>
          <w:noProof/>
          <w:sz w:val="24"/>
          <w:szCs w:val="24"/>
        </w:rPr>
        <w:t>et al.</w:t>
      </w:r>
      <w:r w:rsidRPr="000E07F4">
        <w:rPr>
          <w:rFonts w:ascii="Times New Roman" w:hAnsi="Times New Roman"/>
          <w:noProof/>
          <w:sz w:val="24"/>
          <w:szCs w:val="24"/>
        </w:rPr>
        <w:t xml:space="preserve"> Polyuric-polydipsic syndrome in a pediatric case of non-glucocorticoid remediable familial hyperaldosteronism. </w:t>
      </w:r>
      <w:r w:rsidRPr="00F4098D">
        <w:rPr>
          <w:rFonts w:ascii="Times New Roman" w:hAnsi="Times New Roman"/>
          <w:i/>
          <w:noProof/>
          <w:sz w:val="24"/>
          <w:szCs w:val="24"/>
        </w:rPr>
        <w:t>Endocr J</w:t>
      </w:r>
      <w:r w:rsidRPr="000E07F4">
        <w:rPr>
          <w:rFonts w:ascii="Times New Roman" w:hAnsi="Times New Roman"/>
          <w:noProof/>
          <w:sz w:val="24"/>
          <w:szCs w:val="24"/>
        </w:rPr>
        <w:t xml:space="preserve"> 2012;</w:t>
      </w:r>
      <w:r w:rsidR="00934DC0">
        <w:rPr>
          <w:rFonts w:ascii="Times New Roman" w:hAnsi="Times New Roman"/>
          <w:noProof/>
          <w:sz w:val="24"/>
          <w:szCs w:val="24"/>
        </w:rPr>
        <w:t xml:space="preserve"> </w:t>
      </w:r>
      <w:r w:rsidRPr="00F4098D">
        <w:rPr>
          <w:rFonts w:ascii="Times New Roman" w:hAnsi="Times New Roman"/>
          <w:b/>
          <w:noProof/>
          <w:sz w:val="24"/>
          <w:szCs w:val="24"/>
        </w:rPr>
        <w:t>59</w:t>
      </w:r>
      <w:r w:rsidRPr="000E07F4">
        <w:rPr>
          <w:rFonts w:ascii="Times New Roman" w:hAnsi="Times New Roman"/>
          <w:noProof/>
          <w:sz w:val="24"/>
          <w:szCs w:val="24"/>
        </w:rPr>
        <w:t>:</w:t>
      </w:r>
      <w:r w:rsidR="00C87145">
        <w:rPr>
          <w:rFonts w:ascii="Times New Roman" w:hAnsi="Times New Roman"/>
          <w:noProof/>
          <w:sz w:val="24"/>
          <w:szCs w:val="24"/>
        </w:rPr>
        <w:t xml:space="preserve"> </w:t>
      </w:r>
      <w:r w:rsidRPr="000E07F4">
        <w:rPr>
          <w:rFonts w:ascii="Times New Roman" w:hAnsi="Times New Roman"/>
          <w:noProof/>
          <w:sz w:val="24"/>
          <w:szCs w:val="24"/>
        </w:rPr>
        <w:t xml:space="preserve">497–502. </w:t>
      </w:r>
    </w:p>
    <w:p w14:paraId="3AC468D4"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32. </w:t>
      </w:r>
      <w:r w:rsidRPr="000E07F4">
        <w:rPr>
          <w:rFonts w:ascii="Times New Roman" w:hAnsi="Times New Roman"/>
          <w:noProof/>
          <w:sz w:val="24"/>
          <w:szCs w:val="24"/>
        </w:rPr>
        <w:tab/>
        <w:t>Mulatero P, Di Cella SM, Monticone S, Schiavone D, Manzo M, Mengozzi G,</w:t>
      </w:r>
      <w:r w:rsidRPr="00F4098D">
        <w:rPr>
          <w:rFonts w:ascii="Times New Roman" w:hAnsi="Times New Roman"/>
          <w:i/>
          <w:noProof/>
          <w:sz w:val="24"/>
          <w:szCs w:val="24"/>
        </w:rPr>
        <w:t xml:space="preserve"> et al.</w:t>
      </w:r>
      <w:r w:rsidRPr="000E07F4">
        <w:rPr>
          <w:rFonts w:ascii="Times New Roman" w:hAnsi="Times New Roman"/>
          <w:noProof/>
          <w:sz w:val="24"/>
          <w:szCs w:val="24"/>
        </w:rPr>
        <w:t xml:space="preserve"> 18-</w:t>
      </w:r>
      <w:r w:rsidR="00934DC0">
        <w:rPr>
          <w:rFonts w:ascii="Times New Roman" w:hAnsi="Times New Roman"/>
          <w:noProof/>
          <w:sz w:val="24"/>
          <w:szCs w:val="24"/>
        </w:rPr>
        <w:t>h</w:t>
      </w:r>
      <w:r w:rsidRPr="000E07F4">
        <w:rPr>
          <w:rFonts w:ascii="Times New Roman" w:hAnsi="Times New Roman"/>
          <w:noProof/>
          <w:sz w:val="24"/>
          <w:szCs w:val="24"/>
        </w:rPr>
        <w:t>ydroxycorticosterone, 18-</w:t>
      </w:r>
      <w:r w:rsidR="00934DC0">
        <w:rPr>
          <w:rFonts w:ascii="Times New Roman" w:hAnsi="Times New Roman"/>
          <w:noProof/>
          <w:sz w:val="24"/>
          <w:szCs w:val="24"/>
        </w:rPr>
        <w:t>h</w:t>
      </w:r>
      <w:r w:rsidRPr="000E07F4">
        <w:rPr>
          <w:rFonts w:ascii="Times New Roman" w:hAnsi="Times New Roman"/>
          <w:noProof/>
          <w:sz w:val="24"/>
          <w:szCs w:val="24"/>
        </w:rPr>
        <w:t>ydroxycortisol, and 18-</w:t>
      </w:r>
      <w:r w:rsidR="00934DC0">
        <w:rPr>
          <w:rFonts w:ascii="Times New Roman" w:hAnsi="Times New Roman"/>
          <w:noProof/>
          <w:sz w:val="24"/>
          <w:szCs w:val="24"/>
        </w:rPr>
        <w:t>o</w:t>
      </w:r>
      <w:r w:rsidRPr="000E07F4">
        <w:rPr>
          <w:rFonts w:ascii="Times New Roman" w:hAnsi="Times New Roman"/>
          <w:noProof/>
          <w:sz w:val="24"/>
          <w:szCs w:val="24"/>
        </w:rPr>
        <w:t xml:space="preserve">xocortisol in the </w:t>
      </w:r>
      <w:r w:rsidR="00934DC0">
        <w:rPr>
          <w:rFonts w:ascii="Times New Roman" w:hAnsi="Times New Roman"/>
          <w:noProof/>
          <w:sz w:val="24"/>
          <w:szCs w:val="24"/>
        </w:rPr>
        <w:t>d</w:t>
      </w:r>
      <w:r w:rsidRPr="000E07F4">
        <w:rPr>
          <w:rFonts w:ascii="Times New Roman" w:hAnsi="Times New Roman"/>
          <w:noProof/>
          <w:sz w:val="24"/>
          <w:szCs w:val="24"/>
        </w:rPr>
        <w:t xml:space="preserve">iagnosis of </w:t>
      </w:r>
      <w:r w:rsidR="00934DC0">
        <w:rPr>
          <w:rFonts w:ascii="Times New Roman" w:hAnsi="Times New Roman"/>
          <w:noProof/>
          <w:sz w:val="24"/>
          <w:szCs w:val="24"/>
        </w:rPr>
        <w:t>p</w:t>
      </w:r>
      <w:r w:rsidRPr="000E07F4">
        <w:rPr>
          <w:rFonts w:ascii="Times New Roman" w:hAnsi="Times New Roman"/>
          <w:noProof/>
          <w:sz w:val="24"/>
          <w:szCs w:val="24"/>
        </w:rPr>
        <w:t xml:space="preserve">rimary </w:t>
      </w:r>
      <w:r w:rsidR="00934DC0">
        <w:rPr>
          <w:rFonts w:ascii="Times New Roman" w:hAnsi="Times New Roman"/>
          <w:noProof/>
          <w:sz w:val="24"/>
          <w:szCs w:val="24"/>
        </w:rPr>
        <w:t>a</w:t>
      </w:r>
      <w:r w:rsidRPr="000E07F4">
        <w:rPr>
          <w:rFonts w:ascii="Times New Roman" w:hAnsi="Times New Roman"/>
          <w:noProof/>
          <w:sz w:val="24"/>
          <w:szCs w:val="24"/>
        </w:rPr>
        <w:t xml:space="preserve">ldosteronism and </w:t>
      </w:r>
      <w:r w:rsidR="00934DC0">
        <w:rPr>
          <w:rFonts w:ascii="Times New Roman" w:hAnsi="Times New Roman"/>
          <w:noProof/>
          <w:sz w:val="24"/>
          <w:szCs w:val="24"/>
        </w:rPr>
        <w:t>i</w:t>
      </w:r>
      <w:r w:rsidRPr="000E07F4">
        <w:rPr>
          <w:rFonts w:ascii="Times New Roman" w:hAnsi="Times New Roman"/>
          <w:noProof/>
          <w:sz w:val="24"/>
          <w:szCs w:val="24"/>
        </w:rPr>
        <w:t xml:space="preserve">ts </w:t>
      </w:r>
      <w:r w:rsidR="00934DC0">
        <w:rPr>
          <w:rFonts w:ascii="Times New Roman" w:hAnsi="Times New Roman"/>
          <w:noProof/>
          <w:sz w:val="24"/>
          <w:szCs w:val="24"/>
        </w:rPr>
        <w:t>s</w:t>
      </w:r>
      <w:r w:rsidRPr="000E07F4">
        <w:rPr>
          <w:rFonts w:ascii="Times New Roman" w:hAnsi="Times New Roman"/>
          <w:noProof/>
          <w:sz w:val="24"/>
          <w:szCs w:val="24"/>
        </w:rPr>
        <w:t xml:space="preserve">ubtypes. </w:t>
      </w:r>
      <w:r w:rsidRPr="00F4098D">
        <w:rPr>
          <w:rFonts w:ascii="Times New Roman" w:hAnsi="Times New Roman"/>
          <w:i/>
          <w:noProof/>
          <w:sz w:val="24"/>
          <w:szCs w:val="24"/>
        </w:rPr>
        <w:t>J Clin Endocrinol Metab</w:t>
      </w:r>
      <w:r w:rsidRPr="000E07F4">
        <w:rPr>
          <w:rFonts w:ascii="Times New Roman" w:hAnsi="Times New Roman"/>
          <w:noProof/>
          <w:sz w:val="24"/>
          <w:szCs w:val="24"/>
        </w:rPr>
        <w:t xml:space="preserve"> 2012;</w:t>
      </w:r>
      <w:r w:rsidR="00934DC0">
        <w:rPr>
          <w:rFonts w:ascii="Times New Roman" w:hAnsi="Times New Roman"/>
          <w:noProof/>
          <w:sz w:val="24"/>
          <w:szCs w:val="24"/>
        </w:rPr>
        <w:t xml:space="preserve"> </w:t>
      </w:r>
      <w:r w:rsidRPr="00F4098D">
        <w:rPr>
          <w:rFonts w:ascii="Times New Roman" w:hAnsi="Times New Roman"/>
          <w:b/>
          <w:noProof/>
          <w:sz w:val="24"/>
          <w:szCs w:val="24"/>
        </w:rPr>
        <w:t>97</w:t>
      </w:r>
      <w:r w:rsidRPr="000E07F4">
        <w:rPr>
          <w:rFonts w:ascii="Times New Roman" w:hAnsi="Times New Roman"/>
          <w:noProof/>
          <w:sz w:val="24"/>
          <w:szCs w:val="24"/>
        </w:rPr>
        <w:t>:</w:t>
      </w:r>
      <w:r w:rsidR="00C87145">
        <w:rPr>
          <w:rFonts w:ascii="Times New Roman" w:hAnsi="Times New Roman"/>
          <w:noProof/>
          <w:sz w:val="24"/>
          <w:szCs w:val="24"/>
        </w:rPr>
        <w:t xml:space="preserve"> </w:t>
      </w:r>
      <w:r w:rsidRPr="000E07F4">
        <w:rPr>
          <w:rFonts w:ascii="Times New Roman" w:hAnsi="Times New Roman"/>
          <w:noProof/>
          <w:sz w:val="24"/>
          <w:szCs w:val="24"/>
        </w:rPr>
        <w:t xml:space="preserve">881–9. </w:t>
      </w:r>
    </w:p>
    <w:p w14:paraId="3AC468D5"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33. </w:t>
      </w:r>
      <w:r w:rsidRPr="000E07F4">
        <w:rPr>
          <w:rFonts w:ascii="Times New Roman" w:hAnsi="Times New Roman"/>
          <w:noProof/>
          <w:sz w:val="24"/>
          <w:szCs w:val="24"/>
        </w:rPr>
        <w:tab/>
        <w:t xml:space="preserve">Adachi M, Muroya K, Asakura Y, Sugiyama K, Homma K, Hasegawa T. Discordant genotype-phenotype correlation in familial hyperaldosteronism type III with KCNJ5 gene mutation: </w:t>
      </w:r>
      <w:r w:rsidR="00780560">
        <w:rPr>
          <w:rFonts w:ascii="Times New Roman" w:hAnsi="Times New Roman"/>
          <w:noProof/>
          <w:sz w:val="24"/>
          <w:szCs w:val="24"/>
        </w:rPr>
        <w:t>a</w:t>
      </w:r>
      <w:r w:rsidRPr="000E07F4">
        <w:rPr>
          <w:rFonts w:ascii="Times New Roman" w:hAnsi="Times New Roman"/>
          <w:noProof/>
          <w:sz w:val="24"/>
          <w:szCs w:val="24"/>
        </w:rPr>
        <w:t xml:space="preserve"> patient report and review of the literature. </w:t>
      </w:r>
      <w:r w:rsidRPr="00F4098D">
        <w:rPr>
          <w:rFonts w:ascii="Times New Roman" w:hAnsi="Times New Roman"/>
          <w:i/>
          <w:noProof/>
          <w:sz w:val="24"/>
          <w:szCs w:val="24"/>
        </w:rPr>
        <w:t>Horm Res Paediatr</w:t>
      </w:r>
      <w:r w:rsidRPr="000E07F4">
        <w:rPr>
          <w:rFonts w:ascii="Times New Roman" w:hAnsi="Times New Roman"/>
          <w:noProof/>
          <w:sz w:val="24"/>
          <w:szCs w:val="24"/>
        </w:rPr>
        <w:t xml:space="preserve"> 2014;</w:t>
      </w:r>
      <w:r w:rsidR="00934DC0">
        <w:rPr>
          <w:rFonts w:ascii="Times New Roman" w:hAnsi="Times New Roman"/>
          <w:noProof/>
          <w:sz w:val="24"/>
          <w:szCs w:val="24"/>
        </w:rPr>
        <w:t xml:space="preserve"> </w:t>
      </w:r>
      <w:r w:rsidRPr="00F4098D">
        <w:rPr>
          <w:rFonts w:ascii="Times New Roman" w:hAnsi="Times New Roman"/>
          <w:b/>
          <w:noProof/>
          <w:sz w:val="24"/>
          <w:szCs w:val="24"/>
        </w:rPr>
        <w:t>82</w:t>
      </w:r>
      <w:r w:rsidRPr="000E07F4">
        <w:rPr>
          <w:rFonts w:ascii="Times New Roman" w:hAnsi="Times New Roman"/>
          <w:noProof/>
          <w:sz w:val="24"/>
          <w:szCs w:val="24"/>
        </w:rPr>
        <w:t>:</w:t>
      </w:r>
      <w:r w:rsidR="00780560">
        <w:rPr>
          <w:rFonts w:ascii="Times New Roman" w:hAnsi="Times New Roman"/>
          <w:noProof/>
          <w:sz w:val="24"/>
          <w:szCs w:val="24"/>
        </w:rPr>
        <w:t xml:space="preserve"> </w:t>
      </w:r>
      <w:r w:rsidRPr="000E07F4">
        <w:rPr>
          <w:rFonts w:ascii="Times New Roman" w:hAnsi="Times New Roman"/>
          <w:noProof/>
          <w:sz w:val="24"/>
          <w:szCs w:val="24"/>
        </w:rPr>
        <w:t xml:space="preserve">138–42. </w:t>
      </w:r>
    </w:p>
    <w:p w14:paraId="3AC468D6"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szCs w:val="24"/>
        </w:rPr>
      </w:pPr>
      <w:r w:rsidRPr="000E07F4">
        <w:rPr>
          <w:rFonts w:ascii="Times New Roman" w:hAnsi="Times New Roman"/>
          <w:noProof/>
          <w:sz w:val="24"/>
          <w:szCs w:val="24"/>
        </w:rPr>
        <w:t xml:space="preserve">34. </w:t>
      </w:r>
      <w:r w:rsidRPr="000E07F4">
        <w:rPr>
          <w:rFonts w:ascii="Times New Roman" w:hAnsi="Times New Roman"/>
          <w:noProof/>
          <w:sz w:val="24"/>
          <w:szCs w:val="24"/>
        </w:rPr>
        <w:tab/>
        <w:t xml:space="preserve">Charmandari E, Sertedaki A, Kino T, Merakou C, Hoffman DA, Hatch MM, </w:t>
      </w:r>
      <w:r w:rsidRPr="00F4098D">
        <w:rPr>
          <w:rFonts w:ascii="Times New Roman" w:hAnsi="Times New Roman"/>
          <w:i/>
          <w:noProof/>
          <w:sz w:val="24"/>
          <w:szCs w:val="24"/>
        </w:rPr>
        <w:t>et al.</w:t>
      </w:r>
      <w:r w:rsidRPr="000E07F4">
        <w:rPr>
          <w:rFonts w:ascii="Times New Roman" w:hAnsi="Times New Roman"/>
          <w:noProof/>
          <w:sz w:val="24"/>
          <w:szCs w:val="24"/>
        </w:rPr>
        <w:t xml:space="preserve"> A novel point mutation in the KCNJ5 gene causing primary hyperaldosteronism and early-onset autosomal dominant hypertension. </w:t>
      </w:r>
      <w:r w:rsidRPr="00F4098D">
        <w:rPr>
          <w:rFonts w:ascii="Times New Roman" w:hAnsi="Times New Roman"/>
          <w:i/>
          <w:noProof/>
          <w:sz w:val="24"/>
          <w:szCs w:val="24"/>
        </w:rPr>
        <w:t>J Clin Endocrinol Metab</w:t>
      </w:r>
      <w:r w:rsidRPr="000E07F4">
        <w:rPr>
          <w:rFonts w:ascii="Times New Roman" w:hAnsi="Times New Roman"/>
          <w:noProof/>
          <w:sz w:val="24"/>
          <w:szCs w:val="24"/>
        </w:rPr>
        <w:t xml:space="preserve"> 2012;</w:t>
      </w:r>
      <w:r w:rsidR="00934DC0">
        <w:rPr>
          <w:rFonts w:ascii="Times New Roman" w:hAnsi="Times New Roman"/>
          <w:noProof/>
          <w:sz w:val="24"/>
          <w:szCs w:val="24"/>
        </w:rPr>
        <w:t xml:space="preserve"> </w:t>
      </w:r>
      <w:r w:rsidRPr="00F4098D">
        <w:rPr>
          <w:rFonts w:ascii="Times New Roman" w:hAnsi="Times New Roman"/>
          <w:b/>
          <w:noProof/>
          <w:sz w:val="24"/>
          <w:szCs w:val="24"/>
        </w:rPr>
        <w:t>97</w:t>
      </w:r>
      <w:r w:rsidRPr="000E07F4">
        <w:rPr>
          <w:rFonts w:ascii="Times New Roman" w:hAnsi="Times New Roman"/>
          <w:noProof/>
          <w:sz w:val="24"/>
          <w:szCs w:val="24"/>
        </w:rPr>
        <w:t>:</w:t>
      </w:r>
      <w:r w:rsidR="00780560">
        <w:rPr>
          <w:rFonts w:ascii="Times New Roman" w:hAnsi="Times New Roman"/>
          <w:noProof/>
          <w:sz w:val="24"/>
          <w:szCs w:val="24"/>
        </w:rPr>
        <w:t xml:space="preserve"> </w:t>
      </w:r>
      <w:r w:rsidR="00934DC0">
        <w:rPr>
          <w:rFonts w:ascii="Times New Roman" w:hAnsi="Times New Roman"/>
          <w:noProof/>
          <w:sz w:val="24"/>
          <w:szCs w:val="24"/>
        </w:rPr>
        <w:t>E1532-9</w:t>
      </w:r>
      <w:r w:rsidRPr="000E07F4">
        <w:rPr>
          <w:rFonts w:ascii="Times New Roman" w:hAnsi="Times New Roman"/>
          <w:noProof/>
          <w:sz w:val="24"/>
          <w:szCs w:val="24"/>
        </w:rPr>
        <w:t xml:space="preserve">. </w:t>
      </w:r>
    </w:p>
    <w:p w14:paraId="3AC468D7" w14:textId="77777777" w:rsidR="000E07F4" w:rsidRPr="000E07F4" w:rsidRDefault="000E07F4" w:rsidP="000E07F4">
      <w:pPr>
        <w:widowControl w:val="0"/>
        <w:autoSpaceDE w:val="0"/>
        <w:autoSpaceDN w:val="0"/>
        <w:adjustRightInd w:val="0"/>
        <w:spacing w:line="480" w:lineRule="auto"/>
        <w:ind w:left="640" w:hanging="640"/>
        <w:rPr>
          <w:rFonts w:ascii="Times New Roman" w:hAnsi="Times New Roman"/>
          <w:noProof/>
          <w:sz w:val="24"/>
        </w:rPr>
      </w:pPr>
      <w:r w:rsidRPr="000E07F4">
        <w:rPr>
          <w:rFonts w:ascii="Times New Roman" w:hAnsi="Times New Roman"/>
          <w:noProof/>
          <w:sz w:val="24"/>
          <w:szCs w:val="24"/>
        </w:rPr>
        <w:t xml:space="preserve">35. </w:t>
      </w:r>
      <w:r w:rsidRPr="000E07F4">
        <w:rPr>
          <w:rFonts w:ascii="Times New Roman" w:hAnsi="Times New Roman"/>
          <w:noProof/>
          <w:sz w:val="24"/>
          <w:szCs w:val="24"/>
        </w:rPr>
        <w:tab/>
        <w:t xml:space="preserve">Tong A, Liu G, Wang F, Jiang J, Yan Z, Zhang D, </w:t>
      </w:r>
      <w:r w:rsidRPr="00F4098D">
        <w:rPr>
          <w:rFonts w:ascii="Times New Roman" w:hAnsi="Times New Roman"/>
          <w:i/>
          <w:noProof/>
          <w:sz w:val="24"/>
          <w:szCs w:val="24"/>
        </w:rPr>
        <w:t xml:space="preserve">et al. </w:t>
      </w:r>
      <w:r w:rsidRPr="000E07F4">
        <w:rPr>
          <w:rFonts w:ascii="Times New Roman" w:hAnsi="Times New Roman"/>
          <w:noProof/>
          <w:sz w:val="24"/>
          <w:szCs w:val="24"/>
        </w:rPr>
        <w:t xml:space="preserve">A novel phenotype of familial hyperaldosteronism type III: Concurrence of aldosteronism and Cushing’s syndrome. </w:t>
      </w:r>
      <w:r w:rsidRPr="00F4098D">
        <w:rPr>
          <w:rFonts w:ascii="Times New Roman" w:hAnsi="Times New Roman"/>
          <w:i/>
          <w:noProof/>
          <w:sz w:val="24"/>
          <w:szCs w:val="24"/>
        </w:rPr>
        <w:t>J Clin Endocrinol Metab</w:t>
      </w:r>
      <w:r w:rsidRPr="000E07F4">
        <w:rPr>
          <w:rFonts w:ascii="Times New Roman" w:hAnsi="Times New Roman"/>
          <w:noProof/>
          <w:sz w:val="24"/>
          <w:szCs w:val="24"/>
        </w:rPr>
        <w:t xml:space="preserve">  2016;</w:t>
      </w:r>
      <w:r w:rsidR="00192C99" w:rsidRPr="00F4098D">
        <w:rPr>
          <w:rFonts w:ascii="Times New Roman" w:hAnsi="Times New Roman"/>
          <w:b/>
          <w:noProof/>
          <w:sz w:val="24"/>
          <w:szCs w:val="24"/>
        </w:rPr>
        <w:t>101</w:t>
      </w:r>
      <w:r w:rsidR="00192C99">
        <w:rPr>
          <w:rFonts w:ascii="Times New Roman" w:hAnsi="Times New Roman"/>
          <w:noProof/>
          <w:sz w:val="24"/>
          <w:szCs w:val="24"/>
        </w:rPr>
        <w:t>:</w:t>
      </w:r>
      <w:r w:rsidR="00780560">
        <w:rPr>
          <w:rFonts w:ascii="Times New Roman" w:hAnsi="Times New Roman"/>
          <w:noProof/>
          <w:sz w:val="24"/>
          <w:szCs w:val="24"/>
        </w:rPr>
        <w:t xml:space="preserve"> </w:t>
      </w:r>
      <w:r w:rsidR="00192C99">
        <w:rPr>
          <w:rFonts w:ascii="Times New Roman" w:hAnsi="Times New Roman"/>
          <w:noProof/>
          <w:sz w:val="24"/>
          <w:szCs w:val="24"/>
        </w:rPr>
        <w:t>4290-4297</w:t>
      </w:r>
      <w:r w:rsidR="00780560">
        <w:rPr>
          <w:rFonts w:ascii="Times New Roman" w:hAnsi="Times New Roman"/>
          <w:noProof/>
          <w:sz w:val="24"/>
          <w:szCs w:val="24"/>
        </w:rPr>
        <w:t>.</w:t>
      </w:r>
    </w:p>
    <w:p w14:paraId="3AC468D8" w14:textId="77777777" w:rsidR="0079249A" w:rsidRDefault="00831DB8" w:rsidP="0079249A">
      <w:pPr>
        <w:widowControl w:val="0"/>
        <w:autoSpaceDE w:val="0"/>
        <w:autoSpaceDN w:val="0"/>
        <w:adjustRightInd w:val="0"/>
        <w:spacing w:line="480" w:lineRule="auto"/>
        <w:ind w:left="640" w:hanging="640"/>
        <w:rPr>
          <w:rFonts w:ascii="Times New Roman" w:hAnsi="Times New Roman"/>
          <w:b/>
          <w:sz w:val="24"/>
          <w:szCs w:val="24"/>
          <w:lang w:val="en-GB"/>
        </w:rPr>
      </w:pPr>
      <w:r>
        <w:rPr>
          <w:rFonts w:ascii="Times New Roman" w:hAnsi="Times New Roman"/>
          <w:b/>
          <w:sz w:val="24"/>
          <w:szCs w:val="24"/>
          <w:lang w:val="en-GB"/>
        </w:rPr>
        <w:fldChar w:fldCharType="end"/>
      </w:r>
    </w:p>
    <w:p w14:paraId="3AC468D9" w14:textId="77777777" w:rsidR="00D82520" w:rsidRPr="005D6549" w:rsidRDefault="0079249A" w:rsidP="0079249A">
      <w:pPr>
        <w:widowControl w:val="0"/>
        <w:autoSpaceDE w:val="0"/>
        <w:autoSpaceDN w:val="0"/>
        <w:adjustRightInd w:val="0"/>
        <w:spacing w:line="480" w:lineRule="auto"/>
        <w:ind w:left="640" w:hanging="640"/>
        <w:rPr>
          <w:rFonts w:ascii="Times New Roman" w:hAnsi="Times New Roman"/>
          <w:sz w:val="24"/>
          <w:szCs w:val="24"/>
          <w:lang w:val="en-GB"/>
        </w:rPr>
      </w:pPr>
      <w:r>
        <w:rPr>
          <w:rFonts w:ascii="Times New Roman" w:hAnsi="Times New Roman"/>
          <w:b/>
          <w:sz w:val="24"/>
          <w:szCs w:val="24"/>
          <w:lang w:val="en-GB"/>
        </w:rPr>
        <w:br w:type="page"/>
      </w:r>
      <w:r w:rsidR="00D82520" w:rsidRPr="005D6549">
        <w:rPr>
          <w:rFonts w:ascii="Times New Roman" w:hAnsi="Times New Roman"/>
          <w:b/>
          <w:sz w:val="24"/>
          <w:szCs w:val="24"/>
          <w:lang w:val="en-GB"/>
        </w:rPr>
        <w:t>Figure 1</w:t>
      </w:r>
      <w:r w:rsidR="00D82520">
        <w:rPr>
          <w:rFonts w:ascii="Times New Roman" w:hAnsi="Times New Roman"/>
          <w:sz w:val="24"/>
          <w:szCs w:val="24"/>
          <w:lang w:val="en-GB"/>
        </w:rPr>
        <w:t xml:space="preserve">. Overview of </w:t>
      </w:r>
      <w:r w:rsidR="00D82520" w:rsidRPr="005D6549">
        <w:rPr>
          <w:rFonts w:ascii="Times New Roman" w:hAnsi="Times New Roman"/>
          <w:i/>
          <w:sz w:val="24"/>
          <w:szCs w:val="24"/>
          <w:lang w:val="en-GB"/>
        </w:rPr>
        <w:t>KCNJ5</w:t>
      </w:r>
      <w:r w:rsidR="00D82520" w:rsidRPr="005D6549">
        <w:rPr>
          <w:rFonts w:ascii="Times New Roman" w:hAnsi="Times New Roman"/>
          <w:sz w:val="24"/>
          <w:szCs w:val="24"/>
          <w:lang w:val="en-GB"/>
        </w:rPr>
        <w:t xml:space="preserve"> gene</w:t>
      </w:r>
      <w:r w:rsidR="00D82520">
        <w:rPr>
          <w:rFonts w:ascii="Times New Roman" w:hAnsi="Times New Roman"/>
          <w:sz w:val="24"/>
          <w:szCs w:val="24"/>
          <w:lang w:val="en-GB"/>
        </w:rPr>
        <w:t xml:space="preserve"> </w:t>
      </w:r>
      <w:r w:rsidR="00D82520" w:rsidRPr="005D6549">
        <w:rPr>
          <w:rFonts w:ascii="Times New Roman" w:hAnsi="Times New Roman"/>
          <w:sz w:val="24"/>
          <w:szCs w:val="24"/>
          <w:lang w:val="en-GB"/>
        </w:rPr>
        <w:t>germline mutations</w:t>
      </w:r>
      <w:r w:rsidR="00D82520">
        <w:rPr>
          <w:rFonts w:ascii="Times New Roman" w:hAnsi="Times New Roman"/>
          <w:sz w:val="24"/>
          <w:szCs w:val="24"/>
          <w:lang w:val="en-GB"/>
        </w:rPr>
        <w:t xml:space="preserve">. </w:t>
      </w:r>
    </w:p>
    <w:p w14:paraId="3AC468DA" w14:textId="77777777" w:rsidR="00D82520" w:rsidRDefault="00D82520" w:rsidP="00D82520">
      <w:pPr>
        <w:spacing w:line="480" w:lineRule="auto"/>
        <w:jc w:val="both"/>
        <w:rPr>
          <w:rFonts w:ascii="Times New Roman" w:hAnsi="Times New Roman"/>
          <w:sz w:val="24"/>
          <w:szCs w:val="24"/>
          <w:lang w:val="en-GB"/>
        </w:rPr>
      </w:pPr>
      <w:r w:rsidRPr="00C10900">
        <w:rPr>
          <w:rFonts w:ascii="Times New Roman" w:hAnsi="Times New Roman"/>
          <w:b/>
          <w:sz w:val="24"/>
          <w:szCs w:val="24"/>
          <w:lang w:val="en-GB"/>
        </w:rPr>
        <w:t>Figure 2</w:t>
      </w:r>
      <w:r>
        <w:rPr>
          <w:rFonts w:ascii="Times New Roman" w:hAnsi="Times New Roman"/>
          <w:sz w:val="24"/>
          <w:szCs w:val="24"/>
          <w:lang w:val="en-GB"/>
        </w:rPr>
        <w:t>.</w:t>
      </w:r>
      <w:r w:rsidRPr="005D6549">
        <w:rPr>
          <w:rFonts w:ascii="Times New Roman" w:hAnsi="Times New Roman"/>
          <w:sz w:val="24"/>
          <w:szCs w:val="24"/>
          <w:lang w:val="en-GB"/>
        </w:rPr>
        <w:t xml:space="preserve"> </w:t>
      </w:r>
      <w:r w:rsidRPr="00F250CB">
        <w:rPr>
          <w:rFonts w:ascii="Times New Roman" w:hAnsi="Times New Roman"/>
          <w:sz w:val="24"/>
          <w:szCs w:val="24"/>
          <w:lang w:val="en-GB"/>
        </w:rPr>
        <w:t xml:space="preserve">Sequencing of peripheral blood DNA showing the </w:t>
      </w:r>
      <w:r w:rsidRPr="00F250CB">
        <w:rPr>
          <w:rFonts w:ascii="Times New Roman" w:hAnsi="Times New Roman"/>
          <w:i/>
          <w:sz w:val="24"/>
          <w:szCs w:val="24"/>
          <w:lang w:val="en-GB"/>
        </w:rPr>
        <w:t>KCNJ5</w:t>
      </w:r>
      <w:r>
        <w:rPr>
          <w:rFonts w:ascii="Times New Roman" w:hAnsi="Times New Roman"/>
          <w:sz w:val="24"/>
          <w:szCs w:val="24"/>
          <w:lang w:val="en-GB"/>
        </w:rPr>
        <w:t xml:space="preserve"> c.451G&gt;</w:t>
      </w:r>
      <w:r w:rsidRPr="00F250CB">
        <w:rPr>
          <w:rFonts w:ascii="Times New Roman" w:hAnsi="Times New Roman"/>
          <w:sz w:val="24"/>
          <w:szCs w:val="24"/>
          <w:lang w:val="en-GB"/>
        </w:rPr>
        <w:t xml:space="preserve">C substitution resulting </w:t>
      </w:r>
      <w:r>
        <w:rPr>
          <w:rFonts w:ascii="Times New Roman" w:hAnsi="Times New Roman"/>
          <w:sz w:val="24"/>
          <w:szCs w:val="24"/>
          <w:lang w:val="en-GB"/>
        </w:rPr>
        <w:t xml:space="preserve">in the </w:t>
      </w:r>
      <w:r w:rsidRPr="005D6549">
        <w:rPr>
          <w:rFonts w:ascii="Times New Roman" w:hAnsi="Times New Roman"/>
          <w:sz w:val="24"/>
          <w:szCs w:val="24"/>
          <w:lang w:val="en-GB"/>
        </w:rPr>
        <w:t>p.G</w:t>
      </w:r>
      <w:r>
        <w:rPr>
          <w:rFonts w:ascii="Times New Roman" w:hAnsi="Times New Roman"/>
          <w:sz w:val="24"/>
          <w:szCs w:val="24"/>
          <w:lang w:val="en-GB"/>
        </w:rPr>
        <w:t>ly151Arg</w:t>
      </w:r>
      <w:r w:rsidRPr="005D6549">
        <w:rPr>
          <w:rFonts w:ascii="Times New Roman" w:hAnsi="Times New Roman"/>
          <w:sz w:val="24"/>
          <w:szCs w:val="24"/>
          <w:lang w:val="en-GB"/>
        </w:rPr>
        <w:t xml:space="preserve"> mutation.</w:t>
      </w:r>
    </w:p>
    <w:p w14:paraId="3AC468DB" w14:textId="77777777" w:rsidR="00D82520" w:rsidRPr="005D6549" w:rsidRDefault="00D82520" w:rsidP="005D6549">
      <w:pPr>
        <w:spacing w:line="480" w:lineRule="auto"/>
        <w:jc w:val="both"/>
        <w:rPr>
          <w:rFonts w:ascii="Times New Roman" w:hAnsi="Times New Roman"/>
          <w:sz w:val="24"/>
          <w:szCs w:val="24"/>
          <w:lang w:val="en-GB"/>
        </w:rPr>
      </w:pPr>
    </w:p>
    <w:sectPr w:rsidR="00D82520" w:rsidRPr="005D6549" w:rsidSect="0079249A">
      <w:footerReference w:type="default" r:id="rId9"/>
      <w:pgSz w:w="11906" w:h="16838"/>
      <w:pgMar w:top="1417" w:right="1134" w:bottom="1134" w:left="1134"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C468DE" w14:textId="77777777" w:rsidR="00A83B48" w:rsidRDefault="00A83B48" w:rsidP="0079249A">
      <w:pPr>
        <w:spacing w:after="0" w:line="240" w:lineRule="auto"/>
      </w:pPr>
      <w:r>
        <w:separator/>
      </w:r>
    </w:p>
  </w:endnote>
  <w:endnote w:type="continuationSeparator" w:id="0">
    <w:p w14:paraId="3AC468DF" w14:textId="77777777" w:rsidR="00A83B48" w:rsidRDefault="00A83B48" w:rsidP="007924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C468E0" w14:textId="77777777" w:rsidR="0079249A" w:rsidRDefault="0079249A">
    <w:pPr>
      <w:pStyle w:val="Pidipagina"/>
      <w:jc w:val="center"/>
    </w:pPr>
    <w:r>
      <w:fldChar w:fldCharType="begin"/>
    </w:r>
    <w:r>
      <w:instrText>PAGE   \* MERGEFORMAT</w:instrText>
    </w:r>
    <w:r>
      <w:fldChar w:fldCharType="separate"/>
    </w:r>
    <w:r w:rsidR="00ED08CF">
      <w:rPr>
        <w:noProof/>
      </w:rPr>
      <w:t>1</w:t>
    </w:r>
    <w:r>
      <w:fldChar w:fldCharType="end"/>
    </w:r>
  </w:p>
  <w:p w14:paraId="3AC468E1" w14:textId="77777777" w:rsidR="0079249A" w:rsidRDefault="0079249A">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C468DC" w14:textId="77777777" w:rsidR="00A83B48" w:rsidRDefault="00A83B48" w:rsidP="0079249A">
      <w:pPr>
        <w:spacing w:after="0" w:line="240" w:lineRule="auto"/>
      </w:pPr>
      <w:r>
        <w:separator/>
      </w:r>
    </w:p>
  </w:footnote>
  <w:footnote w:type="continuationSeparator" w:id="0">
    <w:p w14:paraId="3AC468DD" w14:textId="77777777" w:rsidR="00A83B48" w:rsidRDefault="00A83B48" w:rsidP="0079249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764C66"/>
    <w:multiLevelType w:val="hybridMultilevel"/>
    <w:tmpl w:val="A3DA582A"/>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 w15:restartNumberingAfterBreak="0">
    <w:nsid w:val="62FA5D64"/>
    <w:multiLevelType w:val="hybridMultilevel"/>
    <w:tmpl w:val="13B68DBA"/>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num w:numId="1">
    <w:abstractNumId w:val="0"/>
  </w:num>
  <w:num w:numId="2">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silvia monticone">
    <w15:presenceInfo w15:providerId="Windows Live" w15:userId="686c3ce79aa3e6e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trackRevisions/>
  <w:doNotTrackMoves/>
  <w:defaultTabStop w:val="708"/>
  <w:hyphenationZone w:val="283"/>
  <w:characterSpacingControl w:val="doNotCompress"/>
  <w:hdrShapeDefaults>
    <o:shapedefaults v:ext="edit" spidmax="4097"/>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1"/>
  </w:compat>
  <w:rsids>
    <w:rsidRoot w:val="001E50D7"/>
    <w:rsid w:val="0000144A"/>
    <w:rsid w:val="00002656"/>
    <w:rsid w:val="00004375"/>
    <w:rsid w:val="000147C9"/>
    <w:rsid w:val="00014959"/>
    <w:rsid w:val="00014E77"/>
    <w:rsid w:val="0002125D"/>
    <w:rsid w:val="000221A9"/>
    <w:rsid w:val="000277DC"/>
    <w:rsid w:val="00031F11"/>
    <w:rsid w:val="00034531"/>
    <w:rsid w:val="00034D92"/>
    <w:rsid w:val="00037F75"/>
    <w:rsid w:val="00046151"/>
    <w:rsid w:val="00046749"/>
    <w:rsid w:val="000549C5"/>
    <w:rsid w:val="000555C6"/>
    <w:rsid w:val="00055A11"/>
    <w:rsid w:val="000652DF"/>
    <w:rsid w:val="00072C2C"/>
    <w:rsid w:val="00074E77"/>
    <w:rsid w:val="00081206"/>
    <w:rsid w:val="00082574"/>
    <w:rsid w:val="00084305"/>
    <w:rsid w:val="00090F54"/>
    <w:rsid w:val="00091406"/>
    <w:rsid w:val="00093F8B"/>
    <w:rsid w:val="000962BC"/>
    <w:rsid w:val="00097E43"/>
    <w:rsid w:val="000A1EAB"/>
    <w:rsid w:val="000A3E10"/>
    <w:rsid w:val="000A5374"/>
    <w:rsid w:val="000A6117"/>
    <w:rsid w:val="000B27E9"/>
    <w:rsid w:val="000C0006"/>
    <w:rsid w:val="000C218C"/>
    <w:rsid w:val="000C3734"/>
    <w:rsid w:val="000C4B60"/>
    <w:rsid w:val="000C64C4"/>
    <w:rsid w:val="000C70AD"/>
    <w:rsid w:val="000D4030"/>
    <w:rsid w:val="000D5CE1"/>
    <w:rsid w:val="000E07F4"/>
    <w:rsid w:val="000E16E8"/>
    <w:rsid w:val="000E2408"/>
    <w:rsid w:val="000E6497"/>
    <w:rsid w:val="000F5227"/>
    <w:rsid w:val="000F725F"/>
    <w:rsid w:val="00120ADD"/>
    <w:rsid w:val="0012100F"/>
    <w:rsid w:val="00123C73"/>
    <w:rsid w:val="0013132B"/>
    <w:rsid w:val="00133684"/>
    <w:rsid w:val="00135FA3"/>
    <w:rsid w:val="001369F0"/>
    <w:rsid w:val="00141675"/>
    <w:rsid w:val="0014226E"/>
    <w:rsid w:val="00145DAE"/>
    <w:rsid w:val="00152F58"/>
    <w:rsid w:val="001603A5"/>
    <w:rsid w:val="001704A2"/>
    <w:rsid w:val="00170D4A"/>
    <w:rsid w:val="0017384E"/>
    <w:rsid w:val="00174D60"/>
    <w:rsid w:val="00176866"/>
    <w:rsid w:val="00182BD4"/>
    <w:rsid w:val="00183D4B"/>
    <w:rsid w:val="00192C99"/>
    <w:rsid w:val="001A1D24"/>
    <w:rsid w:val="001A4356"/>
    <w:rsid w:val="001A6A43"/>
    <w:rsid w:val="001A79F2"/>
    <w:rsid w:val="001B4801"/>
    <w:rsid w:val="001B693F"/>
    <w:rsid w:val="001C2707"/>
    <w:rsid w:val="001C6F00"/>
    <w:rsid w:val="001D5F7F"/>
    <w:rsid w:val="001D68CD"/>
    <w:rsid w:val="001E2DCB"/>
    <w:rsid w:val="001E2DEF"/>
    <w:rsid w:val="001E393A"/>
    <w:rsid w:val="001E4B74"/>
    <w:rsid w:val="001E50D7"/>
    <w:rsid w:val="001E70FA"/>
    <w:rsid w:val="001E74C0"/>
    <w:rsid w:val="001F52EB"/>
    <w:rsid w:val="001F5DE7"/>
    <w:rsid w:val="001F7400"/>
    <w:rsid w:val="002026B1"/>
    <w:rsid w:val="00206A13"/>
    <w:rsid w:val="00206A69"/>
    <w:rsid w:val="00210FE3"/>
    <w:rsid w:val="002116E5"/>
    <w:rsid w:val="00211B18"/>
    <w:rsid w:val="00213682"/>
    <w:rsid w:val="0021440B"/>
    <w:rsid w:val="00215E07"/>
    <w:rsid w:val="002206E6"/>
    <w:rsid w:val="00223F2E"/>
    <w:rsid w:val="0022632C"/>
    <w:rsid w:val="00233ED4"/>
    <w:rsid w:val="0023781F"/>
    <w:rsid w:val="002542E0"/>
    <w:rsid w:val="00256A5F"/>
    <w:rsid w:val="002625E2"/>
    <w:rsid w:val="00273B78"/>
    <w:rsid w:val="00275344"/>
    <w:rsid w:val="00277E61"/>
    <w:rsid w:val="00280E3E"/>
    <w:rsid w:val="00286C4A"/>
    <w:rsid w:val="002871B6"/>
    <w:rsid w:val="0029748C"/>
    <w:rsid w:val="002A0F51"/>
    <w:rsid w:val="002A3B06"/>
    <w:rsid w:val="002A3C69"/>
    <w:rsid w:val="002A4EA5"/>
    <w:rsid w:val="002A69A4"/>
    <w:rsid w:val="002A6D57"/>
    <w:rsid w:val="002B5C03"/>
    <w:rsid w:val="002B6A9A"/>
    <w:rsid w:val="002C4EAE"/>
    <w:rsid w:val="002C7EA0"/>
    <w:rsid w:val="002D164C"/>
    <w:rsid w:val="002D2C53"/>
    <w:rsid w:val="002D7E77"/>
    <w:rsid w:val="002E4BC7"/>
    <w:rsid w:val="002E559C"/>
    <w:rsid w:val="002E75BE"/>
    <w:rsid w:val="002F184B"/>
    <w:rsid w:val="002F30E9"/>
    <w:rsid w:val="002F3DA7"/>
    <w:rsid w:val="002F4571"/>
    <w:rsid w:val="002F46EB"/>
    <w:rsid w:val="002F4B80"/>
    <w:rsid w:val="002F7302"/>
    <w:rsid w:val="0030157E"/>
    <w:rsid w:val="00301A32"/>
    <w:rsid w:val="003022E9"/>
    <w:rsid w:val="00302846"/>
    <w:rsid w:val="003052B0"/>
    <w:rsid w:val="00305853"/>
    <w:rsid w:val="003078F5"/>
    <w:rsid w:val="003101C9"/>
    <w:rsid w:val="00311BEF"/>
    <w:rsid w:val="003164DF"/>
    <w:rsid w:val="0032451D"/>
    <w:rsid w:val="0032662A"/>
    <w:rsid w:val="00327D6E"/>
    <w:rsid w:val="00327E7C"/>
    <w:rsid w:val="0033273E"/>
    <w:rsid w:val="00334ED1"/>
    <w:rsid w:val="00341973"/>
    <w:rsid w:val="00342CC6"/>
    <w:rsid w:val="00351B26"/>
    <w:rsid w:val="00354D5D"/>
    <w:rsid w:val="00355209"/>
    <w:rsid w:val="0035578B"/>
    <w:rsid w:val="003559B4"/>
    <w:rsid w:val="00356821"/>
    <w:rsid w:val="003630A4"/>
    <w:rsid w:val="00363F8E"/>
    <w:rsid w:val="003745B9"/>
    <w:rsid w:val="00391A8B"/>
    <w:rsid w:val="00392D4E"/>
    <w:rsid w:val="00393A20"/>
    <w:rsid w:val="003962A4"/>
    <w:rsid w:val="00397896"/>
    <w:rsid w:val="003A46F1"/>
    <w:rsid w:val="003B381E"/>
    <w:rsid w:val="003B656D"/>
    <w:rsid w:val="003C4D79"/>
    <w:rsid w:val="003D09AA"/>
    <w:rsid w:val="003D3A8A"/>
    <w:rsid w:val="003D61D4"/>
    <w:rsid w:val="003E1967"/>
    <w:rsid w:val="003E6553"/>
    <w:rsid w:val="004168E6"/>
    <w:rsid w:val="00416F3B"/>
    <w:rsid w:val="00417C23"/>
    <w:rsid w:val="00421A91"/>
    <w:rsid w:val="00423E91"/>
    <w:rsid w:val="00430EB1"/>
    <w:rsid w:val="004325CB"/>
    <w:rsid w:val="00437C6F"/>
    <w:rsid w:val="00437C9C"/>
    <w:rsid w:val="00450C85"/>
    <w:rsid w:val="00452BE4"/>
    <w:rsid w:val="0045543C"/>
    <w:rsid w:val="004559FA"/>
    <w:rsid w:val="00455D50"/>
    <w:rsid w:val="004566DB"/>
    <w:rsid w:val="00456C41"/>
    <w:rsid w:val="0046229C"/>
    <w:rsid w:val="00464783"/>
    <w:rsid w:val="004665AD"/>
    <w:rsid w:val="00466DB7"/>
    <w:rsid w:val="00470B7E"/>
    <w:rsid w:val="004722DA"/>
    <w:rsid w:val="00473858"/>
    <w:rsid w:val="00473FD9"/>
    <w:rsid w:val="00475BC2"/>
    <w:rsid w:val="00475C24"/>
    <w:rsid w:val="00482DEF"/>
    <w:rsid w:val="00486F1E"/>
    <w:rsid w:val="00487C62"/>
    <w:rsid w:val="0049160A"/>
    <w:rsid w:val="00497253"/>
    <w:rsid w:val="004A0B59"/>
    <w:rsid w:val="004A1CC8"/>
    <w:rsid w:val="004A5D16"/>
    <w:rsid w:val="004A66A9"/>
    <w:rsid w:val="004A6D69"/>
    <w:rsid w:val="004B1F09"/>
    <w:rsid w:val="004B6EFC"/>
    <w:rsid w:val="004C0500"/>
    <w:rsid w:val="004C2BF2"/>
    <w:rsid w:val="004C3B76"/>
    <w:rsid w:val="004C49E2"/>
    <w:rsid w:val="004D07E6"/>
    <w:rsid w:val="004D36E7"/>
    <w:rsid w:val="004D4E1D"/>
    <w:rsid w:val="004F355E"/>
    <w:rsid w:val="004F5AD3"/>
    <w:rsid w:val="004F771A"/>
    <w:rsid w:val="005012F5"/>
    <w:rsid w:val="00502210"/>
    <w:rsid w:val="00503711"/>
    <w:rsid w:val="00507122"/>
    <w:rsid w:val="005072CC"/>
    <w:rsid w:val="00507A62"/>
    <w:rsid w:val="005103E4"/>
    <w:rsid w:val="005256E2"/>
    <w:rsid w:val="00526A0D"/>
    <w:rsid w:val="00530DDD"/>
    <w:rsid w:val="00534187"/>
    <w:rsid w:val="0053789E"/>
    <w:rsid w:val="00537A89"/>
    <w:rsid w:val="00540895"/>
    <w:rsid w:val="0054418C"/>
    <w:rsid w:val="00553696"/>
    <w:rsid w:val="005627B1"/>
    <w:rsid w:val="0056758C"/>
    <w:rsid w:val="00572C76"/>
    <w:rsid w:val="00572E44"/>
    <w:rsid w:val="0057419C"/>
    <w:rsid w:val="00574F36"/>
    <w:rsid w:val="0057682A"/>
    <w:rsid w:val="00576B53"/>
    <w:rsid w:val="00576D13"/>
    <w:rsid w:val="00583544"/>
    <w:rsid w:val="00586B98"/>
    <w:rsid w:val="00592652"/>
    <w:rsid w:val="005942E9"/>
    <w:rsid w:val="0059528F"/>
    <w:rsid w:val="005A022C"/>
    <w:rsid w:val="005A0233"/>
    <w:rsid w:val="005A094D"/>
    <w:rsid w:val="005A5443"/>
    <w:rsid w:val="005B1881"/>
    <w:rsid w:val="005B1E7B"/>
    <w:rsid w:val="005B6A0B"/>
    <w:rsid w:val="005B7547"/>
    <w:rsid w:val="005B7BBA"/>
    <w:rsid w:val="005C1150"/>
    <w:rsid w:val="005C3C0A"/>
    <w:rsid w:val="005D1A40"/>
    <w:rsid w:val="005D6549"/>
    <w:rsid w:val="005E1F3A"/>
    <w:rsid w:val="005E357F"/>
    <w:rsid w:val="005E5FBE"/>
    <w:rsid w:val="005F15F3"/>
    <w:rsid w:val="005F67F5"/>
    <w:rsid w:val="00602788"/>
    <w:rsid w:val="00604747"/>
    <w:rsid w:val="00605E5B"/>
    <w:rsid w:val="00607D7B"/>
    <w:rsid w:val="00613EEE"/>
    <w:rsid w:val="00616A2A"/>
    <w:rsid w:val="006170A2"/>
    <w:rsid w:val="00620737"/>
    <w:rsid w:val="006239D0"/>
    <w:rsid w:val="00625A2A"/>
    <w:rsid w:val="00627E97"/>
    <w:rsid w:val="006300DD"/>
    <w:rsid w:val="0063175B"/>
    <w:rsid w:val="006400D2"/>
    <w:rsid w:val="00640D60"/>
    <w:rsid w:val="00641701"/>
    <w:rsid w:val="00650202"/>
    <w:rsid w:val="00653055"/>
    <w:rsid w:val="0066312A"/>
    <w:rsid w:val="006643C6"/>
    <w:rsid w:val="0066664C"/>
    <w:rsid w:val="006716A3"/>
    <w:rsid w:val="00673DD3"/>
    <w:rsid w:val="00681A33"/>
    <w:rsid w:val="00682081"/>
    <w:rsid w:val="006859FD"/>
    <w:rsid w:val="00685F8C"/>
    <w:rsid w:val="00686269"/>
    <w:rsid w:val="00686F53"/>
    <w:rsid w:val="0068770D"/>
    <w:rsid w:val="00687ED5"/>
    <w:rsid w:val="00690C57"/>
    <w:rsid w:val="00691381"/>
    <w:rsid w:val="006955C6"/>
    <w:rsid w:val="006A4A0B"/>
    <w:rsid w:val="006A4E10"/>
    <w:rsid w:val="006B21B7"/>
    <w:rsid w:val="006C0D6D"/>
    <w:rsid w:val="006D19A0"/>
    <w:rsid w:val="006D1CB2"/>
    <w:rsid w:val="006D2CDF"/>
    <w:rsid w:val="006D582A"/>
    <w:rsid w:val="006D69DE"/>
    <w:rsid w:val="006E230A"/>
    <w:rsid w:val="006E319C"/>
    <w:rsid w:val="006E5817"/>
    <w:rsid w:val="006F17AD"/>
    <w:rsid w:val="006F5AFF"/>
    <w:rsid w:val="00701D93"/>
    <w:rsid w:val="00702A53"/>
    <w:rsid w:val="00705669"/>
    <w:rsid w:val="007058C0"/>
    <w:rsid w:val="00706A07"/>
    <w:rsid w:val="00711FE6"/>
    <w:rsid w:val="00713957"/>
    <w:rsid w:val="00713C55"/>
    <w:rsid w:val="007143EE"/>
    <w:rsid w:val="00716920"/>
    <w:rsid w:val="00720E0D"/>
    <w:rsid w:val="00722949"/>
    <w:rsid w:val="00731CC9"/>
    <w:rsid w:val="00735A14"/>
    <w:rsid w:val="00736356"/>
    <w:rsid w:val="00745A04"/>
    <w:rsid w:val="00750790"/>
    <w:rsid w:val="00750871"/>
    <w:rsid w:val="00752A88"/>
    <w:rsid w:val="00753020"/>
    <w:rsid w:val="0075349C"/>
    <w:rsid w:val="007546DC"/>
    <w:rsid w:val="0076408B"/>
    <w:rsid w:val="00765A5A"/>
    <w:rsid w:val="00766FA1"/>
    <w:rsid w:val="00771274"/>
    <w:rsid w:val="007776AD"/>
    <w:rsid w:val="00780560"/>
    <w:rsid w:val="00784A0C"/>
    <w:rsid w:val="00787FF9"/>
    <w:rsid w:val="0079249A"/>
    <w:rsid w:val="007977D6"/>
    <w:rsid w:val="007A1238"/>
    <w:rsid w:val="007A4B9C"/>
    <w:rsid w:val="007A50A2"/>
    <w:rsid w:val="007A66B7"/>
    <w:rsid w:val="007A67C5"/>
    <w:rsid w:val="007A6844"/>
    <w:rsid w:val="007B52AB"/>
    <w:rsid w:val="007B68FB"/>
    <w:rsid w:val="007C1474"/>
    <w:rsid w:val="007D4F3C"/>
    <w:rsid w:val="007E1381"/>
    <w:rsid w:val="007E3BB2"/>
    <w:rsid w:val="007E5390"/>
    <w:rsid w:val="007E6300"/>
    <w:rsid w:val="007F3229"/>
    <w:rsid w:val="008001A5"/>
    <w:rsid w:val="008006F6"/>
    <w:rsid w:val="00802BB8"/>
    <w:rsid w:val="0080381D"/>
    <w:rsid w:val="00805CAC"/>
    <w:rsid w:val="00810A34"/>
    <w:rsid w:val="00812FCD"/>
    <w:rsid w:val="00813A98"/>
    <w:rsid w:val="00813F76"/>
    <w:rsid w:val="00814CC9"/>
    <w:rsid w:val="008176F0"/>
    <w:rsid w:val="00824E81"/>
    <w:rsid w:val="00827950"/>
    <w:rsid w:val="00830B3E"/>
    <w:rsid w:val="00830C58"/>
    <w:rsid w:val="00830C6F"/>
    <w:rsid w:val="00831DB8"/>
    <w:rsid w:val="008343E2"/>
    <w:rsid w:val="00842EC1"/>
    <w:rsid w:val="00843CE0"/>
    <w:rsid w:val="008448AA"/>
    <w:rsid w:val="00847D2C"/>
    <w:rsid w:val="008561AB"/>
    <w:rsid w:val="00860E5B"/>
    <w:rsid w:val="008619BE"/>
    <w:rsid w:val="0086319C"/>
    <w:rsid w:val="00870713"/>
    <w:rsid w:val="00872F66"/>
    <w:rsid w:val="00880981"/>
    <w:rsid w:val="00880A95"/>
    <w:rsid w:val="00884336"/>
    <w:rsid w:val="00886D6A"/>
    <w:rsid w:val="0088745E"/>
    <w:rsid w:val="008877B9"/>
    <w:rsid w:val="008946CE"/>
    <w:rsid w:val="008A07D2"/>
    <w:rsid w:val="008A2412"/>
    <w:rsid w:val="008A2707"/>
    <w:rsid w:val="008B0CCF"/>
    <w:rsid w:val="008B3A95"/>
    <w:rsid w:val="008C1566"/>
    <w:rsid w:val="008C1A1C"/>
    <w:rsid w:val="008C211E"/>
    <w:rsid w:val="008C22B9"/>
    <w:rsid w:val="008D535B"/>
    <w:rsid w:val="008E2667"/>
    <w:rsid w:val="008E31FF"/>
    <w:rsid w:val="008F28FB"/>
    <w:rsid w:val="008F3006"/>
    <w:rsid w:val="008F3963"/>
    <w:rsid w:val="008F43E0"/>
    <w:rsid w:val="008F6247"/>
    <w:rsid w:val="008F66A5"/>
    <w:rsid w:val="00910D92"/>
    <w:rsid w:val="009151CF"/>
    <w:rsid w:val="00916175"/>
    <w:rsid w:val="00916ACD"/>
    <w:rsid w:val="00921589"/>
    <w:rsid w:val="00924B8A"/>
    <w:rsid w:val="009255D8"/>
    <w:rsid w:val="00927D27"/>
    <w:rsid w:val="0093027C"/>
    <w:rsid w:val="00930484"/>
    <w:rsid w:val="00934DC0"/>
    <w:rsid w:val="00940D85"/>
    <w:rsid w:val="00941306"/>
    <w:rsid w:val="0094388D"/>
    <w:rsid w:val="0094560B"/>
    <w:rsid w:val="00947F28"/>
    <w:rsid w:val="00951BA3"/>
    <w:rsid w:val="009537AE"/>
    <w:rsid w:val="009567E1"/>
    <w:rsid w:val="0096010B"/>
    <w:rsid w:val="009615E0"/>
    <w:rsid w:val="00962173"/>
    <w:rsid w:val="00962F16"/>
    <w:rsid w:val="00966D44"/>
    <w:rsid w:val="00972EC5"/>
    <w:rsid w:val="00975FDD"/>
    <w:rsid w:val="009765A1"/>
    <w:rsid w:val="00983DE3"/>
    <w:rsid w:val="00984356"/>
    <w:rsid w:val="0098578A"/>
    <w:rsid w:val="009867EA"/>
    <w:rsid w:val="0099739C"/>
    <w:rsid w:val="009A317B"/>
    <w:rsid w:val="009A38F5"/>
    <w:rsid w:val="009A4208"/>
    <w:rsid w:val="009A4F97"/>
    <w:rsid w:val="009A6AC2"/>
    <w:rsid w:val="009B1094"/>
    <w:rsid w:val="009B20F2"/>
    <w:rsid w:val="009B4786"/>
    <w:rsid w:val="009B6D06"/>
    <w:rsid w:val="009C2E6A"/>
    <w:rsid w:val="009C3B47"/>
    <w:rsid w:val="009C3D43"/>
    <w:rsid w:val="009C451C"/>
    <w:rsid w:val="009D34C1"/>
    <w:rsid w:val="009D3512"/>
    <w:rsid w:val="009D3D5B"/>
    <w:rsid w:val="009D4362"/>
    <w:rsid w:val="009D449D"/>
    <w:rsid w:val="009D610E"/>
    <w:rsid w:val="009E2E99"/>
    <w:rsid w:val="009F0EE6"/>
    <w:rsid w:val="009F39A6"/>
    <w:rsid w:val="009F3F4A"/>
    <w:rsid w:val="009F5981"/>
    <w:rsid w:val="009F787F"/>
    <w:rsid w:val="00A0054E"/>
    <w:rsid w:val="00A02F08"/>
    <w:rsid w:val="00A154C7"/>
    <w:rsid w:val="00A16FCB"/>
    <w:rsid w:val="00A3205B"/>
    <w:rsid w:val="00A36A1A"/>
    <w:rsid w:val="00A41D3C"/>
    <w:rsid w:val="00A450BC"/>
    <w:rsid w:val="00A50178"/>
    <w:rsid w:val="00A5031E"/>
    <w:rsid w:val="00A61735"/>
    <w:rsid w:val="00A6240F"/>
    <w:rsid w:val="00A83B48"/>
    <w:rsid w:val="00A844E5"/>
    <w:rsid w:val="00A92F73"/>
    <w:rsid w:val="00AA5957"/>
    <w:rsid w:val="00AA7C63"/>
    <w:rsid w:val="00AA7F54"/>
    <w:rsid w:val="00AB2058"/>
    <w:rsid w:val="00AC0C0D"/>
    <w:rsid w:val="00AC445C"/>
    <w:rsid w:val="00AC6DCD"/>
    <w:rsid w:val="00AD6086"/>
    <w:rsid w:val="00AD65F4"/>
    <w:rsid w:val="00AD6DE4"/>
    <w:rsid w:val="00AD78F0"/>
    <w:rsid w:val="00AE1977"/>
    <w:rsid w:val="00AE24A0"/>
    <w:rsid w:val="00AE3F4B"/>
    <w:rsid w:val="00AE6051"/>
    <w:rsid w:val="00AE7823"/>
    <w:rsid w:val="00AF1E5D"/>
    <w:rsid w:val="00AF3A8E"/>
    <w:rsid w:val="00B027CD"/>
    <w:rsid w:val="00B042BE"/>
    <w:rsid w:val="00B05022"/>
    <w:rsid w:val="00B06F67"/>
    <w:rsid w:val="00B13E6C"/>
    <w:rsid w:val="00B1402C"/>
    <w:rsid w:val="00B22325"/>
    <w:rsid w:val="00B26269"/>
    <w:rsid w:val="00B271CD"/>
    <w:rsid w:val="00B31AAE"/>
    <w:rsid w:val="00B33A2B"/>
    <w:rsid w:val="00B34D5C"/>
    <w:rsid w:val="00B34FA0"/>
    <w:rsid w:val="00B37147"/>
    <w:rsid w:val="00B435C7"/>
    <w:rsid w:val="00B52B0B"/>
    <w:rsid w:val="00B53A92"/>
    <w:rsid w:val="00B543CA"/>
    <w:rsid w:val="00B71C54"/>
    <w:rsid w:val="00B74724"/>
    <w:rsid w:val="00B75792"/>
    <w:rsid w:val="00B76215"/>
    <w:rsid w:val="00B816C5"/>
    <w:rsid w:val="00B83C1A"/>
    <w:rsid w:val="00B83C78"/>
    <w:rsid w:val="00B84B87"/>
    <w:rsid w:val="00B85AC5"/>
    <w:rsid w:val="00B87407"/>
    <w:rsid w:val="00B90781"/>
    <w:rsid w:val="00B94845"/>
    <w:rsid w:val="00B94C8F"/>
    <w:rsid w:val="00B972D7"/>
    <w:rsid w:val="00BA5BE7"/>
    <w:rsid w:val="00BA7F79"/>
    <w:rsid w:val="00BB027D"/>
    <w:rsid w:val="00BB0C3D"/>
    <w:rsid w:val="00BB6DC0"/>
    <w:rsid w:val="00BB7622"/>
    <w:rsid w:val="00BC0265"/>
    <w:rsid w:val="00BC2760"/>
    <w:rsid w:val="00BC59ED"/>
    <w:rsid w:val="00BD0EB7"/>
    <w:rsid w:val="00BD4785"/>
    <w:rsid w:val="00BD544B"/>
    <w:rsid w:val="00BE2299"/>
    <w:rsid w:val="00BE2FB9"/>
    <w:rsid w:val="00BE75E3"/>
    <w:rsid w:val="00BE770B"/>
    <w:rsid w:val="00BF0090"/>
    <w:rsid w:val="00BF2786"/>
    <w:rsid w:val="00BF2BFA"/>
    <w:rsid w:val="00BF39C1"/>
    <w:rsid w:val="00BF62BB"/>
    <w:rsid w:val="00C00523"/>
    <w:rsid w:val="00C03217"/>
    <w:rsid w:val="00C046C4"/>
    <w:rsid w:val="00C04F63"/>
    <w:rsid w:val="00C05689"/>
    <w:rsid w:val="00C10814"/>
    <w:rsid w:val="00C10900"/>
    <w:rsid w:val="00C11C4A"/>
    <w:rsid w:val="00C16948"/>
    <w:rsid w:val="00C20F93"/>
    <w:rsid w:val="00C21C8E"/>
    <w:rsid w:val="00C24501"/>
    <w:rsid w:val="00C24F2B"/>
    <w:rsid w:val="00C30026"/>
    <w:rsid w:val="00C335A6"/>
    <w:rsid w:val="00C33775"/>
    <w:rsid w:val="00C35B6E"/>
    <w:rsid w:val="00C371A7"/>
    <w:rsid w:val="00C37650"/>
    <w:rsid w:val="00C37F01"/>
    <w:rsid w:val="00C520A3"/>
    <w:rsid w:val="00C53906"/>
    <w:rsid w:val="00C56F71"/>
    <w:rsid w:val="00C6197A"/>
    <w:rsid w:val="00C676F5"/>
    <w:rsid w:val="00C727CC"/>
    <w:rsid w:val="00C73500"/>
    <w:rsid w:val="00C74A40"/>
    <w:rsid w:val="00C77918"/>
    <w:rsid w:val="00C82BE3"/>
    <w:rsid w:val="00C87145"/>
    <w:rsid w:val="00CA0514"/>
    <w:rsid w:val="00CA409C"/>
    <w:rsid w:val="00CA5D93"/>
    <w:rsid w:val="00CB27AE"/>
    <w:rsid w:val="00CD1FCD"/>
    <w:rsid w:val="00CD221C"/>
    <w:rsid w:val="00CD6E54"/>
    <w:rsid w:val="00CE0D7B"/>
    <w:rsid w:val="00CE72E3"/>
    <w:rsid w:val="00CF129F"/>
    <w:rsid w:val="00CF2ADA"/>
    <w:rsid w:val="00D02DE4"/>
    <w:rsid w:val="00D15617"/>
    <w:rsid w:val="00D15E02"/>
    <w:rsid w:val="00D22A3D"/>
    <w:rsid w:val="00D262E5"/>
    <w:rsid w:val="00D34636"/>
    <w:rsid w:val="00D37329"/>
    <w:rsid w:val="00D40FC0"/>
    <w:rsid w:val="00D46A1B"/>
    <w:rsid w:val="00D46E64"/>
    <w:rsid w:val="00D470FA"/>
    <w:rsid w:val="00D477BF"/>
    <w:rsid w:val="00D5175C"/>
    <w:rsid w:val="00D526DA"/>
    <w:rsid w:val="00D530AD"/>
    <w:rsid w:val="00D54080"/>
    <w:rsid w:val="00D57C69"/>
    <w:rsid w:val="00D60B1B"/>
    <w:rsid w:val="00D62869"/>
    <w:rsid w:val="00D65D65"/>
    <w:rsid w:val="00D716AE"/>
    <w:rsid w:val="00D71FBF"/>
    <w:rsid w:val="00D76030"/>
    <w:rsid w:val="00D81516"/>
    <w:rsid w:val="00D82520"/>
    <w:rsid w:val="00D83477"/>
    <w:rsid w:val="00D86FE8"/>
    <w:rsid w:val="00D87FC2"/>
    <w:rsid w:val="00DA4168"/>
    <w:rsid w:val="00DA7722"/>
    <w:rsid w:val="00DB1088"/>
    <w:rsid w:val="00DC16DD"/>
    <w:rsid w:val="00DC7965"/>
    <w:rsid w:val="00DD631A"/>
    <w:rsid w:val="00DE6C5E"/>
    <w:rsid w:val="00DF4A42"/>
    <w:rsid w:val="00DF517B"/>
    <w:rsid w:val="00DF57EC"/>
    <w:rsid w:val="00DF7BA5"/>
    <w:rsid w:val="00E02AB6"/>
    <w:rsid w:val="00E03FFF"/>
    <w:rsid w:val="00E055FF"/>
    <w:rsid w:val="00E076FD"/>
    <w:rsid w:val="00E07BD7"/>
    <w:rsid w:val="00E102E4"/>
    <w:rsid w:val="00E105BB"/>
    <w:rsid w:val="00E21D03"/>
    <w:rsid w:val="00E243D1"/>
    <w:rsid w:val="00E509BA"/>
    <w:rsid w:val="00E51678"/>
    <w:rsid w:val="00E51683"/>
    <w:rsid w:val="00E51EA0"/>
    <w:rsid w:val="00E55CF4"/>
    <w:rsid w:val="00E6402E"/>
    <w:rsid w:val="00E66291"/>
    <w:rsid w:val="00E81C25"/>
    <w:rsid w:val="00E91347"/>
    <w:rsid w:val="00E9223B"/>
    <w:rsid w:val="00E93F2C"/>
    <w:rsid w:val="00E95D9B"/>
    <w:rsid w:val="00E9691C"/>
    <w:rsid w:val="00E97BB9"/>
    <w:rsid w:val="00EA1BD6"/>
    <w:rsid w:val="00EC499E"/>
    <w:rsid w:val="00EC5A42"/>
    <w:rsid w:val="00EC762B"/>
    <w:rsid w:val="00ED08CF"/>
    <w:rsid w:val="00EE12B9"/>
    <w:rsid w:val="00EE17D8"/>
    <w:rsid w:val="00EE2145"/>
    <w:rsid w:val="00EE32F0"/>
    <w:rsid w:val="00EE4662"/>
    <w:rsid w:val="00EE4942"/>
    <w:rsid w:val="00EE587F"/>
    <w:rsid w:val="00EE6E98"/>
    <w:rsid w:val="00EF394D"/>
    <w:rsid w:val="00F03A94"/>
    <w:rsid w:val="00F04E64"/>
    <w:rsid w:val="00F0663B"/>
    <w:rsid w:val="00F0729A"/>
    <w:rsid w:val="00F15556"/>
    <w:rsid w:val="00F15C8A"/>
    <w:rsid w:val="00F16A8B"/>
    <w:rsid w:val="00F21B19"/>
    <w:rsid w:val="00F22B1C"/>
    <w:rsid w:val="00F250CB"/>
    <w:rsid w:val="00F307B7"/>
    <w:rsid w:val="00F31FF0"/>
    <w:rsid w:val="00F32153"/>
    <w:rsid w:val="00F3233B"/>
    <w:rsid w:val="00F329D4"/>
    <w:rsid w:val="00F34119"/>
    <w:rsid w:val="00F4098D"/>
    <w:rsid w:val="00F40F5B"/>
    <w:rsid w:val="00F44116"/>
    <w:rsid w:val="00F46BEE"/>
    <w:rsid w:val="00F472E7"/>
    <w:rsid w:val="00F52BF7"/>
    <w:rsid w:val="00F5311D"/>
    <w:rsid w:val="00F53A3A"/>
    <w:rsid w:val="00F53E97"/>
    <w:rsid w:val="00F6258A"/>
    <w:rsid w:val="00F6386A"/>
    <w:rsid w:val="00F70410"/>
    <w:rsid w:val="00F822AF"/>
    <w:rsid w:val="00F8365B"/>
    <w:rsid w:val="00F86A43"/>
    <w:rsid w:val="00F872ED"/>
    <w:rsid w:val="00F8767E"/>
    <w:rsid w:val="00F92171"/>
    <w:rsid w:val="00F9258B"/>
    <w:rsid w:val="00F9540A"/>
    <w:rsid w:val="00FA4527"/>
    <w:rsid w:val="00FA4F5C"/>
    <w:rsid w:val="00FA5C45"/>
    <w:rsid w:val="00FA6E55"/>
    <w:rsid w:val="00FB45DE"/>
    <w:rsid w:val="00FC5B7B"/>
    <w:rsid w:val="00FE7D61"/>
    <w:rsid w:val="00FF09F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ostalCode"/>
  <w:smartTagType w:namespaceuri="urn:schemas-microsoft-com:office:smarttags" w:name="place"/>
  <w:smartTagType w:namespaceuri="urn:schemas-microsoft-com:office:smarttags" w:name="City"/>
  <w:smartTagType w:namespaceuri="urn:schemas-microsoft-com:office:smarttags" w:name="metricconverter"/>
  <w:shapeDefaults>
    <o:shapedefaults v:ext="edit" spidmax="4097"/>
    <o:shapelayout v:ext="edit">
      <o:idmap v:ext="edit" data="1"/>
    </o:shapelayout>
  </w:shapeDefaults>
  <w:decimalSymbol w:val=","/>
  <w:listSeparator w:val=";"/>
  <w14:docId w14:val="3AC46881"/>
  <w15:docId w15:val="{5289CD7F-96B1-4DBF-BB81-808DED255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A41D3C"/>
    <w:pPr>
      <w:spacing w:after="200" w:line="276" w:lineRule="auto"/>
    </w:pPr>
    <w:rPr>
      <w:sz w:val="22"/>
      <w:szCs w:val="22"/>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99"/>
    <w:qFormat/>
    <w:rsid w:val="00A41D3C"/>
    <w:pPr>
      <w:ind w:left="720"/>
      <w:contextualSpacing/>
    </w:pPr>
  </w:style>
  <w:style w:type="paragraph" w:styleId="Testofumetto">
    <w:name w:val="Balloon Text"/>
    <w:basedOn w:val="Normale"/>
    <w:link w:val="TestofumettoCarattere"/>
    <w:uiPriority w:val="99"/>
    <w:semiHidden/>
    <w:rsid w:val="00C37F01"/>
    <w:pPr>
      <w:spacing w:after="0" w:line="240" w:lineRule="auto"/>
    </w:pPr>
    <w:rPr>
      <w:rFonts w:ascii="Segoe UI" w:hAnsi="Segoe UI"/>
      <w:sz w:val="18"/>
      <w:szCs w:val="20"/>
      <w:lang w:eastAsia="ja-JP"/>
    </w:rPr>
  </w:style>
  <w:style w:type="character" w:customStyle="1" w:styleId="TestofumettoCarattere">
    <w:name w:val="Testo fumetto Carattere"/>
    <w:link w:val="Testofumetto"/>
    <w:uiPriority w:val="99"/>
    <w:semiHidden/>
    <w:locked/>
    <w:rsid w:val="00C37F01"/>
    <w:rPr>
      <w:rFonts w:ascii="Segoe UI" w:hAnsi="Segoe UI" w:cs="Times New Roman"/>
      <w:sz w:val="18"/>
    </w:rPr>
  </w:style>
  <w:style w:type="character" w:styleId="Rimandocommento">
    <w:name w:val="annotation reference"/>
    <w:uiPriority w:val="99"/>
    <w:semiHidden/>
    <w:rsid w:val="00233ED4"/>
    <w:rPr>
      <w:rFonts w:cs="Times New Roman"/>
      <w:sz w:val="16"/>
    </w:rPr>
  </w:style>
  <w:style w:type="paragraph" w:styleId="Testocommento">
    <w:name w:val="annotation text"/>
    <w:basedOn w:val="Normale"/>
    <w:link w:val="TestocommentoCarattere"/>
    <w:uiPriority w:val="99"/>
    <w:rsid w:val="00233ED4"/>
    <w:pPr>
      <w:spacing w:line="240" w:lineRule="auto"/>
    </w:pPr>
    <w:rPr>
      <w:sz w:val="20"/>
      <w:szCs w:val="20"/>
      <w:lang w:eastAsia="ja-JP"/>
    </w:rPr>
  </w:style>
  <w:style w:type="character" w:customStyle="1" w:styleId="TestocommentoCarattere">
    <w:name w:val="Testo commento Carattere"/>
    <w:link w:val="Testocommento"/>
    <w:uiPriority w:val="99"/>
    <w:locked/>
    <w:rsid w:val="00233ED4"/>
    <w:rPr>
      <w:rFonts w:cs="Times New Roman"/>
      <w:sz w:val="20"/>
    </w:rPr>
  </w:style>
  <w:style w:type="paragraph" w:styleId="Soggettocommento">
    <w:name w:val="annotation subject"/>
    <w:basedOn w:val="Testocommento"/>
    <w:next w:val="Testocommento"/>
    <w:link w:val="SoggettocommentoCarattere"/>
    <w:uiPriority w:val="99"/>
    <w:semiHidden/>
    <w:rsid w:val="00233ED4"/>
    <w:rPr>
      <w:b/>
    </w:rPr>
  </w:style>
  <w:style w:type="character" w:customStyle="1" w:styleId="SoggettocommentoCarattere">
    <w:name w:val="Soggetto commento Carattere"/>
    <w:link w:val="Soggettocommento"/>
    <w:uiPriority w:val="99"/>
    <w:semiHidden/>
    <w:locked/>
    <w:rsid w:val="00233ED4"/>
    <w:rPr>
      <w:rFonts w:cs="Times New Roman"/>
      <w:b/>
      <w:sz w:val="20"/>
    </w:rPr>
  </w:style>
  <w:style w:type="paragraph" w:styleId="Revisione">
    <w:name w:val="Revision"/>
    <w:hidden/>
    <w:uiPriority w:val="99"/>
    <w:semiHidden/>
    <w:rsid w:val="00D57C69"/>
    <w:rPr>
      <w:sz w:val="22"/>
      <w:szCs w:val="22"/>
      <w:lang w:eastAsia="en-US"/>
    </w:rPr>
  </w:style>
  <w:style w:type="character" w:customStyle="1" w:styleId="jrnl">
    <w:name w:val="jrnl"/>
    <w:uiPriority w:val="99"/>
    <w:rsid w:val="00EE6E98"/>
  </w:style>
  <w:style w:type="character" w:styleId="Collegamentoipertestuale">
    <w:name w:val="Hyperlink"/>
    <w:uiPriority w:val="99"/>
    <w:unhideWhenUsed/>
    <w:rsid w:val="005103E4"/>
    <w:rPr>
      <w:color w:val="0000FF"/>
      <w:u w:val="single"/>
    </w:rPr>
  </w:style>
  <w:style w:type="character" w:styleId="Numeroriga">
    <w:name w:val="line number"/>
    <w:uiPriority w:val="99"/>
    <w:semiHidden/>
    <w:unhideWhenUsed/>
    <w:rsid w:val="0079249A"/>
  </w:style>
  <w:style w:type="paragraph" w:styleId="Intestazione">
    <w:name w:val="header"/>
    <w:basedOn w:val="Normale"/>
    <w:link w:val="IntestazioneCarattere"/>
    <w:uiPriority w:val="99"/>
    <w:unhideWhenUsed/>
    <w:rsid w:val="0079249A"/>
    <w:pPr>
      <w:tabs>
        <w:tab w:val="center" w:pos="4819"/>
        <w:tab w:val="right" w:pos="9638"/>
      </w:tabs>
    </w:pPr>
  </w:style>
  <w:style w:type="character" w:customStyle="1" w:styleId="IntestazioneCarattere">
    <w:name w:val="Intestazione Carattere"/>
    <w:link w:val="Intestazione"/>
    <w:uiPriority w:val="99"/>
    <w:rsid w:val="0079249A"/>
    <w:rPr>
      <w:sz w:val="22"/>
      <w:szCs w:val="22"/>
      <w:lang w:eastAsia="en-US"/>
    </w:rPr>
  </w:style>
  <w:style w:type="paragraph" w:styleId="Pidipagina">
    <w:name w:val="footer"/>
    <w:basedOn w:val="Normale"/>
    <w:link w:val="PidipaginaCarattere"/>
    <w:uiPriority w:val="99"/>
    <w:unhideWhenUsed/>
    <w:rsid w:val="0079249A"/>
    <w:pPr>
      <w:tabs>
        <w:tab w:val="center" w:pos="4819"/>
        <w:tab w:val="right" w:pos="9638"/>
      </w:tabs>
    </w:pPr>
  </w:style>
  <w:style w:type="character" w:customStyle="1" w:styleId="PidipaginaCarattere">
    <w:name w:val="Piè di pagina Carattere"/>
    <w:link w:val="Pidipagina"/>
    <w:uiPriority w:val="99"/>
    <w:rsid w:val="0079249A"/>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2723551">
      <w:marLeft w:val="0"/>
      <w:marRight w:val="0"/>
      <w:marTop w:val="0"/>
      <w:marBottom w:val="0"/>
      <w:divBdr>
        <w:top w:val="none" w:sz="0" w:space="0" w:color="auto"/>
        <w:left w:val="none" w:sz="0" w:space="0" w:color="auto"/>
        <w:bottom w:val="none" w:sz="0" w:space="0" w:color="auto"/>
        <w:right w:val="none" w:sz="0" w:space="0" w:color="auto"/>
      </w:divBdr>
    </w:div>
    <w:div w:id="492723552">
      <w:marLeft w:val="0"/>
      <w:marRight w:val="0"/>
      <w:marTop w:val="0"/>
      <w:marBottom w:val="0"/>
      <w:divBdr>
        <w:top w:val="none" w:sz="0" w:space="0" w:color="auto"/>
        <w:left w:val="none" w:sz="0" w:space="0" w:color="auto"/>
        <w:bottom w:val="none" w:sz="0" w:space="0" w:color="auto"/>
        <w:right w:val="none" w:sz="0" w:space="0" w:color="auto"/>
      </w:divBdr>
    </w:div>
    <w:div w:id="492723553">
      <w:marLeft w:val="0"/>
      <w:marRight w:val="0"/>
      <w:marTop w:val="0"/>
      <w:marBottom w:val="0"/>
      <w:divBdr>
        <w:top w:val="none" w:sz="0" w:space="0" w:color="auto"/>
        <w:left w:val="none" w:sz="0" w:space="0" w:color="auto"/>
        <w:bottom w:val="none" w:sz="0" w:space="0" w:color="auto"/>
        <w:right w:val="none" w:sz="0" w:space="0" w:color="auto"/>
      </w:divBdr>
    </w:div>
    <w:div w:id="492723554">
      <w:marLeft w:val="0"/>
      <w:marRight w:val="0"/>
      <w:marTop w:val="0"/>
      <w:marBottom w:val="0"/>
      <w:divBdr>
        <w:top w:val="none" w:sz="0" w:space="0" w:color="auto"/>
        <w:left w:val="none" w:sz="0" w:space="0" w:color="auto"/>
        <w:bottom w:val="none" w:sz="0" w:space="0" w:color="auto"/>
        <w:right w:val="none" w:sz="0" w:space="0" w:color="auto"/>
      </w:divBdr>
      <w:divsChild>
        <w:div w:id="492723557">
          <w:marLeft w:val="0"/>
          <w:marRight w:val="0"/>
          <w:marTop w:val="0"/>
          <w:marBottom w:val="0"/>
          <w:divBdr>
            <w:top w:val="none" w:sz="0" w:space="0" w:color="auto"/>
            <w:left w:val="none" w:sz="0" w:space="0" w:color="auto"/>
            <w:bottom w:val="none" w:sz="0" w:space="0" w:color="auto"/>
            <w:right w:val="none" w:sz="0" w:space="0" w:color="auto"/>
          </w:divBdr>
        </w:div>
      </w:divsChild>
    </w:div>
    <w:div w:id="492723556">
      <w:marLeft w:val="0"/>
      <w:marRight w:val="0"/>
      <w:marTop w:val="0"/>
      <w:marBottom w:val="0"/>
      <w:divBdr>
        <w:top w:val="none" w:sz="0" w:space="0" w:color="auto"/>
        <w:left w:val="none" w:sz="0" w:space="0" w:color="auto"/>
        <w:bottom w:val="none" w:sz="0" w:space="0" w:color="auto"/>
        <w:right w:val="none" w:sz="0" w:space="0" w:color="auto"/>
      </w:divBdr>
      <w:divsChild>
        <w:div w:id="49272355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offcampus.dam.unito.it/pubmed/?term=mulatero+mineralocorticoid+receptor+blockad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FF811B-2322-4B35-89EE-88B464FD8A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421</TotalTime>
  <Pages>5</Pages>
  <Words>38347</Words>
  <Characters>218584</Characters>
  <Application>Microsoft Office Word</Application>
  <DocSecurity>0</DocSecurity>
  <Lines>1821</Lines>
  <Paragraphs>512</Paragraphs>
  <ScaleCrop>false</ScaleCrop>
  <HeadingPairs>
    <vt:vector size="2" baseType="variant">
      <vt:variant>
        <vt:lpstr>Titolo</vt:lpstr>
      </vt:variant>
      <vt:variant>
        <vt:i4>1</vt:i4>
      </vt:variant>
    </vt:vector>
  </HeadingPairs>
  <TitlesOfParts>
    <vt:vector size="1" baseType="lpstr">
      <vt:lpstr>Familial hyperaldosteronism type III: literature review and description of a new case</vt:lpstr>
    </vt:vector>
  </TitlesOfParts>
  <Company/>
  <LinksUpToDate>false</LinksUpToDate>
  <CharactersWithSpaces>256419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Familial hyperaldosteronism type III: literature review and description of a new case</dc:title>
  <dc:creator>Martina Tetti</dc:creator>
  <cp:lastModifiedBy>silvia monticone</cp:lastModifiedBy>
  <cp:revision>26</cp:revision>
  <cp:lastPrinted>2016-12-02T13:42:00Z</cp:lastPrinted>
  <dcterms:created xsi:type="dcterms:W3CDTF">2016-12-09T21:15:00Z</dcterms:created>
  <dcterms:modified xsi:type="dcterms:W3CDTF">2018-09-19T10:27:00Z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58086b77-671d-300c-8c70-3be8e2354e5b</vt:lpwstr>
  </property>
  <property fmtid="{D5CDD505-2E9C-101B-9397-08002B2CF9AE}" pid="4" name="Mendeley Citation Style_1">
    <vt:lpwstr>http://www.zotero.org/styles/vancouver</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y fmtid="{D5CDD505-2E9C-101B-9397-08002B2CF9AE}" pid="25" name="Mendeley User Name_1">
    <vt:lpwstr>tetti.martina@gmail.com@www.mendeley.com</vt:lpwstr>
  </property>
</Properties>
</file>