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6F2512" w14:textId="6FC8DCCA" w:rsidR="00E2412D" w:rsidRPr="003E6A3D" w:rsidRDefault="00B472EA">
      <w:pPr>
        <w:pStyle w:val="BodyA"/>
        <w:keepNext w:val="0"/>
        <w:widowControl w:val="0"/>
        <w:suppressAutoHyphens w:val="0"/>
        <w:spacing w:line="480" w:lineRule="auto"/>
        <w:jc w:val="both"/>
        <w:rPr>
          <w:rFonts w:ascii="Times New Roman Bold" w:eastAsia="Times New Roman Bold" w:hAnsi="Times New Roman Bold" w:cs="Times New Roman Bold"/>
          <w:b/>
          <w:sz w:val="28"/>
          <w:szCs w:val="28"/>
          <w:u w:color="00000A"/>
        </w:rPr>
      </w:pPr>
      <w:bookmarkStart w:id="0" w:name="_GoBack"/>
      <w:bookmarkEnd w:id="0"/>
      <w:proofErr w:type="spellStart"/>
      <w:r w:rsidRPr="003E6A3D">
        <w:rPr>
          <w:rFonts w:ascii="Times New Roman Bold"/>
          <w:b/>
          <w:sz w:val="28"/>
          <w:szCs w:val="28"/>
          <w:u w:color="00000A"/>
        </w:rPr>
        <w:t>Beta1</w:t>
      </w:r>
      <w:proofErr w:type="spellEnd"/>
      <w:r w:rsidRPr="003E6A3D">
        <w:rPr>
          <w:rFonts w:ascii="Times New Roman Bold"/>
          <w:b/>
          <w:sz w:val="28"/>
          <w:szCs w:val="28"/>
          <w:u w:color="00000A"/>
        </w:rPr>
        <w:t>-</w:t>
      </w:r>
      <w:r w:rsidR="00673E5C" w:rsidRPr="003E6A3D">
        <w:rPr>
          <w:rFonts w:ascii="Times New Roman Bold"/>
          <w:b/>
          <w:sz w:val="28"/>
          <w:szCs w:val="28"/>
          <w:u w:color="00000A"/>
        </w:rPr>
        <w:t xml:space="preserve">integrin and </w:t>
      </w:r>
      <w:proofErr w:type="spellStart"/>
      <w:r w:rsidR="00673E5C" w:rsidRPr="003E6A3D">
        <w:rPr>
          <w:rFonts w:ascii="Times New Roman Bold"/>
          <w:b/>
          <w:sz w:val="28"/>
          <w:szCs w:val="28"/>
          <w:u w:color="00000A"/>
        </w:rPr>
        <w:t>TRPV4</w:t>
      </w:r>
      <w:proofErr w:type="spellEnd"/>
      <w:r w:rsidR="00673E5C" w:rsidRPr="003E6A3D">
        <w:rPr>
          <w:rFonts w:ascii="Times New Roman Bold"/>
          <w:b/>
          <w:sz w:val="28"/>
          <w:szCs w:val="28"/>
          <w:u w:color="00000A"/>
        </w:rPr>
        <w:t xml:space="preserve"> </w:t>
      </w:r>
      <w:r w:rsidRPr="003E6A3D">
        <w:rPr>
          <w:rFonts w:ascii="Times New Roman Bold"/>
          <w:b/>
          <w:sz w:val="28"/>
          <w:szCs w:val="28"/>
          <w:u w:color="00000A"/>
        </w:rPr>
        <w:t>are</w:t>
      </w:r>
      <w:r w:rsidR="00F5202E" w:rsidRPr="003E6A3D">
        <w:rPr>
          <w:rFonts w:ascii="Times New Roman Bold"/>
          <w:b/>
          <w:sz w:val="28"/>
          <w:szCs w:val="28"/>
          <w:u w:color="00000A"/>
        </w:rPr>
        <w:t xml:space="preserve"> involved in</w:t>
      </w:r>
      <w:r w:rsidR="00673E5C" w:rsidRPr="003E6A3D">
        <w:rPr>
          <w:rFonts w:ascii="Times New Roman Bold"/>
          <w:b/>
          <w:sz w:val="28"/>
          <w:szCs w:val="28"/>
          <w:u w:color="00000A"/>
        </w:rPr>
        <w:t xml:space="preserve"> osteo</w:t>
      </w:r>
      <w:r w:rsidR="003674DB">
        <w:rPr>
          <w:rFonts w:ascii="Times New Roman Bold"/>
          <w:b/>
          <w:sz w:val="28"/>
          <w:szCs w:val="28"/>
          <w:u w:color="00000A"/>
        </w:rPr>
        <w:t>blast adhesion to different tita</w:t>
      </w:r>
      <w:r w:rsidR="00673E5C" w:rsidRPr="003E6A3D">
        <w:rPr>
          <w:rFonts w:ascii="Times New Roman Bold"/>
          <w:b/>
          <w:sz w:val="28"/>
          <w:szCs w:val="28"/>
          <w:u w:color="00000A"/>
        </w:rPr>
        <w:t>nium surface topographies</w:t>
      </w:r>
    </w:p>
    <w:p w14:paraId="06EDD359" w14:textId="77777777" w:rsidR="00E2412D" w:rsidRDefault="00E2412D">
      <w:pPr>
        <w:pStyle w:val="BodyA"/>
        <w:keepNext w:val="0"/>
        <w:widowControl w:val="0"/>
        <w:suppressAutoHyphens w:val="0"/>
        <w:spacing w:line="480" w:lineRule="auto"/>
        <w:jc w:val="both"/>
        <w:rPr>
          <w:sz w:val="28"/>
          <w:szCs w:val="28"/>
          <w:u w:color="00000A"/>
        </w:rPr>
      </w:pPr>
    </w:p>
    <w:p w14:paraId="60259B40" w14:textId="029FB6A9" w:rsidR="00EE4159" w:rsidRDefault="00EE4159" w:rsidP="0025473D">
      <w:pPr>
        <w:pStyle w:val="BodyA"/>
        <w:keepNext w:val="0"/>
        <w:widowControl w:val="0"/>
        <w:suppressAutoHyphens w:val="0"/>
        <w:spacing w:line="480" w:lineRule="auto"/>
        <w:jc w:val="both"/>
        <w:rPr>
          <w:u w:color="00000A"/>
          <w:vertAlign w:val="superscript"/>
          <w:lang w:val="it-IT"/>
        </w:rPr>
      </w:pPr>
      <w:r>
        <w:rPr>
          <w:u w:color="00000A"/>
          <w:lang w:val="it-IT"/>
        </w:rPr>
        <w:t xml:space="preserve">Mussano </w:t>
      </w:r>
      <w:proofErr w:type="spellStart"/>
      <w:r>
        <w:rPr>
          <w:u w:color="00000A"/>
          <w:lang w:val="it-IT"/>
        </w:rPr>
        <w:t>F</w:t>
      </w:r>
      <w:r w:rsidR="00107926">
        <w:rPr>
          <w:u w:color="00000A"/>
          <w:lang w:val="it-IT"/>
        </w:rPr>
        <w:t>ederico</w:t>
      </w:r>
      <w:r w:rsidR="00107926">
        <w:rPr>
          <w:u w:color="00000A"/>
          <w:vertAlign w:val="superscript"/>
          <w:lang w:val="it-IT"/>
        </w:rPr>
        <w:t>a</w:t>
      </w:r>
      <w:proofErr w:type="spellEnd"/>
      <w:r>
        <w:rPr>
          <w:u w:color="00000A"/>
          <w:vertAlign w:val="superscript"/>
          <w:lang w:val="it-IT"/>
        </w:rPr>
        <w:t>*</w:t>
      </w:r>
      <w:r>
        <w:rPr>
          <w:u w:color="00000A"/>
          <w:lang w:val="it-IT"/>
        </w:rPr>
        <w:t xml:space="preserve">, Genova </w:t>
      </w:r>
      <w:proofErr w:type="spellStart"/>
      <w:r>
        <w:rPr>
          <w:u w:color="00000A"/>
          <w:lang w:val="it-IT"/>
        </w:rPr>
        <w:t>T</w:t>
      </w:r>
      <w:r w:rsidR="00107926">
        <w:rPr>
          <w:u w:color="00000A"/>
          <w:lang w:val="it-IT"/>
        </w:rPr>
        <w:t>ullio</w:t>
      </w:r>
      <w:r w:rsidR="00107926">
        <w:rPr>
          <w:u w:color="00000A"/>
          <w:vertAlign w:val="superscript"/>
          <w:lang w:val="it-IT"/>
        </w:rPr>
        <w:t>a,b</w:t>
      </w:r>
      <w:proofErr w:type="spellEnd"/>
      <w:r>
        <w:rPr>
          <w:u w:color="00000A"/>
          <w:vertAlign w:val="superscript"/>
          <w:lang w:val="it-IT"/>
        </w:rPr>
        <w:t>*</w:t>
      </w:r>
      <w:r>
        <w:rPr>
          <w:u w:color="00000A"/>
          <w:lang w:val="it-IT"/>
        </w:rPr>
        <w:t xml:space="preserve">, Laurenti </w:t>
      </w:r>
      <w:proofErr w:type="spellStart"/>
      <w:r>
        <w:rPr>
          <w:u w:color="00000A"/>
          <w:lang w:val="it-IT"/>
        </w:rPr>
        <w:t>M</w:t>
      </w:r>
      <w:r w:rsidR="00107926">
        <w:rPr>
          <w:u w:color="00000A"/>
          <w:lang w:val="it-IT"/>
        </w:rPr>
        <w:t>arco</w:t>
      </w:r>
      <w:r w:rsidR="00107926">
        <w:rPr>
          <w:u w:color="00000A"/>
          <w:vertAlign w:val="superscript"/>
          <w:lang w:val="it-IT"/>
        </w:rPr>
        <w:t>c</w:t>
      </w:r>
      <w:proofErr w:type="spellEnd"/>
      <w:r>
        <w:rPr>
          <w:u w:color="00000A"/>
          <w:lang w:val="it-IT"/>
        </w:rPr>
        <w:t xml:space="preserve">, </w:t>
      </w:r>
      <w:proofErr w:type="spellStart"/>
      <w:r>
        <w:rPr>
          <w:u w:color="00000A"/>
          <w:lang w:val="it-IT"/>
        </w:rPr>
        <w:t>Gaglioti</w:t>
      </w:r>
      <w:proofErr w:type="spellEnd"/>
      <w:r>
        <w:rPr>
          <w:u w:color="00000A"/>
          <w:lang w:val="it-IT"/>
        </w:rPr>
        <w:t xml:space="preserve"> </w:t>
      </w:r>
      <w:proofErr w:type="spellStart"/>
      <w:r>
        <w:rPr>
          <w:u w:color="00000A"/>
          <w:lang w:val="it-IT"/>
        </w:rPr>
        <w:t>D</w:t>
      </w:r>
      <w:r w:rsidR="00107926">
        <w:rPr>
          <w:u w:color="00000A"/>
          <w:lang w:val="it-IT"/>
        </w:rPr>
        <w:t>eborah</w:t>
      </w:r>
      <w:r w:rsidR="00107926">
        <w:rPr>
          <w:u w:color="00000A"/>
          <w:vertAlign w:val="superscript"/>
          <w:lang w:val="it-IT"/>
        </w:rPr>
        <w:t>b</w:t>
      </w:r>
      <w:proofErr w:type="spellEnd"/>
      <w:r>
        <w:rPr>
          <w:u w:color="00000A"/>
          <w:lang w:val="it-IT"/>
        </w:rPr>
        <w:t xml:space="preserve">, </w:t>
      </w:r>
      <w:proofErr w:type="spellStart"/>
      <w:r>
        <w:rPr>
          <w:u w:color="00000A"/>
          <w:lang w:val="it-IT"/>
        </w:rPr>
        <w:t>Scarpellino</w:t>
      </w:r>
      <w:proofErr w:type="spellEnd"/>
      <w:r>
        <w:rPr>
          <w:u w:color="00000A"/>
          <w:lang w:val="it-IT"/>
        </w:rPr>
        <w:t xml:space="preserve"> </w:t>
      </w:r>
      <w:proofErr w:type="spellStart"/>
      <w:r>
        <w:rPr>
          <w:u w:color="00000A"/>
          <w:lang w:val="it-IT"/>
        </w:rPr>
        <w:t>G</w:t>
      </w:r>
      <w:r w:rsidR="00107926">
        <w:rPr>
          <w:u w:color="00000A"/>
          <w:lang w:val="it-IT"/>
        </w:rPr>
        <w:t>iorgia</w:t>
      </w:r>
      <w:r w:rsidR="00107926">
        <w:rPr>
          <w:u w:color="00000A"/>
          <w:vertAlign w:val="superscript"/>
          <w:lang w:val="it-IT"/>
        </w:rPr>
        <w:t>b</w:t>
      </w:r>
      <w:proofErr w:type="spellEnd"/>
      <w:r w:rsidR="009B402F">
        <w:rPr>
          <w:u w:color="00000A"/>
          <w:lang w:val="it-IT"/>
        </w:rPr>
        <w:t xml:space="preserve">, </w:t>
      </w:r>
      <w:r>
        <w:rPr>
          <w:u w:color="00000A"/>
          <w:lang w:val="it-IT"/>
        </w:rPr>
        <w:t xml:space="preserve">Rivolo </w:t>
      </w:r>
      <w:proofErr w:type="spellStart"/>
      <w:r>
        <w:rPr>
          <w:u w:color="00000A"/>
          <w:lang w:val="it-IT"/>
        </w:rPr>
        <w:t>P</w:t>
      </w:r>
      <w:r w:rsidR="00107926">
        <w:rPr>
          <w:u w:color="00000A"/>
          <w:lang w:val="it-IT"/>
        </w:rPr>
        <w:t>aola</w:t>
      </w:r>
      <w:r w:rsidR="00107926">
        <w:rPr>
          <w:u w:color="00000A"/>
          <w:vertAlign w:val="superscript"/>
          <w:lang w:val="it-IT"/>
        </w:rPr>
        <w:t>c</w:t>
      </w:r>
      <w:proofErr w:type="spellEnd"/>
      <w:r>
        <w:rPr>
          <w:u w:color="00000A"/>
          <w:lang w:val="it-IT"/>
        </w:rPr>
        <w:t xml:space="preserve">, </w:t>
      </w:r>
      <w:proofErr w:type="spellStart"/>
      <w:r>
        <w:rPr>
          <w:u w:color="00000A"/>
          <w:lang w:val="it-IT"/>
        </w:rPr>
        <w:t>Faga</w:t>
      </w:r>
      <w:proofErr w:type="spellEnd"/>
      <w:r>
        <w:rPr>
          <w:u w:color="00000A"/>
          <w:lang w:val="it-IT"/>
        </w:rPr>
        <w:t xml:space="preserve"> M</w:t>
      </w:r>
      <w:r w:rsidR="00107926">
        <w:rPr>
          <w:u w:color="00000A"/>
          <w:lang w:val="it-IT"/>
        </w:rPr>
        <w:t xml:space="preserve">aria </w:t>
      </w:r>
      <w:proofErr w:type="spellStart"/>
      <w:r>
        <w:rPr>
          <w:u w:color="00000A"/>
          <w:lang w:val="it-IT"/>
        </w:rPr>
        <w:t>G</w:t>
      </w:r>
      <w:r w:rsidR="00107926">
        <w:rPr>
          <w:u w:color="00000A"/>
          <w:lang w:val="it-IT"/>
        </w:rPr>
        <w:t>iulia</w:t>
      </w:r>
      <w:r w:rsidR="00107926">
        <w:rPr>
          <w:u w:color="00000A"/>
          <w:vertAlign w:val="superscript"/>
          <w:lang w:val="it-IT"/>
        </w:rPr>
        <w:t>d</w:t>
      </w:r>
      <w:proofErr w:type="spellEnd"/>
      <w:r>
        <w:rPr>
          <w:u w:color="00000A"/>
          <w:lang w:val="it-IT"/>
        </w:rPr>
        <w:t xml:space="preserve">, </w:t>
      </w:r>
      <w:r w:rsidR="009B402F" w:rsidRPr="006F768A">
        <w:rPr>
          <w:color w:val="FF0000"/>
          <w:u w:color="00000A"/>
          <w:lang w:val="it-IT"/>
        </w:rPr>
        <w:t xml:space="preserve">Petrillo Sara, </w:t>
      </w:r>
      <w:proofErr w:type="spellStart"/>
      <w:r w:rsidR="009B402F" w:rsidRPr="006F768A">
        <w:rPr>
          <w:color w:val="FF0000"/>
          <w:u w:color="00000A"/>
          <w:lang w:val="it-IT"/>
        </w:rPr>
        <w:t>Tolosano</w:t>
      </w:r>
      <w:proofErr w:type="spellEnd"/>
      <w:r w:rsidR="009B402F" w:rsidRPr="006F768A">
        <w:rPr>
          <w:color w:val="FF0000"/>
          <w:u w:color="00000A"/>
          <w:lang w:val="it-IT"/>
        </w:rPr>
        <w:t xml:space="preserve"> Emanuela</w:t>
      </w:r>
      <w:r w:rsidR="009B402F" w:rsidRPr="00847E04">
        <w:rPr>
          <w:color w:val="FF0000"/>
          <w:u w:color="00000A"/>
          <w:lang w:val="it-IT"/>
        </w:rPr>
        <w:t>,</w:t>
      </w:r>
      <w:r w:rsidR="009B402F">
        <w:rPr>
          <w:u w:color="00000A"/>
          <w:lang w:val="it-IT"/>
        </w:rPr>
        <w:t xml:space="preserve"> </w:t>
      </w:r>
      <w:r>
        <w:rPr>
          <w:u w:color="00000A"/>
          <w:lang w:val="it-IT"/>
        </w:rPr>
        <w:t xml:space="preserve">Fiorio </w:t>
      </w:r>
      <w:proofErr w:type="spellStart"/>
      <w:r>
        <w:rPr>
          <w:u w:color="00000A"/>
          <w:lang w:val="it-IT"/>
        </w:rPr>
        <w:t>Pla</w:t>
      </w:r>
      <w:proofErr w:type="spellEnd"/>
      <w:r>
        <w:rPr>
          <w:u w:color="00000A"/>
          <w:lang w:val="it-IT"/>
        </w:rPr>
        <w:t xml:space="preserve"> </w:t>
      </w:r>
      <w:proofErr w:type="spellStart"/>
      <w:r>
        <w:rPr>
          <w:u w:color="00000A"/>
          <w:lang w:val="it-IT"/>
        </w:rPr>
        <w:t>A</w:t>
      </w:r>
      <w:r w:rsidR="00107926">
        <w:rPr>
          <w:u w:color="00000A"/>
          <w:lang w:val="it-IT"/>
        </w:rPr>
        <w:t>lessandra</w:t>
      </w:r>
      <w:r w:rsidR="00C23133">
        <w:rPr>
          <w:u w:color="00000A"/>
          <w:vertAlign w:val="superscript"/>
          <w:lang w:val="it-IT"/>
        </w:rPr>
        <w:t>b</w:t>
      </w:r>
      <w:proofErr w:type="spellEnd"/>
      <w:r>
        <w:rPr>
          <w:u w:color="00000A"/>
          <w:lang w:val="it-IT"/>
        </w:rPr>
        <w:t xml:space="preserve">, Munaron </w:t>
      </w:r>
      <w:proofErr w:type="spellStart"/>
      <w:r>
        <w:rPr>
          <w:u w:color="00000A"/>
          <w:lang w:val="it-IT"/>
        </w:rPr>
        <w:t>L</w:t>
      </w:r>
      <w:r w:rsidR="00107926">
        <w:rPr>
          <w:u w:color="00000A"/>
          <w:lang w:val="it-IT"/>
        </w:rPr>
        <w:t>uca</w:t>
      </w:r>
      <w:r w:rsidR="00C23133">
        <w:rPr>
          <w:u w:color="00000A"/>
          <w:vertAlign w:val="superscript"/>
          <w:lang w:val="it-IT"/>
        </w:rPr>
        <w:t>b,</w:t>
      </w:r>
      <w:r w:rsidR="009B402F">
        <w:rPr>
          <w:u w:color="00000A"/>
          <w:vertAlign w:val="superscript"/>
          <w:lang w:val="it-IT"/>
        </w:rPr>
        <w:t>f</w:t>
      </w:r>
      <w:proofErr w:type="spellEnd"/>
      <w:r w:rsidR="0025473D">
        <w:rPr>
          <w:u w:color="00000A"/>
          <w:vertAlign w:val="superscript"/>
          <w:lang w:val="it-IT"/>
        </w:rPr>
        <w:t xml:space="preserve"> </w:t>
      </w:r>
      <w:r w:rsidR="000A29D5">
        <w:rPr>
          <w:u w:color="00000A"/>
          <w:vertAlign w:val="superscript"/>
          <w:lang w:val="it-IT"/>
        </w:rPr>
        <w:t>°</w:t>
      </w:r>
      <w:r>
        <w:rPr>
          <w:u w:color="00000A"/>
          <w:lang w:val="it-IT"/>
        </w:rPr>
        <w:t xml:space="preserve">, </w:t>
      </w:r>
      <w:proofErr w:type="spellStart"/>
      <w:r>
        <w:rPr>
          <w:u w:color="00000A"/>
          <w:lang w:val="it-IT"/>
        </w:rPr>
        <w:t>Mandracci</w:t>
      </w:r>
      <w:proofErr w:type="spellEnd"/>
      <w:r>
        <w:rPr>
          <w:u w:color="00000A"/>
          <w:lang w:val="it-IT"/>
        </w:rPr>
        <w:t xml:space="preserve"> </w:t>
      </w:r>
      <w:proofErr w:type="spellStart"/>
      <w:r>
        <w:rPr>
          <w:u w:color="00000A"/>
          <w:lang w:val="it-IT"/>
        </w:rPr>
        <w:t>P</w:t>
      </w:r>
      <w:r w:rsidR="00107926">
        <w:rPr>
          <w:u w:color="00000A"/>
          <w:lang w:val="it-IT"/>
        </w:rPr>
        <w:t>ietro</w:t>
      </w:r>
      <w:r w:rsidR="00C23133">
        <w:rPr>
          <w:u w:color="00000A"/>
          <w:vertAlign w:val="superscript"/>
          <w:lang w:val="it-IT"/>
        </w:rPr>
        <w:t>c</w:t>
      </w:r>
      <w:proofErr w:type="spellEnd"/>
      <w:r w:rsidR="000A29D5">
        <w:rPr>
          <w:u w:color="00000A"/>
          <w:vertAlign w:val="superscript"/>
          <w:lang w:val="it-IT"/>
        </w:rPr>
        <w:t>°</w:t>
      </w:r>
      <w:r w:rsidR="007E2C7C">
        <w:rPr>
          <w:u w:color="00000A"/>
          <w:lang w:val="it-IT"/>
        </w:rPr>
        <w:t xml:space="preserve">, </w:t>
      </w:r>
      <w:proofErr w:type="spellStart"/>
      <w:r w:rsidR="007E2C7C">
        <w:rPr>
          <w:u w:color="00000A"/>
          <w:lang w:val="it-IT"/>
        </w:rPr>
        <w:t>Carossa</w:t>
      </w:r>
      <w:proofErr w:type="spellEnd"/>
      <w:r w:rsidR="007E2C7C">
        <w:rPr>
          <w:u w:color="00000A"/>
          <w:lang w:val="it-IT"/>
        </w:rPr>
        <w:t xml:space="preserve"> </w:t>
      </w:r>
      <w:proofErr w:type="spellStart"/>
      <w:r w:rsidR="007E2C7C">
        <w:rPr>
          <w:u w:color="00000A"/>
          <w:lang w:val="it-IT"/>
        </w:rPr>
        <w:t>S</w:t>
      </w:r>
      <w:r w:rsidR="00107926">
        <w:rPr>
          <w:u w:color="00000A"/>
          <w:lang w:val="it-IT"/>
        </w:rPr>
        <w:t>tefano</w:t>
      </w:r>
      <w:r w:rsidR="007E2C7C">
        <w:rPr>
          <w:u w:color="00000A"/>
          <w:vertAlign w:val="superscript"/>
          <w:lang w:val="it-IT"/>
        </w:rPr>
        <w:t>1</w:t>
      </w:r>
      <w:proofErr w:type="spellEnd"/>
      <w:r w:rsidR="000A29D5">
        <w:rPr>
          <w:u w:color="00000A"/>
          <w:vertAlign w:val="superscript"/>
          <w:lang w:val="it-IT"/>
        </w:rPr>
        <w:t>°</w:t>
      </w:r>
    </w:p>
    <w:p w14:paraId="42D20E5F" w14:textId="19433F3B" w:rsidR="00E2412D" w:rsidRDefault="00673E5C">
      <w:pPr>
        <w:pStyle w:val="BodyA"/>
        <w:keepNext w:val="0"/>
        <w:widowControl w:val="0"/>
        <w:suppressAutoHyphens w:val="0"/>
        <w:spacing w:line="480" w:lineRule="auto"/>
        <w:rPr>
          <w:u w:color="00000A"/>
        </w:rPr>
      </w:pPr>
      <w:r>
        <w:rPr>
          <w:u w:color="00000A"/>
        </w:rPr>
        <w:t>*Equally contributed to the paper</w:t>
      </w:r>
    </w:p>
    <w:p w14:paraId="43DD7567" w14:textId="7361F46E" w:rsidR="000A29D5" w:rsidRDefault="000A29D5">
      <w:pPr>
        <w:pStyle w:val="BodyA"/>
        <w:keepNext w:val="0"/>
        <w:widowControl w:val="0"/>
        <w:suppressAutoHyphens w:val="0"/>
        <w:spacing w:line="480" w:lineRule="auto"/>
        <w:rPr>
          <w:u w:color="00000A"/>
        </w:rPr>
      </w:pPr>
      <w:r>
        <w:rPr>
          <w:u w:color="00000A"/>
        </w:rPr>
        <w:t>°</w:t>
      </w:r>
      <w:r w:rsidRPr="000A29D5">
        <w:rPr>
          <w:u w:color="00000A"/>
        </w:rPr>
        <w:t xml:space="preserve"> </w:t>
      </w:r>
      <w:r>
        <w:rPr>
          <w:u w:color="00000A"/>
        </w:rPr>
        <w:t>Equally contributed to the paper</w:t>
      </w:r>
    </w:p>
    <w:p w14:paraId="77BA3BE1" w14:textId="31538740" w:rsidR="00E2412D" w:rsidRPr="00735F00" w:rsidRDefault="00C23133" w:rsidP="00735F00">
      <w:pPr>
        <w:pStyle w:val="BodyA"/>
        <w:keepNext w:val="0"/>
        <w:widowControl w:val="0"/>
        <w:suppressAutoHyphens w:val="0"/>
        <w:spacing w:line="360" w:lineRule="auto"/>
        <w:jc w:val="both"/>
        <w:rPr>
          <w:sz w:val="22"/>
          <w:u w:color="00000A"/>
        </w:rPr>
      </w:pPr>
      <w:r w:rsidRPr="00735F00">
        <w:rPr>
          <w:sz w:val="22"/>
          <w:u w:color="00000A"/>
        </w:rPr>
        <w:t>a</w:t>
      </w:r>
      <w:r w:rsidR="00673E5C" w:rsidRPr="00735F00">
        <w:rPr>
          <w:sz w:val="22"/>
          <w:u w:color="00000A"/>
        </w:rPr>
        <w:t xml:space="preserve">. CIR Dental School, Department of Surgical Sciences </w:t>
      </w:r>
      <w:proofErr w:type="spellStart"/>
      <w:r w:rsidR="00673E5C" w:rsidRPr="00735F00">
        <w:rPr>
          <w:sz w:val="22"/>
          <w:u w:color="00000A"/>
        </w:rPr>
        <w:t>UNITO</w:t>
      </w:r>
      <w:proofErr w:type="spellEnd"/>
      <w:r w:rsidR="00673E5C" w:rsidRPr="00735F00">
        <w:rPr>
          <w:sz w:val="22"/>
          <w:u w:color="00000A"/>
        </w:rPr>
        <w:t xml:space="preserve">, via Nizza 230, 10126 Turin, Italy; </w:t>
      </w:r>
    </w:p>
    <w:p w14:paraId="3E98254B" w14:textId="60C00403" w:rsidR="00E2412D" w:rsidRPr="00735F00" w:rsidRDefault="00C23133" w:rsidP="00735F00">
      <w:pPr>
        <w:pStyle w:val="BodyA"/>
        <w:keepNext w:val="0"/>
        <w:widowControl w:val="0"/>
        <w:suppressAutoHyphens w:val="0"/>
        <w:spacing w:line="360" w:lineRule="auto"/>
        <w:jc w:val="both"/>
        <w:rPr>
          <w:sz w:val="22"/>
          <w:u w:color="00000A"/>
        </w:rPr>
      </w:pPr>
      <w:r w:rsidRPr="00735F00">
        <w:rPr>
          <w:sz w:val="22"/>
          <w:u w:color="00000A"/>
        </w:rPr>
        <w:t>b</w:t>
      </w:r>
      <w:r w:rsidR="00673E5C" w:rsidRPr="00735F00">
        <w:rPr>
          <w:sz w:val="22"/>
          <w:u w:color="00000A"/>
        </w:rPr>
        <w:t>.</w:t>
      </w:r>
      <w:r w:rsidR="0025473D">
        <w:rPr>
          <w:sz w:val="22"/>
          <w:u w:color="00000A"/>
        </w:rPr>
        <w:t xml:space="preserve"> </w:t>
      </w:r>
      <w:r w:rsidR="00673E5C" w:rsidRPr="00735F00">
        <w:rPr>
          <w:sz w:val="22"/>
          <w:u w:color="00000A"/>
        </w:rPr>
        <w:t xml:space="preserve">Department of Life Sciences and Systems Biology, </w:t>
      </w:r>
      <w:proofErr w:type="spellStart"/>
      <w:r w:rsidR="00673E5C" w:rsidRPr="00735F00">
        <w:rPr>
          <w:sz w:val="22"/>
          <w:u w:color="00000A"/>
        </w:rPr>
        <w:t>UNITO</w:t>
      </w:r>
      <w:proofErr w:type="spellEnd"/>
      <w:r w:rsidR="00673E5C" w:rsidRPr="00735F00">
        <w:rPr>
          <w:sz w:val="22"/>
          <w:u w:color="00000A"/>
        </w:rPr>
        <w:t>, via Accademia Albertina 13, 10123, Turin, Italy;</w:t>
      </w:r>
    </w:p>
    <w:p w14:paraId="6DDB8024" w14:textId="349E3E06" w:rsidR="00E2412D" w:rsidRPr="00735F00" w:rsidRDefault="00C23133" w:rsidP="00735F00">
      <w:pPr>
        <w:pStyle w:val="BodyA"/>
        <w:keepNext w:val="0"/>
        <w:widowControl w:val="0"/>
        <w:suppressAutoHyphens w:val="0"/>
        <w:spacing w:line="360" w:lineRule="auto"/>
        <w:jc w:val="both"/>
        <w:rPr>
          <w:sz w:val="22"/>
          <w:u w:color="00000A"/>
        </w:rPr>
      </w:pPr>
      <w:r w:rsidRPr="00735F00">
        <w:rPr>
          <w:sz w:val="22"/>
          <w:u w:color="00000A"/>
        </w:rPr>
        <w:t>c</w:t>
      </w:r>
      <w:r w:rsidR="00673E5C" w:rsidRPr="00735F00">
        <w:rPr>
          <w:sz w:val="22"/>
          <w:u w:color="00000A"/>
        </w:rPr>
        <w:t>. Department of Applied Science and Technology</w:t>
      </w:r>
      <w:r w:rsidR="00673E5C" w:rsidRPr="00735F00">
        <w:rPr>
          <w:rFonts w:hAnsi="Times New Roman"/>
          <w:sz w:val="22"/>
          <w:u w:color="00000A"/>
        </w:rPr>
        <w:t>–</w:t>
      </w:r>
      <w:r w:rsidR="00673E5C" w:rsidRPr="00735F00">
        <w:rPr>
          <w:sz w:val="22"/>
          <w:u w:color="00000A"/>
        </w:rPr>
        <w:t>Materials and Microsystems Laboratory (</w:t>
      </w:r>
      <w:proofErr w:type="spellStart"/>
      <w:r w:rsidR="00673E5C" w:rsidRPr="00735F00">
        <w:rPr>
          <w:sz w:val="22"/>
          <w:u w:color="00000A"/>
        </w:rPr>
        <w:t>ChiLab</w:t>
      </w:r>
      <w:proofErr w:type="spellEnd"/>
      <w:r w:rsidR="00673E5C" w:rsidRPr="00735F00">
        <w:rPr>
          <w:sz w:val="22"/>
          <w:u w:color="00000A"/>
        </w:rPr>
        <w:t xml:space="preserve">), </w:t>
      </w:r>
      <w:proofErr w:type="spellStart"/>
      <w:r w:rsidR="00673E5C" w:rsidRPr="00735F00">
        <w:rPr>
          <w:sz w:val="22"/>
          <w:u w:color="00000A"/>
        </w:rPr>
        <w:t>Politecnico</w:t>
      </w:r>
      <w:proofErr w:type="spellEnd"/>
      <w:r w:rsidR="00673E5C" w:rsidRPr="00735F00">
        <w:rPr>
          <w:sz w:val="22"/>
          <w:u w:color="00000A"/>
        </w:rPr>
        <w:t xml:space="preserve"> di Torino, Corso </w:t>
      </w:r>
      <w:proofErr w:type="spellStart"/>
      <w:r w:rsidR="00673E5C" w:rsidRPr="00735F00">
        <w:rPr>
          <w:sz w:val="22"/>
          <w:u w:color="00000A"/>
        </w:rPr>
        <w:t>Duca</w:t>
      </w:r>
      <w:proofErr w:type="spellEnd"/>
      <w:r w:rsidR="00673E5C" w:rsidRPr="00735F00">
        <w:rPr>
          <w:sz w:val="22"/>
          <w:u w:color="00000A"/>
        </w:rPr>
        <w:t xml:space="preserve"> </w:t>
      </w:r>
      <w:proofErr w:type="spellStart"/>
      <w:r w:rsidR="00673E5C" w:rsidRPr="00735F00">
        <w:rPr>
          <w:sz w:val="22"/>
          <w:u w:color="00000A"/>
        </w:rPr>
        <w:t>degli</w:t>
      </w:r>
      <w:proofErr w:type="spellEnd"/>
      <w:r w:rsidR="00673E5C" w:rsidRPr="00735F00">
        <w:rPr>
          <w:sz w:val="22"/>
          <w:u w:color="00000A"/>
        </w:rPr>
        <w:t xml:space="preserve"> Abruzzi 24, 10129 Torino, Italy;</w:t>
      </w:r>
    </w:p>
    <w:p w14:paraId="720B7E5E" w14:textId="2D0F637A" w:rsidR="00107926" w:rsidRPr="00735F00" w:rsidRDefault="00C23133" w:rsidP="00735F00">
      <w:pPr>
        <w:pStyle w:val="BodyA"/>
        <w:keepNext w:val="0"/>
        <w:widowControl w:val="0"/>
        <w:suppressAutoHyphens w:val="0"/>
        <w:spacing w:line="360" w:lineRule="auto"/>
        <w:jc w:val="both"/>
        <w:rPr>
          <w:sz w:val="22"/>
          <w:u w:color="00000A"/>
          <w:lang w:val="it-IT"/>
        </w:rPr>
      </w:pPr>
      <w:r w:rsidRPr="00735F00">
        <w:rPr>
          <w:sz w:val="22"/>
          <w:u w:color="00000A"/>
          <w:lang w:val="it-IT"/>
        </w:rPr>
        <w:t>d</w:t>
      </w:r>
      <w:r w:rsidR="00107926" w:rsidRPr="00735F00">
        <w:rPr>
          <w:sz w:val="22"/>
          <w:u w:color="00000A"/>
          <w:lang w:val="it-IT"/>
        </w:rPr>
        <w:t xml:space="preserve">. </w:t>
      </w:r>
      <w:r w:rsidR="0074087B" w:rsidRPr="00735F00">
        <w:rPr>
          <w:sz w:val="22"/>
          <w:lang w:val="it-IT"/>
        </w:rPr>
        <w:t>Istituto per le Macchine Agricole e Movimento Terra (</w:t>
      </w:r>
      <w:proofErr w:type="spellStart"/>
      <w:r w:rsidR="0074087B" w:rsidRPr="00735F00">
        <w:rPr>
          <w:sz w:val="22"/>
          <w:lang w:val="it-IT"/>
        </w:rPr>
        <w:t>IMAMOTER</w:t>
      </w:r>
      <w:proofErr w:type="spellEnd"/>
      <w:r w:rsidR="0074087B" w:rsidRPr="00735F00">
        <w:rPr>
          <w:sz w:val="22"/>
          <w:lang w:val="it-IT"/>
        </w:rPr>
        <w:t>)-</w:t>
      </w:r>
      <w:proofErr w:type="spellStart"/>
      <w:r w:rsidR="0074087B" w:rsidRPr="00735F00">
        <w:rPr>
          <w:sz w:val="22"/>
          <w:lang w:val="it-IT"/>
        </w:rPr>
        <w:t>UOS</w:t>
      </w:r>
      <w:proofErr w:type="spellEnd"/>
      <w:r w:rsidR="0074087B" w:rsidRPr="00735F00">
        <w:rPr>
          <w:sz w:val="22"/>
          <w:lang w:val="it-IT"/>
        </w:rPr>
        <w:t xml:space="preserve"> di Torino, Consiglio Nazionale delle Ricerche, Strada delle </w:t>
      </w:r>
      <w:proofErr w:type="spellStart"/>
      <w:r w:rsidR="0074087B" w:rsidRPr="00735F00">
        <w:rPr>
          <w:sz w:val="22"/>
          <w:lang w:val="it-IT"/>
        </w:rPr>
        <w:t>Cacce</w:t>
      </w:r>
      <w:proofErr w:type="spellEnd"/>
      <w:r w:rsidR="0074087B" w:rsidRPr="00735F00">
        <w:rPr>
          <w:sz w:val="22"/>
          <w:lang w:val="it-IT"/>
        </w:rPr>
        <w:t xml:space="preserve"> 73, 10135, Torino, </w:t>
      </w:r>
      <w:proofErr w:type="spellStart"/>
      <w:r w:rsidR="0074087B" w:rsidRPr="00735F00">
        <w:rPr>
          <w:sz w:val="22"/>
          <w:lang w:val="it-IT"/>
        </w:rPr>
        <w:t>Italy</w:t>
      </w:r>
      <w:proofErr w:type="spellEnd"/>
    </w:p>
    <w:p w14:paraId="4D5FA04B" w14:textId="57E001B4" w:rsidR="009B402F" w:rsidRPr="00847E04" w:rsidRDefault="00C23133" w:rsidP="00735F00">
      <w:pPr>
        <w:pStyle w:val="BodyA"/>
        <w:keepNext w:val="0"/>
        <w:widowControl w:val="0"/>
        <w:suppressAutoHyphens w:val="0"/>
        <w:spacing w:line="360" w:lineRule="auto"/>
        <w:jc w:val="both"/>
        <w:rPr>
          <w:color w:val="FF0000"/>
          <w:sz w:val="22"/>
          <w:u w:color="00000A"/>
        </w:rPr>
      </w:pPr>
      <w:r w:rsidRPr="00847E04">
        <w:rPr>
          <w:color w:val="FF0000"/>
          <w:sz w:val="22"/>
          <w:u w:color="00000A"/>
        </w:rPr>
        <w:t>e</w:t>
      </w:r>
      <w:r w:rsidR="00673E5C" w:rsidRPr="00847E04">
        <w:rPr>
          <w:color w:val="FF0000"/>
          <w:sz w:val="22"/>
          <w:u w:color="00000A"/>
        </w:rPr>
        <w:t>.</w:t>
      </w:r>
      <w:r w:rsidR="00735F00" w:rsidRPr="00847E04">
        <w:rPr>
          <w:color w:val="FF0000"/>
          <w:sz w:val="22"/>
        </w:rPr>
        <w:t xml:space="preserve"> </w:t>
      </w:r>
      <w:r w:rsidR="00735F00" w:rsidRPr="00847E04">
        <w:rPr>
          <w:color w:val="FF0000"/>
          <w:sz w:val="22"/>
          <w:lang w:val="en-GB"/>
        </w:rPr>
        <w:t xml:space="preserve">Department of Molecular Biotechnology and Health Sciences, </w:t>
      </w:r>
      <w:proofErr w:type="spellStart"/>
      <w:r w:rsidR="00735F00" w:rsidRPr="00847E04">
        <w:rPr>
          <w:color w:val="FF0000"/>
          <w:sz w:val="22"/>
          <w:lang w:val="en-GB"/>
        </w:rPr>
        <w:t>UNITO</w:t>
      </w:r>
      <w:proofErr w:type="spellEnd"/>
      <w:r w:rsidR="00735F00" w:rsidRPr="00847E04">
        <w:rPr>
          <w:color w:val="FF0000"/>
          <w:sz w:val="22"/>
          <w:lang w:val="en-GB"/>
        </w:rPr>
        <w:t>, Via Nizza 52, 10126 Turin, Italy</w:t>
      </w:r>
    </w:p>
    <w:p w14:paraId="18CFD360" w14:textId="3E300705" w:rsidR="00E2412D" w:rsidRPr="00735F00" w:rsidRDefault="009B402F" w:rsidP="00735F00">
      <w:pPr>
        <w:pStyle w:val="BodyA"/>
        <w:keepNext w:val="0"/>
        <w:widowControl w:val="0"/>
        <w:suppressAutoHyphens w:val="0"/>
        <w:spacing w:line="360" w:lineRule="auto"/>
        <w:jc w:val="both"/>
        <w:rPr>
          <w:sz w:val="22"/>
          <w:u w:color="00000A"/>
        </w:rPr>
      </w:pPr>
      <w:r w:rsidRPr="00735F00">
        <w:rPr>
          <w:sz w:val="22"/>
          <w:u w:color="00000A"/>
        </w:rPr>
        <w:t>f.</w:t>
      </w:r>
      <w:r w:rsidR="00673E5C" w:rsidRPr="00735F00">
        <w:rPr>
          <w:sz w:val="22"/>
          <w:u w:color="00000A"/>
        </w:rPr>
        <w:t xml:space="preserve"> Centre for Nanostructured Interfaces and Surfaces (NIS)</w:t>
      </w:r>
      <w:r w:rsidR="0074087B" w:rsidRPr="00735F00">
        <w:rPr>
          <w:sz w:val="22"/>
          <w:u w:color="00000A"/>
        </w:rPr>
        <w:t>, via Accademia Albertina 13, 10123, Turin, Italy</w:t>
      </w:r>
      <w:r w:rsidR="00673E5C" w:rsidRPr="00735F00">
        <w:rPr>
          <w:sz w:val="22"/>
          <w:u w:color="00000A"/>
        </w:rPr>
        <w:t>;</w:t>
      </w:r>
    </w:p>
    <w:p w14:paraId="5250DE89" w14:textId="77777777" w:rsidR="00E2412D" w:rsidRPr="00C23133" w:rsidRDefault="00E2412D">
      <w:pPr>
        <w:pStyle w:val="BodyA"/>
        <w:keepNext w:val="0"/>
        <w:widowControl w:val="0"/>
        <w:suppressAutoHyphens w:val="0"/>
        <w:rPr>
          <w:u w:color="00000A"/>
        </w:rPr>
      </w:pPr>
    </w:p>
    <w:p w14:paraId="037615B3" w14:textId="77777777" w:rsidR="00E2412D" w:rsidRPr="00C23133" w:rsidRDefault="00E2412D">
      <w:pPr>
        <w:pStyle w:val="BodyA"/>
        <w:keepNext w:val="0"/>
        <w:widowControl w:val="0"/>
        <w:suppressAutoHyphens w:val="0"/>
        <w:rPr>
          <w:u w:color="00000A"/>
        </w:rPr>
      </w:pPr>
    </w:p>
    <w:p w14:paraId="642B2507" w14:textId="01396DB2" w:rsidR="00E2412D" w:rsidRDefault="00673E5C">
      <w:pPr>
        <w:pStyle w:val="BodyA"/>
        <w:keepNext w:val="0"/>
        <w:widowControl w:val="0"/>
        <w:suppressAutoHyphens w:val="0"/>
        <w:spacing w:line="480" w:lineRule="auto"/>
        <w:jc w:val="both"/>
        <w:rPr>
          <w:lang w:val="it-IT"/>
        </w:rPr>
      </w:pPr>
      <w:proofErr w:type="spellStart"/>
      <w:r>
        <w:rPr>
          <w:lang w:val="it-IT"/>
        </w:rPr>
        <w:t>Correspond</w:t>
      </w:r>
      <w:r w:rsidR="00B472EA">
        <w:rPr>
          <w:lang w:val="it-IT"/>
        </w:rPr>
        <w:t>e</w:t>
      </w:r>
      <w:r>
        <w:rPr>
          <w:lang w:val="it-IT"/>
        </w:rPr>
        <w:t>nce</w:t>
      </w:r>
      <w:proofErr w:type="spellEnd"/>
      <w:r>
        <w:rPr>
          <w:lang w:val="it-IT"/>
        </w:rPr>
        <w:t>:</w:t>
      </w:r>
    </w:p>
    <w:p w14:paraId="663875CD" w14:textId="77777777" w:rsidR="00E2412D" w:rsidRDefault="00673E5C">
      <w:pPr>
        <w:pStyle w:val="BodyA"/>
        <w:keepNext w:val="0"/>
        <w:widowControl w:val="0"/>
        <w:suppressAutoHyphens w:val="0"/>
        <w:spacing w:line="480" w:lineRule="auto"/>
        <w:jc w:val="both"/>
        <w:rPr>
          <w:lang w:val="it-IT"/>
        </w:rPr>
      </w:pPr>
      <w:r>
        <w:rPr>
          <w:lang w:val="it-IT"/>
        </w:rPr>
        <w:t>Federico Mussano</w:t>
      </w:r>
    </w:p>
    <w:p w14:paraId="1F0C27C5" w14:textId="77777777" w:rsidR="00E2412D" w:rsidRDefault="00673E5C">
      <w:pPr>
        <w:pStyle w:val="BodyA"/>
        <w:keepNext w:val="0"/>
        <w:widowControl w:val="0"/>
        <w:suppressAutoHyphens w:val="0"/>
        <w:spacing w:line="480" w:lineRule="auto"/>
        <w:jc w:val="both"/>
        <w:rPr>
          <w:lang w:val="it-IT"/>
        </w:rPr>
      </w:pPr>
      <w:r>
        <w:rPr>
          <w:lang w:val="it-IT"/>
        </w:rPr>
        <w:t xml:space="preserve">Via Nizza 230 </w:t>
      </w:r>
    </w:p>
    <w:p w14:paraId="305E726E" w14:textId="77777777" w:rsidR="00E2412D" w:rsidRDefault="00673E5C">
      <w:pPr>
        <w:pStyle w:val="BodyA"/>
        <w:keepNext w:val="0"/>
        <w:widowControl w:val="0"/>
        <w:suppressAutoHyphens w:val="0"/>
        <w:spacing w:line="480" w:lineRule="auto"/>
        <w:jc w:val="both"/>
        <w:rPr>
          <w:lang w:val="it-IT"/>
        </w:rPr>
      </w:pPr>
      <w:r>
        <w:rPr>
          <w:lang w:val="it-IT"/>
        </w:rPr>
        <w:t xml:space="preserve">10126 Torino, </w:t>
      </w:r>
      <w:proofErr w:type="spellStart"/>
      <w:r>
        <w:rPr>
          <w:lang w:val="it-IT"/>
        </w:rPr>
        <w:t>Italy</w:t>
      </w:r>
      <w:proofErr w:type="spellEnd"/>
    </w:p>
    <w:p w14:paraId="3258B2D7" w14:textId="38EEDE37" w:rsidR="00E2412D" w:rsidRDefault="00673E5C">
      <w:pPr>
        <w:pStyle w:val="BodyA"/>
        <w:keepNext w:val="0"/>
        <w:widowControl w:val="0"/>
        <w:suppressAutoHyphens w:val="0"/>
        <w:spacing w:line="480" w:lineRule="auto"/>
        <w:jc w:val="both"/>
        <w:rPr>
          <w:lang w:val="it-IT"/>
        </w:rPr>
      </w:pPr>
      <w:r>
        <w:rPr>
          <w:sz w:val="22"/>
          <w:szCs w:val="22"/>
          <w:lang w:val="it-IT"/>
        </w:rPr>
        <w:t xml:space="preserve">e-mail: </w:t>
      </w:r>
      <w:r w:rsidR="00E85299">
        <w:fldChar w:fldCharType="begin"/>
      </w:r>
      <w:r w:rsidR="00E85299" w:rsidRPr="00296F38">
        <w:rPr>
          <w:lang w:val="it-IT"/>
        </w:rPr>
        <w:instrText>federico.mussano@unito.it</w:instrText>
      </w:r>
      <w:r w:rsidR="00E85299">
        <w:fldChar w:fldCharType="separate"/>
      </w:r>
      <w:r>
        <w:rPr>
          <w:rStyle w:val="Hyperlink0"/>
        </w:rPr>
        <w:t>federico.mussano@unito.it</w:t>
      </w:r>
      <w:r w:rsidR="00E85299">
        <w:rPr>
          <w:rStyle w:val="Hyperlink0"/>
        </w:rPr>
        <w:fldChar w:fldCharType="end"/>
      </w:r>
    </w:p>
    <w:p w14:paraId="0FD1A385" w14:textId="77777777" w:rsidR="00E2412D" w:rsidRPr="00296F38" w:rsidRDefault="00673E5C">
      <w:pPr>
        <w:pStyle w:val="BodyA"/>
        <w:keepNext w:val="0"/>
        <w:widowControl w:val="0"/>
        <w:suppressAutoHyphens w:val="0"/>
        <w:spacing w:line="480" w:lineRule="auto"/>
        <w:jc w:val="both"/>
        <w:rPr>
          <w:sz w:val="22"/>
          <w:szCs w:val="22"/>
          <w:lang w:val="it-IT"/>
        </w:rPr>
      </w:pPr>
      <w:r w:rsidRPr="00296F38">
        <w:rPr>
          <w:sz w:val="22"/>
          <w:szCs w:val="22"/>
          <w:lang w:val="it-IT"/>
        </w:rPr>
        <w:t xml:space="preserve">Fax </w:t>
      </w:r>
      <w:proofErr w:type="spellStart"/>
      <w:r w:rsidRPr="00296F38">
        <w:rPr>
          <w:sz w:val="22"/>
          <w:szCs w:val="22"/>
          <w:lang w:val="it-IT"/>
        </w:rPr>
        <w:t>number</w:t>
      </w:r>
      <w:proofErr w:type="spellEnd"/>
      <w:r w:rsidRPr="00296F38">
        <w:rPr>
          <w:sz w:val="22"/>
          <w:szCs w:val="22"/>
          <w:lang w:val="it-IT"/>
        </w:rPr>
        <w:t>: 0116708389</w:t>
      </w:r>
    </w:p>
    <w:p w14:paraId="787AEEBE" w14:textId="77777777" w:rsidR="00E2412D" w:rsidRPr="00296F38" w:rsidRDefault="00673E5C">
      <w:pPr>
        <w:pStyle w:val="BodyA"/>
        <w:keepNext w:val="0"/>
        <w:widowControl w:val="0"/>
        <w:suppressAutoHyphens w:val="0"/>
        <w:spacing w:line="480" w:lineRule="auto"/>
        <w:jc w:val="both"/>
        <w:rPr>
          <w:sz w:val="22"/>
          <w:szCs w:val="22"/>
          <w:lang w:val="it-IT"/>
        </w:rPr>
      </w:pPr>
      <w:r w:rsidRPr="00296F38">
        <w:rPr>
          <w:sz w:val="22"/>
          <w:szCs w:val="22"/>
          <w:lang w:val="it-IT"/>
        </w:rPr>
        <w:t xml:space="preserve">10126 Torino, </w:t>
      </w:r>
      <w:proofErr w:type="spellStart"/>
      <w:r w:rsidRPr="00296F38">
        <w:rPr>
          <w:sz w:val="22"/>
          <w:szCs w:val="22"/>
          <w:lang w:val="it-IT"/>
        </w:rPr>
        <w:t>Italy</w:t>
      </w:r>
      <w:proofErr w:type="spellEnd"/>
    </w:p>
    <w:p w14:paraId="1F25EF87" w14:textId="77777777" w:rsidR="00E2412D" w:rsidRDefault="00E2412D">
      <w:pPr>
        <w:pStyle w:val="BodyB"/>
        <w:keepNext w:val="0"/>
        <w:widowControl w:val="0"/>
        <w:suppressAutoHyphens w:val="0"/>
        <w:rPr>
          <w:sz w:val="22"/>
          <w:szCs w:val="22"/>
        </w:rPr>
      </w:pPr>
    </w:p>
    <w:p w14:paraId="3ECFB25B" w14:textId="77777777" w:rsidR="009B402F" w:rsidRPr="00296F38" w:rsidRDefault="009B402F">
      <w:pPr>
        <w:pStyle w:val="BodyB"/>
        <w:keepNext w:val="0"/>
        <w:widowControl w:val="0"/>
        <w:suppressAutoHyphens w:val="0"/>
        <w:rPr>
          <w:sz w:val="22"/>
          <w:szCs w:val="22"/>
        </w:rPr>
      </w:pPr>
    </w:p>
    <w:p w14:paraId="0D62D54E" w14:textId="77777777" w:rsidR="00E2412D" w:rsidRPr="00296F38" w:rsidRDefault="00E2412D">
      <w:pPr>
        <w:pStyle w:val="BodyB"/>
        <w:keepNext w:val="0"/>
        <w:widowControl w:val="0"/>
        <w:suppressAutoHyphens w:val="0"/>
        <w:rPr>
          <w:sz w:val="22"/>
          <w:szCs w:val="22"/>
        </w:rPr>
      </w:pPr>
    </w:p>
    <w:p w14:paraId="239DBAD9" w14:textId="77777777" w:rsidR="00E2412D" w:rsidRPr="00296F38" w:rsidRDefault="00E2412D">
      <w:pPr>
        <w:pStyle w:val="BodyB"/>
        <w:keepNext w:val="0"/>
        <w:widowControl w:val="0"/>
        <w:suppressAutoHyphens w:val="0"/>
        <w:rPr>
          <w:sz w:val="22"/>
          <w:szCs w:val="22"/>
        </w:rPr>
      </w:pPr>
    </w:p>
    <w:p w14:paraId="7515E26F" w14:textId="77777777" w:rsidR="00E2412D" w:rsidRPr="00296F38" w:rsidRDefault="00E2412D">
      <w:pPr>
        <w:pStyle w:val="BodyB"/>
        <w:keepNext w:val="0"/>
        <w:widowControl w:val="0"/>
        <w:suppressAutoHyphens w:val="0"/>
        <w:rPr>
          <w:sz w:val="22"/>
          <w:szCs w:val="22"/>
        </w:rPr>
      </w:pPr>
    </w:p>
    <w:p w14:paraId="639CA0BA" w14:textId="26C099F3" w:rsidR="00E2412D" w:rsidRPr="00557C9B" w:rsidRDefault="00673E5C">
      <w:pPr>
        <w:pStyle w:val="BodyA"/>
        <w:keepNext w:val="0"/>
        <w:widowControl w:val="0"/>
        <w:suppressAutoHyphens w:val="0"/>
        <w:spacing w:line="480" w:lineRule="auto"/>
        <w:jc w:val="both"/>
        <w:rPr>
          <w:b/>
          <w:color w:val="00000A"/>
          <w:sz w:val="22"/>
          <w:szCs w:val="22"/>
          <w:u w:color="00000A"/>
        </w:rPr>
      </w:pPr>
      <w:r w:rsidRPr="00557C9B">
        <w:rPr>
          <w:b/>
          <w:color w:val="00000A"/>
          <w:sz w:val="22"/>
          <w:szCs w:val="22"/>
          <w:u w:color="00000A"/>
        </w:rPr>
        <w:lastRenderedPageBreak/>
        <w:t>Abstract</w:t>
      </w:r>
      <w:r w:rsidR="00557C9B" w:rsidRPr="00557C9B">
        <w:rPr>
          <w:b/>
          <w:color w:val="00000A"/>
          <w:sz w:val="22"/>
          <w:szCs w:val="22"/>
          <w:u w:color="00000A"/>
        </w:rPr>
        <w:t xml:space="preserve"> </w:t>
      </w:r>
    </w:p>
    <w:p w14:paraId="0ACEE8B3" w14:textId="0C8EB711" w:rsidR="00BE70A7" w:rsidRDefault="00BE70A7" w:rsidP="00BE70A7">
      <w:pPr>
        <w:pStyle w:val="BodyA"/>
        <w:keepNext w:val="0"/>
        <w:widowControl w:val="0"/>
        <w:suppressAutoHyphens w:val="0"/>
        <w:spacing w:line="480" w:lineRule="auto"/>
        <w:jc w:val="both"/>
        <w:rPr>
          <w:sz w:val="22"/>
          <w:szCs w:val="22"/>
        </w:rPr>
      </w:pPr>
      <w:r>
        <w:rPr>
          <w:sz w:val="22"/>
          <w:szCs w:val="22"/>
        </w:rPr>
        <w:t xml:space="preserve">This paper aimed to assess how four different and representative dental implant surfaces (machined MAC, grit blasted GB, acid etched AE and grit blasted acid etched </w:t>
      </w:r>
      <w:proofErr w:type="spellStart"/>
      <w:r>
        <w:rPr>
          <w:sz w:val="22"/>
          <w:szCs w:val="22"/>
        </w:rPr>
        <w:t>GBAE</w:t>
      </w:r>
      <w:proofErr w:type="spellEnd"/>
      <w:r>
        <w:rPr>
          <w:sz w:val="22"/>
          <w:szCs w:val="22"/>
        </w:rPr>
        <w:t xml:space="preserve">) could affect cell adhesion possibly modulating protein adsorption and a paramount cell receptor such as </w:t>
      </w:r>
      <w:r>
        <w:rPr>
          <w:rFonts w:hAnsi="Times New Roman"/>
          <w:sz w:val="22"/>
          <w:szCs w:val="22"/>
        </w:rPr>
        <w:t>α</w:t>
      </w:r>
      <w:proofErr w:type="spellStart"/>
      <w:r>
        <w:rPr>
          <w:sz w:val="22"/>
          <w:szCs w:val="22"/>
        </w:rPr>
        <w:t>5</w:t>
      </w:r>
      <w:r>
        <w:rPr>
          <w:rFonts w:hAnsi="Times New Roman"/>
          <w:sz w:val="22"/>
          <w:szCs w:val="22"/>
        </w:rPr>
        <w:t>ß</w:t>
      </w:r>
      <w:r>
        <w:rPr>
          <w:sz w:val="22"/>
          <w:szCs w:val="22"/>
        </w:rPr>
        <w:t>1</w:t>
      </w:r>
      <w:proofErr w:type="spellEnd"/>
      <w:r>
        <w:rPr>
          <w:sz w:val="22"/>
          <w:szCs w:val="22"/>
        </w:rPr>
        <w:t xml:space="preserve"> integrin. Based on non-contact 3D profilometry, </w:t>
      </w:r>
      <w:proofErr w:type="spellStart"/>
      <w:r>
        <w:rPr>
          <w:sz w:val="22"/>
          <w:szCs w:val="22"/>
        </w:rPr>
        <w:t>GBAE</w:t>
      </w:r>
      <w:proofErr w:type="spellEnd"/>
      <w:r>
        <w:rPr>
          <w:sz w:val="22"/>
          <w:szCs w:val="22"/>
        </w:rPr>
        <w:t xml:space="preserve"> was rougher than the other surfaces, while GB and AE reached similar intermediate S</w:t>
      </w:r>
      <w:r>
        <w:rPr>
          <w:sz w:val="22"/>
          <w:szCs w:val="22"/>
          <w:vertAlign w:val="subscript"/>
        </w:rPr>
        <w:t>a</w:t>
      </w:r>
      <w:r>
        <w:rPr>
          <w:sz w:val="22"/>
          <w:szCs w:val="22"/>
        </w:rPr>
        <w:t xml:space="preserve"> values and MAC resulted the smoothest one. According to X-ray Photoelectron Spectroscopy and Raman spectroscopy, all the surfaces showed amorphous </w:t>
      </w:r>
      <w:proofErr w:type="spellStart"/>
      <w:r>
        <w:rPr>
          <w:sz w:val="22"/>
          <w:szCs w:val="22"/>
        </w:rPr>
        <w:t>titania</w:t>
      </w:r>
      <w:proofErr w:type="spellEnd"/>
      <w:r>
        <w:rPr>
          <w:sz w:val="22"/>
          <w:szCs w:val="22"/>
        </w:rPr>
        <w:t xml:space="preserve"> with similar amounts of carbon contaminants. The lesser protein adsorption and delayed cell adhesion of GB, which did not hinder cell proliferation, were correlated to the altered dispersive to polar SE ratio, that was at least double-fold for GB (2.6) compared to MAC (0.8),</w:t>
      </w:r>
      <w:r w:rsidR="000A29D5" w:rsidRPr="000A29D5">
        <w:rPr>
          <w:sz w:val="22"/>
          <w:szCs w:val="22"/>
        </w:rPr>
        <w:t xml:space="preserve"> </w:t>
      </w:r>
      <w:r>
        <w:rPr>
          <w:sz w:val="22"/>
          <w:szCs w:val="22"/>
        </w:rPr>
        <w:t xml:space="preserve">SL (1.3) and AE (1.2). The biological response </w:t>
      </w:r>
      <w:r>
        <w:rPr>
          <w:i/>
          <w:iCs/>
          <w:sz w:val="22"/>
          <w:szCs w:val="22"/>
        </w:rPr>
        <w:t>in vitro</w:t>
      </w:r>
      <w:r>
        <w:rPr>
          <w:sz w:val="22"/>
          <w:szCs w:val="22"/>
        </w:rPr>
        <w:t xml:space="preserve"> relied</w:t>
      </w:r>
      <w:r w:rsidR="007E69FB">
        <w:rPr>
          <w:sz w:val="22"/>
          <w:szCs w:val="22"/>
        </w:rPr>
        <w:t xml:space="preserve"> on </w:t>
      </w:r>
      <w:r w:rsidR="009F2CBF">
        <w:rPr>
          <w:rFonts w:hAnsi="Times New Roman" w:cs="Times New Roman"/>
          <w:sz w:val="22"/>
          <w:szCs w:val="22"/>
        </w:rPr>
        <w:t>β</w:t>
      </w:r>
      <w:r w:rsidR="007E69FB">
        <w:rPr>
          <w:sz w:val="22"/>
          <w:szCs w:val="22"/>
        </w:rPr>
        <w:t>1 integrin activation</w:t>
      </w:r>
      <w:r>
        <w:rPr>
          <w:sz w:val="22"/>
          <w:szCs w:val="22"/>
        </w:rPr>
        <w:t xml:space="preserve"> that cooperated with the putative mechano</w:t>
      </w:r>
      <w:r w:rsidR="00AA0CF7">
        <w:rPr>
          <w:sz w:val="22"/>
          <w:szCs w:val="22"/>
        </w:rPr>
        <w:t>-</w:t>
      </w:r>
      <w:r>
        <w:rPr>
          <w:sz w:val="22"/>
          <w:szCs w:val="22"/>
        </w:rPr>
        <w:t>protein transient receptor potential vanilloid 4 (</w:t>
      </w:r>
      <w:proofErr w:type="spellStart"/>
      <w:r>
        <w:rPr>
          <w:sz w:val="22"/>
          <w:szCs w:val="22"/>
        </w:rPr>
        <w:t>TRPV4</w:t>
      </w:r>
      <w:proofErr w:type="spellEnd"/>
      <w:r>
        <w:rPr>
          <w:sz w:val="22"/>
          <w:szCs w:val="22"/>
        </w:rPr>
        <w:t xml:space="preserve">) in determining the adhesion of the osteoblasts. In fact, it could be rescued by over activating </w:t>
      </w:r>
      <w:r w:rsidR="00957970">
        <w:rPr>
          <w:rFonts w:hAnsi="Times New Roman" w:cs="Times New Roman"/>
          <w:sz w:val="22"/>
          <w:szCs w:val="22"/>
        </w:rPr>
        <w:t>β</w:t>
      </w:r>
      <w:r>
        <w:rPr>
          <w:sz w:val="22"/>
          <w:szCs w:val="22"/>
        </w:rPr>
        <w:t>1 integrin</w:t>
      </w:r>
      <w:r w:rsidR="007E69FB">
        <w:rPr>
          <w:sz w:val="22"/>
          <w:szCs w:val="22"/>
        </w:rPr>
        <w:t>. On the other hand</w:t>
      </w:r>
      <w:r w:rsidR="00AA0CF7">
        <w:rPr>
          <w:sz w:val="22"/>
          <w:szCs w:val="22"/>
        </w:rPr>
        <w:t>,</w:t>
      </w:r>
      <w:r w:rsidR="007E69FB">
        <w:rPr>
          <w:sz w:val="22"/>
          <w:szCs w:val="22"/>
        </w:rPr>
        <w:t xml:space="preserve"> </w:t>
      </w:r>
      <w:r>
        <w:rPr>
          <w:sz w:val="22"/>
          <w:szCs w:val="22"/>
        </w:rPr>
        <w:t xml:space="preserve">silencing </w:t>
      </w:r>
      <w:proofErr w:type="spellStart"/>
      <w:r>
        <w:rPr>
          <w:sz w:val="22"/>
          <w:szCs w:val="22"/>
        </w:rPr>
        <w:t>TRPV4</w:t>
      </w:r>
      <w:proofErr w:type="spellEnd"/>
      <w:r w:rsidR="007E69FB">
        <w:rPr>
          <w:sz w:val="22"/>
          <w:szCs w:val="22"/>
        </w:rPr>
        <w:t xml:space="preserve"> strongly inhibited cell adhesion on selected substrates</w:t>
      </w:r>
      <w:r w:rsidR="000A29D5">
        <w:rPr>
          <w:sz w:val="22"/>
          <w:szCs w:val="22"/>
        </w:rPr>
        <w:t>, proving the role of this</w:t>
      </w:r>
      <w:r>
        <w:rPr>
          <w:sz w:val="22"/>
          <w:szCs w:val="22"/>
        </w:rPr>
        <w:t xml:space="preserve"> </w:t>
      </w:r>
      <w:r w:rsidR="00AA0CF7">
        <w:rPr>
          <w:sz w:val="22"/>
          <w:szCs w:val="22"/>
        </w:rPr>
        <w:t>protein</w:t>
      </w:r>
      <w:r>
        <w:rPr>
          <w:sz w:val="22"/>
          <w:szCs w:val="22"/>
        </w:rPr>
        <w:t xml:space="preserve"> in mediating osteoblasts adhesion on titanium substrates.</w:t>
      </w:r>
    </w:p>
    <w:p w14:paraId="3EC1C86F" w14:textId="77777777" w:rsidR="00BE70A7" w:rsidRDefault="00BE70A7">
      <w:pPr>
        <w:pStyle w:val="BodyA"/>
        <w:keepNext w:val="0"/>
        <w:widowControl w:val="0"/>
        <w:suppressAutoHyphens w:val="0"/>
        <w:spacing w:line="480" w:lineRule="auto"/>
        <w:jc w:val="both"/>
        <w:rPr>
          <w:color w:val="00000A"/>
          <w:sz w:val="22"/>
          <w:szCs w:val="22"/>
          <w:u w:color="00000A"/>
        </w:rPr>
      </w:pPr>
    </w:p>
    <w:p w14:paraId="2B332703" w14:textId="77777777" w:rsidR="00E2412D" w:rsidRDefault="00E2412D">
      <w:pPr>
        <w:pStyle w:val="BodyA"/>
        <w:keepNext w:val="0"/>
        <w:widowControl w:val="0"/>
        <w:suppressAutoHyphens w:val="0"/>
        <w:spacing w:line="480" w:lineRule="auto"/>
        <w:jc w:val="both"/>
        <w:rPr>
          <w:sz w:val="22"/>
          <w:szCs w:val="22"/>
        </w:rPr>
      </w:pPr>
    </w:p>
    <w:p w14:paraId="646C6C03" w14:textId="77777777" w:rsidR="00E2412D" w:rsidRDefault="00E2412D">
      <w:pPr>
        <w:pStyle w:val="BodyA"/>
        <w:keepNext w:val="0"/>
        <w:widowControl w:val="0"/>
        <w:suppressAutoHyphens w:val="0"/>
        <w:spacing w:line="480" w:lineRule="auto"/>
        <w:jc w:val="both"/>
        <w:rPr>
          <w:sz w:val="22"/>
          <w:szCs w:val="22"/>
        </w:rPr>
      </w:pPr>
    </w:p>
    <w:p w14:paraId="2E78ABB2" w14:textId="77777777" w:rsidR="00E2412D" w:rsidRDefault="00673E5C">
      <w:pPr>
        <w:pStyle w:val="BodyA"/>
        <w:keepNext w:val="0"/>
        <w:widowControl w:val="0"/>
        <w:suppressAutoHyphens w:val="0"/>
        <w:spacing w:line="480" w:lineRule="auto"/>
        <w:jc w:val="both"/>
        <w:rPr>
          <w:sz w:val="22"/>
          <w:szCs w:val="22"/>
        </w:rPr>
      </w:pPr>
      <w:r>
        <w:rPr>
          <w:sz w:val="22"/>
          <w:szCs w:val="22"/>
        </w:rPr>
        <w:t>Keywords</w:t>
      </w:r>
    </w:p>
    <w:p w14:paraId="665FA820" w14:textId="347D3608" w:rsidR="00E2412D" w:rsidRDefault="00F31FDF">
      <w:pPr>
        <w:pStyle w:val="BodyA"/>
        <w:keepNext w:val="0"/>
        <w:widowControl w:val="0"/>
        <w:suppressAutoHyphens w:val="0"/>
        <w:spacing w:line="480" w:lineRule="auto"/>
        <w:jc w:val="both"/>
        <w:rPr>
          <w:sz w:val="22"/>
          <w:szCs w:val="22"/>
        </w:rPr>
      </w:pPr>
      <w:r w:rsidRPr="00F31FDF">
        <w:rPr>
          <w:sz w:val="22"/>
          <w:szCs w:val="22"/>
        </w:rPr>
        <w:t xml:space="preserve">dental implants; surface free energy; cell adhesion; osteoblasts; </w:t>
      </w:r>
      <w:proofErr w:type="spellStart"/>
      <w:r w:rsidRPr="00F31FDF">
        <w:rPr>
          <w:sz w:val="22"/>
          <w:szCs w:val="22"/>
        </w:rPr>
        <w:t>TRPV4</w:t>
      </w:r>
      <w:proofErr w:type="spellEnd"/>
      <w:r w:rsidRPr="00F31FDF">
        <w:rPr>
          <w:sz w:val="22"/>
          <w:szCs w:val="22"/>
        </w:rPr>
        <w:t>; integrin beta-1</w:t>
      </w:r>
      <w:r w:rsidR="00673E5C">
        <w:rPr>
          <w:sz w:val="22"/>
          <w:szCs w:val="22"/>
        </w:rPr>
        <w:t>.</w:t>
      </w:r>
    </w:p>
    <w:p w14:paraId="7EC1B301" w14:textId="77777777" w:rsidR="00BE70A7" w:rsidRDefault="00BE70A7">
      <w:pPr>
        <w:keepNext w:val="0"/>
        <w:rPr>
          <w:sz w:val="22"/>
          <w:szCs w:val="22"/>
          <w:lang w:val="en-GB" w:eastAsia="it-IT"/>
        </w:rPr>
      </w:pPr>
      <w:r>
        <w:rPr>
          <w:sz w:val="22"/>
          <w:szCs w:val="22"/>
          <w:lang w:val="en-GB"/>
        </w:rPr>
        <w:br w:type="page"/>
      </w:r>
    </w:p>
    <w:p w14:paraId="67FD3655" w14:textId="77777777" w:rsidR="00E2412D" w:rsidRPr="00BE70A7" w:rsidRDefault="00673E5C">
      <w:pPr>
        <w:pStyle w:val="BodyB"/>
        <w:keepNext w:val="0"/>
        <w:widowControl w:val="0"/>
        <w:suppressAutoHyphens w:val="0"/>
        <w:spacing w:line="480" w:lineRule="auto"/>
        <w:jc w:val="both"/>
        <w:rPr>
          <w:rFonts w:ascii="Times New Roman Bold" w:eastAsia="Times New Roman Bold" w:hAnsi="Times New Roman Bold" w:cs="Times New Roman Bold"/>
          <w:b/>
          <w:color w:val="00000A"/>
          <w:sz w:val="22"/>
          <w:szCs w:val="22"/>
          <w:u w:color="00000A"/>
          <w:lang w:val="en-US"/>
        </w:rPr>
      </w:pPr>
      <w:r w:rsidRPr="00BE70A7">
        <w:rPr>
          <w:b/>
          <w:sz w:val="22"/>
          <w:szCs w:val="22"/>
          <w:lang w:val="en-GB"/>
        </w:rPr>
        <w:lastRenderedPageBreak/>
        <w:t xml:space="preserve">1. </w:t>
      </w:r>
      <w:r w:rsidRPr="00BE70A7">
        <w:rPr>
          <w:rFonts w:ascii="Times New Roman Bold"/>
          <w:b/>
          <w:color w:val="00000A"/>
          <w:sz w:val="22"/>
          <w:szCs w:val="22"/>
          <w:u w:color="00000A"/>
          <w:lang w:val="en-US"/>
        </w:rPr>
        <w:t>Introduction</w:t>
      </w:r>
    </w:p>
    <w:p w14:paraId="781A3637" w14:textId="22C18EB8" w:rsidR="00E2412D" w:rsidRPr="0072377F" w:rsidRDefault="00673E5C">
      <w:pPr>
        <w:pStyle w:val="BodyB"/>
        <w:keepNext w:val="0"/>
        <w:widowControl w:val="0"/>
        <w:suppressAutoHyphens w:val="0"/>
        <w:spacing w:line="480" w:lineRule="auto"/>
        <w:jc w:val="both"/>
        <w:rPr>
          <w:color w:val="auto"/>
          <w:sz w:val="22"/>
          <w:szCs w:val="22"/>
          <w:lang w:val="en-US"/>
        </w:rPr>
      </w:pPr>
      <w:r>
        <w:rPr>
          <w:sz w:val="22"/>
          <w:szCs w:val="22"/>
          <w:lang w:val="en-US"/>
        </w:rPr>
        <w:t xml:space="preserve">Dental implants have become a fundamental therapeutic means in nowadays dentistry, since the advent of </w:t>
      </w:r>
      <w:proofErr w:type="spellStart"/>
      <w:r>
        <w:rPr>
          <w:sz w:val="22"/>
          <w:szCs w:val="22"/>
          <w:lang w:val="en-US"/>
        </w:rPr>
        <w:t>osseointegrated</w:t>
      </w:r>
      <w:proofErr w:type="spellEnd"/>
      <w:r>
        <w:rPr>
          <w:sz w:val="22"/>
          <w:szCs w:val="22"/>
          <w:lang w:val="en-US"/>
        </w:rPr>
        <w:t xml:space="preserve"> implantology based on </w:t>
      </w:r>
      <w:proofErr w:type="spellStart"/>
      <w:r>
        <w:rPr>
          <w:sz w:val="22"/>
          <w:szCs w:val="22"/>
          <w:lang w:val="en-US"/>
        </w:rPr>
        <w:t>Brånemark’s</w:t>
      </w:r>
      <w:proofErr w:type="spellEnd"/>
      <w:r>
        <w:rPr>
          <w:sz w:val="22"/>
          <w:szCs w:val="22"/>
          <w:lang w:val="en-US"/>
        </w:rPr>
        <w:t xml:space="preserve"> </w:t>
      </w:r>
      <w:r w:rsidRPr="007C0369">
        <w:rPr>
          <w:color w:val="auto"/>
          <w:sz w:val="22"/>
          <w:szCs w:val="22"/>
          <w:lang w:val="en-US"/>
        </w:rPr>
        <w:t>studies</w:t>
      </w:r>
      <w:r w:rsidR="00B1364F" w:rsidRPr="007C0369">
        <w:rPr>
          <w:color w:val="auto"/>
          <w:sz w:val="22"/>
          <w:szCs w:val="22"/>
          <w:lang w:val="en-US"/>
        </w:rPr>
        <w:t xml:space="preserve"> </w:t>
      </w:r>
      <w:r w:rsidR="00B1364F" w:rsidRPr="007C0369">
        <w:rPr>
          <w:color w:val="auto"/>
          <w:sz w:val="22"/>
          <w:szCs w:val="22"/>
          <w:lang w:val="en-US"/>
        </w:rPr>
        <w:fldChar w:fldCharType="begin" w:fldLock="1"/>
      </w:r>
      <w:r w:rsidR="00296F38">
        <w:rPr>
          <w:color w:val="auto"/>
          <w:sz w:val="22"/>
          <w:szCs w:val="22"/>
          <w:lang w:val="en-US"/>
        </w:rPr>
        <w:instrText>ADDIN CSL_CITATION { "citationItems" : [ { "id" : "ITEM-1", "itemData" : { "ISSN" : "0142-9612", "PMID" : "6838955", "abstract" : "A 91 per cent positive 5-9 year result has been reported when using titanium implants and gold bridges to restore edentulous jaws. About 400 consecutive patients have been operated. The reasons for the good results are believed to depend on the anchorage of the implants in the living bone without interposing soft tissue layers. Repeated X-rays ensuring a strict parallelism are used to indicate direct bone integration. Some implants had to be removed in spite of still being anchored in the bone. In these cases SEM and TEM provided direct evidence of an osseointegration.", "author" : [ { "dropping-particle" : "", "family" : "Br\u00e5nemark", "given" : "P I", "non-dropping-particle" : "", "parse-names" : false, "suffix" : "" }, { "dropping-particle" : "", "family" : "Adell", "given" : "R", "non-dropping-particle" : "", "parse-names" : false, "suffix" : "" }, { "dropping-particle" : "", "family" : "Albrektsson", "given" : "T", "non-dropping-particle" : "", "parse-names" : false, "suffix" : "" }, { "dropping-particle" : "", "family" : "Lekholm", "given" : "U", "non-dropping-particle" : "", "parse-names" : false, "suffix" : "" }, { "dropping-particle" : "", "family" : "Lundkvist", "given" : "S", "non-dropping-particle" : "", "parse-names" : false, "suffix" : "" }, { "dropping-particle" : "", "family" : "Rockler", "given" : "B", "non-dropping-particle" : "", "parse-names" : false, "suffix" : "" } ], "container-title" : "Biomaterials", "id" : "ITEM-1", "issue" : "1", "issued" : { "date-parts" : [ [ "1983", "1" ] ] }, "page" : "25-8", "title" : "Osseointegrated titanium fixtures in the treatment of edentulousness.", "type" : "article-journal", "volume" : "4" }, "uris" : [ "http://www.mendeley.com/documents/?uuid=cbc6b6d9-bc6b-355b-a740-773299ab8a1f", "http://www.mendeley.com/documents/?uuid=5ae7c880-d734-477d-ac12-f1eef242b026" ] } ], "mendeley" : { "formattedCitation" : "[1]", "plainTextFormattedCitation" : "[1]", "previouslyFormattedCitation" : "[1]" }, "properties" : {  }, "schema" : "https://github.com/citation-style-language/schema/raw/master/csl-citation.json" }</w:instrText>
      </w:r>
      <w:r w:rsidR="00B1364F" w:rsidRPr="007C0369">
        <w:rPr>
          <w:color w:val="auto"/>
          <w:sz w:val="22"/>
          <w:szCs w:val="22"/>
          <w:lang w:val="en-US"/>
        </w:rPr>
        <w:fldChar w:fldCharType="separate"/>
      </w:r>
      <w:r w:rsidR="005E4353" w:rsidRPr="005E4353">
        <w:rPr>
          <w:noProof/>
          <w:color w:val="auto"/>
          <w:sz w:val="22"/>
          <w:szCs w:val="22"/>
          <w:lang w:val="en-US"/>
        </w:rPr>
        <w:t>[1]</w:t>
      </w:r>
      <w:r w:rsidR="00B1364F" w:rsidRPr="007C0369">
        <w:rPr>
          <w:color w:val="auto"/>
          <w:sz w:val="22"/>
          <w:szCs w:val="22"/>
          <w:lang w:val="en-US"/>
        </w:rPr>
        <w:fldChar w:fldCharType="end"/>
      </w:r>
      <w:r w:rsidRPr="007C0369">
        <w:rPr>
          <w:color w:val="auto"/>
          <w:sz w:val="22"/>
          <w:szCs w:val="22"/>
          <w:lang w:val="en-US"/>
        </w:rPr>
        <w:t xml:space="preserve"> Implant surface </w:t>
      </w:r>
      <w:r>
        <w:rPr>
          <w:sz w:val="22"/>
          <w:szCs w:val="22"/>
          <w:lang w:val="en-US"/>
        </w:rPr>
        <w:t xml:space="preserve">is supposed to promote cell colonization allowing </w:t>
      </w:r>
      <w:r>
        <w:rPr>
          <w:i/>
          <w:iCs/>
          <w:sz w:val="22"/>
          <w:szCs w:val="22"/>
          <w:lang w:val="en-US"/>
        </w:rPr>
        <w:t>de novo</w:t>
      </w:r>
      <w:r>
        <w:rPr>
          <w:sz w:val="22"/>
          <w:szCs w:val="22"/>
          <w:lang w:val="en-US"/>
        </w:rPr>
        <w:t xml:space="preserve"> formation o</w:t>
      </w:r>
      <w:r w:rsidR="000205B0">
        <w:rPr>
          <w:sz w:val="22"/>
          <w:szCs w:val="22"/>
          <w:lang w:val="en-US"/>
        </w:rPr>
        <w:t>f bone adherent to the fixture</w:t>
      </w:r>
      <w:r>
        <w:rPr>
          <w:sz w:val="22"/>
          <w:szCs w:val="22"/>
          <w:lang w:val="en-US"/>
        </w:rPr>
        <w:t>. Owing to a rich body of literature preferring rougher to smoother surfaces</w:t>
      </w:r>
      <w:r w:rsidR="00B1364F">
        <w:rPr>
          <w:sz w:val="22"/>
          <w:szCs w:val="22"/>
          <w:lang w:val="en-US"/>
        </w:rPr>
        <w:t xml:space="preserve">, </w:t>
      </w:r>
      <w:r>
        <w:rPr>
          <w:sz w:val="22"/>
          <w:szCs w:val="22"/>
          <w:lang w:val="en-US"/>
        </w:rPr>
        <w:t xml:space="preserve">the majority of commercially available implant systems </w:t>
      </w:r>
      <w:r w:rsidRPr="007C0369">
        <w:rPr>
          <w:color w:val="auto"/>
          <w:sz w:val="22"/>
          <w:szCs w:val="22"/>
          <w:lang w:val="en-US"/>
        </w:rPr>
        <w:t xml:space="preserve">currently receive micro-roughened patterns. Clinical observations are also consistent with numerous </w:t>
      </w:r>
      <w:r w:rsidRPr="007C0369">
        <w:rPr>
          <w:i/>
          <w:iCs/>
          <w:color w:val="auto"/>
          <w:sz w:val="22"/>
          <w:szCs w:val="22"/>
          <w:lang w:val="en-US"/>
        </w:rPr>
        <w:t>in vitro</w:t>
      </w:r>
      <w:r w:rsidRPr="007C0369">
        <w:rPr>
          <w:color w:val="auto"/>
          <w:sz w:val="22"/>
          <w:szCs w:val="22"/>
          <w:lang w:val="en-US"/>
        </w:rPr>
        <w:t xml:space="preserve"> studies that demonstrate the role of </w:t>
      </w:r>
      <w:r w:rsidRPr="00847E04">
        <w:rPr>
          <w:color w:val="FF0000"/>
          <w:sz w:val="22"/>
          <w:szCs w:val="22"/>
          <w:lang w:val="en-US"/>
        </w:rPr>
        <w:t>rough surfaces</w:t>
      </w:r>
      <w:r w:rsidR="00C518AD" w:rsidRPr="006F768A">
        <w:rPr>
          <w:color w:val="FF0000"/>
          <w:sz w:val="22"/>
          <w:szCs w:val="22"/>
          <w:lang w:val="en-US"/>
        </w:rPr>
        <w:t xml:space="preserve">, both machine generated </w:t>
      </w:r>
      <w:r w:rsidR="00FB577C" w:rsidRPr="006F768A">
        <w:rPr>
          <w:color w:val="FF0000"/>
          <w:sz w:val="22"/>
          <w:szCs w:val="22"/>
          <w:lang w:val="en-US"/>
        </w:rPr>
        <w:fldChar w:fldCharType="begin" w:fldLock="1"/>
      </w:r>
      <w:r w:rsidR="00296F38" w:rsidRPr="006F768A">
        <w:rPr>
          <w:color w:val="FF0000"/>
          <w:sz w:val="22"/>
          <w:szCs w:val="22"/>
          <w:lang w:val="en-US"/>
        </w:rPr>
        <w:instrText>ADDIN CSL_CITATION { "citationItems" : [ { "id" : "ITEM-1", "itemData" : { "ISSN" : "0905-7161", "PMID" : "9002820", "abstract" : "This study compared osteoblasts proliferation, differentiation, and protein synthesis on new and used titanium (Ti) disks to test the hypothesis that cleaning and resterilization of previously used Ti disks does not alter cell response to a particular surface. Ti disks of varying roughness were prepared by one of five different treatment regimens. Standard tissue culture plastic was used as a control. Human osteoblast-like cells (MG63) were cultured on the Ti disks and cell proliferation, cell differentiation, RNA synthesis and matrix production (collagen and noncollagen protein; proteoglycans) measured. After their first use, the disks were cleaned, resterilized by autoclaving, and MG63 cells cultured on them as before. At confluence, the same parameters were measured and cell behavior on new and used disks compared. When confluent cultures of cells on plastic were compared to those cultured on new Ti surfaces, cell number was reduced on the roughest surfaces and equivalent to plastic on the other surfaces. Cell number was further reduced when disks with the roughest surfaces were re-used; no differences in cell number could be discerned after cleaning and resterilization. Cell proliferation was inversely related to surface roughness and was less than seen on tissue culture plastic. Re-use of the Ti disks resulted in no change in cell proliferation rate. Alkaline phosphatase specific activity in isolated cells was lowest on the rougher surfaces; no differences between new and used disks were observed. Similarly, enzyme activity in the cell layer was decreased in cultures grown on rougher surfaces, with no effect of prior disk use being noted. RNA synthesis was decreased with respect to plastic in cultures on smoother surfaces and increased on rougher surfaces; prior disk use did not alter RNA synthesis. Collagen production by the cells was decreased on smoother surfaces, but was comparable to tissue culture plastic when grown on rougher surfaces. Non-collagen protein production was unaffected by culture surface and whether or not the disk had been previously used. Proteoglycan synthesis by cells was decreased on all surfaces studied and comparable on both new and used disks. The results of this study indicate that Ti implant surfaces are unaffected by cleaning and resterilization, although rougher surfaces may require more extensive cleaning than smoother ones. This suggests the possibility that implants, in the same patient, could be safely reused. In\u2026", "author" : [ { "dropping-particle" : "", "family" : "Martin", "given" : "J Y", "non-dropping-particle" : "", "parse-names" : false, "suffix" : "" }, { "dropping-particle" : "", "family" : "Dean", "given" : "D D", "non-dropping-particle" : "", "parse-names" : false, "suffix" : "" }, { "dropping-particle" : "", "family" : "Cochran", "given" : "D L", "non-dropping-particle" : "", "parse-names" : false, "suffix" : "" }, { "dropping-particle" : "", "family" : "Simpson", "given" : "J", "non-dropping-particle" : "", "parse-names" : false, "suffix" : "" }, { "dropping-particle" : "", "family" : "Boyan", "given" : "B D", "non-dropping-particle" : "", "parse-names" : false, "suffix" : "" }, { "dropping-particle" : "", "family" : "Schwartz", "given" : "Z", "non-dropping-particle" : "", "parse-names" : false, "suffix" : "" } ], "container-title" : "Clinical oral implants research", "id" : "ITEM-1", "issue" : "1", "issued" : { "date-parts" : [ [ "1996", "3" ] ] }, "page" : "27-37", "title" : "Proliferation, differentiation, and protein synthesis of human osteoblast-like cells (MG63) cultured on previously used titanium surfaces.", "type" : "article-journal", "volume" : "7" }, "uris" : [ "http://www.mendeley.com/documents/?uuid=dd13c40b-0795-3e48-8c02-64f909e67012", "http://www.mendeley.com/documents/?uuid=e5373ec2-3186-4e8f-9a7c-bf531594b227" ] }, { "id" : "ITEM-2", "itemData" : { "DOI" : "10.1177/154405910308200509", "ISSN" : "0022-0345", "PMID" : "12709504", "abstract" : "The transcription factor Cbfa1 regulates osteoblast differentiation and expression of genes necessary for the development of a mineralized phenotype. The purpose of this study was to determine if Cbfa1 and BSPII gene expression are influenced by implant surface microtopography. Osteoblasts were cultured on 600-grit (grooved) or sandblasted (roughened) cpTi implant discs. Mineralization was evaluated by Alizarin-Red-S staining. Real Time PCR was used for quantitative analysis of Cbfa1 and BSPII gene expression. Enhanced mineralization was seen in osteoblasts grown on roughened implant surfaces relative to tissue culture plastic. Real Time PCR showed significant (P &lt; 0.05) increases in Cbfa1 gene expression in cells grown on roughened, as compared with grooved, implant surfaces. BSPII gene expression was also increased on rough surfaces in the UMR cells, but was reduced in the rat calvarial osteoblast cultures. These results suggest that osteoblast gene expression and mineralization are affected by roughened implant surface microtopographies during osseointegration of dental implants.", "author" : [ { "dropping-particle" : "", "family" : "Schneider", "given" : "G B", "non-dropping-particle" : "", "parse-names" : false, "suffix" : "" }, { "dropping-particle" : "", "family" : "Perinpanayagam", "given" : "H.", "non-dropping-particle" : "", "parse-names" : false, "suffix" : "" }, { "dropping-particle" : "", "family" : "Clegg", "given" : "M.", "non-dropping-particle" : "", "parse-names" : false, "suffix" : "" }, { "dropping-particle" : "", "family" : "Zaharias", "given" : "R.", "non-dropping-particle" : "", "parse-names" : false, "suffix" : "" }, { "dropping-particle" : "", "family" : "Seabold", "given" : "D.", "non-dropping-particle" : "", "parse-names" : false, "suffix" : "" }, { "dropping-particle" : "", "family" : "Keller", "given" : "J.", "non-dropping-particle" : "", "parse-names" : false, "suffix" : "" }, { "dropping-particle" : "", "family" : "Stanford", "given" : "C.", "non-dropping-particle" : "", "parse-names" : false, "suffix" : "" } ], "container-title" : "Journal of dental research", "id" : "ITEM-2", "issue" : "5", "issued" : { "date-parts" : [ [ "2003", "5" ] ] }, "page" : "372-6", "title" : "Implant surface roughness affects osteoblast gene expression.", "type" : "article-journal", "volume" : "82" }, "uris" : [ "http://www.mendeley.com/documents/?uuid=4adfd74e-2d84-3c84-b251-268e84b548c3", "http://www.mendeley.com/documents/?uuid=338ecf61-f13a-4250-ad32-d3b840dbc4ef" ] }, { "id" : "ITEM-3", "itemData" : { "DOI" : "10.1016/j.bone.2009.03.662", "ISSN" : "1873-2763", "PMID" : "19332166", "abstract" : "Titanium (Ti) is the material of choice for dental and orthopaedic implants due to its highly biocompatible nature. Modification of the implant surface, either topographically (as roughness) or chemically, can promote accelerated osteogenesis in vivo and greatly increase bone-implant contact and bonding strength. In this paper, we sought to characterise the cellular and molecular responses of human bone marrow-derived mesenchymal stromal cells (hMSCs) to two modified Ti surfaces: a rough hydrophobic surface that was sand-blasted and acid-etched (SLA) and an SLA surface of the same roughness that was chemically modified to have high wettability/hydrophilicity (SLActive). A smooth polished (SMO) Ti surface was used as a control. Whilst no differences in initial cell attachment to any of the surfaces were observed, we found that hMSCs cultured on the rough surfaces underwent a decrease in cell number early in culture, yet simultaneously expressed higher levels of the osteogenic markers SPP1, RUNX2 and BSP. Furthermore, deposits of calcified matrix were observed at earlier time points on both SLA and SLActive surfaces compared to SMO and this correlated with increased expression of the osteogenic promoter WNT5A in response to the rough surfaces. Osteogenic responses to SLActive were moderately better than the hydrophobic SLA surface and gene expression studies indicate that WNT5A activation may be responsible for this increased osteogenic differentiation.", "author" : [ { "dropping-particle" : "", "family" : "Wall", "given" : "Ivan", "non-dropping-particle" : "", "parse-names" : false, "suffix" : "" }, { "dropping-particle" : "", "family" : "Donos", "given" : "Nikos", "non-dropping-particle" : "", "parse-names" : false, "suffix" : "" }, { "dropping-particle" : "", "family" : "Carlqvist", "given" : "Karin", "non-dropping-particle" : "", "parse-names" : false, "suffix" : "" }, { "dropping-particle" : "", "family" : "Jones", "given" : "Francis", "non-dropping-particle" : "", "parse-names" : false, "suffix" : "" }, { "dropping-particle" : "", "family" : "Brett", "given" : "Peter", "non-dropping-particle" : "", "parse-names" : false, "suffix" : "" } ], "container-title" : "Bone", "id" : "ITEM-3", "issue" : "1", "issued" : { "date-parts" : [ [ "2009", "7" ] ] }, "page" : "17-26", "title" : "Modified titanium surfaces promote accelerated osteogenic differentiation of mesenchymal stromal cells in vitro.", "type" : "article-journal", "volume" : "45" }, "uris" : [ "http://www.mendeley.com/documents/?uuid=3df65985-2940-3462-932f-2073c8283b18" ] } ], "mendeley" : { "formattedCitation" : "[2\u20134]", "plainTextFormattedCitation" : "[2\u20134]", "previouslyFormattedCitation" : "[2\u20134]" }, "properties" : {  }, "schema" : "https://github.com/citation-style-language/schema/raw/master/csl-citation.json" }</w:instrText>
      </w:r>
      <w:r w:rsidR="00FB577C" w:rsidRPr="00847E04">
        <w:rPr>
          <w:color w:val="FF0000"/>
          <w:sz w:val="22"/>
          <w:szCs w:val="22"/>
          <w:lang w:val="en-US"/>
        </w:rPr>
        <w:fldChar w:fldCharType="separate"/>
      </w:r>
      <w:r w:rsidR="00FB577C" w:rsidRPr="006F768A">
        <w:rPr>
          <w:noProof/>
          <w:color w:val="FF0000"/>
          <w:sz w:val="22"/>
          <w:szCs w:val="22"/>
          <w:lang w:val="en-US"/>
        </w:rPr>
        <w:t>[2–4]</w:t>
      </w:r>
      <w:r w:rsidR="00FB577C" w:rsidRPr="006F768A">
        <w:rPr>
          <w:color w:val="FF0000"/>
          <w:sz w:val="22"/>
          <w:szCs w:val="22"/>
          <w:lang w:val="en-US"/>
        </w:rPr>
        <w:fldChar w:fldCharType="end"/>
      </w:r>
      <w:r w:rsidR="00FB577C" w:rsidRPr="006F768A">
        <w:rPr>
          <w:color w:val="FF0000"/>
          <w:sz w:val="22"/>
          <w:szCs w:val="22"/>
          <w:lang w:val="en-US"/>
        </w:rPr>
        <w:t xml:space="preserve"> and natural ones </w:t>
      </w:r>
      <w:r w:rsidR="00FB577C" w:rsidRPr="006F768A">
        <w:rPr>
          <w:color w:val="FF0000"/>
          <w:sz w:val="22"/>
          <w:szCs w:val="22"/>
          <w:lang w:val="en-US"/>
        </w:rPr>
        <w:fldChar w:fldCharType="begin" w:fldLock="1"/>
      </w:r>
      <w:r w:rsidR="00296F38" w:rsidRPr="006F768A">
        <w:rPr>
          <w:color w:val="FF0000"/>
          <w:sz w:val="22"/>
          <w:szCs w:val="22"/>
          <w:lang w:val="en-US"/>
        </w:rPr>
        <w:instrText>ADDIN CSL_CITATION { "citationItems" : [ { "id" : "ITEM-1", "itemData" : { "DOI" : "10.1177/2041731418794007", "ISSN" : "20417314", "abstract" : "The regenerative potential of skeletal stem cells provides an attractive prospect to generate bone tissue needed for musculoskeletal reparation. A central issue remains efficacious, controlled cell differentiation strategies to aid progression of cell therapies to the clinic. The nacre surface from Pinctada maxima shells is known to enhance bone formation. However, to date, there is a paucity of information on the role of the topography of P. maxima surfaces, nacre and prism. To investigate this, nacre and prism topographical features were replicated onto polycaprolactone and skeletal stem cell behaviour on the surfaces studied. Skeletal stem cells on nacre surfaces exhibited an increase in cell area, increase in expression of osteogenic markers ALP (p &lt; 0.05) and OCN (p &lt; 0.01) and increased metabolite intensity (p &lt; 0.05), indicating a role of nacre surface to induce osteogenic differentiation, while on prism surfaces, skeletal stem cells did not show alterations in cell area or osteogenic marker expression and a decrease in metabolite intensity (p &lt; 0.05), demonstrating a distinct role for the prism surface, with the potential to maintain the skeletal stem cell phenotype.", "author" : [ { "dropping-particle" : "", "family" : "Waddell", "given" : "Shona J.", "non-dropping-particle" : "", "parse-names" : false, "suffix" : "" }, { "dropping-particle" : "", "family" : "Andr\u00e9s", "given" : "Mar\u00eda C.", "non-dropping-particle" : "de", "parse-names" : false, "suffix" : "" }, { "dropping-particle" : "", "family" : "Tsimbouri", "given" : "Penelope M.", "non-dropping-particle" : "", "parse-names" : false, "suffix" : "" }, { "dropping-particle" : "V.", "family" : "Alakpa", "given" : "Enateri", "non-dropping-particle" : "", "parse-names" : false, "suffix" : "" }, { "dropping-particle" : "", "family" : "Cusack", "given" : "Maggie", "non-dropping-particle" : "", "parse-names" : false, "suffix" : "" }, { "dropping-particle" : "", "family" : "Dalby", "given" : "Matthew J.", "non-dropping-particle" : "", "parse-names" : false, "suffix" : "" }, { "dropping-particle" : "", "family" : "Oreffo", "given" : "Richard O.C.", "non-dropping-particle" : "", "parse-names" : false, "suffix" : "" } ], "container-title" : "Journal of Tissue Engineering", "id" : "ITEM-1", "issued" : { "date-parts" : [ [ "2018", "8" ] ] }, "publisher" : "SAGE Publications Ltd", "title" : "Biomimetic oyster shell\u2013replicated topography alters the behaviour of human skeletal stem cells", "type" : "article-journal", "volume" : "9" }, "uris" : [ "http://www.mendeley.com/documents/?uuid=160efeea-28ff-3254-9d4f-369210d57044", "http://www.mendeley.com/documents/?uuid=6e11d05e-919d-4c3f-b249-c304d98f4694" ] } ], "mendeley" : { "formattedCitation" : "[5]", "plainTextFormattedCitation" : "[5]", "previouslyFormattedCitation" : "[5]" }, "properties" : {  }, "schema" : "https://github.com/citation-style-language/schema/raw/master/csl-citation.json" }</w:instrText>
      </w:r>
      <w:r w:rsidR="00FB577C" w:rsidRPr="00847E04">
        <w:rPr>
          <w:color w:val="FF0000"/>
          <w:sz w:val="22"/>
          <w:szCs w:val="22"/>
          <w:lang w:val="en-US"/>
        </w:rPr>
        <w:fldChar w:fldCharType="separate"/>
      </w:r>
      <w:r w:rsidR="00FB577C" w:rsidRPr="006F768A">
        <w:rPr>
          <w:noProof/>
          <w:color w:val="FF0000"/>
          <w:sz w:val="22"/>
          <w:szCs w:val="22"/>
          <w:lang w:val="en-US"/>
        </w:rPr>
        <w:t>[5]</w:t>
      </w:r>
      <w:r w:rsidR="00FB577C" w:rsidRPr="006F768A">
        <w:rPr>
          <w:color w:val="FF0000"/>
          <w:sz w:val="22"/>
          <w:szCs w:val="22"/>
          <w:lang w:val="en-US"/>
        </w:rPr>
        <w:fldChar w:fldCharType="end"/>
      </w:r>
      <w:r w:rsidR="00FB577C" w:rsidRPr="006F768A">
        <w:rPr>
          <w:color w:val="FF0000"/>
          <w:sz w:val="22"/>
          <w:szCs w:val="22"/>
          <w:lang w:val="en-US"/>
        </w:rPr>
        <w:t>,</w:t>
      </w:r>
      <w:r w:rsidRPr="006F768A">
        <w:rPr>
          <w:color w:val="FF0000"/>
          <w:sz w:val="22"/>
          <w:szCs w:val="22"/>
          <w:lang w:val="en-US"/>
        </w:rPr>
        <w:t xml:space="preserve"> </w:t>
      </w:r>
      <w:r w:rsidRPr="007C0369">
        <w:rPr>
          <w:color w:val="auto"/>
          <w:sz w:val="22"/>
          <w:szCs w:val="22"/>
          <w:lang w:val="en-US"/>
        </w:rPr>
        <w:t>in enhancing the osteogenic commitment of mesenchymal cells and osteoblasts</w:t>
      </w:r>
      <w:r w:rsidR="00FB577C">
        <w:rPr>
          <w:color w:val="auto"/>
          <w:sz w:val="22"/>
          <w:szCs w:val="22"/>
          <w:lang w:val="en-US"/>
        </w:rPr>
        <w:t>.</w:t>
      </w:r>
      <w:r w:rsidR="00B1364F" w:rsidRPr="007C0369">
        <w:rPr>
          <w:color w:val="auto"/>
          <w:sz w:val="22"/>
          <w:szCs w:val="22"/>
          <w:lang w:val="en-US"/>
        </w:rPr>
        <w:t xml:space="preserve"> </w:t>
      </w:r>
      <w:r w:rsidRPr="007C0369">
        <w:rPr>
          <w:color w:val="auto"/>
          <w:sz w:val="22"/>
          <w:szCs w:val="22"/>
          <w:lang w:val="en-US"/>
        </w:rPr>
        <w:t>Although several surface modifications have been proposed during the last few decades, based on either additive or subtractive treatments</w:t>
      </w:r>
      <w:r w:rsidR="00B1364F" w:rsidRPr="007C0369">
        <w:rPr>
          <w:color w:val="auto"/>
          <w:sz w:val="22"/>
          <w:szCs w:val="22"/>
          <w:lang w:val="en-US"/>
        </w:rPr>
        <w:t xml:space="preserve"> </w:t>
      </w:r>
      <w:r w:rsidR="00B1364F" w:rsidRPr="007C0369">
        <w:rPr>
          <w:color w:val="auto"/>
          <w:sz w:val="22"/>
          <w:szCs w:val="22"/>
          <w:lang w:val="en-US"/>
        </w:rPr>
        <w:fldChar w:fldCharType="begin" w:fldLock="1"/>
      </w:r>
      <w:r w:rsidR="00296F38">
        <w:rPr>
          <w:color w:val="auto"/>
          <w:sz w:val="22"/>
          <w:szCs w:val="22"/>
          <w:lang w:val="en-US"/>
        </w:rPr>
        <w:instrText>ADDIN CSL_CITATION { "citationItems" : [ { "id" : "ITEM-1", "itemData" : { "DOI" : "10.3390/coatings6010007", "ISSN" : "2079-6412", "abstract" : "Surface modification of dental implants is a key process in the production of these medical devices, and especially titanium implants used in the dental practice are commonly subjected to surface modification processes before their clinical use. A wide range of treatments, such as sand blasting, acid etching, plasma etching, plasma spray deposition, sputtering deposition and cathodic arc deposition, have been studied over the years in order to improve the performance of dental implants. Improving or accelerating the osseointegration process is usually the main goal of these surface processes, but the improvement of biocompatibility and the prevention of bacterial adhesion are also of considerable importance. In this review, we report on the research of the recent years in the field of surface treatments and coatings deposition for the improvement of dental implants performance, with a main focus on the osseointegration acceleration, the reduction of bacterial adhesion and the improvement of biocompatibility.", "author" : [ { "dropping-particle" : "", "family" : "Mandracci", "given" : "Pietro", "non-dropping-particle" : "", "parse-names" : false, "suffix" : "" }, { "dropping-particle" : "", "family" : "Mussano", "given" : "Federico", "non-dropping-particle" : "", "parse-names" : false, "suffix" : "" }, { "dropping-particle" : "", "family" : "Rivolo", "given" : "Paola", "non-dropping-particle" : "", "parse-names" : false, "suffix" : "" }, { "dropping-particle" : "", "family" : "Carossa", "given" : "Stefano", "non-dropping-particle" : "", "parse-names" : false, "suffix" : "" } ], "container-title" : "Coatings", "id" : "ITEM-1", "issue" : "1", "issued" : { "date-parts" : [ [ "2016", "1", "27" ] ] }, "language" : "en", "page" : "7", "publisher" : "Multidisciplinary Digital Publishing Institute", "title" : "Surface Treatments and Functional Coatings for Biocompatibility Improvement and Bacterial Adhesion Reduction in Dental Implantology", "type" : "article-journal", "volume" : "6" }, "uris" : [ "http://www.mendeley.com/documents/?uuid=5c920e33-0f41-4a69-ac4b-938961c826d1" ] } ], "mendeley" : { "formattedCitation" : "[6]", "plainTextFormattedCitation" : "[6]", "previouslyFormattedCitation" : "[6]" }, "properties" : {  }, "schema" : "https://github.com/citation-style-language/schema/raw/master/csl-citation.json" }</w:instrText>
      </w:r>
      <w:r w:rsidR="00B1364F" w:rsidRPr="007C0369">
        <w:rPr>
          <w:color w:val="auto"/>
          <w:sz w:val="22"/>
          <w:szCs w:val="22"/>
          <w:lang w:val="en-US"/>
        </w:rPr>
        <w:fldChar w:fldCharType="separate"/>
      </w:r>
      <w:r w:rsidR="00FB577C" w:rsidRPr="00FB577C">
        <w:rPr>
          <w:noProof/>
          <w:color w:val="auto"/>
          <w:sz w:val="22"/>
          <w:szCs w:val="22"/>
          <w:lang w:val="en-US"/>
        </w:rPr>
        <w:t>[6]</w:t>
      </w:r>
      <w:r w:rsidR="00B1364F" w:rsidRPr="007C0369">
        <w:rPr>
          <w:color w:val="auto"/>
          <w:sz w:val="22"/>
          <w:szCs w:val="22"/>
          <w:lang w:val="en-US"/>
        </w:rPr>
        <w:fldChar w:fldCharType="end"/>
      </w:r>
      <w:r w:rsidR="00B1364F" w:rsidRPr="007C0369">
        <w:rPr>
          <w:color w:val="auto"/>
          <w:sz w:val="22"/>
          <w:szCs w:val="22"/>
          <w:lang w:val="en-US"/>
        </w:rPr>
        <w:t>,</w:t>
      </w:r>
      <w:r w:rsidRPr="007C0369">
        <w:rPr>
          <w:color w:val="auto"/>
          <w:sz w:val="22"/>
          <w:szCs w:val="22"/>
          <w:lang w:val="en-US"/>
        </w:rPr>
        <w:t xml:space="preserve"> a variable combination of sand blasting and acid etching attaining micro-rough substrates seems the most diffused surface treatment still used in the dental market </w:t>
      </w:r>
      <w:r w:rsidR="00B1364F" w:rsidRPr="007C0369">
        <w:rPr>
          <w:color w:val="auto"/>
          <w:sz w:val="22"/>
          <w:szCs w:val="22"/>
          <w:lang w:val="en-US"/>
        </w:rPr>
        <w:fldChar w:fldCharType="begin" w:fldLock="1"/>
      </w:r>
      <w:r w:rsidR="00296F38">
        <w:rPr>
          <w:color w:val="auto"/>
          <w:sz w:val="22"/>
          <w:szCs w:val="22"/>
          <w:lang w:val="en-US"/>
        </w:rPr>
        <w:instrText>ADDIN CSL_CITATION { "citationItems" : [ { "id" : "ITEM-1", "itemData" : { "DOI" : "10.1111/j.1600-051X.2008.01321.x", "ISSN" : "0882-2786", "PMID" : "20209188", "abstract" : "The aims of the present review are (1) to identify essential surface parameters; (2) to present an overview of surface characteristics at the micrometer and nanometer levels of resolution relevant for the four most popular oral implant systems; (3) to discuss potential advantages of nanoroughness, hydrophilicity, and biochemical bonding; and (4) to suggest a hypothetical common mechanism behind strong bone responses to novel implant surfaces from different commercial companies. Oral implants from four major companies varied in average surface roughness (Sa) from 0.3 to 1.78 microm and in the developed surface area ratio (Sdr) from 24% to 143%, with the smoothest implants originating from Biomet 3i and the roughest from Institut Straumann. The original Branemark turned, machined surface had an Sa of 0.9 microm and an Sdr of 34%, making it clearly rougher than the smoothest implants examined. When evaluated for nanometer roughness, there was a substantial variation in Sa in the different implants from the four major companies. Novel implants from Biomet 3i, AstraTech, and Straumann differed from their respective predecessors in microroughness, physicochemical properties, and nano_roughness. When examined with scanning electron microscopy at high magnification, it was noted that these novel implant surfaces all had particular nanoroughness structures that were not present in their respective predecessors; this finding was suggested as a possible common mechanism behind the demonstrated stronger bone responses to these implants compared to adequate controls.", "author" : [ { "dropping-particle" : "", "family" : "Wennerberg", "given" : "Ann", "non-dropping-particle" : "", "parse-names" : false, "suffix" : "" }, { "dropping-particle" : "", "family" : "Albrektsson", "given" : "Tomas", "non-dropping-particle" : "", "parse-names" : false, "suffix" : "" } ], "container-title" : "The International journal of oral &amp; maxillofacial implants", "id" : "ITEM-1", "issue" : "1", "issued" : { "date-parts" : [ [ "2009", "1" ] ] }, "page" : "63-74", "title" : "On implant surfaces: a review of current knowledge and opinions.", "type" : "article-journal", "volume" : "25" }, "uris" : [ "http://www.mendeley.com/documents/?uuid=9fc98ec8-0795-4976-8773-7d823ec64975", "http://www.mendeley.com/documents/?uuid=66d469c6-a74e-4305-8b2d-39f0ede4fb35" ] } ], "mendeley" : { "formattedCitation" : "[7]", "plainTextFormattedCitation" : "[7]", "previouslyFormattedCitation" : "[7]" }, "properties" : {  }, "schema" : "https://github.com/citation-style-language/schema/raw/master/csl-citation.json" }</w:instrText>
      </w:r>
      <w:r w:rsidR="00B1364F" w:rsidRPr="007C0369">
        <w:rPr>
          <w:color w:val="auto"/>
          <w:sz w:val="22"/>
          <w:szCs w:val="22"/>
          <w:lang w:val="en-US"/>
        </w:rPr>
        <w:fldChar w:fldCharType="separate"/>
      </w:r>
      <w:r w:rsidR="00FB577C" w:rsidRPr="00FB577C">
        <w:rPr>
          <w:noProof/>
          <w:color w:val="auto"/>
          <w:sz w:val="22"/>
          <w:szCs w:val="22"/>
          <w:lang w:val="en-US"/>
        </w:rPr>
        <w:t>[7]</w:t>
      </w:r>
      <w:r w:rsidR="00B1364F" w:rsidRPr="007C0369">
        <w:rPr>
          <w:color w:val="auto"/>
          <w:sz w:val="22"/>
          <w:szCs w:val="22"/>
          <w:lang w:val="en-US"/>
        </w:rPr>
        <w:fldChar w:fldCharType="end"/>
      </w:r>
      <w:r w:rsidR="00B1364F" w:rsidRPr="007C0369">
        <w:rPr>
          <w:color w:val="auto"/>
          <w:sz w:val="22"/>
          <w:szCs w:val="22"/>
          <w:lang w:val="en-US"/>
        </w:rPr>
        <w:t xml:space="preserve">. </w:t>
      </w:r>
      <w:r w:rsidRPr="007C0369">
        <w:rPr>
          <w:color w:val="auto"/>
          <w:sz w:val="22"/>
          <w:szCs w:val="22"/>
          <w:lang w:val="en-US"/>
        </w:rPr>
        <w:t xml:space="preserve">Submicrometric and nanometric surface features have been tested more recently in different cell </w:t>
      </w:r>
      <w:r w:rsidR="007C0369" w:rsidRPr="007C0369">
        <w:rPr>
          <w:color w:val="auto"/>
          <w:sz w:val="22"/>
          <w:szCs w:val="22"/>
          <w:lang w:val="en-US"/>
        </w:rPr>
        <w:fldChar w:fldCharType="begin" w:fldLock="1"/>
      </w:r>
      <w:r w:rsidR="00296F38">
        <w:rPr>
          <w:color w:val="auto"/>
          <w:sz w:val="22"/>
          <w:szCs w:val="22"/>
          <w:lang w:val="en-US"/>
        </w:rPr>
        <w:instrText>ADDIN CSL_CITATION { "citationItems" : [ { "id" : "ITEM-1", "itemData" : { "DOI" : "10.5037/jomr.2014.5301", "ISSN" : "2029-283X", "PMID" : "25386228", "abstract" : "OBJECTIVES Nanothechnology found to be increasingly implemented in implantology sphere over the recent years and it shows encouraging effect in this field. The aim of present review is to compare, based on the recent evidence, the influence of various nanostructure surface modifications of titanium for implants, on osteoblasts proliferation. MATERIAL AND METHODS A literature review of English articles was conducted by using MEDLINE database restricted to 2009 - 2014 and constructed according PRISMA guidelines. Search terms included \"Titanium implant\", \"Titanium surface with nanostructure\", \"Osteoblast\". Additional studies were identified in bibliographies. Only in vitro and/or in vivo studies on nano structured implant surfaces plus control sample, with specific evaluation method for osteoblasts proliferation and at least one Ti sample with nanostructure, were included in the review. RESULTS 32 studies with 122 groups of examined samples were selected for present review. Each study conducted in vitro experiment, two studies conducted additional in vivo experiments. All studies were dispensed by type of surface modification into two major groups; \"Direct ablative titanium implant surface nano-modifications\" with 19 studies and \"Nanocomposite additive implant surface modifications\" with 13 studies. Overall 24 studies reporting on positive effect of nanostructured surface, 2 studies found no significant advantage and 6 studies reported on negative effect compared to other structure scales. CONCLUSIONS From examination of selected articles we can notice marked advantage in implementation of various nanostructures onto implant surface. Yet for discovering the ultimate implant surface nanostructure, further comparable investigations of Ti surface nanostructures need to be done.", "author" : [ { "dropping-particle" : "", "family" : "Goldman", "given" : "Maxim", "non-dropping-particle" : "", "parse-names" : false, "suffix" : "" }, { "dropping-particle" : "", "family" : "Juodzbalys", "given" : "Gintaras", "non-dropping-particle" : "", "parse-names" : false, "suffix" : "" }, { "dropping-particle" : "", "family" : "Vilkinis", "given" : "Valdas", "non-dropping-particle" : "", "parse-names" : false, "suffix" : "" } ], "container-title" : "Journal of oral &amp; maxillofacial research", "id" : "ITEM-1", "issue" : "3", "issued" : { "date-parts" : [ [ "2014", "7", "1" ] ] }, "page" : "e1", "title" : "Titanium surfaces with nanostructures influence on osteoblasts proliferation: a systematic review.", "type" : "article-journal", "volume" : "5" }, "uris" : [ "http://www.mendeley.com/documents/?uuid=09b86b7a-71d4-35fd-88db-20b89a9210df" ] } ], "mendeley" : { "formattedCitation" : "[8]", "plainTextFormattedCitation" : "[8]", "previouslyFormattedCitation" : "[8]" }, "properties" : {  }, "schema" : "https://github.com/citation-style-language/schema/raw/master/csl-citation.json" }</w:instrText>
      </w:r>
      <w:r w:rsidR="007C0369" w:rsidRPr="007C0369">
        <w:rPr>
          <w:color w:val="auto"/>
          <w:sz w:val="22"/>
          <w:szCs w:val="22"/>
          <w:lang w:val="en-US"/>
        </w:rPr>
        <w:fldChar w:fldCharType="separate"/>
      </w:r>
      <w:r w:rsidR="00FB577C" w:rsidRPr="00FB577C">
        <w:rPr>
          <w:noProof/>
          <w:color w:val="auto"/>
          <w:sz w:val="22"/>
          <w:szCs w:val="22"/>
          <w:lang w:val="en-US"/>
        </w:rPr>
        <w:t>[8]</w:t>
      </w:r>
      <w:r w:rsidR="007C0369" w:rsidRPr="007C0369">
        <w:rPr>
          <w:color w:val="auto"/>
          <w:sz w:val="22"/>
          <w:szCs w:val="22"/>
          <w:lang w:val="en-US"/>
        </w:rPr>
        <w:fldChar w:fldCharType="end"/>
      </w:r>
      <w:r w:rsidR="007C0369" w:rsidRPr="007C0369">
        <w:rPr>
          <w:color w:val="auto"/>
          <w:sz w:val="22"/>
          <w:szCs w:val="22"/>
          <w:lang w:val="en-US"/>
        </w:rPr>
        <w:t xml:space="preserve"> </w:t>
      </w:r>
      <w:r w:rsidRPr="007C0369">
        <w:rPr>
          <w:color w:val="auto"/>
          <w:sz w:val="22"/>
          <w:szCs w:val="22"/>
          <w:lang w:val="en-US"/>
        </w:rPr>
        <w:t>and animal models</w:t>
      </w:r>
      <w:r w:rsidR="007C0369" w:rsidRPr="007C0369">
        <w:rPr>
          <w:color w:val="auto"/>
          <w:sz w:val="22"/>
          <w:szCs w:val="22"/>
          <w:lang w:val="en-US"/>
        </w:rPr>
        <w:t xml:space="preserve"> </w:t>
      </w:r>
      <w:r w:rsidR="007C0369" w:rsidRPr="007C0369">
        <w:rPr>
          <w:color w:val="auto"/>
          <w:sz w:val="22"/>
          <w:szCs w:val="22"/>
          <w:lang w:val="en-US"/>
        </w:rPr>
        <w:fldChar w:fldCharType="begin" w:fldLock="1"/>
      </w:r>
      <w:r w:rsidR="00296F38">
        <w:rPr>
          <w:color w:val="auto"/>
          <w:sz w:val="22"/>
          <w:szCs w:val="22"/>
          <w:lang w:val="en-US"/>
        </w:rPr>
        <w:instrText>ADDIN CSL_CITATION { "citationItems" : [ { "id" : "ITEM-1", "itemData" : { "DOI" : "10.1016/j.actbio.2014.10.017", "ISSN" : "1878-7568", "PMID" : "25449926", "abstract" : "Titanium and its alloys are commonly used for dental implants because of their good mechanical properties and biocompatibility. The surface properties of titanium implants are key factors for rapid and stable bone tissue integration. Micro-rough surfaces are commonly prepared by grit-blasting and acid-etching. However, proteins and cells interact with implant surfaces in the nanometer range. The aim of this study was to compare the osseointegration of machined (MA), standard alumina grit-blasted and acid-etched (MICRO) and nanostructured (NANO) implants in rabbit femurs. The MICRO surface exhibited typical random cavities with an average roughness of 1.5 \u03bcm, while the NANO surface consisted of a regular array of titanium oxide nanotubes 37\u00b111 nm in diameter and 160 nm thick. The MA and NANO surfaces had a similar average roughness of 0.5 \u03bcm. The three groups of implants were inserted into the femoral condyles of New Zealand White rabbits. After 4 weeks, the pull-out test gave higher values for the NANO than for the other groups. Histology corroborated a direct apposition of bone tissue on to the NANO surface. Both the bone-to-implant contact and bone growth values were higher for the NANO than for the other implant surfaces. Overall, this study shows that the nanostructured surface improved the osseointegration of titanium implants and may be an alternative to conventional grit-blasted and acid-etched surface treatments.", "author" : [ { "dropping-particle" : "", "family" : "Salou", "given" : "La\u00ebtitia", "non-dropping-particle" : "", "parse-names" : false, "suffix" : "" }, { "dropping-particle" : "", "family" : "Hoornaert", "given" : "Alain", "non-dropping-particle" : "", "parse-names" : false, "suffix" : "" }, { "dropping-particle" : "", "family" : "Louarn", "given" : "Guy", "non-dropping-particle" : "", "parse-names" : false, "suffix" : "" }, { "dropping-particle" : "", "family" : "Layrolle", "given" : "Pierre", "non-dropping-particle" : "", "parse-names" : false, "suffix" : "" } ], "container-title" : "Acta biomaterialia", "id" : "ITEM-1", "issued" : { "date-parts" : [ [ "2015", "1" ] ] }, "page" : "494-502", "title" : "Enhanced osseointegration of titanium implants with nanostructured surfaces: an experimental study in rabbits.", "type" : "article-journal", "volume" : "11" }, "uris" : [ "http://www.mendeley.com/documents/?uuid=76034419-eb17-3b4b-b7b4-776516a20a1c" ] } ], "mendeley" : { "formattedCitation" : "[9]", "plainTextFormattedCitation" : "[9]", "previouslyFormattedCitation" : "[9]" }, "properties" : {  }, "schema" : "https://github.com/citation-style-language/schema/raw/master/csl-citation.json" }</w:instrText>
      </w:r>
      <w:r w:rsidR="007C0369" w:rsidRPr="007C0369">
        <w:rPr>
          <w:color w:val="auto"/>
          <w:sz w:val="22"/>
          <w:szCs w:val="22"/>
          <w:lang w:val="en-US"/>
        </w:rPr>
        <w:fldChar w:fldCharType="separate"/>
      </w:r>
      <w:r w:rsidR="00FB577C" w:rsidRPr="00FB577C">
        <w:rPr>
          <w:noProof/>
          <w:color w:val="auto"/>
          <w:sz w:val="22"/>
          <w:szCs w:val="22"/>
          <w:lang w:val="en-US"/>
        </w:rPr>
        <w:t>[9]</w:t>
      </w:r>
      <w:r w:rsidR="007C0369" w:rsidRPr="007C0369">
        <w:rPr>
          <w:color w:val="auto"/>
          <w:sz w:val="22"/>
          <w:szCs w:val="22"/>
          <w:lang w:val="en-US"/>
        </w:rPr>
        <w:fldChar w:fldCharType="end"/>
      </w:r>
      <w:r w:rsidR="007C0369" w:rsidRPr="007C0369">
        <w:rPr>
          <w:color w:val="auto"/>
          <w:sz w:val="22"/>
          <w:szCs w:val="22"/>
          <w:lang w:val="en-US"/>
        </w:rPr>
        <w:t>.</w:t>
      </w:r>
      <w:r w:rsidRPr="007C0369">
        <w:rPr>
          <w:color w:val="auto"/>
          <w:sz w:val="22"/>
          <w:szCs w:val="22"/>
          <w:lang w:val="en-US"/>
        </w:rPr>
        <w:t xml:space="preserve"> Further studies have investigated the properties of surfaces with multiscale topographies </w:t>
      </w:r>
      <w:r w:rsidR="007C0369" w:rsidRPr="007C0369">
        <w:rPr>
          <w:color w:val="auto"/>
          <w:sz w:val="22"/>
          <w:szCs w:val="22"/>
          <w:lang w:val="en-US"/>
        </w:rPr>
        <w:fldChar w:fldCharType="begin" w:fldLock="1"/>
      </w:r>
      <w:r w:rsidR="00296F38">
        <w:rPr>
          <w:color w:val="auto"/>
          <w:sz w:val="22"/>
          <w:szCs w:val="22"/>
          <w:lang w:val="en-US"/>
        </w:rPr>
        <w:instrText>ADDIN CSL_CITATION { "citationItems" : [ { "id" : "ITEM-1", "itemData" : { "DOI" : "10.1016/j.biomaterials.2011.01.029", "ISSN" : "01429612", "PMID" : "21310480", "abstract" : "Titanium (Ti) osseointegration is critical for the success of dental and orthopedic implants. Previous studies have shown that surface roughness at the micro- and submicro-scales promotes osseointegration by enhancing osteoblast differentiation and local factor production. Only relatively recently have the effects of nanoscale roughness on cell response been considered. The aim of the present study was to develop a simple and scalable surface modification treatment that introduces nanoscale features to the surfaces of Ti substrates without greatly affecting other surface features, and to determine the effects of such superimposed nano-features on the differentiation and local factor production of osteoblasts. A simple oxidation treatment was developed for generating controlled nanoscale topographies on Ti surfaces, while retaining the starting micro-/submicro-scale roughness. Such nano-modified surfaces also possessed similar elemental compositions, and exhibited similar contact angles, as the original surfaces, but possessed a different surface crystal structure. MG63 cells were seeded on machined (PT), nano-modified PT (NMPT), sandblasted/acid-etched (SLA), and nano-modified SLA (NMSLA) Ti disks. The results suggested that the introduction of such nanoscale structures in combination with micro-/submicro-scale roughness improves osteoblast differentiation and local factor production, which, in turn, indicates the potential for improved implant osseointegration in vivo.", "author" : [ { "dropping-particle" : "", "family" : "Gittens", "given" : "Rolando A.", "non-dropping-particle" : "", "parse-names" : false, "suffix" : "" }, { "dropping-particle" : "", "family" : "McLachlan", "given" : "Taylor", "non-dropping-particle" : "", "parse-names" : false, "suffix" : "" }, { "dropping-particle" : "", "family" : "Olivares-Navarrete", "given" : "Rene", "non-dropping-particle" : "", "parse-names" : false, "suffix" : "" }, { "dropping-particle" : "", "family" : "Cai", "given" : "Ye", "non-dropping-particle" : "", "parse-names" : false, "suffix" : "" }, { "dropping-particle" : "", "family" : "Berner", "given" : "Simon", "non-dropping-particle" : "", "parse-names" : false, "suffix" : "" }, { "dropping-particle" : "", "family" : "Tannenbaum", "given" : "Rina", "non-dropping-particle" : "", "parse-names" : false, "suffix" : "" }, { "dropping-particle" : "", "family" : "Schwartz", "given" : "Zvi", "non-dropping-particle" : "", "parse-names" : false, "suffix" : "" }, { "dropping-particle" : "", "family" : "Sandhage", "given" : "Kenneth H.", "non-dropping-particle" : "", "parse-names" : false, "suffix" : "" }, { "dropping-particle" : "", "family" : "Boyan", "given" : "Barbara D.", "non-dropping-particle" : "", "parse-names" : false, "suffix" : "" } ], "container-title" : "Biomaterials", "id" : "ITEM-1", "issue" : "13", "issued" : { "date-parts" : [ [ "2011", "5" ] ] }, "page" : "3395-3403", "title" : "The effects of combined micron-/submicron-scale surface roughness and nanoscale features on cell proliferation and differentiation", "type" : "article-journal", "volume" : "32" }, "uris" : [ "http://www.mendeley.com/documents/?uuid=ed55c3c1-1e67-36db-bb9f-c1bc38924917" ] }, { "id" : "ITEM-2", "itemData" : { "DOI" : "10.1016/j.dental.2009.11.077", "ISSN" : "1879-0097", "PMID" : "20006380", "abstract" : "OBJECTIVE There is a great demand for dental implant surfaces to accelerate the process of peri-implant bone generation to reduce its healing time and enable early loading. To this end, an inverse correlation between the proliferation and functional maturation (differentiation) in osteoblasts presents a challenge for the rapid generation of greater amounts of bone. For instance, osteoblasts exhibit faster differentiation but slower proliferation on micro-roughened titanium surfaces. Using a unique micro-nano-hierarchical topography of TiO(2) that mimics biomineralized matrices, this study demonstrates that this challenge can be overcome without the use of biological agents. METHODS Titanium disks of grade 2 commercially pure titanium were prepared by machining (smooth surface). To create a microtexture with peaks and valleys (micropit surface), titanium disks were acid-etched. To create 200-nm TiO(2) nanonodules within the micropits (nanonodule-in-micropit surface), TiO(2) was sputter-deposited onto the acid-etched surface. Rat bone marrow-derived osteoblasts and NIH3T3 fibroblasts were cultured on machined smooth, micropit, and nanonodule-in-micropit surfaces. RESULTS Despite the substantially increased surface roughness, the addition of 200-nm nanonodules to micropits increased osteoblast proliferation while enhancing their functional differentiation. In contrast, this nanonodule-in-micropit surface decreased proliferation and function in fibroblasts. SIGNIFICANCE The data suggest the establishment of cell-selectively functionalized nano-in-micro smart titanium surfaces that involve a regulatory effect on osteoblast proliferation, abrogating the inhibitory mechanism on the micropitted surface, while enhancing their functional differentiation. Biomimetic and controllable nature of this nanonodules-in-micropits surface may offer a novel micro-to-nanoscale hierarchical platform to biologically optimize nanofeatures of biomaterials. Particularly, this micro-nano-hybrid surface may be an effective approach to improve current dental implant surfaces for accelerated bone integration.", "author" : [ { "dropping-particle" : "", "family" : "Hori", "given" : "Norio", "non-dropping-particle" : "", "parse-names" : false, "suffix" : "" }, { "dropping-particle" : "", "family" : "Iwasa", "given" : "Fuminori", "non-dropping-particle" : "", "parse-names" : false, "suffix" : "" }, { "dropping-particle" : "", "family" : "Ueno", "given" : "Takeshi", "non-dropping-particle" : "", "parse-names" : false, "suffix" : "" }, { "dropping-particle" : "", "family" : "Takeuchi", "given" : "Kazuo", "non-dropping-particle" : "", "parse-names" : false, "suffix" : "" }, { "dropping-particle" : "", "family" : "Tsukimura", "given" : "Naoki", "non-dropping-particle" : "", "parse-names" : false, "suffix" : "" }, { "dropping-particle" : "", "family" : "Yamada", "given" : "Masahiro", "non-dropping-particle" : "", "parse-names" : false, "suffix" : "" }, { "dropping-particle" : "", "family" : "Hattori", "given" : "Masami", "non-dropping-particle" : "", "parse-names" : false, "suffix" : "" }, { "dropping-particle" : "", "family" : "Yamamoto", "given" : "Akiko", "non-dropping-particle" : "", "parse-names" : false, "suffix" : "" }, { "dropping-particle" : "", "family" : "Ogawa", "given" : "Takahiro", "non-dropping-particle" : "", "parse-names" : false, "suffix" : "" } ], "container-title" : "Dental materials : official publication of the Academy of Dental Materials", "id" : "ITEM-2", "issue" : "4", "issued" : { "date-parts" : [ [ "2010", "4" ] ] }, "page" : "275-87", "title" : "Selective cell affinity of biomimetic micro-nano-hybrid structured TiO2 overcomes the biological dilemma of osteoblasts.", "type" : "article-journal", "volume" : "26" }, "uris" : [ "http://www.mendeley.com/documents/?uuid=57cfada3-fd67-3c41-983d-9766b25d82ae", "http://www.mendeley.com/documents/?uuid=21ef1e08-ddea-48a2-82ed-9b01bc12967b" ] } ], "mendeley" : { "formattedCitation" : "[10,11]", "plainTextFormattedCitation" : "[10,11]", "previouslyFormattedCitation" : "[10,11]" }, "properties" : {  }, "schema" : "https://github.com/citation-style-language/schema/raw/master/csl-citation.json" }</w:instrText>
      </w:r>
      <w:r w:rsidR="007C0369" w:rsidRPr="007C0369">
        <w:rPr>
          <w:color w:val="auto"/>
          <w:sz w:val="22"/>
          <w:szCs w:val="22"/>
          <w:lang w:val="en-US"/>
        </w:rPr>
        <w:fldChar w:fldCharType="separate"/>
      </w:r>
      <w:r w:rsidR="00FB577C" w:rsidRPr="00FB577C">
        <w:rPr>
          <w:noProof/>
          <w:color w:val="auto"/>
          <w:sz w:val="22"/>
          <w:szCs w:val="22"/>
          <w:lang w:val="en-US"/>
        </w:rPr>
        <w:t>[10,11]</w:t>
      </w:r>
      <w:r w:rsidR="007C0369" w:rsidRPr="007C0369">
        <w:rPr>
          <w:color w:val="auto"/>
          <w:sz w:val="22"/>
          <w:szCs w:val="22"/>
          <w:lang w:val="en-US"/>
        </w:rPr>
        <w:fldChar w:fldCharType="end"/>
      </w:r>
      <w:r w:rsidR="007C0369" w:rsidRPr="007C0369">
        <w:rPr>
          <w:color w:val="auto"/>
          <w:sz w:val="22"/>
          <w:szCs w:val="22"/>
          <w:lang w:val="en-US"/>
        </w:rPr>
        <w:t>.</w:t>
      </w:r>
      <w:r w:rsidRPr="007C0369">
        <w:rPr>
          <w:color w:val="auto"/>
          <w:sz w:val="22"/>
          <w:szCs w:val="22"/>
          <w:lang w:val="en-US"/>
        </w:rPr>
        <w:t xml:space="preserve"> Specifically, surface topographical features are powerful drivers in dictating cell morphology through the modulation of cell adhesion complexes </w:t>
      </w:r>
      <w:r w:rsidR="007C0369" w:rsidRPr="007C0369">
        <w:rPr>
          <w:color w:val="auto"/>
          <w:sz w:val="22"/>
          <w:szCs w:val="22"/>
          <w:lang w:val="en-US"/>
        </w:rPr>
        <w:fldChar w:fldCharType="begin" w:fldLock="1"/>
      </w:r>
      <w:r w:rsidR="00296F38">
        <w:rPr>
          <w:color w:val="auto"/>
          <w:sz w:val="22"/>
          <w:szCs w:val="22"/>
          <w:lang w:val="en-US"/>
        </w:rPr>
        <w:instrText>ADDIN CSL_CITATION { "citationItems" : [ { "id" : "ITEM-1", "itemData" : { "DOI" : "10.1371/journal.pone.0058898", "ISSN" : "1932-6203", "PMID" : "23505566", "abstract" : "Reducing the time required for initial integration of bone-contacting implants with host tissues would be of great clinical significance. Changes in osteoblast adhesion formation and reorganization of the F-actin cytoskeleton in response to altered topography are known to be upstream of osteoblast differentiation, and these processes are regulated by the Rho GTPases. Rac and RhoA (through Rho Kinase (ROCK)). Using pharmacological inhibitors, we tested how inhibition of Rac and ROCK influenced osteoblast adhesion, differentiation and mineralization on PT (Pre-treated) and SLA (sandblasted large grit, acid etched) topographies. Inhibition of ROCK, but not Rac, significantly reduced adhesion number and size on PT, with adhesion size consistent with focal complexes. After 1 day, ROCK, but not Rac inhibition increased osteocalcin mRNA levels on SLA and PT, with levels further increasing at 7 days post seeding. ROCK inhibition also significantly increased bone sialoprotein expression at 7 days, but not BMP-2 levels. Rac inhibition significantly reduced BMP-2 mRNA levels. ROCK inhibition increased nuclear translocation of Runx2 independent of surface roughness. Mineralization of osteoblast cultures was greater on SLA than on PT, but was increased by ROCK inhibition and attenuated by Rac inhibition on both topographies. In conclusion, inhibition of ROCK signalling significantly increases osteoblast differentiation and biomineralization in a topographic dependent manner, and its pharmacological inhibition could represent a new therapeutic to speed bone formation around implanted metals and in regenerative medicine applications.", "author" : [ { "dropping-particle" : "", "family" : "Prowse", "given" : "Paul D. H.", "non-dropping-particle" : "", "parse-names" : false, "suffix" : "" }, { "dropping-particle" : "", "family" : "Elliott", "given" : "Christopher G.", "non-dropping-particle" : "", "parse-names" : false, "suffix" : "" }, { "dropping-particle" : "", "family" : "Hutter", "given" : "Jeff", "non-dropping-particle" : "", "parse-names" : false, "suffix" : "" }, { "dropping-particle" : "", "family" : "Hamilton", "given" : "Douglas W.", "non-dropping-particle" : "", "parse-names" : false, "suffix" : "" } ], "container-title" : "PloS one", "editor" : [ { "dropping-particle" : "", "family" : "Malaval", "given" : "Luc", "non-dropping-particle" : "", "parse-names" : false, "suffix" : "" } ], "id" : "ITEM-1", "issue" : "3", "issued" : { "date-parts" : [ [ "2013", "3", "7" ] ] }, "page" : "e58898", "title" : "Inhibition of Rac and ROCK signalling influence osteoblast adhesion, differentiation and mineralization on titanium topographies.", "type" : "article-journal", "volume" : "8" }, "uris" : [ "http://www.mendeley.com/documents/?uuid=b68ff363-4f7a-34c0-84e0-f83dc8051753", "http://www.mendeley.com/documents/?uuid=f0fa6c42-53d9-4464-929c-36fb2f428fb5" ] }, { "id" : "ITEM-2", "itemData" : { "DOI" : "10.1016/j.biomaterials.2011.08.077", "ISSN" : "1878-5905", "PMID" : "21925729", "abstract" : "Recently, a growing number of reports have reported that micro- or nanoscale topography enhances cellular functions such as cell adhesion and stem cell differentiation, but the mechanisms responsible for this topography-mediated cell behavior are not fully understood. In this study, we examine the underlying processes and mechanisms behind specific topography-mediated cellular functions. Formation of focal adhesions (FA) was studied by culturing cells on different kinds of topographies, including a flat surface and surfaces with a micropatterned topography (2 \u03bcm lattice pattern with 3 \u03bcm intervals). We found that the formation and maturation of focal adhesions were highly dependent on the topography of the substrate although the shape, morphology and spreading of cells on the different substrates were not significantly affected. Focal adhesion maturation and actin polymerization were also promoted in cells cultured on the micropatterned substrate. These differences in cell adhesion led us to focus on the Rho GTPases, RhoA and downstream pathways since a number of reports have demonstrated that RhoA-activated cells have highly enhanced focal adhesions and actin activation such as polymerization. By inhibiting the Rho-associated kinase (ROCK) and downstream myosin II, we found that the FA formation, actin organization, and FAK phosphorylation were dramatically decreased. The topographical dependency of FA formation was also highly decreased. These results show that the FA formation and actin cytoskeleton organization of cells on the microtopography is regulated by the RhoA/ROCK pathway.", "author" : [ { "dropping-particle" : "", "family" : "Seo", "given" : "Chang Ho", "non-dropping-particle" : "", "parse-names" : false, "suffix" : "" }, { "dropping-particle" : "", "family" : "Furukawa", "given" : "Katsuko", "non-dropping-particle" : "", "parse-names" : false, "suffix" : "" }, { "dropping-particle" : "", "family" : "Montagne", "given" : "Kevin", "non-dropping-particle" : "", "parse-names" : false, "suffix" : "" }, { "dropping-particle" : "", "family" : "Jeong", "given" : "Heonuk", "non-dropping-particle" : "", "parse-names" : false, "suffix" : "" }, { "dropping-particle" : "", "family" : "Ushida", "given" : "Takashi", "non-dropping-particle" : "", "parse-names" : false, "suffix" : "" } ], "container-title" : "Biomaterials", "id" : "ITEM-2", "issue" : "36", "issued" : { "date-parts" : [ [ "2011", "12" ] ] }, "page" : "9568-75", "title" : "The effect of substrate microtopography on focal adhesion maturation and actin organization via the RhoA/ROCK pathway.", "type" : "article-journal", "volume" : "32" }, "uris" : [ "http://www.mendeley.com/documents/?uuid=b19b4ea8-68ef-3fe6-a145-f27105cdde06" ] }, { "id" : "ITEM-3", "itemData" : { "DOI" : "10.1002/jcp.25100", "ISSN" : "1097-4652", "PMID" : "26205718", "abstract" : "Surface topography broadly influences cellular responses. Adherent cell activities are regulated, in part, by RhoA, a member of the Rho-family of GTPases. In this study, we evaluated the influence of surface topography on RhoA activity and associated cellular functions. The murine mesenchymal stem cell line C3H10T1/2 cells (osteoprogenitor cells) were cultured on titanium substrates with smooth topography (S), microtopography (M), and nanotopography (N) to evaluate the effect of surface topography on RhoA-mediated functions (cell spreading, adhesion, migration, and osteogenic differentiation). The influence of RhoA activity in the context of surface topography was also elucidated using RhoA pharmacologic inhibitor. Following adhesion, M and N adherent cells developed multiple projections, while S adherent cells had flattened and widespread morphology. RhoA inhibitor induced remarkable longer and thinner cytoplasmic projections on all surfaces. Cell adhesion and osteogenic differentiation was topography dependent with S &lt; M and N surfaces. RhoA inhibition increased adhesion on S and M surfaces, but not N surfaces. Cell migration in a wound healing assay was greater on S versus M versus N surfaces and RhoA inhibitor increased S adherent cell migration, but not N adherent cell migration. RhoA inhibitor enhanced osteogenic differentiation in S adherent cells, but not M or N adherent cells. RhoA activity was surface topography roughness dependent (S &lt; M, N). RhoA activity and -mediated functions are influenced by surface topography. Smooth surface adherent cells appear highly sensitive to RhoA function, while nano-scale topography adherent cell may utilize alternative cellular signaling pathway(s) to influence adherent cellular functions regardless of RhoA activity.", "author" : [ { "dropping-particle" : "", "family" : "Ogino", "given" : "Yoichiro", "non-dropping-particle" : "", "parse-names" : false, "suffix" : "" }, { "dropping-particle" : "", "family" : "Liang", "given" : "Ruiwei", "non-dropping-particle" : "", "parse-names" : false, "suffix" : "" }, { "dropping-particle" : "", "family" : "Mendon\u00e7a", "given" : "Daniela B S", "non-dropping-particle" : "", "parse-names" : false, "suffix" : "" }, { "dropping-particle" : "", "family" : "Mendon\u00e7a", "given" : "Gustavo", "non-dropping-particle" : "", "parse-names" : false, "suffix" : "" }, { "dropping-particle" : "", "family" : "Nagasawa", "given" : "Masako", "non-dropping-particle" : "", "parse-names" : false, "suffix" : "" }, { "dropping-particle" : "", "family" : "Koyano", "given" : "Kiyoshi", "non-dropping-particle" : "", "parse-names" : false, "suffix" : "" }, { "dropping-particle" : "", "family" : "Cooper", "given" : "Lyndon F.", "non-dropping-particle" : "", "parse-names" : false, "suffix" : "" } ], "container-title" : "Journal of cellular physiology", "id" : "ITEM-3", "issue" : "3", "issued" : { "date-parts" : [ [ "2016", "3" ] ] }, "page" : "568-75", "publisher" : "NIH Public Access", "title" : "RhoA-Mediated Functions in C3H10T1/2 Osteoprogenitors Are Substrate Topography Dependent.", "type" : "article-journal", "volume" : "231" }, "uris" : [ "http://www.mendeley.com/documents/?uuid=a249a960-3bae-383b-bec4-28ddd8960500", "http://www.mendeley.com/documents/?uuid=662205cc-6f4e-4469-8c15-6bf65c560007" ] } ], "mendeley" : { "formattedCitation" : "[12\u201314]", "plainTextFormattedCitation" : "[12\u201314]", "previouslyFormattedCitation" : "[12\u201314]" }, "properties" : {  }, "schema" : "https://github.com/citation-style-language/schema/raw/master/csl-citation.json" }</w:instrText>
      </w:r>
      <w:r w:rsidR="007C0369" w:rsidRPr="007C0369">
        <w:rPr>
          <w:color w:val="auto"/>
          <w:sz w:val="22"/>
          <w:szCs w:val="22"/>
          <w:lang w:val="en-US"/>
        </w:rPr>
        <w:fldChar w:fldCharType="separate"/>
      </w:r>
      <w:r w:rsidR="00FB577C" w:rsidRPr="00FB577C">
        <w:rPr>
          <w:noProof/>
          <w:color w:val="auto"/>
          <w:sz w:val="22"/>
          <w:szCs w:val="22"/>
          <w:lang w:val="en-US"/>
        </w:rPr>
        <w:t>[12–14]</w:t>
      </w:r>
      <w:r w:rsidR="007C0369" w:rsidRPr="007C0369">
        <w:rPr>
          <w:color w:val="auto"/>
          <w:sz w:val="22"/>
          <w:szCs w:val="22"/>
          <w:lang w:val="en-US"/>
        </w:rPr>
        <w:fldChar w:fldCharType="end"/>
      </w:r>
      <w:r w:rsidR="007C0369" w:rsidRPr="007C0369">
        <w:rPr>
          <w:color w:val="auto"/>
          <w:sz w:val="22"/>
          <w:szCs w:val="22"/>
          <w:lang w:val="en-US"/>
        </w:rPr>
        <w:t xml:space="preserve">. </w:t>
      </w:r>
      <w:r w:rsidRPr="007C0369">
        <w:rPr>
          <w:color w:val="auto"/>
          <w:sz w:val="22"/>
          <w:szCs w:val="22"/>
          <w:lang w:val="en-US"/>
        </w:rPr>
        <w:t>The interaction between surfaces and cells is directly mediated by protein adsorbed on the substrates and proceeds with cell adhesion, spreading and proliferation</w:t>
      </w:r>
      <w:r w:rsidR="007C0369" w:rsidRPr="007C0369">
        <w:rPr>
          <w:color w:val="auto"/>
          <w:sz w:val="22"/>
          <w:szCs w:val="22"/>
          <w:lang w:val="en-US"/>
        </w:rPr>
        <w:t xml:space="preserve"> </w:t>
      </w:r>
      <w:r w:rsidR="007C0369" w:rsidRPr="007C0369">
        <w:rPr>
          <w:color w:val="auto"/>
          <w:sz w:val="22"/>
          <w:szCs w:val="22"/>
          <w:lang w:val="en-US"/>
        </w:rPr>
        <w:fldChar w:fldCharType="begin" w:fldLock="1"/>
      </w:r>
      <w:r w:rsidR="00296F38">
        <w:rPr>
          <w:color w:val="auto"/>
          <w:sz w:val="22"/>
          <w:szCs w:val="22"/>
          <w:lang w:val="en-US"/>
        </w:rPr>
        <w:instrText>ADDIN CSL_CITATION { "citationItems" : [ { "id" : "ITEM-1", "itemData" : { "DOI" : "10.1177/0022034516629119", "ISSN" : "0022-0345", "PMID" : "26848069", "abstract" : "The aim of this in vitro study was to evaluate the early cell response and protein adsorption elicited by the argon plasma treatment of different commercially available titanium surfaces via a chair-side device. Sterile disks made of grade 4 titanium (n= 450, 4-mm diameter) with 3 surface topographies (machined, plasma sprayed, and zirconia blasted and acid etched) were allocated to receive 4 testing treatments (2% and 10% protein adsorption and cell adhesion with MC3T3-E1 and MG-63). Furthermore, the specimens were divided to undergo 1) argon plasma treatment (10 W, 1 bar for 12 min) in a plasma reactor, 2) ultraviolet (UV) light treatment for 2 h (positive control group), or 3) no treatment (control group). Pretreatment surface analyses based on a scanning electron microscope and profilometer images were also performed. Profilometric analysis demonstrated that the evaluated specimens perfectly suit the standard parameters. The use of argon plasma was capable of affecting the quantity of proteins adsorbed on the different surfaces, notwithstanding their roughness or topographic features at a low fetal bovine serum concentration (2%). UV light treatment for 2 h attained similar results. Moreover, both the plasma of argon and the UV light demonstrated a significant increase in the number of osteoblasts adherent at 10 min in all tested surfaces. Within its limitations, this in vitro study highlights the potential biological benefits of treating implant surfaces with plasma of argon or UV, irrespective of the roughness of the titanium surface. However, in vivo experiments are needed to confirm these preliminary data and settle the rationale of a treatment that might be clinically relevant in case of bone-reparative deficiencies.", "author" : [ { "dropping-particle" : "", "family" : "Canullo", "given" : "L.", "non-dropping-particle" : "", "parse-names" : false, "suffix" : "" }, { "dropping-particle" : "", "family" : "Genova", "given" : "T.", "non-dropping-particle" : "", "parse-names" : false, "suffix" : "" }, { "dropping-particle" : "", "family" : "Tallarico", "given" : "M.", "non-dropping-particle" : "", "parse-names" : false, "suffix" : "" }, { "dropping-particle" : "", "family" : "Gautier", "given" : "G.", "non-dropping-particle" : "", "parse-names" : false, "suffix" : "" }, { "dropping-particle" : "", "family" : "Mussano", "given" : "F.", "non-dropping-particle" : "", "parse-names" : false, "suffix" : "" }, { "dropping-particle" : "", "family" : "Botticelli", "given" : "D.", "non-dropping-particle" : "", "parse-names" : false, "suffix" : "" } ], "container-title" : "Journal of Dental Research", "id" : "ITEM-1", "issue" : "5", "issued" : { "date-parts" : [ [ "2016", "5", "4" ] ] }, "page" : "566-573", "title" : "Plasma of Argon Affects the Earliest Biological Response of Different Implant Surfaces", "type" : "article-journal", "volume" : "95" }, "uris" : [ "http://www.mendeley.com/documents/?uuid=c756c89c-6f3d-424e-9796-754fe3692449", "http://www.mendeley.com/documents/?uuid=56b26d35-be63-487f-b337-97c01e497c00" ] } ], "mendeley" : { "formattedCitation" : "[15]", "plainTextFormattedCitation" : "[15]", "previouslyFormattedCitation" : "[15]" }, "properties" : {  }, "schema" : "https://github.com/citation-style-language/schema/raw/master/csl-citation.json" }</w:instrText>
      </w:r>
      <w:r w:rsidR="007C0369" w:rsidRPr="007C0369">
        <w:rPr>
          <w:color w:val="auto"/>
          <w:sz w:val="22"/>
          <w:szCs w:val="22"/>
          <w:lang w:val="en-US"/>
        </w:rPr>
        <w:fldChar w:fldCharType="separate"/>
      </w:r>
      <w:r w:rsidR="00FB577C" w:rsidRPr="00FB577C">
        <w:rPr>
          <w:noProof/>
          <w:color w:val="auto"/>
          <w:sz w:val="22"/>
          <w:szCs w:val="22"/>
          <w:lang w:val="en-US"/>
        </w:rPr>
        <w:t>[15]</w:t>
      </w:r>
      <w:r w:rsidR="007C0369" w:rsidRPr="007C0369">
        <w:rPr>
          <w:color w:val="auto"/>
          <w:sz w:val="22"/>
          <w:szCs w:val="22"/>
          <w:lang w:val="en-US"/>
        </w:rPr>
        <w:fldChar w:fldCharType="end"/>
      </w:r>
      <w:r w:rsidR="007C0369" w:rsidRPr="007C0369">
        <w:rPr>
          <w:color w:val="auto"/>
          <w:sz w:val="22"/>
          <w:szCs w:val="22"/>
          <w:lang w:val="en-US"/>
        </w:rPr>
        <w:t>.</w:t>
      </w:r>
      <w:r w:rsidRPr="007C0369">
        <w:rPr>
          <w:color w:val="auto"/>
          <w:sz w:val="22"/>
          <w:szCs w:val="22"/>
          <w:lang w:val="en-US"/>
        </w:rPr>
        <w:t xml:space="preserve"> Under </w:t>
      </w:r>
      <w:r>
        <w:rPr>
          <w:sz w:val="22"/>
          <w:szCs w:val="22"/>
          <w:lang w:val="en-US"/>
        </w:rPr>
        <w:t>this perspective, it is not surprising that even slight changes may produce dramatic responses in the recipient. For instance</w:t>
      </w:r>
      <w:r w:rsidRPr="00AF1E02">
        <w:rPr>
          <w:color w:val="auto"/>
          <w:sz w:val="22"/>
          <w:szCs w:val="22"/>
          <w:lang w:val="en-US"/>
        </w:rPr>
        <w:t xml:space="preserve">, ensuring higher wettability of implant surfaces was welcome as a technological improvement by many authors </w:t>
      </w:r>
      <w:r w:rsidR="007C0369" w:rsidRPr="0072377F">
        <w:rPr>
          <w:color w:val="auto"/>
          <w:sz w:val="22"/>
          <w:szCs w:val="22"/>
          <w:lang w:val="en-US"/>
        </w:rPr>
        <w:fldChar w:fldCharType="begin" w:fldLock="1"/>
      </w:r>
      <w:r w:rsidR="00296F38">
        <w:rPr>
          <w:color w:val="auto"/>
          <w:sz w:val="22"/>
          <w:szCs w:val="22"/>
          <w:lang w:val="en-US"/>
        </w:rPr>
        <w:instrText>ADDIN CSL_CITATION { "citationItems" : [ { "id" : "ITEM-1", "itemData" : { "DOI" : "10.1177/154405910408300704", "ISSN" : "0022-0345", "author" : [ { "dropping-particle" : "", "family" : "Buser", "given" : "D.", "non-dropping-particle" : "", "parse-names" : false, "suffix" : "" }, { "dropping-particle" : "", "family" : "Broggini", "given" : "N.", "non-dropping-particle" : "", "parse-names" : false, "suffix" : "" }, { "dropping-particle" : "", "family" : "Wieland", "given" : "M.", "non-dropping-particle" : "", "parse-names" : false, "suffix" : "" }, { "dropping-particle" : "", "family" : "Schenk", "given" : "R.K.", "non-dropping-particle" : "", "parse-names" : false, "suffix" : "" }, { "dropping-particle" : "", "family" : "Denzer", "given" : "A.J.", "non-dropping-particle" : "", "parse-names" : false, "suffix" : "" }, { "dropping-particle" : "", "family" : "Cochran", "given" : "D.L.", "non-dropping-particle" : "", "parse-names" : false, "suffix" : "" }, { "dropping-particle" : "", "family" : "Hoffmann", "given" : "B.", "non-dropping-particle" : "", "parse-names" : false, "suffix" : "" }, { "dropping-particle" : "", "family" : "Lussi", "given" : "A.", "non-dropping-particle" : "", "parse-names" : false, "suffix" : "" }, { "dropping-particle" : "", "family" : "Steinemann", "given" : "S.G.", "non-dropping-particle" : "", "parse-names" : false, "suffix" : "" } ], "container-title" : "Journal of Dental Research", "id" : "ITEM-1", "issue" : "7", "issued" : { "date-parts" : [ [ "2004", "7", "20" ] ] }, "page" : "529-533", "title" : "Enhanced Bone Apposition to a Chemically Modified SLA Titanium Surface", "type" : "article-journal", "volume" : "83" }, "uris" : [ "http://www.mendeley.com/documents/?uuid=4d187db5-7798-3899-ae32-aa8ad07f9f81", "http://www.mendeley.com/documents/?uuid=57e8c25d-2b00-4e9c-8add-297d1bcd67aa" ] }, { "id" : "ITEM-2", "itemData" : { "DOI" : "10.1016/j.biomaterials.2010.09.025", "ISSN" : "01429612", "PMID" : "20933273", "abstract" : "The topography of titanium implants has been identified as an important factor affecting the osseointegration of surgically placed dental implants. Further modification to produce a hydrophilic microrough titanium implant surface has been shown to increase osseointegration compared with microrough topology alone. This study aimed to determine possible molecular mechanisms to explain this clinical observation by examining differences in the whole genome mRNA expression profile of primary human osteoblasts in response to sand-blasted acid-etched (SLA) and hydrophilic SLA (modSLA) titanium surfaces. A decrease in osteoblast proliferation associated with the titanium surfaces (modSLA &gt; SLA &gt; control) correlated with an increase in expression of the osteogenic differentiation markers BSPII and osteocalcin. Pathway analysis demonstrated that a number of genes associated with the TGF\u03b2\u2011BMP signalling cascade (BMP2, BMP6, SP1, CREBBP, RBL2, TBS3, ACVR1 and ZFYVE16) were significantly differentially up-regulated with culture on the modSLA surface. BMP2 was shown to have the largest fold change increase in expression which was subsequently confirmed at the protein level by ELISA. Several other genes associated with the functionally important mechanisms relevant to bone healing, such as Wnt signalling (CTNNA1, FBX4, FZD6), angiogenesis (KDR), osteoclastogenesis (HSF2, MCL1) and proteolysis (HEXB, TPP1), were also differentially regulated. These results suggest that chemical (hydrophilic) modification of the SLA surface may result in more successful osseointegration through BMP signalling.", "author" : [ { "dropping-particle" : "", "family" : "Vlacic-Zischke", "given" : "J.", "non-dropping-particle" : "", "parse-names" : false, "suffix" : "" }, { "dropping-particle" : "", "family" : "Hamlet", "given" : "S.M.", "non-dropping-particle" : "", "parse-names" : false, "suffix" : "" }, { "dropping-particle" : "", "family" : "Friis", "given" : "T.", "non-dropping-particle" : "", "parse-names" : false, "suffix" : "" }, { "dropping-particle" : "", "family" : "Tonetti", "given" : "M.S.", "non-dropping-particle" : "", "parse-names" : false, "suffix" : "" }, { "dropping-particle" : "", "family" : "Ivanovski", "given" : "S.", "non-dropping-particle" : "", "parse-names" : false, "suffix" : "" } ], "container-title" : "Biomaterials", "id" : "ITEM-2", "issue" : "3", "issued" : { "date-parts" : [ [ "2011", "1" ] ] }, "page" : "665-671", "title" : "The influence of surface microroughness and hydrophilicity of titanium on the up-regulation of TGF\u03b2/BMP signalling in osteoblasts.", "type" : "article-journal", "volume" : "32" }, "uris" : [ "http://www.mendeley.com/documents/?uuid=a568ae6d-a48b-3012-a82c-0acf1a901f28", "http://www.mendeley.com/documents/?uuid=b5fb538e-7b6a-43d1-ab4f-ddf33590a7ca" ] }, { "id" : "ITEM-3", "itemData" : { "DOI" : "10.1016/j.actbio.2014.03.032", "ISSN" : "1878-7568", "PMID" : "24709541", "abstract" : "Dental and orthopedic implants have been under continuous advancement to improve their interactions with bone and ensure a successful outcome for patients. Surface characteristics such as surface topography and surface chemistry can serve as design tools to enhance the biological response around the implant, with in vitro, in vivo and clinical studies confirming their effects. However, the comprehensive design of implants to promote early and long-term osseointegration requires a better understanding of the role of surface wettability and the mechanisms by which it affects the surrounding biological environment. This review provides a general overview of the available information about the contact angle values of experimental and of marketed implant surfaces, some of the techniques used to modify surface wettability of implants, and results from in vitro and clinical studies. We aim to expand the current understanding on the role of wettability of metallic implants at their interface with blood and the biological milieu, as well as with bacteria, and hard and soft tissues.", "author" : [ { "dropping-particle" : "", "family" : "Gittens", "given" : "Rolando A.", "non-dropping-particle" : "", "parse-names" : false, "suffix" : "" }, { "dropping-particle" : "", "family" : "Scheideler", "given" : "Lutz", "non-dropping-particle" : "", "parse-names" : false, "suffix" : "" }, { "dropping-particle" : "", "family" : "Rupp", "given" : "Frank", "non-dropping-particle" : "", "parse-names" : false, "suffix" : "" }, { "dropping-particle" : "", "family" : "Hyzy", "given" : "Sharon L.", "non-dropping-particle" : "", "parse-names" : false, "suffix" : "" }, { "dropping-particle" : "", "family" : "Geis-Gerstorfer", "given" : "J\u00fcrgen", "non-dropping-particle" : "", "parse-names" : false, "suffix" : "" }, { "dropping-particle" : "", "family" : "Schwartz", "given" : "Zvi", "non-dropping-particle" : "", "parse-names" : false, "suffix" : "" }, { "dropping-particle" : "", "family" : "Boyan", "given" : "Barbara D.", "non-dropping-particle" : "", "parse-names" : false, "suffix" : "" } ], "container-title" : "Acta biomaterialia", "id" : "ITEM-3", "issue" : "7", "issued" : { "date-parts" : [ [ "2014", "7" ] ] }, "page" : "2907-18", "publisher" : "NIH Public Access", "title" : "A review on the wettability of dental implant surfaces II: Biological and clinical aspects.", "type" : "article-journal", "volume" : "10" }, "uris" : [ "http://www.mendeley.com/documents/?uuid=f93308e8-bab3-34fd-9617-821007b660ac", "http://www.mendeley.com/documents/?uuid=dc5a9763-faae-4357-8b56-362093dc309f" ] }, { "id" : "ITEM-4", "itemData" : { "ISSN" : "1942-4434", "PMID" : "22167431", "abstract" : "PURPOSE Hydrophilicity is gaining increasing interest as a factor that might influence the osseointegration of dental implants. Therefore, in this study the dynamic wetting behavior of currently marketed dental titanium implants was analyzed by tensiometry, and its relationship to surface topography was examined. MATERIALS AND METHODS Nine screw-type implant systems from eight manufacturers were evaluated. Dynamic water contact angles were analyzed by tensiometric multiloop Wilhelmy experiments (10 loops, 10 mm/min immersion speed). The wetted length (perimeter) of the immersed samples was estimated by three-dimensional picture profile measurement of the thread height of the respective implant screws. Wettability was quantified by first advancing contact angles. Additionally, static contact angles were determined using the sessile drop technique. All implant surfaces were characterized by scanning electron microscopy (SEM). Contact angle data were subjected to one-way analysis of variance followed by the Student t test. RESULTS SEM revealed different types of surface morphology resulting from the different manufacturing processes. The first advancing mean contact angles of all implants ranged from 0 degrees (SLActive) to 138 degrees (OsseoSpeed), demonstrating statistically significant differences between implants. Because of kinetic hysteresis, initially hydrophobic implants became hydrophilic during following immersion loops. CONCLUSIONS The tensiometric method was used to compare wettability of dental implants. A range from fully wettable/superhydrophilic to virtually unwettable/hydrophobic was observed on the implant surfaces examined.", "author" : [ { "dropping-particle" : "", "family" : "Rupp", "given" : "Frank", "non-dropping-particle" : "", "parse-names" : false, "suffix" : "" }, { "dropping-particle" : "", "family" : "Scheideler", "given" : "Lutz", "non-dropping-particle" : "", "parse-names" : false, "suffix" : "" }, { "dropping-particle" : "", "family" : "Eichler", "given" : "Mirjam", "non-dropping-particle" : "", "parse-names" : false, "suffix" : "" }, { "dropping-particle" : "", "family" : "Geis-Gerstorfer", "given" : "J\u00fcrgen", "non-dropping-particle" : "", "parse-names" : false, "suffix" : "" } ], "container-title" : "The International journal of oral &amp; maxillofacial implants", "id" : "ITEM-4", "issue" : "6", "issued" : { "date-parts" : [ [ "0" ] ] }, "page" : "1256-66", "title" : "Wetting behavior of dental implants.", "type" : "article-journal", "volume" : "26" }, "uris" : [ "http://www.mendeley.com/documents/?uuid=8028ad4e-d2ef-3fc9-aec7-ff874d4b0b8b", "http://www.mendeley.com/documents/?uuid=8ba146a2-dfbd-40a9-be54-3d2aa8da22a5" ] } ], "mendeley" : { "formattedCitation" : "[16\u201319]", "plainTextFormattedCitation" : "[16\u201319]", "previouslyFormattedCitation" : "[16\u201319]" }, "properties" : {  }, "schema" : "https://github.com/citation-style-language/schema/raw/master/csl-citation.json" }</w:instrText>
      </w:r>
      <w:r w:rsidR="007C0369" w:rsidRPr="0072377F">
        <w:rPr>
          <w:color w:val="auto"/>
          <w:sz w:val="22"/>
          <w:szCs w:val="22"/>
          <w:lang w:val="en-US"/>
        </w:rPr>
        <w:fldChar w:fldCharType="separate"/>
      </w:r>
      <w:r w:rsidR="00FB577C" w:rsidRPr="00FB577C">
        <w:rPr>
          <w:noProof/>
          <w:color w:val="auto"/>
          <w:sz w:val="22"/>
          <w:szCs w:val="22"/>
          <w:lang w:val="en-US"/>
        </w:rPr>
        <w:t>[16–19]</w:t>
      </w:r>
      <w:r w:rsidR="007C0369" w:rsidRPr="0072377F">
        <w:rPr>
          <w:color w:val="auto"/>
          <w:sz w:val="22"/>
          <w:szCs w:val="22"/>
          <w:lang w:val="en-US"/>
        </w:rPr>
        <w:fldChar w:fldCharType="end"/>
      </w:r>
      <w:r w:rsidR="007C0369" w:rsidRPr="0072377F">
        <w:rPr>
          <w:color w:val="auto"/>
          <w:sz w:val="22"/>
          <w:szCs w:val="22"/>
          <w:lang w:val="en-US"/>
        </w:rPr>
        <w:t xml:space="preserve"> </w:t>
      </w:r>
      <w:r w:rsidRPr="0072377F">
        <w:rPr>
          <w:color w:val="auto"/>
          <w:sz w:val="22"/>
          <w:szCs w:val="22"/>
          <w:lang w:val="en-US"/>
        </w:rPr>
        <w:t>although a thorough mechanistic explanation remains unattained.</w:t>
      </w:r>
    </w:p>
    <w:p w14:paraId="209EC5EE" w14:textId="6A3FAA90" w:rsidR="00E2412D" w:rsidRPr="00E31108" w:rsidRDefault="00673E5C">
      <w:pPr>
        <w:pStyle w:val="BodyB"/>
        <w:keepNext w:val="0"/>
        <w:widowControl w:val="0"/>
        <w:spacing w:line="480" w:lineRule="auto"/>
        <w:jc w:val="both"/>
        <w:rPr>
          <w:lang w:val="en-US"/>
        </w:rPr>
      </w:pPr>
      <w:r>
        <w:rPr>
          <w:sz w:val="22"/>
          <w:szCs w:val="22"/>
          <w:lang w:val="en-US"/>
        </w:rPr>
        <w:t xml:space="preserve">Ultimately, the biological effects elicited at the biomaterial interface rely on the transmembrane proteins </w:t>
      </w:r>
      <w:r w:rsidR="00AA0CF7">
        <w:rPr>
          <w:sz w:val="22"/>
          <w:szCs w:val="22"/>
          <w:lang w:val="en-US"/>
        </w:rPr>
        <w:t>that</w:t>
      </w:r>
      <w:r>
        <w:rPr>
          <w:sz w:val="22"/>
          <w:szCs w:val="22"/>
          <w:lang w:val="en-US"/>
        </w:rPr>
        <w:t xml:space="preserve"> mediate </w:t>
      </w:r>
      <w:r w:rsidR="00AA0CF7">
        <w:rPr>
          <w:sz w:val="22"/>
          <w:szCs w:val="22"/>
          <w:lang w:val="en-US"/>
        </w:rPr>
        <w:t>the interaction</w:t>
      </w:r>
      <w:r>
        <w:rPr>
          <w:sz w:val="22"/>
          <w:szCs w:val="22"/>
          <w:lang w:val="en-US"/>
        </w:rPr>
        <w:t xml:space="preserve"> with the extracellular environment. Integrins are paramount in this process </w:t>
      </w:r>
      <w:r w:rsidR="00957970">
        <w:rPr>
          <w:sz w:val="22"/>
          <w:szCs w:val="22"/>
          <w:lang w:val="en-US"/>
        </w:rPr>
        <w:fldChar w:fldCharType="begin" w:fldLock="1"/>
      </w:r>
      <w:r w:rsidR="00296F38">
        <w:rPr>
          <w:sz w:val="22"/>
          <w:szCs w:val="22"/>
          <w:lang w:val="en-US"/>
        </w:rPr>
        <w:instrText>ADDIN CSL_CITATION { "citationItems" : [ { "id" : "ITEM-1", "itemData" : { "DOI" : "10.1038/nrendo.2013.4", "ISSN" : "1759-5037", "PMID" : "23358353", "abstract" : "The ageing skeleton experiences a progressive decline in the rate of bone formation, which can eventually result in osteoporosis--a common disease characterized by reduced bone mass and altered bone microarchitecture which can result in fractures. One emerging therapy involves the identification of molecules that target bone-marrow mesenchymal stromal cells (MSCs) and promote their differentiation into osteoblasts, thereby counteracting bone loss. This Review highlights the discovery that some integrins, a family of heterodimeric transmembrane proteins that can interact with matrix proteins and generate intracellular signals, can be targeted to promote homing of MSCs to bone, osteogenic differentiation and bone formation. Specifically, priming of the \u03b1(5)\u03b2(1) integrin, which is required for osteoblastic differentiation of MSCs, leads to increased bone formation and improved bone repair in mice. Additionally, treatment with a peptidomimetic ligand of the \u03b1(4)\u03b2(1) integrin coupled to an agent with a high affinity for bone improves the homing of MSCs to bone and promotes osteoblast differentiation and bone formation, leading to increased bone mass in osteopenic mice. Strategies that target key integrins expressed by MSCs might, therefore, translate into improved therapies for age-related bone loss and possibly other disorders.", "author" : [ { "dropping-particle" : "", "family" : "Marie", "given" : "Pierre J.", "non-dropping-particle" : "", "parse-names" : false, "suffix" : "" } ], "container-title" : "Nature reviews. Endocrinology", "id" : "ITEM-1", "issue" : "5", "issued" : { "date-parts" : [ [ "2013", "5", "29" ] ] }, "page" : "288-95", "title" : "Targeting integrins to promote bone formation and repair.", "type" : "article-journal", "volume" : "9" }, "uris" : [ "http://www.mendeley.com/documents/?uuid=de5810a5-ef64-3b59-aecd-00e85279841f", "http://www.mendeley.com/documents/?uuid=068740da-9667-4809-a3f3-2d04580729b7" ] } ], "mendeley" : { "formattedCitation" : "[20]", "plainTextFormattedCitation" : "[20]", "previouslyFormattedCitation" : "[20]" }, "properties" : {  }, "schema" : "https://github.com/citation-style-language/schema/raw/master/csl-citation.json" }</w:instrText>
      </w:r>
      <w:r w:rsidR="00957970">
        <w:rPr>
          <w:sz w:val="22"/>
          <w:szCs w:val="22"/>
          <w:lang w:val="en-US"/>
        </w:rPr>
        <w:fldChar w:fldCharType="separate"/>
      </w:r>
      <w:r w:rsidR="00FB577C" w:rsidRPr="00FB577C">
        <w:rPr>
          <w:noProof/>
          <w:sz w:val="22"/>
          <w:szCs w:val="22"/>
          <w:lang w:val="en-US"/>
        </w:rPr>
        <w:t>[20]</w:t>
      </w:r>
      <w:r w:rsidR="00957970">
        <w:rPr>
          <w:sz w:val="22"/>
          <w:szCs w:val="22"/>
          <w:lang w:val="en-US"/>
        </w:rPr>
        <w:fldChar w:fldCharType="end"/>
      </w:r>
      <w:r>
        <w:rPr>
          <w:sz w:val="22"/>
          <w:szCs w:val="22"/>
          <w:lang w:val="en-US"/>
        </w:rPr>
        <w:t xml:space="preserve"> and specifically the fibronectin receptor integrin </w:t>
      </w:r>
      <w:r>
        <w:t>α</w:t>
      </w:r>
      <w:r>
        <w:rPr>
          <w:lang w:val="en-US"/>
        </w:rPr>
        <w:t>5</w:t>
      </w:r>
      <w:r>
        <w:t>β</w:t>
      </w:r>
      <w:r>
        <w:rPr>
          <w:lang w:val="en-US"/>
        </w:rPr>
        <w:t>1</w:t>
      </w:r>
      <w:r>
        <w:rPr>
          <w:sz w:val="22"/>
          <w:szCs w:val="22"/>
          <w:lang w:val="en-US"/>
        </w:rPr>
        <w:t xml:space="preserve"> is known to play an important role in the osteogenesis of mesenchymal stem cells</w:t>
      </w:r>
      <w:r w:rsidR="00957970">
        <w:rPr>
          <w:sz w:val="22"/>
          <w:szCs w:val="22"/>
          <w:lang w:val="en-US"/>
        </w:rPr>
        <w:t xml:space="preserve"> </w:t>
      </w:r>
      <w:r w:rsidR="00957970" w:rsidRPr="0072377F">
        <w:rPr>
          <w:color w:val="auto"/>
          <w:sz w:val="22"/>
          <w:szCs w:val="22"/>
          <w:lang w:val="en-US"/>
        </w:rPr>
        <w:fldChar w:fldCharType="begin" w:fldLock="1"/>
      </w:r>
      <w:r w:rsidR="00296F38">
        <w:rPr>
          <w:color w:val="auto"/>
          <w:sz w:val="22"/>
          <w:szCs w:val="22"/>
          <w:lang w:val="en-US"/>
        </w:rPr>
        <w:instrText>ADDIN CSL_CITATION { "citationItems" : [ { "id" : "ITEM-1", "itemData" : { "DOI" : "10.1073/pnas.0812334106", "ISSN" : "0027-8424", "PMID" : "19843692", "abstract" : "Adult human mesenchymal stromal cells (hMSCs) have the potential to differentiate into chondrogenic, adipogenic, or osteogenic lineages, providing a potential source for tissue regeneration. An important issue for efficient bone regeneration is to identify factors that can be targeted to promote the osteogenic potential of hMSCs. Using transcriptome analysis, we found that integrin alpha5 (ITGA5) expression is up-regulated during dexamethasone-induced osteoblast differentiation of hMSCs. Gain-of-function studies showed that ITGA5 promotes the expression of osteoblast phenotypic markers and in vitro osteogenesis of hMSCs. Down-regulation of endogenous ITGA5 using specific shRNAs blunted osteoblast marker gene expression and osteogenic differentiation. Molecular analyses showed that the enhanced osteoblast differentiation induced by ITGA5 was mediated by activation of focal adhesion kinase/ERK1/2-MAPKs and PI3K signaling pathways. Remarkably, activation of endogenous ITGA5 using agonists such as a specific antibody that primes the integrin or a peptide that specifically activates ITGA5 was sufficient to enhance ERK1/2-MAPKs and PI3K signaling and to promote osteoblast differentiation and osteogenic capacity of hMSCs. Importantly, we demonstrated that hMSCs engineered to overexpress ITGA5 exhibited a marked increase in their osteogenic potential in vivo. Taken together, these findings not only reveal that ITGA5 is required for osteoblast differentiation of adult hMSCs but also provide a targeted strategy using ITGA5 agonists to promote the osteogenic capacity of hMSCs. This may be used for tissue regeneration in bone disorders where the recruitment or capacity of hMSCs is compromised.", "author" : [ { "dropping-particle" : "", "family" : "Hamidouche", "given" : "Z.", "non-dropping-particle" : "", "parse-names" : false, "suffix" : "" }, { "dropping-particle" : "", "family" : "Fromigue", "given" : "O.", "non-dropping-particle" : "", "parse-names" : false, "suffix" : "" }, { "dropping-particle" : "", "family" : "Ringe", "given" : "J.", "non-dropping-particle" : "", "parse-names" : false, "suffix" : "" }, { "dropping-particle" : "", "family" : "Haupl", "given" : "T.", "non-dropping-particle" : "", "parse-names" : false, "suffix" : "" }, { "dropping-particle" : "", "family" : "Vaudin", "given" : "P.", "non-dropping-particle" : "", "parse-names" : false, "suffix" : "" }, { "dropping-particle" : "", "family" : "Pages", "given" : "J.-C.", "non-dropping-particle" : "", "parse-names" : false, "suffix" : "" }, { "dropping-particle" : "", "family" : "Srouji", "given" : "S.", "non-dropping-particle" : "", "parse-names" : false, "suffix" : "" }, { "dropping-particle" : "", "family" : "Livne", "given" : "E.", "non-dropping-particle" : "", "parse-names" : false, "suffix" : "" }, { "dropping-particle" : "", "family" : "Marie", "given" : "P. J.", "non-dropping-particle" : "", "parse-names" : false, "suffix" : "" } ], "container-title" : "Proceedings of the National Academy of Sciences", "id" : "ITEM-1", "issue" : "44", "issued" : { "date-parts" : [ [ "2009", "11", "3" ] ] }, "page" : "18587-18591", "title" : "Priming integrin \u00a05 promotes human mesenchymal stromal cell osteoblast differentiation and osteogenesis", "type" : "article-journal", "volume" : "106" }, "uris" : [ "http://www.mendeley.com/documents/?uuid=d071a702-c333-3ee3-adc6-3cba4ff2d155", "http://www.mendeley.com/documents/?uuid=ffd48470-662f-49a6-9b9d-6ffa30bdab19" ] }, { "id" : "ITEM-2", "itemData" : { "DOI" : "10.1016/j.yexcr.2006.10.021", "ISSN" : "00144827", "PMID" : "17123509", "abstract" : "The mechanisms underlying the altered osteoblastogenesis and bone loss in response to disuse are incompletely understood. Using the rat tail suspension model, we studied the effect of skeletal unloading on osteoblast and osteocyte apoptosis. Tail suspension for 2 to 7 days decreased tibial bone mass and induced early apoptotic loss of osteoblasts and delayed apoptotic loss of osteocytes. Surrenal gland weight and plasma corticosterone levels did not differ in loaded and unloaded rats at any time point, indicating that osteoblast/osteocyte apoptosis occurred independently of endogenous glucocorticoids. The mechanistic basis for the disuse-induced osteoblast/osteocyte apoptosis was examined. We found that alpha5beta1 integrin and phosphorylated phosphatidyl-inositol-3 kinase (p-PI3K) protein levels were transiently decreased in unloaded metaphyseal long bone compared to loaded bones. In contrast, p-FAK and p-ERK p42/44 levels were not significantly altered. Interestingly, the reduced p-PI3K levels in unloaded long bone was associated with decreased levels of the survival protein Bcl-2 with unaltered Bax levels, causing increased Bax/Bcl-2 levels. The results indicate that skeletal unloading in rats induces a glucocorticoid-independent, immediate increase in osteoblast apoptosis associated with decreased alpha5beta1-PI3K-Bcl-2 survival pathway in rat bone, which may contribute to the altered osteoblastogenesis and osteopenia induced by unloading.", "author" : [ { "dropping-particle" : "", "family" : "Dufour", "given" : "C.", "non-dropping-particle" : "", "parse-names" : false, "suffix" : "" }, { "dropping-particle" : "", "family" : "Holy", "given" : "X.", "non-dropping-particle" : "", "parse-names" : false, "suffix" : "" }, { "dropping-particle" : "", "family" : "Marie", "given" : "P.J.", "non-dropping-particle" : "", "parse-names" : false, "suffix" : "" } ], "container-title" : "Experimental Cell Research", "id" : "ITEM-2", "issue" : "2", "issued" : { "date-parts" : [ [ "2007", "1", "15" ] ] }, "page" : "394-403", "title" : "Skeletal unloading induces osteoblast apoptosis and targets \u03b15\u03b21-PI3K-Bcl-2 signaling in rat bone", "type" : "article-journal", "volume" : "313" }, "uris" : [ "http://www.mendeley.com/documents/?uuid=a3b1e125-97fe-374a-8b79-71a3dd03a552" ] } ], "mendeley" : { "formattedCitation" : "[21,22]", "plainTextFormattedCitation" : "[21,22]", "previouslyFormattedCitation" : "[21,22]" }, "properties" : {  }, "schema" : "https://github.com/citation-style-language/schema/raw/master/csl-citation.json" }</w:instrText>
      </w:r>
      <w:r w:rsidR="00957970" w:rsidRPr="0072377F">
        <w:rPr>
          <w:color w:val="auto"/>
          <w:sz w:val="22"/>
          <w:szCs w:val="22"/>
          <w:lang w:val="en-US"/>
        </w:rPr>
        <w:fldChar w:fldCharType="separate"/>
      </w:r>
      <w:r w:rsidR="00FB577C" w:rsidRPr="00FB577C">
        <w:rPr>
          <w:noProof/>
          <w:color w:val="auto"/>
          <w:sz w:val="22"/>
          <w:szCs w:val="22"/>
          <w:lang w:val="en-US"/>
        </w:rPr>
        <w:t>[21,22]</w:t>
      </w:r>
      <w:r w:rsidR="00957970" w:rsidRPr="0072377F">
        <w:rPr>
          <w:color w:val="auto"/>
          <w:sz w:val="22"/>
          <w:szCs w:val="22"/>
          <w:lang w:val="en-US"/>
        </w:rPr>
        <w:fldChar w:fldCharType="end"/>
      </w:r>
      <w:r w:rsidRPr="0072377F">
        <w:rPr>
          <w:color w:val="auto"/>
          <w:sz w:val="22"/>
          <w:szCs w:val="22"/>
          <w:lang w:val="en-US"/>
        </w:rPr>
        <w:t xml:space="preserve">. </w:t>
      </w:r>
      <w:r>
        <w:rPr>
          <w:sz w:val="22"/>
          <w:szCs w:val="22"/>
          <w:lang w:val="en-US"/>
        </w:rPr>
        <w:t xml:space="preserve">Recently, an </w:t>
      </w:r>
      <w:r>
        <w:t>α</w:t>
      </w:r>
      <w:r>
        <w:rPr>
          <w:lang w:val="en-US"/>
        </w:rPr>
        <w:t>5</w:t>
      </w:r>
      <w:r>
        <w:t>β</w:t>
      </w:r>
      <w:r>
        <w:rPr>
          <w:lang w:val="en-US"/>
        </w:rPr>
        <w:t>1-selective peptidomimetic molecule was developed and successfully applied to titanium surfaces enhancing the adhesion of mesenchymal stem cells</w:t>
      </w:r>
      <w:r w:rsidR="00957970">
        <w:rPr>
          <w:lang w:val="en-US"/>
        </w:rPr>
        <w:t xml:space="preserve"> </w:t>
      </w:r>
      <w:r w:rsidR="00957970">
        <w:rPr>
          <w:lang w:val="en-US"/>
        </w:rPr>
        <w:fldChar w:fldCharType="begin" w:fldLock="1"/>
      </w:r>
      <w:r w:rsidR="00296F38">
        <w:rPr>
          <w:lang w:val="en-US"/>
        </w:rPr>
        <w:instrText>ADDIN CSL_CITATION { "citationItems" : [ { "id" : "ITEM-1", "itemData" : { "DOI" : "10.1038/s41598-017-16385-3", "ISSN" : "2045-2322", "PMID" : "29180787", "abstract" : "Engineering the interface between biomaterials and tissues is important to increase implant lifetime and avoid failures and revision surgeries. Permanent devices should enhance attachment and differentiation of stem cells, responsible for injured tissue repair, and simultaneously discourage bacterial colonization; this represents a major challenge. To take first steps towards such a multifunctional surface we propose merging topographical and biochemical cues on the surface of a clinically relevant material such as titanium. In detail, our strategy combines antibacterial nanotopographical features with integrin selective synthetic ligands that can rescue the adhesive capacity of the surfaces and instruct mesenchymal stem cell (MSC) response. To this end, a smooth substrate and two different high aspect ratio topographies have been produced and coated either with an \u03b1v\u03b23-selective peptidomimetic, an \u03b15\u03b21-selective peptidomimetic, or an RGD/PHSRN peptidic molecule. Results showed that antibacterial effects of the substrates could be maintained when tested on pathogenic Pseudomonas aeruginosa. Further, functionalization increased MSC adhesion to the surfaces and the \u03b1v\u03b23-selective peptidomimetic-coated nanotopographies promoted osteogenesis. Such a dual physicochemical approach to achieve multifunctional surfaces represents a first step in the design of novel cell-instructive biomaterial surfaces.", "author" : [ { "dropping-particle" : "", "family" : "Fraioli", "given" : "Roberta", "non-dropping-particle" : "", "parse-names" : false, "suffix" : "" }, { "dropping-particle" : "", "family" : "Tsimbouri", "given" : "Penelope M", "non-dropping-particle" : "", "parse-names" : false, "suffix" : "" }, { "dropping-particle" : "", "family" : "Fisher", "given" : "Leanne E", "non-dropping-particle" : "", "parse-names" : false, "suffix" : "" }, { "dropping-particle" : "", "family" : "Nobbs", "given" : "Angela H", "non-dropping-particle" : "", "parse-names" : false, "suffix" : "" }, { "dropping-particle" : "", "family" : "Su", "given" : "Bo", "non-dropping-particle" : "", "parse-names" : false, "suffix" : "" }, { "dropping-particle" : "", "family" : "Neubauer", "given" : "Stefanie", "non-dropping-particle" : "", "parse-names" : false, "suffix" : "" }, { "dropping-particle" : "", "family" : "Rechenmacher", "given" : "Florian", "non-dropping-particle" : "", "parse-names" : false, "suffix" : "" }, { "dropping-particle" : "", "family" : "Kessler", "given" : "Horst", "non-dropping-particle" : "", "parse-names" : false, "suffix" : "" }, { "dropping-particle" : "", "family" : "Ginebra", "given" : "Maria-Pau", "non-dropping-particle" : "", "parse-names" : false, "suffix" : "" }, { "dropping-particle" : "", "family" : "Dalby", "given" : "Matthew J", "non-dropping-particle" : "", "parse-names" : false, "suffix" : "" }, { "dropping-particle" : "", "family" : "Manero", "given" : "Jos\u00e9 M", "non-dropping-particle" : "", "parse-names" : false, "suffix" : "" }, { "dropping-particle" : "", "family" : "Mas-Moruno", "given" : "Carlos", "non-dropping-particle" : "", "parse-names" : false, "suffix" : "" } ], "container-title" : "Scientific reports", "id" : "ITEM-1", "issue" : "1", "issued" : { "date-parts" : [ [ "2017" ] ] }, "page" : "16363", "publisher" : "Nature Publishing Group", "title" : "Towards the cell-instructive bactericidal substrate: exploring the combination of nanotopographical features and integrin selective synthetic ligands.", "type" : "article-journal", "volume" : "7" }, "uris" : [ "http://www.mendeley.com/documents/?uuid=8877b343-51b6-3e30-a227-ce1a26dcf828" ] } ], "mendeley" : { "formattedCitation" : "[23]", "plainTextFormattedCitation" : "[23]", "previouslyFormattedCitation" : "[23]" }, "properties" : {  }, "schema" : "https://github.com/citation-style-language/schema/raw/master/csl-citation.json" }</w:instrText>
      </w:r>
      <w:r w:rsidR="00957970">
        <w:rPr>
          <w:lang w:val="en-US"/>
        </w:rPr>
        <w:fldChar w:fldCharType="separate"/>
      </w:r>
      <w:r w:rsidR="00FB577C" w:rsidRPr="00FB577C">
        <w:rPr>
          <w:noProof/>
          <w:lang w:val="en-US"/>
        </w:rPr>
        <w:t>[23]</w:t>
      </w:r>
      <w:r w:rsidR="00957970">
        <w:rPr>
          <w:lang w:val="en-US"/>
        </w:rPr>
        <w:fldChar w:fldCharType="end"/>
      </w:r>
      <w:r>
        <w:rPr>
          <w:lang w:val="en-US"/>
        </w:rPr>
        <w:t xml:space="preserve">. Even more interestingly, </w:t>
      </w:r>
      <w:r w:rsidR="00E31108">
        <w:rPr>
          <w:lang w:val="en-US"/>
        </w:rPr>
        <w:t>it was demonstrated that</w:t>
      </w:r>
      <w:r w:rsidR="00E31108" w:rsidRPr="005E6AFE">
        <w:rPr>
          <w:sz w:val="22"/>
          <w:szCs w:val="22"/>
          <w:lang w:val="en-US"/>
        </w:rPr>
        <w:t xml:space="preserve"> </w:t>
      </w:r>
      <w:proofErr w:type="spellStart"/>
      <w:r w:rsidR="00E31108" w:rsidRPr="005E6AFE">
        <w:rPr>
          <w:sz w:val="22"/>
          <w:szCs w:val="22"/>
          <w:lang w:val="en-US"/>
        </w:rPr>
        <w:t>TRPV4</w:t>
      </w:r>
      <w:proofErr w:type="spellEnd"/>
      <w:r w:rsidR="00E31108" w:rsidRPr="005E6AFE">
        <w:rPr>
          <w:sz w:val="22"/>
          <w:szCs w:val="22"/>
          <w:lang w:val="en-US"/>
        </w:rPr>
        <w:t xml:space="preserve"> is responsible for β1 integrin activation in response to mechanical strain </w:t>
      </w:r>
      <w:r w:rsidR="00E31108">
        <w:rPr>
          <w:sz w:val="22"/>
          <w:szCs w:val="22"/>
          <w:lang w:val="en-US"/>
        </w:rPr>
        <w:t xml:space="preserve">application </w:t>
      </w:r>
      <w:r w:rsidR="00E31108">
        <w:rPr>
          <w:sz w:val="22"/>
          <w:szCs w:val="22"/>
          <w:lang w:val="en-US"/>
        </w:rPr>
        <w:fldChar w:fldCharType="begin" w:fldLock="1"/>
      </w:r>
      <w:r w:rsidR="00296F38">
        <w:rPr>
          <w:sz w:val="22"/>
          <w:szCs w:val="22"/>
          <w:lang w:val="en-US"/>
        </w:rPr>
        <w:instrText>ADDIN CSL_CITATION { "citationItems" : [ { "id" : "ITEM-1", "itemData" : { "DOI" : "10.1161/CIRCRESAHA.108.192930", "ISSN" : "0009-7330", "PMID" : "19359599", "abstract" : "Cyclic mechanical strain produced by pulsatile blood flow regulates the orientation of endothelial cells lining blood vessels and influences critical processes such as angiogenesis. Mechanical stimulation of stretch-activated calcium channels is known to mediate this reorientation response; however, the molecular basis remains unknown. Here, we show that cyclically stretching capillary endothelial cells adherent to flexible extracellular matrix substrates activates mechanosensitive TRPV4 (transient receptor potential vanilloid 4) ion channels that, in turn, stimulate phosphatidylinositol 3-kinase-dependent activation and binding of additional beta1 integrin receptors, which promotes cytoskeletal remodeling and cell reorientation. Inhibition of integrin activation using blocking antibodies and knock down of TRPV4 channels using specific small interfering RNA suppress strain-induced capillary cell reorientation. Thus, mechanical forces that physically deform extracellular matrix may guide capillary cell reorientation through a strain-dependent \"integrin-to-integrin\" signaling mechanism mediated by force-induced activation of mechanically gated TRPV4 ion channels on the cell surface.", "author" : [ { "dropping-particle" : "", "family" : "Thodeti", "given" : "Charles K.", "non-dropping-particle" : "", "parse-names" : false, "suffix" : "" }, { "dropping-particle" : "", "family" : "Matthews", "given" : "Benjamin", "non-dropping-particle" : "", "parse-names" : false, "suffix" : "" }, { "dropping-particle" : "", "family" : "Ravi", "given" : "Arvind", "non-dropping-particle" : "", "parse-names" : false, "suffix" : "" }, { "dropping-particle" : "", "family" : "Mammoto", "given" : "Akiko", "non-dropping-particle" : "", "parse-names" : false, "suffix" : "" }, { "dropping-particle" : "", "family" : "Ghosh", "given" : "Kaustabh", "non-dropping-particle" : "", "parse-names" : false, "suffix" : "" }, { "dropping-particle" : "", "family" : "Bracha", "given" : "Abigail L.", "non-dropping-particle" : "", "parse-names" : false, "suffix" : "" }, { "dropping-particle" : "", "family" : "Ingber", "given" : "Donald E.", "non-dropping-particle" : "", "parse-names" : false, "suffix" : "" } ], "container-title" : "Circulation Research", "id" : "ITEM-1", "issue" : "9", "issued" : { "date-parts" : [ [ "2009", "5", "8" ] ] }, "page" : "1123-1130", "title" : "TRPV4 Channels Mediate Cyclic Strain\u2013Induced Endothelial Cell Reorientation Through Integrin-to-Integrin Signaling", "type" : "article-journal", "volume" : "104" }, "uris" : [ "http://www.mendeley.com/documents/?uuid=5fca1af0-55df-4465-b78d-5d65dfa155c4" ] } ], "mendeley" : { "formattedCitation" : "[24]", "plainTextFormattedCitation" : "[24]", "previouslyFormattedCitation" : "[24]" }, "properties" : {  }, "schema" : "https://github.com/citation-style-language/schema/raw/master/csl-citation.json" }</w:instrText>
      </w:r>
      <w:r w:rsidR="00E31108">
        <w:rPr>
          <w:sz w:val="22"/>
          <w:szCs w:val="22"/>
          <w:lang w:val="en-US"/>
        </w:rPr>
        <w:fldChar w:fldCharType="separate"/>
      </w:r>
      <w:r w:rsidR="00FB577C" w:rsidRPr="00FB577C">
        <w:rPr>
          <w:noProof/>
          <w:sz w:val="22"/>
          <w:szCs w:val="22"/>
          <w:lang w:val="en-US"/>
        </w:rPr>
        <w:t>[24]</w:t>
      </w:r>
      <w:r w:rsidR="00E31108">
        <w:rPr>
          <w:sz w:val="22"/>
          <w:szCs w:val="22"/>
          <w:lang w:val="en-US"/>
        </w:rPr>
        <w:fldChar w:fldCharType="end"/>
      </w:r>
      <w:r w:rsidR="00957970" w:rsidRPr="00E31108">
        <w:rPr>
          <w:lang w:val="en-US"/>
        </w:rPr>
        <w:t>.</w:t>
      </w:r>
    </w:p>
    <w:p w14:paraId="061C0F4F" w14:textId="1E3068A8" w:rsidR="00E2412D" w:rsidRPr="00E31108" w:rsidRDefault="00673E5C">
      <w:pPr>
        <w:pStyle w:val="BodyB"/>
        <w:keepNext w:val="0"/>
        <w:widowControl w:val="0"/>
        <w:suppressAutoHyphens w:val="0"/>
        <w:spacing w:line="480" w:lineRule="auto"/>
        <w:jc w:val="both"/>
        <w:rPr>
          <w:lang w:val="en-US"/>
        </w:rPr>
      </w:pPr>
      <w:r w:rsidRPr="00AA0CF7">
        <w:rPr>
          <w:lang w:val="en-US"/>
        </w:rPr>
        <w:t xml:space="preserve">Based on these premises, the present paper </w:t>
      </w:r>
      <w:r w:rsidRPr="00E31108">
        <w:rPr>
          <w:lang w:val="en-US"/>
        </w:rPr>
        <w:t xml:space="preserve">aimed to assess how the conventional subtractive surface modifications, through their own physical and chemical features, are capable to affect cell adhesion. </w:t>
      </w:r>
      <w:r w:rsidRPr="00E31108">
        <w:rPr>
          <w:lang w:val="en-US"/>
        </w:rPr>
        <w:lastRenderedPageBreak/>
        <w:t xml:space="preserve">Thus, four different subtractive treatments were compared: machined surfaces as milled, grit blasted, acid etched, as well as large grit blasted and subsequently acid etched. A series of physical and chemical assays </w:t>
      </w:r>
      <w:r w:rsidR="000A29D5">
        <w:rPr>
          <w:lang w:val="en-US"/>
        </w:rPr>
        <w:t xml:space="preserve">were </w:t>
      </w:r>
      <w:r w:rsidRPr="00E31108">
        <w:rPr>
          <w:lang w:val="en-US"/>
        </w:rPr>
        <w:t>implemented to characterize thorough</w:t>
      </w:r>
      <w:r w:rsidR="000A29D5">
        <w:rPr>
          <w:lang w:val="en-US"/>
        </w:rPr>
        <w:t>ly the surfaces prior to executing</w:t>
      </w:r>
      <w:r w:rsidRPr="00E31108">
        <w:rPr>
          <w:lang w:val="en-US"/>
        </w:rPr>
        <w:t xml:space="preserve"> the cellular tests, with murine pre-osteoblasts.</w:t>
      </w:r>
      <w:r w:rsidR="00450E72" w:rsidRPr="00E31108">
        <w:rPr>
          <w:lang w:val="en-US"/>
        </w:rPr>
        <w:t xml:space="preserve"> </w:t>
      </w:r>
      <w:r w:rsidR="00E31108" w:rsidRPr="00E31108">
        <w:rPr>
          <w:lang w:val="en-US"/>
        </w:rPr>
        <w:t>Moreover,</w:t>
      </w:r>
      <w:r w:rsidR="00AA0CF7">
        <w:rPr>
          <w:lang w:val="en-US"/>
        </w:rPr>
        <w:t xml:space="preserve"> </w:t>
      </w:r>
      <w:r w:rsidR="00450E72" w:rsidRPr="00E31108">
        <w:rPr>
          <w:lang w:val="en-US"/>
        </w:rPr>
        <w:t>we show</w:t>
      </w:r>
      <w:r w:rsidR="000A29D5">
        <w:rPr>
          <w:lang w:val="en-US"/>
        </w:rPr>
        <w:t>ed</w:t>
      </w:r>
      <w:r w:rsidR="00450E72" w:rsidRPr="00E31108">
        <w:rPr>
          <w:lang w:val="en-US"/>
        </w:rPr>
        <w:t xml:space="preserve"> that </w:t>
      </w:r>
      <w:proofErr w:type="spellStart"/>
      <w:r w:rsidR="00450E72" w:rsidRPr="00E31108">
        <w:rPr>
          <w:lang w:val="en-US"/>
        </w:rPr>
        <w:t>TRPV4</w:t>
      </w:r>
      <w:proofErr w:type="spellEnd"/>
      <w:r w:rsidR="00450E72" w:rsidRPr="00E31108">
        <w:rPr>
          <w:lang w:val="en-US"/>
        </w:rPr>
        <w:t xml:space="preserve"> is involved in cell adhesion properties of murine pre-osteoblasts to different surfaces analyzed by a mechanism involving </w:t>
      </w:r>
      <w:r w:rsidR="00F642F1" w:rsidRPr="00E31108">
        <w:rPr>
          <w:lang w:val="en-US"/>
        </w:rPr>
        <w:t>β</w:t>
      </w:r>
      <w:r w:rsidR="00450E72" w:rsidRPr="00E31108">
        <w:rPr>
          <w:lang w:val="en-US"/>
        </w:rPr>
        <w:t>1 integ</w:t>
      </w:r>
      <w:r w:rsidR="00AA0CF7">
        <w:rPr>
          <w:lang w:val="en-US"/>
        </w:rPr>
        <w:t>r</w:t>
      </w:r>
      <w:r w:rsidR="00450E72" w:rsidRPr="00E31108">
        <w:rPr>
          <w:lang w:val="en-US"/>
        </w:rPr>
        <w:t>in activation</w:t>
      </w:r>
      <w:r w:rsidR="00B35696" w:rsidRPr="00E31108">
        <w:rPr>
          <w:lang w:val="en-US"/>
        </w:rPr>
        <w:t>.</w:t>
      </w:r>
    </w:p>
    <w:p w14:paraId="7D8406FD" w14:textId="77777777" w:rsidR="00E2412D" w:rsidRDefault="00E2412D">
      <w:pPr>
        <w:pStyle w:val="NormaleWeb"/>
        <w:keepNext w:val="0"/>
        <w:widowControl w:val="0"/>
        <w:suppressAutoHyphens w:val="0"/>
        <w:spacing w:line="480" w:lineRule="auto"/>
        <w:jc w:val="both"/>
        <w:rPr>
          <w:sz w:val="22"/>
          <w:szCs w:val="22"/>
          <w:lang w:val="en-US"/>
        </w:rPr>
      </w:pPr>
    </w:p>
    <w:p w14:paraId="4D0D0814" w14:textId="77777777" w:rsidR="00E2412D" w:rsidRPr="00BE70A7" w:rsidRDefault="00673E5C">
      <w:pPr>
        <w:pStyle w:val="NormaleWeb"/>
        <w:keepNext w:val="0"/>
        <w:widowControl w:val="0"/>
        <w:suppressAutoHyphens w:val="0"/>
        <w:spacing w:line="480" w:lineRule="auto"/>
        <w:jc w:val="both"/>
        <w:rPr>
          <w:rFonts w:ascii="Times New Roman Bold" w:eastAsia="Times New Roman Bold" w:hAnsi="Times New Roman Bold" w:cs="Times New Roman Bold"/>
          <w:b/>
          <w:lang w:val="en-US"/>
        </w:rPr>
      </w:pPr>
      <w:r w:rsidRPr="00BE70A7">
        <w:rPr>
          <w:b/>
          <w:sz w:val="22"/>
          <w:szCs w:val="22"/>
          <w:lang w:val="en-US"/>
        </w:rPr>
        <w:t xml:space="preserve">2. </w:t>
      </w:r>
      <w:r w:rsidRPr="00BE70A7">
        <w:rPr>
          <w:rFonts w:ascii="Times New Roman Bold"/>
          <w:b/>
          <w:sz w:val="22"/>
          <w:szCs w:val="22"/>
          <w:lang w:val="en-US"/>
        </w:rPr>
        <w:t>Material and methods</w:t>
      </w:r>
    </w:p>
    <w:p w14:paraId="07FBBDF6" w14:textId="77777777" w:rsidR="00E2412D" w:rsidRDefault="00673E5C">
      <w:pPr>
        <w:pStyle w:val="BodyB"/>
        <w:keepNext w:val="0"/>
        <w:widowControl w:val="0"/>
        <w:suppressAutoHyphens w:val="0"/>
        <w:spacing w:line="480" w:lineRule="auto"/>
        <w:jc w:val="both"/>
        <w:rPr>
          <w:b/>
          <w:bCs/>
          <w:i/>
          <w:iCs/>
          <w:sz w:val="22"/>
          <w:szCs w:val="22"/>
          <w:lang w:val="en-US"/>
        </w:rPr>
      </w:pPr>
      <w:r>
        <w:rPr>
          <w:b/>
          <w:bCs/>
          <w:i/>
          <w:iCs/>
          <w:sz w:val="22"/>
          <w:szCs w:val="22"/>
          <w:lang w:val="en-US"/>
        </w:rPr>
        <w:t xml:space="preserve"> 2.1 Sample preparation</w:t>
      </w:r>
    </w:p>
    <w:p w14:paraId="5FB33FE9" w14:textId="77777777" w:rsidR="00E2412D" w:rsidRDefault="00673E5C">
      <w:pPr>
        <w:pStyle w:val="BodyA"/>
        <w:keepNext w:val="0"/>
        <w:widowControl w:val="0"/>
        <w:suppressAutoHyphens w:val="0"/>
        <w:spacing w:line="480" w:lineRule="auto"/>
        <w:jc w:val="both"/>
        <w:rPr>
          <w:sz w:val="22"/>
          <w:szCs w:val="22"/>
        </w:rPr>
      </w:pPr>
      <w:r>
        <w:rPr>
          <w:sz w:val="22"/>
          <w:szCs w:val="22"/>
        </w:rPr>
        <w:t>Commercially pure titanium (</w:t>
      </w:r>
      <w:proofErr w:type="spellStart"/>
      <w:r>
        <w:rPr>
          <w:sz w:val="22"/>
          <w:szCs w:val="22"/>
        </w:rPr>
        <w:t>cpTi</w:t>
      </w:r>
      <w:proofErr w:type="spellEnd"/>
      <w:r>
        <w:rPr>
          <w:sz w:val="22"/>
          <w:szCs w:val="22"/>
        </w:rPr>
        <w:t xml:space="preserve">) samples were machined to obtain 8 mm </w:t>
      </w:r>
      <w:r>
        <w:rPr>
          <w:rFonts w:hAnsi="Times New Roman"/>
          <w:sz w:val="22"/>
          <w:szCs w:val="22"/>
        </w:rPr>
        <w:t xml:space="preserve">× </w:t>
      </w:r>
      <w:r>
        <w:rPr>
          <w:sz w:val="22"/>
          <w:szCs w:val="22"/>
        </w:rPr>
        <w:t>3 mm cylinders (</w:t>
      </w:r>
      <w:proofErr w:type="spellStart"/>
      <w:r>
        <w:rPr>
          <w:sz w:val="22"/>
          <w:szCs w:val="22"/>
        </w:rPr>
        <w:t>2r</w:t>
      </w:r>
      <w:proofErr w:type="spellEnd"/>
      <w:r>
        <w:rPr>
          <w:sz w:val="22"/>
          <w:szCs w:val="22"/>
        </w:rPr>
        <w:t xml:space="preserve"> </w:t>
      </w:r>
      <w:r>
        <w:rPr>
          <w:rFonts w:hAnsi="Times New Roman"/>
          <w:sz w:val="22"/>
          <w:szCs w:val="22"/>
        </w:rPr>
        <w:t xml:space="preserve">× </w:t>
      </w:r>
      <w:r>
        <w:rPr>
          <w:sz w:val="22"/>
          <w:szCs w:val="22"/>
        </w:rPr>
        <w:t>h) (</w:t>
      </w:r>
      <w:proofErr w:type="spellStart"/>
      <w:r>
        <w:rPr>
          <w:sz w:val="22"/>
          <w:szCs w:val="22"/>
        </w:rPr>
        <w:t>Titanmed</w:t>
      </w:r>
      <w:proofErr w:type="spellEnd"/>
      <w:r>
        <w:rPr>
          <w:sz w:val="22"/>
          <w:szCs w:val="22"/>
        </w:rPr>
        <w:t xml:space="preserve"> </w:t>
      </w:r>
      <w:proofErr w:type="spellStart"/>
      <w:r>
        <w:rPr>
          <w:sz w:val="22"/>
          <w:szCs w:val="22"/>
        </w:rPr>
        <w:t>s.r.l</w:t>
      </w:r>
      <w:proofErr w:type="spellEnd"/>
      <w:r>
        <w:rPr>
          <w:sz w:val="22"/>
          <w:szCs w:val="22"/>
        </w:rPr>
        <w:t>., Milan, Italy). Four different surfaces were prepared: a) machined surfaces as milled (MAC); b) grit blasted (alumina particles in the size range 70</w:t>
      </w:r>
      <w:r>
        <w:rPr>
          <w:rFonts w:hAnsi="Times New Roman"/>
          <w:sz w:val="22"/>
          <w:szCs w:val="22"/>
        </w:rPr>
        <w:t>–</w:t>
      </w:r>
      <w:r>
        <w:rPr>
          <w:sz w:val="22"/>
          <w:szCs w:val="22"/>
        </w:rPr>
        <w:t xml:space="preserve">130 </w:t>
      </w:r>
      <w:proofErr w:type="spellStart"/>
      <w:r>
        <w:rPr>
          <w:rFonts w:hAnsi="Times New Roman"/>
          <w:sz w:val="22"/>
          <w:szCs w:val="22"/>
        </w:rPr>
        <w:t>μ</w:t>
      </w:r>
      <w:r>
        <w:rPr>
          <w:sz w:val="22"/>
          <w:szCs w:val="22"/>
        </w:rPr>
        <w:t>m</w:t>
      </w:r>
      <w:proofErr w:type="spellEnd"/>
      <w:r>
        <w:rPr>
          <w:sz w:val="22"/>
          <w:szCs w:val="22"/>
        </w:rPr>
        <w:t>) surfaces (GB) c) acid etched surfaces treated with hydrofluoric acid and hydrochloric/sulfuric acid mixtures (AE), d) large grit blasted surfaces (alumina particles in the size range 250</w:t>
      </w:r>
      <w:r>
        <w:rPr>
          <w:rFonts w:hAnsi="Times New Roman"/>
          <w:sz w:val="22"/>
          <w:szCs w:val="22"/>
        </w:rPr>
        <w:t>–</w:t>
      </w:r>
      <w:r>
        <w:rPr>
          <w:sz w:val="22"/>
          <w:szCs w:val="22"/>
        </w:rPr>
        <w:t xml:space="preserve">400 </w:t>
      </w:r>
      <w:proofErr w:type="spellStart"/>
      <w:r>
        <w:rPr>
          <w:rFonts w:hAnsi="Times New Roman"/>
          <w:sz w:val="22"/>
          <w:szCs w:val="22"/>
        </w:rPr>
        <w:t>μ</w:t>
      </w:r>
      <w:r>
        <w:rPr>
          <w:sz w:val="22"/>
          <w:szCs w:val="22"/>
        </w:rPr>
        <w:t>m</w:t>
      </w:r>
      <w:proofErr w:type="spellEnd"/>
      <w:r>
        <w:rPr>
          <w:sz w:val="22"/>
          <w:szCs w:val="22"/>
        </w:rPr>
        <w:t>) treated with hydrofluoric acid and hydrochloric/sulfuric acid mixtures (</w:t>
      </w:r>
      <w:proofErr w:type="spellStart"/>
      <w:r>
        <w:rPr>
          <w:sz w:val="22"/>
          <w:szCs w:val="22"/>
        </w:rPr>
        <w:t>GBAE</w:t>
      </w:r>
      <w:proofErr w:type="spellEnd"/>
      <w:r>
        <w:rPr>
          <w:sz w:val="22"/>
          <w:szCs w:val="22"/>
        </w:rPr>
        <w:t xml:space="preserve">). All the samples were cleaned in an acetone ultrasonic bath for 10 min, immersed in isopropanol for 10 min, then rinsed in deionized water and finally dried by blowing them with dry nitrogen gas. A representative number of samples underwent physical and chemical characterization prior to undergoing the biological experiments.  </w:t>
      </w:r>
    </w:p>
    <w:p w14:paraId="7AA7BAA9" w14:textId="77777777" w:rsidR="00E2412D" w:rsidRDefault="00E2412D">
      <w:pPr>
        <w:pStyle w:val="BodyA"/>
        <w:keepNext w:val="0"/>
        <w:widowControl w:val="0"/>
        <w:suppressAutoHyphens w:val="0"/>
        <w:spacing w:line="480" w:lineRule="auto"/>
        <w:jc w:val="both"/>
        <w:rPr>
          <w:sz w:val="22"/>
          <w:szCs w:val="22"/>
        </w:rPr>
      </w:pPr>
    </w:p>
    <w:p w14:paraId="0FB0F09D" w14:textId="77777777" w:rsidR="00E2412D" w:rsidRDefault="00673E5C">
      <w:pPr>
        <w:pStyle w:val="BodyB"/>
        <w:keepNext w:val="0"/>
        <w:widowControl w:val="0"/>
        <w:suppressAutoHyphens w:val="0"/>
        <w:spacing w:line="480" w:lineRule="auto"/>
        <w:jc w:val="both"/>
        <w:rPr>
          <w:b/>
          <w:bCs/>
          <w:i/>
          <w:iCs/>
          <w:sz w:val="22"/>
          <w:szCs w:val="22"/>
          <w:lang w:val="en-US"/>
        </w:rPr>
      </w:pPr>
      <w:r w:rsidRPr="00BE70A7">
        <w:rPr>
          <w:sz w:val="22"/>
          <w:szCs w:val="22"/>
          <w:lang w:val="en-GB"/>
        </w:rPr>
        <w:t xml:space="preserve">2.2 </w:t>
      </w:r>
      <w:r>
        <w:rPr>
          <w:b/>
          <w:bCs/>
          <w:i/>
          <w:iCs/>
          <w:sz w:val="22"/>
          <w:szCs w:val="22"/>
          <w:lang w:val="en-US"/>
        </w:rPr>
        <w:t>Microscopy</w:t>
      </w:r>
    </w:p>
    <w:p w14:paraId="120B7D65" w14:textId="583C45E2" w:rsidR="00E2412D" w:rsidRDefault="00673E5C">
      <w:pPr>
        <w:pStyle w:val="BodyB"/>
        <w:keepNext w:val="0"/>
        <w:widowControl w:val="0"/>
        <w:suppressAutoHyphens w:val="0"/>
        <w:spacing w:line="480" w:lineRule="auto"/>
        <w:jc w:val="both"/>
        <w:rPr>
          <w:sz w:val="22"/>
          <w:szCs w:val="22"/>
          <w:lang w:val="en-US"/>
        </w:rPr>
      </w:pPr>
      <w:r>
        <w:rPr>
          <w:sz w:val="22"/>
          <w:szCs w:val="22"/>
          <w:lang w:val="en-US"/>
        </w:rPr>
        <w:t>Microstructure was studied by means of a Scanning Electron Microscope (Zeiss SUPRA 40, Carl</w:t>
      </w:r>
      <w:r w:rsidR="003E6A3D">
        <w:rPr>
          <w:sz w:val="22"/>
          <w:szCs w:val="22"/>
          <w:lang w:val="en-US"/>
        </w:rPr>
        <w:t xml:space="preserve"> Zeiss AG, </w:t>
      </w:r>
      <w:proofErr w:type="spellStart"/>
      <w:r w:rsidR="003E6A3D">
        <w:rPr>
          <w:sz w:val="22"/>
          <w:szCs w:val="22"/>
          <w:lang w:val="en-US"/>
        </w:rPr>
        <w:t>Oberkochen</w:t>
      </w:r>
      <w:proofErr w:type="spellEnd"/>
      <w:r w:rsidR="003E6A3D">
        <w:rPr>
          <w:sz w:val="22"/>
          <w:szCs w:val="22"/>
          <w:lang w:val="en-US"/>
        </w:rPr>
        <w:t>, Germany)</w:t>
      </w:r>
      <w:r>
        <w:rPr>
          <w:sz w:val="22"/>
          <w:szCs w:val="22"/>
          <w:lang w:val="en-US"/>
        </w:rPr>
        <w:t>. Before examination, the samples were: a) washed in distilled water; b) rinsed thoroughly in 70% ethanol water solution; c) cleaned ultrasonically in absolute ethanol for 20 minutes and d) air dried under a chemical hood.</w:t>
      </w:r>
    </w:p>
    <w:p w14:paraId="5DD654AC" w14:textId="77777777" w:rsidR="00E2412D" w:rsidRDefault="00E2412D">
      <w:pPr>
        <w:pStyle w:val="BodyB"/>
        <w:keepNext w:val="0"/>
        <w:widowControl w:val="0"/>
        <w:suppressAutoHyphens w:val="0"/>
        <w:spacing w:line="480" w:lineRule="auto"/>
        <w:jc w:val="both"/>
        <w:rPr>
          <w:sz w:val="22"/>
          <w:szCs w:val="22"/>
          <w:lang w:val="en-US"/>
        </w:rPr>
      </w:pPr>
    </w:p>
    <w:p w14:paraId="027B212E" w14:textId="77777777" w:rsidR="00E2412D" w:rsidRDefault="00673E5C">
      <w:pPr>
        <w:pStyle w:val="BodyB"/>
        <w:keepNext w:val="0"/>
        <w:widowControl w:val="0"/>
        <w:suppressAutoHyphens w:val="0"/>
        <w:spacing w:line="480" w:lineRule="auto"/>
        <w:jc w:val="both"/>
        <w:rPr>
          <w:b/>
          <w:bCs/>
          <w:i/>
          <w:iCs/>
          <w:sz w:val="22"/>
          <w:szCs w:val="22"/>
          <w:lang w:val="en-US"/>
        </w:rPr>
      </w:pPr>
      <w:r>
        <w:rPr>
          <w:sz w:val="22"/>
          <w:szCs w:val="22"/>
          <w:lang w:val="en-US"/>
        </w:rPr>
        <w:t xml:space="preserve">2.3 </w:t>
      </w:r>
      <w:r>
        <w:rPr>
          <w:b/>
          <w:bCs/>
          <w:i/>
          <w:iCs/>
          <w:sz w:val="22"/>
          <w:szCs w:val="22"/>
          <w:lang w:val="en-US"/>
        </w:rPr>
        <w:t xml:space="preserve">Roughness </w:t>
      </w:r>
    </w:p>
    <w:p w14:paraId="53B4F9A3" w14:textId="31499194" w:rsidR="00E2412D" w:rsidRDefault="00673E5C">
      <w:pPr>
        <w:pStyle w:val="BodyB"/>
        <w:keepNext w:val="0"/>
        <w:widowControl w:val="0"/>
        <w:suppressAutoHyphens w:val="0"/>
        <w:spacing w:line="480" w:lineRule="auto"/>
        <w:jc w:val="both"/>
        <w:rPr>
          <w:sz w:val="22"/>
          <w:szCs w:val="22"/>
          <w:lang w:val="en-US"/>
        </w:rPr>
      </w:pPr>
      <w:r>
        <w:rPr>
          <w:sz w:val="22"/>
          <w:szCs w:val="22"/>
          <w:lang w:val="en-US"/>
        </w:rPr>
        <w:lastRenderedPageBreak/>
        <w:t xml:space="preserve">To determine the surface roughness of MAC, GB, </w:t>
      </w:r>
      <w:proofErr w:type="spellStart"/>
      <w:r>
        <w:rPr>
          <w:sz w:val="22"/>
          <w:szCs w:val="22"/>
          <w:lang w:val="en-US"/>
        </w:rPr>
        <w:t>GBAE</w:t>
      </w:r>
      <w:proofErr w:type="spellEnd"/>
      <w:r>
        <w:rPr>
          <w:sz w:val="22"/>
          <w:szCs w:val="22"/>
          <w:lang w:val="en-US"/>
        </w:rPr>
        <w:t xml:space="preserve"> and AE samples, a non-contact 3D surface profiler (White light interferometer </w:t>
      </w:r>
      <w:proofErr w:type="spellStart"/>
      <w:r>
        <w:rPr>
          <w:sz w:val="22"/>
          <w:szCs w:val="22"/>
          <w:lang w:val="en-US"/>
        </w:rPr>
        <w:t>Talysurf</w:t>
      </w:r>
      <w:proofErr w:type="spellEnd"/>
      <w:r>
        <w:rPr>
          <w:sz w:val="22"/>
          <w:szCs w:val="22"/>
          <w:lang w:val="en-US"/>
        </w:rPr>
        <w:t xml:space="preserve"> CCI 3000, Taylor Hobson Limited, Leicester, England) was used</w:t>
      </w:r>
      <w:r w:rsidR="00EE4159">
        <w:rPr>
          <w:sz w:val="22"/>
          <w:szCs w:val="22"/>
          <w:lang w:val="en-US"/>
        </w:rPr>
        <w:t xml:space="preserve"> </w:t>
      </w:r>
      <w:r w:rsidR="00EE4159">
        <w:rPr>
          <w:sz w:val="22"/>
          <w:szCs w:val="22"/>
          <w:lang w:val="en-US"/>
        </w:rPr>
        <w:fldChar w:fldCharType="begin" w:fldLock="1"/>
      </w:r>
      <w:r w:rsidR="00296F38">
        <w:rPr>
          <w:sz w:val="22"/>
          <w:szCs w:val="22"/>
          <w:lang w:val="en-US"/>
        </w:rPr>
        <w:instrText>ADDIN CSL_CITATION { "citationItems" : [ { "id" : "ITEM-1", "itemData" : { "DOI" : "10.1007/s10853-016-0346-1", "ISBN" : "8490876134", "ISSN" : "0022-2461", "abstract" : "\u00a9 2016, Springer Science+Business Media New York. Silicon nitride (Si 3 N 4 ) has been introduced clinically as an orthopedic biomaterial for interbody fusion devices and in joint replacements. However, the production of complex shapes through conventional mechanical machining is difficult and expensive and limits interesting applications. Thus, several electrically conductive reinforcements to the Si 3 N 4 matrix, like TiN, have been proposed, generating composites suitable to be wrought by electrical discharge machining (EDM). In this study, Si 3 N 4 \u2013TiN with high strength, low density, and good electric conductivity wrought by EDM was studied. The role of surface finishing was investigated comparing the interface generated during the EDM process to that resulting from further polishing. The different topographical features were assessed by electron microscopy, energy dispersive X-ray spectrometry, and profilometry. Surface wett ability was also determined based on the measurement of the OCA of water and diiodomethane. The biological responses induced in MC3T3 cells, a widely diffused osteoblast model, were correlated with the surface pattern. The unpolished samples could promote better cell viability, with a more relevant effect on the cytoskeleton arrangement as highlighted by numerous cytoplasmic extensions and filopodia-like structures and the high number of focal adhesions, while MC3T3 cells grown on polished Si 3 N 4 \u2013TiN specimens displayed a flat morphology. In addition, the unpolished Si 3 N 4 \u2013TiN increased osteocalcin production and calcium deposition. Taken together, these data support the biocompatibility and in vitro osteogenic properties of the electroconductive Si 3 N 4 \u2013TiN investigated. Further in vivo studies are required to explore the possible use of bone implants directly obtained by EDM.", "author" : [ { "dropping-particle" : "", "family" : "Mussano", "given" : "F.", "non-dropping-particle" : "", "parse-names" : false, "suffix" : "" }, { "dropping-particle" : "", "family" : "Genova", "given" : "T.", "non-dropping-particle" : "", "parse-names" : false, "suffix" : "" }, { "dropping-particle" : "", "family" : "Rivolo", "given" : "P.", "non-dropping-particle" : "", "parse-names" : false, "suffix" : "" }, { "dropping-particle" : "", "family" : "Mandracci", "given" : "P.", "non-dropping-particle" : "", "parse-names" : false, "suffix" : "" }, { "dropping-particle" : "", "family" : "Munaron", "given" : "L.", "non-dropping-particle" : "", "parse-names" : false, "suffix" : "" }, { "dropping-particle" : "", "family" : "Faga", "given" : "M. G.", "non-dropping-particle" : "", "parse-names" : false, "suffix" : "" }, { "dropping-particle" : "", "family" : "Carossa", "given" : "S.", "non-dropping-particle" : "", "parse-names" : false, "suffix" : "" } ], "container-title" : "Journal of Materials Science", "id" : "ITEM-1", "issue" : "1", "issued" : { "date-parts" : [ [ "2017", "1", "7" ] ] }, "page" : "467-477", "publisher" : "Springer US", "title" : "Role of surface finishing on the in vitro biological properties of a silicon nitride\u2013titanium nitride (Si3N4\u2013TiN) composite", "type" : "article-journal", "volume" : "52" }, "uris" : [ "http://www.mendeley.com/documents/?uuid=f52f2f75-f0b1-429d-a64a-9e279b5721d7" ] } ], "mendeley" : { "formattedCitation" : "[25]", "plainTextFormattedCitation" : "[25]", "previouslyFormattedCitation" : "[25]" }, "properties" : {  }, "schema" : "https://github.com/citation-style-language/schema/raw/master/csl-citation.json" }</w:instrText>
      </w:r>
      <w:r w:rsidR="00EE4159">
        <w:rPr>
          <w:sz w:val="22"/>
          <w:szCs w:val="22"/>
          <w:lang w:val="en-US"/>
        </w:rPr>
        <w:fldChar w:fldCharType="separate"/>
      </w:r>
      <w:r w:rsidR="00FB577C" w:rsidRPr="00FB577C">
        <w:rPr>
          <w:noProof/>
          <w:sz w:val="22"/>
          <w:szCs w:val="22"/>
          <w:lang w:val="en-US"/>
        </w:rPr>
        <w:t>[25]</w:t>
      </w:r>
      <w:r w:rsidR="00EE4159">
        <w:rPr>
          <w:sz w:val="22"/>
          <w:szCs w:val="22"/>
          <w:lang w:val="en-US"/>
        </w:rPr>
        <w:fldChar w:fldCharType="end"/>
      </w:r>
      <w:r>
        <w:rPr>
          <w:sz w:val="22"/>
          <w:szCs w:val="22"/>
          <w:lang w:val="en-US"/>
        </w:rPr>
        <w:t>. Twenty measurements were conducted for each specimen according to four amplitude parameters: S</w:t>
      </w:r>
      <w:r>
        <w:rPr>
          <w:sz w:val="22"/>
          <w:szCs w:val="22"/>
          <w:vertAlign w:val="subscript"/>
          <w:lang w:val="en-US"/>
        </w:rPr>
        <w:t>a</w:t>
      </w:r>
      <w:r>
        <w:rPr>
          <w:sz w:val="22"/>
          <w:szCs w:val="22"/>
          <w:lang w:val="en-US"/>
        </w:rPr>
        <w:t xml:space="preserve">, </w:t>
      </w:r>
      <w:proofErr w:type="spellStart"/>
      <w:r>
        <w:rPr>
          <w:sz w:val="22"/>
          <w:szCs w:val="22"/>
          <w:lang w:val="en-US"/>
        </w:rPr>
        <w:t>S</w:t>
      </w:r>
      <w:r>
        <w:rPr>
          <w:sz w:val="22"/>
          <w:szCs w:val="22"/>
          <w:vertAlign w:val="subscript"/>
          <w:lang w:val="en-US"/>
        </w:rPr>
        <w:t>sk</w:t>
      </w:r>
      <w:proofErr w:type="spellEnd"/>
      <w:r>
        <w:rPr>
          <w:sz w:val="22"/>
          <w:szCs w:val="22"/>
          <w:lang w:val="en-US"/>
        </w:rPr>
        <w:t xml:space="preserve">, </w:t>
      </w:r>
      <w:proofErr w:type="spellStart"/>
      <w:r>
        <w:rPr>
          <w:sz w:val="22"/>
          <w:szCs w:val="22"/>
          <w:lang w:val="en-US"/>
        </w:rPr>
        <w:t>S</w:t>
      </w:r>
      <w:r>
        <w:rPr>
          <w:sz w:val="22"/>
          <w:szCs w:val="22"/>
          <w:vertAlign w:val="subscript"/>
          <w:lang w:val="en-US"/>
        </w:rPr>
        <w:t>ku</w:t>
      </w:r>
      <w:proofErr w:type="spellEnd"/>
      <w:r>
        <w:rPr>
          <w:sz w:val="22"/>
          <w:szCs w:val="22"/>
          <w:lang w:val="en-US"/>
        </w:rPr>
        <w:t xml:space="preserve"> and </w:t>
      </w:r>
      <w:proofErr w:type="spellStart"/>
      <w:r>
        <w:rPr>
          <w:sz w:val="22"/>
          <w:szCs w:val="22"/>
          <w:lang w:val="en-US"/>
        </w:rPr>
        <w:t>S</w:t>
      </w:r>
      <w:r>
        <w:rPr>
          <w:sz w:val="22"/>
          <w:szCs w:val="22"/>
          <w:vertAlign w:val="subscript"/>
          <w:lang w:val="en-US"/>
        </w:rPr>
        <w:t>Z</w:t>
      </w:r>
      <w:proofErr w:type="spellEnd"/>
      <w:r>
        <w:rPr>
          <w:sz w:val="22"/>
          <w:szCs w:val="22"/>
          <w:lang w:val="en-US"/>
        </w:rPr>
        <w:t>. S</w:t>
      </w:r>
      <w:r>
        <w:rPr>
          <w:sz w:val="22"/>
          <w:szCs w:val="22"/>
          <w:vertAlign w:val="subscript"/>
          <w:lang w:val="en-US"/>
        </w:rPr>
        <w:t>a</w:t>
      </w:r>
      <w:r>
        <w:rPr>
          <w:sz w:val="22"/>
          <w:szCs w:val="22"/>
          <w:lang w:val="en-US"/>
        </w:rPr>
        <w:t xml:space="preserve"> is the arithmetic mean of the absolute values of the surface point departures from the mean plane within the sampling area. </w:t>
      </w:r>
      <w:proofErr w:type="spellStart"/>
      <w:r>
        <w:rPr>
          <w:sz w:val="22"/>
          <w:szCs w:val="22"/>
          <w:lang w:val="en-US"/>
        </w:rPr>
        <w:t>S</w:t>
      </w:r>
      <w:r>
        <w:rPr>
          <w:sz w:val="22"/>
          <w:szCs w:val="22"/>
          <w:vertAlign w:val="subscript"/>
          <w:lang w:val="en-US"/>
        </w:rPr>
        <w:t>Z</w:t>
      </w:r>
      <w:proofErr w:type="spellEnd"/>
      <w:r>
        <w:rPr>
          <w:sz w:val="22"/>
          <w:szCs w:val="22"/>
          <w:lang w:val="en-US"/>
        </w:rPr>
        <w:t xml:space="preserve"> is the difference between the height of the highest peak and the depth of the lowest valley.  </w:t>
      </w:r>
      <w:proofErr w:type="spellStart"/>
      <w:r>
        <w:rPr>
          <w:sz w:val="22"/>
          <w:szCs w:val="22"/>
          <w:lang w:val="en-US"/>
        </w:rPr>
        <w:t>S</w:t>
      </w:r>
      <w:r>
        <w:rPr>
          <w:sz w:val="22"/>
          <w:szCs w:val="22"/>
          <w:vertAlign w:val="subscript"/>
          <w:lang w:val="en-US"/>
        </w:rPr>
        <w:t>sk</w:t>
      </w:r>
      <w:proofErr w:type="spellEnd"/>
      <w:r>
        <w:rPr>
          <w:sz w:val="22"/>
          <w:szCs w:val="22"/>
          <w:lang w:val="en-US"/>
        </w:rPr>
        <w:t xml:space="preserve"> represents the asymmetry of the height distribution: positive </w:t>
      </w:r>
      <w:proofErr w:type="spellStart"/>
      <w:r>
        <w:rPr>
          <w:sz w:val="22"/>
          <w:szCs w:val="22"/>
          <w:lang w:val="en-US"/>
        </w:rPr>
        <w:t>S</w:t>
      </w:r>
      <w:r>
        <w:rPr>
          <w:sz w:val="22"/>
          <w:szCs w:val="22"/>
          <w:vertAlign w:val="subscript"/>
          <w:lang w:val="en-US"/>
        </w:rPr>
        <w:t>sk</w:t>
      </w:r>
      <w:proofErr w:type="spellEnd"/>
      <w:r>
        <w:rPr>
          <w:sz w:val="22"/>
          <w:szCs w:val="22"/>
          <w:lang w:val="en-US"/>
        </w:rPr>
        <w:t xml:space="preserve"> values indicate a majority of peaks on the surface, while negative values indicates a majority of valleys. </w:t>
      </w:r>
      <w:proofErr w:type="spellStart"/>
      <w:r>
        <w:rPr>
          <w:sz w:val="22"/>
          <w:szCs w:val="22"/>
          <w:lang w:val="en-US"/>
        </w:rPr>
        <w:t>S</w:t>
      </w:r>
      <w:r>
        <w:rPr>
          <w:sz w:val="22"/>
          <w:szCs w:val="22"/>
          <w:vertAlign w:val="subscript"/>
          <w:lang w:val="en-US"/>
        </w:rPr>
        <w:t>ku</w:t>
      </w:r>
      <w:proofErr w:type="spellEnd"/>
      <w:r>
        <w:rPr>
          <w:sz w:val="22"/>
          <w:szCs w:val="22"/>
          <w:lang w:val="en-US"/>
        </w:rPr>
        <w:t xml:space="preserve"> ,also known as kurtosis, is mainly related to the presence of peaks or valleys with a height or depth, which differ of more than one standard deviation from the mean, so a high </w:t>
      </w:r>
      <w:proofErr w:type="spellStart"/>
      <w:r>
        <w:rPr>
          <w:sz w:val="22"/>
          <w:szCs w:val="22"/>
          <w:lang w:val="en-US"/>
        </w:rPr>
        <w:t>S</w:t>
      </w:r>
      <w:r>
        <w:rPr>
          <w:sz w:val="22"/>
          <w:szCs w:val="22"/>
          <w:vertAlign w:val="subscript"/>
          <w:lang w:val="en-US"/>
        </w:rPr>
        <w:t>ku</w:t>
      </w:r>
      <w:proofErr w:type="spellEnd"/>
      <w:r>
        <w:rPr>
          <w:sz w:val="22"/>
          <w:szCs w:val="22"/>
          <w:lang w:val="en-US"/>
        </w:rPr>
        <w:t xml:space="preserve"> value reveals a surface with a higher spikiness, while a low value is typical of a bumpier one. A </w:t>
      </w:r>
      <w:proofErr w:type="spellStart"/>
      <w:r>
        <w:rPr>
          <w:sz w:val="22"/>
          <w:szCs w:val="22"/>
          <w:lang w:val="en-US"/>
        </w:rPr>
        <w:t>S</w:t>
      </w:r>
      <w:r>
        <w:rPr>
          <w:sz w:val="22"/>
          <w:szCs w:val="22"/>
          <w:vertAlign w:val="subscript"/>
          <w:lang w:val="en-US"/>
        </w:rPr>
        <w:t>ku</w:t>
      </w:r>
      <w:proofErr w:type="spellEnd"/>
      <w:r>
        <w:rPr>
          <w:sz w:val="22"/>
          <w:szCs w:val="22"/>
          <w:lang w:val="en-US"/>
        </w:rPr>
        <w:t xml:space="preserve"> value of 3 is expected for a normal distribution of the heights.  Before the calculation of the roughness values, a Gaussian filter with a 0.8 mm cut-off length was applied to separate roughness from waviness. </w:t>
      </w:r>
      <w:r w:rsidR="00A73104">
        <w:rPr>
          <w:sz w:val="22"/>
          <w:szCs w:val="22"/>
          <w:lang w:val="en-US"/>
        </w:rPr>
        <w:fldChar w:fldCharType="begin" w:fldLock="1"/>
      </w:r>
      <w:r w:rsidR="00296F38">
        <w:rPr>
          <w:sz w:val="22"/>
          <w:szCs w:val="22"/>
          <w:lang w:val="en-US"/>
        </w:rPr>
        <w:instrText>ADDIN CSL_CITATION { "citationItems" : [ { "id" : "ITEM-1", "itemData" : { "DOI" : "10.1016/S0924-0136(02)00060-2", "ISBN" : "4414434823", "ISSN" : "09240136", "abstract" : "Surface roughness evaluation is very important for many fundamental problems such as friction, contact deformation, heat and electric current conduction, tightness of contact joints and positional accuracy. For this reason surface roughness has been the subject of experimental and theoretical investigations for many decades. The real surface geometry is so complicated that a finite number of parameters cannot provide a full description. If the number of parameters used is increased, a more accurate description can be obtained. This is one of the reasons for introducing new parameters for surface evaluation. Surface roughness parameters are normally categorised into three groups according to its functionality. These groups are defined as amplitude parameters, spacing parameters, and hybrid parameters. This paper illustrates the definitions and the mathematical formulae for about 59 of the roughness parameters. This collection of surface roughness parameter was used in a new software computer vision package called SurfVision developed by the authors. In the package, these definitions were extended to calculate the 3D surface topography of different specimens. ?? 2002 Elsevier Science B.V. All rights reserved.", "author" : [ { "dropping-particle" : "", "family" : "Gadelmawla", "given" : "E. S.", "non-dropping-particle" : "", "parse-names" : false, "suffix" : "" }, { "dropping-particle" : "", "family" : "Koura", "given" : "M. M.", "non-dropping-particle" : "", "parse-names" : false, "suffix" : "" }, { "dropping-particle" : "", "family" : "Maksoud", "given" : "T. M A", "non-dropping-particle" : "", "parse-names" : false, "suffix" : "" }, { "dropping-particle" : "", "family" : "Elewa", "given" : "I. M.", "non-dropping-particle" : "", "parse-names" : false, "suffix" : "" }, { "dropping-particle" : "", "family" : "Soliman", "given" : "H. H.", "non-dropping-particle" : "", "parse-names" : false, "suffix" : "" } ], "container-title" : "Journal of Materials Processing Technology", "id" : "ITEM-1", "issue" : "1", "issued" : { "date-parts" : [ [ "2002" ] ] }, "page" : "133-145", "title" : "Roughness parameters", "type" : "article-journal", "volume" : "123" }, "uris" : [ "http://www.mendeley.com/documents/?uuid=9219d7fb-6cd8-4137-84d1-90c6d6516f3a" ] } ], "mendeley" : { "formattedCitation" : "[26]", "plainTextFormattedCitation" : "[26]", "previouslyFormattedCitation" : "[26]" }, "properties" : {  }, "schema" : "https://github.com/citation-style-language/schema/raw/master/csl-citation.json" }</w:instrText>
      </w:r>
      <w:r w:rsidR="00A73104">
        <w:rPr>
          <w:sz w:val="22"/>
          <w:szCs w:val="22"/>
          <w:lang w:val="en-US"/>
        </w:rPr>
        <w:fldChar w:fldCharType="separate"/>
      </w:r>
      <w:r w:rsidR="00FB577C" w:rsidRPr="00FB577C">
        <w:rPr>
          <w:noProof/>
          <w:sz w:val="22"/>
          <w:szCs w:val="22"/>
          <w:lang w:val="en-US"/>
        </w:rPr>
        <w:t>[26]</w:t>
      </w:r>
      <w:r w:rsidR="00A73104">
        <w:rPr>
          <w:sz w:val="22"/>
          <w:szCs w:val="22"/>
          <w:lang w:val="en-US"/>
        </w:rPr>
        <w:fldChar w:fldCharType="end"/>
      </w:r>
      <w:r w:rsidR="00A73104">
        <w:rPr>
          <w:sz w:val="22"/>
          <w:szCs w:val="22"/>
          <w:lang w:val="en-US"/>
        </w:rPr>
        <w:t>.</w:t>
      </w:r>
    </w:p>
    <w:p w14:paraId="288EC865" w14:textId="77777777" w:rsidR="00A73104" w:rsidRDefault="00A73104">
      <w:pPr>
        <w:pStyle w:val="BodyB"/>
        <w:keepNext w:val="0"/>
        <w:widowControl w:val="0"/>
        <w:suppressAutoHyphens w:val="0"/>
        <w:spacing w:line="480" w:lineRule="auto"/>
        <w:jc w:val="both"/>
        <w:rPr>
          <w:sz w:val="22"/>
          <w:szCs w:val="22"/>
          <w:lang w:val="en-US"/>
        </w:rPr>
      </w:pPr>
    </w:p>
    <w:p w14:paraId="60D9B7B5" w14:textId="77777777" w:rsidR="00E2412D" w:rsidRDefault="00673E5C">
      <w:pPr>
        <w:pStyle w:val="BodyB"/>
        <w:keepNext w:val="0"/>
        <w:widowControl w:val="0"/>
        <w:suppressAutoHyphens w:val="0"/>
        <w:spacing w:line="480" w:lineRule="auto"/>
        <w:jc w:val="both"/>
        <w:rPr>
          <w:b/>
          <w:bCs/>
          <w:i/>
          <w:iCs/>
          <w:sz w:val="22"/>
          <w:szCs w:val="22"/>
          <w:lang w:val="nl-NL"/>
        </w:rPr>
      </w:pPr>
      <w:r>
        <w:rPr>
          <w:sz w:val="22"/>
          <w:szCs w:val="22"/>
          <w:lang w:val="en-US"/>
        </w:rPr>
        <w:t xml:space="preserve">2.4 </w:t>
      </w:r>
      <w:r>
        <w:rPr>
          <w:b/>
          <w:bCs/>
          <w:i/>
          <w:iCs/>
          <w:sz w:val="22"/>
          <w:szCs w:val="22"/>
          <w:lang w:val="nl-NL"/>
        </w:rPr>
        <w:t>X-</w:t>
      </w:r>
      <w:proofErr w:type="spellStart"/>
      <w:r>
        <w:rPr>
          <w:b/>
          <w:bCs/>
          <w:i/>
          <w:iCs/>
          <w:sz w:val="22"/>
          <w:szCs w:val="22"/>
          <w:lang w:val="nl-NL"/>
        </w:rPr>
        <w:t>ray</w:t>
      </w:r>
      <w:proofErr w:type="spellEnd"/>
      <w:r>
        <w:rPr>
          <w:b/>
          <w:bCs/>
          <w:i/>
          <w:iCs/>
          <w:sz w:val="22"/>
          <w:szCs w:val="22"/>
          <w:lang w:val="nl-NL"/>
        </w:rPr>
        <w:t xml:space="preserve"> </w:t>
      </w:r>
      <w:proofErr w:type="spellStart"/>
      <w:r>
        <w:rPr>
          <w:b/>
          <w:bCs/>
          <w:i/>
          <w:iCs/>
          <w:sz w:val="22"/>
          <w:szCs w:val="22"/>
          <w:lang w:val="nl-NL"/>
        </w:rPr>
        <w:t>Photoelectron</w:t>
      </w:r>
      <w:proofErr w:type="spellEnd"/>
      <w:r>
        <w:rPr>
          <w:b/>
          <w:bCs/>
          <w:i/>
          <w:iCs/>
          <w:sz w:val="22"/>
          <w:szCs w:val="22"/>
          <w:lang w:val="nl-NL"/>
        </w:rPr>
        <w:t xml:space="preserve"> </w:t>
      </w:r>
      <w:proofErr w:type="spellStart"/>
      <w:r>
        <w:rPr>
          <w:b/>
          <w:bCs/>
          <w:i/>
          <w:iCs/>
          <w:sz w:val="22"/>
          <w:szCs w:val="22"/>
          <w:lang w:val="nl-NL"/>
        </w:rPr>
        <w:t>Spectroscopy</w:t>
      </w:r>
      <w:proofErr w:type="spellEnd"/>
    </w:p>
    <w:p w14:paraId="1B697E43" w14:textId="77777777" w:rsidR="00E2412D" w:rsidRDefault="00673E5C">
      <w:pPr>
        <w:pStyle w:val="BodyB"/>
        <w:keepNext w:val="0"/>
        <w:widowControl w:val="0"/>
        <w:suppressAutoHyphens w:val="0"/>
        <w:spacing w:line="480" w:lineRule="auto"/>
        <w:jc w:val="both"/>
        <w:rPr>
          <w:sz w:val="22"/>
          <w:szCs w:val="22"/>
          <w:lang w:val="en-US"/>
        </w:rPr>
      </w:pPr>
      <w:r>
        <w:rPr>
          <w:sz w:val="22"/>
          <w:szCs w:val="22"/>
          <w:lang w:val="en-US"/>
        </w:rPr>
        <w:t xml:space="preserve">Samples were characterized respect to their surface chemical composition by means of X-ray Photoelectron Spectroscopy (XPS), using a PHI 5000 </w:t>
      </w:r>
      <w:proofErr w:type="spellStart"/>
      <w:r>
        <w:rPr>
          <w:sz w:val="22"/>
          <w:szCs w:val="22"/>
          <w:lang w:val="en-US"/>
        </w:rPr>
        <w:t>VersaProbe</w:t>
      </w:r>
      <w:proofErr w:type="spellEnd"/>
      <w:r>
        <w:rPr>
          <w:sz w:val="22"/>
          <w:szCs w:val="22"/>
          <w:lang w:val="en-US"/>
        </w:rPr>
        <w:t xml:space="preserve"> (Physical Electronics) system, with a monochromatic Al Kα radiation as X-source.  A binding energy value of 284.8 eV was assigned to the main </w:t>
      </w:r>
      <w:proofErr w:type="spellStart"/>
      <w:r>
        <w:rPr>
          <w:sz w:val="22"/>
          <w:szCs w:val="22"/>
          <w:lang w:val="en-US"/>
        </w:rPr>
        <w:t>C1s</w:t>
      </w:r>
      <w:proofErr w:type="spellEnd"/>
      <w:r>
        <w:rPr>
          <w:sz w:val="22"/>
          <w:szCs w:val="22"/>
          <w:lang w:val="en-US"/>
        </w:rPr>
        <w:t xml:space="preserve"> contribution in order to calibrate the binding energy scale. A SPECS (</w:t>
      </w:r>
      <w:proofErr w:type="spellStart"/>
      <w:r>
        <w:rPr>
          <w:sz w:val="22"/>
          <w:szCs w:val="22"/>
          <w:lang w:val="en-US"/>
        </w:rPr>
        <w:t>Phoibos</w:t>
      </w:r>
      <w:proofErr w:type="spellEnd"/>
      <w:r>
        <w:rPr>
          <w:sz w:val="22"/>
          <w:szCs w:val="22"/>
          <w:lang w:val="en-US"/>
        </w:rPr>
        <w:t xml:space="preserve"> MCD 150) X-ray photoelectron spectrometer was used to collect the XPS signal, with Mg Kα radiation (1253.6 eV) as X-ray source, having a power of 150 W (12 mA, 12.5 kV). After collection, the binding energies were calibrated using as reference the adventitious carbon </w:t>
      </w:r>
      <w:proofErr w:type="spellStart"/>
      <w:r>
        <w:rPr>
          <w:sz w:val="22"/>
          <w:szCs w:val="22"/>
          <w:lang w:val="en-US"/>
        </w:rPr>
        <w:t>C1s</w:t>
      </w:r>
      <w:proofErr w:type="spellEnd"/>
      <w:r>
        <w:rPr>
          <w:sz w:val="22"/>
          <w:szCs w:val="22"/>
          <w:lang w:val="en-US"/>
        </w:rPr>
        <w:t xml:space="preserve"> peak.  The accuracy of the reported binding energies can be estimated to be ± 0.1 eV.  The XPS peak areas were determined after subtraction of a background.  The atomic ratio calculations were performed after normalization using the Scoﬁeld factor of each element.</w:t>
      </w:r>
    </w:p>
    <w:p w14:paraId="391D8C35" w14:textId="77777777" w:rsidR="00E2412D" w:rsidRDefault="00E2412D">
      <w:pPr>
        <w:pStyle w:val="BodyB"/>
        <w:keepNext w:val="0"/>
        <w:widowControl w:val="0"/>
        <w:suppressAutoHyphens w:val="0"/>
        <w:spacing w:line="480" w:lineRule="auto"/>
        <w:jc w:val="both"/>
        <w:rPr>
          <w:sz w:val="22"/>
          <w:szCs w:val="22"/>
          <w:lang w:val="en-US"/>
        </w:rPr>
      </w:pPr>
    </w:p>
    <w:p w14:paraId="3D98AC1D" w14:textId="77777777" w:rsidR="00E2412D" w:rsidRDefault="00673E5C">
      <w:pPr>
        <w:pStyle w:val="BodyB"/>
        <w:keepNext w:val="0"/>
        <w:widowControl w:val="0"/>
        <w:suppressAutoHyphens w:val="0"/>
        <w:spacing w:line="480" w:lineRule="auto"/>
        <w:jc w:val="both"/>
        <w:rPr>
          <w:b/>
          <w:bCs/>
          <w:i/>
          <w:iCs/>
          <w:sz w:val="22"/>
          <w:szCs w:val="22"/>
          <w:lang w:val="en-US"/>
        </w:rPr>
      </w:pPr>
      <w:r>
        <w:rPr>
          <w:sz w:val="22"/>
          <w:szCs w:val="22"/>
          <w:lang w:val="en-US"/>
        </w:rPr>
        <w:t xml:space="preserve">2.5 </w:t>
      </w:r>
      <w:r>
        <w:rPr>
          <w:b/>
          <w:bCs/>
          <w:i/>
          <w:iCs/>
          <w:sz w:val="22"/>
          <w:szCs w:val="22"/>
          <w:lang w:val="en-US"/>
        </w:rPr>
        <w:t>Raman Spectroscopy</w:t>
      </w:r>
    </w:p>
    <w:p w14:paraId="250FACBA" w14:textId="77777777" w:rsidR="00E2412D" w:rsidRDefault="00673E5C">
      <w:pPr>
        <w:pStyle w:val="BodyB"/>
        <w:keepNext w:val="0"/>
        <w:widowControl w:val="0"/>
        <w:suppressAutoHyphens w:val="0"/>
        <w:spacing w:line="480" w:lineRule="auto"/>
        <w:jc w:val="both"/>
        <w:rPr>
          <w:sz w:val="22"/>
          <w:szCs w:val="22"/>
          <w:lang w:val="en-US"/>
        </w:rPr>
      </w:pPr>
      <w:r>
        <w:rPr>
          <w:sz w:val="22"/>
          <w:szCs w:val="22"/>
          <w:lang w:val="en-US"/>
        </w:rPr>
        <w:t xml:space="preserve">The differently surface-treated </w:t>
      </w:r>
      <w:proofErr w:type="spellStart"/>
      <w:r>
        <w:rPr>
          <w:sz w:val="22"/>
          <w:szCs w:val="22"/>
          <w:lang w:val="en-US"/>
        </w:rPr>
        <w:t>Ti</w:t>
      </w:r>
      <w:proofErr w:type="spellEnd"/>
      <w:r>
        <w:rPr>
          <w:sz w:val="22"/>
          <w:szCs w:val="22"/>
          <w:lang w:val="en-US"/>
        </w:rPr>
        <w:t xml:space="preserve"> substrates were characterized by means of a </w:t>
      </w:r>
      <w:r>
        <w:rPr>
          <w:i/>
          <w:iCs/>
          <w:sz w:val="22"/>
          <w:szCs w:val="22"/>
          <w:lang w:val="en-US"/>
        </w:rPr>
        <w:t xml:space="preserve">Renishaw </w:t>
      </w:r>
      <w:proofErr w:type="spellStart"/>
      <w:r>
        <w:rPr>
          <w:i/>
          <w:iCs/>
          <w:sz w:val="22"/>
          <w:szCs w:val="22"/>
          <w:lang w:val="en-US"/>
        </w:rPr>
        <w:t>InVia</w:t>
      </w:r>
      <w:proofErr w:type="spellEnd"/>
      <w:r>
        <w:rPr>
          <w:i/>
          <w:iCs/>
          <w:sz w:val="22"/>
          <w:szCs w:val="22"/>
          <w:lang w:val="en-US"/>
        </w:rPr>
        <w:t xml:space="preserve"> Reflex</w:t>
      </w:r>
      <w:r>
        <w:rPr>
          <w:sz w:val="22"/>
          <w:szCs w:val="22"/>
          <w:lang w:val="en-US"/>
        </w:rPr>
        <w:t xml:space="preserve"> micro-Raman spectrometer (Renishaw plc, </w:t>
      </w:r>
      <w:proofErr w:type="spellStart"/>
      <w:r>
        <w:rPr>
          <w:sz w:val="22"/>
          <w:szCs w:val="22"/>
          <w:lang w:val="en-US"/>
        </w:rPr>
        <w:t>Wottonunder</w:t>
      </w:r>
      <w:proofErr w:type="spellEnd"/>
      <w:r>
        <w:rPr>
          <w:sz w:val="22"/>
          <w:szCs w:val="22"/>
          <w:lang w:val="en-US"/>
        </w:rPr>
        <w:t xml:space="preserve">-Edge, UK), equipped with a cooled CCD camera. The Raman source was a diode laser (λ=514.5 nm), and samples inspection occurred in backscattering light collection </w:t>
      </w:r>
      <w:r>
        <w:rPr>
          <w:sz w:val="22"/>
          <w:szCs w:val="22"/>
          <w:lang w:val="en-US"/>
        </w:rPr>
        <w:lastRenderedPageBreak/>
        <w:t xml:space="preserve">through a </w:t>
      </w:r>
      <w:proofErr w:type="spellStart"/>
      <w:r>
        <w:rPr>
          <w:sz w:val="22"/>
          <w:szCs w:val="22"/>
          <w:lang w:val="en-US"/>
        </w:rPr>
        <w:t>50X</w:t>
      </w:r>
      <w:proofErr w:type="spellEnd"/>
      <w:r>
        <w:rPr>
          <w:sz w:val="22"/>
          <w:szCs w:val="22"/>
          <w:lang w:val="en-US"/>
        </w:rPr>
        <w:t xml:space="preserve"> microscope objective. 50 </w:t>
      </w:r>
      <w:proofErr w:type="spellStart"/>
      <w:r>
        <w:rPr>
          <w:sz w:val="22"/>
          <w:szCs w:val="22"/>
          <w:lang w:val="en-US"/>
        </w:rPr>
        <w:t>mW</w:t>
      </w:r>
      <w:proofErr w:type="spellEnd"/>
      <w:r>
        <w:rPr>
          <w:sz w:val="22"/>
          <w:szCs w:val="22"/>
          <w:lang w:val="en-US"/>
        </w:rPr>
        <w:t xml:space="preserve"> laser power, 10 s of exposure time and 3 accumulations were employed to collect all the spectra.</w:t>
      </w:r>
    </w:p>
    <w:p w14:paraId="65622D64" w14:textId="77777777" w:rsidR="00E2412D" w:rsidRDefault="00E2412D">
      <w:pPr>
        <w:pStyle w:val="BodyB"/>
        <w:keepNext w:val="0"/>
        <w:widowControl w:val="0"/>
        <w:suppressAutoHyphens w:val="0"/>
        <w:spacing w:line="480" w:lineRule="auto"/>
        <w:jc w:val="both"/>
        <w:rPr>
          <w:sz w:val="22"/>
          <w:szCs w:val="22"/>
          <w:lang w:val="en-US"/>
        </w:rPr>
      </w:pPr>
    </w:p>
    <w:p w14:paraId="02743CA9" w14:textId="77777777" w:rsidR="00E2412D" w:rsidRDefault="00673E5C">
      <w:pPr>
        <w:pStyle w:val="BodyB"/>
        <w:keepNext w:val="0"/>
        <w:widowControl w:val="0"/>
        <w:suppressAutoHyphens w:val="0"/>
        <w:spacing w:line="480" w:lineRule="auto"/>
        <w:jc w:val="both"/>
        <w:rPr>
          <w:b/>
          <w:bCs/>
          <w:i/>
          <w:iCs/>
          <w:sz w:val="22"/>
          <w:szCs w:val="22"/>
          <w:lang w:val="en-US"/>
        </w:rPr>
      </w:pPr>
      <w:r>
        <w:rPr>
          <w:sz w:val="22"/>
          <w:szCs w:val="22"/>
          <w:lang w:val="en-US"/>
        </w:rPr>
        <w:t xml:space="preserve">2.6 </w:t>
      </w:r>
      <w:r>
        <w:rPr>
          <w:b/>
          <w:bCs/>
          <w:i/>
          <w:iCs/>
          <w:sz w:val="22"/>
          <w:szCs w:val="22"/>
          <w:lang w:val="en-US"/>
        </w:rPr>
        <w:t xml:space="preserve">Contact angle and surface energy evaluation </w:t>
      </w:r>
    </w:p>
    <w:p w14:paraId="4047BF04" w14:textId="77777777" w:rsidR="00E2412D" w:rsidRDefault="00673E5C">
      <w:pPr>
        <w:pStyle w:val="BodyB"/>
        <w:keepNext w:val="0"/>
        <w:widowControl w:val="0"/>
        <w:suppressAutoHyphens w:val="0"/>
        <w:spacing w:line="480" w:lineRule="auto"/>
        <w:jc w:val="both"/>
        <w:rPr>
          <w:sz w:val="22"/>
          <w:szCs w:val="22"/>
          <w:lang w:val="en-US"/>
        </w:rPr>
      </w:pPr>
      <w:r>
        <w:rPr>
          <w:sz w:val="22"/>
          <w:szCs w:val="22"/>
          <w:lang w:val="en-US"/>
        </w:rPr>
        <w:t xml:space="preserve">The wetting properties of the samples were investigated using an </w:t>
      </w:r>
      <w:proofErr w:type="spellStart"/>
      <w:r>
        <w:rPr>
          <w:sz w:val="22"/>
          <w:szCs w:val="22"/>
          <w:lang w:val="en-US"/>
        </w:rPr>
        <w:t>OCAH</w:t>
      </w:r>
      <w:proofErr w:type="spellEnd"/>
      <w:r>
        <w:rPr>
          <w:sz w:val="22"/>
          <w:szCs w:val="22"/>
          <w:lang w:val="en-US"/>
        </w:rPr>
        <w:t xml:space="preserve"> 200 (</w:t>
      </w:r>
      <w:proofErr w:type="spellStart"/>
      <w:r>
        <w:rPr>
          <w:sz w:val="22"/>
          <w:szCs w:val="22"/>
          <w:lang w:val="en-US"/>
        </w:rPr>
        <w:t>DataPhysic</w:t>
      </w:r>
      <w:proofErr w:type="spellEnd"/>
      <w:r>
        <w:rPr>
          <w:sz w:val="22"/>
          <w:szCs w:val="22"/>
          <w:lang w:val="en-US"/>
        </w:rPr>
        <w:t xml:space="preserve"> Instruments GmbH) to measure the optical contact angle (OCA) with the sessile drop technique. Two different liquid probes were used: water (</w:t>
      </w:r>
      <w:proofErr w:type="spellStart"/>
      <w:r>
        <w:rPr>
          <w:sz w:val="22"/>
          <w:szCs w:val="22"/>
          <w:lang w:val="en-US"/>
        </w:rPr>
        <w:t>dH</w:t>
      </w:r>
      <w:r>
        <w:rPr>
          <w:sz w:val="22"/>
          <w:szCs w:val="22"/>
          <w:vertAlign w:val="subscript"/>
          <w:lang w:val="en-US"/>
        </w:rPr>
        <w:t>2</w:t>
      </w:r>
      <w:r>
        <w:rPr>
          <w:sz w:val="22"/>
          <w:szCs w:val="22"/>
          <w:lang w:val="en-US"/>
        </w:rPr>
        <w:t>O</w:t>
      </w:r>
      <w:proofErr w:type="spellEnd"/>
      <w:r>
        <w:rPr>
          <w:sz w:val="22"/>
          <w:szCs w:val="22"/>
          <w:lang w:val="en-US"/>
        </w:rPr>
        <w:t>) and diiodomethane (</w:t>
      </w:r>
      <w:proofErr w:type="spellStart"/>
      <w:r>
        <w:rPr>
          <w:sz w:val="22"/>
          <w:szCs w:val="22"/>
          <w:lang w:val="en-US"/>
        </w:rPr>
        <w:t>CH</w:t>
      </w:r>
      <w:r>
        <w:rPr>
          <w:sz w:val="22"/>
          <w:szCs w:val="22"/>
          <w:vertAlign w:val="subscript"/>
          <w:lang w:val="en-US"/>
        </w:rPr>
        <w:t>2</w:t>
      </w:r>
      <w:r>
        <w:rPr>
          <w:sz w:val="22"/>
          <w:szCs w:val="22"/>
          <w:lang w:val="en-US"/>
        </w:rPr>
        <w:t>I</w:t>
      </w:r>
      <w:r>
        <w:rPr>
          <w:sz w:val="22"/>
          <w:szCs w:val="22"/>
          <w:vertAlign w:val="subscript"/>
          <w:lang w:val="en-US"/>
        </w:rPr>
        <w:t>2</w:t>
      </w:r>
      <w:proofErr w:type="spellEnd"/>
      <w:r>
        <w:rPr>
          <w:sz w:val="22"/>
          <w:szCs w:val="22"/>
          <w:lang w:val="en-US"/>
        </w:rPr>
        <w:t xml:space="preserve">). Each liquid drop (1 </w:t>
      </w:r>
      <w:proofErr w:type="spellStart"/>
      <w:r>
        <w:rPr>
          <w:sz w:val="22"/>
          <w:szCs w:val="22"/>
          <w:lang w:val="en-US"/>
        </w:rPr>
        <w:t>μl</w:t>
      </w:r>
      <w:proofErr w:type="spellEnd"/>
      <w:r>
        <w:rPr>
          <w:sz w:val="22"/>
          <w:szCs w:val="22"/>
          <w:lang w:val="en-US"/>
        </w:rPr>
        <w:t xml:space="preserve"> in volume) was dispensed and the image of the drop on the sample was acquired with the integrated high-resolution camera.  The drop profiles were extracted and fitted with dedicated software (</w:t>
      </w:r>
      <w:proofErr w:type="spellStart"/>
      <w:r>
        <w:rPr>
          <w:sz w:val="22"/>
          <w:szCs w:val="22"/>
          <w:lang w:val="en-US"/>
        </w:rPr>
        <w:t>SCA20</w:t>
      </w:r>
      <w:proofErr w:type="spellEnd"/>
      <w:r>
        <w:rPr>
          <w:sz w:val="22"/>
          <w:szCs w:val="22"/>
          <w:lang w:val="en-US"/>
        </w:rPr>
        <w:t>) through the Young–Laplace method. At the liquid–solid interface, contact angles between fitted function and base line were calculated. For each sample and each liquid probe, the contact angle measurement was repeated five times on different areas. The surface energy, both polar and dispersive components, was then estimated according to the Owens Wendt method [32],</w:t>
      </w:r>
      <w:r>
        <w:rPr>
          <w:color w:val="FF0000"/>
          <w:sz w:val="22"/>
          <w:szCs w:val="22"/>
          <w:u w:color="FF0000"/>
          <w:lang w:val="en-US"/>
        </w:rPr>
        <w:t xml:space="preserve"> </w:t>
      </w:r>
      <w:r>
        <w:rPr>
          <w:sz w:val="22"/>
          <w:szCs w:val="22"/>
          <w:lang w:val="en-US"/>
        </w:rPr>
        <w:t xml:space="preserve">starting from the average contact angle estimated for each of the two different liquid probes. </w:t>
      </w:r>
    </w:p>
    <w:p w14:paraId="1B77C8F6" w14:textId="77777777" w:rsidR="00E2412D" w:rsidRDefault="00E2412D">
      <w:pPr>
        <w:pStyle w:val="Normale1"/>
        <w:keepNext w:val="0"/>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480" w:lineRule="auto"/>
        <w:rPr>
          <w:sz w:val="22"/>
          <w:szCs w:val="22"/>
          <w:lang w:val="en-US"/>
        </w:rPr>
      </w:pPr>
    </w:p>
    <w:p w14:paraId="5D653AF0" w14:textId="77777777" w:rsidR="00E2412D" w:rsidRDefault="00673E5C">
      <w:pPr>
        <w:pStyle w:val="Normale1"/>
        <w:keepNext w:val="0"/>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480" w:lineRule="auto"/>
        <w:rPr>
          <w:b/>
          <w:bCs/>
          <w:i/>
          <w:iCs/>
          <w:sz w:val="22"/>
          <w:szCs w:val="22"/>
          <w:lang w:val="en-US"/>
        </w:rPr>
      </w:pPr>
      <w:r>
        <w:rPr>
          <w:sz w:val="22"/>
          <w:szCs w:val="22"/>
          <w:lang w:val="en-US"/>
        </w:rPr>
        <w:t xml:space="preserve">2.7 </w:t>
      </w:r>
      <w:r>
        <w:rPr>
          <w:b/>
          <w:bCs/>
          <w:i/>
          <w:iCs/>
          <w:sz w:val="22"/>
          <w:szCs w:val="22"/>
          <w:lang w:val="en-US"/>
        </w:rPr>
        <w:t>Protein adsorption</w:t>
      </w:r>
    </w:p>
    <w:p w14:paraId="0F930486" w14:textId="77777777" w:rsidR="00E2412D" w:rsidRDefault="00673E5C">
      <w:pPr>
        <w:pStyle w:val="Normale2"/>
        <w:keepNext w:val="0"/>
        <w:widowControl w:val="0"/>
        <w:spacing w:line="480" w:lineRule="auto"/>
        <w:rPr>
          <w:sz w:val="22"/>
          <w:szCs w:val="22"/>
        </w:rPr>
      </w:pPr>
      <w:r>
        <w:rPr>
          <w:sz w:val="22"/>
          <w:szCs w:val="22"/>
        </w:rPr>
        <w:t>To quantify the amount of protein adsorbed onto the titanium disks, Fibronectin, Bovine Serum Albumin (</w:t>
      </w:r>
      <w:proofErr w:type="spellStart"/>
      <w:r>
        <w:rPr>
          <w:sz w:val="22"/>
          <w:szCs w:val="22"/>
        </w:rPr>
        <w:t>BSA</w:t>
      </w:r>
      <w:proofErr w:type="spellEnd"/>
      <w:r>
        <w:rPr>
          <w:sz w:val="22"/>
          <w:szCs w:val="22"/>
        </w:rPr>
        <w:t xml:space="preserve">) and a mixture of Collagen were used as a 2% solution in </w:t>
      </w:r>
      <w:proofErr w:type="spellStart"/>
      <w:r>
        <w:rPr>
          <w:sz w:val="22"/>
          <w:szCs w:val="22"/>
        </w:rPr>
        <w:t>Posphate</w:t>
      </w:r>
      <w:proofErr w:type="spellEnd"/>
      <w:r>
        <w:rPr>
          <w:sz w:val="22"/>
          <w:szCs w:val="22"/>
        </w:rPr>
        <w:t xml:space="preserve"> Buffered Saline (PBS). Specimens were incubated at </w:t>
      </w:r>
      <w:proofErr w:type="spellStart"/>
      <w:r>
        <w:rPr>
          <w:sz w:val="22"/>
          <w:szCs w:val="22"/>
        </w:rPr>
        <w:t>37</w:t>
      </w:r>
      <w:r>
        <w:rPr>
          <w:rFonts w:hAnsi="Times New Roman"/>
          <w:sz w:val="22"/>
          <w:szCs w:val="22"/>
        </w:rPr>
        <w:t>°</w:t>
      </w:r>
      <w:r>
        <w:rPr>
          <w:sz w:val="22"/>
          <w:szCs w:val="22"/>
        </w:rPr>
        <w:t>C</w:t>
      </w:r>
      <w:proofErr w:type="spellEnd"/>
      <w:r>
        <w:rPr>
          <w:sz w:val="22"/>
          <w:szCs w:val="22"/>
        </w:rPr>
        <w:t>, for 30 minutes, and they were washed twice with PBS. The total adsorbed protein amount was first eluted with Tris Triton buffer (</w:t>
      </w:r>
      <w:proofErr w:type="spellStart"/>
      <w:r>
        <w:rPr>
          <w:sz w:val="22"/>
          <w:szCs w:val="22"/>
        </w:rPr>
        <w:t>10mM</w:t>
      </w:r>
      <w:proofErr w:type="spellEnd"/>
      <w:r>
        <w:rPr>
          <w:sz w:val="22"/>
          <w:szCs w:val="22"/>
        </w:rPr>
        <w:t xml:space="preserve"> Tris (pH 7.4), </w:t>
      </w:r>
      <w:proofErr w:type="spellStart"/>
      <w:r>
        <w:rPr>
          <w:sz w:val="22"/>
          <w:szCs w:val="22"/>
        </w:rPr>
        <w:t>100mM</w:t>
      </w:r>
      <w:proofErr w:type="spellEnd"/>
      <w:r>
        <w:rPr>
          <w:sz w:val="22"/>
          <w:szCs w:val="22"/>
        </w:rPr>
        <w:t xml:space="preserve"> NaCl, </w:t>
      </w:r>
      <w:proofErr w:type="spellStart"/>
      <w:r>
        <w:rPr>
          <w:sz w:val="22"/>
          <w:szCs w:val="22"/>
        </w:rPr>
        <w:t>1mM</w:t>
      </w:r>
      <w:proofErr w:type="spellEnd"/>
      <w:r>
        <w:rPr>
          <w:sz w:val="22"/>
          <w:szCs w:val="22"/>
        </w:rPr>
        <w:t xml:space="preserve"> </w:t>
      </w:r>
      <w:proofErr w:type="spellStart"/>
      <w:r>
        <w:rPr>
          <w:sz w:val="22"/>
          <w:szCs w:val="22"/>
        </w:rPr>
        <w:t>EDTA</w:t>
      </w:r>
      <w:proofErr w:type="spellEnd"/>
      <w:r>
        <w:rPr>
          <w:sz w:val="22"/>
          <w:szCs w:val="22"/>
        </w:rPr>
        <w:t xml:space="preserve">, </w:t>
      </w:r>
      <w:proofErr w:type="spellStart"/>
      <w:r>
        <w:rPr>
          <w:sz w:val="22"/>
          <w:szCs w:val="22"/>
        </w:rPr>
        <w:t>1mM</w:t>
      </w:r>
      <w:proofErr w:type="spellEnd"/>
      <w:r>
        <w:rPr>
          <w:sz w:val="22"/>
          <w:szCs w:val="22"/>
        </w:rPr>
        <w:t xml:space="preserve"> </w:t>
      </w:r>
      <w:proofErr w:type="spellStart"/>
      <w:r>
        <w:rPr>
          <w:sz w:val="22"/>
          <w:szCs w:val="22"/>
        </w:rPr>
        <w:t>EGTA</w:t>
      </w:r>
      <w:proofErr w:type="spellEnd"/>
      <w:r>
        <w:rPr>
          <w:sz w:val="22"/>
          <w:szCs w:val="22"/>
        </w:rPr>
        <w:t xml:space="preserve">, 1% Triton X-100, 10% Glycerol and 0.1% </w:t>
      </w:r>
      <w:proofErr w:type="spellStart"/>
      <w:r>
        <w:rPr>
          <w:sz w:val="22"/>
          <w:szCs w:val="22"/>
        </w:rPr>
        <w:t>SDS</w:t>
      </w:r>
      <w:proofErr w:type="spellEnd"/>
      <w:r>
        <w:rPr>
          <w:sz w:val="22"/>
          <w:szCs w:val="22"/>
        </w:rPr>
        <w:t>), for 10 minutes, and subsequently it was quantified by means of Pierce</w:t>
      </w:r>
      <w:r>
        <w:rPr>
          <w:rFonts w:hAnsi="Times New Roman"/>
          <w:sz w:val="22"/>
          <w:szCs w:val="22"/>
        </w:rPr>
        <w:t xml:space="preserve">™ </w:t>
      </w:r>
      <w:r>
        <w:rPr>
          <w:sz w:val="22"/>
          <w:szCs w:val="22"/>
        </w:rPr>
        <w:t>BCA Protein Assay Kit (Life Technologies, Carlsbad, California, USA) according to the manufacturer</w:t>
      </w:r>
      <w:r>
        <w:rPr>
          <w:rFonts w:hAnsi="Times New Roman"/>
          <w:sz w:val="22"/>
          <w:szCs w:val="22"/>
        </w:rPr>
        <w:t>’</w:t>
      </w:r>
      <w:r>
        <w:rPr>
          <w:sz w:val="22"/>
          <w:szCs w:val="22"/>
        </w:rPr>
        <w:t xml:space="preserve">s instructions. </w:t>
      </w:r>
    </w:p>
    <w:p w14:paraId="16213B69" w14:textId="77777777" w:rsidR="00E2412D" w:rsidRDefault="00E2412D">
      <w:pPr>
        <w:pStyle w:val="BodyB"/>
        <w:keepNext w:val="0"/>
        <w:widowControl w:val="0"/>
        <w:suppressAutoHyphens w:val="0"/>
        <w:spacing w:line="480" w:lineRule="auto"/>
        <w:jc w:val="both"/>
        <w:rPr>
          <w:sz w:val="22"/>
          <w:szCs w:val="22"/>
          <w:lang w:val="en-US"/>
        </w:rPr>
      </w:pPr>
    </w:p>
    <w:p w14:paraId="13F0DD80" w14:textId="77777777" w:rsidR="00E2412D" w:rsidRDefault="00673E5C">
      <w:pPr>
        <w:pStyle w:val="BodyB"/>
        <w:keepNext w:val="0"/>
        <w:widowControl w:val="0"/>
        <w:suppressAutoHyphens w:val="0"/>
        <w:spacing w:line="480" w:lineRule="auto"/>
        <w:jc w:val="both"/>
        <w:rPr>
          <w:b/>
          <w:bCs/>
          <w:i/>
          <w:iCs/>
          <w:sz w:val="22"/>
          <w:szCs w:val="22"/>
          <w:lang w:val="en-US"/>
        </w:rPr>
      </w:pPr>
      <w:r>
        <w:rPr>
          <w:sz w:val="22"/>
          <w:szCs w:val="22"/>
          <w:lang w:val="en-US"/>
        </w:rPr>
        <w:t xml:space="preserve">2.8 </w:t>
      </w:r>
      <w:r>
        <w:rPr>
          <w:b/>
          <w:bCs/>
          <w:i/>
          <w:iCs/>
          <w:sz w:val="22"/>
          <w:szCs w:val="22"/>
          <w:lang w:val="en-US"/>
        </w:rPr>
        <w:t>Cell experiments</w:t>
      </w:r>
    </w:p>
    <w:p w14:paraId="1A6E2D60" w14:textId="77777777" w:rsidR="00E2412D" w:rsidRDefault="00673E5C">
      <w:pPr>
        <w:pStyle w:val="BodyB"/>
        <w:keepNext w:val="0"/>
        <w:widowControl w:val="0"/>
        <w:suppressAutoHyphens w:val="0"/>
        <w:spacing w:line="480" w:lineRule="auto"/>
        <w:jc w:val="both"/>
        <w:rPr>
          <w:b/>
          <w:bCs/>
          <w:i/>
          <w:iCs/>
          <w:sz w:val="22"/>
          <w:szCs w:val="22"/>
          <w:lang w:val="en-US"/>
        </w:rPr>
      </w:pPr>
      <w:r>
        <w:rPr>
          <w:b/>
          <w:bCs/>
          <w:i/>
          <w:iCs/>
          <w:sz w:val="22"/>
          <w:szCs w:val="22"/>
          <w:lang w:val="en-US"/>
        </w:rPr>
        <w:t xml:space="preserve">2.8.1 Cell culture </w:t>
      </w:r>
    </w:p>
    <w:p w14:paraId="0FCF865B" w14:textId="77777777" w:rsidR="00E2412D" w:rsidRDefault="00673E5C">
      <w:pPr>
        <w:pStyle w:val="BodyB"/>
        <w:keepNext w:val="0"/>
        <w:widowControl w:val="0"/>
        <w:suppressAutoHyphens w:val="0"/>
        <w:spacing w:line="480" w:lineRule="auto"/>
        <w:jc w:val="both"/>
        <w:rPr>
          <w:sz w:val="22"/>
          <w:szCs w:val="22"/>
          <w:lang w:val="en-US"/>
        </w:rPr>
      </w:pPr>
      <w:r>
        <w:rPr>
          <w:sz w:val="22"/>
          <w:szCs w:val="22"/>
          <w:lang w:val="en-US"/>
        </w:rPr>
        <w:t xml:space="preserve">To characterize the biological response </w:t>
      </w:r>
      <w:r>
        <w:rPr>
          <w:i/>
          <w:iCs/>
          <w:sz w:val="22"/>
          <w:szCs w:val="22"/>
          <w:lang w:val="en-US"/>
        </w:rPr>
        <w:t>in vitro</w:t>
      </w:r>
      <w:r>
        <w:rPr>
          <w:sz w:val="22"/>
          <w:szCs w:val="22"/>
          <w:lang w:val="en-US"/>
        </w:rPr>
        <w:t xml:space="preserve">, the pre-osteoblastic murine cell line </w:t>
      </w:r>
      <w:proofErr w:type="spellStart"/>
      <w:r>
        <w:rPr>
          <w:sz w:val="22"/>
          <w:szCs w:val="22"/>
          <w:lang w:val="en-US"/>
        </w:rPr>
        <w:t>MC3T3-E1</w:t>
      </w:r>
      <w:proofErr w:type="spellEnd"/>
      <w:r>
        <w:rPr>
          <w:sz w:val="22"/>
          <w:szCs w:val="22"/>
          <w:lang w:val="en-US"/>
        </w:rPr>
        <w:t xml:space="preserve"> (</w:t>
      </w:r>
      <w:proofErr w:type="spellStart"/>
      <w:r>
        <w:rPr>
          <w:sz w:val="22"/>
          <w:szCs w:val="22"/>
          <w:lang w:val="en-US"/>
        </w:rPr>
        <w:t>ECACC</w:t>
      </w:r>
      <w:proofErr w:type="spellEnd"/>
      <w:r>
        <w:rPr>
          <w:sz w:val="22"/>
          <w:szCs w:val="22"/>
          <w:lang w:val="en-US"/>
        </w:rPr>
        <w:t xml:space="preserve">, Salisbury, UK) was used. Cells were maintained in </w:t>
      </w:r>
      <w:proofErr w:type="spellStart"/>
      <w:r>
        <w:rPr>
          <w:sz w:val="22"/>
          <w:szCs w:val="22"/>
          <w:lang w:val="en-US"/>
        </w:rPr>
        <w:t>DMEM</w:t>
      </w:r>
      <w:proofErr w:type="spellEnd"/>
      <w:r>
        <w:rPr>
          <w:sz w:val="22"/>
          <w:szCs w:val="22"/>
          <w:lang w:val="en-US"/>
        </w:rPr>
        <w:t xml:space="preserve"> supplemented with 10% fetal bovine serum (Life Technologies, Milan, Italy), 100 U/ml penicillin, 100 </w:t>
      </w:r>
      <w:proofErr w:type="spellStart"/>
      <w:r>
        <w:rPr>
          <w:sz w:val="22"/>
          <w:szCs w:val="22"/>
          <w:lang w:val="en-US"/>
        </w:rPr>
        <w:t>μg</w:t>
      </w:r>
      <w:proofErr w:type="spellEnd"/>
      <w:r>
        <w:rPr>
          <w:sz w:val="22"/>
          <w:szCs w:val="22"/>
          <w:lang w:val="en-US"/>
        </w:rPr>
        <w:t xml:space="preserve">/ml streptomycin, under humidified atmosphere of 5% </w:t>
      </w:r>
      <w:r>
        <w:rPr>
          <w:sz w:val="22"/>
          <w:szCs w:val="22"/>
          <w:lang w:val="en-US"/>
        </w:rPr>
        <w:lastRenderedPageBreak/>
        <w:t>CO</w:t>
      </w:r>
      <w:r>
        <w:rPr>
          <w:sz w:val="22"/>
          <w:szCs w:val="22"/>
          <w:vertAlign w:val="subscript"/>
          <w:lang w:val="en-US"/>
        </w:rPr>
        <w:t>2</w:t>
      </w:r>
      <w:r>
        <w:rPr>
          <w:sz w:val="22"/>
          <w:szCs w:val="22"/>
          <w:lang w:val="en-US"/>
        </w:rPr>
        <w:t xml:space="preserve"> in air, at </w:t>
      </w:r>
      <w:proofErr w:type="spellStart"/>
      <w:r>
        <w:rPr>
          <w:sz w:val="22"/>
          <w:szCs w:val="22"/>
          <w:lang w:val="en-US"/>
        </w:rPr>
        <w:t>37°C</w:t>
      </w:r>
      <w:proofErr w:type="spellEnd"/>
      <w:r>
        <w:rPr>
          <w:sz w:val="22"/>
          <w:szCs w:val="22"/>
          <w:lang w:val="en-US"/>
        </w:rPr>
        <w:t xml:space="preserve">. Cells were passaged at </w:t>
      </w:r>
      <w:proofErr w:type="spellStart"/>
      <w:r>
        <w:rPr>
          <w:sz w:val="22"/>
          <w:szCs w:val="22"/>
          <w:lang w:val="en-US"/>
        </w:rPr>
        <w:t>subconfluency</w:t>
      </w:r>
      <w:proofErr w:type="spellEnd"/>
      <w:r>
        <w:rPr>
          <w:sz w:val="22"/>
          <w:szCs w:val="22"/>
          <w:lang w:val="en-US"/>
        </w:rPr>
        <w:t xml:space="preserve"> to prevent contact inhibition.</w:t>
      </w:r>
    </w:p>
    <w:p w14:paraId="276219AA" w14:textId="77777777" w:rsidR="00E2412D" w:rsidRDefault="00673E5C">
      <w:pPr>
        <w:pStyle w:val="BodyB"/>
        <w:keepNext w:val="0"/>
        <w:widowControl w:val="0"/>
        <w:suppressAutoHyphens w:val="0"/>
        <w:spacing w:line="480" w:lineRule="auto"/>
        <w:jc w:val="both"/>
        <w:rPr>
          <w:b/>
          <w:bCs/>
          <w:i/>
          <w:iCs/>
          <w:sz w:val="22"/>
          <w:szCs w:val="22"/>
          <w:lang w:val="en-US"/>
        </w:rPr>
      </w:pPr>
      <w:r>
        <w:rPr>
          <w:sz w:val="22"/>
          <w:szCs w:val="22"/>
          <w:lang w:val="en-US"/>
        </w:rPr>
        <w:t xml:space="preserve">2.8.2 </w:t>
      </w:r>
      <w:r>
        <w:rPr>
          <w:b/>
          <w:bCs/>
          <w:i/>
          <w:iCs/>
          <w:sz w:val="22"/>
          <w:szCs w:val="22"/>
          <w:lang w:val="en-US"/>
        </w:rPr>
        <w:t>Cell adhesion</w:t>
      </w:r>
    </w:p>
    <w:p w14:paraId="797F68F8" w14:textId="4301D976" w:rsidR="00E2412D" w:rsidRDefault="00673E5C">
      <w:pPr>
        <w:pStyle w:val="BodyB"/>
        <w:keepNext w:val="0"/>
        <w:widowControl w:val="0"/>
        <w:suppressAutoHyphens w:val="0"/>
        <w:spacing w:line="480" w:lineRule="auto"/>
        <w:jc w:val="both"/>
        <w:rPr>
          <w:lang w:val="en-US"/>
        </w:rPr>
      </w:pPr>
      <w:r>
        <w:rPr>
          <w:sz w:val="22"/>
          <w:szCs w:val="22"/>
          <w:lang w:val="en-US"/>
        </w:rPr>
        <w:t xml:space="preserve">As reported previously </w:t>
      </w:r>
      <w:r w:rsidR="00DC2A1D">
        <w:rPr>
          <w:sz w:val="22"/>
          <w:szCs w:val="22"/>
          <w:lang w:val="en-US"/>
        </w:rPr>
        <w:fldChar w:fldCharType="begin" w:fldLock="1"/>
      </w:r>
      <w:r w:rsidR="00296F38">
        <w:rPr>
          <w:sz w:val="22"/>
          <w:szCs w:val="22"/>
          <w:lang w:val="en-US"/>
        </w:rPr>
        <w:instrText>ADDIN CSL_CITATION { "citationItems" : [ { "id" : "ITEM-1", "itemData" : { "DOI" : "10.11607/jomi.5777", "ISSN" : "08822786", "abstract" : "\u00a9 2017 by Quintessence Publishing Co Inc. Purpose: This in vitro study tested the effects of argon atmospheric pressure dielectric barrier discharge (APDBD) on different implant surfaces with regard to physical changes, bacterial decontamination, and osteoblast adhesion. Materials and Methods: Seven hundred twenty disks with three different surface topographies- machined (MAC), titanium plasma-sprayed (TPS), and zirconia-blasted and acid-etched (ZRT)-were tested in this experiment. Bacterial adhesion tests were performed repeatedly on a simplified biofilm of Streptococcus mitis. Bacteria were incubated in the presence of the samples, which were subsequently either left untreated as controls or treated with APDBD for 30, 60, and 120 seconds. Samples were then metalized, prior to the recurring acquisition of images using a scanning electronic microscope (SEM). Protein adsorption, surface wettability, and early biologic response were determined for both treated (120 seconds) and untreated implant surfaces. For depicting the eukaryotic cell behavior, preosteoblastic murine cells were used. Cells were conveniently stained, and nuclei were counted. Cell viability was assessed by a chemiluminescent assay at 1, 2, and 3 days. Results: On all treated samples, values of the contact angle measurements were lower than 10 degrees. The untreated samples showed values of contact angle of 80, 100, and 110 degrees, respectively, for MAC, TPS, and ZRT. The protein adsorption on TPS and ZRT was significantly increased after the plasma of argon treatment. However, no significant effect was noted on the MAC disks. The number and the cell spreading area of adherent osteoblasts significantly increased in all treated surfaces. Nonetheless, argon treatment did not influence the osteoblast proliferation and viability at different time points. Bacteria adhesion was significantly reduced, even after 60 seconds of argon treatment. Conclusion: Preliminary data showed that argon atmospheric pressure dielectric barrier discharge disinfected the implant surface, with potential to promote osteoblast attachment and spreading, suggesting this may be a possible approach to clean a peri-implantitis-contaminated implant surface.", "author" : [ { "dropping-particle" : "", "family" : "Canullo", "given" : "Luigi", "non-dropping-particle" : "", "parse-names" : false, "suffix" : "" }, { "dropping-particle" : "", "family" : "Genova", "given" : "Tullio", "non-dropping-particle" : "", "parse-names" : false, "suffix" : "" }, { "dropping-particle" : "", "family" : "Wang", "given" : "Hom-Lay", "non-dropping-particle" : "", "parse-names" : false, "suffix" : "" }, { "dropping-particle" : "", "family" : "Carossa", "given" : "Stefano", "non-dropping-particle" : "", "parse-names" : false, "suffix" : "" }, { "dropping-particle" : "", "family" : "Mussano", "given" : "Federico", "non-dropping-particle" : "", "parse-names" : false, "suffix" : "" } ], "container-title" : "The International Journal of Oral &amp; Maxillofacial Implants", "id" : "ITEM-1", "issue" : "6", "issued" : { "date-parts" : [ [ "2017", "11" ] ] }, "page" : "1315-1323", "title" : "Plasma of Argon Increases Cell Attachment and Bacterial Decontamination on Different Implant Surfaces", "type" : "article-journal", "volume" : "32" }, "uris" : [ "http://www.mendeley.com/documents/?uuid=fbf0af37-ab8f-4bf5-b704-e15c35c1d2eb", "http://www.mendeley.com/documents/?uuid=3a349d55-541b-4681-af89-3b750dffc89d" ] }, { "id" : "ITEM-2", "itemData" : { "DOI" : "10.1016/j.apsusc.2017.02.035", "ISSN" : "01694332", "abstract" : "Plasma surface activation and plasma polymers deposition are promising technologies capable to modulate biologically relevant surface features of biomaterials. The purpose of this study was to evaluate the biological effects of two different surface modifications, i.e. amine (NH2-Ti) and carboxylic/esteric (COOH/R-Ti) functionalities obtained from 3-aminopropyltriethoxysilane (3-APTES) and methylmethacrylate (MMA) precursors, respectively, through an atmospheric plasma jet RF-APPJ portable equipment. The coatings were characterized by Scanning Electron Microscopy, FT-IR spectroscopy, XPS and surface energy calculations. Stability in water and after UV sterilization were also verified. The pre-osteoblastic murine cell line MC3T3-E1 was used to perform the in-vitro tests. The treated samples showed a higher quantity of adsorbed proteins and improved osteoblast cells adhesion on the surfaces compared to the pristine titanium, in particular the COOH/R-Ti led to a nearly two-fold improvement. Cell proliferation on coated samples was initially (at 24??h) lower than on titanium control, while, at 48??h, COOH/R-Ti reached the proliferation rate of pristine titanium. Cells grown on NH2-Ti were more tapered and elongated in shape with lower areas than on COOH/R-Ti enriched surfaces. Finally, NH2-Ti significantly enhanced osteocalcin production, starting from 14??days, while COOH/R-Ti had this effect only from 21??days. Notably, NH2-Ti was more efficient than COOH/R-Ti at 21??days. The amine functionality elicited the most relevant osteogenic effect in terms of osteocalcin expression, thus establishing an interesting correlation between early cell morphology and later differentiation stages. Taken together, these data encourage the use of the functionalization procedures here reported in further studies.", "author" : [ { "dropping-particle" : "", "family" : "Mussano", "given" : "F.", "non-dropping-particle" : "", "parse-names" : false, "suffix" : "" }, { "dropping-particle" : "", "family" : "Genova", "given" : "T.", "non-dropping-particle" : "", "parse-names" : false, "suffix" : "" }, { "dropping-particle" : "", "family" : "Verga Falzacappa", "given" : "E.", "non-dropping-particle" : "", "parse-names" : false, "suffix" : "" }, { "dropping-particle" : "", "family" : "Scopece", "given" : "P.", "non-dropping-particle" : "", "parse-names" : false, "suffix" : "" }, { "dropping-particle" : "", "family" : "Munaron", "given" : "L.", "non-dropping-particle" : "", "parse-names" : false, "suffix" : "" }, { "dropping-particle" : "", "family" : "Rivolo", "given" : "P.", "non-dropping-particle" : "", "parse-names" : false, "suffix" : "" }, { "dropping-particle" : "", "family" : "Mandracci", "given" : "P.", "non-dropping-particle" : "", "parse-names" : false, "suffix" : "" }, { "dropping-particle" : "", "family" : "Benedetti", "given" : "A.", "non-dropping-particle" : "", "parse-names" : false, "suffix" : "" }, { "dropping-particle" : "", "family" : "Carossa", "given" : "S.", "non-dropping-particle" : "", "parse-names" : false, "suffix" : "" }, { "dropping-particle" : "", "family" : "Patelli", "given" : "A.", "non-dropping-particle" : "", "parse-names" : false, "suffix" : "" } ], "container-title" : "Applied Surface Science", "id" : "ITEM-2", "issued" : { "date-parts" : [ [ "2017", "7" ] ] }, "page" : "314-324", "title" : "In vitro characterization of two different atmospheric plasma jet chemical functionalizations of titanium surfaces", "type" : "article-journal", "volume" : "409" }, "uris" : [ "http://www.mendeley.com/documents/?uuid=a7c220b1-4800-4070-9dbf-0668be75cb54", "http://www.mendeley.com/documents/?uuid=fbf3ea95-4e7b-4ca5-9543-01f6237966de" ] } ], "mendeley" : { "formattedCitation" : "[27,28]", "plainTextFormattedCitation" : "[27,28]", "previouslyFormattedCitation" : "[27,28]" }, "properties" : {  }, "schema" : "https://github.com/citation-style-language/schema/raw/master/csl-citation.json" }</w:instrText>
      </w:r>
      <w:r w:rsidR="00DC2A1D">
        <w:rPr>
          <w:sz w:val="22"/>
          <w:szCs w:val="22"/>
          <w:lang w:val="en-US"/>
        </w:rPr>
        <w:fldChar w:fldCharType="separate"/>
      </w:r>
      <w:r w:rsidR="00FB577C" w:rsidRPr="00FB577C">
        <w:rPr>
          <w:noProof/>
          <w:sz w:val="22"/>
          <w:szCs w:val="22"/>
          <w:lang w:val="en-US"/>
        </w:rPr>
        <w:t>[27,28]</w:t>
      </w:r>
      <w:r w:rsidR="00DC2A1D">
        <w:rPr>
          <w:sz w:val="22"/>
          <w:szCs w:val="22"/>
          <w:lang w:val="en-US"/>
        </w:rPr>
        <w:fldChar w:fldCharType="end"/>
      </w:r>
      <w:r>
        <w:rPr>
          <w:sz w:val="22"/>
          <w:szCs w:val="22"/>
          <w:lang w:val="en-US"/>
        </w:rPr>
        <w:t xml:space="preserve">, cell adhesion was evaluated on titanium samples using a 48-well plate (BD, Milan Italy). Cells were detached using trypsin for 3 minutes, carefully counted and seeded at </w:t>
      </w:r>
      <w:r w:rsidR="00AF1E02">
        <w:rPr>
          <w:sz w:val="22"/>
          <w:szCs w:val="22"/>
          <w:lang w:val="en-US"/>
        </w:rPr>
        <w:t>500</w:t>
      </w:r>
      <w:r>
        <w:rPr>
          <w:sz w:val="22"/>
          <w:szCs w:val="22"/>
          <w:lang w:val="en-US"/>
        </w:rPr>
        <w:t xml:space="preserve"> cells/well on the disks with different roughness. Before and after fixation in 4% paraformaldehyde in PBS for 15 min at room temperature, cells were washed two times with PBS and then stained with 1</w:t>
      </w:r>
      <w:r w:rsidR="00B32E2D">
        <w:rPr>
          <w:sz w:val="22"/>
          <w:szCs w:val="22"/>
          <w:lang w:val="en-US"/>
        </w:rPr>
        <w:t xml:space="preserve"> </w:t>
      </w:r>
      <w:proofErr w:type="spellStart"/>
      <w:r>
        <w:rPr>
          <w:sz w:val="22"/>
          <w:szCs w:val="22"/>
          <w:lang w:val="en-US"/>
        </w:rPr>
        <w:t>μM</w:t>
      </w:r>
      <w:proofErr w:type="spellEnd"/>
      <w:r>
        <w:rPr>
          <w:sz w:val="22"/>
          <w:szCs w:val="22"/>
          <w:lang w:val="en-US"/>
        </w:rPr>
        <w:t xml:space="preserve"> </w:t>
      </w:r>
      <w:proofErr w:type="spellStart"/>
      <w:r>
        <w:rPr>
          <w:sz w:val="22"/>
          <w:szCs w:val="22"/>
          <w:lang w:val="en-US"/>
        </w:rPr>
        <w:t>DAPI</w:t>
      </w:r>
      <w:proofErr w:type="spellEnd"/>
      <w:r>
        <w:rPr>
          <w:sz w:val="22"/>
          <w:szCs w:val="22"/>
          <w:lang w:val="en-US"/>
        </w:rPr>
        <w:t xml:space="preserve"> (Molecular Probes, Eugene, California, USA) for 15’ at </w:t>
      </w:r>
      <w:proofErr w:type="spellStart"/>
      <w:r>
        <w:rPr>
          <w:sz w:val="22"/>
          <w:szCs w:val="22"/>
          <w:lang w:val="en-US"/>
        </w:rPr>
        <w:t>37°C</w:t>
      </w:r>
      <w:proofErr w:type="spellEnd"/>
      <w:r>
        <w:rPr>
          <w:sz w:val="22"/>
          <w:szCs w:val="22"/>
          <w:lang w:val="en-US"/>
        </w:rPr>
        <w:t xml:space="preserve"> to stain cell nuclei</w:t>
      </w:r>
      <w:r w:rsidR="004678EE">
        <w:rPr>
          <w:sz w:val="22"/>
          <w:szCs w:val="22"/>
          <w:lang w:val="en-US"/>
        </w:rPr>
        <w:t xml:space="preserve"> </w:t>
      </w:r>
      <w:r w:rsidR="004678EE">
        <w:rPr>
          <w:sz w:val="22"/>
          <w:szCs w:val="22"/>
          <w:lang w:val="en-US"/>
        </w:rPr>
        <w:fldChar w:fldCharType="begin" w:fldLock="1"/>
      </w:r>
      <w:r w:rsidR="00296F38">
        <w:rPr>
          <w:sz w:val="22"/>
          <w:szCs w:val="22"/>
          <w:lang w:val="en-US"/>
        </w:rPr>
        <w:instrText>ADDIN CSL_CITATION { "citationItems" : [ { "id" : "ITEM-1", "itemData" : { "DOI" : "10.1016/j.apsusc.2017.11.283", "ISSN" : "01694332", "abstract" : "Silicon-based materials present a high potential for dental implant applications, since silicon has been proven necessary for the correct bone formation in animals and humans. Notably, the addition of silicon is effective to enhance the bioactivity of hydroxyapatite and other biomaterials. The present work aims to expand the knowledge of the role exerted by hydrogen in the biological interaction of silicon-based materials, comparing two hydrogenated amorphous silicon coatings, with different hydrogen content, as means to enhance soft tissue cell adhesion. To accomplish this task, the films were produced by plasma enhanced chemical vapor deposition (PECVD) on titanium substrates and their surface composition and hydrogen content were analyzed by means of X-ray photoelectron spectroscopy (XPS) and Fourier-transform infrared spectrophotometry (FTIR) respectively. The surface energy and roughness were measured through optical contact angle analysis (OCA) and high-resolution mechanical profilometry respectively. Coated surfaces showed a slightly lower roughness, compared to bare titanium samples, regardless of the hydrogen content. The early cell responses of human keratinocytes and fibroblasts were tested on the above mentioned surface modifications, in terms of cell adhesion, viability and morphometrical assessment. Films with lower hydrogen content were endowed with a surface energy comparable to the titanium surfaces. Films with higher hydrogen incorporation displayed a lower surface oxidation and a considerably lower surface energy, compared to the less hydrogenated samples. As regards mean cell area and focal adhesion density, both a-Si coatings influenced fibroblasts, but had no significant effects on keratinocytes. On the contrary, hydrogen-rich films increased manifolds the adhesion and viability of keratinocytes, but not of fibroblasts, suggesting a selective biological effect on these cells.", "author" : [ { "dropping-particle" : "", "family" : "Mussano", "given" : "F.", "non-dropping-particle" : "", "parse-names" : false, "suffix" : "" }, { "dropping-particle" : "", "family" : "Genova", "given" : "T.", "non-dropping-particle" : "", "parse-names" : false, "suffix" : "" }, { "dropping-particle" : "", "family" : "Laurenti", "given" : "M.", "non-dropping-particle" : "", "parse-names" : false, "suffix" : "" }, { "dropping-particle" : "", "family" : "Munaron", "given" : "L.", "non-dropping-particle" : "", "parse-names" : false, "suffix" : "" }, { "dropping-particle" : "", "family" : "Pirri", "given" : "C.F.", "non-dropping-particle" : "", "parse-names" : false, "suffix" : "" }, { "dropping-particle" : "", "family" : "Rivolo", "given" : "P.", "non-dropping-particle" : "", "parse-names" : false, "suffix" : "" }, { "dropping-particle" : "", "family" : "Carossa", "given" : "S.", "non-dropping-particle" : "", "parse-names" : false, "suffix" : "" }, { "dropping-particle" : "", "family" : "Mandracci", "given" : "P.", "non-dropping-particle" : "", "parse-names" : false, "suffix" : "" } ], "container-title" : "Applied Surface Science", "id" : "ITEM-1", "issued" : { "date-parts" : [ [ "2018", "4" ] ] }, "page" : "603-612", "title" : "Hydrogenated amorphous silicon coatings may modulate gingival cell response", "type" : "article-journal", "volume" : "436" }, "uris" : [ "http://www.mendeley.com/documents/?uuid=3e614b14-6f38-3d20-a54d-5b078ab5b912", "http://www.mendeley.com/documents/?uuid=46606f2d-74a6-401a-9b12-4598225454b2" ] } ], "mendeley" : { "formattedCitation" : "[29]", "plainTextFormattedCitation" : "[29]", "previouslyFormattedCitation" : "[29]" }, "properties" : {  }, "schema" : "https://github.com/citation-style-language/schema/raw/master/csl-citation.json" }</w:instrText>
      </w:r>
      <w:r w:rsidR="004678EE">
        <w:rPr>
          <w:sz w:val="22"/>
          <w:szCs w:val="22"/>
          <w:lang w:val="en-US"/>
        </w:rPr>
        <w:fldChar w:fldCharType="separate"/>
      </w:r>
      <w:r w:rsidR="00FB577C" w:rsidRPr="00FB577C">
        <w:rPr>
          <w:noProof/>
          <w:sz w:val="22"/>
          <w:szCs w:val="22"/>
          <w:lang w:val="en-US"/>
        </w:rPr>
        <w:t>[29]</w:t>
      </w:r>
      <w:r w:rsidR="004678EE">
        <w:rPr>
          <w:sz w:val="22"/>
          <w:szCs w:val="22"/>
          <w:lang w:val="en-US"/>
        </w:rPr>
        <w:fldChar w:fldCharType="end"/>
      </w:r>
      <w:r>
        <w:rPr>
          <w:sz w:val="22"/>
          <w:szCs w:val="22"/>
          <w:lang w:val="en-US"/>
        </w:rPr>
        <w:t>. Images were acquired using a Nikon Eclipse T-E mi</w:t>
      </w:r>
      <w:r w:rsidR="00DC2A1D">
        <w:rPr>
          <w:sz w:val="22"/>
          <w:szCs w:val="22"/>
          <w:lang w:val="en-US"/>
        </w:rPr>
        <w:t xml:space="preserve">croscope with a Nikon Plan </w:t>
      </w:r>
      <w:proofErr w:type="spellStart"/>
      <w:r w:rsidR="00DC2A1D">
        <w:rPr>
          <w:sz w:val="22"/>
          <w:szCs w:val="22"/>
          <w:lang w:val="en-US"/>
        </w:rPr>
        <w:t>10X</w:t>
      </w:r>
      <w:proofErr w:type="spellEnd"/>
      <w:r>
        <w:rPr>
          <w:sz w:val="22"/>
          <w:szCs w:val="22"/>
          <w:lang w:val="en-US"/>
        </w:rPr>
        <w:t xml:space="preserve">. </w:t>
      </w:r>
      <w:r w:rsidR="00B32E2D">
        <w:rPr>
          <w:sz w:val="22"/>
          <w:szCs w:val="22"/>
          <w:lang w:val="en-US"/>
        </w:rPr>
        <w:t xml:space="preserve">In order to perform adhesion assay with </w:t>
      </w:r>
      <w:r w:rsidR="00B32E2D" w:rsidRPr="00B32E2D">
        <w:rPr>
          <w:sz w:val="22"/>
          <w:szCs w:val="22"/>
          <w:lang w:val="en-US"/>
        </w:rPr>
        <w:t xml:space="preserve">the integrin-activating </w:t>
      </w:r>
      <w:proofErr w:type="spellStart"/>
      <w:r w:rsidR="00B32E2D" w:rsidRPr="00B32E2D">
        <w:rPr>
          <w:sz w:val="22"/>
          <w:szCs w:val="22"/>
          <w:lang w:val="en-US"/>
        </w:rPr>
        <w:t>9EG7</w:t>
      </w:r>
      <w:proofErr w:type="spellEnd"/>
      <w:r w:rsidR="00B32E2D" w:rsidRPr="00B32E2D">
        <w:rPr>
          <w:sz w:val="22"/>
          <w:szCs w:val="22"/>
          <w:lang w:val="en-US"/>
        </w:rPr>
        <w:t xml:space="preserve"> antibody</w:t>
      </w:r>
      <w:r w:rsidR="00B32E2D">
        <w:rPr>
          <w:sz w:val="22"/>
          <w:szCs w:val="22"/>
          <w:lang w:val="en-US"/>
        </w:rPr>
        <w:t>, the cells were</w:t>
      </w:r>
      <w:r w:rsidR="00B32E2D" w:rsidRPr="00B32E2D">
        <w:rPr>
          <w:sz w:val="22"/>
          <w:szCs w:val="22"/>
          <w:lang w:val="en-US"/>
        </w:rPr>
        <w:t xml:space="preserve"> </w:t>
      </w:r>
      <w:r w:rsidR="00B32E2D">
        <w:rPr>
          <w:sz w:val="22"/>
          <w:szCs w:val="22"/>
          <w:lang w:val="en-US"/>
        </w:rPr>
        <w:t xml:space="preserve">preincubated with cells with </w:t>
      </w:r>
      <w:proofErr w:type="spellStart"/>
      <w:r w:rsidR="00B32E2D">
        <w:rPr>
          <w:sz w:val="22"/>
          <w:szCs w:val="22"/>
          <w:lang w:val="en-US"/>
        </w:rPr>
        <w:t>9EG7</w:t>
      </w:r>
      <w:proofErr w:type="spellEnd"/>
      <w:r w:rsidR="00B32E2D">
        <w:rPr>
          <w:sz w:val="22"/>
          <w:szCs w:val="22"/>
          <w:lang w:val="en-US"/>
        </w:rPr>
        <w:t xml:space="preserve"> Ab in the presence of 0.1 mM </w:t>
      </w:r>
      <w:proofErr w:type="spellStart"/>
      <w:r w:rsidR="00B32E2D">
        <w:rPr>
          <w:sz w:val="22"/>
          <w:szCs w:val="22"/>
          <w:lang w:val="en-US"/>
        </w:rPr>
        <w:t>MnCl</w:t>
      </w:r>
      <w:r w:rsidR="00B32E2D" w:rsidRPr="009D3B47">
        <w:rPr>
          <w:sz w:val="22"/>
          <w:szCs w:val="22"/>
          <w:vertAlign w:val="subscript"/>
          <w:lang w:val="en-US"/>
        </w:rPr>
        <w:t>2</w:t>
      </w:r>
      <w:proofErr w:type="spellEnd"/>
      <w:r w:rsidR="00B32E2D">
        <w:rPr>
          <w:sz w:val="22"/>
          <w:szCs w:val="22"/>
          <w:lang w:val="en-US"/>
        </w:rPr>
        <w:t xml:space="preserve"> as described in </w:t>
      </w:r>
      <w:r w:rsidR="00B32E2D">
        <w:rPr>
          <w:sz w:val="22"/>
          <w:szCs w:val="22"/>
          <w:lang w:val="en-US"/>
        </w:rPr>
        <w:fldChar w:fldCharType="begin" w:fldLock="1"/>
      </w:r>
      <w:r w:rsidR="00296F38">
        <w:rPr>
          <w:sz w:val="22"/>
          <w:szCs w:val="22"/>
          <w:lang w:val="en-US"/>
        </w:rPr>
        <w:instrText>ADDIN CSL_CITATION { "citationItems" : [ { "id" : "ITEM-1", "itemData" : { "DOI" : "10.1083/jcb.201506024", "ISSN" : "0021-9525", "PMID" : "28550110", "abstract" : "Endothelial cell adhesion and migration are critical steps of the angiogenic process, whose dysfunction is associated with tumor growth and metastasis. The TRPM8 channel has recently been proposed to play a protective role in prostate cancer by impairing cell motility. However, the mechanisms by which it could influence vascular behavior are unknown. Here, we reveal a novel non-channel function for TRPM8 that unexpectedly acts as a Rap1 GTPase inhibitor, thereby inhibiting endothelial cell motility, independently of pore function. TRPM8 retains Rap1 intracellularly through direct protein\u2013protein interaction, thus preventing its cytoplasm\u2013plasma membrane trafficking. In turn, this mechanism impairs the activation of a major inside-out signaling pathway that triggers the conformational activation of integrin and, consequently, cell adhesion, migration, in vitro endothelial tube formation, and spheroid sprouting. Our results bring to light a novel, pore-independent molecular mechanism by which endogenous TRPM8 expression inhibits Rap1 GTPase and thus plays a critical role in the behavior of vascular endothelial cells by inhibiting migration.", "author" : [ { "dropping-particle" : "", "family" : "Genova", "given" : "Tullio", "non-dropping-particle" : "", "parse-names" : false, "suffix" : "" }, { "dropping-particle" : "", "family" : "Grolez", "given" : "Guillaume P.", "non-dropping-particle" : "", "parse-names" : false, "suffix" : "" }, { "dropping-particle" : "", "family" : "Camillo", "given" : "Chiara", "non-dropping-particle" : "", "parse-names" : false, "suffix" : "" }, { "dropping-particle" : "", "family" : "Bernardini", "given" : "Michela", "non-dropping-particle" : "", "parse-names" : false, "suffix" : "" }, { "dropping-particle" : "", "family" : "Bokhobza", "given" : "Alexandre", "non-dropping-particle" : "", "parse-names" : false, "suffix" : "" }, { "dropping-particle" : "", "family" : "Richard", "given" : "Elodie", "non-dropping-particle" : "", "parse-names" : false, "suffix" : "" }, { "dropping-particle" : "", "family" : "Scianna", "given" : "Marco", "non-dropping-particle" : "", "parse-names" : false, "suffix" : "" }, { "dropping-particle" : "", "family" : "Lemonnier", "given" : "Loic", "non-dropping-particle" : "", "parse-names" : false, "suffix" : "" }, { "dropping-particle" : "", "family" : "Valdembri", "given" : "Donatella", "non-dropping-particle" : "", "parse-names" : false, "suffix" : "" }, { "dropping-particle" : "", "family" : "Munaron", "given" : "Luca", "non-dropping-particle" : "", "parse-names" : false, "suffix" : "" }, { "dropping-particle" : "", "family" : "Philips", "given" : "Mark R.", "non-dropping-particle" : "", "parse-names" : false, "suffix" : "" }, { "dropping-particle" : "", "family" : "Mattot", "given" : "Virginie", "non-dropping-particle" : "", "parse-names" : false, "suffix" : "" }, { "dropping-particle" : "", "family" : "Serini", "given" : "Guido", "non-dropping-particle" : "", "parse-names" : false, "suffix" : "" }, { "dropping-particle" : "", "family" : "Prevarskaya", "given" : "Natalia", "non-dropping-particle" : "", "parse-names" : false, "suffix" : "" }, { "dropping-particle" : "", "family" : "Gkika", "given" : "Dimitra", "non-dropping-particle" : "", "parse-names" : false, "suffix" : "" }, { "dropping-particle" : "", "family" : "Pla", "given" : "Alessandra Fiorio", "non-dropping-particle" : "", "parse-names" : false, "suffix" : "" } ], "container-title" : "The Journal of Cell Biology", "id" : "ITEM-1", "issue" : "7", "issued" : { "date-parts" : [ [ "2017", "7", "3" ] ] }, "page" : "2107-2130", "title" : "TRPM8 inhibits endothelial cell migration via a non-channel function by trapping the small GTPase Rap1", "type" : "article-journal", "volume" : "216" }, "uris" : [ "http://www.mendeley.com/documents/?uuid=828e74ff-0b24-4579-8280-4485ef932251" ] } ], "mendeley" : { "formattedCitation" : "[30]", "plainTextFormattedCitation" : "[30]", "previouslyFormattedCitation" : "[30]" }, "properties" : {  }, "schema" : "https://github.com/citation-style-language/schema/raw/master/csl-citation.json" }</w:instrText>
      </w:r>
      <w:r w:rsidR="00B32E2D">
        <w:rPr>
          <w:sz w:val="22"/>
          <w:szCs w:val="22"/>
          <w:lang w:val="en-US"/>
        </w:rPr>
        <w:fldChar w:fldCharType="separate"/>
      </w:r>
      <w:r w:rsidR="00FB577C" w:rsidRPr="00FB577C">
        <w:rPr>
          <w:noProof/>
          <w:sz w:val="22"/>
          <w:szCs w:val="22"/>
          <w:lang w:val="en-US"/>
        </w:rPr>
        <w:t>[30]</w:t>
      </w:r>
      <w:r w:rsidR="00B32E2D">
        <w:rPr>
          <w:sz w:val="22"/>
          <w:szCs w:val="22"/>
          <w:lang w:val="en-US"/>
        </w:rPr>
        <w:fldChar w:fldCharType="end"/>
      </w:r>
      <w:r w:rsidR="00B32E2D">
        <w:rPr>
          <w:sz w:val="22"/>
          <w:szCs w:val="22"/>
          <w:lang w:val="en-US"/>
        </w:rPr>
        <w:t>.</w:t>
      </w:r>
      <w:r w:rsidR="009D3B47">
        <w:rPr>
          <w:sz w:val="22"/>
          <w:szCs w:val="22"/>
          <w:lang w:val="en-US"/>
        </w:rPr>
        <w:t xml:space="preserve"> The samples were coated with 0.</w:t>
      </w:r>
      <w:r w:rsidR="00B32E2D">
        <w:rPr>
          <w:sz w:val="22"/>
          <w:szCs w:val="22"/>
          <w:lang w:val="en-US"/>
        </w:rPr>
        <w:t xml:space="preserve">5 </w:t>
      </w:r>
      <w:proofErr w:type="spellStart"/>
      <w:r w:rsidR="00B32E2D">
        <w:rPr>
          <w:sz w:val="22"/>
          <w:szCs w:val="22"/>
          <w:lang w:val="en-US"/>
        </w:rPr>
        <w:t>μg</w:t>
      </w:r>
      <w:proofErr w:type="spellEnd"/>
      <w:r w:rsidR="00B32E2D">
        <w:rPr>
          <w:sz w:val="22"/>
          <w:szCs w:val="22"/>
          <w:lang w:val="en-US"/>
        </w:rPr>
        <w:t xml:space="preserve">/ml </w:t>
      </w:r>
      <w:r w:rsidR="009D3B47">
        <w:rPr>
          <w:sz w:val="22"/>
          <w:szCs w:val="22"/>
          <w:lang w:val="en-US"/>
        </w:rPr>
        <w:t xml:space="preserve">or 10 </w:t>
      </w:r>
      <w:proofErr w:type="spellStart"/>
      <w:r w:rsidR="009D3B47">
        <w:rPr>
          <w:sz w:val="22"/>
          <w:szCs w:val="22"/>
          <w:lang w:val="en-US"/>
        </w:rPr>
        <w:t>μg</w:t>
      </w:r>
      <w:proofErr w:type="spellEnd"/>
      <w:r w:rsidR="009D3B47">
        <w:rPr>
          <w:sz w:val="22"/>
          <w:szCs w:val="22"/>
          <w:lang w:val="en-US"/>
        </w:rPr>
        <w:t xml:space="preserve">/ml </w:t>
      </w:r>
      <w:r w:rsidR="00B32E2D">
        <w:rPr>
          <w:sz w:val="22"/>
          <w:szCs w:val="22"/>
          <w:lang w:val="en-US"/>
        </w:rPr>
        <w:t>of fibronectin.</w:t>
      </w:r>
      <w:r w:rsidR="000A29D5">
        <w:rPr>
          <w:sz w:val="22"/>
          <w:szCs w:val="22"/>
          <w:lang w:val="en-US"/>
        </w:rPr>
        <w:t xml:space="preserve"> </w:t>
      </w:r>
      <w:r>
        <w:rPr>
          <w:sz w:val="22"/>
          <w:szCs w:val="22"/>
          <w:lang w:val="en-US"/>
        </w:rPr>
        <w:t xml:space="preserve">Cell nuclei were counted using the 'Analyze particles' tool of ImageJ software (ImageJ, U. S. National Institutes of Health, Bethesda, Maryland, USA, </w:t>
      </w:r>
      <w:hyperlink r:id="rId7" w:history="1">
        <w:r>
          <w:rPr>
            <w:rStyle w:val="Hyperlink1"/>
          </w:rPr>
          <w:t>http://</w:t>
        </w:r>
        <w:proofErr w:type="spellStart"/>
        <w:r>
          <w:rPr>
            <w:rStyle w:val="Hyperlink1"/>
          </w:rPr>
          <w:t>imagej.nih.gov</w:t>
        </w:r>
        <w:proofErr w:type="spellEnd"/>
        <w:r>
          <w:rPr>
            <w:rStyle w:val="Hyperlink1"/>
          </w:rPr>
          <w:t>/</w:t>
        </w:r>
        <w:proofErr w:type="spellStart"/>
        <w:r>
          <w:rPr>
            <w:rStyle w:val="Hyperlink1"/>
          </w:rPr>
          <w:t>ij</w:t>
        </w:r>
        <w:proofErr w:type="spellEnd"/>
        <w:r>
          <w:rPr>
            <w:rStyle w:val="Hyperlink1"/>
          </w:rPr>
          <w:t>/</w:t>
        </w:r>
      </w:hyperlink>
      <w:r>
        <w:rPr>
          <w:sz w:val="22"/>
          <w:szCs w:val="22"/>
          <w:lang w:val="en-US"/>
        </w:rPr>
        <w:t>).</w:t>
      </w:r>
    </w:p>
    <w:p w14:paraId="27EAE69C" w14:textId="77777777" w:rsidR="00E2412D" w:rsidRDefault="00673E5C">
      <w:pPr>
        <w:pStyle w:val="BodyB"/>
        <w:keepNext w:val="0"/>
        <w:widowControl w:val="0"/>
        <w:suppressAutoHyphens w:val="0"/>
        <w:spacing w:line="480" w:lineRule="auto"/>
        <w:jc w:val="both"/>
        <w:rPr>
          <w:b/>
          <w:bCs/>
          <w:i/>
          <w:iCs/>
          <w:sz w:val="22"/>
          <w:szCs w:val="22"/>
          <w:lang w:val="en-US"/>
        </w:rPr>
      </w:pPr>
      <w:r>
        <w:rPr>
          <w:lang w:val="en-US"/>
        </w:rPr>
        <w:t xml:space="preserve">2.8.3 </w:t>
      </w:r>
      <w:r>
        <w:rPr>
          <w:b/>
          <w:bCs/>
          <w:i/>
          <w:iCs/>
          <w:sz w:val="22"/>
          <w:szCs w:val="22"/>
          <w:lang w:val="en-US"/>
        </w:rPr>
        <w:t>Cell viability</w:t>
      </w:r>
    </w:p>
    <w:p w14:paraId="799DB387" w14:textId="6DB7505B" w:rsidR="00E2412D" w:rsidRDefault="00673E5C">
      <w:pPr>
        <w:pStyle w:val="BodyB"/>
        <w:keepNext w:val="0"/>
        <w:widowControl w:val="0"/>
        <w:suppressAutoHyphens w:val="0"/>
        <w:spacing w:line="480" w:lineRule="auto"/>
        <w:jc w:val="both"/>
        <w:rPr>
          <w:sz w:val="22"/>
          <w:szCs w:val="22"/>
          <w:lang w:val="en-US"/>
        </w:rPr>
      </w:pPr>
      <w:r>
        <w:rPr>
          <w:sz w:val="22"/>
          <w:szCs w:val="22"/>
          <w:lang w:val="en-US"/>
        </w:rPr>
        <w:t>Cells were plated at a density of 2000 cells/well in 48-well culture dishes to assess their viability by Cell Titer GLO (Promega, Milan, Italy) according to the manufacturer’s protocol at 48 h</w:t>
      </w:r>
      <w:r w:rsidR="00DC2A1D">
        <w:rPr>
          <w:sz w:val="22"/>
          <w:szCs w:val="22"/>
          <w:lang w:val="en-US"/>
        </w:rPr>
        <w:t xml:space="preserve"> </w:t>
      </w:r>
      <w:r w:rsidR="00DC2A1D">
        <w:rPr>
          <w:sz w:val="22"/>
          <w:szCs w:val="22"/>
          <w:lang w:val="en-US"/>
        </w:rPr>
        <w:fldChar w:fldCharType="begin" w:fldLock="1"/>
      </w:r>
      <w:r w:rsidR="00296F38">
        <w:rPr>
          <w:sz w:val="22"/>
          <w:szCs w:val="22"/>
          <w:lang w:val="en-US"/>
        </w:rPr>
        <w:instrText>ADDIN CSL_CITATION { "citationItems" : [ { "id" : "ITEM-1", "itemData" : { "DOI" : "10.3390/ijms19051454", "ISSN" : "1422-0067", "PMID" : "29757956", "abstract" : "Great efforts have been made to improve bone regeneration techniques owing to a growing variety of sources of stem cells suitable for autologous transplants. Specifically, adipose-derived stem cells (ASCs) and stems cells from human exfoliated deciduous teeth (SHED) hold great potential for bone tissue engineering and cell therapy. After a preliminary characterization of the main biomolecules ASCs and SHED released in their conditioned media, cells were kept both in normal and osteo-inducing conditions. Conventional assays were performed to prove their osteogenic potential such as quantitative real-time polymerase chain reaction (qRT-PCR) (for RUNX-2, collagen type I, osteopontin and osteonectin), alkaline phosphatase activity, osteocalcin production, and von Kossa staining. Conditioned media were tested again after the osteogenic induction and compared to maintaining condition both at base line and after 14 days of culture. The osteogenic condition inhibited the release of all the biomolecules, with the exception, concerning SHED, of growth-regulated alpha protein precursor (GRO\u03b1), and, to a lesser extent, interleukin (IL)-8. In conclusion, our data support that undifferentiated ASCs and SHED may be preferable to committed ones for general cell therapy approaches, due to their higher paracrine activity. Osteoinduction significantly affects the cytokine, chemokine, and growth factor profile in a differential way, as SHED kept a more pronounced pro-angiogenic signature than ASCs.", "author" : [ { "dropping-particle" : "", "family" : "Mussano", "given" : "Federico", "non-dropping-particle" : "", "parse-names" : false, "suffix" : "" }, { "dropping-particle" : "", "family" : "Genova", "given" : "Tullio", "non-dropping-particle" : "", "parse-names" : false, "suffix" : "" }, { "dropping-particle" : "", "family" : "Petrillo", "given" : "Sara", "non-dropping-particle" : "", "parse-names" : false, "suffix" : "" }, { "dropping-particle" : "", "family" : "Roato", "given" : "Ilaria", "non-dropping-particle" : "", "parse-names" : false, "suffix" : "" }, { "dropping-particle" : "", "family" : "Ferracini", "given" : "Riccardo", "non-dropping-particle" : "", "parse-names" : false, "suffix" : "" }, { "dropping-particle" : "", "family" : "Munaron", "given" : "Luca", "non-dropping-particle" : "", "parse-names" : false, "suffix" : "" } ], "container-title" : "International journal of molecular sciences", "id" : "ITEM-1", "issue" : "5", "issued" : { "date-parts" : [ [ "2018", "5", "14" ] ] }, "page" : "1454", "title" : "Osteogenic Differentiation Modulates the Cytokine, Chemokine, and Growth Factor Profile of ASCs and SHED.", "type" : "article-journal", "volume" : "19" }, "uris" : [ "http://www.mendeley.com/documents/?uuid=b14d9d18-cbe0-425d-b28c-97b90895ca2c", "http://www.mendeley.com/documents/?uuid=7a2dd14a-c2d6-40ae-a06a-614b2ea4d7db" ] } ], "mendeley" : { "formattedCitation" : "[31]", "plainTextFormattedCitation" : "[31]", "previouslyFormattedCitation" : "[31]" }, "properties" : {  }, "schema" : "https://github.com/citation-style-language/schema/raw/master/csl-citation.json" }</w:instrText>
      </w:r>
      <w:r w:rsidR="00DC2A1D">
        <w:rPr>
          <w:sz w:val="22"/>
          <w:szCs w:val="22"/>
          <w:lang w:val="en-US"/>
        </w:rPr>
        <w:fldChar w:fldCharType="separate"/>
      </w:r>
      <w:r w:rsidR="00FB577C" w:rsidRPr="00FB577C">
        <w:rPr>
          <w:noProof/>
          <w:sz w:val="22"/>
          <w:szCs w:val="22"/>
          <w:lang w:val="en-US"/>
        </w:rPr>
        <w:t>[31]</w:t>
      </w:r>
      <w:r w:rsidR="00DC2A1D">
        <w:rPr>
          <w:sz w:val="22"/>
          <w:szCs w:val="22"/>
          <w:lang w:val="en-US"/>
        </w:rPr>
        <w:fldChar w:fldCharType="end"/>
      </w:r>
      <w:r>
        <w:rPr>
          <w:sz w:val="22"/>
          <w:szCs w:val="22"/>
          <w:lang w:val="en-US"/>
        </w:rPr>
        <w:t xml:space="preserve">. </w:t>
      </w:r>
    </w:p>
    <w:p w14:paraId="31FD3F79" w14:textId="3F5271FE" w:rsidR="00E2412D" w:rsidRDefault="00AF1E02">
      <w:pPr>
        <w:pStyle w:val="BodyB"/>
        <w:keepNext w:val="0"/>
        <w:widowControl w:val="0"/>
        <w:suppressAutoHyphens w:val="0"/>
        <w:spacing w:line="480" w:lineRule="auto"/>
        <w:jc w:val="both"/>
        <w:rPr>
          <w:b/>
          <w:bCs/>
          <w:i/>
          <w:iCs/>
          <w:sz w:val="22"/>
          <w:szCs w:val="22"/>
          <w:lang w:val="en-US"/>
        </w:rPr>
      </w:pPr>
      <w:r>
        <w:rPr>
          <w:sz w:val="22"/>
          <w:szCs w:val="22"/>
          <w:lang w:val="en-US"/>
        </w:rPr>
        <w:t xml:space="preserve">2.8.4 </w:t>
      </w:r>
      <w:proofErr w:type="spellStart"/>
      <w:r w:rsidR="00733886" w:rsidRPr="00AF1E02">
        <w:rPr>
          <w:b/>
          <w:bCs/>
          <w:i/>
          <w:iCs/>
          <w:sz w:val="22"/>
          <w:szCs w:val="22"/>
          <w:lang w:val="en-US"/>
        </w:rPr>
        <w:t>Ca2</w:t>
      </w:r>
      <w:proofErr w:type="spellEnd"/>
      <w:r w:rsidR="00733886" w:rsidRPr="00AF1E02">
        <w:rPr>
          <w:b/>
          <w:bCs/>
          <w:i/>
          <w:iCs/>
          <w:sz w:val="22"/>
          <w:szCs w:val="22"/>
          <w:lang w:val="en-US"/>
        </w:rPr>
        <w:t>+ imaging</w:t>
      </w:r>
    </w:p>
    <w:p w14:paraId="75AD638F" w14:textId="62B04493" w:rsidR="00F642F1" w:rsidRDefault="00F642F1" w:rsidP="00B63CF1">
      <w:pPr>
        <w:pStyle w:val="BodyB"/>
        <w:keepNext w:val="0"/>
        <w:widowControl w:val="0"/>
        <w:suppressAutoHyphens w:val="0"/>
        <w:spacing w:line="480" w:lineRule="auto"/>
        <w:jc w:val="both"/>
        <w:rPr>
          <w:sz w:val="22"/>
          <w:szCs w:val="22"/>
          <w:lang w:val="en-US"/>
        </w:rPr>
      </w:pPr>
      <w:r w:rsidRPr="00F642F1">
        <w:rPr>
          <w:sz w:val="22"/>
          <w:szCs w:val="22"/>
          <w:lang w:val="en-US"/>
        </w:rPr>
        <w:t>Cells were grown on glass cover slips at a density of 5000 cells/</w:t>
      </w:r>
      <w:proofErr w:type="spellStart"/>
      <w:r w:rsidRPr="00F642F1">
        <w:rPr>
          <w:sz w:val="22"/>
          <w:szCs w:val="22"/>
          <w:lang w:val="en-US"/>
        </w:rPr>
        <w:t>cm</w:t>
      </w:r>
      <w:r w:rsidRPr="003E6A3D">
        <w:rPr>
          <w:sz w:val="22"/>
          <w:szCs w:val="22"/>
          <w:vertAlign w:val="superscript"/>
          <w:lang w:val="en-US"/>
        </w:rPr>
        <w:t>2</w:t>
      </w:r>
      <w:proofErr w:type="spellEnd"/>
      <w:r w:rsidRPr="00F642F1">
        <w:rPr>
          <w:sz w:val="22"/>
          <w:szCs w:val="22"/>
          <w:lang w:val="en-US"/>
        </w:rPr>
        <w:t xml:space="preserve"> for </w:t>
      </w:r>
      <w:proofErr w:type="spellStart"/>
      <w:r w:rsidRPr="00F642F1">
        <w:rPr>
          <w:sz w:val="22"/>
          <w:szCs w:val="22"/>
          <w:lang w:val="en-US"/>
        </w:rPr>
        <w:t>24h</w:t>
      </w:r>
      <w:proofErr w:type="spellEnd"/>
      <w:r w:rsidRPr="00F642F1">
        <w:rPr>
          <w:sz w:val="22"/>
          <w:szCs w:val="22"/>
          <w:lang w:val="en-US"/>
        </w:rPr>
        <w:t xml:space="preserve">. Cells were next loaded (30 min at 37 °C) with 2 </w:t>
      </w:r>
      <w:proofErr w:type="spellStart"/>
      <w:r w:rsidRPr="00F642F1">
        <w:rPr>
          <w:sz w:val="22"/>
          <w:szCs w:val="22"/>
          <w:lang w:val="en-US"/>
        </w:rPr>
        <w:t>μM</w:t>
      </w:r>
      <w:proofErr w:type="spellEnd"/>
      <w:r w:rsidRPr="00F642F1">
        <w:rPr>
          <w:sz w:val="22"/>
          <w:szCs w:val="22"/>
          <w:lang w:val="en-US"/>
        </w:rPr>
        <w:t xml:space="preserve"> </w:t>
      </w:r>
      <w:proofErr w:type="spellStart"/>
      <w:r w:rsidRPr="00F642F1">
        <w:rPr>
          <w:sz w:val="22"/>
          <w:szCs w:val="22"/>
          <w:lang w:val="en-US"/>
        </w:rPr>
        <w:t>Fura-2AM</w:t>
      </w:r>
      <w:proofErr w:type="spellEnd"/>
      <w:r w:rsidRPr="00F642F1">
        <w:rPr>
          <w:sz w:val="22"/>
          <w:szCs w:val="22"/>
          <w:lang w:val="en-US"/>
        </w:rPr>
        <w:t xml:space="preserve"> (Invitrogen, Carlsbad, CA, USA), for </w:t>
      </w:r>
      <w:proofErr w:type="spellStart"/>
      <w:r w:rsidRPr="00F642F1">
        <w:rPr>
          <w:sz w:val="22"/>
          <w:szCs w:val="22"/>
          <w:lang w:val="en-US"/>
        </w:rPr>
        <w:t>ratiometric</w:t>
      </w:r>
      <w:proofErr w:type="spellEnd"/>
      <w:r w:rsidRPr="00F642F1">
        <w:rPr>
          <w:sz w:val="22"/>
          <w:szCs w:val="22"/>
          <w:lang w:val="en-US"/>
        </w:rPr>
        <w:t xml:space="preserve"> cytosolic </w:t>
      </w:r>
      <w:proofErr w:type="spellStart"/>
      <w:r w:rsidRPr="00F642F1">
        <w:rPr>
          <w:sz w:val="22"/>
          <w:szCs w:val="22"/>
          <w:lang w:val="en-US"/>
        </w:rPr>
        <w:t>Ca</w:t>
      </w:r>
      <w:r w:rsidRPr="00B32E2D">
        <w:rPr>
          <w:sz w:val="22"/>
          <w:szCs w:val="22"/>
          <w:vertAlign w:val="superscript"/>
          <w:lang w:val="en-US"/>
        </w:rPr>
        <w:t>2</w:t>
      </w:r>
      <w:proofErr w:type="spellEnd"/>
      <w:r w:rsidRPr="00B32E2D">
        <w:rPr>
          <w:sz w:val="22"/>
          <w:szCs w:val="22"/>
          <w:vertAlign w:val="superscript"/>
          <w:lang w:val="en-US"/>
        </w:rPr>
        <w:t>+</w:t>
      </w:r>
      <w:r w:rsidRPr="00F642F1">
        <w:rPr>
          <w:sz w:val="22"/>
          <w:szCs w:val="22"/>
          <w:lang w:val="en-US"/>
        </w:rPr>
        <w:t xml:space="preserve"> concentration ([</w:t>
      </w:r>
      <w:proofErr w:type="spellStart"/>
      <w:r w:rsidRPr="00F642F1">
        <w:rPr>
          <w:sz w:val="22"/>
          <w:szCs w:val="22"/>
          <w:lang w:val="en-US"/>
        </w:rPr>
        <w:t>Ca</w:t>
      </w:r>
      <w:r w:rsidRPr="00B32E2D">
        <w:rPr>
          <w:sz w:val="22"/>
          <w:szCs w:val="22"/>
          <w:vertAlign w:val="superscript"/>
          <w:lang w:val="en-US"/>
        </w:rPr>
        <w:t>2</w:t>
      </w:r>
      <w:proofErr w:type="spellEnd"/>
      <w:r w:rsidRPr="00B32E2D">
        <w:rPr>
          <w:sz w:val="22"/>
          <w:szCs w:val="22"/>
          <w:vertAlign w:val="superscript"/>
          <w:lang w:val="en-US"/>
        </w:rPr>
        <w:t>+</w:t>
      </w:r>
      <w:r w:rsidRPr="00F642F1">
        <w:rPr>
          <w:sz w:val="22"/>
          <w:szCs w:val="22"/>
          <w:lang w:val="en-US"/>
        </w:rPr>
        <w:t>]c) measurements. Cells were then treated with the agonist 4α-Phorbol 12,13-</w:t>
      </w:r>
      <w:proofErr w:type="spellStart"/>
      <w:r w:rsidRPr="00F642F1">
        <w:rPr>
          <w:sz w:val="22"/>
          <w:szCs w:val="22"/>
          <w:lang w:val="en-US"/>
        </w:rPr>
        <w:t>didecanoate</w:t>
      </w:r>
      <w:proofErr w:type="spellEnd"/>
      <w:r w:rsidRPr="00F642F1">
        <w:rPr>
          <w:sz w:val="22"/>
          <w:szCs w:val="22"/>
          <w:lang w:val="en-US"/>
        </w:rPr>
        <w:t xml:space="preserve"> </w:t>
      </w:r>
      <w:r>
        <w:rPr>
          <w:sz w:val="22"/>
          <w:szCs w:val="22"/>
          <w:lang w:val="en-US"/>
        </w:rPr>
        <w:t xml:space="preserve">10 µM </w:t>
      </w:r>
      <w:r w:rsidRPr="00F642F1">
        <w:rPr>
          <w:sz w:val="22"/>
          <w:szCs w:val="22"/>
          <w:lang w:val="en-US"/>
        </w:rPr>
        <w:t>(4α</w:t>
      </w:r>
      <w:proofErr w:type="spellStart"/>
      <w:r w:rsidRPr="00F642F1">
        <w:rPr>
          <w:sz w:val="22"/>
          <w:szCs w:val="22"/>
          <w:lang w:val="en-US"/>
        </w:rPr>
        <w:t>PDD</w:t>
      </w:r>
      <w:proofErr w:type="spellEnd"/>
      <w:r w:rsidRPr="00F642F1">
        <w:rPr>
          <w:sz w:val="22"/>
          <w:szCs w:val="22"/>
          <w:lang w:val="en-US"/>
        </w:rPr>
        <w:t>;</w:t>
      </w:r>
      <w:r>
        <w:rPr>
          <w:sz w:val="22"/>
          <w:szCs w:val="22"/>
          <w:lang w:val="en-US"/>
        </w:rPr>
        <w:t xml:space="preserve"> Sigma Aldrich)</w:t>
      </w:r>
      <w:r w:rsidRPr="00F642F1">
        <w:rPr>
          <w:sz w:val="22"/>
          <w:szCs w:val="22"/>
          <w:lang w:val="en-US"/>
        </w:rPr>
        <w:t xml:space="preserve"> in the extracellular physiological solution Tyrode standard (NaCl 154 mM, </w:t>
      </w:r>
      <w:proofErr w:type="spellStart"/>
      <w:r w:rsidRPr="00F642F1">
        <w:rPr>
          <w:sz w:val="22"/>
          <w:szCs w:val="22"/>
          <w:lang w:val="en-US"/>
        </w:rPr>
        <w:t>KCl</w:t>
      </w:r>
      <w:proofErr w:type="spellEnd"/>
      <w:r w:rsidRPr="00F642F1">
        <w:rPr>
          <w:sz w:val="22"/>
          <w:szCs w:val="22"/>
          <w:lang w:val="en-US"/>
        </w:rPr>
        <w:t xml:space="preserve"> 4 mM, </w:t>
      </w:r>
      <w:proofErr w:type="spellStart"/>
      <w:r w:rsidRPr="00F642F1">
        <w:rPr>
          <w:sz w:val="22"/>
          <w:szCs w:val="22"/>
          <w:lang w:val="en-US"/>
        </w:rPr>
        <w:t>CaCl2</w:t>
      </w:r>
      <w:proofErr w:type="spellEnd"/>
      <w:r w:rsidRPr="00F642F1">
        <w:rPr>
          <w:sz w:val="22"/>
          <w:szCs w:val="22"/>
          <w:lang w:val="en-US"/>
        </w:rPr>
        <w:t xml:space="preserve"> 2</w:t>
      </w:r>
      <w:r w:rsidR="00B32E2D">
        <w:rPr>
          <w:sz w:val="22"/>
          <w:szCs w:val="22"/>
          <w:lang w:val="en-US"/>
        </w:rPr>
        <w:t xml:space="preserve"> </w:t>
      </w:r>
      <w:r w:rsidRPr="00F642F1">
        <w:rPr>
          <w:sz w:val="22"/>
          <w:szCs w:val="22"/>
          <w:lang w:val="en-US"/>
        </w:rPr>
        <w:t xml:space="preserve">mM, </w:t>
      </w:r>
      <w:proofErr w:type="spellStart"/>
      <w:r w:rsidRPr="00F642F1">
        <w:rPr>
          <w:sz w:val="22"/>
          <w:szCs w:val="22"/>
          <w:lang w:val="en-US"/>
        </w:rPr>
        <w:t>MgCl2</w:t>
      </w:r>
      <w:proofErr w:type="spellEnd"/>
      <w:r w:rsidRPr="00F642F1">
        <w:rPr>
          <w:sz w:val="22"/>
          <w:szCs w:val="22"/>
          <w:lang w:val="en-US"/>
        </w:rPr>
        <w:t xml:space="preserve"> 1 mM, Glucose 5.5 mM and HEPES 5 mM)</w:t>
      </w:r>
      <w:r w:rsidR="00974294">
        <w:rPr>
          <w:sz w:val="22"/>
          <w:szCs w:val="22"/>
          <w:lang w:val="en-US"/>
        </w:rPr>
        <w:t xml:space="preserve"> </w:t>
      </w:r>
      <w:r w:rsidR="00974294">
        <w:rPr>
          <w:sz w:val="22"/>
          <w:szCs w:val="22"/>
          <w:lang w:val="en-US"/>
        </w:rPr>
        <w:fldChar w:fldCharType="begin" w:fldLock="1"/>
      </w:r>
      <w:r w:rsidR="00296F38">
        <w:rPr>
          <w:sz w:val="22"/>
          <w:szCs w:val="22"/>
          <w:lang w:val="en-US"/>
        </w:rPr>
        <w:instrText>ADDIN CSL_CITATION { "citationItems" : [ { "id" : "ITEM-1", "itemData" : { "DOI" : "10.3390/cancers11070956", "ISSN" : "2072-6694", "abstract" : "Background: Transient receptor potential (TRP) channels control multiple processes involved in cancer progression by modulating cell proliferation, survival, invasion and intravasation, as well as, endothelial cell (EC) biology and tumor angiogenesis. Nonetheless, a complete TRP expression signature in tumor vessels, including in prostate cancer (PCa), is still lacking. Methods: In the present study, we profiled by qPCR the expression of all TRP channels in human prostate tumor-derived ECs (TECs) in comparison with TECs from breast and renal tumors. We further functionally characterized the role of the \u2018prostate-associated\u2019 channels in proliferation, sprout formation and elongation, directed motility guiding, as well as in vitro and in vivo morphogenesis and angiogenesis. Results: We identified three \u2018prostate-associated\u2019 genes whose expression is upregulated in prostate TECs: TRPV2 as a positive modulator of TEC proliferation, TRPC3 as an endothelial PCa cell attraction factor and TRPA1 as a critical TEC angiogenic factor in vitro and in vivo. Conclusions: We provide here the full TRP signature of PCa vascularization among which three play a profound effect on EC biology. These results contribute to explain the aggressive phenotype previously observed in PTEC and provide new putative therapeutic targets.", "author" : [ { "dropping-particle" : "", "family" : "Bernardini", "given" : "Michela", "non-dropping-particle" : "", "parse-names" : false, "suffix" : "" }, { "dropping-particle" : "", "family" : "Brossa", "given" : "Alessia", "non-dropping-particle" : "", "parse-names" : false, "suffix" : "" }, { "dropping-particle" : "", "family" : "Chinigo", "given" : "Giorgia", "non-dropping-particle" : "", "parse-names" : false, "suffix" : "" }, { "dropping-particle" : "", "family" : "Grolez", "given" : "Guillaume P.", "non-dropping-particle" : "", "parse-names" : false, "suffix" : "" }, { "dropping-particle" : "", "family" : "Trimaglio", "given" : "Giulia", "non-dropping-particle" : "", "parse-names" : false, "suffix" : "" }, { "dropping-particle" : "", "family" : "Allart", "given" : "Laurent", "non-dropping-particle" : "", "parse-names" : false, "suffix" : "" }, { "dropping-particle" : "", "family" : "Hulot", "given" : "Audrey", "non-dropping-particle" : "", "parse-names" : false, "suffix" : "" }, { "dropping-particle" : "", "family" : "Marot", "given" : "Guillemette", "non-dropping-particle" : "", "parse-names" : false, "suffix" : "" }, { "dropping-particle" : "", "family" : "Genova", "given" : "Tullio", "non-dropping-particle" : "", "parse-names" : false, "suffix" : "" }, { "dropping-particle" : "", "family" : "Joshi", "given" : "Aditi", "non-dropping-particle" : "", "parse-names" : false, "suffix" : "" }, { "dropping-particle" : "", "family" : "Mattot", "given" : "Virginie", "non-dropping-particle" : "", "parse-names" : false, "suffix" : "" }, { "dropping-particle" : "", "family" : "Fromont", "given" : "Gaelle", "non-dropping-particle" : "", "parse-names" : false, "suffix" : "" }, { "dropping-particle" : "", "family" : "Munaron", "given" : "Luca", "non-dropping-particle" : "", "parse-names" : false, "suffix" : "" }, { "dropping-particle" : "", "family" : "Bussolati", "given" : "Benedetta", "non-dropping-particle" : "", "parse-names" : false, "suffix" : "" }, { "dropping-particle" : "", "family" : "Prevarskaya", "given" : "Natalia", "non-dropping-particle" : "", "parse-names" : false, "suffix" : "" }, { "dropping-particle" : "", "family" : "Fiorio Pla", "given" : "Alessandra", "non-dropping-particle" : "", "parse-names" : false, "suffix" : "" }, { "dropping-particle" : "", "family" : "Gkika", "given" : "Dimitra", "non-dropping-particle" : "", "parse-names" : false, "suffix" : "" } ], "container-title" : "Cancers", "id" : "ITEM-1", "issue" : "7", "issued" : { "date-parts" : [ [ "2019", "7", "8" ] ] }, "page" : "956", "publisher" : "Multidisciplinary Digital Publishing Institute", "title" : "Transient Receptor Potential Channel Expression Signatures in Tumor-Derived Endothelial Cells: Functional Roles in Prostate Cancer Angiogenesis", "type" : "article-journal", "volume" : "11" }, "uris" : [ "http://www.mendeley.com/documents/?uuid=0660425c-eaf7-365e-bb63-673c963d7678", "http://www.mendeley.com/documents/?uuid=e702bfeb-63a7-4ef3-901b-b13f708ad5c3" ] } ], "mendeley" : { "formattedCitation" : "[32]", "plainTextFormattedCitation" : "[32]", "previouslyFormattedCitation" : "[32]" }, "properties" : {  }, "schema" : "https://github.com/citation-style-language/schema/raw/master/csl-citation.json" }</w:instrText>
      </w:r>
      <w:r w:rsidR="00974294">
        <w:rPr>
          <w:sz w:val="22"/>
          <w:szCs w:val="22"/>
          <w:lang w:val="en-US"/>
        </w:rPr>
        <w:fldChar w:fldCharType="separate"/>
      </w:r>
      <w:r w:rsidR="00FB577C" w:rsidRPr="00FB577C">
        <w:rPr>
          <w:noProof/>
          <w:sz w:val="22"/>
          <w:szCs w:val="22"/>
          <w:lang w:val="en-US"/>
        </w:rPr>
        <w:t>[32]</w:t>
      </w:r>
      <w:r w:rsidR="00974294">
        <w:rPr>
          <w:sz w:val="22"/>
          <w:szCs w:val="22"/>
          <w:lang w:val="en-US"/>
        </w:rPr>
        <w:fldChar w:fldCharType="end"/>
      </w:r>
      <w:r w:rsidR="005E6AFE">
        <w:rPr>
          <w:sz w:val="22"/>
          <w:szCs w:val="22"/>
          <w:lang w:val="en-US"/>
        </w:rPr>
        <w:t>.</w:t>
      </w:r>
      <w:r w:rsidR="003E6A3D">
        <w:rPr>
          <w:sz w:val="22"/>
          <w:szCs w:val="22"/>
          <w:lang w:val="en-US"/>
        </w:rPr>
        <w:t xml:space="preserve"> </w:t>
      </w:r>
      <w:r w:rsidRPr="00F642F1">
        <w:rPr>
          <w:sz w:val="22"/>
          <w:szCs w:val="22"/>
          <w:lang w:val="en-US"/>
        </w:rPr>
        <w:t xml:space="preserve">Fluorescence was acquired by Nikon Eclipse </w:t>
      </w:r>
      <w:proofErr w:type="spellStart"/>
      <w:r w:rsidRPr="00F642F1">
        <w:rPr>
          <w:sz w:val="22"/>
          <w:szCs w:val="22"/>
          <w:lang w:val="en-US"/>
        </w:rPr>
        <w:t>TE-2000S</w:t>
      </w:r>
      <w:proofErr w:type="spellEnd"/>
      <w:r w:rsidRPr="00F642F1">
        <w:rPr>
          <w:sz w:val="22"/>
          <w:szCs w:val="22"/>
          <w:lang w:val="en-US"/>
        </w:rPr>
        <w:t xml:space="preserve"> (Minato, Tokyo, Japan) inverted microscope.</w:t>
      </w:r>
      <w:r w:rsidR="007160B3">
        <w:rPr>
          <w:sz w:val="22"/>
          <w:szCs w:val="22"/>
          <w:lang w:val="en-US"/>
        </w:rPr>
        <w:t xml:space="preserve"> T</w:t>
      </w:r>
      <w:r w:rsidR="007160B3" w:rsidRPr="007160B3">
        <w:rPr>
          <w:sz w:val="22"/>
          <w:szCs w:val="22"/>
          <w:lang w:val="en-US"/>
        </w:rPr>
        <w:t xml:space="preserve">he calcium imaging set-up was assembled and integrated by </w:t>
      </w:r>
      <w:r w:rsidR="007160B3">
        <w:rPr>
          <w:sz w:val="22"/>
          <w:szCs w:val="22"/>
          <w:lang w:val="en-US"/>
        </w:rPr>
        <w:t>“</w:t>
      </w:r>
      <w:proofErr w:type="spellStart"/>
      <w:r w:rsidR="007160B3" w:rsidRPr="007160B3">
        <w:rPr>
          <w:sz w:val="22"/>
          <w:szCs w:val="22"/>
          <w:lang w:val="en-US"/>
        </w:rPr>
        <w:t>Crisel</w:t>
      </w:r>
      <w:proofErr w:type="spellEnd"/>
      <w:r w:rsidR="007160B3" w:rsidRPr="007160B3">
        <w:rPr>
          <w:sz w:val="22"/>
          <w:szCs w:val="22"/>
          <w:lang w:val="en-US"/>
        </w:rPr>
        <w:t xml:space="preserve"> </w:t>
      </w:r>
      <w:r w:rsidR="007160B3">
        <w:rPr>
          <w:sz w:val="22"/>
          <w:szCs w:val="22"/>
          <w:lang w:val="en-US"/>
        </w:rPr>
        <w:t>I</w:t>
      </w:r>
      <w:r w:rsidR="007160B3" w:rsidRPr="007160B3">
        <w:rPr>
          <w:sz w:val="22"/>
          <w:szCs w:val="22"/>
          <w:lang w:val="en-US"/>
        </w:rPr>
        <w:t>nstruments</w:t>
      </w:r>
      <w:r w:rsidR="007160B3">
        <w:rPr>
          <w:sz w:val="22"/>
          <w:szCs w:val="22"/>
          <w:lang w:val="en-US"/>
        </w:rPr>
        <w:t xml:space="preserve">”. </w:t>
      </w:r>
      <w:r w:rsidRPr="00F642F1">
        <w:rPr>
          <w:sz w:val="22"/>
          <w:szCs w:val="22"/>
          <w:lang w:val="en-US"/>
        </w:rPr>
        <w:t>[</w:t>
      </w:r>
      <w:proofErr w:type="spellStart"/>
      <w:r w:rsidRPr="00F642F1">
        <w:rPr>
          <w:sz w:val="22"/>
          <w:szCs w:val="22"/>
          <w:lang w:val="en-US"/>
        </w:rPr>
        <w:t>Ca</w:t>
      </w:r>
      <w:r w:rsidRPr="00B32E2D">
        <w:rPr>
          <w:sz w:val="22"/>
          <w:szCs w:val="22"/>
          <w:vertAlign w:val="superscript"/>
          <w:lang w:val="en-US"/>
        </w:rPr>
        <w:t>2</w:t>
      </w:r>
      <w:proofErr w:type="spellEnd"/>
      <w:r w:rsidRPr="00B32E2D">
        <w:rPr>
          <w:sz w:val="22"/>
          <w:szCs w:val="22"/>
          <w:vertAlign w:val="superscript"/>
          <w:lang w:val="en-US"/>
        </w:rPr>
        <w:t>+</w:t>
      </w:r>
      <w:r w:rsidRPr="00F642F1">
        <w:rPr>
          <w:sz w:val="22"/>
          <w:szCs w:val="22"/>
          <w:lang w:val="en-US"/>
        </w:rPr>
        <w:t xml:space="preserve">]c was expressed as a ratio (R) of emitted fluorescence at 510 nm corresponding to excitation wavelengths of 340 nm and 380 nm. </w:t>
      </w:r>
      <w:proofErr w:type="spellStart"/>
      <w:r w:rsidRPr="00F642F1">
        <w:rPr>
          <w:sz w:val="22"/>
          <w:szCs w:val="22"/>
          <w:lang w:val="en-US"/>
        </w:rPr>
        <w:t>Metafluor</w:t>
      </w:r>
      <w:proofErr w:type="spellEnd"/>
      <w:r w:rsidRPr="00F642F1">
        <w:rPr>
          <w:sz w:val="22"/>
          <w:szCs w:val="22"/>
          <w:lang w:val="en-US"/>
        </w:rPr>
        <w:t xml:space="preserve"> Imaging System (Molecular Devices, Sunnyvale, CA, USA) was used for image acquisition (3 s frequency). For each experiment, several regions of interest (ROIs) have been selected corresponding to single cells in the chosen image field. Real time background subtraction was applied in order to limit noise.</w:t>
      </w:r>
      <w:r w:rsidR="003E6A3D">
        <w:rPr>
          <w:sz w:val="22"/>
          <w:szCs w:val="22"/>
          <w:lang w:val="en-US"/>
        </w:rPr>
        <w:t xml:space="preserve"> </w:t>
      </w:r>
      <w:r w:rsidRPr="00F642F1">
        <w:rPr>
          <w:sz w:val="22"/>
          <w:szCs w:val="22"/>
          <w:lang w:val="en-US"/>
        </w:rPr>
        <w:t xml:space="preserve">Calcium imaging analysis and peak amplitude quantification were performed using </w:t>
      </w:r>
      <w:proofErr w:type="spellStart"/>
      <w:r w:rsidRPr="00F642F1">
        <w:rPr>
          <w:sz w:val="22"/>
          <w:szCs w:val="22"/>
          <w:lang w:val="en-US"/>
        </w:rPr>
        <w:t>IgorPro</w:t>
      </w:r>
      <w:proofErr w:type="spellEnd"/>
      <w:r w:rsidRPr="00F642F1">
        <w:rPr>
          <w:sz w:val="22"/>
          <w:szCs w:val="22"/>
          <w:lang w:val="en-US"/>
        </w:rPr>
        <w:t xml:space="preserve"> software and </w:t>
      </w:r>
      <w:proofErr w:type="spellStart"/>
      <w:r w:rsidRPr="00F642F1">
        <w:rPr>
          <w:sz w:val="22"/>
          <w:szCs w:val="22"/>
          <w:lang w:val="en-US"/>
        </w:rPr>
        <w:t>analysed</w:t>
      </w:r>
      <w:proofErr w:type="spellEnd"/>
      <w:r w:rsidRPr="00F642F1">
        <w:rPr>
          <w:sz w:val="22"/>
          <w:szCs w:val="22"/>
          <w:lang w:val="en-US"/>
        </w:rPr>
        <w:t xml:space="preserve"> with GraphPad Prism 7 </w:t>
      </w:r>
      <w:r w:rsidRPr="00F642F1">
        <w:rPr>
          <w:sz w:val="22"/>
          <w:szCs w:val="22"/>
          <w:lang w:val="en-US"/>
        </w:rPr>
        <w:lastRenderedPageBreak/>
        <w:t>(GraphPad Software, Inc., La Jolla, CA, USA)</w:t>
      </w:r>
      <w:r w:rsidR="00974294">
        <w:rPr>
          <w:sz w:val="22"/>
          <w:szCs w:val="22"/>
          <w:lang w:val="en-US"/>
        </w:rPr>
        <w:t xml:space="preserve"> </w:t>
      </w:r>
      <w:r w:rsidR="00974294">
        <w:rPr>
          <w:sz w:val="22"/>
          <w:szCs w:val="22"/>
          <w:lang w:val="en-US"/>
        </w:rPr>
        <w:fldChar w:fldCharType="begin" w:fldLock="1"/>
      </w:r>
      <w:r w:rsidR="00296F38">
        <w:rPr>
          <w:sz w:val="22"/>
          <w:szCs w:val="22"/>
          <w:lang w:val="en-US"/>
        </w:rPr>
        <w:instrText>ADDIN CSL_CITATION { "citationItems" : [ { "id" : "ITEM-1", "itemData" : { "DOI" : "10.1038/srep32602", "ISSN" : "2045-2322", "PMID" : "27586846", "author" : [ { "dropping-particle" : "", "family" : "Avanzato", "given" : "D.", "non-dropping-particle" : "", "parse-names" : false, "suffix" : "" }, { "dropping-particle" : "", "family" : "Genova", "given" : "T.", "non-dropping-particle" : "", "parse-names" : false, "suffix" : "" }, { "dropping-particle" : "", "family" : "Fiorio Pla", "given" : "A.", "non-dropping-particle" : "", "parse-names" : false, "suffix" : "" }, { "dropping-particle" : "", "family" : "Bernardini", "given" : "M.", "non-dropping-particle" : "", "parse-names" : false, "suffix" : "" }, { "dropping-particle" : "", "family" : "Bianco", "given" : "S.", "non-dropping-particle" : "", "parse-names" : false, "suffix" : "" }, { "dropping-particle" : "", "family" : "Bussolati", "given" : "B.", "non-dropping-particle" : "", "parse-names" : false, "suffix" : "" }, { "dropping-particle" : "", "family" : "Mancardi", "given" : "D.", "non-dropping-particle" : "", "parse-names" : false, "suffix" : "" }, { "dropping-particle" : "", "family" : "Giraudo", "given" : "E.", "non-dropping-particle" : "", "parse-names" : false, "suffix" : "" }, { "dropping-particle" : "", "family" : "Maione", "given" : "F.", "non-dropping-particle" : "", "parse-names" : false, "suffix" : "" }, { "dropping-particle" : "", "family" : "Cassoni", "given" : "P.", "non-dropping-particle" : "", "parse-names" : false, "suffix" : "" }, { "dropping-particle" : "", "family" : "Castellano", "given" : "I.", "non-dropping-particle" : "", "parse-names" : false, "suffix" : "" }, { "dropping-particle" : "", "family" : "Munaron", "given" : "L.", "non-dropping-particle" : "", "parse-names" : false, "suffix" : "" } ], "container-title" : "Scientific Reports", "id" : "ITEM-1", "issue" : "1", "issued" : { "date-parts" : [ [ "2016", "12", "2" ] ] }, "page" : "32602", "title" : "Activation of P2X7 and P2Y11 purinergic receptors inhibits migration and normalizes tumor-derived endothelial cells via cAMP signaling", "type" : "article-journal", "volume" : "6" }, "uris" : [ "http://www.mendeley.com/documents/?uuid=55aff3ee-15df-4df0-8775-ea40df871389" ] } ], "mendeley" : { "formattedCitation" : "[33]", "plainTextFormattedCitation" : "[33]", "previouslyFormattedCitation" : "[33]" }, "properties" : {  }, "schema" : "https://github.com/citation-style-language/schema/raw/master/csl-citation.json" }</w:instrText>
      </w:r>
      <w:r w:rsidR="00974294">
        <w:rPr>
          <w:sz w:val="22"/>
          <w:szCs w:val="22"/>
          <w:lang w:val="en-US"/>
        </w:rPr>
        <w:fldChar w:fldCharType="separate"/>
      </w:r>
      <w:r w:rsidR="00FB577C" w:rsidRPr="00FB577C">
        <w:rPr>
          <w:noProof/>
          <w:sz w:val="22"/>
          <w:szCs w:val="22"/>
          <w:lang w:val="en-US"/>
        </w:rPr>
        <w:t>[33]</w:t>
      </w:r>
      <w:r w:rsidR="00974294">
        <w:rPr>
          <w:sz w:val="22"/>
          <w:szCs w:val="22"/>
          <w:lang w:val="en-US"/>
        </w:rPr>
        <w:fldChar w:fldCharType="end"/>
      </w:r>
      <w:r w:rsidR="00974294">
        <w:rPr>
          <w:sz w:val="22"/>
          <w:szCs w:val="22"/>
          <w:lang w:val="en-US"/>
        </w:rPr>
        <w:t>.</w:t>
      </w:r>
    </w:p>
    <w:p w14:paraId="5B78E17E" w14:textId="0233BBD6" w:rsidR="00733886" w:rsidRDefault="00AF1E02" w:rsidP="00B63CF1">
      <w:pPr>
        <w:pStyle w:val="BodyB"/>
        <w:keepNext w:val="0"/>
        <w:widowControl w:val="0"/>
        <w:suppressAutoHyphens w:val="0"/>
        <w:spacing w:line="480" w:lineRule="auto"/>
        <w:jc w:val="both"/>
        <w:rPr>
          <w:sz w:val="22"/>
          <w:szCs w:val="22"/>
          <w:lang w:val="en-US"/>
        </w:rPr>
      </w:pPr>
      <w:r>
        <w:rPr>
          <w:sz w:val="22"/>
          <w:szCs w:val="22"/>
          <w:lang w:val="en-US"/>
        </w:rPr>
        <w:t xml:space="preserve">2.8.5 </w:t>
      </w:r>
      <w:r w:rsidR="00733886" w:rsidRPr="00AF1E02">
        <w:rPr>
          <w:b/>
          <w:bCs/>
          <w:i/>
          <w:iCs/>
          <w:sz w:val="22"/>
          <w:szCs w:val="22"/>
          <w:lang w:val="en-US"/>
        </w:rPr>
        <w:t>Western Blot</w:t>
      </w:r>
    </w:p>
    <w:p w14:paraId="0CB32B06" w14:textId="058380D4" w:rsidR="00AF1E02" w:rsidRDefault="00AF1E02" w:rsidP="00B63CF1">
      <w:pPr>
        <w:pStyle w:val="BodyB"/>
        <w:keepNext w:val="0"/>
        <w:widowControl w:val="0"/>
        <w:spacing w:line="480" w:lineRule="auto"/>
        <w:jc w:val="both"/>
        <w:rPr>
          <w:sz w:val="22"/>
          <w:szCs w:val="22"/>
          <w:lang w:val="en-US"/>
        </w:rPr>
      </w:pPr>
      <w:r w:rsidRPr="00AF1E02">
        <w:rPr>
          <w:sz w:val="22"/>
          <w:szCs w:val="22"/>
          <w:lang w:val="en-US"/>
        </w:rPr>
        <w:t xml:space="preserve">Semi-confluent adherent cells were carefully lysate by using ice-cold </w:t>
      </w:r>
      <w:proofErr w:type="spellStart"/>
      <w:r w:rsidRPr="00AF1E02">
        <w:rPr>
          <w:sz w:val="22"/>
          <w:szCs w:val="22"/>
          <w:lang w:val="en-US"/>
        </w:rPr>
        <w:t>RIPA</w:t>
      </w:r>
      <w:proofErr w:type="spellEnd"/>
      <w:r w:rsidRPr="00AF1E02">
        <w:rPr>
          <w:sz w:val="22"/>
          <w:szCs w:val="22"/>
          <w:lang w:val="en-US"/>
        </w:rPr>
        <w:t xml:space="preserve"> buffer (150 mM NaCl, 25 mM Tris-HCl pH 7.6, 1% sodium deoxycholate, 1% NP-40, and 0.1% </w:t>
      </w:r>
      <w:proofErr w:type="spellStart"/>
      <w:r w:rsidRPr="00AF1E02">
        <w:rPr>
          <w:sz w:val="22"/>
          <w:szCs w:val="22"/>
          <w:lang w:val="en-US"/>
        </w:rPr>
        <w:t>SDS</w:t>
      </w:r>
      <w:proofErr w:type="spellEnd"/>
      <w:r w:rsidRPr="00AF1E02">
        <w:rPr>
          <w:sz w:val="22"/>
          <w:szCs w:val="22"/>
          <w:lang w:val="en-US"/>
        </w:rPr>
        <w:t>) adding protease inhibitor cocktail (Sigma-Aldrich)</w:t>
      </w:r>
      <w:r w:rsidR="007C69FC">
        <w:rPr>
          <w:sz w:val="22"/>
          <w:szCs w:val="22"/>
          <w:lang w:val="en-US"/>
        </w:rPr>
        <w:t xml:space="preserve"> </w:t>
      </w:r>
      <w:r w:rsidR="007C69FC">
        <w:rPr>
          <w:sz w:val="22"/>
          <w:szCs w:val="22"/>
          <w:lang w:val="en-US"/>
        </w:rPr>
        <w:fldChar w:fldCharType="begin" w:fldLock="1"/>
      </w:r>
      <w:r w:rsidR="00296F38">
        <w:rPr>
          <w:sz w:val="22"/>
          <w:szCs w:val="22"/>
          <w:lang w:val="en-US"/>
        </w:rPr>
        <w:instrText>ADDIN CSL_CITATION { "citationItems" : [ { "id" : "ITEM-1", "itemData" : { "DOI" : "10.1186/s13287-017-0628-9", "ISSN" : "1757-6512", "PMID" : "28750687", "abstract" : "BACKGROUND Argininosuccinate synthase (ASS)1 is a urea cycle enzyme that catalyzes the conversion of citrulline and aspartate to argininosuccinate. Mutations in the ASS1 gene cause citrullinemia type I, a rare autosomal recessive disorder characterized by neonatal hyperammonemia, elevated citrulline levels, and early neonatal death. Treatment for this disease is currently restricted to liver transplantation; however, due to limited organ availability, substitute therapies are required. Recently, extracellular vesicles (EVs) have been reported to act as intercellular transporters carrying genetic information responsible for cell reprogramming. In previous studies, we isolated a population of stem cell-like cells known as human liver stem cells (HLSCs) from healthy liver tissue. Moreover, EVs derived from HLSCs were reported to exhibit regenerative effects on the liver parenchyma in models of acute liver injury. The aim of this study was to evaluate whether EVs derived from normal HLSCs restored ASS1 enzymatic activity and urea production in hepatocytes differentiated from HLSCs derived from a patient with type I citrullinemia. METHODS HLSCs were isolated from the liver of a patient with type I citrullinemia (ASS1-HLSCs) and characterized by fluorescence-activated cell sorting (FACS), immunofluorescence, and DNA sequencing analysis. Furthermore, their differentiation capabilities in vitro were also assessed. Hepatocytes differentiated from ASS1-HLSCs were evaluated by the production of urea and ASS enzymatic activity. EVs derived from normal HLSCs were purified by differential ultracentrifugation followed by floating density gradient. The EV content was analyzed to identify the presence of ASS1 protein, mRNA, and ASS1 gene. In order to obtain ASS1-depleted EVs, a knockdown of the ASS1 gene in HLSCs was performed followed by EV isolation from these cells. RESULTS Treating ASS1-HLSCs with EVs from HLSCs restored both ASS1 activity and urea production mainly through the transfer of ASS1 enzyme and mRNA. In fact, EVs from ASS1-knockdown HLSCs contained low amounts of ASS1 mRNA and protein, and were unable to restore urea production in hepatocytes differentiated from ASS1-HLSCs. CONCLUSIONS Collectively, these results suggest that EVs derived from normal HLSCs may compensate the loss of ASS1 enzyme activity in hepatocytes differentiated from ASS1-HLSCs.", "author" : [ { "dropping-particle" : "", "family" : "Herrera Sanchez", "given" : "Maria Beatriz", "non-dropping-particle" : "", "parse-names" : false, "suffix" : "" }, { "dropping-particle" : "", "family" : "Previdi", "given" : "Sara", "non-dropping-particle" : "", "parse-names" : false, "suffix" : "" }, { "dropping-particle" : "", "family" : "Bruno", "given" : "Stefania", "non-dropping-particle" : "", "parse-names" : false, "suffix" : "" }, { "dropping-particle" : "", "family" : "Fonsato", "given" : "Valentina", "non-dropping-particle" : "", "parse-names" : false, "suffix" : "" }, { "dropping-particle" : "", "family" : "Deregibus", "given" : "Maria Chiara", "non-dropping-particle" : "", "parse-names" : false, "suffix" : "" }, { "dropping-particle" : "", "family" : "Kholia", "given" : "Sharad", "non-dropping-particle" : "", "parse-names" : false, "suffix" : "" }, { "dropping-particle" : "", "family" : "Petrillo", "given" : "Sara", "non-dropping-particle" : "", "parse-names" : false, "suffix" : "" }, { "dropping-particle" : "", "family" : "Tolosano", "given" : "Emanuela", "non-dropping-particle" : "", "parse-names" : false, "suffix" : "" }, { "dropping-particle" : "", "family" : "Critelli", "given" : "Rossana", "non-dropping-particle" : "", "parse-names" : false, "suffix" : "" }, { "dropping-particle" : "", "family" : "Spada", "given" : "Marco", "non-dropping-particle" : "", "parse-names" : false, "suffix" : "" }, { "dropping-particle" : "", "family" : "Romagnoli", "given" : "Renato", "non-dropping-particle" : "", "parse-names" : false, "suffix" : "" }, { "dropping-particle" : "", "family" : "Salizzoni", "given" : "Mauro", "non-dropping-particle" : "", "parse-names" : false, "suffix" : "" }, { "dropping-particle" : "", "family" : "Tetta", "given" : "Ciro", "non-dropping-particle" : "", "parse-names" : false, "suffix" : "" }, { "dropping-particle" : "", "family" : "Camussi", "given" : "Giovanni", "non-dropping-particle" : "", "parse-names" : false, "suffix" : "" } ], "container-title" : "Stem Cell Research &amp; Therapy", "id" : "ITEM-1", "issue" : "1", "issued" : { "date-parts" : [ [ "2017", "12", "27" ] ] }, "page" : "176", "publisher" : "BioMed Central", "title" : "Extracellular vesicles from human liver stem cells restore argininosuccinate synthase deficiency", "type" : "article-journal", "volume" : "8" }, "uris" : [ "http://www.mendeley.com/documents/?uuid=21429369-16aa-46d7-a1f6-f3bb6a4e5518" ] } ], "mendeley" : { "formattedCitation" : "[34]", "plainTextFormattedCitation" : "[34]", "previouslyFormattedCitation" : "[34]" }, "properties" : {  }, "schema" : "https://github.com/citation-style-language/schema/raw/master/csl-citation.json" }</w:instrText>
      </w:r>
      <w:r w:rsidR="007C69FC">
        <w:rPr>
          <w:sz w:val="22"/>
          <w:szCs w:val="22"/>
          <w:lang w:val="en-US"/>
        </w:rPr>
        <w:fldChar w:fldCharType="separate"/>
      </w:r>
      <w:r w:rsidR="00FB577C" w:rsidRPr="00FB577C">
        <w:rPr>
          <w:noProof/>
          <w:sz w:val="22"/>
          <w:szCs w:val="22"/>
          <w:lang w:val="en-US"/>
        </w:rPr>
        <w:t>[34]</w:t>
      </w:r>
      <w:r w:rsidR="007C69FC">
        <w:rPr>
          <w:sz w:val="22"/>
          <w:szCs w:val="22"/>
          <w:lang w:val="en-US"/>
        </w:rPr>
        <w:fldChar w:fldCharType="end"/>
      </w:r>
      <w:r w:rsidRPr="00AF1E02">
        <w:rPr>
          <w:sz w:val="22"/>
          <w:szCs w:val="22"/>
          <w:lang w:val="en-US"/>
        </w:rPr>
        <w:t>.</w:t>
      </w:r>
      <w:r>
        <w:rPr>
          <w:sz w:val="22"/>
          <w:szCs w:val="22"/>
          <w:lang w:val="en-US"/>
        </w:rPr>
        <w:t xml:space="preserve"> </w:t>
      </w:r>
      <w:r w:rsidRPr="00AF1E02">
        <w:rPr>
          <w:sz w:val="22"/>
          <w:szCs w:val="22"/>
          <w:lang w:val="en-US"/>
        </w:rPr>
        <w:t>In order to determine the protein concentration, bicinchoninic acid kit (Thermo) was used following the manufacturer’s instructions.</w:t>
      </w:r>
      <w:r>
        <w:rPr>
          <w:sz w:val="22"/>
          <w:szCs w:val="22"/>
          <w:lang w:val="en-US"/>
        </w:rPr>
        <w:t xml:space="preserve"> </w:t>
      </w:r>
      <w:r w:rsidRPr="00AF1E02">
        <w:rPr>
          <w:sz w:val="22"/>
          <w:szCs w:val="22"/>
          <w:lang w:val="en-US"/>
        </w:rPr>
        <w:t xml:space="preserve">Antibody against </w:t>
      </w:r>
      <w:proofErr w:type="spellStart"/>
      <w:r w:rsidRPr="00AF1E02">
        <w:rPr>
          <w:sz w:val="22"/>
          <w:szCs w:val="22"/>
          <w:lang w:val="en-US"/>
        </w:rPr>
        <w:t>TRPV4</w:t>
      </w:r>
      <w:proofErr w:type="spellEnd"/>
      <w:r w:rsidRPr="00AF1E02">
        <w:rPr>
          <w:sz w:val="22"/>
          <w:szCs w:val="22"/>
          <w:lang w:val="en-US"/>
        </w:rPr>
        <w:t xml:space="preserve"> (Abcam, </w:t>
      </w:r>
      <w:proofErr w:type="spellStart"/>
      <w:r w:rsidRPr="00AF1E02">
        <w:rPr>
          <w:sz w:val="22"/>
          <w:szCs w:val="22"/>
          <w:lang w:val="en-US"/>
        </w:rPr>
        <w:t>ab94868</w:t>
      </w:r>
      <w:proofErr w:type="spellEnd"/>
      <w:r w:rsidRPr="00AF1E02">
        <w:rPr>
          <w:sz w:val="22"/>
          <w:szCs w:val="22"/>
          <w:lang w:val="en-US"/>
        </w:rPr>
        <w:t>) and antibodies anti–β-actin (Sigma-Aldrich) were used as indicated by manufacturer.</w:t>
      </w:r>
    </w:p>
    <w:p w14:paraId="5628FB24" w14:textId="47FC7DCF" w:rsidR="00A73104" w:rsidRDefault="002F49D0" w:rsidP="00B63CF1">
      <w:pPr>
        <w:pStyle w:val="BodyB"/>
        <w:keepNext w:val="0"/>
        <w:widowControl w:val="0"/>
        <w:spacing w:line="480" w:lineRule="auto"/>
        <w:jc w:val="both"/>
        <w:rPr>
          <w:b/>
          <w:sz w:val="22"/>
          <w:szCs w:val="22"/>
          <w:lang w:val="en-US"/>
        </w:rPr>
      </w:pPr>
      <w:r w:rsidRPr="007160B3">
        <w:rPr>
          <w:sz w:val="22"/>
          <w:szCs w:val="22"/>
          <w:lang w:val="en-US"/>
        </w:rPr>
        <w:t>2.8.6</w:t>
      </w:r>
      <w:r w:rsidR="007160B3" w:rsidRPr="007160B3">
        <w:rPr>
          <w:b/>
          <w:sz w:val="22"/>
          <w:szCs w:val="22"/>
          <w:lang w:val="en-US"/>
        </w:rPr>
        <w:t xml:space="preserve"> </w:t>
      </w:r>
      <w:proofErr w:type="spellStart"/>
      <w:r w:rsidR="007160B3" w:rsidRPr="007160B3">
        <w:rPr>
          <w:b/>
          <w:sz w:val="22"/>
          <w:szCs w:val="22"/>
          <w:lang w:val="en-US"/>
        </w:rPr>
        <w:t>TRPV4</w:t>
      </w:r>
      <w:proofErr w:type="spellEnd"/>
      <w:r w:rsidR="007160B3" w:rsidRPr="007160B3">
        <w:rPr>
          <w:b/>
          <w:sz w:val="22"/>
          <w:szCs w:val="22"/>
          <w:lang w:val="en-US"/>
        </w:rPr>
        <w:t xml:space="preserve"> downregulation</w:t>
      </w:r>
    </w:p>
    <w:p w14:paraId="387C39B0" w14:textId="20A6072B" w:rsidR="007160B3" w:rsidRDefault="007160B3" w:rsidP="00B63CF1">
      <w:pPr>
        <w:pStyle w:val="BodyB"/>
        <w:keepNext w:val="0"/>
        <w:widowControl w:val="0"/>
        <w:spacing w:line="480" w:lineRule="auto"/>
        <w:jc w:val="both"/>
        <w:rPr>
          <w:sz w:val="22"/>
          <w:szCs w:val="22"/>
          <w:lang w:val="en-US"/>
        </w:rPr>
      </w:pPr>
      <w:proofErr w:type="spellStart"/>
      <w:r>
        <w:rPr>
          <w:sz w:val="22"/>
          <w:szCs w:val="22"/>
          <w:lang w:val="en-US"/>
        </w:rPr>
        <w:t>TRPV4</w:t>
      </w:r>
      <w:proofErr w:type="spellEnd"/>
      <w:r>
        <w:rPr>
          <w:sz w:val="22"/>
          <w:szCs w:val="22"/>
          <w:lang w:val="en-US"/>
        </w:rPr>
        <w:t xml:space="preserve"> was downregulated </w:t>
      </w:r>
      <w:r w:rsidR="009D3B47">
        <w:rPr>
          <w:sz w:val="22"/>
          <w:szCs w:val="22"/>
          <w:lang w:val="en-US"/>
        </w:rPr>
        <w:t xml:space="preserve">with </w:t>
      </w:r>
      <w:proofErr w:type="spellStart"/>
      <w:r w:rsidR="009D3B47">
        <w:rPr>
          <w:sz w:val="22"/>
          <w:szCs w:val="22"/>
          <w:lang w:val="en-US"/>
        </w:rPr>
        <w:t>sh</w:t>
      </w:r>
      <w:proofErr w:type="spellEnd"/>
      <w:r w:rsidR="009D3B47">
        <w:rPr>
          <w:sz w:val="22"/>
          <w:szCs w:val="22"/>
          <w:lang w:val="en-US"/>
        </w:rPr>
        <w:t xml:space="preserve">-RNA as published previously </w:t>
      </w:r>
      <w:r w:rsidR="009D3B47">
        <w:rPr>
          <w:sz w:val="22"/>
          <w:szCs w:val="22"/>
          <w:lang w:val="en-US"/>
        </w:rPr>
        <w:fldChar w:fldCharType="begin" w:fldLock="1"/>
      </w:r>
      <w:r w:rsidR="00296F38">
        <w:rPr>
          <w:sz w:val="22"/>
          <w:szCs w:val="22"/>
          <w:lang w:val="en-US"/>
        </w:rPr>
        <w:instrText>ADDIN CSL_CITATION { "citationItems" : [ { "id" : "ITEM-1", "itemData" : { "DOI" : "10.1038/onc.2011.231", "ISBN" : "1476-5594 (Electronic) 0950-9232 (Linking)", "ISSN" : "0950-9232", "PMID" : "21685934", "abstract" : "Changes in intracellular calcium [Ca(2+)](i) levels control critical cytosolic and nuclear events that are involved in the initiation and progression of tumor angiogenesis in endothelial cells (ECs). Therefore, the mechanism(s) involved in agonist-induced Ca(2+)(i) signaling is a potentially important molecular target for controlling angiogenesis and tumor growth. Several studies have shown that blood vessels in tumors differ from normal vessels in their morphology, blood flow and permeability. We had previously reported a key role for arachidonic acid (AA)-mediated Ca(2+) entry in the initial stages of tumor angiogenesis in vitro. In this study we assessed the mechanism involved in AA-induced EC migration. We report that TRPV4, an AA-activated channel, is differentially expressed in EC derived from human breast carcinomas (BTEC) as compared with 'normal' EC (HMVEC). BTEC display a significant increase in TRPV4 expression, which was correlated with greater Ca(2+) entry, induced by AA or 4alphaPDD (a selective TRPV4 agonist) in the tumor-derived ECs. Wound-healing assays revealed a key role of TRPV4 in regulating cell migration of BTEC but not HMVEC. Knockdown of TRPV4 expression completely abolished AA-induced BTEC migration, suggesting that TRPV4 mediates the pro-angiogenic effects promoted by AA. Furthermore, pre-incubation of BTEC with AA induced actin remodeling and a subsequent increase in the surface expression of TRPV4. This was consistent with the increased plasma membrane localization of TRPV4 and higher AA-stimulated Ca(2+) entry in the migrating cells. Together, the data presented herein demonstrate that: (1) TRPV4 is differentially expressed in tumor-derived versus 'normal' EC; (2) TRPV4 has a critical role in the migration of tumor-derived but not 'normal' EC migration; and (3) AA induces actin remodeling in BTEC, resulting in a corresponding increase of TRPV4 expression in the plasma membrane. We suggest that the latter is critical for migration of EC and thus in promoting angiogenesis and tumor growth", "author" : [ { "dropping-particle" : "", "family" : "Fiorio Pla", "given" : "a", "non-dropping-particle" : "", "parse-names" : false, "suffix" : "" }, { "dropping-particle" : "", "family" : "Ong", "given" : "H L", "non-dropping-particle" : "", "parse-names" : false, "suffix" : "" }, { "dropping-particle" : "", "family" : "Cheng", "given" : "K T", "non-dropping-particle" : "", "parse-names" : false, "suffix" : "" }, { "dropping-particle" : "", "family" : "Brossa", "given" : "A", "non-dropping-particle" : "", "parse-names" : false, "suffix" : "" }, { "dropping-particle" : "", "family" : "Bussolati", "given" : "B", "non-dropping-particle" : "", "parse-names" : false, "suffix" : "" }, { "dropping-particle" : "", "family" : "Lockwich", "given" : "T", "non-dropping-particle" : "", "parse-names" : false, "suffix" : "" }, { "dropping-particle" : "", "family" : "Paria", "given" : "B", "non-dropping-particle" : "", "parse-names" : false, "suffix" : "" }, { "dropping-particle" : "", "family" : "Munaron", "given" : "L", "non-dropping-particle" : "", "parse-names" : false, "suffix" : "" }, { "dropping-particle" : "", "family" : "Ambudkar", "given" : "I S", "non-dropping-particle" : "", "parse-names" : false, "suffix" : "" } ], "container-title" : "Oncogene", "id" : "ITEM-1", "issue" : "2", "issued" : { "date-parts" : [ [ "2012", "1", "20" ] ] }, "page" : "200-212", "publisher" : "Nature Publishing Group", "title" : "TRPV4 mediates tumor-derived endothelial cell migration via arachidonic acid-activated actin remodeling", "type" : "article-journal", "volume" : "31" }, "uris" : [ "http://www.mendeley.com/documents/?uuid=b444d9e8-0b42-4412-b0c0-3db6bd8df18a" ] } ], "mendeley" : { "formattedCitation" : "[35]", "plainTextFormattedCitation" : "[35]", "previouslyFormattedCitation" : "[35]" }, "properties" : {  }, "schema" : "https://github.com/citation-style-language/schema/raw/master/csl-citation.json" }</w:instrText>
      </w:r>
      <w:r w:rsidR="009D3B47">
        <w:rPr>
          <w:sz w:val="22"/>
          <w:szCs w:val="22"/>
          <w:lang w:val="en-US"/>
        </w:rPr>
        <w:fldChar w:fldCharType="separate"/>
      </w:r>
      <w:r w:rsidR="00FB577C" w:rsidRPr="00FB577C">
        <w:rPr>
          <w:noProof/>
          <w:sz w:val="22"/>
          <w:szCs w:val="22"/>
          <w:lang w:val="en-US"/>
        </w:rPr>
        <w:t>[35]</w:t>
      </w:r>
      <w:r w:rsidR="009D3B47">
        <w:rPr>
          <w:sz w:val="22"/>
          <w:szCs w:val="22"/>
          <w:lang w:val="en-US"/>
        </w:rPr>
        <w:fldChar w:fldCharType="end"/>
      </w:r>
      <w:r w:rsidR="009D3B47">
        <w:rPr>
          <w:sz w:val="22"/>
          <w:szCs w:val="22"/>
          <w:lang w:val="en-US"/>
        </w:rPr>
        <w:t xml:space="preserve">, </w:t>
      </w:r>
      <w:r>
        <w:rPr>
          <w:sz w:val="22"/>
          <w:szCs w:val="22"/>
          <w:lang w:val="en-US"/>
        </w:rPr>
        <w:t>by transfecting cells by using Lipofectamine 3000 (Thermo)</w:t>
      </w:r>
      <w:r w:rsidR="009D3B47">
        <w:rPr>
          <w:sz w:val="22"/>
          <w:szCs w:val="22"/>
          <w:lang w:val="en-US"/>
        </w:rPr>
        <w:t>.</w:t>
      </w:r>
      <w:r>
        <w:rPr>
          <w:sz w:val="22"/>
          <w:szCs w:val="22"/>
          <w:lang w:val="en-US"/>
        </w:rPr>
        <w:t xml:space="preserve"> </w:t>
      </w:r>
    </w:p>
    <w:p w14:paraId="7873C1F5" w14:textId="42CB55A3" w:rsidR="001D530E" w:rsidRPr="00296F38" w:rsidRDefault="001D530E" w:rsidP="001D530E">
      <w:pPr>
        <w:pStyle w:val="BodyB"/>
        <w:keepNext w:val="0"/>
        <w:widowControl w:val="0"/>
        <w:spacing w:line="480" w:lineRule="auto"/>
        <w:jc w:val="both"/>
        <w:rPr>
          <w:color w:val="FF0000"/>
          <w:sz w:val="22"/>
          <w:szCs w:val="22"/>
          <w:lang w:val="en-US"/>
        </w:rPr>
      </w:pPr>
      <w:r w:rsidRPr="00296F38">
        <w:rPr>
          <w:color w:val="FF0000"/>
          <w:sz w:val="22"/>
          <w:szCs w:val="22"/>
          <w:lang w:val="en-US"/>
        </w:rPr>
        <w:t xml:space="preserve">2.8.7 </w:t>
      </w:r>
      <w:r w:rsidRPr="00847E04">
        <w:rPr>
          <w:b/>
          <w:color w:val="FF0000"/>
          <w:sz w:val="22"/>
          <w:szCs w:val="22"/>
          <w:lang w:val="en-US"/>
        </w:rPr>
        <w:t>RNA extraction and real-time PCR analysis</w:t>
      </w:r>
    </w:p>
    <w:p w14:paraId="3084FB56" w14:textId="769CB692" w:rsidR="001D530E" w:rsidRDefault="001D530E" w:rsidP="001D530E">
      <w:pPr>
        <w:pStyle w:val="BodyB"/>
        <w:keepNext w:val="0"/>
        <w:widowControl w:val="0"/>
        <w:spacing w:line="480" w:lineRule="auto"/>
        <w:jc w:val="both"/>
        <w:rPr>
          <w:color w:val="FF0000"/>
          <w:sz w:val="22"/>
          <w:szCs w:val="22"/>
          <w:lang w:val="en-US"/>
        </w:rPr>
      </w:pPr>
      <w:r w:rsidRPr="00296F38">
        <w:rPr>
          <w:color w:val="FF0000"/>
          <w:sz w:val="22"/>
          <w:szCs w:val="22"/>
          <w:lang w:val="en-US"/>
        </w:rPr>
        <w:t xml:space="preserve">Total RNA was extracted from cell samples using </w:t>
      </w:r>
      <w:proofErr w:type="spellStart"/>
      <w:r w:rsidRPr="00296F38">
        <w:rPr>
          <w:color w:val="FF0000"/>
          <w:sz w:val="22"/>
          <w:szCs w:val="22"/>
          <w:lang w:val="en-US"/>
        </w:rPr>
        <w:t>PureLink</w:t>
      </w:r>
      <w:proofErr w:type="spellEnd"/>
      <w:r w:rsidRPr="00296F38">
        <w:rPr>
          <w:color w:val="FF0000"/>
          <w:sz w:val="22"/>
          <w:szCs w:val="22"/>
          <w:lang w:val="en-US"/>
        </w:rPr>
        <w:t>® RNA Mini Kit (</w:t>
      </w:r>
      <w:proofErr w:type="spellStart"/>
      <w:r w:rsidRPr="00296F38">
        <w:rPr>
          <w:color w:val="FF0000"/>
          <w:sz w:val="22"/>
          <w:szCs w:val="22"/>
          <w:lang w:val="en-US"/>
        </w:rPr>
        <w:t>ThermoFisher</w:t>
      </w:r>
      <w:proofErr w:type="spellEnd"/>
      <w:r w:rsidRPr="00296F38">
        <w:rPr>
          <w:color w:val="FF0000"/>
          <w:sz w:val="22"/>
          <w:szCs w:val="22"/>
          <w:lang w:val="en-US"/>
        </w:rPr>
        <w:t xml:space="preserve"> Scientific). For quantitative real-time polymerase chain reaction (</w:t>
      </w:r>
      <w:proofErr w:type="spellStart"/>
      <w:r w:rsidRPr="00296F38">
        <w:rPr>
          <w:color w:val="FF0000"/>
          <w:sz w:val="22"/>
          <w:szCs w:val="22"/>
          <w:lang w:val="en-US"/>
        </w:rPr>
        <w:t>qRT</w:t>
      </w:r>
      <w:proofErr w:type="spellEnd"/>
      <w:r w:rsidRPr="00296F38">
        <w:rPr>
          <w:color w:val="FF0000"/>
          <w:sz w:val="22"/>
          <w:szCs w:val="22"/>
          <w:lang w:val="en-US"/>
        </w:rPr>
        <w:t xml:space="preserve">-PCR), </w:t>
      </w:r>
      <w:proofErr w:type="spellStart"/>
      <w:r w:rsidRPr="00296F38">
        <w:rPr>
          <w:color w:val="FF0000"/>
          <w:sz w:val="22"/>
          <w:szCs w:val="22"/>
          <w:lang w:val="en-US"/>
        </w:rPr>
        <w:t>1μg</w:t>
      </w:r>
      <w:proofErr w:type="spellEnd"/>
      <w:r w:rsidRPr="00296F38">
        <w:rPr>
          <w:color w:val="FF0000"/>
          <w:sz w:val="22"/>
          <w:szCs w:val="22"/>
          <w:lang w:val="en-US"/>
        </w:rPr>
        <w:t xml:space="preserve"> total RNA was transcribed into complementary DNA (cDNA) by M-MLV reverse transcriptase (Invitrogen) and random primers (Invitrogen). </w:t>
      </w:r>
      <w:r w:rsidR="00296F38">
        <w:rPr>
          <w:color w:val="FF0000"/>
          <w:sz w:val="22"/>
          <w:szCs w:val="22"/>
          <w:lang w:val="en-US"/>
        </w:rPr>
        <w:fldChar w:fldCharType="begin" w:fldLock="1"/>
      </w:r>
      <w:r w:rsidR="00296F38">
        <w:rPr>
          <w:color w:val="FF0000"/>
          <w:sz w:val="22"/>
          <w:szCs w:val="22"/>
          <w:lang w:val="en-US"/>
        </w:rPr>
        <w:instrText>ADDIN CSL_CITATION { "citationItems" : [ { "id" : "ITEM-1", "itemData" : { "DOI" : "10.3389/fphys.2019.01291", "ISSN" : "1664-042X", "author" : [ { "dropping-particle" : "", "family" : "Genova", "given" : "Tullio", "non-dropping-particle" : "", "parse-names" : false, "suffix" : "" }, { "dropping-particle" : "", "family" : "Petrillo", "given" : "Sara", "non-dropping-particle" : "", "parse-names" : false, "suffix" : "" }, { "dropping-particle" : "", "family" : "Zicola", "given" : "Elisa", "non-dropping-particle" : "", "parse-names" : false, "suffix" : "" }, { "dropping-particle" : "", "family" : "Roato", "given" : "Ilaria", "non-dropping-particle" : "", "parse-names" : false, "suffix" : "" }, { "dropping-particle" : "", "family" : "Ferracini", "given" : "Riccardo", "non-dropping-particle" : "", "parse-names" : false, "suffix" : "" }, { "dropping-particle" : "", "family" : "Tolosano", "given" : "Emanuela", "non-dropping-particle" : "", "parse-names" : false, "suffix" : "" }, { "dropping-particle" : "", "family" : "Altruda", "given" : "Fiorella", "non-dropping-particle" : "", "parse-names" : false, "suffix" : "" }, { "dropping-particle" : "", "family" : "Carossa", "given" : "Stefano", "non-dropping-particle" : "", "parse-names" : false, "suffix" : "" }, { "dropping-particle" : "", "family" : "Mussano", "given" : "Federico", "non-dropping-particle" : "", "parse-names" : false, "suffix" : "" }, { "dropping-particle" : "", "family" : "Munaron", "given" : "Luca", "non-dropping-particle" : "", "parse-names" : false, "suffix" : "" } ], "container-title" : "Frontiers in Physiology", "id" : "ITEM-1", "issued" : { "date-parts" : [ [ "2019", "10", "14" ] ] }, "publisher" : "Frontiers Media SA", "title" : "The Crosstalk Between Osteodifferentiating Stem Cells and Endothelial Cells Promotes Angiogenesis and Bone Formation", "type" : "article-journal", "volume" : "10" }, "uris" : [ "http://www.mendeley.com/documents/?uuid=918a787c-6481-3276-a33d-cea806ca38e0" ] } ], "mendeley" : { "formattedCitation" : "[36]", "plainTextFormattedCitation" : "[36]", "previouslyFormattedCitation" : "[36]" }, "properties" : {  }, "schema" : "https://github.com/citation-style-language/schema/raw/master/csl-citation.json" }</w:instrText>
      </w:r>
      <w:r w:rsidR="00296F38">
        <w:rPr>
          <w:color w:val="FF0000"/>
          <w:sz w:val="22"/>
          <w:szCs w:val="22"/>
          <w:lang w:val="en-US"/>
        </w:rPr>
        <w:fldChar w:fldCharType="separate"/>
      </w:r>
      <w:r w:rsidR="00296F38" w:rsidRPr="00296F38">
        <w:rPr>
          <w:noProof/>
          <w:color w:val="FF0000"/>
          <w:sz w:val="22"/>
          <w:szCs w:val="22"/>
          <w:lang w:val="en-US"/>
        </w:rPr>
        <w:t>[36]</w:t>
      </w:r>
      <w:r w:rsidR="00296F38">
        <w:rPr>
          <w:color w:val="FF0000"/>
          <w:sz w:val="22"/>
          <w:szCs w:val="22"/>
          <w:lang w:val="en-US"/>
        </w:rPr>
        <w:fldChar w:fldCharType="end"/>
      </w:r>
      <w:r w:rsidR="00296F38">
        <w:rPr>
          <w:color w:val="FF0000"/>
          <w:sz w:val="22"/>
          <w:szCs w:val="22"/>
          <w:lang w:val="en-US"/>
        </w:rPr>
        <w:t xml:space="preserve"> </w:t>
      </w:r>
      <w:proofErr w:type="spellStart"/>
      <w:r w:rsidRPr="00296F38">
        <w:rPr>
          <w:color w:val="FF0000"/>
          <w:sz w:val="22"/>
          <w:szCs w:val="22"/>
          <w:lang w:val="en-US"/>
        </w:rPr>
        <w:t>qRT</w:t>
      </w:r>
      <w:proofErr w:type="spellEnd"/>
      <w:r w:rsidRPr="00296F38">
        <w:rPr>
          <w:color w:val="FF0000"/>
          <w:sz w:val="22"/>
          <w:szCs w:val="22"/>
          <w:lang w:val="en-US"/>
        </w:rPr>
        <w:t xml:space="preserve">-PCR was performed on a </w:t>
      </w:r>
      <w:proofErr w:type="spellStart"/>
      <w:r w:rsidRPr="00296F38">
        <w:rPr>
          <w:color w:val="FF0000"/>
          <w:sz w:val="22"/>
          <w:szCs w:val="22"/>
          <w:lang w:val="en-US"/>
        </w:rPr>
        <w:t>QuantStudio</w:t>
      </w:r>
      <w:proofErr w:type="spellEnd"/>
      <w:r w:rsidRPr="00296F38">
        <w:rPr>
          <w:color w:val="FF0000"/>
          <w:sz w:val="22"/>
          <w:szCs w:val="22"/>
          <w:lang w:val="en-US"/>
        </w:rPr>
        <w:t xml:space="preserve">™ 6 Real-Time PCR System (Applied Biosystems, Monza, Italy). Primers and probes were designed using the Universal </w:t>
      </w:r>
      <w:proofErr w:type="spellStart"/>
      <w:r w:rsidRPr="00296F38">
        <w:rPr>
          <w:color w:val="FF0000"/>
          <w:sz w:val="22"/>
          <w:szCs w:val="22"/>
          <w:lang w:val="en-US"/>
        </w:rPr>
        <w:t>ProbeLibrary</w:t>
      </w:r>
      <w:proofErr w:type="spellEnd"/>
      <w:r w:rsidRPr="00296F38">
        <w:rPr>
          <w:color w:val="FF0000"/>
          <w:sz w:val="22"/>
          <w:szCs w:val="22"/>
          <w:lang w:val="en-US"/>
        </w:rPr>
        <w:t xml:space="preserve"> Assay Design Center software (www. </w:t>
      </w:r>
      <w:proofErr w:type="spellStart"/>
      <w:r w:rsidRPr="00296F38">
        <w:rPr>
          <w:color w:val="FF0000"/>
          <w:sz w:val="22"/>
          <w:szCs w:val="22"/>
          <w:lang w:val="en-US"/>
        </w:rPr>
        <w:t>lifescience.roche.com</w:t>
      </w:r>
      <w:proofErr w:type="spellEnd"/>
      <w:r w:rsidRPr="00296F38">
        <w:rPr>
          <w:color w:val="FF0000"/>
          <w:sz w:val="22"/>
          <w:szCs w:val="22"/>
          <w:lang w:val="en-US"/>
        </w:rPr>
        <w:t xml:space="preserve">). </w:t>
      </w:r>
      <w:r w:rsidR="00296F38">
        <w:rPr>
          <w:color w:val="FF0000"/>
          <w:sz w:val="22"/>
          <w:szCs w:val="22"/>
          <w:lang w:val="en-US"/>
        </w:rPr>
        <w:fldChar w:fldCharType="begin" w:fldLock="1"/>
      </w:r>
      <w:r w:rsidR="00296F38">
        <w:rPr>
          <w:color w:val="FF0000"/>
          <w:sz w:val="22"/>
          <w:szCs w:val="22"/>
          <w:lang w:val="en-US"/>
        </w:rPr>
        <w:instrText>ADDIN CSL_CITATION { "citationItems" : [ { "id" : "ITEM-1", "itemData" : { "DOI" : "10.1002/ajh.25295", "ISSN" : "03618609", "author" : [ { "dropping-particle" : "", "family" : "Beneduce", "given" : "Elisabetta", "non-dropping-particle" : "", "parse-names" : false, "suffix" : "" }, { "dropping-particle" : "", "family" : "Matte", "given" : "Alessandro", "non-dropping-particle" : "", "parse-names" : false, "suffix" : "" }, { "dropping-particle" : "", "family" : "Falco", "given" : "Luigia", "non-dropping-particle" : "De", "parse-names" : false, "suffix" : "" }, { "dropping-particle" : "", "family" : "Mbiandjeu", "given" : "Serge", "non-dropping-particle" : "", "parse-names" : false, "suffix" : "" }, { "dropping-particle" : "", "family" : "Chiabrando", "given" : "Deborah", "non-dropping-particle" : "", "parse-names" : false, "suffix" : "" }, { "dropping-particle" : "", "family" : "Tolosano", "given" : "Emanuela", "non-dropping-particle" : "", "parse-names" : false, "suffix" : "" }, { "dropping-particle" : "", "family" : "Federti", "given" : "Enrica", "non-dropping-particle" : "", "parse-names" : false, "suffix" : "" }, { "dropping-particle" : "", "family" : "Petrillo", "given" : "Sara", "non-dropping-particle" : "", "parse-names" : false, "suffix" : "" }, { "dropping-particle" : "", "family" : "Mohandas", "given" : "Narla", "non-dropping-particle" : "", "parse-names" : false, "suffix" : "" }, { "dropping-particle" : "", "family" : "Siciliano", "given" : "Angela", "non-dropping-particle" : "", "parse-names" : false, "suffix" : "" }, { "dropping-particle" : "", "family" : "Babu", "given" : "Wilson", "non-dropping-particle" : "", "parse-names" : false, "suffix" : "" }, { "dropping-particle" : "", "family" : "Menon", "given" : "Vijay", "non-dropping-particle" : "", "parse-names" : false, "suffix" : "" }, { "dropping-particle" : "", "family" : "Ghaffari", "given" : "Saghi", "non-dropping-particle" : "", "parse-names" : false, "suffix" : "" }, { "dropping-particle" : "", "family" : "Iolascon", "given" : "Achille", "non-dropping-particle" : "", "parse-names" : false, "suffix" : "" }, { "dropping-particle" : "", "family" : "Franceschi", "given" : "Lucia", "non-dropping-particle" : "De", "parse-names" : false, "suffix" : "" } ], "container-title" : "American Journal of Hematology", "id" : "ITEM-1", "issue" : "1", "issued" : { "date-parts" : [ [ "2019", "1", "1" ] ] }, "page" : "10-20", "publisher" : "John Wiley &amp; Sons, Ltd", "title" : "Fyn kinase is a novel modulator of erythropoietin signaling and stress erythropoiesis", "type" : "article-journal", "volume" : "94" }, "uris" : [ "http://www.mendeley.com/documents/?uuid=e297a985-0502-3b62-a161-1a9d1e684b1c" ] } ], "mendeley" : { "formattedCitation" : "[37]", "plainTextFormattedCitation" : "[37]", "previouslyFormattedCitation" : "[37]" }, "properties" : {  }, "schema" : "https://github.com/citation-style-language/schema/raw/master/csl-citation.json" }</w:instrText>
      </w:r>
      <w:r w:rsidR="00296F38">
        <w:rPr>
          <w:color w:val="FF0000"/>
          <w:sz w:val="22"/>
          <w:szCs w:val="22"/>
          <w:lang w:val="en-US"/>
        </w:rPr>
        <w:fldChar w:fldCharType="separate"/>
      </w:r>
      <w:r w:rsidR="00296F38" w:rsidRPr="00296F38">
        <w:rPr>
          <w:noProof/>
          <w:color w:val="FF0000"/>
          <w:sz w:val="22"/>
          <w:szCs w:val="22"/>
          <w:lang w:val="en-US"/>
        </w:rPr>
        <w:t>[37]</w:t>
      </w:r>
      <w:r w:rsidR="00296F38">
        <w:rPr>
          <w:color w:val="FF0000"/>
          <w:sz w:val="22"/>
          <w:szCs w:val="22"/>
          <w:lang w:val="en-US"/>
        </w:rPr>
        <w:fldChar w:fldCharType="end"/>
      </w:r>
      <w:r w:rsidR="007E0849">
        <w:rPr>
          <w:color w:val="FF0000"/>
          <w:sz w:val="22"/>
          <w:szCs w:val="22"/>
          <w:lang w:val="en-US"/>
        </w:rPr>
        <w:t xml:space="preserve"> </w:t>
      </w:r>
      <w:r w:rsidRPr="00296F38">
        <w:rPr>
          <w:color w:val="FF0000"/>
          <w:sz w:val="22"/>
          <w:szCs w:val="22"/>
          <w:lang w:val="en-US"/>
        </w:rPr>
        <w:t xml:space="preserve">Transcript abundance, normalized to </w:t>
      </w:r>
      <w:proofErr w:type="spellStart"/>
      <w:r w:rsidRPr="00296F38">
        <w:rPr>
          <w:color w:val="FF0000"/>
          <w:sz w:val="22"/>
          <w:szCs w:val="22"/>
          <w:lang w:val="en-US"/>
        </w:rPr>
        <w:t>18s</w:t>
      </w:r>
      <w:proofErr w:type="spellEnd"/>
      <w:r w:rsidRPr="00296F38">
        <w:rPr>
          <w:color w:val="FF0000"/>
          <w:sz w:val="22"/>
          <w:szCs w:val="22"/>
          <w:lang w:val="en-US"/>
        </w:rPr>
        <w:t xml:space="preserve"> mRNA expression is expressed as a fold increase over a calibrator sample. Integrin β1 chain primers: Left, </w:t>
      </w:r>
      <w:proofErr w:type="spellStart"/>
      <w:r w:rsidRPr="00296F38">
        <w:rPr>
          <w:color w:val="FF0000"/>
          <w:sz w:val="22"/>
          <w:szCs w:val="22"/>
          <w:lang w:val="en-US"/>
        </w:rPr>
        <w:t>atgcaggttgcggtttgt</w:t>
      </w:r>
      <w:proofErr w:type="spellEnd"/>
      <w:r w:rsidRPr="00296F38">
        <w:rPr>
          <w:color w:val="FF0000"/>
          <w:sz w:val="22"/>
          <w:szCs w:val="22"/>
          <w:lang w:val="en-US"/>
        </w:rPr>
        <w:t xml:space="preserve"> – Right, </w:t>
      </w:r>
      <w:proofErr w:type="spellStart"/>
      <w:r w:rsidRPr="00296F38">
        <w:rPr>
          <w:color w:val="FF0000"/>
          <w:sz w:val="22"/>
          <w:szCs w:val="22"/>
          <w:lang w:val="en-US"/>
        </w:rPr>
        <w:t>catccgtggaaaacaccag</w:t>
      </w:r>
      <w:proofErr w:type="spellEnd"/>
      <w:r w:rsidRPr="00296F38">
        <w:rPr>
          <w:color w:val="FF0000"/>
          <w:sz w:val="22"/>
          <w:szCs w:val="22"/>
          <w:lang w:val="en-US"/>
        </w:rPr>
        <w:t xml:space="preserve">; Integrin α5 chain primers: Left, </w:t>
      </w:r>
      <w:proofErr w:type="spellStart"/>
      <w:r w:rsidRPr="00296F38">
        <w:rPr>
          <w:color w:val="FF0000"/>
          <w:sz w:val="22"/>
          <w:szCs w:val="22"/>
          <w:lang w:val="en-US"/>
        </w:rPr>
        <w:t>caccattcaatttgacagcaa</w:t>
      </w:r>
      <w:proofErr w:type="spellEnd"/>
      <w:r w:rsidRPr="00296F38">
        <w:rPr>
          <w:color w:val="FF0000"/>
          <w:sz w:val="22"/>
          <w:szCs w:val="22"/>
          <w:lang w:val="en-US"/>
        </w:rPr>
        <w:t xml:space="preserve"> – Right, </w:t>
      </w:r>
      <w:proofErr w:type="spellStart"/>
      <w:r w:rsidRPr="00296F38">
        <w:rPr>
          <w:color w:val="FF0000"/>
          <w:sz w:val="22"/>
          <w:szCs w:val="22"/>
          <w:lang w:val="en-US"/>
        </w:rPr>
        <w:t>tgcaaggacttgtactccaca</w:t>
      </w:r>
      <w:proofErr w:type="spellEnd"/>
      <w:r w:rsidRPr="00296F38">
        <w:rPr>
          <w:color w:val="FF0000"/>
          <w:sz w:val="22"/>
          <w:szCs w:val="22"/>
          <w:lang w:val="en-US"/>
        </w:rPr>
        <w:t>.</w:t>
      </w:r>
    </w:p>
    <w:p w14:paraId="0A601DA4" w14:textId="77777777" w:rsidR="0025473D" w:rsidRPr="00296F38" w:rsidRDefault="0025473D" w:rsidP="001D530E">
      <w:pPr>
        <w:pStyle w:val="BodyB"/>
        <w:keepNext w:val="0"/>
        <w:widowControl w:val="0"/>
        <w:spacing w:line="480" w:lineRule="auto"/>
        <w:jc w:val="both"/>
        <w:rPr>
          <w:color w:val="FF0000"/>
          <w:sz w:val="22"/>
          <w:szCs w:val="22"/>
          <w:lang w:val="en-US"/>
        </w:rPr>
      </w:pPr>
    </w:p>
    <w:p w14:paraId="32B6A22D" w14:textId="7C533351" w:rsidR="007160B3" w:rsidRPr="00847E04" w:rsidRDefault="00296F38" w:rsidP="00296F38">
      <w:pPr>
        <w:pStyle w:val="BodyB"/>
        <w:keepNext w:val="0"/>
        <w:widowControl w:val="0"/>
        <w:suppressAutoHyphens w:val="0"/>
        <w:spacing w:line="480" w:lineRule="auto"/>
        <w:jc w:val="both"/>
        <w:rPr>
          <w:b/>
          <w:bCs/>
          <w:i/>
          <w:iCs/>
          <w:color w:val="FF0000"/>
          <w:sz w:val="22"/>
          <w:szCs w:val="22"/>
          <w:lang w:val="en-US"/>
        </w:rPr>
      </w:pPr>
      <w:r w:rsidRPr="00847E04">
        <w:rPr>
          <w:b/>
          <w:bCs/>
          <w:i/>
          <w:iCs/>
          <w:color w:val="FF0000"/>
          <w:sz w:val="22"/>
          <w:szCs w:val="22"/>
          <w:lang w:val="en-US"/>
        </w:rPr>
        <w:t>2.8.8 Cell interactions evaluation</w:t>
      </w:r>
    </w:p>
    <w:p w14:paraId="1EE4AA8E" w14:textId="77777777" w:rsidR="00296F38" w:rsidRPr="00847E04" w:rsidRDefault="00296F38" w:rsidP="00296F38">
      <w:pPr>
        <w:pStyle w:val="BodyB"/>
        <w:keepNext w:val="0"/>
        <w:widowControl w:val="0"/>
        <w:spacing w:line="480" w:lineRule="auto"/>
        <w:jc w:val="both"/>
        <w:rPr>
          <w:color w:val="FF0000"/>
          <w:sz w:val="22"/>
          <w:szCs w:val="22"/>
          <w:lang w:val="en-US"/>
        </w:rPr>
      </w:pPr>
      <w:r w:rsidRPr="00847E04">
        <w:rPr>
          <w:color w:val="FF0000"/>
          <w:sz w:val="22"/>
          <w:szCs w:val="22"/>
          <w:lang w:val="en-US"/>
        </w:rPr>
        <w:t xml:space="preserve">In order to investigate cell </w:t>
      </w:r>
      <w:proofErr w:type="spellStart"/>
      <w:r w:rsidRPr="00847E04">
        <w:rPr>
          <w:color w:val="FF0000"/>
          <w:sz w:val="22"/>
          <w:szCs w:val="22"/>
          <w:lang w:val="en-US"/>
        </w:rPr>
        <w:t>behaviour</w:t>
      </w:r>
      <w:proofErr w:type="spellEnd"/>
      <w:r w:rsidRPr="00847E04">
        <w:rPr>
          <w:color w:val="FF0000"/>
          <w:sz w:val="22"/>
          <w:szCs w:val="22"/>
          <w:lang w:val="en-US"/>
        </w:rPr>
        <w:t xml:space="preserve"> associated to cell morphology, cell interactions were measured by counting for each cell the number of interactions with filipodia of </w:t>
      </w:r>
      <w:proofErr w:type="spellStart"/>
      <w:r w:rsidRPr="00847E04">
        <w:rPr>
          <w:color w:val="FF0000"/>
          <w:sz w:val="22"/>
          <w:szCs w:val="22"/>
          <w:lang w:val="en-US"/>
        </w:rPr>
        <w:t>neighbouring</w:t>
      </w:r>
      <w:proofErr w:type="spellEnd"/>
      <w:r w:rsidRPr="00847E04">
        <w:rPr>
          <w:color w:val="FF0000"/>
          <w:sz w:val="22"/>
          <w:szCs w:val="22"/>
          <w:lang w:val="en-US"/>
        </w:rPr>
        <w:t xml:space="preserve"> cells found in the field. For each condition, the mean of total cell interactions found in each field was evaluated.</w:t>
      </w:r>
    </w:p>
    <w:p w14:paraId="2F5F7689" w14:textId="77777777" w:rsidR="00296F38" w:rsidRPr="00296F38" w:rsidRDefault="00296F38" w:rsidP="00B63CF1">
      <w:pPr>
        <w:pStyle w:val="BodyB"/>
        <w:keepNext w:val="0"/>
        <w:widowControl w:val="0"/>
        <w:spacing w:line="480" w:lineRule="auto"/>
        <w:jc w:val="both"/>
        <w:rPr>
          <w:sz w:val="22"/>
          <w:szCs w:val="22"/>
          <w:lang w:val="en-GB"/>
        </w:rPr>
      </w:pPr>
    </w:p>
    <w:p w14:paraId="476F8520" w14:textId="77777777" w:rsidR="00E2412D" w:rsidRDefault="00673E5C" w:rsidP="00B63CF1">
      <w:pPr>
        <w:pStyle w:val="BodyB"/>
        <w:keepNext w:val="0"/>
        <w:widowControl w:val="0"/>
        <w:suppressAutoHyphens w:val="0"/>
        <w:spacing w:line="480" w:lineRule="auto"/>
        <w:jc w:val="both"/>
        <w:rPr>
          <w:b/>
          <w:bCs/>
          <w:i/>
          <w:iCs/>
          <w:sz w:val="22"/>
          <w:szCs w:val="22"/>
          <w:lang w:val="en-US"/>
        </w:rPr>
      </w:pPr>
      <w:r>
        <w:rPr>
          <w:sz w:val="22"/>
          <w:szCs w:val="22"/>
          <w:lang w:val="en-US"/>
        </w:rPr>
        <w:t xml:space="preserve">2.9 </w:t>
      </w:r>
      <w:r>
        <w:rPr>
          <w:b/>
          <w:bCs/>
          <w:i/>
          <w:iCs/>
          <w:sz w:val="22"/>
          <w:szCs w:val="22"/>
          <w:lang w:val="en-US"/>
        </w:rPr>
        <w:t>Statistical analysis</w:t>
      </w:r>
    </w:p>
    <w:p w14:paraId="1C52FB1D" w14:textId="474EB444" w:rsidR="00E2412D" w:rsidRDefault="00673E5C" w:rsidP="00B63CF1">
      <w:pPr>
        <w:pStyle w:val="BodyB"/>
        <w:keepNext w:val="0"/>
        <w:widowControl w:val="0"/>
        <w:suppressAutoHyphens w:val="0"/>
        <w:spacing w:line="480" w:lineRule="auto"/>
        <w:jc w:val="both"/>
        <w:rPr>
          <w:sz w:val="22"/>
          <w:szCs w:val="22"/>
          <w:lang w:val="en-US"/>
        </w:rPr>
      </w:pPr>
      <w:r>
        <w:rPr>
          <w:sz w:val="22"/>
          <w:szCs w:val="22"/>
          <w:lang w:val="en-US"/>
        </w:rPr>
        <w:t xml:space="preserve">Data were analyzed by means of the GraphPad </w:t>
      </w:r>
      <w:proofErr w:type="spellStart"/>
      <w:r>
        <w:rPr>
          <w:sz w:val="22"/>
          <w:szCs w:val="22"/>
          <w:lang w:val="en-US"/>
        </w:rPr>
        <w:t>Prism6</w:t>
      </w:r>
      <w:proofErr w:type="spellEnd"/>
      <w:r>
        <w:rPr>
          <w:sz w:val="22"/>
          <w:szCs w:val="22"/>
          <w:lang w:val="en-US"/>
        </w:rPr>
        <w:t xml:space="preserve"> (GraphPad Software, Inc., La Jolla, CA, USA). Each </w:t>
      </w:r>
      <w:r>
        <w:rPr>
          <w:sz w:val="22"/>
          <w:szCs w:val="22"/>
          <w:lang w:val="en-US"/>
        </w:rPr>
        <w:lastRenderedPageBreak/>
        <w:t xml:space="preserve">experiment was repeated at least three </w:t>
      </w:r>
      <w:r w:rsidRPr="007C0369">
        <w:rPr>
          <w:sz w:val="22"/>
          <w:szCs w:val="22"/>
          <w:lang w:val="en-US"/>
        </w:rPr>
        <w:t>times.</w:t>
      </w:r>
      <w:r w:rsidR="007C0369" w:rsidRPr="007C0369">
        <w:rPr>
          <w:sz w:val="22"/>
          <w:szCs w:val="22"/>
          <w:lang w:val="en-US"/>
        </w:rPr>
        <w:t xml:space="preserve"> Expanded uncertainties were calculated by multiplying the standard uncertainty by the coverage factor at 95% level of confidence, based on the Student’s t-distribution. For the directly measured quantities, the number of degrees of freedom was considered equal to the number of repeated measurements reduced by one, while for the quantities calculated by means of equations the effective number of degrees of freedom was obtained from the Welch-Satterthwaite formula</w:t>
      </w:r>
      <w:r w:rsidR="00A73104">
        <w:rPr>
          <w:sz w:val="22"/>
          <w:szCs w:val="22"/>
          <w:lang w:val="en-US"/>
        </w:rPr>
        <w:t xml:space="preserve"> </w:t>
      </w:r>
      <w:r w:rsidR="00A73104">
        <w:rPr>
          <w:sz w:val="22"/>
          <w:szCs w:val="22"/>
          <w:lang w:val="en-US"/>
        </w:rPr>
        <w:fldChar w:fldCharType="begin" w:fldLock="1"/>
      </w:r>
      <w:r w:rsidR="00296F38">
        <w:rPr>
          <w:sz w:val="22"/>
          <w:szCs w:val="22"/>
          <w:lang w:val="en-US"/>
        </w:rPr>
        <w:instrText>ADDIN CSL_CITATION { "citationItems" : [ { "id" : "ITEM-1", "itemData" : { "DOI" : "10.2307/2344974", "ISBN" : "0750300604", "ISSN" : "00359238", "abstract" : "2nd ed.", "author" : [ { "dropping-particle" : "", "family" : "Freeman", "given" : "P. R.", "non-dropping-particle" : "", "parse-names" : false, "suffix" : "" }, { "dropping-particle" : "", "family" : "Dietrich", "given" : "C. F.", "non-dropping-particle" : "", "parse-names" : false, "suffix" : "" } ], "container-title" : "Journal of the Royal Statistical Society. Series A (General)", "id" : "ITEM-1", "issue" : "3", "issued" : { "date-parts" : [ [ "2006" ] ] }, "page" : "441", "publisher" : "A. Hilger", "title" : "Uncertainty, Calibration and Probability. The Statistics of Scientific and Industrial Measurment.", "type" : "article-journal", "volume" : "137" }, "uris" : [ "http://www.mendeley.com/documents/?uuid=dd505a7d-7cca-38f9-a689-ec7044c59f5e", "http://www.mendeley.com/documents/?uuid=2ce742ba-f598-44b6-a0a7-0ee121d124fa" ] }, { "id" : "ITEM-2", "itemData" : { "DOI" : "10.1373/clinchem.2003.030528", "ISBN" : "9267101889", "ISSN" : "00099147", "PMID" : "15105367", "abstract" : "When reporting the result of a measurement of a physical quantity, some quantitative indication of the result has to be given to assess its reliability and to allow comparisons to be made. The Guide to the expression of uncertainty in measurement establishes general rules for evaluating and expressing uncertainty in measurement that can be followed at many levels of accuracy and in many fields.", "author" : [ { "dropping-particle" : "", "family" : "JCGM100:2008", "given" : "", "non-dropping-particle" : "", "parse-names" : false, "suffix" : "" } ], "container-title" : "International Organization for Standardization Geneva ISBN", "id" : "ITEM-2", "issue" : "September", "issued" : { "date-parts" : [ [ "2008" ] ] }, "page" : "134", "title" : "Evaluation of measurement data \u2014 Guide to the expression of uncertainty in measurement", "type" : "article-journal", "volume" : "50" }, "uris" : [ "http://www.mendeley.com/documents/?uuid=b142eec9-ed3f-367b-b588-70a0147cb539", "http://www.mendeley.com/documents/?uuid=9065a945-e379-40bc-b8dc-537cd1c745c2" ] } ], "mendeley" : { "formattedCitation" : "[38,39]", "plainTextFormattedCitation" : "[38,39]", "previouslyFormattedCitation" : "[38,39]" }, "properties" : {  }, "schema" : "https://github.com/citation-style-language/schema/raw/master/csl-citation.json" }</w:instrText>
      </w:r>
      <w:r w:rsidR="00A73104">
        <w:rPr>
          <w:sz w:val="22"/>
          <w:szCs w:val="22"/>
          <w:lang w:val="en-US"/>
        </w:rPr>
        <w:fldChar w:fldCharType="separate"/>
      </w:r>
      <w:r w:rsidR="00296F38" w:rsidRPr="00296F38">
        <w:rPr>
          <w:noProof/>
          <w:sz w:val="22"/>
          <w:szCs w:val="22"/>
          <w:lang w:val="en-US"/>
        </w:rPr>
        <w:t>[38,39]</w:t>
      </w:r>
      <w:r w:rsidR="00A73104">
        <w:rPr>
          <w:sz w:val="22"/>
          <w:szCs w:val="22"/>
          <w:lang w:val="en-US"/>
        </w:rPr>
        <w:fldChar w:fldCharType="end"/>
      </w:r>
      <w:r w:rsidR="007C0369" w:rsidRPr="007C0369">
        <w:rPr>
          <w:sz w:val="22"/>
          <w:szCs w:val="22"/>
          <w:lang w:val="en-US"/>
        </w:rPr>
        <w:t xml:space="preserve">. </w:t>
      </w:r>
      <w:r>
        <w:rPr>
          <w:sz w:val="22"/>
          <w:szCs w:val="22"/>
          <w:lang w:val="en-US"/>
        </w:rPr>
        <w:t xml:space="preserve">Statistical analysis was performed by using the Student t-test and Wilcoxon Mann Whitney test. A p-value lower than 0.05 was considered significant. </w:t>
      </w:r>
    </w:p>
    <w:p w14:paraId="36783CE3" w14:textId="77777777" w:rsidR="00E2412D" w:rsidRDefault="00673E5C" w:rsidP="00B63CF1">
      <w:pPr>
        <w:keepNext w:val="0"/>
        <w:widowControl w:val="0"/>
        <w:jc w:val="both"/>
      </w:pPr>
      <w:r>
        <w:br w:type="page"/>
      </w:r>
    </w:p>
    <w:p w14:paraId="3DC49087" w14:textId="77777777" w:rsidR="00E2412D" w:rsidRDefault="00E2412D">
      <w:pPr>
        <w:keepNext w:val="0"/>
        <w:widowControl w:val="0"/>
        <w:rPr>
          <w:sz w:val="22"/>
          <w:szCs w:val="22"/>
        </w:rPr>
      </w:pPr>
    </w:p>
    <w:p w14:paraId="38E9707F" w14:textId="77777777" w:rsidR="00E2412D" w:rsidRPr="00BE70A7" w:rsidRDefault="00673E5C">
      <w:pPr>
        <w:pStyle w:val="BodyB"/>
        <w:keepNext w:val="0"/>
        <w:widowControl w:val="0"/>
        <w:suppressAutoHyphens w:val="0"/>
        <w:spacing w:line="480" w:lineRule="auto"/>
        <w:jc w:val="both"/>
        <w:rPr>
          <w:rFonts w:ascii="Times New Roman Bold" w:eastAsia="Times New Roman Bold" w:hAnsi="Times New Roman Bold" w:cs="Times New Roman Bold"/>
          <w:b/>
          <w:sz w:val="22"/>
          <w:szCs w:val="22"/>
          <w:lang w:val="en-US"/>
        </w:rPr>
      </w:pPr>
      <w:r w:rsidRPr="00BE70A7">
        <w:rPr>
          <w:b/>
          <w:bCs/>
          <w:sz w:val="26"/>
          <w:szCs w:val="26"/>
          <w:lang w:val="en-GB"/>
        </w:rPr>
        <w:t xml:space="preserve">3. </w:t>
      </w:r>
      <w:r w:rsidRPr="00BE70A7">
        <w:rPr>
          <w:rFonts w:ascii="Times New Roman Bold"/>
          <w:b/>
          <w:sz w:val="26"/>
          <w:szCs w:val="26"/>
          <w:lang w:val="en-US"/>
        </w:rPr>
        <w:t>Results</w:t>
      </w:r>
    </w:p>
    <w:p w14:paraId="6E8D8FBA" w14:textId="77777777" w:rsidR="00E2412D" w:rsidRPr="00843E05" w:rsidRDefault="00673E5C">
      <w:pPr>
        <w:pStyle w:val="BodyB"/>
        <w:keepNext w:val="0"/>
        <w:widowControl w:val="0"/>
        <w:suppressAutoHyphens w:val="0"/>
        <w:spacing w:line="480" w:lineRule="auto"/>
        <w:jc w:val="both"/>
        <w:rPr>
          <w:b/>
          <w:bCs/>
          <w:i/>
          <w:iCs/>
          <w:sz w:val="22"/>
          <w:szCs w:val="22"/>
          <w:lang w:val="en-US"/>
        </w:rPr>
      </w:pPr>
      <w:r w:rsidRPr="00843E05">
        <w:rPr>
          <w:i/>
          <w:sz w:val="22"/>
          <w:szCs w:val="22"/>
          <w:lang w:val="en-US"/>
        </w:rPr>
        <w:t xml:space="preserve">3.1 </w:t>
      </w:r>
      <w:r w:rsidRPr="00843E05">
        <w:rPr>
          <w:b/>
          <w:bCs/>
          <w:i/>
          <w:sz w:val="22"/>
          <w:szCs w:val="22"/>
          <w:lang w:val="en-US"/>
        </w:rPr>
        <w:t xml:space="preserve">Topography and surface analyses </w:t>
      </w:r>
    </w:p>
    <w:p w14:paraId="47CFB95F" w14:textId="45AF3DA5" w:rsidR="00E2412D" w:rsidRDefault="00673E5C">
      <w:pPr>
        <w:pStyle w:val="BodyB"/>
        <w:keepNext w:val="0"/>
        <w:widowControl w:val="0"/>
        <w:suppressAutoHyphens w:val="0"/>
        <w:spacing w:line="480" w:lineRule="auto"/>
        <w:jc w:val="both"/>
        <w:rPr>
          <w:sz w:val="22"/>
          <w:szCs w:val="22"/>
          <w:lang w:val="en-US"/>
        </w:rPr>
      </w:pPr>
      <w:r>
        <w:rPr>
          <w:sz w:val="22"/>
          <w:szCs w:val="22"/>
          <w:lang w:val="en-US"/>
        </w:rPr>
        <w:t>A representative SEM i</w:t>
      </w:r>
      <w:r w:rsidR="003E6A3D">
        <w:rPr>
          <w:sz w:val="22"/>
          <w:szCs w:val="22"/>
          <w:lang w:val="en-US"/>
        </w:rPr>
        <w:t xml:space="preserve">mage of each surface is provided </w:t>
      </w:r>
      <w:r>
        <w:rPr>
          <w:sz w:val="22"/>
          <w:szCs w:val="22"/>
          <w:lang w:val="en-US"/>
        </w:rPr>
        <w:t xml:space="preserve">in </w:t>
      </w:r>
      <w:proofErr w:type="spellStart"/>
      <w:r>
        <w:rPr>
          <w:sz w:val="22"/>
          <w:szCs w:val="22"/>
          <w:lang w:val="en-US"/>
        </w:rPr>
        <w:t>Fig.1</w:t>
      </w:r>
      <w:proofErr w:type="spellEnd"/>
      <w:r>
        <w:rPr>
          <w:sz w:val="22"/>
          <w:szCs w:val="22"/>
          <w:lang w:val="en-US"/>
        </w:rPr>
        <w:t xml:space="preserve">. Machined (MAC) samples display the typical marks produced by the milling process (Fig. </w:t>
      </w:r>
      <w:proofErr w:type="spellStart"/>
      <w:r>
        <w:rPr>
          <w:sz w:val="22"/>
          <w:szCs w:val="22"/>
          <w:lang w:val="en-US"/>
        </w:rPr>
        <w:t>1A</w:t>
      </w:r>
      <w:proofErr w:type="spellEnd"/>
      <w:r>
        <w:rPr>
          <w:sz w:val="22"/>
          <w:szCs w:val="22"/>
          <w:lang w:val="en-US"/>
        </w:rPr>
        <w:t xml:space="preserve">), while GB (Fig. </w:t>
      </w:r>
      <w:proofErr w:type="spellStart"/>
      <w:r>
        <w:rPr>
          <w:sz w:val="22"/>
          <w:szCs w:val="22"/>
          <w:lang w:val="en-US"/>
        </w:rPr>
        <w:t>1B</w:t>
      </w:r>
      <w:proofErr w:type="spellEnd"/>
      <w:r>
        <w:rPr>
          <w:sz w:val="22"/>
          <w:szCs w:val="22"/>
          <w:lang w:val="en-US"/>
        </w:rPr>
        <w:t xml:space="preserve">), </w:t>
      </w:r>
      <w:proofErr w:type="spellStart"/>
      <w:r>
        <w:rPr>
          <w:sz w:val="22"/>
          <w:szCs w:val="22"/>
          <w:lang w:val="en-US"/>
        </w:rPr>
        <w:t>GBAE</w:t>
      </w:r>
      <w:proofErr w:type="spellEnd"/>
      <w:r>
        <w:rPr>
          <w:sz w:val="22"/>
          <w:szCs w:val="22"/>
          <w:lang w:val="en-US"/>
        </w:rPr>
        <w:t xml:space="preserve"> (Fig. </w:t>
      </w:r>
      <w:proofErr w:type="spellStart"/>
      <w:r>
        <w:rPr>
          <w:sz w:val="22"/>
          <w:szCs w:val="22"/>
          <w:lang w:val="en-US"/>
        </w:rPr>
        <w:t>1C</w:t>
      </w:r>
      <w:proofErr w:type="spellEnd"/>
      <w:r>
        <w:rPr>
          <w:sz w:val="22"/>
          <w:szCs w:val="22"/>
          <w:lang w:val="en-US"/>
        </w:rPr>
        <w:t xml:space="preserve">) and AE (Fig. </w:t>
      </w:r>
      <w:proofErr w:type="spellStart"/>
      <w:r>
        <w:rPr>
          <w:sz w:val="22"/>
          <w:szCs w:val="22"/>
          <w:lang w:val="en-US"/>
        </w:rPr>
        <w:t>1D</w:t>
      </w:r>
      <w:proofErr w:type="spellEnd"/>
      <w:r>
        <w:rPr>
          <w:sz w:val="22"/>
          <w:szCs w:val="22"/>
          <w:lang w:val="en-US"/>
        </w:rPr>
        <w:t>) surfaces appear as roughened surfaces consistently with the subtractive process used to generate them showing stochastic presence of peaks and valleys.</w:t>
      </w:r>
    </w:p>
    <w:p w14:paraId="07075372" w14:textId="2CB1CD41" w:rsidR="00E2412D" w:rsidRDefault="00673E5C">
      <w:pPr>
        <w:pStyle w:val="BodyB"/>
        <w:keepNext w:val="0"/>
        <w:widowControl w:val="0"/>
        <w:suppressAutoHyphens w:val="0"/>
        <w:spacing w:line="480" w:lineRule="auto"/>
        <w:jc w:val="both"/>
        <w:rPr>
          <w:sz w:val="22"/>
          <w:szCs w:val="22"/>
          <w:lang w:val="en-US"/>
        </w:rPr>
      </w:pPr>
      <w:r>
        <w:rPr>
          <w:noProof/>
        </w:rPr>
        <w:drawing>
          <wp:inline distT="0" distB="0" distL="0" distR="0" wp14:anchorId="3D34FA69" wp14:editId="34776FC7">
            <wp:extent cx="6113780" cy="4885690"/>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pic:nvPicPr>
                  <pic:blipFill rotWithShape="1">
                    <a:blip r:embed="rId8"/>
                    <a:srcRect/>
                    <a:stretch>
                      <a:fillRect/>
                    </a:stretch>
                  </pic:blipFill>
                  <pic:spPr>
                    <a:xfrm>
                      <a:off x="0" y="0"/>
                      <a:ext cx="6113780" cy="4885690"/>
                    </a:xfrm>
                    <a:prstGeom prst="rect">
                      <a:avLst/>
                    </a:prstGeom>
                    <a:noFill/>
                    <a:ln>
                      <a:noFill/>
                    </a:ln>
                    <a:effectLst/>
                  </pic:spPr>
                </pic:pic>
              </a:graphicData>
            </a:graphic>
          </wp:inline>
        </w:drawing>
      </w:r>
      <w:r w:rsidRPr="00DE1A73">
        <w:rPr>
          <w:i/>
          <w:iCs/>
          <w:kern w:val="24"/>
          <w:sz w:val="20"/>
          <w:szCs w:val="20"/>
          <w:lang w:val="en-US"/>
        </w:rPr>
        <w:t>Fig</w:t>
      </w:r>
      <w:r w:rsidR="00B253FC" w:rsidRPr="00DE1A73">
        <w:rPr>
          <w:i/>
          <w:iCs/>
          <w:kern w:val="24"/>
          <w:sz w:val="20"/>
          <w:szCs w:val="20"/>
          <w:lang w:val="en-US"/>
        </w:rPr>
        <w:t>. 1 SEM images showing MAC (A),</w:t>
      </w:r>
      <w:r w:rsidRPr="00DE1A73">
        <w:rPr>
          <w:i/>
          <w:iCs/>
          <w:kern w:val="24"/>
          <w:sz w:val="20"/>
          <w:szCs w:val="20"/>
          <w:lang w:val="en-US"/>
        </w:rPr>
        <w:t xml:space="preserve"> GB (B), AE (C) and </w:t>
      </w:r>
      <w:proofErr w:type="spellStart"/>
      <w:r w:rsidRPr="00DE1A73">
        <w:rPr>
          <w:i/>
          <w:iCs/>
          <w:kern w:val="24"/>
          <w:sz w:val="20"/>
          <w:szCs w:val="20"/>
          <w:lang w:val="en-US"/>
        </w:rPr>
        <w:t>GBAE</w:t>
      </w:r>
      <w:proofErr w:type="spellEnd"/>
      <w:r w:rsidRPr="00DE1A73">
        <w:rPr>
          <w:i/>
          <w:iCs/>
          <w:kern w:val="24"/>
          <w:sz w:val="20"/>
          <w:szCs w:val="20"/>
          <w:lang w:val="en-US"/>
        </w:rPr>
        <w:t xml:space="preserve"> (D) </w:t>
      </w:r>
    </w:p>
    <w:p w14:paraId="3F18FF66" w14:textId="77777777" w:rsidR="00E2412D" w:rsidRDefault="00E2412D">
      <w:pPr>
        <w:pStyle w:val="BodyB"/>
        <w:keepNext w:val="0"/>
        <w:widowControl w:val="0"/>
        <w:suppressAutoHyphens w:val="0"/>
        <w:spacing w:line="480" w:lineRule="auto"/>
        <w:jc w:val="both"/>
        <w:rPr>
          <w:sz w:val="22"/>
          <w:szCs w:val="22"/>
          <w:lang w:val="en-US"/>
        </w:rPr>
      </w:pPr>
    </w:p>
    <w:p w14:paraId="3D0AD4BB" w14:textId="23A58554" w:rsidR="00E2412D" w:rsidRDefault="00673E5C">
      <w:pPr>
        <w:pStyle w:val="BodyB"/>
        <w:keepNext w:val="0"/>
        <w:widowControl w:val="0"/>
        <w:suppressAutoHyphens w:val="0"/>
        <w:spacing w:line="480" w:lineRule="auto"/>
        <w:jc w:val="both"/>
        <w:rPr>
          <w:lang w:val="en-US"/>
        </w:rPr>
      </w:pPr>
      <w:r>
        <w:rPr>
          <w:sz w:val="22"/>
          <w:szCs w:val="22"/>
          <w:lang w:val="en-US"/>
        </w:rPr>
        <w:t xml:space="preserve">The tridimensional analysis of the samples obtained by non contact profilometry is illustrated in </w:t>
      </w:r>
      <w:proofErr w:type="spellStart"/>
      <w:r>
        <w:rPr>
          <w:sz w:val="22"/>
          <w:szCs w:val="22"/>
          <w:lang w:val="en-US"/>
        </w:rPr>
        <w:t>Fig.2</w:t>
      </w:r>
      <w:proofErr w:type="spellEnd"/>
      <w:r>
        <w:rPr>
          <w:sz w:val="22"/>
          <w:szCs w:val="22"/>
          <w:lang w:val="en-US"/>
        </w:rPr>
        <w:t>, while Fig. 3 shows a comparison between the measured values of the S</w:t>
      </w:r>
      <w:r>
        <w:rPr>
          <w:sz w:val="22"/>
          <w:szCs w:val="22"/>
          <w:vertAlign w:val="subscript"/>
          <w:lang w:val="en-US"/>
        </w:rPr>
        <w:t>a</w:t>
      </w:r>
      <w:r>
        <w:rPr>
          <w:sz w:val="22"/>
          <w:szCs w:val="22"/>
          <w:lang w:val="en-US"/>
        </w:rPr>
        <w:t xml:space="preserve">, </w:t>
      </w:r>
      <w:proofErr w:type="spellStart"/>
      <w:r>
        <w:rPr>
          <w:sz w:val="22"/>
          <w:szCs w:val="22"/>
          <w:lang w:val="en-US"/>
        </w:rPr>
        <w:t>S</w:t>
      </w:r>
      <w:r>
        <w:rPr>
          <w:sz w:val="22"/>
          <w:szCs w:val="22"/>
          <w:vertAlign w:val="subscript"/>
          <w:lang w:val="en-US"/>
        </w:rPr>
        <w:t>Z</w:t>
      </w:r>
      <w:proofErr w:type="spellEnd"/>
      <w:r>
        <w:rPr>
          <w:sz w:val="22"/>
          <w:szCs w:val="22"/>
          <w:lang w:val="en-US"/>
        </w:rPr>
        <w:t xml:space="preserve">, </w:t>
      </w:r>
      <w:proofErr w:type="spellStart"/>
      <w:r>
        <w:rPr>
          <w:sz w:val="22"/>
          <w:szCs w:val="22"/>
          <w:lang w:val="en-US"/>
        </w:rPr>
        <w:t>S</w:t>
      </w:r>
      <w:r>
        <w:rPr>
          <w:sz w:val="22"/>
          <w:szCs w:val="22"/>
          <w:vertAlign w:val="subscript"/>
          <w:lang w:val="en-US"/>
        </w:rPr>
        <w:t>sk</w:t>
      </w:r>
      <w:proofErr w:type="spellEnd"/>
      <w:r>
        <w:rPr>
          <w:sz w:val="22"/>
          <w:szCs w:val="22"/>
          <w:lang w:val="en-US"/>
        </w:rPr>
        <w:t xml:space="preserve"> and </w:t>
      </w:r>
      <w:proofErr w:type="spellStart"/>
      <w:r>
        <w:rPr>
          <w:sz w:val="22"/>
          <w:szCs w:val="22"/>
          <w:lang w:val="en-US"/>
        </w:rPr>
        <w:t>S</w:t>
      </w:r>
      <w:r>
        <w:rPr>
          <w:sz w:val="22"/>
          <w:szCs w:val="22"/>
          <w:vertAlign w:val="subscript"/>
          <w:lang w:val="en-US"/>
        </w:rPr>
        <w:t>ku</w:t>
      </w:r>
      <w:proofErr w:type="spellEnd"/>
      <w:r>
        <w:rPr>
          <w:sz w:val="22"/>
          <w:szCs w:val="22"/>
          <w:lang w:val="en-US"/>
        </w:rPr>
        <w:t xml:space="preserve"> parameters. Based on S</w:t>
      </w:r>
      <w:r>
        <w:rPr>
          <w:sz w:val="22"/>
          <w:szCs w:val="22"/>
          <w:vertAlign w:val="subscript"/>
          <w:lang w:val="en-US"/>
        </w:rPr>
        <w:t>a</w:t>
      </w:r>
      <w:r>
        <w:rPr>
          <w:sz w:val="22"/>
          <w:szCs w:val="22"/>
          <w:lang w:val="en-US"/>
        </w:rPr>
        <w:t xml:space="preserve"> values, </w:t>
      </w:r>
      <w:proofErr w:type="spellStart"/>
      <w:r>
        <w:rPr>
          <w:sz w:val="22"/>
          <w:szCs w:val="22"/>
          <w:lang w:val="en-US"/>
        </w:rPr>
        <w:t>GBAE</w:t>
      </w:r>
      <w:proofErr w:type="spellEnd"/>
      <w:r>
        <w:rPr>
          <w:sz w:val="22"/>
          <w:szCs w:val="22"/>
          <w:lang w:val="en-US"/>
        </w:rPr>
        <w:t xml:space="preserve"> was rougher than the other surfaces, while GB and AE reached similar intermediate S</w:t>
      </w:r>
      <w:r>
        <w:rPr>
          <w:sz w:val="22"/>
          <w:szCs w:val="22"/>
          <w:vertAlign w:val="subscript"/>
          <w:lang w:val="en-US"/>
        </w:rPr>
        <w:t>a</w:t>
      </w:r>
      <w:r>
        <w:rPr>
          <w:sz w:val="22"/>
          <w:szCs w:val="22"/>
          <w:lang w:val="en-US"/>
        </w:rPr>
        <w:t xml:space="preserve"> values </w:t>
      </w:r>
      <w:r>
        <w:rPr>
          <w:sz w:val="22"/>
          <w:szCs w:val="22"/>
          <w:lang w:val="en-US"/>
        </w:rPr>
        <w:lastRenderedPageBreak/>
        <w:t xml:space="preserve">and MAC resulted the smoothest one. Similarly, </w:t>
      </w:r>
      <w:proofErr w:type="spellStart"/>
      <w:r>
        <w:rPr>
          <w:sz w:val="22"/>
          <w:szCs w:val="22"/>
          <w:lang w:val="en-US"/>
        </w:rPr>
        <w:t>S</w:t>
      </w:r>
      <w:r>
        <w:rPr>
          <w:sz w:val="22"/>
          <w:szCs w:val="22"/>
          <w:vertAlign w:val="subscript"/>
          <w:lang w:val="en-US"/>
        </w:rPr>
        <w:t>Z</w:t>
      </w:r>
      <w:proofErr w:type="spellEnd"/>
      <w:r>
        <w:rPr>
          <w:sz w:val="22"/>
          <w:szCs w:val="22"/>
          <w:lang w:val="en-US"/>
        </w:rPr>
        <w:t xml:space="preserve"> values measured on </w:t>
      </w:r>
      <w:proofErr w:type="spellStart"/>
      <w:r>
        <w:rPr>
          <w:sz w:val="22"/>
          <w:szCs w:val="22"/>
          <w:lang w:val="en-US"/>
        </w:rPr>
        <w:t>GBAE</w:t>
      </w:r>
      <w:proofErr w:type="spellEnd"/>
      <w:r>
        <w:rPr>
          <w:sz w:val="22"/>
          <w:szCs w:val="22"/>
          <w:lang w:val="en-US"/>
        </w:rPr>
        <w:t xml:space="preserve"> were considerably higher compared to the other surfaces, while the minimum value was observed for MAC samples and GB and AE were in the middle. Skewness (</w:t>
      </w:r>
      <w:proofErr w:type="spellStart"/>
      <w:r>
        <w:rPr>
          <w:sz w:val="22"/>
          <w:szCs w:val="22"/>
          <w:lang w:val="en-US"/>
        </w:rPr>
        <w:t>S</w:t>
      </w:r>
      <w:r>
        <w:rPr>
          <w:sz w:val="22"/>
          <w:szCs w:val="22"/>
          <w:vertAlign w:val="subscript"/>
          <w:lang w:val="en-US"/>
        </w:rPr>
        <w:t>sk</w:t>
      </w:r>
      <w:proofErr w:type="spellEnd"/>
      <w:r>
        <w:rPr>
          <w:sz w:val="22"/>
          <w:szCs w:val="22"/>
          <w:lang w:val="en-US"/>
        </w:rPr>
        <w:t>) values measured on MAC and AE did not differ significantly from zero, and particularly MAC samples showed a greater variation of this parameter on their surface respect t</w:t>
      </w:r>
      <w:r w:rsidR="009D3B47">
        <w:rPr>
          <w:sz w:val="22"/>
          <w:szCs w:val="22"/>
          <w:lang w:val="en-US"/>
        </w:rPr>
        <w:t>o the other treatments, as portrayed</w:t>
      </w:r>
      <w:r>
        <w:rPr>
          <w:sz w:val="22"/>
          <w:szCs w:val="22"/>
          <w:lang w:val="en-US"/>
        </w:rPr>
        <w:t xml:space="preserve"> by the wider confidence bands in the graph. On the other hand, both GB and </w:t>
      </w:r>
      <w:proofErr w:type="spellStart"/>
      <w:r>
        <w:rPr>
          <w:sz w:val="22"/>
          <w:szCs w:val="22"/>
          <w:lang w:val="en-US"/>
        </w:rPr>
        <w:t>GBAE</w:t>
      </w:r>
      <w:proofErr w:type="spellEnd"/>
      <w:r>
        <w:rPr>
          <w:sz w:val="22"/>
          <w:szCs w:val="22"/>
          <w:lang w:val="en-US"/>
        </w:rPr>
        <w:t xml:space="preserve"> samples showed skewness values significantly lower than zero, revealing a prevailing presence of valleys respect to peaks on these surfaces. All the samples except </w:t>
      </w:r>
      <w:proofErr w:type="spellStart"/>
      <w:r>
        <w:rPr>
          <w:sz w:val="22"/>
          <w:szCs w:val="22"/>
          <w:lang w:val="en-US"/>
        </w:rPr>
        <w:t>GBAE</w:t>
      </w:r>
      <w:proofErr w:type="spellEnd"/>
      <w:r>
        <w:rPr>
          <w:sz w:val="22"/>
          <w:szCs w:val="22"/>
          <w:lang w:val="en-US"/>
        </w:rPr>
        <w:t xml:space="preserve"> ones, showed comparable kurtosis values, while </w:t>
      </w:r>
      <w:proofErr w:type="spellStart"/>
      <w:r>
        <w:rPr>
          <w:sz w:val="22"/>
          <w:szCs w:val="22"/>
          <w:lang w:val="en-US"/>
        </w:rPr>
        <w:t>GBAE</w:t>
      </w:r>
      <w:proofErr w:type="spellEnd"/>
      <w:r>
        <w:rPr>
          <w:sz w:val="22"/>
          <w:szCs w:val="22"/>
          <w:lang w:val="en-US"/>
        </w:rPr>
        <w:t xml:space="preserve"> surfaces showed a significantly lower value of this parameter, which means that the </w:t>
      </w:r>
      <w:proofErr w:type="spellStart"/>
      <w:r>
        <w:rPr>
          <w:sz w:val="22"/>
          <w:szCs w:val="22"/>
          <w:lang w:val="en-US"/>
        </w:rPr>
        <w:t>GBAE</w:t>
      </w:r>
      <w:proofErr w:type="spellEnd"/>
      <w:r>
        <w:rPr>
          <w:sz w:val="22"/>
          <w:szCs w:val="22"/>
          <w:lang w:val="en-US"/>
        </w:rPr>
        <w:t xml:space="preserve"> was the bumpiest surface of all the tested ones. </w:t>
      </w:r>
    </w:p>
    <w:p w14:paraId="638FDA41" w14:textId="77777777" w:rsidR="00E2412D" w:rsidRDefault="00673E5C">
      <w:pPr>
        <w:pStyle w:val="BodyB"/>
        <w:keepNext w:val="0"/>
        <w:widowControl w:val="0"/>
        <w:suppressAutoHyphens w:val="0"/>
        <w:spacing w:line="480" w:lineRule="auto"/>
        <w:jc w:val="both"/>
        <w:rPr>
          <w:lang w:val="en-US"/>
        </w:rPr>
      </w:pPr>
      <w:r>
        <w:rPr>
          <w:noProof/>
        </w:rPr>
        <w:drawing>
          <wp:inline distT="0" distB="0" distL="0" distR="0" wp14:anchorId="6507F2C4" wp14:editId="7CF9425C">
            <wp:extent cx="5656580" cy="3971290"/>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pic:nvPicPr>
                  <pic:blipFill rotWithShape="1">
                    <a:blip r:embed="rId9"/>
                    <a:srcRect/>
                    <a:stretch>
                      <a:fillRect/>
                    </a:stretch>
                  </pic:blipFill>
                  <pic:spPr>
                    <a:xfrm>
                      <a:off x="0" y="0"/>
                      <a:ext cx="5656580" cy="3971290"/>
                    </a:xfrm>
                    <a:prstGeom prst="rect">
                      <a:avLst/>
                    </a:prstGeom>
                    <a:noFill/>
                    <a:ln>
                      <a:noFill/>
                    </a:ln>
                    <a:effectLst/>
                  </pic:spPr>
                </pic:pic>
              </a:graphicData>
            </a:graphic>
          </wp:inline>
        </w:drawing>
      </w:r>
    </w:p>
    <w:p w14:paraId="20B4E507" w14:textId="08E34306" w:rsidR="00E2412D" w:rsidRPr="00DE1A73" w:rsidRDefault="00673E5C">
      <w:pPr>
        <w:pStyle w:val="BodyB"/>
        <w:keepNext w:val="0"/>
        <w:widowControl w:val="0"/>
        <w:suppressAutoHyphens w:val="0"/>
        <w:spacing w:line="480" w:lineRule="auto"/>
        <w:jc w:val="both"/>
        <w:rPr>
          <w:i/>
          <w:iCs/>
          <w:kern w:val="24"/>
          <w:sz w:val="20"/>
          <w:szCs w:val="20"/>
          <w:lang w:val="en-US"/>
        </w:rPr>
      </w:pPr>
      <w:r w:rsidRPr="00DE1A73">
        <w:rPr>
          <w:i/>
          <w:iCs/>
          <w:kern w:val="24"/>
          <w:sz w:val="20"/>
          <w:szCs w:val="20"/>
          <w:lang w:val="en-US"/>
        </w:rPr>
        <w:t xml:space="preserve">Fig 2. 3D picture of MAC (A), GB (B), AE (C) and </w:t>
      </w:r>
      <w:proofErr w:type="spellStart"/>
      <w:r w:rsidRPr="00DE1A73">
        <w:rPr>
          <w:i/>
          <w:iCs/>
          <w:kern w:val="24"/>
          <w:sz w:val="20"/>
          <w:szCs w:val="20"/>
          <w:lang w:val="en-US"/>
        </w:rPr>
        <w:t>GBAE</w:t>
      </w:r>
      <w:proofErr w:type="spellEnd"/>
      <w:r w:rsidRPr="00DE1A73">
        <w:rPr>
          <w:i/>
          <w:iCs/>
          <w:kern w:val="24"/>
          <w:sz w:val="20"/>
          <w:szCs w:val="20"/>
          <w:lang w:val="en-US"/>
        </w:rPr>
        <w:t xml:space="preserve"> (D) samples, as analyzed by the optical profiler. </w:t>
      </w:r>
    </w:p>
    <w:p w14:paraId="0165DBC9" w14:textId="77777777" w:rsidR="00DE1A73" w:rsidRDefault="00673E5C" w:rsidP="00DE1A73">
      <w:pPr>
        <w:spacing w:line="360" w:lineRule="auto"/>
        <w:rPr>
          <w:i/>
          <w:iCs/>
          <w:kern w:val="24"/>
          <w:sz w:val="20"/>
          <w:szCs w:val="20"/>
          <w:lang w:eastAsia="it-IT"/>
        </w:rPr>
      </w:pPr>
      <w:r>
        <w:rPr>
          <w:noProof/>
          <w:lang w:val="it-IT" w:eastAsia="it-IT"/>
        </w:rPr>
        <w:lastRenderedPageBreak/>
        <w:drawing>
          <wp:inline distT="0" distB="0" distL="0" distR="0" wp14:anchorId="0173B89D" wp14:editId="4F7E15CF">
            <wp:extent cx="6113780" cy="3030221"/>
            <wp:effectExtent l="0" t="0" r="0" b="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3.png"/>
                    <pic:cNvPicPr/>
                  </pic:nvPicPr>
                  <pic:blipFill rotWithShape="1">
                    <a:blip r:embed="rId10"/>
                    <a:srcRect/>
                    <a:stretch>
                      <a:fillRect/>
                    </a:stretch>
                  </pic:blipFill>
                  <pic:spPr>
                    <a:xfrm>
                      <a:off x="0" y="0"/>
                      <a:ext cx="6113780" cy="3030221"/>
                    </a:xfrm>
                    <a:prstGeom prst="rect">
                      <a:avLst/>
                    </a:prstGeom>
                    <a:noFill/>
                    <a:ln>
                      <a:noFill/>
                    </a:ln>
                    <a:effectLst/>
                  </pic:spPr>
                </pic:pic>
              </a:graphicData>
            </a:graphic>
          </wp:inline>
        </w:drawing>
      </w:r>
    </w:p>
    <w:p w14:paraId="1B00D641" w14:textId="77777777" w:rsidR="00DE1A73" w:rsidRDefault="00DE1A73" w:rsidP="00DE1A73">
      <w:pPr>
        <w:pStyle w:val="BodyB"/>
        <w:keepNext w:val="0"/>
        <w:widowControl w:val="0"/>
        <w:suppressAutoHyphens w:val="0"/>
        <w:spacing w:line="480" w:lineRule="auto"/>
        <w:jc w:val="both"/>
        <w:rPr>
          <w:i/>
          <w:iCs/>
          <w:kern w:val="24"/>
          <w:sz w:val="20"/>
          <w:szCs w:val="20"/>
          <w:lang w:val="en-US"/>
        </w:rPr>
      </w:pPr>
    </w:p>
    <w:p w14:paraId="56C30938" w14:textId="242ADA2E" w:rsidR="00E2412D" w:rsidRPr="00DE1A73" w:rsidRDefault="00DE1A73" w:rsidP="00DE1A73">
      <w:pPr>
        <w:pStyle w:val="BodyB"/>
        <w:keepNext w:val="0"/>
        <w:widowControl w:val="0"/>
        <w:suppressAutoHyphens w:val="0"/>
        <w:spacing w:line="480" w:lineRule="auto"/>
        <w:jc w:val="both"/>
        <w:rPr>
          <w:i/>
          <w:iCs/>
          <w:kern w:val="24"/>
          <w:sz w:val="20"/>
          <w:szCs w:val="20"/>
          <w:lang w:val="en-US"/>
        </w:rPr>
      </w:pPr>
      <w:r>
        <w:rPr>
          <w:i/>
          <w:iCs/>
          <w:kern w:val="24"/>
          <w:sz w:val="20"/>
          <w:szCs w:val="20"/>
          <w:lang w:val="en-US"/>
        </w:rPr>
        <w:t>F</w:t>
      </w:r>
      <w:r w:rsidR="00673E5C" w:rsidRPr="00DE1A73">
        <w:rPr>
          <w:i/>
          <w:iCs/>
          <w:kern w:val="24"/>
          <w:sz w:val="20"/>
          <w:szCs w:val="20"/>
          <w:lang w:val="en-US"/>
        </w:rPr>
        <w:t xml:space="preserve">ig. 3 Results of roughness analysis of the </w:t>
      </w:r>
      <w:proofErr w:type="spellStart"/>
      <w:r w:rsidR="00673E5C" w:rsidRPr="00DE1A73">
        <w:rPr>
          <w:i/>
          <w:iCs/>
          <w:kern w:val="24"/>
          <w:sz w:val="20"/>
          <w:szCs w:val="20"/>
          <w:lang w:val="en-US"/>
        </w:rPr>
        <w:t>Ti</w:t>
      </w:r>
      <w:proofErr w:type="spellEnd"/>
      <w:r w:rsidR="00673E5C" w:rsidRPr="00DE1A73">
        <w:rPr>
          <w:i/>
          <w:iCs/>
          <w:kern w:val="24"/>
          <w:sz w:val="20"/>
          <w:szCs w:val="20"/>
          <w:lang w:val="en-US"/>
        </w:rPr>
        <w:t xml:space="preserve"> samples after MAC, GB, </w:t>
      </w:r>
      <w:proofErr w:type="spellStart"/>
      <w:r w:rsidR="00673E5C" w:rsidRPr="00DE1A73">
        <w:rPr>
          <w:i/>
          <w:iCs/>
          <w:kern w:val="24"/>
          <w:sz w:val="20"/>
          <w:szCs w:val="20"/>
          <w:lang w:val="en-US"/>
        </w:rPr>
        <w:t>GBAE</w:t>
      </w:r>
      <w:proofErr w:type="spellEnd"/>
      <w:r w:rsidR="00673E5C" w:rsidRPr="00DE1A73">
        <w:rPr>
          <w:i/>
          <w:iCs/>
          <w:kern w:val="24"/>
          <w:sz w:val="20"/>
          <w:szCs w:val="20"/>
          <w:lang w:val="en-US"/>
        </w:rPr>
        <w:t xml:space="preserve"> and AE treatments according to </w:t>
      </w:r>
      <w:proofErr w:type="spellStart"/>
      <w:r w:rsidR="00673E5C" w:rsidRPr="00DE1A73">
        <w:rPr>
          <w:i/>
          <w:iCs/>
          <w:kern w:val="24"/>
          <w:sz w:val="20"/>
          <w:szCs w:val="20"/>
          <w:lang w:val="en-US"/>
        </w:rPr>
        <w:t>S</w:t>
      </w:r>
      <w:r w:rsidR="00673E5C" w:rsidRPr="009D3B47">
        <w:rPr>
          <w:i/>
          <w:iCs/>
          <w:kern w:val="24"/>
          <w:sz w:val="20"/>
          <w:szCs w:val="20"/>
          <w:vertAlign w:val="subscript"/>
          <w:lang w:val="en-US"/>
        </w:rPr>
        <w:t>z</w:t>
      </w:r>
      <w:proofErr w:type="spellEnd"/>
      <w:r w:rsidR="00673E5C" w:rsidRPr="00DE1A73">
        <w:rPr>
          <w:i/>
          <w:iCs/>
          <w:kern w:val="24"/>
          <w:sz w:val="20"/>
          <w:szCs w:val="20"/>
          <w:lang w:val="en-US"/>
        </w:rPr>
        <w:t xml:space="preserve">, </w:t>
      </w:r>
      <w:proofErr w:type="spellStart"/>
      <w:r w:rsidR="00673E5C" w:rsidRPr="00DE1A73">
        <w:rPr>
          <w:i/>
          <w:iCs/>
          <w:kern w:val="24"/>
          <w:sz w:val="20"/>
          <w:szCs w:val="20"/>
          <w:lang w:val="en-US"/>
        </w:rPr>
        <w:t>S</w:t>
      </w:r>
      <w:r w:rsidR="00673E5C" w:rsidRPr="009D3B47">
        <w:rPr>
          <w:i/>
          <w:iCs/>
          <w:kern w:val="24"/>
          <w:sz w:val="20"/>
          <w:szCs w:val="20"/>
          <w:vertAlign w:val="subscript"/>
          <w:lang w:val="en-US"/>
        </w:rPr>
        <w:t>z</w:t>
      </w:r>
      <w:proofErr w:type="spellEnd"/>
      <w:r w:rsidR="00673E5C" w:rsidRPr="00DE1A73">
        <w:rPr>
          <w:i/>
          <w:iCs/>
          <w:kern w:val="24"/>
          <w:sz w:val="20"/>
          <w:szCs w:val="20"/>
          <w:lang w:val="en-US"/>
        </w:rPr>
        <w:t xml:space="preserve">, </w:t>
      </w:r>
      <w:proofErr w:type="spellStart"/>
      <w:r w:rsidR="00673E5C" w:rsidRPr="00DE1A73">
        <w:rPr>
          <w:i/>
          <w:iCs/>
          <w:kern w:val="24"/>
          <w:sz w:val="20"/>
          <w:szCs w:val="20"/>
          <w:lang w:val="en-US"/>
        </w:rPr>
        <w:t>S</w:t>
      </w:r>
      <w:r w:rsidR="00673E5C" w:rsidRPr="009D3B47">
        <w:rPr>
          <w:i/>
          <w:iCs/>
          <w:kern w:val="24"/>
          <w:sz w:val="20"/>
          <w:szCs w:val="20"/>
          <w:vertAlign w:val="subscript"/>
          <w:lang w:val="en-US"/>
        </w:rPr>
        <w:t>sk</w:t>
      </w:r>
      <w:proofErr w:type="spellEnd"/>
      <w:r w:rsidR="00673E5C" w:rsidRPr="00DE1A73">
        <w:rPr>
          <w:i/>
          <w:iCs/>
          <w:kern w:val="24"/>
          <w:sz w:val="20"/>
          <w:szCs w:val="20"/>
          <w:lang w:val="en-US"/>
        </w:rPr>
        <w:t xml:space="preserve"> and </w:t>
      </w:r>
      <w:proofErr w:type="spellStart"/>
      <w:r w:rsidR="00673E5C" w:rsidRPr="00DE1A73">
        <w:rPr>
          <w:i/>
          <w:iCs/>
          <w:kern w:val="24"/>
          <w:sz w:val="20"/>
          <w:szCs w:val="20"/>
          <w:lang w:val="en-US"/>
        </w:rPr>
        <w:t>S</w:t>
      </w:r>
      <w:r w:rsidR="00673E5C" w:rsidRPr="009D3B47">
        <w:rPr>
          <w:i/>
          <w:iCs/>
          <w:kern w:val="24"/>
          <w:sz w:val="20"/>
          <w:szCs w:val="20"/>
          <w:vertAlign w:val="subscript"/>
          <w:lang w:val="en-US"/>
        </w:rPr>
        <w:t>ku</w:t>
      </w:r>
      <w:proofErr w:type="spellEnd"/>
      <w:r w:rsidR="00673E5C" w:rsidRPr="00DE1A73">
        <w:rPr>
          <w:i/>
          <w:iCs/>
          <w:kern w:val="24"/>
          <w:sz w:val="20"/>
          <w:szCs w:val="20"/>
          <w:lang w:val="en-US"/>
        </w:rPr>
        <w:t xml:space="preserve"> parameters</w:t>
      </w:r>
      <w:r w:rsidR="007C0369" w:rsidRPr="00DE1A73">
        <w:rPr>
          <w:i/>
          <w:iCs/>
          <w:kern w:val="24"/>
          <w:sz w:val="20"/>
          <w:szCs w:val="20"/>
          <w:lang w:val="en-US"/>
        </w:rPr>
        <w:t>. Error bars represent expanded uncertainties at 95% level of confidence.</w:t>
      </w:r>
    </w:p>
    <w:p w14:paraId="31772871" w14:textId="77777777" w:rsidR="004678EE" w:rsidRPr="00DE1A73" w:rsidRDefault="004678EE" w:rsidP="00DE1A73">
      <w:pPr>
        <w:pStyle w:val="BodyB"/>
        <w:keepNext w:val="0"/>
        <w:widowControl w:val="0"/>
        <w:suppressAutoHyphens w:val="0"/>
        <w:spacing w:line="480" w:lineRule="auto"/>
        <w:jc w:val="both"/>
        <w:rPr>
          <w:i/>
          <w:iCs/>
          <w:kern w:val="24"/>
          <w:sz w:val="20"/>
          <w:szCs w:val="20"/>
          <w:lang w:val="en-US"/>
        </w:rPr>
      </w:pPr>
    </w:p>
    <w:p w14:paraId="134594B8" w14:textId="77777777" w:rsidR="007C0369" w:rsidRPr="007C0369" w:rsidRDefault="007C0369" w:rsidP="007C0369">
      <w:pPr>
        <w:rPr>
          <w:i/>
          <w:iCs/>
          <w:lang w:eastAsia="it-IT"/>
        </w:rPr>
      </w:pPr>
    </w:p>
    <w:p w14:paraId="6F67157B" w14:textId="77777777" w:rsidR="00E2412D" w:rsidRDefault="00673E5C">
      <w:pPr>
        <w:pStyle w:val="BodyB"/>
        <w:keepNext w:val="0"/>
        <w:widowControl w:val="0"/>
        <w:suppressAutoHyphens w:val="0"/>
        <w:spacing w:line="480" w:lineRule="auto"/>
        <w:jc w:val="both"/>
        <w:rPr>
          <w:b/>
          <w:bCs/>
          <w:lang w:val="en-US"/>
        </w:rPr>
      </w:pPr>
      <w:r>
        <w:rPr>
          <w:b/>
          <w:bCs/>
          <w:sz w:val="22"/>
          <w:szCs w:val="22"/>
          <w:lang w:val="en-US"/>
        </w:rPr>
        <w:t xml:space="preserve">3.2 </w:t>
      </w:r>
      <w:r>
        <w:rPr>
          <w:b/>
          <w:bCs/>
          <w:lang w:val="en-US"/>
        </w:rPr>
        <w:t>Chemical composition analysis</w:t>
      </w:r>
    </w:p>
    <w:p w14:paraId="60B00A31" w14:textId="77777777" w:rsidR="00E2412D" w:rsidRPr="00843E05" w:rsidRDefault="00673E5C">
      <w:pPr>
        <w:pStyle w:val="BodyB"/>
        <w:keepNext w:val="0"/>
        <w:widowControl w:val="0"/>
        <w:suppressAutoHyphens w:val="0"/>
        <w:spacing w:line="480" w:lineRule="auto"/>
        <w:jc w:val="both"/>
        <w:rPr>
          <w:b/>
          <w:bCs/>
          <w:i/>
          <w:iCs/>
          <w:sz w:val="22"/>
          <w:szCs w:val="22"/>
          <w:lang w:val="nl-NL"/>
        </w:rPr>
      </w:pPr>
      <w:r w:rsidRPr="00843E05">
        <w:rPr>
          <w:i/>
          <w:sz w:val="22"/>
          <w:szCs w:val="22"/>
          <w:lang w:val="en-US"/>
        </w:rPr>
        <w:t xml:space="preserve">3.2.1 </w:t>
      </w:r>
      <w:r w:rsidRPr="00843E05">
        <w:rPr>
          <w:b/>
          <w:bCs/>
          <w:i/>
          <w:iCs/>
          <w:sz w:val="22"/>
          <w:szCs w:val="22"/>
          <w:lang w:val="nl-NL"/>
        </w:rPr>
        <w:t>X-</w:t>
      </w:r>
      <w:proofErr w:type="spellStart"/>
      <w:r w:rsidRPr="00843E05">
        <w:rPr>
          <w:b/>
          <w:bCs/>
          <w:i/>
          <w:iCs/>
          <w:sz w:val="22"/>
          <w:szCs w:val="22"/>
          <w:lang w:val="nl-NL"/>
        </w:rPr>
        <w:t>ray</w:t>
      </w:r>
      <w:proofErr w:type="spellEnd"/>
      <w:r w:rsidRPr="00843E05">
        <w:rPr>
          <w:b/>
          <w:bCs/>
          <w:i/>
          <w:iCs/>
          <w:sz w:val="22"/>
          <w:szCs w:val="22"/>
          <w:lang w:val="nl-NL"/>
        </w:rPr>
        <w:t xml:space="preserve"> </w:t>
      </w:r>
      <w:proofErr w:type="spellStart"/>
      <w:r w:rsidRPr="00843E05">
        <w:rPr>
          <w:b/>
          <w:bCs/>
          <w:i/>
          <w:iCs/>
          <w:sz w:val="22"/>
          <w:szCs w:val="22"/>
          <w:lang w:val="nl-NL"/>
        </w:rPr>
        <w:t>Photoelectron</w:t>
      </w:r>
      <w:proofErr w:type="spellEnd"/>
      <w:r w:rsidRPr="00843E05">
        <w:rPr>
          <w:b/>
          <w:bCs/>
          <w:i/>
          <w:iCs/>
          <w:sz w:val="22"/>
          <w:szCs w:val="22"/>
          <w:lang w:val="nl-NL"/>
        </w:rPr>
        <w:t xml:space="preserve"> </w:t>
      </w:r>
      <w:proofErr w:type="spellStart"/>
      <w:r w:rsidRPr="00843E05">
        <w:rPr>
          <w:b/>
          <w:bCs/>
          <w:i/>
          <w:iCs/>
          <w:sz w:val="22"/>
          <w:szCs w:val="22"/>
          <w:lang w:val="nl-NL"/>
        </w:rPr>
        <w:t>Spectroscopy</w:t>
      </w:r>
      <w:proofErr w:type="spellEnd"/>
      <w:r w:rsidRPr="00843E05">
        <w:rPr>
          <w:b/>
          <w:bCs/>
          <w:i/>
          <w:iCs/>
          <w:sz w:val="22"/>
          <w:szCs w:val="22"/>
          <w:lang w:val="nl-NL"/>
        </w:rPr>
        <w:t xml:space="preserve"> (</w:t>
      </w:r>
      <w:proofErr w:type="spellStart"/>
      <w:r w:rsidRPr="00843E05">
        <w:rPr>
          <w:b/>
          <w:bCs/>
          <w:i/>
          <w:iCs/>
          <w:sz w:val="22"/>
          <w:szCs w:val="22"/>
          <w:lang w:val="nl-NL"/>
        </w:rPr>
        <w:t>XPS</w:t>
      </w:r>
      <w:proofErr w:type="spellEnd"/>
      <w:r w:rsidRPr="00843E05">
        <w:rPr>
          <w:b/>
          <w:bCs/>
          <w:i/>
          <w:iCs/>
          <w:sz w:val="22"/>
          <w:szCs w:val="22"/>
          <w:lang w:val="nl-NL"/>
        </w:rPr>
        <w:t>)</w:t>
      </w:r>
    </w:p>
    <w:p w14:paraId="5C83D30A" w14:textId="2D68AED5" w:rsidR="00E2412D" w:rsidRPr="00DE1A73" w:rsidRDefault="00673E5C">
      <w:pPr>
        <w:pStyle w:val="BodyB"/>
        <w:keepNext w:val="0"/>
        <w:widowControl w:val="0"/>
        <w:suppressAutoHyphens w:val="0"/>
        <w:spacing w:line="480" w:lineRule="auto"/>
        <w:jc w:val="both"/>
        <w:rPr>
          <w:sz w:val="22"/>
          <w:lang w:val="en-US"/>
        </w:rPr>
      </w:pPr>
      <w:r w:rsidRPr="00843E05">
        <w:rPr>
          <w:sz w:val="22"/>
          <w:szCs w:val="22"/>
          <w:lang w:val="en-US"/>
        </w:rPr>
        <w:t>To study the surface chemical composition, wide-scan XPS spectra were collected from the tested samples and results are shown in Table 1. The em</w:t>
      </w:r>
      <w:r w:rsidR="008C362D">
        <w:rPr>
          <w:sz w:val="22"/>
          <w:szCs w:val="22"/>
          <w:lang w:val="en-US"/>
        </w:rPr>
        <w:t>itting lines characteristic of t</w:t>
      </w:r>
      <w:r w:rsidRPr="00843E05">
        <w:rPr>
          <w:sz w:val="22"/>
          <w:szCs w:val="22"/>
          <w:lang w:val="en-US"/>
        </w:rPr>
        <w:t>itanium (</w:t>
      </w:r>
      <w:proofErr w:type="spellStart"/>
      <w:r w:rsidRPr="00843E05">
        <w:rPr>
          <w:sz w:val="22"/>
          <w:szCs w:val="22"/>
          <w:lang w:val="en-US"/>
        </w:rPr>
        <w:t>Ti</w:t>
      </w:r>
      <w:proofErr w:type="spellEnd"/>
      <w:r w:rsidRPr="00843E05">
        <w:rPr>
          <w:sz w:val="22"/>
          <w:szCs w:val="22"/>
          <w:lang w:val="en-US"/>
        </w:rPr>
        <w:t xml:space="preserve">), oxygen (O) and carbon (C) were detected, supporting that these are the main elements composing the surface of the investigated samples, and also a low percentage of silicon (Si) was observed. All the specimens showed a similar chemical composition at their surface, where </w:t>
      </w:r>
      <w:proofErr w:type="spellStart"/>
      <w:r w:rsidRPr="00843E05">
        <w:rPr>
          <w:sz w:val="22"/>
          <w:szCs w:val="22"/>
          <w:lang w:val="en-US"/>
        </w:rPr>
        <w:t>Ti</w:t>
      </w:r>
      <w:proofErr w:type="spellEnd"/>
      <w:r w:rsidRPr="00843E05">
        <w:rPr>
          <w:sz w:val="22"/>
          <w:szCs w:val="22"/>
          <w:lang w:val="en-US"/>
        </w:rPr>
        <w:t>, O and C are the most abundant elements.  A considerable amount of C, variable between about 19 and 37 %, was detected on all surfaces, as is typical of all samples analyzed by XPS, due to the presence of contaminants, such as the atmospheric hydrocarbons,</w:t>
      </w:r>
      <w:r w:rsidRPr="00843E05">
        <w:rPr>
          <w:color w:val="FF2C21"/>
          <w:sz w:val="22"/>
          <w:szCs w:val="22"/>
          <w:lang w:val="en-US"/>
        </w:rPr>
        <w:t xml:space="preserve"> </w:t>
      </w:r>
      <w:r w:rsidRPr="00843E05">
        <w:rPr>
          <w:sz w:val="22"/>
          <w:szCs w:val="22"/>
          <w:lang w:val="en-US"/>
        </w:rPr>
        <w:t xml:space="preserve">adsorbed onto the surface.  In fact, a surface cleaning is often performed on surfaces, usually by irradiation with </w:t>
      </w:r>
      <w:proofErr w:type="spellStart"/>
      <w:r w:rsidRPr="00843E05">
        <w:rPr>
          <w:sz w:val="22"/>
          <w:szCs w:val="22"/>
          <w:lang w:val="en-US"/>
        </w:rPr>
        <w:t>Ar</w:t>
      </w:r>
      <w:proofErr w:type="spellEnd"/>
      <w:r w:rsidRPr="00843E05">
        <w:rPr>
          <w:sz w:val="22"/>
          <w:szCs w:val="22"/>
          <w:vertAlign w:val="superscript"/>
          <w:lang w:val="en-US"/>
        </w:rPr>
        <w:t>+</w:t>
      </w:r>
      <w:r w:rsidRPr="00843E05">
        <w:rPr>
          <w:sz w:val="22"/>
          <w:szCs w:val="22"/>
          <w:lang w:val="en-US"/>
        </w:rPr>
        <w:t xml:space="preserve"> ions, prior to the XPS analysis to remove contamination. However, in this work</w:t>
      </w:r>
      <w:r w:rsidR="00DE4887">
        <w:rPr>
          <w:sz w:val="22"/>
          <w:szCs w:val="22"/>
          <w:lang w:val="en-US"/>
        </w:rPr>
        <w:t>,</w:t>
      </w:r>
      <w:r w:rsidRPr="00843E05">
        <w:rPr>
          <w:sz w:val="22"/>
          <w:szCs w:val="22"/>
          <w:lang w:val="en-US"/>
        </w:rPr>
        <w:t xml:space="preserve"> this cleaning process was avoided, since it would have</w:t>
      </w:r>
      <w:r>
        <w:rPr>
          <w:lang w:val="en-US"/>
        </w:rPr>
        <w:t xml:space="preserve"> prevented the detection of possible inorganic contaminants left on the samples by the surface </w:t>
      </w:r>
      <w:r w:rsidRPr="00DE1A73">
        <w:rPr>
          <w:sz w:val="22"/>
          <w:lang w:val="en-US"/>
        </w:rPr>
        <w:t xml:space="preserve">treatments under analysis.  The presence of small amounts of Si is also very common on all samples analyzed by XPS, due to very wide abundance of this </w:t>
      </w:r>
      <w:r w:rsidR="008C362D">
        <w:rPr>
          <w:sz w:val="22"/>
          <w:lang w:val="en-US"/>
        </w:rPr>
        <w:t>element</w:t>
      </w:r>
      <w:r w:rsidR="00B1364F" w:rsidRPr="00DE1A73">
        <w:rPr>
          <w:sz w:val="22"/>
          <w:lang w:val="en-US"/>
        </w:rPr>
        <w:t xml:space="preserve"> in many contaminants. </w:t>
      </w:r>
      <w:r w:rsidRPr="00DE1A73">
        <w:rPr>
          <w:sz w:val="22"/>
          <w:lang w:val="en-US"/>
        </w:rPr>
        <w:t xml:space="preserve">The relevant presence of oxygen is due to </w:t>
      </w:r>
      <w:r w:rsidRPr="00DE1A73">
        <w:rPr>
          <w:sz w:val="22"/>
          <w:lang w:val="en-US"/>
        </w:rPr>
        <w:lastRenderedPageBreak/>
        <w:t>the native titanium oxide layer of nanometric thickness that spontaneously forms at ambient conditions, as well as to the presence of organic contaminants, which contain carbon and oxygen in a variable amount.</w:t>
      </w:r>
    </w:p>
    <w:p w14:paraId="48440D49" w14:textId="21CA3635" w:rsidR="00E2412D" w:rsidRPr="00DE1A73" w:rsidRDefault="00E2412D" w:rsidP="00DE1A73">
      <w:pPr>
        <w:pStyle w:val="BodyB"/>
        <w:keepNext w:val="0"/>
        <w:widowControl w:val="0"/>
        <w:suppressAutoHyphens w:val="0"/>
        <w:spacing w:line="480" w:lineRule="auto"/>
        <w:jc w:val="both"/>
        <w:rPr>
          <w:i/>
          <w:iCs/>
          <w:kern w:val="24"/>
          <w:sz w:val="20"/>
          <w:szCs w:val="20"/>
          <w:lang w:val="en-US"/>
        </w:rPr>
      </w:pPr>
    </w:p>
    <w:tbl>
      <w:tblPr>
        <w:tblStyle w:val="TableNormal1"/>
        <w:tblW w:w="964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927"/>
        <w:gridCol w:w="1928"/>
        <w:gridCol w:w="1927"/>
        <w:gridCol w:w="1928"/>
        <w:gridCol w:w="1930"/>
      </w:tblGrid>
      <w:tr w:rsidR="00E2412D" w14:paraId="5C92BE79" w14:textId="77777777">
        <w:trPr>
          <w:trHeight w:val="80"/>
          <w:jc w:val="center"/>
        </w:trPr>
        <w:tc>
          <w:tcPr>
            <w:tcW w:w="1927" w:type="dxa"/>
            <w:tcBorders>
              <w:top w:val="nil"/>
              <w:left w:val="nil"/>
              <w:bottom w:val="single" w:sz="2" w:space="0" w:color="000000"/>
              <w:right w:val="nil"/>
            </w:tcBorders>
            <w:shd w:val="clear" w:color="auto" w:fill="auto"/>
            <w:tcMar>
              <w:top w:w="80" w:type="dxa"/>
              <w:left w:w="80" w:type="dxa"/>
              <w:bottom w:w="80" w:type="dxa"/>
              <w:right w:w="80" w:type="dxa"/>
            </w:tcMar>
          </w:tcPr>
          <w:p w14:paraId="75BE7D83" w14:textId="77777777" w:rsidR="00E2412D" w:rsidRDefault="00E2412D"/>
        </w:tc>
        <w:tc>
          <w:tcPr>
            <w:tcW w:w="1928" w:type="dxa"/>
            <w:tcBorders>
              <w:top w:val="nil"/>
              <w:left w:val="nil"/>
              <w:bottom w:val="single" w:sz="2" w:space="0" w:color="000000"/>
              <w:right w:val="nil"/>
            </w:tcBorders>
            <w:shd w:val="clear" w:color="auto" w:fill="auto"/>
            <w:tcMar>
              <w:top w:w="80" w:type="dxa"/>
              <w:left w:w="80" w:type="dxa"/>
              <w:bottom w:w="80" w:type="dxa"/>
              <w:right w:w="80" w:type="dxa"/>
            </w:tcMar>
          </w:tcPr>
          <w:p w14:paraId="27E1FC2F" w14:textId="77777777" w:rsidR="00E2412D" w:rsidRDefault="00673E5C">
            <w:pPr>
              <w:pStyle w:val="TableHeading"/>
              <w:keepNext w:val="0"/>
              <w:widowControl w:val="0"/>
              <w:jc w:val="center"/>
            </w:pPr>
            <w:r>
              <w:t>MAC</w:t>
            </w:r>
          </w:p>
        </w:tc>
        <w:tc>
          <w:tcPr>
            <w:tcW w:w="1927" w:type="dxa"/>
            <w:tcBorders>
              <w:top w:val="nil"/>
              <w:left w:val="nil"/>
              <w:bottom w:val="single" w:sz="2" w:space="0" w:color="000000"/>
              <w:right w:val="nil"/>
            </w:tcBorders>
            <w:shd w:val="clear" w:color="auto" w:fill="auto"/>
            <w:tcMar>
              <w:top w:w="80" w:type="dxa"/>
              <w:left w:w="80" w:type="dxa"/>
              <w:bottom w:w="80" w:type="dxa"/>
              <w:right w:w="80" w:type="dxa"/>
            </w:tcMar>
          </w:tcPr>
          <w:p w14:paraId="239458A3" w14:textId="77777777" w:rsidR="00E2412D" w:rsidRDefault="00673E5C">
            <w:pPr>
              <w:pStyle w:val="TableHeading"/>
              <w:keepNext w:val="0"/>
              <w:widowControl w:val="0"/>
              <w:jc w:val="center"/>
            </w:pPr>
            <w:r>
              <w:t>GB</w:t>
            </w:r>
          </w:p>
        </w:tc>
        <w:tc>
          <w:tcPr>
            <w:tcW w:w="1928" w:type="dxa"/>
            <w:tcBorders>
              <w:top w:val="nil"/>
              <w:left w:val="nil"/>
              <w:bottom w:val="single" w:sz="2" w:space="0" w:color="000000"/>
              <w:right w:val="nil"/>
            </w:tcBorders>
            <w:shd w:val="clear" w:color="auto" w:fill="auto"/>
            <w:tcMar>
              <w:top w:w="80" w:type="dxa"/>
              <w:left w:w="80" w:type="dxa"/>
              <w:bottom w:w="80" w:type="dxa"/>
              <w:right w:w="80" w:type="dxa"/>
            </w:tcMar>
          </w:tcPr>
          <w:p w14:paraId="0D193C96" w14:textId="77777777" w:rsidR="00E2412D" w:rsidRDefault="00673E5C">
            <w:pPr>
              <w:pStyle w:val="TableHeading"/>
              <w:keepNext w:val="0"/>
              <w:widowControl w:val="0"/>
              <w:jc w:val="center"/>
            </w:pPr>
            <w:r>
              <w:t>AE</w:t>
            </w:r>
          </w:p>
        </w:tc>
        <w:tc>
          <w:tcPr>
            <w:tcW w:w="1930" w:type="dxa"/>
            <w:tcBorders>
              <w:top w:val="nil"/>
              <w:left w:val="nil"/>
              <w:bottom w:val="single" w:sz="2" w:space="0" w:color="000000"/>
              <w:right w:val="nil"/>
            </w:tcBorders>
            <w:shd w:val="clear" w:color="auto" w:fill="auto"/>
            <w:tcMar>
              <w:top w:w="80" w:type="dxa"/>
              <w:left w:w="80" w:type="dxa"/>
              <w:bottom w:w="80" w:type="dxa"/>
              <w:right w:w="80" w:type="dxa"/>
            </w:tcMar>
          </w:tcPr>
          <w:p w14:paraId="1C35F207" w14:textId="77777777" w:rsidR="00E2412D" w:rsidRDefault="00673E5C">
            <w:pPr>
              <w:pStyle w:val="TableHeading"/>
              <w:keepNext w:val="0"/>
              <w:widowControl w:val="0"/>
              <w:jc w:val="center"/>
            </w:pPr>
            <w:proofErr w:type="spellStart"/>
            <w:r>
              <w:t>GBAE</w:t>
            </w:r>
            <w:proofErr w:type="spellEnd"/>
          </w:p>
        </w:tc>
      </w:tr>
      <w:tr w:rsidR="00E2412D" w14:paraId="72039CE6" w14:textId="77777777">
        <w:trPr>
          <w:trHeight w:val="80"/>
          <w:jc w:val="center"/>
        </w:trPr>
        <w:tc>
          <w:tcPr>
            <w:tcW w:w="192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04A21030" w14:textId="77777777" w:rsidR="00E2412D" w:rsidRDefault="00673E5C">
            <w:pPr>
              <w:pStyle w:val="TableContents"/>
              <w:keepNext w:val="0"/>
              <w:widowControl w:val="0"/>
              <w:jc w:val="center"/>
            </w:pPr>
            <w:proofErr w:type="spellStart"/>
            <w:r>
              <w:t>Ti</w:t>
            </w:r>
            <w:proofErr w:type="spellEnd"/>
          </w:p>
        </w:tc>
        <w:tc>
          <w:tcPr>
            <w:tcW w:w="192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5853A7F3" w14:textId="77777777" w:rsidR="00E2412D" w:rsidRDefault="00673E5C">
            <w:pPr>
              <w:pStyle w:val="TableContents"/>
              <w:keepNext w:val="0"/>
              <w:widowControl w:val="0"/>
              <w:jc w:val="center"/>
            </w:pPr>
            <w:r>
              <w:t>13.7 %</w:t>
            </w:r>
          </w:p>
        </w:tc>
        <w:tc>
          <w:tcPr>
            <w:tcW w:w="192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1C5EFD0E" w14:textId="77777777" w:rsidR="00E2412D" w:rsidRDefault="00673E5C">
            <w:pPr>
              <w:pStyle w:val="TableContents"/>
              <w:keepNext w:val="0"/>
              <w:widowControl w:val="0"/>
              <w:jc w:val="center"/>
            </w:pPr>
            <w:r>
              <w:t>20.6 %</w:t>
            </w:r>
          </w:p>
        </w:tc>
        <w:tc>
          <w:tcPr>
            <w:tcW w:w="192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031ECB85" w14:textId="77777777" w:rsidR="00E2412D" w:rsidRDefault="00673E5C">
            <w:pPr>
              <w:pStyle w:val="TableContents"/>
              <w:keepNext w:val="0"/>
              <w:widowControl w:val="0"/>
              <w:jc w:val="center"/>
            </w:pPr>
            <w:r>
              <w:t>18.9 %</w:t>
            </w:r>
          </w:p>
        </w:tc>
        <w:tc>
          <w:tcPr>
            <w:tcW w:w="193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4F726117" w14:textId="77777777" w:rsidR="00E2412D" w:rsidRDefault="00673E5C">
            <w:pPr>
              <w:pStyle w:val="TableContents"/>
              <w:keepNext w:val="0"/>
              <w:widowControl w:val="0"/>
              <w:jc w:val="center"/>
            </w:pPr>
            <w:r>
              <w:t>20.7 %</w:t>
            </w:r>
          </w:p>
        </w:tc>
      </w:tr>
      <w:tr w:rsidR="00E2412D" w14:paraId="1191B308" w14:textId="77777777">
        <w:trPr>
          <w:trHeight w:val="80"/>
          <w:jc w:val="center"/>
        </w:trPr>
        <w:tc>
          <w:tcPr>
            <w:tcW w:w="192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0FA729D4" w14:textId="77777777" w:rsidR="00E2412D" w:rsidRDefault="00673E5C">
            <w:pPr>
              <w:pStyle w:val="TableContents"/>
              <w:keepNext w:val="0"/>
              <w:widowControl w:val="0"/>
              <w:jc w:val="center"/>
            </w:pPr>
            <w:r>
              <w:t>O</w:t>
            </w:r>
          </w:p>
        </w:tc>
        <w:tc>
          <w:tcPr>
            <w:tcW w:w="192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1AFC70AD" w14:textId="77777777" w:rsidR="00E2412D" w:rsidRDefault="00673E5C">
            <w:pPr>
              <w:pStyle w:val="TableContents"/>
              <w:keepNext w:val="0"/>
              <w:widowControl w:val="0"/>
              <w:jc w:val="center"/>
            </w:pPr>
            <w:r>
              <w:t>47.8 %</w:t>
            </w:r>
          </w:p>
        </w:tc>
        <w:tc>
          <w:tcPr>
            <w:tcW w:w="192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617B5B56" w14:textId="77777777" w:rsidR="00E2412D" w:rsidRDefault="00673E5C">
            <w:pPr>
              <w:pStyle w:val="TableContents"/>
              <w:keepNext w:val="0"/>
              <w:widowControl w:val="0"/>
              <w:jc w:val="center"/>
            </w:pPr>
            <w:r>
              <w:t>58.5 %</w:t>
            </w:r>
          </w:p>
        </w:tc>
        <w:tc>
          <w:tcPr>
            <w:tcW w:w="192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546BDED0" w14:textId="77777777" w:rsidR="00E2412D" w:rsidRDefault="00673E5C">
            <w:pPr>
              <w:pStyle w:val="TableContents"/>
              <w:keepNext w:val="0"/>
              <w:widowControl w:val="0"/>
              <w:jc w:val="center"/>
            </w:pPr>
            <w:r>
              <w:t>52.0 %</w:t>
            </w:r>
          </w:p>
        </w:tc>
        <w:tc>
          <w:tcPr>
            <w:tcW w:w="193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494FB2F8" w14:textId="77777777" w:rsidR="00E2412D" w:rsidRDefault="00673E5C">
            <w:pPr>
              <w:pStyle w:val="TableContents"/>
              <w:keepNext w:val="0"/>
              <w:widowControl w:val="0"/>
              <w:jc w:val="center"/>
            </w:pPr>
            <w:r>
              <w:t>56.0 %</w:t>
            </w:r>
          </w:p>
        </w:tc>
      </w:tr>
      <w:tr w:rsidR="00E2412D" w14:paraId="43101F09" w14:textId="77777777">
        <w:trPr>
          <w:trHeight w:val="80"/>
          <w:jc w:val="center"/>
        </w:trPr>
        <w:tc>
          <w:tcPr>
            <w:tcW w:w="192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1D8DF2B4" w14:textId="77777777" w:rsidR="00E2412D" w:rsidRDefault="00673E5C">
            <w:pPr>
              <w:pStyle w:val="TableContents"/>
              <w:keepNext w:val="0"/>
              <w:widowControl w:val="0"/>
              <w:jc w:val="center"/>
            </w:pPr>
            <w:r>
              <w:t>C</w:t>
            </w:r>
          </w:p>
        </w:tc>
        <w:tc>
          <w:tcPr>
            <w:tcW w:w="192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69A4B117" w14:textId="77777777" w:rsidR="00E2412D" w:rsidRDefault="00673E5C">
            <w:pPr>
              <w:pStyle w:val="TableContents"/>
              <w:keepNext w:val="0"/>
              <w:widowControl w:val="0"/>
              <w:jc w:val="center"/>
            </w:pPr>
            <w:r>
              <w:t>36.8 %</w:t>
            </w:r>
          </w:p>
        </w:tc>
        <w:tc>
          <w:tcPr>
            <w:tcW w:w="192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6E2AA70E" w14:textId="77777777" w:rsidR="00E2412D" w:rsidRDefault="00673E5C">
            <w:pPr>
              <w:pStyle w:val="TableContents"/>
              <w:keepNext w:val="0"/>
              <w:widowControl w:val="0"/>
              <w:jc w:val="center"/>
            </w:pPr>
            <w:r>
              <w:t>18.9 %</w:t>
            </w:r>
          </w:p>
        </w:tc>
        <w:tc>
          <w:tcPr>
            <w:tcW w:w="192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7557ACE8" w14:textId="77777777" w:rsidR="00E2412D" w:rsidRDefault="00673E5C">
            <w:pPr>
              <w:pStyle w:val="TableContents"/>
              <w:keepNext w:val="0"/>
              <w:widowControl w:val="0"/>
              <w:jc w:val="center"/>
            </w:pPr>
            <w:r>
              <w:t>26.1 %</w:t>
            </w:r>
          </w:p>
        </w:tc>
        <w:tc>
          <w:tcPr>
            <w:tcW w:w="193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3F9144FB" w14:textId="77777777" w:rsidR="00E2412D" w:rsidRDefault="00673E5C">
            <w:pPr>
              <w:pStyle w:val="TableContents"/>
              <w:keepNext w:val="0"/>
              <w:widowControl w:val="0"/>
              <w:jc w:val="center"/>
            </w:pPr>
            <w:r>
              <w:t>21.5 %</w:t>
            </w:r>
          </w:p>
        </w:tc>
      </w:tr>
      <w:tr w:rsidR="00E2412D" w14:paraId="1084E2FE" w14:textId="77777777">
        <w:trPr>
          <w:trHeight w:val="80"/>
          <w:jc w:val="center"/>
        </w:trPr>
        <w:tc>
          <w:tcPr>
            <w:tcW w:w="192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5C836B8B" w14:textId="77777777" w:rsidR="00E2412D" w:rsidRDefault="00673E5C">
            <w:pPr>
              <w:pStyle w:val="TableContents"/>
              <w:keepNext w:val="0"/>
              <w:widowControl w:val="0"/>
              <w:jc w:val="center"/>
            </w:pPr>
            <w:r>
              <w:t>Si</w:t>
            </w:r>
          </w:p>
        </w:tc>
        <w:tc>
          <w:tcPr>
            <w:tcW w:w="192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38C19414" w14:textId="77777777" w:rsidR="00E2412D" w:rsidRDefault="00673E5C">
            <w:pPr>
              <w:pStyle w:val="TableContents"/>
              <w:keepNext w:val="0"/>
              <w:widowControl w:val="0"/>
              <w:jc w:val="center"/>
            </w:pPr>
            <w:r>
              <w:t>-</w:t>
            </w:r>
          </w:p>
        </w:tc>
        <w:tc>
          <w:tcPr>
            <w:tcW w:w="192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755AA246" w14:textId="77777777" w:rsidR="00E2412D" w:rsidRDefault="00673E5C">
            <w:pPr>
              <w:pStyle w:val="TableContents"/>
              <w:keepNext w:val="0"/>
              <w:widowControl w:val="0"/>
              <w:jc w:val="center"/>
            </w:pPr>
            <w:r>
              <w:t>1.4 %</w:t>
            </w:r>
          </w:p>
        </w:tc>
        <w:tc>
          <w:tcPr>
            <w:tcW w:w="192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31103D8F" w14:textId="77777777" w:rsidR="00E2412D" w:rsidRDefault="00673E5C">
            <w:pPr>
              <w:pStyle w:val="TableContents"/>
              <w:keepNext w:val="0"/>
              <w:widowControl w:val="0"/>
              <w:jc w:val="center"/>
            </w:pPr>
            <w:r>
              <w:t>3.0 %</w:t>
            </w:r>
          </w:p>
        </w:tc>
        <w:tc>
          <w:tcPr>
            <w:tcW w:w="193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tcPr>
          <w:p w14:paraId="5716609A" w14:textId="77777777" w:rsidR="00E2412D" w:rsidRDefault="00673E5C">
            <w:pPr>
              <w:pStyle w:val="TableContents"/>
              <w:keepNext w:val="0"/>
              <w:widowControl w:val="0"/>
              <w:jc w:val="center"/>
            </w:pPr>
            <w:r>
              <w:t>1.8 %</w:t>
            </w:r>
          </w:p>
        </w:tc>
      </w:tr>
      <w:tr w:rsidR="00E2412D" w14:paraId="555BDC96" w14:textId="77777777">
        <w:trPr>
          <w:trHeight w:val="80"/>
          <w:jc w:val="center"/>
        </w:trPr>
        <w:tc>
          <w:tcPr>
            <w:tcW w:w="1927" w:type="dxa"/>
            <w:tcBorders>
              <w:top w:val="single" w:sz="2" w:space="0" w:color="000000"/>
              <w:left w:val="nil"/>
              <w:bottom w:val="nil"/>
              <w:right w:val="nil"/>
            </w:tcBorders>
            <w:shd w:val="clear" w:color="auto" w:fill="auto"/>
            <w:tcMar>
              <w:top w:w="80" w:type="dxa"/>
              <w:left w:w="80" w:type="dxa"/>
              <w:bottom w:w="80" w:type="dxa"/>
              <w:right w:w="80" w:type="dxa"/>
            </w:tcMar>
          </w:tcPr>
          <w:p w14:paraId="5504E517" w14:textId="77777777" w:rsidR="00E2412D" w:rsidRDefault="00673E5C">
            <w:pPr>
              <w:pStyle w:val="TableContents"/>
              <w:keepNext w:val="0"/>
              <w:widowControl w:val="0"/>
              <w:jc w:val="center"/>
            </w:pPr>
            <w:r>
              <w:t>Other</w:t>
            </w:r>
          </w:p>
        </w:tc>
        <w:tc>
          <w:tcPr>
            <w:tcW w:w="1928" w:type="dxa"/>
            <w:tcBorders>
              <w:top w:val="single" w:sz="2" w:space="0" w:color="000000"/>
              <w:left w:val="nil"/>
              <w:bottom w:val="nil"/>
              <w:right w:val="nil"/>
            </w:tcBorders>
            <w:shd w:val="clear" w:color="auto" w:fill="auto"/>
            <w:tcMar>
              <w:top w:w="80" w:type="dxa"/>
              <w:left w:w="80" w:type="dxa"/>
              <w:bottom w:w="80" w:type="dxa"/>
              <w:right w:w="80" w:type="dxa"/>
            </w:tcMar>
          </w:tcPr>
          <w:p w14:paraId="37D593C0" w14:textId="77777777" w:rsidR="00E2412D" w:rsidRDefault="00673E5C">
            <w:pPr>
              <w:pStyle w:val="TableContents"/>
              <w:keepNext w:val="0"/>
              <w:widowControl w:val="0"/>
              <w:jc w:val="center"/>
            </w:pPr>
            <w:r>
              <w:t>1.7 %</w:t>
            </w:r>
          </w:p>
        </w:tc>
        <w:tc>
          <w:tcPr>
            <w:tcW w:w="1927" w:type="dxa"/>
            <w:tcBorders>
              <w:top w:val="single" w:sz="2" w:space="0" w:color="000000"/>
              <w:left w:val="nil"/>
              <w:bottom w:val="nil"/>
              <w:right w:val="nil"/>
            </w:tcBorders>
            <w:shd w:val="clear" w:color="auto" w:fill="auto"/>
            <w:tcMar>
              <w:top w:w="80" w:type="dxa"/>
              <w:left w:w="80" w:type="dxa"/>
              <w:bottom w:w="80" w:type="dxa"/>
              <w:right w:w="80" w:type="dxa"/>
            </w:tcMar>
          </w:tcPr>
          <w:p w14:paraId="1791F1E9" w14:textId="77777777" w:rsidR="00E2412D" w:rsidRDefault="00673E5C">
            <w:pPr>
              <w:pStyle w:val="TableContents"/>
              <w:keepNext w:val="0"/>
              <w:widowControl w:val="0"/>
              <w:jc w:val="center"/>
            </w:pPr>
            <w:r>
              <w:t>0.6 %</w:t>
            </w:r>
          </w:p>
        </w:tc>
        <w:tc>
          <w:tcPr>
            <w:tcW w:w="1928" w:type="dxa"/>
            <w:tcBorders>
              <w:top w:val="single" w:sz="2" w:space="0" w:color="000000"/>
              <w:left w:val="nil"/>
              <w:bottom w:val="nil"/>
              <w:right w:val="nil"/>
            </w:tcBorders>
            <w:shd w:val="clear" w:color="auto" w:fill="auto"/>
            <w:tcMar>
              <w:top w:w="80" w:type="dxa"/>
              <w:left w:w="80" w:type="dxa"/>
              <w:bottom w:w="80" w:type="dxa"/>
              <w:right w:w="80" w:type="dxa"/>
            </w:tcMar>
          </w:tcPr>
          <w:p w14:paraId="54FA4438" w14:textId="77777777" w:rsidR="00E2412D" w:rsidRDefault="00673E5C">
            <w:pPr>
              <w:pStyle w:val="TableContents"/>
              <w:keepNext w:val="0"/>
              <w:widowControl w:val="0"/>
              <w:jc w:val="center"/>
            </w:pPr>
            <w:r>
              <w:t>-</w:t>
            </w:r>
          </w:p>
        </w:tc>
        <w:tc>
          <w:tcPr>
            <w:tcW w:w="1930" w:type="dxa"/>
            <w:tcBorders>
              <w:top w:val="single" w:sz="2" w:space="0" w:color="000000"/>
              <w:left w:val="nil"/>
              <w:bottom w:val="nil"/>
              <w:right w:val="nil"/>
            </w:tcBorders>
            <w:shd w:val="clear" w:color="auto" w:fill="auto"/>
            <w:tcMar>
              <w:top w:w="80" w:type="dxa"/>
              <w:left w:w="80" w:type="dxa"/>
              <w:bottom w:w="80" w:type="dxa"/>
              <w:right w:w="80" w:type="dxa"/>
            </w:tcMar>
          </w:tcPr>
          <w:p w14:paraId="20180A9D" w14:textId="77777777" w:rsidR="00E2412D" w:rsidRDefault="00673E5C">
            <w:pPr>
              <w:pStyle w:val="TableContents"/>
              <w:keepNext w:val="0"/>
              <w:widowControl w:val="0"/>
              <w:jc w:val="center"/>
            </w:pPr>
            <w:r>
              <w:t>-</w:t>
            </w:r>
          </w:p>
        </w:tc>
      </w:tr>
    </w:tbl>
    <w:p w14:paraId="71C9B86F" w14:textId="77777777" w:rsidR="00DE1A73" w:rsidRDefault="00DE1A73" w:rsidP="00DE1A73">
      <w:pPr>
        <w:pStyle w:val="BodyB"/>
        <w:keepNext w:val="0"/>
        <w:widowControl w:val="0"/>
        <w:suppressAutoHyphens w:val="0"/>
        <w:spacing w:line="480" w:lineRule="auto"/>
        <w:rPr>
          <w:i/>
          <w:iCs/>
          <w:kern w:val="24"/>
          <w:sz w:val="20"/>
          <w:szCs w:val="20"/>
          <w:lang w:val="en-US"/>
        </w:rPr>
      </w:pPr>
    </w:p>
    <w:p w14:paraId="402A3F22" w14:textId="2300D3CA" w:rsidR="00E2412D" w:rsidRDefault="00DE1A73" w:rsidP="00DE1A73">
      <w:pPr>
        <w:pStyle w:val="BodyB"/>
        <w:keepNext w:val="0"/>
        <w:widowControl w:val="0"/>
        <w:suppressAutoHyphens w:val="0"/>
        <w:spacing w:line="480" w:lineRule="auto"/>
        <w:rPr>
          <w:i/>
          <w:iCs/>
          <w:lang w:val="en-US"/>
        </w:rPr>
      </w:pPr>
      <w:r w:rsidRPr="00DE1A73">
        <w:rPr>
          <w:i/>
          <w:iCs/>
          <w:kern w:val="24"/>
          <w:sz w:val="20"/>
          <w:szCs w:val="20"/>
          <w:lang w:val="en-US"/>
        </w:rPr>
        <w:t xml:space="preserve">Table 1. Chemical composition of MAC. GB, AE and </w:t>
      </w:r>
      <w:proofErr w:type="spellStart"/>
      <w:r w:rsidRPr="00DE1A73">
        <w:rPr>
          <w:i/>
          <w:iCs/>
          <w:kern w:val="24"/>
          <w:sz w:val="20"/>
          <w:szCs w:val="20"/>
          <w:lang w:val="en-US"/>
        </w:rPr>
        <w:t>GBAE</w:t>
      </w:r>
      <w:proofErr w:type="spellEnd"/>
      <w:r w:rsidRPr="00DE1A73">
        <w:rPr>
          <w:i/>
          <w:iCs/>
          <w:kern w:val="24"/>
          <w:sz w:val="20"/>
          <w:szCs w:val="20"/>
          <w:lang w:val="en-US"/>
        </w:rPr>
        <w:t xml:space="preserve"> surfaces, analyzed by XPS.</w:t>
      </w:r>
    </w:p>
    <w:p w14:paraId="2FC4D09F" w14:textId="77777777" w:rsidR="00E2412D" w:rsidRDefault="00E2412D">
      <w:pPr>
        <w:pStyle w:val="BodyB"/>
        <w:keepNext w:val="0"/>
        <w:widowControl w:val="0"/>
        <w:suppressAutoHyphens w:val="0"/>
        <w:spacing w:line="480" w:lineRule="auto"/>
        <w:jc w:val="center"/>
        <w:rPr>
          <w:i/>
          <w:iCs/>
          <w:lang w:val="en-US"/>
        </w:rPr>
      </w:pPr>
    </w:p>
    <w:p w14:paraId="2C84325D" w14:textId="77777777" w:rsidR="00E2412D" w:rsidRDefault="00E2412D">
      <w:pPr>
        <w:pStyle w:val="BodyB"/>
        <w:keepNext w:val="0"/>
        <w:widowControl w:val="0"/>
        <w:suppressAutoHyphens w:val="0"/>
        <w:spacing w:line="480" w:lineRule="auto"/>
        <w:rPr>
          <w:i/>
          <w:iCs/>
          <w:lang w:val="en-US"/>
        </w:rPr>
      </w:pPr>
    </w:p>
    <w:p w14:paraId="668CE204" w14:textId="77777777" w:rsidR="00E2412D" w:rsidRDefault="00673E5C">
      <w:pPr>
        <w:pStyle w:val="BodyB"/>
        <w:keepNext w:val="0"/>
        <w:widowControl w:val="0"/>
        <w:suppressAutoHyphens w:val="0"/>
        <w:spacing w:line="480" w:lineRule="auto"/>
        <w:jc w:val="both"/>
        <w:rPr>
          <w:b/>
          <w:bCs/>
          <w:i/>
          <w:iCs/>
          <w:sz w:val="22"/>
          <w:szCs w:val="22"/>
          <w:lang w:val="en-US"/>
        </w:rPr>
      </w:pPr>
      <w:r>
        <w:rPr>
          <w:i/>
          <w:iCs/>
          <w:lang w:val="en-US"/>
        </w:rPr>
        <w:t xml:space="preserve">3.2.2 </w:t>
      </w:r>
      <w:r>
        <w:rPr>
          <w:b/>
          <w:bCs/>
          <w:i/>
          <w:iCs/>
          <w:sz w:val="22"/>
          <w:szCs w:val="22"/>
          <w:lang w:val="en-US"/>
        </w:rPr>
        <w:t>Micro-Raman Spectroscopy</w:t>
      </w:r>
    </w:p>
    <w:p w14:paraId="45C79130" w14:textId="2A3176B8" w:rsidR="00E2412D" w:rsidRDefault="00673E5C">
      <w:pPr>
        <w:pStyle w:val="BodyB"/>
        <w:keepNext w:val="0"/>
        <w:widowControl w:val="0"/>
        <w:suppressAutoHyphens w:val="0"/>
        <w:spacing w:line="480" w:lineRule="auto"/>
        <w:jc w:val="both"/>
        <w:rPr>
          <w:sz w:val="22"/>
          <w:szCs w:val="22"/>
          <w:lang w:val="en-US"/>
        </w:rPr>
      </w:pPr>
      <w:r>
        <w:rPr>
          <w:sz w:val="22"/>
          <w:szCs w:val="22"/>
          <w:lang w:val="en-US"/>
        </w:rPr>
        <w:t xml:space="preserve">The Raman spectra of the differently surface-treated </w:t>
      </w:r>
      <w:proofErr w:type="spellStart"/>
      <w:r>
        <w:rPr>
          <w:sz w:val="22"/>
          <w:szCs w:val="22"/>
          <w:lang w:val="en-US"/>
        </w:rPr>
        <w:t>Ti</w:t>
      </w:r>
      <w:proofErr w:type="spellEnd"/>
      <w:r>
        <w:rPr>
          <w:sz w:val="22"/>
          <w:szCs w:val="22"/>
          <w:lang w:val="en-US"/>
        </w:rPr>
        <w:t xml:space="preserve"> </w:t>
      </w:r>
      <w:r w:rsidRPr="004678EE">
        <w:rPr>
          <w:color w:val="auto"/>
          <w:sz w:val="22"/>
          <w:szCs w:val="22"/>
          <w:lang w:val="en-US"/>
        </w:rPr>
        <w:t xml:space="preserve">samples (MAC, GB, AE, </w:t>
      </w:r>
      <w:proofErr w:type="spellStart"/>
      <w:r w:rsidRPr="004678EE">
        <w:rPr>
          <w:color w:val="auto"/>
          <w:sz w:val="22"/>
          <w:szCs w:val="22"/>
          <w:lang w:val="en-US"/>
        </w:rPr>
        <w:t>GBAE</w:t>
      </w:r>
      <w:proofErr w:type="spellEnd"/>
      <w:r w:rsidRPr="004678EE">
        <w:rPr>
          <w:color w:val="auto"/>
          <w:sz w:val="22"/>
          <w:szCs w:val="22"/>
          <w:lang w:val="en-US"/>
        </w:rPr>
        <w:t xml:space="preserve">) are reported in Fig. 4. The observed vibrational features are typical of amorphous </w:t>
      </w:r>
      <w:proofErr w:type="spellStart"/>
      <w:r w:rsidRPr="004678EE">
        <w:rPr>
          <w:color w:val="auto"/>
          <w:sz w:val="22"/>
          <w:szCs w:val="22"/>
          <w:lang w:val="en-US"/>
        </w:rPr>
        <w:t>titania</w:t>
      </w:r>
      <w:proofErr w:type="spellEnd"/>
      <w:r w:rsidRPr="004678EE">
        <w:rPr>
          <w:color w:val="auto"/>
          <w:sz w:val="22"/>
          <w:szCs w:val="22"/>
          <w:lang w:val="en-US"/>
        </w:rPr>
        <w:t xml:space="preserve"> </w:t>
      </w:r>
      <w:r w:rsidR="004678EE" w:rsidRPr="004678EE">
        <w:rPr>
          <w:color w:val="auto"/>
          <w:sz w:val="22"/>
          <w:szCs w:val="22"/>
          <w:lang w:val="en-US"/>
        </w:rPr>
        <w:fldChar w:fldCharType="begin" w:fldLock="1"/>
      </w:r>
      <w:r w:rsidR="00296F38">
        <w:rPr>
          <w:color w:val="auto"/>
          <w:sz w:val="22"/>
          <w:szCs w:val="22"/>
          <w:lang w:val="en-US"/>
        </w:rPr>
        <w:instrText>ADDIN CSL_CITATION { "citationItems" : [ { "id" : "ITEM-1", "itemData" : { "DOI" : "10.1557/JMR.1998.0363", "ISSN" : "0884-2914", "abstract" : "Micro-Raman analysis was used to study the structure of TiO 2 powders produced at low (260 \u00b0C) and high (600\u2013900 \u00b0C) temperatures by vapor hydrolysis of titanium tetraisopropoxide (TTIP). Spatial inhomogeneity was discovered after the amorphous TiO 2 powders produced at low temperature were calcined at 700, 800, and 900 \u00b0C for 3 h. The TiO 2 powders produced at high temperatures (from 600 to 900 \u00b0C) were found to be spatially homogeneous and predominately anatase in structure. Small amounts of rutile and brookite are found for powders produced at 700, 800, and 900 \u00b0C after calcination at 600 \u00b0C for 3 h. The rutile and brookite impurities are believed to be concentrated on the surface of anatase based on a comparison of results of Raman and x-ray diffraction studies.", "author" : [ { "dropping-particle" : "", "family" : "Zhang", "given" : "Yun-Hong", "non-dropping-particle" : "", "parse-names" : false, "suffix" : "" }, { "dropping-particle" : "", "family" : "Chan", "given" : "Chak K.", "non-dropping-particle" : "", "parse-names" : false, "suffix" : "" }, { "dropping-particle" : "", "family" : "Porter", "given" : "John F.", "non-dropping-particle" : "", "parse-names" : false, "suffix" : "" }, { "dropping-particle" : "", "family" : "Guo", "given" : "Wei", "non-dropping-particle" : "", "parse-names" : false, "suffix" : "" } ], "container-title" : "Journal of Materials Research", "id" : "ITEM-1", "issue" : "9", "issued" : { "date-parts" : [ [ "1998", "9" ] ] }, "page" : "2602-2609", "publisher" : "Cambridge University Press", "title" : "Micro-Raman Spectroscopic Characterization of Nanosized TiO 2 Powders Prepared by Vapor Hydrolysis", "type" : "article-journal", "volume" : "13" }, "uris" : [ "http://www.mendeley.com/documents/?uuid=dee86cb0-cb16-33a2-bc81-e008c2b831f5", "http://www.mendeley.com/documents/?uuid=8df9671d-3b90-4dd0-8478-6c6c6a25a873" ] }, { "id" : "ITEM-2", "itemData" : { "DOI" : "10.1016/j.dental.2014.05.030", "ISBN" : "1879-0097 (Electronic) 0109-5641 (Linking)", "ISSN" : "01095641", "PMID" : "24946981", "abstract" : "Objectives To identify the TiO2 phases of the root surface of commercially available titanium dental implants, subjected to various surface treatments. Methods The titanium implants studied were: Allfit (ALF), Ice (ICE), IMZ TPS (TPS), Laser Lok (LLK), Prima Connex (PRC), Ospol (OSP), Osseospeed TX (OSS), Osseotite Full (OTF), Replace Select (RPS), SLA (SLA) and Trilobe (TRB). The root parts of the implants (n:2) were analyzed by Raman microspectroscopy employing argon ion laser excitation (514.5 nm wavelength) and a 100 ??m ?? 100 ??m sampling area at two randomly selected sites. Results The spectra of OSP and RPS showed the characteristic peaks of anatase, with traces of rutile (RPS). Complex phases composed of anatase, rutile and amorphous TiO2 were identified in ALF, ICE and LLK. Rutile and amorphous TiO2 were found in PRC, OSS, OTF, TPS and TRB, whereas rutile and possibly brookite were traced in SLA. In all implants, except OSP and RPS, peaks assigned to organic impurities (CH2, CH3) and carbonates were recorded. Ti2O3 was identified in OTF, PRC and Al2O3 in TRB. Significance Great variations in the TiO2 polymorphs were registered among the implant root surfaces tested. Considering the important differences in the biological activity of these polymorphs, it can be concluded that provision of information regarding the TiO2 state on implant surfaces should be a mandatory task for implant manufacturers. ?? 2014 Academy of Dental Materials.", "author" : [ { "dropping-particle" : "", "family" : "Gaintantzopoulou", "given" : "Marianna", "non-dropping-particle" : "", "parse-names" : false, "suffix" : "" }, { "dropping-particle" : "", "family" : "Zinelis", "given" : "Spiros", "non-dropping-particle" : "", "parse-names" : false, "suffix" : "" }, { "dropping-particle" : "", "family" : "Silikas", "given" : "Nick", "non-dropping-particle" : "", "parse-names" : false, "suffix" : "" }, { "dropping-particle" : "", "family" : "Eliades", "given" : "George", "non-dropping-particle" : "", "parse-names" : false, "suffix" : "" } ], "container-title" : "Dental Materials", "id" : "ITEM-2", "issue" : "8", "issued" : { "date-parts" : [ [ "2014", "8" ] ] }, "page" : "861-867", "title" : "Micro-Raman spectroscopic analysis of TiO2 phases on the root surfaces of commercial dental implants", "type" : "article-journal", "volume" : "30" }, "uris" : [ "http://www.mendeley.com/documents/?uuid=06d8244b-5dbe-40e9-b0c1-c77a07a43997" ] } ], "mendeley" : { "formattedCitation" : "[40,41]", "plainTextFormattedCitation" : "[40,41]", "previouslyFormattedCitation" : "[40,41]" }, "properties" : {  }, "schema" : "https://github.com/citation-style-language/schema/raw/master/csl-citation.json" }</w:instrText>
      </w:r>
      <w:r w:rsidR="004678EE" w:rsidRPr="004678EE">
        <w:rPr>
          <w:color w:val="auto"/>
          <w:sz w:val="22"/>
          <w:szCs w:val="22"/>
          <w:lang w:val="en-US"/>
        </w:rPr>
        <w:fldChar w:fldCharType="separate"/>
      </w:r>
      <w:r w:rsidR="00296F38" w:rsidRPr="00296F38">
        <w:rPr>
          <w:noProof/>
          <w:color w:val="auto"/>
          <w:sz w:val="22"/>
          <w:szCs w:val="22"/>
          <w:lang w:val="en-US"/>
        </w:rPr>
        <w:t>[40,41]</w:t>
      </w:r>
      <w:r w:rsidR="004678EE" w:rsidRPr="004678EE">
        <w:rPr>
          <w:color w:val="auto"/>
          <w:sz w:val="22"/>
          <w:szCs w:val="22"/>
          <w:lang w:val="en-US"/>
        </w:rPr>
        <w:fldChar w:fldCharType="end"/>
      </w:r>
      <w:r w:rsidRPr="004678EE">
        <w:rPr>
          <w:color w:val="auto"/>
          <w:sz w:val="22"/>
          <w:szCs w:val="22"/>
          <w:lang w:val="en-US"/>
        </w:rPr>
        <w:t xml:space="preserve">, as the related two main broad bands are visible around 430 and </w:t>
      </w:r>
      <w:r>
        <w:rPr>
          <w:sz w:val="22"/>
          <w:szCs w:val="22"/>
          <w:lang w:val="en-US"/>
        </w:rPr>
        <w:t>600 cm</w:t>
      </w:r>
      <w:r>
        <w:rPr>
          <w:sz w:val="22"/>
          <w:szCs w:val="22"/>
          <w:vertAlign w:val="superscript"/>
          <w:lang w:val="en-US"/>
        </w:rPr>
        <w:t>-1</w:t>
      </w:r>
      <w:r>
        <w:rPr>
          <w:sz w:val="22"/>
          <w:szCs w:val="22"/>
          <w:lang w:val="en-US"/>
        </w:rPr>
        <w:t xml:space="preserve"> , superimposed to other two bands centered about 300 and 800 cm</w:t>
      </w:r>
      <w:r>
        <w:rPr>
          <w:sz w:val="22"/>
          <w:szCs w:val="22"/>
          <w:vertAlign w:val="superscript"/>
          <w:lang w:val="en-US"/>
        </w:rPr>
        <w:t>-1</w:t>
      </w:r>
      <w:r>
        <w:rPr>
          <w:sz w:val="22"/>
          <w:szCs w:val="22"/>
          <w:lang w:val="en-US"/>
        </w:rPr>
        <w:t xml:space="preserve"> respectively.  For this reason, the differences observed among them in the surface behavior towards protein adsorption/cells adhesion cannot be ascribable to the surface microstructure.</w:t>
      </w:r>
    </w:p>
    <w:p w14:paraId="1419C132" w14:textId="77777777" w:rsidR="00E2412D" w:rsidRPr="00DE1A73" w:rsidRDefault="00673E5C" w:rsidP="00DE1A73">
      <w:pPr>
        <w:pStyle w:val="BodyB"/>
        <w:keepNext w:val="0"/>
        <w:widowControl w:val="0"/>
        <w:suppressAutoHyphens w:val="0"/>
        <w:spacing w:line="480" w:lineRule="auto"/>
        <w:jc w:val="both"/>
        <w:rPr>
          <w:i/>
          <w:iCs/>
        </w:rPr>
      </w:pPr>
      <w:r w:rsidRPr="00DE1A73">
        <w:rPr>
          <w:i/>
          <w:iCs/>
          <w:noProof/>
        </w:rPr>
        <w:lastRenderedPageBreak/>
        <w:drawing>
          <wp:inline distT="0" distB="0" distL="0" distR="0" wp14:anchorId="33177793" wp14:editId="26530B62">
            <wp:extent cx="6120130" cy="4780915"/>
            <wp:effectExtent l="0" t="0" r="0" 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4.png"/>
                    <pic:cNvPicPr/>
                  </pic:nvPicPr>
                  <pic:blipFill rotWithShape="1">
                    <a:blip r:embed="rId11"/>
                    <a:srcRect/>
                    <a:stretch>
                      <a:fillRect/>
                    </a:stretch>
                  </pic:blipFill>
                  <pic:spPr>
                    <a:xfrm>
                      <a:off x="0" y="0"/>
                      <a:ext cx="6120130" cy="4780915"/>
                    </a:xfrm>
                    <a:prstGeom prst="rect">
                      <a:avLst/>
                    </a:prstGeom>
                    <a:noFill/>
                    <a:ln>
                      <a:noFill/>
                    </a:ln>
                    <a:effectLst/>
                  </pic:spPr>
                </pic:pic>
              </a:graphicData>
            </a:graphic>
          </wp:inline>
        </w:drawing>
      </w:r>
    </w:p>
    <w:p w14:paraId="3B155E13" w14:textId="77777777" w:rsidR="00E2412D" w:rsidRPr="00DE1A73" w:rsidRDefault="00673E5C">
      <w:pPr>
        <w:pStyle w:val="BodyB"/>
        <w:keepNext w:val="0"/>
        <w:widowControl w:val="0"/>
        <w:suppressAutoHyphens w:val="0"/>
        <w:spacing w:line="480" w:lineRule="auto"/>
        <w:jc w:val="both"/>
        <w:rPr>
          <w:i/>
          <w:iCs/>
          <w:kern w:val="24"/>
          <w:sz w:val="20"/>
          <w:szCs w:val="20"/>
          <w:lang w:val="en-US"/>
        </w:rPr>
      </w:pPr>
      <w:r w:rsidRPr="00DE1A73">
        <w:rPr>
          <w:i/>
          <w:iCs/>
          <w:kern w:val="24"/>
          <w:sz w:val="20"/>
          <w:szCs w:val="20"/>
          <w:lang w:val="en-US"/>
        </w:rPr>
        <w:t xml:space="preserve">Figure 4. Raman spectra of machined titanium (MAC), GB, AE and </w:t>
      </w:r>
      <w:proofErr w:type="spellStart"/>
      <w:r w:rsidRPr="00DE1A73">
        <w:rPr>
          <w:i/>
          <w:iCs/>
          <w:kern w:val="24"/>
          <w:sz w:val="20"/>
          <w:szCs w:val="20"/>
          <w:lang w:val="en-US"/>
        </w:rPr>
        <w:t>GBAE</w:t>
      </w:r>
      <w:proofErr w:type="spellEnd"/>
      <w:r w:rsidRPr="00DE1A73">
        <w:rPr>
          <w:i/>
          <w:iCs/>
          <w:kern w:val="24"/>
          <w:sz w:val="20"/>
          <w:szCs w:val="20"/>
          <w:lang w:val="en-US"/>
        </w:rPr>
        <w:t xml:space="preserve"> surfaces and related optical microscope images. Both the spectra and the images were collected through a </w:t>
      </w:r>
      <w:proofErr w:type="spellStart"/>
      <w:r w:rsidRPr="00DE1A73">
        <w:rPr>
          <w:i/>
          <w:iCs/>
          <w:kern w:val="24"/>
          <w:sz w:val="20"/>
          <w:szCs w:val="20"/>
          <w:lang w:val="en-US"/>
        </w:rPr>
        <w:t>50X</w:t>
      </w:r>
      <w:proofErr w:type="spellEnd"/>
      <w:r w:rsidRPr="00DE1A73">
        <w:rPr>
          <w:i/>
          <w:iCs/>
          <w:kern w:val="24"/>
          <w:sz w:val="20"/>
          <w:szCs w:val="20"/>
          <w:lang w:val="en-US"/>
        </w:rPr>
        <w:t xml:space="preserve"> objective. The size of focused laser spot (</w:t>
      </w:r>
      <w:proofErr w:type="spellStart"/>
      <w:r w:rsidRPr="00DE1A73">
        <w:rPr>
          <w:i/>
          <w:iCs/>
          <w:kern w:val="24"/>
          <w:sz w:val="20"/>
          <w:szCs w:val="20"/>
          <w:lang w:val="en-US"/>
        </w:rPr>
        <w:t>10x10</w:t>
      </w:r>
      <w:proofErr w:type="spellEnd"/>
      <w:r w:rsidRPr="00DE1A73">
        <w:rPr>
          <w:i/>
          <w:iCs/>
          <w:kern w:val="24"/>
          <w:sz w:val="20"/>
          <w:szCs w:val="20"/>
          <w:lang w:val="en-US"/>
        </w:rPr>
        <w:t xml:space="preserve"> mm) is represented by means of a green circle at the center of each image.</w:t>
      </w:r>
    </w:p>
    <w:p w14:paraId="3DC6E09C" w14:textId="77777777" w:rsidR="00E2412D" w:rsidRPr="00843E05" w:rsidRDefault="00E2412D">
      <w:pPr>
        <w:pStyle w:val="BodyB"/>
        <w:keepNext w:val="0"/>
        <w:widowControl w:val="0"/>
        <w:suppressAutoHyphens w:val="0"/>
        <w:spacing w:line="480" w:lineRule="auto"/>
        <w:jc w:val="both"/>
        <w:rPr>
          <w:i/>
          <w:iCs/>
          <w:sz w:val="22"/>
          <w:szCs w:val="22"/>
          <w:lang w:val="en-US"/>
        </w:rPr>
      </w:pPr>
    </w:p>
    <w:p w14:paraId="11A3951F" w14:textId="77777777" w:rsidR="00E2412D" w:rsidRPr="00843E05" w:rsidRDefault="00673E5C">
      <w:pPr>
        <w:pStyle w:val="BodyB"/>
        <w:keepNext w:val="0"/>
        <w:widowControl w:val="0"/>
        <w:suppressAutoHyphens w:val="0"/>
        <w:spacing w:line="480" w:lineRule="auto"/>
        <w:jc w:val="both"/>
        <w:rPr>
          <w:b/>
          <w:bCs/>
          <w:i/>
          <w:iCs/>
          <w:sz w:val="22"/>
          <w:szCs w:val="22"/>
          <w:lang w:val="en-US"/>
        </w:rPr>
      </w:pPr>
      <w:r w:rsidRPr="00843E05">
        <w:rPr>
          <w:i/>
          <w:iCs/>
          <w:sz w:val="22"/>
          <w:szCs w:val="22"/>
          <w:lang w:val="en-US"/>
        </w:rPr>
        <w:t xml:space="preserve">3.2.3 </w:t>
      </w:r>
      <w:r w:rsidRPr="00843E05">
        <w:rPr>
          <w:b/>
          <w:bCs/>
          <w:i/>
          <w:iCs/>
          <w:sz w:val="22"/>
          <w:szCs w:val="22"/>
          <w:lang w:val="en-US"/>
        </w:rPr>
        <w:t xml:space="preserve">Contact angle and surface energy evaluation </w:t>
      </w:r>
    </w:p>
    <w:p w14:paraId="4B9C6E93" w14:textId="6FC63B43" w:rsidR="00E2412D" w:rsidRPr="00843E05" w:rsidRDefault="00673E5C">
      <w:pPr>
        <w:pStyle w:val="BodyB"/>
        <w:keepNext w:val="0"/>
        <w:widowControl w:val="0"/>
        <w:suppressAutoHyphens w:val="0"/>
        <w:spacing w:line="480" w:lineRule="auto"/>
        <w:jc w:val="both"/>
        <w:rPr>
          <w:sz w:val="22"/>
          <w:szCs w:val="22"/>
          <w:lang w:val="en-US"/>
        </w:rPr>
      </w:pPr>
      <w:r w:rsidRPr="00843E05">
        <w:rPr>
          <w:sz w:val="22"/>
          <w:szCs w:val="22"/>
          <w:lang w:val="en-US"/>
        </w:rPr>
        <w:t>The wetting properties of the titanium surfaces were evaluated by optical contact angle (OCA) measurements and are repor</w:t>
      </w:r>
      <w:r w:rsidR="00DE4887">
        <w:rPr>
          <w:sz w:val="22"/>
          <w:szCs w:val="22"/>
          <w:lang w:val="en-US"/>
        </w:rPr>
        <w:t>ted in Fig. 5. MAC surface showed</w:t>
      </w:r>
      <w:r w:rsidRPr="00843E05">
        <w:rPr>
          <w:sz w:val="22"/>
          <w:szCs w:val="22"/>
          <w:lang w:val="en-US"/>
        </w:rPr>
        <w:t xml:space="preserve"> a quite hydrophilic behavior, with an average contact angle (CA) value of 35° and 40°, for water and diiodomethane, respectiv</w:t>
      </w:r>
      <w:r w:rsidRPr="00843E05">
        <w:rPr>
          <w:color w:val="00000A"/>
          <w:sz w:val="22"/>
          <w:szCs w:val="22"/>
          <w:lang w:val="en-US"/>
        </w:rPr>
        <w:t>ely</w:t>
      </w:r>
      <w:r w:rsidRPr="00843E05">
        <w:rPr>
          <w:sz w:val="22"/>
          <w:szCs w:val="22"/>
          <w:lang w:val="en-US"/>
        </w:rPr>
        <w:t xml:space="preserve">. </w:t>
      </w:r>
      <w:proofErr w:type="spellStart"/>
      <w:r w:rsidRPr="00843E05">
        <w:rPr>
          <w:sz w:val="22"/>
          <w:szCs w:val="22"/>
          <w:lang w:val="en-US"/>
        </w:rPr>
        <w:t>GBAE</w:t>
      </w:r>
      <w:proofErr w:type="spellEnd"/>
      <w:r w:rsidRPr="00843E05">
        <w:rPr>
          <w:sz w:val="22"/>
          <w:szCs w:val="22"/>
          <w:lang w:val="en-US"/>
        </w:rPr>
        <w:t xml:space="preserve"> and AE surface resulted slightly less hydrophilic than MAC, their CA (</w:t>
      </w:r>
      <w:proofErr w:type="spellStart"/>
      <w:r w:rsidRPr="00843E05">
        <w:rPr>
          <w:sz w:val="22"/>
          <w:szCs w:val="22"/>
          <w:lang w:val="en-US"/>
        </w:rPr>
        <w:t>H</w:t>
      </w:r>
      <w:r w:rsidRPr="00843E05">
        <w:rPr>
          <w:sz w:val="22"/>
          <w:szCs w:val="22"/>
          <w:vertAlign w:val="subscript"/>
          <w:lang w:val="en-US"/>
        </w:rPr>
        <w:t>2</w:t>
      </w:r>
      <w:r w:rsidRPr="00843E05">
        <w:rPr>
          <w:sz w:val="22"/>
          <w:szCs w:val="22"/>
          <w:lang w:val="en-US"/>
        </w:rPr>
        <w:t>0</w:t>
      </w:r>
      <w:proofErr w:type="spellEnd"/>
      <w:r w:rsidRPr="00843E05">
        <w:rPr>
          <w:sz w:val="22"/>
          <w:szCs w:val="22"/>
          <w:lang w:val="en-US"/>
        </w:rPr>
        <w:t xml:space="preserve">) being 51° for both. The Contact Angle of </w:t>
      </w:r>
      <w:proofErr w:type="spellStart"/>
      <w:r w:rsidRPr="00843E05">
        <w:rPr>
          <w:sz w:val="22"/>
          <w:szCs w:val="22"/>
          <w:lang w:val="en-US"/>
        </w:rPr>
        <w:t>GBAE</w:t>
      </w:r>
      <w:proofErr w:type="spellEnd"/>
      <w:r w:rsidRPr="00843E05">
        <w:rPr>
          <w:sz w:val="22"/>
          <w:szCs w:val="22"/>
          <w:lang w:val="en-US"/>
        </w:rPr>
        <w:t xml:space="preserve"> in presence of </w:t>
      </w:r>
      <w:proofErr w:type="spellStart"/>
      <w:r w:rsidRPr="00843E05">
        <w:rPr>
          <w:sz w:val="22"/>
          <w:szCs w:val="22"/>
          <w:lang w:val="en-US"/>
        </w:rPr>
        <w:t>CH</w:t>
      </w:r>
      <w:r w:rsidRPr="00843E05">
        <w:rPr>
          <w:sz w:val="22"/>
          <w:szCs w:val="22"/>
          <w:vertAlign w:val="subscript"/>
          <w:lang w:val="en-US"/>
        </w:rPr>
        <w:t>2</w:t>
      </w:r>
      <w:r w:rsidRPr="00843E05">
        <w:rPr>
          <w:sz w:val="22"/>
          <w:szCs w:val="22"/>
          <w:lang w:val="en-US"/>
        </w:rPr>
        <w:t>I</w:t>
      </w:r>
      <w:r w:rsidRPr="00843E05">
        <w:rPr>
          <w:sz w:val="22"/>
          <w:szCs w:val="22"/>
          <w:vertAlign w:val="subscript"/>
          <w:lang w:val="en-US"/>
        </w:rPr>
        <w:t>2</w:t>
      </w:r>
      <w:proofErr w:type="spellEnd"/>
      <w:r w:rsidRPr="00843E05">
        <w:rPr>
          <w:sz w:val="22"/>
          <w:szCs w:val="22"/>
          <w:lang w:val="en-US"/>
        </w:rPr>
        <w:t xml:space="preserve"> reached a value of 40°, while that of AE was 43°. A limited transition toward the hydrophobic regime was found for GB with an average CA of 62° and 37° for H</w:t>
      </w:r>
      <w:r w:rsidRPr="00843E05">
        <w:rPr>
          <w:sz w:val="22"/>
          <w:szCs w:val="22"/>
          <w:vertAlign w:val="subscript"/>
          <w:lang w:val="en-US"/>
        </w:rPr>
        <w:t>2</w:t>
      </w:r>
      <w:r w:rsidRPr="00843E05">
        <w:rPr>
          <w:sz w:val="22"/>
          <w:szCs w:val="22"/>
          <w:lang w:val="en-US"/>
        </w:rPr>
        <w:t xml:space="preserve">O and </w:t>
      </w:r>
      <w:proofErr w:type="spellStart"/>
      <w:r w:rsidRPr="00843E05">
        <w:rPr>
          <w:sz w:val="22"/>
          <w:szCs w:val="22"/>
          <w:lang w:val="en-US"/>
        </w:rPr>
        <w:t>CH</w:t>
      </w:r>
      <w:r w:rsidRPr="00843E05">
        <w:rPr>
          <w:sz w:val="22"/>
          <w:szCs w:val="22"/>
          <w:vertAlign w:val="subscript"/>
          <w:lang w:val="en-US"/>
        </w:rPr>
        <w:t>2</w:t>
      </w:r>
      <w:r w:rsidRPr="00843E05">
        <w:rPr>
          <w:sz w:val="22"/>
          <w:szCs w:val="22"/>
          <w:lang w:val="en-US"/>
        </w:rPr>
        <w:t>I</w:t>
      </w:r>
      <w:r w:rsidRPr="00843E05">
        <w:rPr>
          <w:sz w:val="22"/>
          <w:szCs w:val="22"/>
          <w:vertAlign w:val="subscript"/>
          <w:lang w:val="en-US"/>
        </w:rPr>
        <w:t>2</w:t>
      </w:r>
      <w:proofErr w:type="spellEnd"/>
      <w:r w:rsidRPr="00843E05">
        <w:rPr>
          <w:sz w:val="22"/>
          <w:szCs w:val="22"/>
          <w:lang w:val="en-US"/>
        </w:rPr>
        <w:t>, respectively. The surface free energy (</w:t>
      </w:r>
      <w:proofErr w:type="spellStart"/>
      <w:r w:rsidRPr="00843E05">
        <w:rPr>
          <w:sz w:val="22"/>
          <w:szCs w:val="22"/>
          <w:lang w:val="en-US"/>
        </w:rPr>
        <w:t>SFE</w:t>
      </w:r>
      <w:proofErr w:type="spellEnd"/>
      <w:r w:rsidRPr="00843E05">
        <w:rPr>
          <w:sz w:val="22"/>
          <w:szCs w:val="22"/>
          <w:lang w:val="en-US"/>
        </w:rPr>
        <w:t>) computed following the Owens-Wendt theory was the highest for MAC and the lowest for GB. It can be noted that GB surface was the only one to show a significant difference between H</w:t>
      </w:r>
      <w:r w:rsidRPr="00843E05">
        <w:rPr>
          <w:sz w:val="22"/>
          <w:szCs w:val="22"/>
          <w:vertAlign w:val="subscript"/>
          <w:lang w:val="en-US"/>
        </w:rPr>
        <w:t>2</w:t>
      </w:r>
      <w:r w:rsidRPr="00843E05">
        <w:rPr>
          <w:sz w:val="22"/>
          <w:szCs w:val="22"/>
          <w:lang w:val="en-US"/>
        </w:rPr>
        <w:t xml:space="preserve">O and </w:t>
      </w:r>
      <w:proofErr w:type="spellStart"/>
      <w:r w:rsidRPr="00843E05">
        <w:rPr>
          <w:sz w:val="22"/>
          <w:szCs w:val="22"/>
          <w:lang w:val="en-US"/>
        </w:rPr>
        <w:t>CH</w:t>
      </w:r>
      <w:r w:rsidRPr="00843E05">
        <w:rPr>
          <w:sz w:val="22"/>
          <w:szCs w:val="22"/>
          <w:vertAlign w:val="subscript"/>
          <w:lang w:val="en-US"/>
        </w:rPr>
        <w:t>2</w:t>
      </w:r>
      <w:r w:rsidRPr="00843E05">
        <w:rPr>
          <w:sz w:val="22"/>
          <w:szCs w:val="22"/>
          <w:lang w:val="en-US"/>
        </w:rPr>
        <w:t>I</w:t>
      </w:r>
      <w:r w:rsidRPr="00843E05">
        <w:rPr>
          <w:sz w:val="22"/>
          <w:szCs w:val="22"/>
          <w:vertAlign w:val="subscript"/>
          <w:lang w:val="en-US"/>
        </w:rPr>
        <w:t>2</w:t>
      </w:r>
      <w:proofErr w:type="spellEnd"/>
      <w:r w:rsidRPr="00843E05">
        <w:rPr>
          <w:sz w:val="22"/>
          <w:szCs w:val="22"/>
          <w:lang w:val="en-US"/>
        </w:rPr>
        <w:t xml:space="preserve"> contact </w:t>
      </w:r>
      <w:r w:rsidRPr="00843E05">
        <w:rPr>
          <w:sz w:val="22"/>
          <w:szCs w:val="22"/>
          <w:lang w:val="en-US"/>
        </w:rPr>
        <w:lastRenderedPageBreak/>
        <w:t xml:space="preserve">angles and, consequently, between the polar and dispersive components of the surface energy. In fact, the dispersive to polar SE ratio of GB was 2.6, while for MAC, </w:t>
      </w:r>
      <w:proofErr w:type="spellStart"/>
      <w:r w:rsidRPr="00843E05">
        <w:rPr>
          <w:sz w:val="22"/>
          <w:szCs w:val="22"/>
          <w:lang w:val="en-US"/>
        </w:rPr>
        <w:t>GBAE</w:t>
      </w:r>
      <w:proofErr w:type="spellEnd"/>
      <w:r w:rsidRPr="00843E05">
        <w:rPr>
          <w:sz w:val="22"/>
          <w:szCs w:val="22"/>
          <w:lang w:val="en-US"/>
        </w:rPr>
        <w:t xml:space="preserve"> and AE were respectively 0.8, 1.3 and 1.2. </w:t>
      </w:r>
    </w:p>
    <w:p w14:paraId="4B4ACC9A" w14:textId="77777777" w:rsidR="00E2412D" w:rsidRDefault="00673E5C">
      <w:pPr>
        <w:pStyle w:val="BodyB"/>
        <w:keepNext w:val="0"/>
        <w:widowControl w:val="0"/>
        <w:suppressAutoHyphens w:val="0"/>
        <w:spacing w:line="480" w:lineRule="auto"/>
        <w:jc w:val="center"/>
      </w:pPr>
      <w:r>
        <w:rPr>
          <w:noProof/>
        </w:rPr>
        <w:drawing>
          <wp:inline distT="0" distB="0" distL="0" distR="0" wp14:anchorId="5AE8854B" wp14:editId="254E6E28">
            <wp:extent cx="6120130" cy="6120130"/>
            <wp:effectExtent l="0" t="0" r="0" b="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image5.png"/>
                    <pic:cNvPicPr/>
                  </pic:nvPicPr>
                  <pic:blipFill rotWithShape="1">
                    <a:blip r:embed="rId12"/>
                    <a:srcRect/>
                    <a:stretch>
                      <a:fillRect/>
                    </a:stretch>
                  </pic:blipFill>
                  <pic:spPr>
                    <a:xfrm>
                      <a:off x="0" y="0"/>
                      <a:ext cx="6120130" cy="6120130"/>
                    </a:xfrm>
                    <a:prstGeom prst="rect">
                      <a:avLst/>
                    </a:prstGeom>
                    <a:noFill/>
                    <a:ln>
                      <a:noFill/>
                    </a:ln>
                    <a:effectLst/>
                  </pic:spPr>
                </pic:pic>
              </a:graphicData>
            </a:graphic>
          </wp:inline>
        </w:drawing>
      </w:r>
    </w:p>
    <w:p w14:paraId="7B8BA432" w14:textId="28B91B8C" w:rsidR="004678EE" w:rsidRDefault="00673E5C" w:rsidP="00DE1A73">
      <w:pPr>
        <w:pStyle w:val="BodyB"/>
        <w:keepNext w:val="0"/>
        <w:widowControl w:val="0"/>
        <w:suppressAutoHyphens w:val="0"/>
        <w:spacing w:line="480" w:lineRule="auto"/>
        <w:jc w:val="both"/>
        <w:rPr>
          <w:i/>
          <w:iCs/>
          <w:kern w:val="24"/>
          <w:sz w:val="20"/>
          <w:szCs w:val="20"/>
          <w:lang w:val="en-US"/>
        </w:rPr>
      </w:pPr>
      <w:r w:rsidRPr="00DE1A73">
        <w:rPr>
          <w:i/>
          <w:iCs/>
          <w:kern w:val="24"/>
          <w:sz w:val="20"/>
          <w:szCs w:val="20"/>
          <w:lang w:val="en-US"/>
        </w:rPr>
        <w:t>Figure 5. Water (H</w:t>
      </w:r>
      <w:r w:rsidRPr="00DE4887">
        <w:rPr>
          <w:i/>
          <w:iCs/>
          <w:kern w:val="24"/>
          <w:sz w:val="20"/>
          <w:szCs w:val="20"/>
          <w:vertAlign w:val="subscript"/>
          <w:lang w:val="en-US"/>
        </w:rPr>
        <w:t>2</w:t>
      </w:r>
      <w:r w:rsidRPr="00DE1A73">
        <w:rPr>
          <w:i/>
          <w:iCs/>
          <w:kern w:val="24"/>
          <w:sz w:val="20"/>
          <w:szCs w:val="20"/>
          <w:lang w:val="en-US"/>
        </w:rPr>
        <w:t>O) and diiodomethane (</w:t>
      </w:r>
      <w:proofErr w:type="spellStart"/>
      <w:r w:rsidRPr="00DE1A73">
        <w:rPr>
          <w:i/>
          <w:iCs/>
          <w:kern w:val="24"/>
          <w:sz w:val="20"/>
          <w:szCs w:val="20"/>
          <w:lang w:val="en-US"/>
        </w:rPr>
        <w:t>CH</w:t>
      </w:r>
      <w:r w:rsidRPr="00DE4887">
        <w:rPr>
          <w:i/>
          <w:iCs/>
          <w:kern w:val="24"/>
          <w:sz w:val="20"/>
          <w:szCs w:val="20"/>
          <w:vertAlign w:val="subscript"/>
          <w:lang w:val="en-US"/>
        </w:rPr>
        <w:t>2</w:t>
      </w:r>
      <w:r w:rsidRPr="00DE1A73">
        <w:rPr>
          <w:i/>
          <w:iCs/>
          <w:kern w:val="24"/>
          <w:sz w:val="20"/>
          <w:szCs w:val="20"/>
          <w:lang w:val="en-US"/>
        </w:rPr>
        <w:t>I</w:t>
      </w:r>
      <w:r w:rsidRPr="00DE4887">
        <w:rPr>
          <w:i/>
          <w:iCs/>
          <w:kern w:val="24"/>
          <w:sz w:val="20"/>
          <w:szCs w:val="20"/>
          <w:vertAlign w:val="subscript"/>
          <w:lang w:val="en-US"/>
        </w:rPr>
        <w:t>2</w:t>
      </w:r>
      <w:proofErr w:type="spellEnd"/>
      <w:r w:rsidRPr="00DE1A73">
        <w:rPr>
          <w:i/>
          <w:iCs/>
          <w:kern w:val="24"/>
          <w:sz w:val="20"/>
          <w:szCs w:val="20"/>
          <w:lang w:val="en-US"/>
        </w:rPr>
        <w:t xml:space="preserve">) contact angles, measured on machined titanium (MAC), GB, </w:t>
      </w:r>
      <w:proofErr w:type="spellStart"/>
      <w:r w:rsidRPr="00DE1A73">
        <w:rPr>
          <w:i/>
          <w:iCs/>
          <w:kern w:val="24"/>
          <w:sz w:val="20"/>
          <w:szCs w:val="20"/>
          <w:lang w:val="en-US"/>
        </w:rPr>
        <w:t>GBAE</w:t>
      </w:r>
      <w:proofErr w:type="spellEnd"/>
      <w:r w:rsidRPr="00DE1A73">
        <w:rPr>
          <w:i/>
          <w:iCs/>
          <w:kern w:val="24"/>
          <w:sz w:val="20"/>
          <w:szCs w:val="20"/>
          <w:lang w:val="en-US"/>
        </w:rPr>
        <w:t xml:space="preserve"> and AE surfaces, and total contribution, dispersive and polar components of surface energy (SE), calculated by the Owens Wendt method.</w:t>
      </w:r>
      <w:r w:rsidR="007C0369" w:rsidRPr="00DE1A73">
        <w:rPr>
          <w:i/>
          <w:iCs/>
          <w:kern w:val="24"/>
          <w:sz w:val="20"/>
          <w:szCs w:val="20"/>
          <w:lang w:val="en-US"/>
        </w:rPr>
        <w:t xml:space="preserve"> Error bars represent expanded uncertainties at 95% level of confidence.</w:t>
      </w:r>
    </w:p>
    <w:p w14:paraId="606291F0" w14:textId="40859A5A" w:rsidR="00843E05" w:rsidRDefault="00843E05">
      <w:pPr>
        <w:keepNext w:val="0"/>
        <w:rPr>
          <w:i/>
          <w:iCs/>
          <w:kern w:val="24"/>
          <w:sz w:val="20"/>
          <w:szCs w:val="20"/>
          <w:lang w:eastAsia="it-IT"/>
        </w:rPr>
      </w:pPr>
      <w:r>
        <w:rPr>
          <w:i/>
          <w:iCs/>
          <w:kern w:val="24"/>
          <w:sz w:val="20"/>
          <w:szCs w:val="20"/>
        </w:rPr>
        <w:br w:type="page"/>
      </w:r>
    </w:p>
    <w:p w14:paraId="42916305" w14:textId="77777777" w:rsidR="00E2412D" w:rsidRDefault="007C0369">
      <w:pPr>
        <w:pStyle w:val="BodyB"/>
        <w:keepNext w:val="0"/>
        <w:widowControl w:val="0"/>
        <w:suppressAutoHyphens w:val="0"/>
        <w:spacing w:line="480" w:lineRule="auto"/>
        <w:jc w:val="both"/>
        <w:rPr>
          <w:b/>
          <w:bCs/>
          <w:lang w:val="en-US"/>
        </w:rPr>
      </w:pPr>
      <w:r>
        <w:rPr>
          <w:b/>
          <w:bCs/>
          <w:lang w:val="en-US"/>
        </w:rPr>
        <w:lastRenderedPageBreak/>
        <w:t>3.3 B</w:t>
      </w:r>
      <w:r w:rsidR="00673E5C">
        <w:rPr>
          <w:b/>
          <w:bCs/>
          <w:lang w:val="en-US"/>
        </w:rPr>
        <w:t>iological evaluations</w:t>
      </w:r>
    </w:p>
    <w:p w14:paraId="5E9083EB" w14:textId="77777777" w:rsidR="00E2412D" w:rsidRPr="00843E05" w:rsidRDefault="00673E5C">
      <w:pPr>
        <w:pStyle w:val="BodyB"/>
        <w:keepNext w:val="0"/>
        <w:widowControl w:val="0"/>
        <w:suppressAutoHyphens w:val="0"/>
        <w:spacing w:line="480" w:lineRule="auto"/>
        <w:jc w:val="both"/>
        <w:rPr>
          <w:b/>
          <w:bCs/>
          <w:i/>
          <w:iCs/>
          <w:sz w:val="22"/>
          <w:lang w:val="en-GB"/>
        </w:rPr>
      </w:pPr>
      <w:r w:rsidRPr="00843E05">
        <w:rPr>
          <w:i/>
          <w:iCs/>
          <w:sz w:val="22"/>
          <w:lang w:val="en-US"/>
        </w:rPr>
        <w:t xml:space="preserve">3.3.1 </w:t>
      </w:r>
      <w:r w:rsidRPr="00843E05">
        <w:rPr>
          <w:b/>
          <w:bCs/>
          <w:i/>
          <w:iCs/>
          <w:sz w:val="22"/>
          <w:lang w:val="en-GB"/>
        </w:rPr>
        <w:t>Protein adsorption</w:t>
      </w:r>
    </w:p>
    <w:p w14:paraId="6921A4B0" w14:textId="7E195122" w:rsidR="00E2412D" w:rsidRPr="00843E05" w:rsidRDefault="00673E5C">
      <w:pPr>
        <w:pStyle w:val="BodyB"/>
        <w:keepNext w:val="0"/>
        <w:widowControl w:val="0"/>
        <w:suppressAutoHyphens w:val="0"/>
        <w:spacing w:line="480" w:lineRule="auto"/>
        <w:jc w:val="both"/>
        <w:rPr>
          <w:sz w:val="22"/>
          <w:lang w:val="en-US"/>
        </w:rPr>
      </w:pPr>
      <w:r w:rsidRPr="00843E05">
        <w:rPr>
          <w:sz w:val="22"/>
          <w:lang w:val="en-US"/>
        </w:rPr>
        <w:t>The ability to adsorb proteins on different surfaces was evaluated considering collagen, fibronectin and albumin. As shown in Fig</w:t>
      </w:r>
      <w:r w:rsidR="004678EE" w:rsidRPr="00843E05">
        <w:rPr>
          <w:sz w:val="22"/>
          <w:lang w:val="en-US"/>
        </w:rPr>
        <w:t>.</w:t>
      </w:r>
      <w:r w:rsidR="00DE4887">
        <w:rPr>
          <w:sz w:val="22"/>
          <w:lang w:val="en-US"/>
        </w:rPr>
        <w:t xml:space="preserve"> 6, the GB surface adsorbed</w:t>
      </w:r>
      <w:r w:rsidRPr="00843E05">
        <w:rPr>
          <w:sz w:val="22"/>
          <w:lang w:val="en-US"/>
        </w:rPr>
        <w:t xml:space="preserve"> significantly less protein than the MAC surface. Moreover, AE and </w:t>
      </w:r>
      <w:proofErr w:type="spellStart"/>
      <w:r w:rsidRPr="00843E05">
        <w:rPr>
          <w:sz w:val="22"/>
          <w:lang w:val="en-US"/>
        </w:rPr>
        <w:t>GBAE</w:t>
      </w:r>
      <w:proofErr w:type="spellEnd"/>
      <w:r w:rsidRPr="00843E05">
        <w:rPr>
          <w:sz w:val="22"/>
          <w:lang w:val="en-US"/>
        </w:rPr>
        <w:t xml:space="preserve"> surfaces show</w:t>
      </w:r>
      <w:r w:rsidR="00DE4887">
        <w:rPr>
          <w:sz w:val="22"/>
          <w:lang w:val="en-US"/>
        </w:rPr>
        <w:t>ed</w:t>
      </w:r>
      <w:r w:rsidRPr="00843E05">
        <w:rPr>
          <w:sz w:val="22"/>
          <w:lang w:val="en-US"/>
        </w:rPr>
        <w:t xml:space="preserve"> a better collagen adsorption.</w:t>
      </w:r>
    </w:p>
    <w:p w14:paraId="4AB7D75E" w14:textId="77777777" w:rsidR="00E2412D" w:rsidRDefault="00673E5C">
      <w:pPr>
        <w:pStyle w:val="BodyB"/>
        <w:keepNext w:val="0"/>
        <w:widowControl w:val="0"/>
        <w:suppressAutoHyphens w:val="0"/>
        <w:spacing w:line="480" w:lineRule="auto"/>
        <w:jc w:val="both"/>
        <w:rPr>
          <w:lang w:val="en-US"/>
        </w:rPr>
      </w:pPr>
      <w:r>
        <w:rPr>
          <w:noProof/>
          <w:u w:color="00000A"/>
        </w:rPr>
        <w:drawing>
          <wp:inline distT="0" distB="0" distL="0" distR="0" wp14:anchorId="4CE4BB30" wp14:editId="7DEE054A">
            <wp:extent cx="6096000" cy="1981200"/>
            <wp:effectExtent l="0" t="0" r="0" b="0"/>
            <wp:docPr id="1073741830" name="officeArt object" descr="C:\Users\Tullio\AppData\Local\Microsoft\Windows\INetCache\Content.Word\Protein adsorption.tif"/>
            <wp:cNvGraphicFramePr/>
            <a:graphic xmlns:a="http://schemas.openxmlformats.org/drawingml/2006/main">
              <a:graphicData uri="http://schemas.openxmlformats.org/drawingml/2006/picture">
                <pic:pic xmlns:pic="http://schemas.openxmlformats.org/drawingml/2006/picture">
                  <pic:nvPicPr>
                    <pic:cNvPr id="1073741830" name="image6.tif" descr="C:\Users\Tullio\AppData\Local\Microsoft\Windows\INetCache\Content.Word\Protein adsorption.tif"/>
                    <pic:cNvPicPr/>
                  </pic:nvPicPr>
                  <pic:blipFill rotWithShape="1">
                    <a:blip r:embed="rId13"/>
                    <a:srcRect/>
                    <a:stretch>
                      <a:fillRect/>
                    </a:stretch>
                  </pic:blipFill>
                  <pic:spPr>
                    <a:xfrm>
                      <a:off x="0" y="0"/>
                      <a:ext cx="6096000" cy="1981200"/>
                    </a:xfrm>
                    <a:prstGeom prst="rect">
                      <a:avLst/>
                    </a:prstGeom>
                    <a:noFill/>
                    <a:ln>
                      <a:noFill/>
                    </a:ln>
                    <a:effectLst/>
                  </pic:spPr>
                </pic:pic>
              </a:graphicData>
            </a:graphic>
          </wp:inline>
        </w:drawing>
      </w:r>
    </w:p>
    <w:p w14:paraId="09CE0C6A" w14:textId="77777777" w:rsidR="00E2412D" w:rsidRDefault="007C0369">
      <w:pPr>
        <w:pStyle w:val="BodyB"/>
        <w:keepNext w:val="0"/>
        <w:widowControl w:val="0"/>
        <w:suppressAutoHyphens w:val="0"/>
        <w:spacing w:line="480" w:lineRule="auto"/>
        <w:jc w:val="both"/>
        <w:rPr>
          <w:i/>
          <w:iCs/>
          <w:lang w:val="en-US"/>
        </w:rPr>
      </w:pPr>
      <w:proofErr w:type="spellStart"/>
      <w:r w:rsidRPr="003F4E49">
        <w:rPr>
          <w:i/>
          <w:iCs/>
          <w:kern w:val="24"/>
          <w:sz w:val="20"/>
          <w:szCs w:val="20"/>
          <w:lang w:val="en-US"/>
        </w:rPr>
        <w:t>Fig.6</w:t>
      </w:r>
      <w:proofErr w:type="spellEnd"/>
      <w:r w:rsidRPr="003F4E49">
        <w:rPr>
          <w:i/>
          <w:iCs/>
          <w:kern w:val="24"/>
          <w:sz w:val="20"/>
          <w:szCs w:val="20"/>
          <w:lang w:val="en-US"/>
        </w:rPr>
        <w:t xml:space="preserve"> Protein adsorption measure</w:t>
      </w:r>
      <w:r>
        <w:rPr>
          <w:i/>
          <w:iCs/>
          <w:kern w:val="24"/>
          <w:sz w:val="20"/>
          <w:szCs w:val="20"/>
          <w:lang w:val="en-US"/>
        </w:rPr>
        <w:t>d</w:t>
      </w:r>
      <w:r w:rsidRPr="003F4E49">
        <w:rPr>
          <w:i/>
          <w:iCs/>
          <w:kern w:val="24"/>
          <w:sz w:val="20"/>
          <w:szCs w:val="20"/>
          <w:lang w:val="en-US"/>
        </w:rPr>
        <w:t xml:space="preserve"> with BCA Protein Assay Kit. (A)</w:t>
      </w:r>
      <w:r>
        <w:rPr>
          <w:i/>
          <w:iCs/>
          <w:kern w:val="24"/>
          <w:sz w:val="20"/>
          <w:szCs w:val="20"/>
          <w:lang w:val="en-US"/>
        </w:rPr>
        <w:t xml:space="preserve"> </w:t>
      </w:r>
      <w:r w:rsidRPr="003F4E49">
        <w:rPr>
          <w:i/>
          <w:iCs/>
          <w:kern w:val="24"/>
          <w:sz w:val="20"/>
          <w:szCs w:val="20"/>
          <w:lang w:val="en-US"/>
        </w:rPr>
        <w:t>Evalua</w:t>
      </w:r>
      <w:r>
        <w:rPr>
          <w:i/>
          <w:iCs/>
          <w:kern w:val="24"/>
          <w:sz w:val="20"/>
          <w:szCs w:val="20"/>
          <w:lang w:val="en-US"/>
        </w:rPr>
        <w:t>tion of Collagen adsorption; (</w:t>
      </w:r>
      <w:r w:rsidRPr="003F4E49">
        <w:rPr>
          <w:i/>
          <w:iCs/>
          <w:kern w:val="24"/>
          <w:sz w:val="20"/>
          <w:szCs w:val="20"/>
          <w:lang w:val="en-US"/>
        </w:rPr>
        <w:t>B) Eval</w:t>
      </w:r>
      <w:r>
        <w:rPr>
          <w:i/>
          <w:iCs/>
          <w:kern w:val="24"/>
          <w:sz w:val="20"/>
          <w:szCs w:val="20"/>
          <w:lang w:val="en-US"/>
        </w:rPr>
        <w:t>u</w:t>
      </w:r>
      <w:r w:rsidRPr="003F4E49">
        <w:rPr>
          <w:i/>
          <w:iCs/>
          <w:kern w:val="24"/>
          <w:sz w:val="20"/>
          <w:szCs w:val="20"/>
          <w:lang w:val="en-US"/>
        </w:rPr>
        <w:t xml:space="preserve">ation of Fibronectin adsorption. (C) Evaluation of </w:t>
      </w:r>
      <w:proofErr w:type="spellStart"/>
      <w:r w:rsidRPr="003F4E49">
        <w:rPr>
          <w:i/>
          <w:iCs/>
          <w:kern w:val="24"/>
          <w:sz w:val="20"/>
          <w:szCs w:val="20"/>
          <w:lang w:val="en-US"/>
        </w:rPr>
        <w:t>BSA</w:t>
      </w:r>
      <w:proofErr w:type="spellEnd"/>
      <w:r w:rsidRPr="003F4E49">
        <w:rPr>
          <w:i/>
          <w:iCs/>
          <w:kern w:val="24"/>
          <w:sz w:val="20"/>
          <w:szCs w:val="20"/>
          <w:lang w:val="en-US"/>
        </w:rPr>
        <w:t xml:space="preserve"> adsorption. </w:t>
      </w:r>
      <w:r w:rsidRPr="0059707D">
        <w:rPr>
          <w:i/>
          <w:iCs/>
          <w:kern w:val="24"/>
          <w:sz w:val="20"/>
          <w:szCs w:val="20"/>
          <w:lang w:val="en-US"/>
        </w:rPr>
        <w:t xml:space="preserve">Values represent mean ± SEM; the symbol (*) indicates a statistically significant difference versus machined </w:t>
      </w:r>
      <w:proofErr w:type="spellStart"/>
      <w:r w:rsidRPr="0059707D">
        <w:rPr>
          <w:i/>
          <w:iCs/>
          <w:kern w:val="24"/>
          <w:sz w:val="20"/>
          <w:szCs w:val="20"/>
          <w:lang w:val="en-US"/>
        </w:rPr>
        <w:t>Ti</w:t>
      </w:r>
      <w:proofErr w:type="spellEnd"/>
      <w:r w:rsidRPr="0059707D">
        <w:rPr>
          <w:i/>
          <w:iCs/>
          <w:kern w:val="24"/>
          <w:sz w:val="20"/>
          <w:szCs w:val="20"/>
          <w:lang w:val="en-US"/>
        </w:rPr>
        <w:t xml:space="preserve"> sample (</w:t>
      </w:r>
      <w:r w:rsidRPr="0059707D">
        <w:rPr>
          <w:i/>
          <w:iCs/>
          <w:color w:val="00000A"/>
          <w:kern w:val="24"/>
          <w:sz w:val="20"/>
          <w:szCs w:val="20"/>
          <w:lang w:val="en-US"/>
        </w:rPr>
        <w:t>Mac), considering a p-value &lt; 0.05</w:t>
      </w:r>
    </w:p>
    <w:p w14:paraId="40BEFB20" w14:textId="77777777" w:rsidR="00E2412D" w:rsidRDefault="00673E5C">
      <w:pPr>
        <w:keepNext w:val="0"/>
      </w:pPr>
      <w:r>
        <w:rPr>
          <w:i/>
          <w:iCs/>
        </w:rPr>
        <w:br w:type="page"/>
      </w:r>
    </w:p>
    <w:p w14:paraId="28FA0E65" w14:textId="77777777" w:rsidR="00E2412D" w:rsidRPr="00843E05" w:rsidRDefault="00673E5C">
      <w:pPr>
        <w:pStyle w:val="BodyB"/>
        <w:keepNext w:val="0"/>
        <w:widowControl w:val="0"/>
        <w:suppressAutoHyphens w:val="0"/>
        <w:spacing w:line="480" w:lineRule="auto"/>
        <w:jc w:val="both"/>
        <w:rPr>
          <w:b/>
          <w:bCs/>
          <w:i/>
          <w:iCs/>
          <w:sz w:val="22"/>
          <w:lang w:val="en-US"/>
        </w:rPr>
      </w:pPr>
      <w:r w:rsidRPr="00843E05">
        <w:rPr>
          <w:i/>
          <w:iCs/>
          <w:sz w:val="22"/>
          <w:lang w:val="en-GB"/>
        </w:rPr>
        <w:lastRenderedPageBreak/>
        <w:t xml:space="preserve">3.3.2 </w:t>
      </w:r>
      <w:bookmarkStart w:id="1" w:name="OLE_LINK1"/>
      <w:r w:rsidRPr="00843E05">
        <w:rPr>
          <w:b/>
          <w:bCs/>
          <w:i/>
          <w:iCs/>
          <w:sz w:val="22"/>
          <w:lang w:val="en-US"/>
        </w:rPr>
        <w:t>Cell adhesion and proliferation</w:t>
      </w:r>
      <w:bookmarkEnd w:id="1"/>
    </w:p>
    <w:p w14:paraId="6719BB96" w14:textId="01B2CAD5" w:rsidR="00253370" w:rsidRPr="00843E05" w:rsidRDefault="00253627" w:rsidP="00253370">
      <w:pPr>
        <w:pStyle w:val="BodyB"/>
        <w:keepNext w:val="0"/>
        <w:widowControl w:val="0"/>
        <w:suppressAutoHyphens w:val="0"/>
        <w:spacing w:line="480" w:lineRule="auto"/>
        <w:jc w:val="both"/>
        <w:rPr>
          <w:sz w:val="22"/>
          <w:lang w:val="en-US"/>
        </w:rPr>
      </w:pPr>
      <w:r>
        <w:rPr>
          <w:sz w:val="22"/>
          <w:lang w:val="en-US"/>
        </w:rPr>
        <w:t>C</w:t>
      </w:r>
      <w:r w:rsidR="00AF1E02" w:rsidRPr="00843E05">
        <w:rPr>
          <w:sz w:val="22"/>
          <w:lang w:val="en-US"/>
        </w:rPr>
        <w:t>ells show</w:t>
      </w:r>
      <w:r w:rsidR="00B472EA">
        <w:rPr>
          <w:sz w:val="22"/>
          <w:lang w:val="en-US"/>
        </w:rPr>
        <w:t>ed</w:t>
      </w:r>
      <w:r w:rsidR="00AF1E02" w:rsidRPr="00843E05">
        <w:rPr>
          <w:sz w:val="22"/>
          <w:lang w:val="en-US"/>
        </w:rPr>
        <w:t xml:space="preserve"> different morphologies when </w:t>
      </w:r>
      <w:r w:rsidR="00B472EA">
        <w:rPr>
          <w:sz w:val="22"/>
          <w:lang w:val="en-US"/>
        </w:rPr>
        <w:t>were</w:t>
      </w:r>
      <w:r w:rsidR="00B472EA" w:rsidRPr="00843E05">
        <w:rPr>
          <w:sz w:val="22"/>
          <w:lang w:val="en-US"/>
        </w:rPr>
        <w:t xml:space="preserve"> </w:t>
      </w:r>
      <w:r w:rsidR="00AF1E02" w:rsidRPr="00843E05">
        <w:rPr>
          <w:sz w:val="22"/>
          <w:lang w:val="en-US"/>
        </w:rPr>
        <w:t>seeded on different surfaces</w:t>
      </w:r>
      <w:r w:rsidR="00B472EA">
        <w:rPr>
          <w:sz w:val="22"/>
          <w:lang w:val="en-US"/>
        </w:rPr>
        <w:t>,</w:t>
      </w:r>
      <w:r w:rsidR="00AF1E02" w:rsidRPr="00843E05">
        <w:rPr>
          <w:sz w:val="22"/>
          <w:lang w:val="en-US"/>
        </w:rPr>
        <w:t xml:space="preserve"> </w:t>
      </w:r>
      <w:r w:rsidR="00B253FC" w:rsidRPr="00843E05">
        <w:rPr>
          <w:sz w:val="22"/>
          <w:lang w:val="en-US"/>
        </w:rPr>
        <w:t>display</w:t>
      </w:r>
      <w:r w:rsidR="00B472EA">
        <w:rPr>
          <w:sz w:val="22"/>
          <w:lang w:val="en-US"/>
        </w:rPr>
        <w:t>ing</w:t>
      </w:r>
      <w:r w:rsidR="00B253FC" w:rsidRPr="00843E05">
        <w:rPr>
          <w:sz w:val="22"/>
          <w:lang w:val="en-US"/>
        </w:rPr>
        <w:t xml:space="preserve"> </w:t>
      </w:r>
      <w:r w:rsidR="00AF1E02" w:rsidRPr="00843E05">
        <w:rPr>
          <w:sz w:val="22"/>
          <w:lang w:val="en-US"/>
        </w:rPr>
        <w:t xml:space="preserve">more elongated shape and more filopodia on AE and </w:t>
      </w:r>
      <w:proofErr w:type="spellStart"/>
      <w:r w:rsidR="00AF1E02" w:rsidRPr="00843E05">
        <w:rPr>
          <w:sz w:val="22"/>
          <w:lang w:val="en-US"/>
        </w:rPr>
        <w:t>GBAE</w:t>
      </w:r>
      <w:proofErr w:type="spellEnd"/>
      <w:r w:rsidR="00AF1E02" w:rsidRPr="00843E05">
        <w:rPr>
          <w:sz w:val="22"/>
          <w:lang w:val="en-US"/>
        </w:rPr>
        <w:t xml:space="preserve"> surfaces (Fig </w:t>
      </w:r>
      <w:proofErr w:type="spellStart"/>
      <w:r w:rsidR="00AF1E02" w:rsidRPr="00843E05">
        <w:rPr>
          <w:sz w:val="22"/>
          <w:lang w:val="en-US"/>
        </w:rPr>
        <w:t>7A</w:t>
      </w:r>
      <w:proofErr w:type="spellEnd"/>
      <w:r w:rsidR="00AF1E02" w:rsidRPr="00843E05">
        <w:rPr>
          <w:sz w:val="22"/>
          <w:lang w:val="en-US"/>
        </w:rPr>
        <w:t xml:space="preserve">). To </w:t>
      </w:r>
      <w:r w:rsidR="00B472EA">
        <w:rPr>
          <w:sz w:val="22"/>
          <w:lang w:val="en-US"/>
        </w:rPr>
        <w:t>quantify</w:t>
      </w:r>
      <w:r w:rsidR="00B472EA" w:rsidRPr="00843E05">
        <w:rPr>
          <w:sz w:val="22"/>
          <w:lang w:val="en-US"/>
        </w:rPr>
        <w:t xml:space="preserve"> </w:t>
      </w:r>
      <w:r w:rsidR="00AF1E02" w:rsidRPr="00843E05">
        <w:rPr>
          <w:sz w:val="22"/>
          <w:lang w:val="en-US"/>
        </w:rPr>
        <w:t>th</w:t>
      </w:r>
      <w:r w:rsidR="00B472EA">
        <w:rPr>
          <w:sz w:val="22"/>
          <w:lang w:val="en-US"/>
        </w:rPr>
        <w:t>is</w:t>
      </w:r>
      <w:r w:rsidR="00AF1E02" w:rsidRPr="00843E05">
        <w:rPr>
          <w:sz w:val="22"/>
          <w:lang w:val="en-US"/>
        </w:rPr>
        <w:t xml:space="preserve"> </w:t>
      </w:r>
      <w:r w:rsidR="00B472EA">
        <w:rPr>
          <w:sz w:val="22"/>
          <w:lang w:val="en-US"/>
        </w:rPr>
        <w:t>evidence</w:t>
      </w:r>
      <w:r w:rsidR="004678EE" w:rsidRPr="00843E05">
        <w:rPr>
          <w:sz w:val="22"/>
          <w:lang w:val="en-US"/>
        </w:rPr>
        <w:t>,</w:t>
      </w:r>
      <w:r w:rsidR="00AF1E02" w:rsidRPr="00843E05">
        <w:rPr>
          <w:sz w:val="22"/>
          <w:lang w:val="en-US"/>
        </w:rPr>
        <w:t xml:space="preserve"> the interactions between cell bod</w:t>
      </w:r>
      <w:r w:rsidR="00B472EA">
        <w:rPr>
          <w:sz w:val="22"/>
          <w:lang w:val="en-US"/>
        </w:rPr>
        <w:t>ies</w:t>
      </w:r>
      <w:r w:rsidR="00AF1E02" w:rsidRPr="00843E05">
        <w:rPr>
          <w:sz w:val="22"/>
          <w:lang w:val="en-US"/>
        </w:rPr>
        <w:t xml:space="preserve"> and filopodia were measured</w:t>
      </w:r>
      <w:r w:rsidR="00E46EC6" w:rsidRPr="00843E05">
        <w:rPr>
          <w:sz w:val="22"/>
          <w:lang w:val="en-US"/>
        </w:rPr>
        <w:t xml:space="preserve"> (Fig. </w:t>
      </w:r>
      <w:proofErr w:type="spellStart"/>
      <w:r w:rsidR="00E46EC6" w:rsidRPr="00843E05">
        <w:rPr>
          <w:sz w:val="22"/>
          <w:lang w:val="en-US"/>
        </w:rPr>
        <w:t>7B</w:t>
      </w:r>
      <w:proofErr w:type="spellEnd"/>
      <w:r w:rsidR="00E46EC6" w:rsidRPr="00843E05">
        <w:rPr>
          <w:sz w:val="22"/>
          <w:lang w:val="en-US"/>
        </w:rPr>
        <w:t>).</w:t>
      </w:r>
      <w:r w:rsidR="00AF1E02" w:rsidRPr="00843E05">
        <w:rPr>
          <w:sz w:val="22"/>
          <w:lang w:val="en-US"/>
        </w:rPr>
        <w:t xml:space="preserve"> </w:t>
      </w:r>
      <w:r w:rsidR="00673E5C" w:rsidRPr="00843E05">
        <w:rPr>
          <w:sz w:val="22"/>
          <w:lang w:val="en-US"/>
        </w:rPr>
        <w:t xml:space="preserve">At 24 hours, all the surfaces allowed cell viability, but GB, AE and </w:t>
      </w:r>
      <w:proofErr w:type="spellStart"/>
      <w:r w:rsidR="00673E5C" w:rsidRPr="00843E05">
        <w:rPr>
          <w:sz w:val="22"/>
          <w:lang w:val="en-US"/>
        </w:rPr>
        <w:t>GBAE</w:t>
      </w:r>
      <w:proofErr w:type="spellEnd"/>
      <w:r w:rsidR="00673E5C" w:rsidRPr="00843E05">
        <w:rPr>
          <w:sz w:val="22"/>
          <w:lang w:val="en-US"/>
        </w:rPr>
        <w:t xml:space="preserve"> sustained cell proliferation</w:t>
      </w:r>
      <w:r w:rsidR="002E7096" w:rsidRPr="00843E05">
        <w:rPr>
          <w:sz w:val="22"/>
          <w:lang w:val="en-US"/>
        </w:rPr>
        <w:t xml:space="preserve"> better</w:t>
      </w:r>
      <w:r w:rsidR="00673E5C" w:rsidRPr="00843E05">
        <w:rPr>
          <w:sz w:val="22"/>
          <w:lang w:val="en-US"/>
        </w:rPr>
        <w:t xml:space="preserve"> than MAC. Interestingly, GB and AE appeared slightly more performing than </w:t>
      </w:r>
      <w:proofErr w:type="spellStart"/>
      <w:r w:rsidR="00673E5C" w:rsidRPr="00843E05">
        <w:rPr>
          <w:sz w:val="22"/>
          <w:lang w:val="en-US"/>
        </w:rPr>
        <w:t>GBAE</w:t>
      </w:r>
      <w:proofErr w:type="spellEnd"/>
      <w:r w:rsidR="00673E5C" w:rsidRPr="00843E05">
        <w:rPr>
          <w:sz w:val="22"/>
          <w:lang w:val="en-US"/>
        </w:rPr>
        <w:t>, although not in a statistically significant way</w:t>
      </w:r>
      <w:r w:rsidR="00E46EC6" w:rsidRPr="00843E05">
        <w:rPr>
          <w:sz w:val="22"/>
          <w:lang w:val="en-US"/>
        </w:rPr>
        <w:t xml:space="preserve"> (Fig</w:t>
      </w:r>
      <w:r w:rsidR="00673E5C" w:rsidRPr="00843E05">
        <w:rPr>
          <w:sz w:val="22"/>
          <w:lang w:val="en-US"/>
        </w:rPr>
        <w:t>.</w:t>
      </w:r>
      <w:r w:rsidR="00E46EC6" w:rsidRPr="00843E05">
        <w:rPr>
          <w:sz w:val="22"/>
          <w:lang w:val="en-US"/>
        </w:rPr>
        <w:t xml:space="preserve"> </w:t>
      </w:r>
      <w:proofErr w:type="spellStart"/>
      <w:r w:rsidR="00E46EC6" w:rsidRPr="00843E05">
        <w:rPr>
          <w:sz w:val="22"/>
          <w:lang w:val="en-US"/>
        </w:rPr>
        <w:t>7C</w:t>
      </w:r>
      <w:proofErr w:type="spellEnd"/>
      <w:r w:rsidR="00E46EC6" w:rsidRPr="00843E05">
        <w:rPr>
          <w:sz w:val="22"/>
          <w:lang w:val="en-US"/>
        </w:rPr>
        <w:t>).</w:t>
      </w:r>
    </w:p>
    <w:p w14:paraId="3ED421AE" w14:textId="59D23814" w:rsidR="00253370" w:rsidRDefault="00E160CF" w:rsidP="00253370">
      <w:pPr>
        <w:pStyle w:val="BodyB"/>
        <w:keepNext w:val="0"/>
        <w:widowControl w:val="0"/>
        <w:suppressAutoHyphens w:val="0"/>
        <w:spacing w:line="480" w:lineRule="auto"/>
        <w:jc w:val="both"/>
        <w:rPr>
          <w:noProof/>
          <w:kern w:val="24"/>
          <w:sz w:val="20"/>
          <w:szCs w:val="20"/>
          <w:lang w:val="en-US"/>
        </w:rPr>
      </w:pPr>
      <w:r>
        <w:rPr>
          <w:noProof/>
          <w:lang w:val="en-US"/>
        </w:rPr>
        <w:pict w14:anchorId="000FFC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Cell morph" style="width:481.8pt;height:378.6pt;mso-width-percent:0;mso-height-percent:0;mso-width-percent:0;mso-height-percent:0">
            <v:imagedata r:id="rId14" o:title="Cell morph"/>
          </v:shape>
        </w:pict>
      </w:r>
    </w:p>
    <w:p w14:paraId="55BDC452" w14:textId="26E10F98" w:rsidR="00E2412D" w:rsidRDefault="007C0369" w:rsidP="00253370">
      <w:pPr>
        <w:pStyle w:val="BodyB"/>
        <w:keepNext w:val="0"/>
        <w:widowControl w:val="0"/>
        <w:suppressAutoHyphens w:val="0"/>
        <w:spacing w:line="480" w:lineRule="auto"/>
        <w:jc w:val="both"/>
        <w:rPr>
          <w:i/>
          <w:iCs/>
          <w:kern w:val="24"/>
          <w:sz w:val="20"/>
          <w:szCs w:val="20"/>
          <w:lang w:val="en-US"/>
        </w:rPr>
      </w:pPr>
      <w:r w:rsidRPr="007C0369">
        <w:rPr>
          <w:i/>
          <w:iCs/>
          <w:kern w:val="24"/>
          <w:sz w:val="20"/>
          <w:szCs w:val="20"/>
          <w:lang w:val="en-US"/>
        </w:rPr>
        <w:t xml:space="preserve"> </w:t>
      </w:r>
      <w:r>
        <w:rPr>
          <w:i/>
          <w:iCs/>
          <w:kern w:val="24"/>
          <w:sz w:val="20"/>
          <w:szCs w:val="20"/>
          <w:lang w:val="en-US"/>
        </w:rPr>
        <w:t xml:space="preserve">Figure </w:t>
      </w:r>
      <w:proofErr w:type="spellStart"/>
      <w:r>
        <w:rPr>
          <w:i/>
          <w:iCs/>
          <w:kern w:val="24"/>
          <w:sz w:val="20"/>
          <w:szCs w:val="20"/>
          <w:lang w:val="en-US"/>
        </w:rPr>
        <w:t>7A</w:t>
      </w:r>
      <w:proofErr w:type="spellEnd"/>
      <w:r>
        <w:rPr>
          <w:i/>
          <w:iCs/>
          <w:kern w:val="24"/>
          <w:sz w:val="20"/>
          <w:szCs w:val="20"/>
          <w:lang w:val="en-US"/>
        </w:rPr>
        <w:t xml:space="preserve"> Representative images of adherent </w:t>
      </w:r>
      <w:proofErr w:type="spellStart"/>
      <w:r>
        <w:rPr>
          <w:i/>
          <w:iCs/>
          <w:kern w:val="24"/>
          <w:sz w:val="20"/>
          <w:szCs w:val="20"/>
          <w:lang w:val="en-US"/>
        </w:rPr>
        <w:t>MC3T3</w:t>
      </w:r>
      <w:proofErr w:type="spellEnd"/>
      <w:r>
        <w:rPr>
          <w:i/>
          <w:iCs/>
          <w:kern w:val="24"/>
          <w:sz w:val="20"/>
          <w:szCs w:val="20"/>
          <w:lang w:val="en-US"/>
        </w:rPr>
        <w:t xml:space="preserve"> cells after </w:t>
      </w:r>
      <w:proofErr w:type="spellStart"/>
      <w:r>
        <w:rPr>
          <w:i/>
          <w:iCs/>
          <w:kern w:val="24"/>
          <w:sz w:val="20"/>
          <w:szCs w:val="20"/>
          <w:lang w:val="en-US"/>
        </w:rPr>
        <w:t>24h</w:t>
      </w:r>
      <w:proofErr w:type="spellEnd"/>
      <w:r>
        <w:rPr>
          <w:i/>
          <w:iCs/>
          <w:kern w:val="24"/>
          <w:sz w:val="20"/>
          <w:szCs w:val="20"/>
          <w:lang w:val="en-US"/>
        </w:rPr>
        <w:t xml:space="preserve"> from seeding. Fig </w:t>
      </w:r>
      <w:proofErr w:type="spellStart"/>
      <w:r>
        <w:rPr>
          <w:i/>
          <w:iCs/>
          <w:kern w:val="24"/>
          <w:sz w:val="20"/>
          <w:szCs w:val="20"/>
          <w:lang w:val="en-US"/>
        </w:rPr>
        <w:t>7B</w:t>
      </w:r>
      <w:proofErr w:type="spellEnd"/>
      <w:r>
        <w:rPr>
          <w:i/>
          <w:iCs/>
          <w:kern w:val="24"/>
          <w:sz w:val="20"/>
          <w:szCs w:val="20"/>
          <w:lang w:val="en-US"/>
        </w:rPr>
        <w:t xml:space="preserve"> Cell intera</w:t>
      </w:r>
      <w:r w:rsidR="00253370">
        <w:rPr>
          <w:i/>
          <w:iCs/>
          <w:kern w:val="24"/>
          <w:sz w:val="20"/>
          <w:szCs w:val="20"/>
          <w:lang w:val="en-US"/>
        </w:rPr>
        <w:t>ctions measured on filopo</w:t>
      </w:r>
      <w:r w:rsidR="00E46EC6">
        <w:rPr>
          <w:i/>
          <w:iCs/>
          <w:kern w:val="24"/>
          <w:sz w:val="20"/>
          <w:szCs w:val="20"/>
          <w:lang w:val="en-US"/>
        </w:rPr>
        <w:t xml:space="preserve">dia. </w:t>
      </w:r>
      <w:proofErr w:type="spellStart"/>
      <w:r w:rsidR="00E46EC6">
        <w:rPr>
          <w:i/>
          <w:iCs/>
          <w:kern w:val="24"/>
          <w:sz w:val="20"/>
          <w:szCs w:val="20"/>
          <w:lang w:val="en-US"/>
        </w:rPr>
        <w:t>7C</w:t>
      </w:r>
      <w:proofErr w:type="spellEnd"/>
      <w:r w:rsidR="00E07E2C">
        <w:rPr>
          <w:i/>
          <w:iCs/>
          <w:kern w:val="24"/>
          <w:sz w:val="20"/>
          <w:szCs w:val="20"/>
          <w:lang w:val="en-US"/>
        </w:rPr>
        <w:t>. Cell proliferation</w:t>
      </w:r>
      <w:r w:rsidRPr="0059707D">
        <w:rPr>
          <w:i/>
          <w:iCs/>
          <w:kern w:val="24"/>
          <w:sz w:val="20"/>
          <w:szCs w:val="20"/>
          <w:lang w:val="en-US"/>
        </w:rPr>
        <w:t xml:space="preserve"> of </w:t>
      </w:r>
      <w:proofErr w:type="spellStart"/>
      <w:r w:rsidRPr="0059707D">
        <w:rPr>
          <w:i/>
          <w:iCs/>
          <w:kern w:val="24"/>
          <w:sz w:val="20"/>
          <w:szCs w:val="20"/>
          <w:lang w:val="en-US"/>
        </w:rPr>
        <w:t>MC3T3</w:t>
      </w:r>
      <w:proofErr w:type="spellEnd"/>
      <w:r w:rsidRPr="0059707D">
        <w:rPr>
          <w:i/>
          <w:iCs/>
          <w:kern w:val="24"/>
          <w:sz w:val="20"/>
          <w:szCs w:val="20"/>
          <w:lang w:val="en-US"/>
        </w:rPr>
        <w:t xml:space="preserve"> performed through </w:t>
      </w:r>
      <w:proofErr w:type="spellStart"/>
      <w:r w:rsidRPr="0059707D">
        <w:rPr>
          <w:i/>
          <w:iCs/>
          <w:kern w:val="24"/>
          <w:sz w:val="20"/>
          <w:szCs w:val="20"/>
          <w:lang w:val="en-US"/>
        </w:rPr>
        <w:t>CellTiter-glo</w:t>
      </w:r>
      <w:proofErr w:type="spellEnd"/>
      <w:r w:rsidRPr="0059707D">
        <w:rPr>
          <w:i/>
          <w:iCs/>
          <w:kern w:val="24"/>
          <w:sz w:val="20"/>
          <w:szCs w:val="20"/>
          <w:lang w:val="en-US"/>
        </w:rPr>
        <w:t xml:space="preserve"> luminescent assay is shown. Data are</w:t>
      </w:r>
      <w:r w:rsidR="00E07E2C">
        <w:rPr>
          <w:i/>
          <w:iCs/>
          <w:kern w:val="24"/>
          <w:sz w:val="20"/>
          <w:szCs w:val="20"/>
          <w:lang w:val="en-US"/>
        </w:rPr>
        <w:t xml:space="preserve"> </w:t>
      </w:r>
      <w:r w:rsidRPr="0059707D">
        <w:rPr>
          <w:i/>
          <w:iCs/>
          <w:kern w:val="24"/>
          <w:sz w:val="20"/>
          <w:szCs w:val="20"/>
          <w:lang w:val="en-US"/>
        </w:rPr>
        <w:t>expressed as Relative</w:t>
      </w:r>
      <w:r w:rsidRPr="0059707D">
        <w:rPr>
          <w:i/>
          <w:kern w:val="24"/>
          <w:sz w:val="20"/>
          <w:szCs w:val="20"/>
          <w:lang w:val="en-US"/>
        </w:rPr>
        <w:t xml:space="preserve"> Luminescent Unit (</w:t>
      </w:r>
      <w:proofErr w:type="spellStart"/>
      <w:r w:rsidRPr="0059707D">
        <w:rPr>
          <w:i/>
          <w:kern w:val="24"/>
          <w:sz w:val="20"/>
          <w:szCs w:val="20"/>
          <w:lang w:val="en-US"/>
        </w:rPr>
        <w:t>RLU</w:t>
      </w:r>
      <w:proofErr w:type="spellEnd"/>
      <w:r w:rsidRPr="0059707D">
        <w:rPr>
          <w:i/>
          <w:kern w:val="24"/>
          <w:sz w:val="20"/>
          <w:szCs w:val="20"/>
          <w:lang w:val="en-US"/>
        </w:rPr>
        <w:t>) as measured at 24 h after seeding. Values represent mean ± SEM; the symbol (*) indicates a statistically si</w:t>
      </w:r>
      <w:r w:rsidRPr="0059707D">
        <w:rPr>
          <w:i/>
          <w:iCs/>
          <w:kern w:val="24"/>
          <w:sz w:val="20"/>
          <w:szCs w:val="20"/>
          <w:lang w:val="en-US"/>
        </w:rPr>
        <w:t xml:space="preserve">gnificant difference versus </w:t>
      </w:r>
      <w:r w:rsidRPr="0059707D">
        <w:rPr>
          <w:i/>
          <w:iCs/>
          <w:color w:val="00000A"/>
          <w:kern w:val="24"/>
          <w:sz w:val="20"/>
          <w:szCs w:val="20"/>
          <w:lang w:val="en-US"/>
        </w:rPr>
        <w:t xml:space="preserve">machined </w:t>
      </w:r>
      <w:proofErr w:type="spellStart"/>
      <w:r w:rsidRPr="0059707D">
        <w:rPr>
          <w:i/>
          <w:iCs/>
          <w:color w:val="00000A"/>
          <w:kern w:val="24"/>
          <w:sz w:val="20"/>
          <w:szCs w:val="20"/>
          <w:lang w:val="en-US"/>
        </w:rPr>
        <w:t>Ti</w:t>
      </w:r>
      <w:proofErr w:type="spellEnd"/>
      <w:r w:rsidRPr="0059707D">
        <w:rPr>
          <w:i/>
          <w:iCs/>
          <w:color w:val="00000A"/>
          <w:kern w:val="24"/>
          <w:sz w:val="20"/>
          <w:szCs w:val="20"/>
          <w:lang w:val="en-US"/>
        </w:rPr>
        <w:t xml:space="preserve"> sample</w:t>
      </w:r>
      <w:r w:rsidRPr="0059707D">
        <w:rPr>
          <w:i/>
          <w:iCs/>
          <w:kern w:val="24"/>
          <w:sz w:val="20"/>
          <w:szCs w:val="20"/>
          <w:lang w:val="en-US"/>
        </w:rPr>
        <w:t xml:space="preserve"> (Mac), considering a p-value &lt; 0.05.</w:t>
      </w:r>
    </w:p>
    <w:p w14:paraId="6C2157C7" w14:textId="77777777" w:rsidR="00E2412D" w:rsidRDefault="00673E5C">
      <w:pPr>
        <w:keepNext w:val="0"/>
      </w:pPr>
      <w:r>
        <w:rPr>
          <w:i/>
          <w:iCs/>
          <w:kern w:val="24"/>
          <w:sz w:val="20"/>
          <w:szCs w:val="20"/>
        </w:rPr>
        <w:br w:type="page"/>
      </w:r>
    </w:p>
    <w:p w14:paraId="3C600B11" w14:textId="431BFF35" w:rsidR="00E2412D" w:rsidRPr="00843E05" w:rsidRDefault="00673E5C">
      <w:pPr>
        <w:pStyle w:val="BodyB"/>
        <w:keepNext w:val="0"/>
        <w:widowControl w:val="0"/>
        <w:suppressAutoHyphens w:val="0"/>
        <w:spacing w:line="480" w:lineRule="auto"/>
        <w:jc w:val="both"/>
        <w:rPr>
          <w:b/>
          <w:bCs/>
          <w:i/>
          <w:iCs/>
          <w:sz w:val="22"/>
          <w:szCs w:val="22"/>
          <w:lang w:val="en-US"/>
        </w:rPr>
      </w:pPr>
      <w:r w:rsidRPr="00843E05">
        <w:rPr>
          <w:i/>
          <w:iCs/>
          <w:sz w:val="22"/>
          <w:szCs w:val="22"/>
          <w:lang w:val="en-GB"/>
        </w:rPr>
        <w:lastRenderedPageBreak/>
        <w:t>3.3.3</w:t>
      </w:r>
      <w:r w:rsidRPr="00843E05">
        <w:rPr>
          <w:i/>
          <w:iCs/>
          <w:kern w:val="24"/>
          <w:sz w:val="22"/>
          <w:szCs w:val="22"/>
          <w:lang w:val="en-GB"/>
        </w:rPr>
        <w:t xml:space="preserve"> </w:t>
      </w:r>
      <w:r w:rsidRPr="00843E05">
        <w:rPr>
          <w:b/>
          <w:bCs/>
          <w:i/>
          <w:iCs/>
          <w:sz w:val="22"/>
          <w:szCs w:val="22"/>
          <w:lang w:val="en-US"/>
        </w:rPr>
        <w:t>Role of fibronectin receptor integrin alpha 5 beta 1 in cell adhesion</w:t>
      </w:r>
    </w:p>
    <w:p w14:paraId="1B3BEEE3" w14:textId="59DF7DB8" w:rsidR="00B253FC" w:rsidRPr="00843E05" w:rsidRDefault="00253370">
      <w:pPr>
        <w:pStyle w:val="BodyB"/>
        <w:keepNext w:val="0"/>
        <w:widowControl w:val="0"/>
        <w:suppressAutoHyphens w:val="0"/>
        <w:spacing w:line="480" w:lineRule="auto"/>
        <w:jc w:val="both"/>
        <w:rPr>
          <w:color w:val="auto"/>
          <w:sz w:val="22"/>
          <w:szCs w:val="22"/>
          <w:lang w:val="en-US"/>
        </w:rPr>
      </w:pPr>
      <w:r w:rsidRPr="00843E05">
        <w:rPr>
          <w:sz w:val="22"/>
          <w:szCs w:val="22"/>
          <w:lang w:val="en-US"/>
        </w:rPr>
        <w:t xml:space="preserve">As </w:t>
      </w:r>
      <w:r w:rsidR="00E07E2C">
        <w:rPr>
          <w:color w:val="auto"/>
          <w:sz w:val="22"/>
          <w:szCs w:val="22"/>
          <w:lang w:val="en-US"/>
        </w:rPr>
        <w:t>depicted in Fig. 8,</w:t>
      </w:r>
      <w:r w:rsidRPr="00843E05">
        <w:rPr>
          <w:sz w:val="22"/>
          <w:szCs w:val="22"/>
          <w:lang w:val="en-US"/>
        </w:rPr>
        <w:t xml:space="preserve"> </w:t>
      </w:r>
      <w:proofErr w:type="spellStart"/>
      <w:r w:rsidRPr="00843E05">
        <w:rPr>
          <w:sz w:val="22"/>
          <w:szCs w:val="22"/>
          <w:lang w:val="en-US"/>
        </w:rPr>
        <w:t>MC3T3</w:t>
      </w:r>
      <w:proofErr w:type="spellEnd"/>
      <w:r w:rsidRPr="00843E05">
        <w:rPr>
          <w:sz w:val="22"/>
          <w:szCs w:val="22"/>
          <w:lang w:val="en-US"/>
        </w:rPr>
        <w:t xml:space="preserve"> c</w:t>
      </w:r>
      <w:r w:rsidR="00E07E2C">
        <w:rPr>
          <w:sz w:val="22"/>
          <w:szCs w:val="22"/>
          <w:lang w:val="en-US"/>
        </w:rPr>
        <w:t xml:space="preserve">ells adherent on AE and </w:t>
      </w:r>
      <w:proofErr w:type="spellStart"/>
      <w:r w:rsidR="00E07E2C">
        <w:rPr>
          <w:sz w:val="22"/>
          <w:szCs w:val="22"/>
          <w:lang w:val="en-US"/>
        </w:rPr>
        <w:t>GBAE</w:t>
      </w:r>
      <w:proofErr w:type="spellEnd"/>
      <w:r w:rsidR="00E07E2C">
        <w:rPr>
          <w:sz w:val="22"/>
          <w:szCs w:val="22"/>
          <w:lang w:val="en-US"/>
        </w:rPr>
        <w:t xml:space="preserve"> were</w:t>
      </w:r>
      <w:r w:rsidRPr="00843E05">
        <w:rPr>
          <w:sz w:val="22"/>
          <w:szCs w:val="22"/>
          <w:lang w:val="en-US"/>
        </w:rPr>
        <w:t xml:space="preserve"> almost two-fold compared to MAC and GB</w:t>
      </w:r>
      <w:r w:rsidR="000859D4">
        <w:rPr>
          <w:sz w:val="22"/>
          <w:szCs w:val="22"/>
          <w:lang w:val="en-US"/>
        </w:rPr>
        <w:t xml:space="preserve"> when observed at 10’ seeding</w:t>
      </w:r>
      <w:r w:rsidRPr="00843E05">
        <w:rPr>
          <w:sz w:val="22"/>
          <w:szCs w:val="22"/>
          <w:lang w:val="en-US"/>
        </w:rPr>
        <w:t xml:space="preserve">. </w:t>
      </w:r>
      <w:r w:rsidR="007C0369" w:rsidRPr="00843E05">
        <w:rPr>
          <w:sz w:val="22"/>
          <w:szCs w:val="22"/>
          <w:lang w:val="en-US"/>
        </w:rPr>
        <w:t>In</w:t>
      </w:r>
      <w:r w:rsidR="00B253FC" w:rsidRPr="00843E05">
        <w:rPr>
          <w:sz w:val="22"/>
          <w:szCs w:val="22"/>
          <w:lang w:val="en-US"/>
        </w:rPr>
        <w:t xml:space="preserve"> a subsequent rescue experiment (Fig. </w:t>
      </w:r>
      <w:proofErr w:type="spellStart"/>
      <w:r w:rsidR="00B253FC" w:rsidRPr="00843E05">
        <w:rPr>
          <w:sz w:val="22"/>
          <w:szCs w:val="22"/>
          <w:lang w:val="en-US"/>
        </w:rPr>
        <w:t>8A</w:t>
      </w:r>
      <w:proofErr w:type="spellEnd"/>
      <w:r w:rsidR="00B253FC" w:rsidRPr="00843E05">
        <w:rPr>
          <w:sz w:val="22"/>
          <w:szCs w:val="22"/>
          <w:lang w:val="en-US"/>
        </w:rPr>
        <w:t>),</w:t>
      </w:r>
      <w:r w:rsidR="007C0369" w:rsidRPr="00843E05">
        <w:rPr>
          <w:sz w:val="22"/>
          <w:szCs w:val="22"/>
          <w:lang w:val="en-US"/>
        </w:rPr>
        <w:t xml:space="preserve"> cell adhesion was repeated on samples previously coated with oversaturating fibronectin</w:t>
      </w:r>
      <w:r w:rsidR="00E83E83" w:rsidRPr="00843E05">
        <w:rPr>
          <w:sz w:val="22"/>
          <w:szCs w:val="22"/>
          <w:lang w:val="en-US"/>
        </w:rPr>
        <w:t xml:space="preserve"> (F</w:t>
      </w:r>
      <w:r w:rsidR="000859D4">
        <w:rPr>
          <w:sz w:val="22"/>
          <w:szCs w:val="22"/>
          <w:lang w:val="en-US"/>
        </w:rPr>
        <w:t xml:space="preserve">N; </w:t>
      </w:r>
      <w:r w:rsidR="007C0369" w:rsidRPr="00843E05">
        <w:rPr>
          <w:sz w:val="22"/>
          <w:szCs w:val="22"/>
          <w:lang w:val="en-US"/>
        </w:rPr>
        <w:t>10</w:t>
      </w:r>
      <w:r w:rsidR="000859D4">
        <w:rPr>
          <w:sz w:val="22"/>
          <w:szCs w:val="22"/>
          <w:lang w:val="en-US"/>
        </w:rPr>
        <w:t xml:space="preserve"> </w:t>
      </w:r>
      <w:r w:rsidR="000859D4" w:rsidRPr="00EE4159">
        <w:rPr>
          <w:rFonts w:ascii="Symbol" w:hAnsi="Symbol"/>
          <w:sz w:val="22"/>
          <w:szCs w:val="22"/>
          <w:lang w:val="en-US"/>
        </w:rPr>
        <w:t></w:t>
      </w:r>
      <w:r w:rsidR="000859D4" w:rsidRPr="00843E05">
        <w:rPr>
          <w:sz w:val="22"/>
          <w:szCs w:val="22"/>
          <w:lang w:val="en-US"/>
        </w:rPr>
        <w:t>g</w:t>
      </w:r>
      <w:r w:rsidR="007C0369" w:rsidRPr="00843E05">
        <w:rPr>
          <w:sz w:val="22"/>
          <w:szCs w:val="22"/>
          <w:lang w:val="en-US"/>
        </w:rPr>
        <w:t>/</w:t>
      </w:r>
      <w:r w:rsidR="007C0369" w:rsidRPr="00843E05">
        <w:rPr>
          <w:color w:val="auto"/>
          <w:sz w:val="22"/>
          <w:szCs w:val="22"/>
          <w:lang w:val="en-US"/>
        </w:rPr>
        <w:t>ml</w:t>
      </w:r>
      <w:r w:rsidR="000859D4">
        <w:rPr>
          <w:color w:val="auto"/>
          <w:sz w:val="22"/>
          <w:szCs w:val="22"/>
          <w:lang w:val="en-US"/>
        </w:rPr>
        <w:t>)</w:t>
      </w:r>
      <w:r w:rsidR="007C0369" w:rsidRPr="00843E05">
        <w:rPr>
          <w:color w:val="auto"/>
          <w:sz w:val="22"/>
          <w:szCs w:val="22"/>
          <w:lang w:val="en-US"/>
        </w:rPr>
        <w:t xml:space="preserve"> leading </w:t>
      </w:r>
      <w:r w:rsidR="007C0369" w:rsidRPr="00843E05">
        <w:rPr>
          <w:sz w:val="22"/>
          <w:szCs w:val="22"/>
          <w:lang w:val="en-US"/>
        </w:rPr>
        <w:t xml:space="preserve">to the complete </w:t>
      </w:r>
      <w:r w:rsidR="000859D4">
        <w:rPr>
          <w:sz w:val="22"/>
          <w:szCs w:val="22"/>
          <w:lang w:val="en-US"/>
        </w:rPr>
        <w:t>abolition</w:t>
      </w:r>
      <w:r w:rsidR="000859D4" w:rsidRPr="00843E05">
        <w:rPr>
          <w:sz w:val="22"/>
          <w:szCs w:val="22"/>
          <w:lang w:val="en-US"/>
        </w:rPr>
        <w:t xml:space="preserve"> </w:t>
      </w:r>
      <w:r w:rsidR="007C0369" w:rsidRPr="00843E05">
        <w:rPr>
          <w:sz w:val="22"/>
          <w:szCs w:val="22"/>
          <w:lang w:val="en-US"/>
        </w:rPr>
        <w:t xml:space="preserve">of the </w:t>
      </w:r>
      <w:r w:rsidR="00B253FC" w:rsidRPr="00843E05">
        <w:rPr>
          <w:sz w:val="22"/>
          <w:szCs w:val="22"/>
          <w:lang w:val="en-US"/>
        </w:rPr>
        <w:t>differential adhesion described above</w:t>
      </w:r>
      <w:r w:rsidR="007C0369" w:rsidRPr="00843E05">
        <w:rPr>
          <w:color w:val="auto"/>
          <w:sz w:val="22"/>
          <w:szCs w:val="22"/>
          <w:lang w:val="en-US"/>
        </w:rPr>
        <w:t xml:space="preserve">. </w:t>
      </w:r>
      <w:r w:rsidR="00464F79" w:rsidRPr="00843E05">
        <w:rPr>
          <w:color w:val="auto"/>
          <w:sz w:val="22"/>
          <w:szCs w:val="22"/>
          <w:lang w:val="en-US"/>
        </w:rPr>
        <w:t xml:space="preserve">Interestingly, fibronectin coating significantly </w:t>
      </w:r>
      <w:r w:rsidR="000859D4">
        <w:rPr>
          <w:color w:val="auto"/>
          <w:sz w:val="22"/>
          <w:szCs w:val="22"/>
          <w:lang w:val="en-US"/>
        </w:rPr>
        <w:t>enhanced</w:t>
      </w:r>
      <w:r w:rsidR="000859D4" w:rsidRPr="00843E05">
        <w:rPr>
          <w:color w:val="auto"/>
          <w:sz w:val="22"/>
          <w:szCs w:val="22"/>
          <w:lang w:val="en-US"/>
        </w:rPr>
        <w:t xml:space="preserve"> </w:t>
      </w:r>
      <w:r w:rsidR="00464F79" w:rsidRPr="00843E05">
        <w:rPr>
          <w:color w:val="auto"/>
          <w:sz w:val="22"/>
          <w:szCs w:val="22"/>
          <w:lang w:val="en-US"/>
        </w:rPr>
        <w:t xml:space="preserve">cell adhesion in MAC and GB samples as compared to uncoated surfaces (Fig </w:t>
      </w:r>
      <w:proofErr w:type="spellStart"/>
      <w:r w:rsidR="00B253FC" w:rsidRPr="00843E05">
        <w:rPr>
          <w:color w:val="auto"/>
          <w:sz w:val="22"/>
          <w:szCs w:val="22"/>
          <w:lang w:val="en-US"/>
        </w:rPr>
        <w:t>8A</w:t>
      </w:r>
      <w:proofErr w:type="spellEnd"/>
      <w:r w:rsidR="00B253FC" w:rsidRPr="00843E05">
        <w:rPr>
          <w:color w:val="auto"/>
          <w:sz w:val="22"/>
          <w:szCs w:val="22"/>
          <w:lang w:val="en-US"/>
        </w:rPr>
        <w:t>)</w:t>
      </w:r>
      <w:r w:rsidR="00E07E2C">
        <w:rPr>
          <w:color w:val="auto"/>
          <w:sz w:val="22"/>
          <w:szCs w:val="22"/>
          <w:lang w:val="en-US"/>
        </w:rPr>
        <w:t xml:space="preserve"> suggesting an involvement of α5</w:t>
      </w:r>
      <w:r w:rsidR="00B253FC" w:rsidRPr="00843E05">
        <w:rPr>
          <w:color w:val="auto"/>
          <w:sz w:val="22"/>
          <w:szCs w:val="22"/>
          <w:lang w:val="en-US"/>
        </w:rPr>
        <w:t>β</w:t>
      </w:r>
      <w:r w:rsidR="00464F79" w:rsidRPr="00843E05">
        <w:rPr>
          <w:color w:val="auto"/>
          <w:sz w:val="22"/>
          <w:szCs w:val="22"/>
          <w:lang w:val="en-US"/>
        </w:rPr>
        <w:t>1 integ</w:t>
      </w:r>
      <w:r w:rsidR="00B253FC" w:rsidRPr="00843E05">
        <w:rPr>
          <w:color w:val="auto"/>
          <w:sz w:val="22"/>
          <w:szCs w:val="22"/>
          <w:lang w:val="en-US"/>
        </w:rPr>
        <w:t xml:space="preserve">rin. Surprisingly, </w:t>
      </w:r>
      <w:r w:rsidR="00464F79" w:rsidRPr="00843E05">
        <w:rPr>
          <w:color w:val="auto"/>
          <w:sz w:val="22"/>
          <w:szCs w:val="22"/>
          <w:lang w:val="en-US"/>
        </w:rPr>
        <w:t>no signif</w:t>
      </w:r>
      <w:r w:rsidR="00227026" w:rsidRPr="00843E05">
        <w:rPr>
          <w:color w:val="auto"/>
          <w:sz w:val="22"/>
          <w:szCs w:val="22"/>
          <w:lang w:val="en-US"/>
        </w:rPr>
        <w:t>ic</w:t>
      </w:r>
      <w:r w:rsidR="00464F79" w:rsidRPr="00843E05">
        <w:rPr>
          <w:color w:val="auto"/>
          <w:sz w:val="22"/>
          <w:szCs w:val="22"/>
          <w:lang w:val="en-US"/>
        </w:rPr>
        <w:t xml:space="preserve">ant difference </w:t>
      </w:r>
      <w:r w:rsidR="00227026" w:rsidRPr="00843E05">
        <w:rPr>
          <w:color w:val="auto"/>
          <w:sz w:val="22"/>
          <w:szCs w:val="22"/>
          <w:lang w:val="en-US"/>
        </w:rPr>
        <w:t>was</w:t>
      </w:r>
      <w:r w:rsidR="00464F79" w:rsidRPr="00843E05">
        <w:rPr>
          <w:color w:val="auto"/>
          <w:sz w:val="22"/>
          <w:szCs w:val="22"/>
          <w:lang w:val="en-US"/>
        </w:rPr>
        <w:t xml:space="preserve"> detected in AE and </w:t>
      </w:r>
      <w:proofErr w:type="spellStart"/>
      <w:r w:rsidR="00464F79" w:rsidRPr="00843E05">
        <w:rPr>
          <w:color w:val="auto"/>
          <w:sz w:val="22"/>
          <w:szCs w:val="22"/>
          <w:lang w:val="en-US"/>
        </w:rPr>
        <w:t>GBAE</w:t>
      </w:r>
      <w:proofErr w:type="spellEnd"/>
      <w:r w:rsidR="00464F79" w:rsidRPr="00843E05">
        <w:rPr>
          <w:color w:val="auto"/>
          <w:sz w:val="22"/>
          <w:szCs w:val="22"/>
          <w:lang w:val="en-US"/>
        </w:rPr>
        <w:t xml:space="preserve"> surfaces. </w:t>
      </w:r>
    </w:p>
    <w:p w14:paraId="4B955A26" w14:textId="23236D14" w:rsidR="00E2412D" w:rsidRPr="007E0849" w:rsidRDefault="009A62A8">
      <w:pPr>
        <w:pStyle w:val="BodyB"/>
        <w:keepNext w:val="0"/>
        <w:widowControl w:val="0"/>
        <w:suppressAutoHyphens w:val="0"/>
        <w:spacing w:line="480" w:lineRule="auto"/>
        <w:jc w:val="both"/>
        <w:rPr>
          <w:color w:val="FF0000"/>
          <w:sz w:val="22"/>
          <w:szCs w:val="22"/>
          <w:lang w:val="en-US"/>
        </w:rPr>
      </w:pPr>
      <w:r>
        <w:rPr>
          <w:color w:val="auto"/>
          <w:sz w:val="22"/>
          <w:szCs w:val="22"/>
          <w:lang w:val="en-US"/>
        </w:rPr>
        <w:t>In order to provide direct evidence for</w:t>
      </w:r>
      <w:r w:rsidR="007C0369" w:rsidRPr="00843E05">
        <w:rPr>
          <w:color w:val="auto"/>
          <w:sz w:val="22"/>
          <w:szCs w:val="22"/>
          <w:lang w:val="en-US"/>
        </w:rPr>
        <w:t xml:space="preserve"> the involvement of β1-integrin in the differential response to surface topographies, we performed adhesion assays </w:t>
      </w:r>
      <w:r w:rsidR="00E07E2C">
        <w:rPr>
          <w:color w:val="auto"/>
          <w:sz w:val="22"/>
          <w:szCs w:val="22"/>
          <w:lang w:val="en-US"/>
        </w:rPr>
        <w:t xml:space="preserve">on </w:t>
      </w:r>
      <w:proofErr w:type="spellStart"/>
      <w:r w:rsidR="00E07E2C">
        <w:rPr>
          <w:color w:val="auto"/>
          <w:sz w:val="22"/>
          <w:szCs w:val="22"/>
          <w:lang w:val="en-US"/>
        </w:rPr>
        <w:t>0.</w:t>
      </w:r>
      <w:r w:rsidR="00B253FC" w:rsidRPr="00843E05">
        <w:rPr>
          <w:color w:val="auto"/>
          <w:sz w:val="22"/>
          <w:szCs w:val="22"/>
          <w:lang w:val="en-US"/>
        </w:rPr>
        <w:t>5µg</w:t>
      </w:r>
      <w:proofErr w:type="spellEnd"/>
      <w:r w:rsidR="00B253FC" w:rsidRPr="00843E05">
        <w:rPr>
          <w:color w:val="auto"/>
          <w:sz w:val="22"/>
          <w:szCs w:val="22"/>
          <w:lang w:val="en-US"/>
        </w:rPr>
        <w:t xml:space="preserve">/ml FN coated titanium samples </w:t>
      </w:r>
      <w:r w:rsidR="00E83E83" w:rsidRPr="00843E05">
        <w:rPr>
          <w:color w:val="auto"/>
          <w:sz w:val="22"/>
          <w:szCs w:val="22"/>
          <w:lang w:val="en-US"/>
        </w:rPr>
        <w:t>preincubating cells with</w:t>
      </w:r>
      <w:r w:rsidR="007C0369" w:rsidRPr="00843E05">
        <w:rPr>
          <w:color w:val="auto"/>
          <w:sz w:val="22"/>
          <w:szCs w:val="22"/>
          <w:lang w:val="en-US"/>
        </w:rPr>
        <w:t xml:space="preserve"> the β1-integrin antibody </w:t>
      </w:r>
      <w:proofErr w:type="spellStart"/>
      <w:r w:rsidR="007C0369" w:rsidRPr="00843E05">
        <w:rPr>
          <w:color w:val="auto"/>
          <w:sz w:val="22"/>
          <w:szCs w:val="22"/>
          <w:lang w:val="en-US"/>
        </w:rPr>
        <w:t>9EG7</w:t>
      </w:r>
      <w:proofErr w:type="spellEnd"/>
      <w:r w:rsidR="007C0369" w:rsidRPr="00843E05">
        <w:rPr>
          <w:color w:val="auto"/>
          <w:sz w:val="22"/>
          <w:szCs w:val="22"/>
          <w:lang w:val="en-US"/>
        </w:rPr>
        <w:t xml:space="preserve"> </w:t>
      </w:r>
      <w:r w:rsidR="00B253FC" w:rsidRPr="00843E05">
        <w:rPr>
          <w:color w:val="auto"/>
          <w:sz w:val="22"/>
          <w:szCs w:val="22"/>
          <w:lang w:val="en-US"/>
        </w:rPr>
        <w:t xml:space="preserve">with </w:t>
      </w:r>
      <w:proofErr w:type="spellStart"/>
      <w:r w:rsidR="00B253FC" w:rsidRPr="00843E05">
        <w:rPr>
          <w:color w:val="auto"/>
          <w:sz w:val="22"/>
          <w:szCs w:val="22"/>
          <w:lang w:val="en-US"/>
        </w:rPr>
        <w:t>Mn</w:t>
      </w:r>
      <w:r w:rsidR="00B253FC" w:rsidRPr="00843E05">
        <w:rPr>
          <w:color w:val="auto"/>
          <w:sz w:val="22"/>
          <w:szCs w:val="22"/>
          <w:vertAlign w:val="superscript"/>
          <w:lang w:val="en-US"/>
        </w:rPr>
        <w:t>2</w:t>
      </w:r>
      <w:proofErr w:type="spellEnd"/>
      <w:r w:rsidR="00B253FC" w:rsidRPr="00843E05">
        <w:rPr>
          <w:color w:val="auto"/>
          <w:sz w:val="22"/>
          <w:szCs w:val="22"/>
          <w:vertAlign w:val="superscript"/>
          <w:lang w:val="en-US"/>
        </w:rPr>
        <w:t>+</w:t>
      </w:r>
      <w:r w:rsidR="00B253FC" w:rsidRPr="00843E05">
        <w:rPr>
          <w:color w:val="auto"/>
          <w:sz w:val="22"/>
          <w:szCs w:val="22"/>
          <w:lang w:val="en-US"/>
        </w:rPr>
        <w:t xml:space="preserve"> </w:t>
      </w:r>
      <w:r w:rsidR="007C0369" w:rsidRPr="00843E05">
        <w:rPr>
          <w:color w:val="auto"/>
          <w:sz w:val="22"/>
          <w:szCs w:val="22"/>
          <w:lang w:val="en-US"/>
        </w:rPr>
        <w:t xml:space="preserve">that </w:t>
      </w:r>
      <w:r w:rsidR="00B253FC" w:rsidRPr="00843E05">
        <w:rPr>
          <w:color w:val="auto"/>
          <w:sz w:val="22"/>
          <w:szCs w:val="22"/>
          <w:lang w:val="en-US"/>
        </w:rPr>
        <w:t xml:space="preserve">binds and </w:t>
      </w:r>
      <w:r w:rsidR="007C0369" w:rsidRPr="00843E05">
        <w:rPr>
          <w:color w:val="auto"/>
          <w:sz w:val="22"/>
          <w:szCs w:val="22"/>
          <w:lang w:val="en-US"/>
        </w:rPr>
        <w:t>stabilizes active β1-integrins</w:t>
      </w:r>
      <w:r w:rsidR="004678EE" w:rsidRPr="00843E05">
        <w:rPr>
          <w:color w:val="auto"/>
          <w:sz w:val="22"/>
          <w:szCs w:val="22"/>
          <w:lang w:val="en-US"/>
        </w:rPr>
        <w:t xml:space="preserve"> </w:t>
      </w:r>
      <w:r w:rsidR="004678EE" w:rsidRPr="00843E05">
        <w:rPr>
          <w:color w:val="auto"/>
          <w:sz w:val="22"/>
          <w:szCs w:val="22"/>
          <w:lang w:val="en-US"/>
        </w:rPr>
        <w:fldChar w:fldCharType="begin" w:fldLock="1"/>
      </w:r>
      <w:r w:rsidR="00296F38">
        <w:rPr>
          <w:color w:val="auto"/>
          <w:sz w:val="22"/>
          <w:szCs w:val="22"/>
          <w:lang w:val="en-US"/>
        </w:rPr>
        <w:instrText>ADDIN CSL_CITATION { "citationItems" : [ { "id" : "ITEM-1", "itemData" : { "DOI" : "10.1073/pnas.90.19.9051", "ISSN" : "0027-8424", "PMID" : "7692444", "abstract" : "We have generated a monoclonal antibody (mAb), 9EG7, against mouse endothelial cells that blocks adhesion of lymphocytes to endothelial cells. Sequencing of four tryptic peptides of the purified antigen revealed its identity with the integrin chain beta 1. The only beta 1 integrin that is known to mediate cell-cell adhesion is alpha 4 beta 1 (VLA-4). This is not the integrin that is functionally defined by the mAb 9EG7 on endothelial cells. First, alpha 4 is not present on the analyzed endothelial cells. Second, mAb 9EG7 does not block the cell-adhesion function of alpha 4 beta 1 on the nonactivated mouse lymphoma L1-2. Thus, the mAb 9EG7 can functionally distinguish between different beta 1 integrins and defines a beta 1 integrin other than alpha 4 beta 1 as a newly discovered cell-cell adhesion molecule. This integrin is most likely alpha 6 beta 1, since an antibody against the alpha 6 chain blocks lymphocyte adhesion to the same degree as the mAb 9EG7, the effect of both antibodies is not additive, and the alpha 6 chain is coprecipitated with beta 1 in 9EG7 immunoprecipitations. Surprisingly, activation of alpha 4 beta 1 on L1-2 cells with phorbol ester or Mn2+ allows blocking of alpha 4 beta 1-mediated adhesion of L1-2 cells to endothelial cells with mAb 9EG7. Furthermore, only the activated alpha 4 beta 1 heterodimer, but not the unactivated complex, is detectable with 9EG7 in immunoprecipitations and by flow cytometry. Thus, mAb 9EG7 defines an epitope on integrin chain beta 1, which is accessible on the alpha 4 beta 1 heterodimer only after activation of this integrin.", "author" : [ { "dropping-particle" : "", "family" : "Lenter", "given" : "M.", "non-dropping-particle" : "", "parse-names" : false, "suffix" : "" }, { "dropping-particle" : "", "family" : "Uhlig", "given" : "H.", "non-dropping-particle" : "", "parse-names" : false, "suffix" : "" }, { "dropping-particle" : "", "family" : "Hamann", "given" : "A.", "non-dropping-particle" : "", "parse-names" : false, "suffix" : "" }, { "dropping-particle" : "", "family" : "Jeno", "given" : "P.", "non-dropping-particle" : "", "parse-names" : false, "suffix" : "" }, { "dropping-particle" : "", "family" : "Imhof", "given" : "B.", "non-dropping-particle" : "", "parse-names" : false, "suffix" : "" }, { "dropping-particle" : "", "family" : "Vestweber", "given" : "D.", "non-dropping-particle" : "", "parse-names" : false, "suffix" : "" } ], "container-title" : "Proceedings of the National Academy of Sciences", "id" : "ITEM-1", "issue" : "19", "issued" : { "date-parts" : [ [ "1993", "10", "1" ] ] }, "page" : "9051-9055", "title" : "A monoclonal antibody against an activation epitope on mouse integrin chain beta 1 blocks adhesion of lymphocytes to the endothelial integrin alpha 6 beta 1.", "type" : "article-journal", "volume" : "90" }, "uris" : [ "http://www.mendeley.com/documents/?uuid=1757c9e2-b14c-33ad-a670-d6b99c5af901", "http://www.mendeley.com/documents/?uuid=4058b811-199e-4613-8087-6679de0f5e22" ] }, { "id" : "ITEM-2", "itemData" : { "DOI" : "10.1074/jbc.270.43.25570", "ISSN" : "0021-9258", "PMID" : "7592728", "abstract" : "The monoclonal antibody 9EG7 has been previously found to recognize an epitope induced by manganese on the integrin beta 1 chain (Lenter, M., Uhlig, H., Hamann, A., Jeno, P., Imhof, B., and Vestweber, D. (1993) Proc. Natl. Acad. Sci. U.S.A. 90, 9051-9055). Here we show that treatment of beta 1 integrins with manganese or soluble integrin ligands (e.g. fibronectin and RGD peptide) induced the 9EG7 epitope. This epitope was also induced upon EGTA treatment to remove calcium, and the addition of calcium inhibited 9EG7 epitope induction by manganese or by ligand. Further emphasizing the importance of the 9EG7 epitope, the 9EG7 antibody itself stimulated adhesion mediated by multiple beta 1 integrins, and conversely, ligands for alpha 2 beta 1, alpha 3 beta 1, alpha 4 beta 1, and alpha 5 beta 1 all stimulated 9EG7 expression. Together these results support a model whereby (i) calcium inhibits beta 1 integrin function because it prevents the appearance of a conformation favorable to ligand binding and (ii) manganese enhances beta 1 integrin function because it induces the same favorable conformation that is induced by adding ligand, or removing calcium. Notably, other beta 1-stimulating agents (magnesium and mAb TS2/16) did not induce 9EG7 expression unless ligand was also present. Thus, although 9EG7 may reliable detect the ligand-bound conformation of beta 1 integrins, its expression does not always correlate with integrin \"activation\". Finally, mouse/chicken beta 1 chimeric molecules were used to map the 9EG7 epitope to beta 1 residues 495-602 within the cysteine-rich region, and antibody cross-blocking studies showed that the 9EG7 epitope is distinct from all previously defined human beta 1 epitopes.", "author" : [ { "dropping-particle" : "", "family" : "Bazzoni", "given" : "G", "non-dropping-particle" : "", "parse-names" : false, "suffix" : "" }, { "dropping-particle" : "", "family" : "Shih", "given" : "D T", "non-dropping-particle" : "", "parse-names" : false, "suffix" : "" }, { "dropping-particle" : "", "family" : "Buck", "given" : "C A", "non-dropping-particle" : "", "parse-names" : false, "suffix" : "" }, { "dropping-particle" : "", "family" : "Hemler", "given" : "M E", "non-dropping-particle" : "", "parse-names" : false, "suffix" : "" } ], "container-title" : "The Journal of biological chemistry", "id" : "ITEM-2", "issue" : "43", "issued" : { "date-parts" : [ [ "1995", "10", "27" ] ] }, "page" : "25570-7", "publisher" : "American Society for Biochemistry and Molecular Biology", "title" : "Monoclonal antibody 9EG7 defines a novel beta 1 integrin epitope induced by soluble ligand and manganese, but inhibited by calcium.", "type" : "article-journal", "volume" : "270" }, "uris" : [ "http://www.mendeley.com/documents/?uuid=c74e870a-d384-3f70-9d41-4b13321cc486" ] } ], "mendeley" : { "formattedCitation" : "[42,43]", "plainTextFormattedCitation" : "[42,43]", "previouslyFormattedCitation" : "[42,43]" }, "properties" : {  }, "schema" : "https://github.com/citation-style-language/schema/raw/master/csl-citation.json" }</w:instrText>
      </w:r>
      <w:r w:rsidR="004678EE" w:rsidRPr="00843E05">
        <w:rPr>
          <w:color w:val="auto"/>
          <w:sz w:val="22"/>
          <w:szCs w:val="22"/>
          <w:lang w:val="en-US"/>
        </w:rPr>
        <w:fldChar w:fldCharType="separate"/>
      </w:r>
      <w:r w:rsidR="00296F38" w:rsidRPr="00296F38">
        <w:rPr>
          <w:noProof/>
          <w:color w:val="auto"/>
          <w:sz w:val="22"/>
          <w:szCs w:val="22"/>
          <w:lang w:val="en-US"/>
        </w:rPr>
        <w:t>[42,43]</w:t>
      </w:r>
      <w:r w:rsidR="004678EE" w:rsidRPr="00843E05">
        <w:rPr>
          <w:color w:val="auto"/>
          <w:sz w:val="22"/>
          <w:szCs w:val="22"/>
          <w:lang w:val="en-US"/>
        </w:rPr>
        <w:fldChar w:fldCharType="end"/>
      </w:r>
      <w:r w:rsidR="007C0369" w:rsidRPr="00EE4159">
        <w:rPr>
          <w:color w:val="auto"/>
          <w:sz w:val="22"/>
          <w:szCs w:val="22"/>
          <w:lang w:val="en-US"/>
        </w:rPr>
        <w:t xml:space="preserve">. </w:t>
      </w:r>
      <w:r w:rsidR="007C0369" w:rsidRPr="00843E05">
        <w:rPr>
          <w:color w:val="auto"/>
          <w:sz w:val="22"/>
          <w:szCs w:val="22"/>
          <w:lang w:val="en-US"/>
        </w:rPr>
        <w:t xml:space="preserve">The addition of </w:t>
      </w:r>
      <w:proofErr w:type="spellStart"/>
      <w:r w:rsidR="007C0369" w:rsidRPr="00843E05">
        <w:rPr>
          <w:color w:val="auto"/>
          <w:sz w:val="22"/>
          <w:szCs w:val="22"/>
          <w:lang w:val="en-US"/>
        </w:rPr>
        <w:t>9EG7</w:t>
      </w:r>
      <w:proofErr w:type="spellEnd"/>
      <w:r w:rsidR="007C0369" w:rsidRPr="00843E05">
        <w:rPr>
          <w:color w:val="auto"/>
          <w:sz w:val="22"/>
          <w:szCs w:val="22"/>
          <w:lang w:val="en-US"/>
        </w:rPr>
        <w:t xml:space="preserve"> and </w:t>
      </w:r>
      <w:proofErr w:type="spellStart"/>
      <w:r w:rsidR="00C225B6" w:rsidRPr="00843E05">
        <w:rPr>
          <w:color w:val="auto"/>
          <w:sz w:val="22"/>
          <w:szCs w:val="22"/>
          <w:lang w:val="en-US"/>
        </w:rPr>
        <w:t>Mn</w:t>
      </w:r>
      <w:r w:rsidR="00C225B6" w:rsidRPr="00843E05">
        <w:rPr>
          <w:color w:val="auto"/>
          <w:sz w:val="22"/>
          <w:szCs w:val="22"/>
          <w:vertAlign w:val="superscript"/>
          <w:lang w:val="en-US"/>
        </w:rPr>
        <w:t>2</w:t>
      </w:r>
      <w:proofErr w:type="spellEnd"/>
      <w:r w:rsidR="00C225B6" w:rsidRPr="00843E05">
        <w:rPr>
          <w:color w:val="auto"/>
          <w:sz w:val="22"/>
          <w:szCs w:val="22"/>
          <w:vertAlign w:val="superscript"/>
          <w:lang w:val="en-US"/>
        </w:rPr>
        <w:t>+</w:t>
      </w:r>
      <w:r w:rsidR="007C0369" w:rsidRPr="00843E05">
        <w:rPr>
          <w:color w:val="auto"/>
          <w:sz w:val="22"/>
          <w:szCs w:val="22"/>
          <w:lang w:val="en-US"/>
        </w:rPr>
        <w:t xml:space="preserve"> fully reverted the differential adhesion </w:t>
      </w:r>
      <w:r w:rsidR="00C225B6" w:rsidRPr="00843E05">
        <w:rPr>
          <w:color w:val="auto"/>
          <w:sz w:val="22"/>
          <w:szCs w:val="22"/>
          <w:lang w:val="en-US"/>
        </w:rPr>
        <w:t>as shown in f</w:t>
      </w:r>
      <w:r w:rsidR="007C0369" w:rsidRPr="00843E05">
        <w:rPr>
          <w:color w:val="auto"/>
          <w:sz w:val="22"/>
          <w:szCs w:val="22"/>
          <w:lang w:val="en-US"/>
        </w:rPr>
        <w:t xml:space="preserve">ig </w:t>
      </w:r>
      <w:proofErr w:type="spellStart"/>
      <w:r w:rsidR="007C0369" w:rsidRPr="00843E05">
        <w:rPr>
          <w:color w:val="auto"/>
          <w:sz w:val="22"/>
          <w:szCs w:val="22"/>
          <w:lang w:val="en-US"/>
        </w:rPr>
        <w:t>8B</w:t>
      </w:r>
      <w:proofErr w:type="spellEnd"/>
      <w:r w:rsidR="00E46EC6" w:rsidRPr="00843E05">
        <w:rPr>
          <w:color w:val="auto"/>
          <w:sz w:val="22"/>
          <w:szCs w:val="22"/>
          <w:lang w:val="en-US"/>
        </w:rPr>
        <w:t>.</w:t>
      </w:r>
      <w:r w:rsidR="001D530E">
        <w:rPr>
          <w:color w:val="auto"/>
          <w:sz w:val="22"/>
          <w:szCs w:val="22"/>
          <w:lang w:val="en-US"/>
        </w:rPr>
        <w:t xml:space="preserve"> </w:t>
      </w:r>
      <w:r w:rsidR="001D530E" w:rsidRPr="007E0849">
        <w:rPr>
          <w:color w:val="FF0000"/>
          <w:sz w:val="22"/>
          <w:szCs w:val="22"/>
          <w:lang w:val="en-US"/>
        </w:rPr>
        <w:t xml:space="preserve">Next, we evaluated the expression of integrin α5 and β1 chains in cells seeded on the four different surfaces by performing </w:t>
      </w:r>
      <w:r w:rsidR="001D530E" w:rsidRPr="00847E04">
        <w:rPr>
          <w:color w:val="FF0000"/>
          <w:lang w:val="en-GB"/>
        </w:rPr>
        <w:t>quantitative real-time polymerase chain reaction (</w:t>
      </w:r>
      <w:proofErr w:type="spellStart"/>
      <w:r w:rsidR="001D530E" w:rsidRPr="00847E04">
        <w:rPr>
          <w:color w:val="FF0000"/>
          <w:lang w:val="en-GB"/>
        </w:rPr>
        <w:t>qRT</w:t>
      </w:r>
      <w:proofErr w:type="spellEnd"/>
      <w:r w:rsidR="001D530E" w:rsidRPr="00847E04">
        <w:rPr>
          <w:color w:val="FF0000"/>
          <w:lang w:val="en-GB"/>
        </w:rPr>
        <w:t xml:space="preserve">-PCR) </w:t>
      </w:r>
      <w:r w:rsidR="001D530E" w:rsidRPr="007E0849">
        <w:rPr>
          <w:color w:val="FF0000"/>
          <w:sz w:val="22"/>
          <w:szCs w:val="22"/>
          <w:lang w:val="en-US"/>
        </w:rPr>
        <w:t>analysis. As shown in fi</w:t>
      </w:r>
      <w:r w:rsidR="003D1083">
        <w:rPr>
          <w:color w:val="FF0000"/>
          <w:sz w:val="22"/>
          <w:szCs w:val="22"/>
          <w:lang w:val="en-US"/>
        </w:rPr>
        <w:t>gure 8 (</w:t>
      </w:r>
      <w:proofErr w:type="spellStart"/>
      <w:r w:rsidR="003D1083">
        <w:rPr>
          <w:color w:val="FF0000"/>
          <w:sz w:val="22"/>
          <w:szCs w:val="22"/>
          <w:lang w:val="en-US"/>
        </w:rPr>
        <w:t>C,D</w:t>
      </w:r>
      <w:proofErr w:type="spellEnd"/>
      <w:r w:rsidR="003D1083">
        <w:rPr>
          <w:color w:val="FF0000"/>
          <w:sz w:val="22"/>
          <w:szCs w:val="22"/>
          <w:lang w:val="en-US"/>
        </w:rPr>
        <w:t>)</w:t>
      </w:r>
      <w:r w:rsidR="001D530E" w:rsidRPr="007E0849">
        <w:rPr>
          <w:color w:val="FF0000"/>
          <w:sz w:val="22"/>
          <w:szCs w:val="22"/>
          <w:lang w:val="en-US"/>
        </w:rPr>
        <w:t>, no significant differences were observed.</w:t>
      </w:r>
    </w:p>
    <w:p w14:paraId="3BB04EE1" w14:textId="77777777" w:rsidR="00E2412D" w:rsidRDefault="00E2412D">
      <w:pPr>
        <w:pStyle w:val="BodyB"/>
        <w:keepNext w:val="0"/>
        <w:widowControl w:val="0"/>
        <w:suppressAutoHyphens w:val="0"/>
        <w:spacing w:line="480" w:lineRule="auto"/>
        <w:jc w:val="both"/>
        <w:rPr>
          <w:sz w:val="22"/>
          <w:szCs w:val="22"/>
          <w:lang w:val="en-US"/>
        </w:rPr>
      </w:pPr>
    </w:p>
    <w:p w14:paraId="75CED6DE" w14:textId="4B519B36" w:rsidR="00E2412D" w:rsidRDefault="00E160CF">
      <w:pPr>
        <w:pStyle w:val="BodyB"/>
        <w:keepNext w:val="0"/>
        <w:widowControl w:val="0"/>
        <w:suppressAutoHyphens w:val="0"/>
        <w:spacing w:line="480" w:lineRule="auto"/>
        <w:jc w:val="both"/>
        <w:rPr>
          <w:sz w:val="22"/>
          <w:szCs w:val="22"/>
          <w:lang w:val="en-US"/>
        </w:rPr>
      </w:pPr>
      <w:r>
        <w:rPr>
          <w:rFonts w:ascii="Times New Roman Bold" w:eastAsia="Times New Roman Bold" w:hAnsi="Times New Roman Bold" w:cs="Times New Roman Bold"/>
          <w:noProof/>
          <w:sz w:val="26"/>
          <w:szCs w:val="26"/>
        </w:rPr>
        <w:lastRenderedPageBreak/>
        <w:pict w14:anchorId="208EDEBF">
          <v:shape id="_x0000_i1026" type="#_x0000_t75" alt="FIG 8 rev" style="width:481.8pt;height:361.2pt;mso-width-percent:0;mso-height-percent:0;mso-width-percent:0;mso-height-percent:0">
            <v:imagedata r:id="rId15" o:title="FIG 8 rev"/>
          </v:shape>
        </w:pict>
      </w:r>
    </w:p>
    <w:p w14:paraId="1B15E748" w14:textId="0C377864" w:rsidR="007C0369" w:rsidRPr="0059707D" w:rsidRDefault="007C0369" w:rsidP="007C0369">
      <w:pPr>
        <w:pStyle w:val="BodyB"/>
        <w:keepNext w:val="0"/>
        <w:widowControl w:val="0"/>
        <w:suppressAutoHyphens w:val="0"/>
        <w:spacing w:line="480" w:lineRule="auto"/>
        <w:jc w:val="both"/>
        <w:rPr>
          <w:i/>
          <w:iCs/>
          <w:kern w:val="24"/>
          <w:sz w:val="20"/>
          <w:szCs w:val="20"/>
          <w:lang w:val="en-US"/>
        </w:rPr>
      </w:pPr>
      <w:r>
        <w:rPr>
          <w:i/>
          <w:iCs/>
          <w:kern w:val="24"/>
          <w:sz w:val="20"/>
          <w:szCs w:val="20"/>
          <w:lang w:val="en-US"/>
        </w:rPr>
        <w:t xml:space="preserve">Figure 8 (A) Cell adhesion of </w:t>
      </w:r>
      <w:proofErr w:type="spellStart"/>
      <w:r>
        <w:rPr>
          <w:i/>
          <w:iCs/>
          <w:kern w:val="24"/>
          <w:sz w:val="20"/>
          <w:szCs w:val="20"/>
          <w:lang w:val="en-US"/>
        </w:rPr>
        <w:t>MC3T3</w:t>
      </w:r>
      <w:proofErr w:type="spellEnd"/>
      <w:r>
        <w:rPr>
          <w:i/>
          <w:iCs/>
          <w:kern w:val="24"/>
          <w:sz w:val="20"/>
          <w:szCs w:val="20"/>
          <w:lang w:val="en-US"/>
        </w:rPr>
        <w:t xml:space="preserve"> on different titanium samples saturated or not with fibronectin </w:t>
      </w:r>
      <w:proofErr w:type="spellStart"/>
      <w:r>
        <w:rPr>
          <w:i/>
          <w:iCs/>
          <w:kern w:val="24"/>
          <w:sz w:val="20"/>
          <w:szCs w:val="20"/>
          <w:lang w:val="en-US"/>
        </w:rPr>
        <w:t>10ug</w:t>
      </w:r>
      <w:proofErr w:type="spellEnd"/>
      <w:r>
        <w:rPr>
          <w:i/>
          <w:iCs/>
          <w:kern w:val="24"/>
          <w:sz w:val="20"/>
          <w:szCs w:val="20"/>
          <w:lang w:val="en-US"/>
        </w:rPr>
        <w:t xml:space="preserve">/ml. (B) Cell adhesion of </w:t>
      </w:r>
      <w:proofErr w:type="spellStart"/>
      <w:r>
        <w:rPr>
          <w:i/>
          <w:iCs/>
          <w:kern w:val="24"/>
          <w:sz w:val="20"/>
          <w:szCs w:val="20"/>
          <w:lang w:val="en-US"/>
        </w:rPr>
        <w:t>MC3T3</w:t>
      </w:r>
      <w:proofErr w:type="spellEnd"/>
      <w:r>
        <w:rPr>
          <w:i/>
          <w:iCs/>
          <w:kern w:val="24"/>
          <w:sz w:val="20"/>
          <w:szCs w:val="20"/>
          <w:lang w:val="en-US"/>
        </w:rPr>
        <w:t xml:space="preserve"> pretreated with </w:t>
      </w:r>
      <w:proofErr w:type="spellStart"/>
      <w:r>
        <w:rPr>
          <w:i/>
          <w:iCs/>
          <w:kern w:val="24"/>
          <w:sz w:val="20"/>
          <w:szCs w:val="20"/>
          <w:lang w:val="en-US"/>
        </w:rPr>
        <w:t>9EG7</w:t>
      </w:r>
      <w:proofErr w:type="spellEnd"/>
      <w:r>
        <w:rPr>
          <w:i/>
          <w:iCs/>
          <w:kern w:val="24"/>
          <w:sz w:val="20"/>
          <w:szCs w:val="20"/>
          <w:lang w:val="en-US"/>
        </w:rPr>
        <w:t xml:space="preserve"> antibody and </w:t>
      </w:r>
      <w:proofErr w:type="spellStart"/>
      <w:r>
        <w:rPr>
          <w:i/>
          <w:iCs/>
          <w:kern w:val="24"/>
          <w:sz w:val="20"/>
          <w:szCs w:val="20"/>
          <w:lang w:val="en-US"/>
        </w:rPr>
        <w:t>Mg</w:t>
      </w:r>
      <w:r w:rsidRPr="00AB3213">
        <w:rPr>
          <w:i/>
          <w:iCs/>
          <w:kern w:val="24"/>
          <w:sz w:val="20"/>
          <w:szCs w:val="20"/>
          <w:vertAlign w:val="superscript"/>
          <w:lang w:val="en-US"/>
        </w:rPr>
        <w:t>2</w:t>
      </w:r>
      <w:proofErr w:type="spellEnd"/>
      <w:r w:rsidRPr="00847E04">
        <w:rPr>
          <w:i/>
          <w:iCs/>
          <w:color w:val="FF0000"/>
          <w:kern w:val="24"/>
          <w:sz w:val="20"/>
          <w:szCs w:val="20"/>
          <w:vertAlign w:val="superscript"/>
          <w:lang w:val="en-US"/>
        </w:rPr>
        <w:t>+</w:t>
      </w:r>
      <w:r w:rsidRPr="00847E04">
        <w:rPr>
          <w:i/>
          <w:iCs/>
          <w:color w:val="FF0000"/>
          <w:kern w:val="24"/>
          <w:sz w:val="20"/>
          <w:szCs w:val="20"/>
          <w:lang w:val="en-US"/>
        </w:rPr>
        <w:t>.</w:t>
      </w:r>
      <w:r w:rsidRPr="0025473D">
        <w:rPr>
          <w:i/>
          <w:iCs/>
          <w:color w:val="FF0000"/>
          <w:kern w:val="24"/>
          <w:sz w:val="20"/>
          <w:szCs w:val="20"/>
          <w:lang w:val="en-US"/>
        </w:rPr>
        <w:t xml:space="preserve"> </w:t>
      </w:r>
      <w:r w:rsidR="003D1083" w:rsidRPr="0025473D">
        <w:rPr>
          <w:i/>
          <w:iCs/>
          <w:color w:val="FF0000"/>
          <w:kern w:val="24"/>
          <w:sz w:val="20"/>
          <w:szCs w:val="20"/>
          <w:lang w:val="en-US"/>
        </w:rPr>
        <w:t>(C,</w:t>
      </w:r>
      <w:r w:rsidR="009B402F" w:rsidRPr="0025473D">
        <w:rPr>
          <w:i/>
          <w:iCs/>
          <w:color w:val="FF0000"/>
          <w:kern w:val="24"/>
          <w:sz w:val="20"/>
          <w:szCs w:val="20"/>
          <w:lang w:val="en-US"/>
        </w:rPr>
        <w:t xml:space="preserve"> </w:t>
      </w:r>
      <w:r w:rsidR="003D1083" w:rsidRPr="0025473D">
        <w:rPr>
          <w:i/>
          <w:iCs/>
          <w:color w:val="FF0000"/>
          <w:kern w:val="24"/>
          <w:sz w:val="20"/>
          <w:szCs w:val="20"/>
          <w:lang w:val="en-US"/>
        </w:rPr>
        <w:t>D) Expressi</w:t>
      </w:r>
      <w:r w:rsidR="003D1083" w:rsidRPr="006F768A">
        <w:rPr>
          <w:i/>
          <w:iCs/>
          <w:color w:val="FF0000"/>
          <w:kern w:val="24"/>
          <w:sz w:val="20"/>
          <w:szCs w:val="20"/>
          <w:lang w:val="en-US"/>
        </w:rPr>
        <w:t xml:space="preserve">on level of </w:t>
      </w:r>
      <w:r w:rsidR="003D1083" w:rsidRPr="0025473D">
        <w:rPr>
          <w:i/>
          <w:iCs/>
          <w:color w:val="FF0000"/>
          <w:kern w:val="24"/>
          <w:sz w:val="20"/>
          <w:szCs w:val="20"/>
          <w:lang w:val="en-US"/>
        </w:rPr>
        <w:t>integrin α5 and β1 chains in cells seeded on the four different surfaces.</w:t>
      </w:r>
      <w:r w:rsidR="003D1083" w:rsidRPr="003D1083">
        <w:rPr>
          <w:i/>
          <w:iCs/>
          <w:color w:val="FF0000"/>
          <w:kern w:val="24"/>
          <w:sz w:val="20"/>
          <w:szCs w:val="20"/>
          <w:lang w:val="en-US"/>
        </w:rPr>
        <w:t xml:space="preserve"> </w:t>
      </w:r>
      <w:r w:rsidRPr="0059707D">
        <w:rPr>
          <w:i/>
          <w:kern w:val="24"/>
          <w:sz w:val="20"/>
          <w:szCs w:val="20"/>
          <w:lang w:val="en-US"/>
        </w:rPr>
        <w:t>Values represent mean ± SEM; the symbol (*) indicates a statistically si</w:t>
      </w:r>
      <w:r w:rsidRPr="0059707D">
        <w:rPr>
          <w:i/>
          <w:iCs/>
          <w:kern w:val="24"/>
          <w:sz w:val="20"/>
          <w:szCs w:val="20"/>
          <w:lang w:val="en-US"/>
        </w:rPr>
        <w:t>gnificant difference considering a p-value &lt; 0.05.</w:t>
      </w:r>
    </w:p>
    <w:p w14:paraId="37A86425" w14:textId="7C9C7FA4" w:rsidR="00E2412D" w:rsidRPr="00D94DD1" w:rsidRDefault="00673E5C">
      <w:pPr>
        <w:keepNext w:val="0"/>
      </w:pPr>
      <w:r>
        <w:rPr>
          <w:i/>
          <w:iCs/>
          <w:sz w:val="26"/>
          <w:szCs w:val="26"/>
        </w:rPr>
        <w:br w:type="page"/>
      </w:r>
    </w:p>
    <w:p w14:paraId="5216B921" w14:textId="77777777" w:rsidR="00E2412D" w:rsidRPr="00843E05" w:rsidRDefault="00673E5C">
      <w:pPr>
        <w:pStyle w:val="BodyB"/>
        <w:keepNext w:val="0"/>
        <w:widowControl w:val="0"/>
        <w:suppressAutoHyphens w:val="0"/>
        <w:spacing w:line="480" w:lineRule="auto"/>
        <w:jc w:val="both"/>
        <w:rPr>
          <w:b/>
          <w:bCs/>
          <w:i/>
          <w:iCs/>
          <w:sz w:val="22"/>
          <w:szCs w:val="22"/>
          <w:lang w:val="en-US"/>
        </w:rPr>
      </w:pPr>
      <w:r w:rsidRPr="00843E05">
        <w:rPr>
          <w:i/>
          <w:iCs/>
          <w:sz w:val="22"/>
          <w:szCs w:val="22"/>
          <w:lang w:val="en-GB"/>
        </w:rPr>
        <w:lastRenderedPageBreak/>
        <w:t xml:space="preserve">3.3.4 </w:t>
      </w:r>
      <w:r w:rsidRPr="00843E05">
        <w:rPr>
          <w:b/>
          <w:bCs/>
          <w:i/>
          <w:iCs/>
          <w:sz w:val="22"/>
          <w:szCs w:val="22"/>
          <w:lang w:val="en-US"/>
        </w:rPr>
        <w:t xml:space="preserve">Involvement of </w:t>
      </w:r>
      <w:proofErr w:type="spellStart"/>
      <w:r w:rsidRPr="00843E05">
        <w:rPr>
          <w:b/>
          <w:bCs/>
          <w:i/>
          <w:iCs/>
          <w:sz w:val="22"/>
          <w:szCs w:val="22"/>
          <w:lang w:val="en-US"/>
        </w:rPr>
        <w:t>TRPV4</w:t>
      </w:r>
      <w:proofErr w:type="spellEnd"/>
      <w:r w:rsidRPr="00843E05">
        <w:rPr>
          <w:b/>
          <w:bCs/>
          <w:i/>
          <w:iCs/>
          <w:sz w:val="22"/>
          <w:szCs w:val="22"/>
          <w:lang w:val="en-US"/>
        </w:rPr>
        <w:t xml:space="preserve"> in</w:t>
      </w:r>
      <w:r w:rsidRPr="00843E05">
        <w:rPr>
          <w:sz w:val="22"/>
          <w:szCs w:val="22"/>
          <w:lang w:val="en-US"/>
        </w:rPr>
        <w:t xml:space="preserve"> </w:t>
      </w:r>
      <w:r w:rsidRPr="00843E05">
        <w:rPr>
          <w:b/>
          <w:bCs/>
          <w:i/>
          <w:iCs/>
          <w:sz w:val="22"/>
          <w:szCs w:val="22"/>
          <w:lang w:val="en-US"/>
        </w:rPr>
        <w:t xml:space="preserve">the early biological response to different titanium surface topographies </w:t>
      </w:r>
    </w:p>
    <w:p w14:paraId="58A15A9F" w14:textId="5B6195EA" w:rsidR="00E2412D" w:rsidRPr="00843E05" w:rsidRDefault="00673E5C">
      <w:pPr>
        <w:pStyle w:val="BodyB"/>
        <w:keepNext w:val="0"/>
        <w:widowControl w:val="0"/>
        <w:suppressAutoHyphens w:val="0"/>
        <w:spacing w:line="480" w:lineRule="auto"/>
        <w:jc w:val="both"/>
        <w:rPr>
          <w:sz w:val="22"/>
          <w:szCs w:val="22"/>
          <w:lang w:val="en-US"/>
        </w:rPr>
      </w:pPr>
      <w:proofErr w:type="spellStart"/>
      <w:r w:rsidRPr="00843E05">
        <w:rPr>
          <w:sz w:val="22"/>
          <w:szCs w:val="22"/>
          <w:lang w:val="en-US"/>
        </w:rPr>
        <w:t>TRPV4</w:t>
      </w:r>
      <w:proofErr w:type="spellEnd"/>
      <w:r w:rsidRPr="00843E05">
        <w:rPr>
          <w:sz w:val="22"/>
          <w:szCs w:val="22"/>
          <w:lang w:val="en-US"/>
        </w:rPr>
        <w:t xml:space="preserve"> was investigated on the base of its involvement in cytoskeletal remodeling </w:t>
      </w:r>
      <w:r w:rsidR="00464F79" w:rsidRPr="00843E05">
        <w:rPr>
          <w:sz w:val="22"/>
          <w:szCs w:val="22"/>
          <w:lang w:val="en-US"/>
        </w:rPr>
        <w:t xml:space="preserve">and colocalization with </w:t>
      </w:r>
      <w:r w:rsidR="00E83E83" w:rsidRPr="00843E05">
        <w:rPr>
          <w:sz w:val="22"/>
          <w:szCs w:val="22"/>
          <w:lang w:val="en-US"/>
        </w:rPr>
        <w:t>β</w:t>
      </w:r>
      <w:r w:rsidRPr="00843E05">
        <w:rPr>
          <w:sz w:val="22"/>
          <w:szCs w:val="22"/>
          <w:lang w:val="en-US"/>
        </w:rPr>
        <w:t>1 integrins</w:t>
      </w:r>
      <w:r w:rsidR="00464F79" w:rsidRPr="00843E05">
        <w:rPr>
          <w:sz w:val="22"/>
          <w:szCs w:val="22"/>
          <w:lang w:val="en-US"/>
        </w:rPr>
        <w:t xml:space="preserve"> previously demonstrated in several cell models</w:t>
      </w:r>
      <w:r w:rsidR="00EE4159">
        <w:rPr>
          <w:sz w:val="22"/>
          <w:szCs w:val="22"/>
          <w:lang w:val="en-US"/>
        </w:rPr>
        <w:t xml:space="preserve"> </w:t>
      </w:r>
      <w:r w:rsidR="00EE4159">
        <w:rPr>
          <w:sz w:val="22"/>
          <w:szCs w:val="22"/>
          <w:lang w:val="en-US"/>
        </w:rPr>
        <w:fldChar w:fldCharType="begin" w:fldLock="1"/>
      </w:r>
      <w:r w:rsidR="00296F38">
        <w:rPr>
          <w:sz w:val="22"/>
          <w:szCs w:val="22"/>
          <w:lang w:val="en-US"/>
        </w:rPr>
        <w:instrText>ADDIN CSL_CITATION { "citationItems" : [ { "id" : "ITEM-1", "itemData" : { "DOI" : "10.1242/jcs.201665", "ISSN" : "0021-9533", "abstract" : "Fibroblasts remodel extracellular matrix collagen, in part, through phagocytosis. This process requires formation of cell extensions, which in turn involves interaction of the actin-binding protein flightless-1 (FliI) with non-muscle myosin IIA (NMMIIA; heavy chain encoded by MYH9) at cell-matrix adhesion sites. As Ca2+ plays a central role in controlling actomyosin-dependent functions, we examined how Ca2+ controls the generation of cell extensions and collagen remodeling. Ratio fluorimetry demonstrated localized Ca2+ influx at the extensions of fibroblasts. Western blotting and quantitative (q)PCR showed high expression levels of the Ca2+-permeable transient receptor potential vanilloid-4 (TRPV4) channel, which co-immunoprecipitated with \u03b21 integrin and localized to adhesions. Treatment with \u03b12\u03b21-integrin-blocking antibody or the TRPV4-specific antagonist AB159908, as well as reduction of TRPV4 expression through means of siRNA, blocked Ca2+ influx. These treatments also inhibited the interaction of FliI with NMMIIA, reduced the number and length of cell extensions, and blocked collagen remodeling. Pulldown assays showed that Ca2+ depletion inhibited the interaction of purified FliI with NMMIIA filaments. Fluorescence resonance energy transfer experiments showed that FliI-NMMIIA interactions require Ca2+ influx. We conclude that Ca2+ influx through the TRPV4 channel regulates FliI-NMMIIA interaction, which in turn enables generation of the cell extensions essential for collagen remodeling.", "author" : [ { "dropping-particle" : "", "family" : "Arora", "given" : "Pamma D", "non-dropping-particle" : "", "parse-names" : false, "suffix" : "" }, { "dropping-particle" : "", "family" : "Gregorio", "given" : "Madeleine", "non-dropping-particle" : "Di", "parse-names" : false, "suffix" : "" }, { "dropping-particle" : "", "family" : "He", "given" : "Pei", "non-dropping-particle" : "", "parse-names" : false, "suffix" : "" }, { "dropping-particle" : "", "family" : "McCulloch", "given" : "Christopher A.", "non-dropping-particle" : "", "parse-names" : false, "suffix" : "" } ], "container-title" : "Journal of Cell Science", "id" : "ITEM-1", "issue" : "13", "issued" : { "date-parts" : [ [ "2017", "7", "1" ] ] }, "page" : "2196-2208", "title" : "TRPV4 mediates the Ca 2+ influx required for the interaction between flightless-1 and non-muscle myosin, and collagen remodeling", "type" : "article-journal", "volume" : "130" }, "uris" : [ "http://www.mendeley.com/documents/?uuid=ec85f852-19c7-3ad5-a863-bd517900c595", "http://www.mendeley.com/documents/?uuid=f1a59469-7acd-4abc-b7be-4eea077ec36e" ] } ], "mendeley" : { "formattedCitation" : "[44]", "plainTextFormattedCitation" : "[44]", "previouslyFormattedCitation" : "[44]" }, "properties" : {  }, "schema" : "https://github.com/citation-style-language/schema/raw/master/csl-citation.json" }</w:instrText>
      </w:r>
      <w:r w:rsidR="00EE4159">
        <w:rPr>
          <w:sz w:val="22"/>
          <w:szCs w:val="22"/>
          <w:lang w:val="en-US"/>
        </w:rPr>
        <w:fldChar w:fldCharType="separate"/>
      </w:r>
      <w:r w:rsidR="00296F38" w:rsidRPr="00296F38">
        <w:rPr>
          <w:noProof/>
          <w:sz w:val="22"/>
          <w:szCs w:val="22"/>
          <w:lang w:val="en-US"/>
        </w:rPr>
        <w:t>[44]</w:t>
      </w:r>
      <w:r w:rsidR="00EE4159">
        <w:rPr>
          <w:sz w:val="22"/>
          <w:szCs w:val="22"/>
          <w:lang w:val="en-US"/>
        </w:rPr>
        <w:fldChar w:fldCharType="end"/>
      </w:r>
      <w:r w:rsidRPr="00843E05">
        <w:rPr>
          <w:sz w:val="22"/>
          <w:szCs w:val="22"/>
          <w:lang w:val="en-US"/>
        </w:rPr>
        <w:t xml:space="preserve">. As shown in figure </w:t>
      </w:r>
      <w:proofErr w:type="spellStart"/>
      <w:r w:rsidR="00E83E83" w:rsidRPr="00843E05">
        <w:rPr>
          <w:sz w:val="22"/>
          <w:szCs w:val="22"/>
          <w:lang w:val="en-US"/>
        </w:rPr>
        <w:t>9E</w:t>
      </w:r>
      <w:proofErr w:type="spellEnd"/>
      <w:r w:rsidRPr="00843E05">
        <w:rPr>
          <w:sz w:val="22"/>
          <w:szCs w:val="22"/>
          <w:lang w:val="en-US"/>
        </w:rPr>
        <w:t xml:space="preserve">, </w:t>
      </w:r>
      <w:proofErr w:type="spellStart"/>
      <w:r w:rsidR="00464F79" w:rsidRPr="00843E05">
        <w:rPr>
          <w:sz w:val="22"/>
          <w:szCs w:val="22"/>
          <w:lang w:val="en-US"/>
        </w:rPr>
        <w:t>TRPV4</w:t>
      </w:r>
      <w:proofErr w:type="spellEnd"/>
      <w:r w:rsidR="00464F79" w:rsidRPr="00843E05">
        <w:rPr>
          <w:sz w:val="22"/>
          <w:szCs w:val="22"/>
          <w:lang w:val="en-US"/>
        </w:rPr>
        <w:t xml:space="preserve"> </w:t>
      </w:r>
      <w:r w:rsidRPr="00843E05">
        <w:rPr>
          <w:sz w:val="22"/>
          <w:szCs w:val="22"/>
          <w:lang w:val="en-US"/>
        </w:rPr>
        <w:t xml:space="preserve">down-regulation by </w:t>
      </w:r>
      <w:r w:rsidR="00464F79" w:rsidRPr="00843E05">
        <w:rPr>
          <w:sz w:val="22"/>
          <w:szCs w:val="22"/>
          <w:lang w:val="en-US"/>
        </w:rPr>
        <w:t xml:space="preserve">means of </w:t>
      </w:r>
      <w:proofErr w:type="spellStart"/>
      <w:r w:rsidRPr="00843E05">
        <w:rPr>
          <w:sz w:val="22"/>
          <w:szCs w:val="22"/>
          <w:lang w:val="en-US"/>
        </w:rPr>
        <w:t>sh</w:t>
      </w:r>
      <w:proofErr w:type="spellEnd"/>
      <w:r w:rsidRPr="00843E05">
        <w:rPr>
          <w:sz w:val="22"/>
          <w:szCs w:val="22"/>
          <w:lang w:val="en-US"/>
        </w:rPr>
        <w:t xml:space="preserve">-RNA, </w:t>
      </w:r>
      <w:r w:rsidR="00464F79" w:rsidRPr="00843E05">
        <w:rPr>
          <w:sz w:val="22"/>
          <w:szCs w:val="22"/>
          <w:lang w:val="en-US"/>
        </w:rPr>
        <w:t>strongly inhibit</w:t>
      </w:r>
      <w:r w:rsidR="00070348">
        <w:rPr>
          <w:sz w:val="22"/>
          <w:szCs w:val="22"/>
          <w:lang w:val="en-US"/>
        </w:rPr>
        <w:t>ed</w:t>
      </w:r>
      <w:r w:rsidR="00464F79" w:rsidRPr="00843E05">
        <w:rPr>
          <w:sz w:val="22"/>
          <w:szCs w:val="22"/>
          <w:lang w:val="en-US"/>
        </w:rPr>
        <w:t xml:space="preserve"> </w:t>
      </w:r>
      <w:proofErr w:type="spellStart"/>
      <w:r w:rsidR="00070348" w:rsidRPr="00843E05">
        <w:rPr>
          <w:sz w:val="22"/>
          <w:szCs w:val="22"/>
          <w:lang w:val="en-US"/>
        </w:rPr>
        <w:t>MC3T3</w:t>
      </w:r>
      <w:proofErr w:type="spellEnd"/>
      <w:r w:rsidR="00070348">
        <w:rPr>
          <w:sz w:val="22"/>
          <w:szCs w:val="22"/>
          <w:lang w:val="en-US"/>
        </w:rPr>
        <w:t xml:space="preserve"> </w:t>
      </w:r>
      <w:r w:rsidR="00464F79" w:rsidRPr="00843E05">
        <w:rPr>
          <w:sz w:val="22"/>
          <w:szCs w:val="22"/>
          <w:lang w:val="en-US"/>
        </w:rPr>
        <w:t xml:space="preserve">adhesion on AE and </w:t>
      </w:r>
      <w:proofErr w:type="spellStart"/>
      <w:r w:rsidR="00464F79" w:rsidRPr="00843E05">
        <w:rPr>
          <w:sz w:val="22"/>
          <w:szCs w:val="22"/>
          <w:lang w:val="en-US"/>
        </w:rPr>
        <w:t>GBAE</w:t>
      </w:r>
      <w:proofErr w:type="spellEnd"/>
      <w:r w:rsidRPr="00843E05">
        <w:rPr>
          <w:sz w:val="22"/>
          <w:szCs w:val="22"/>
          <w:lang w:val="en-US"/>
        </w:rPr>
        <w:t xml:space="preserve">. </w:t>
      </w:r>
      <w:proofErr w:type="spellStart"/>
      <w:r w:rsidR="005451C8" w:rsidRPr="00843E05">
        <w:rPr>
          <w:sz w:val="22"/>
          <w:szCs w:val="22"/>
          <w:lang w:val="en-US"/>
        </w:rPr>
        <w:t>TRPV4</w:t>
      </w:r>
      <w:proofErr w:type="spellEnd"/>
      <w:r w:rsidR="005451C8" w:rsidRPr="00843E05">
        <w:rPr>
          <w:sz w:val="22"/>
          <w:szCs w:val="22"/>
          <w:lang w:val="en-US"/>
        </w:rPr>
        <w:t xml:space="preserve"> </w:t>
      </w:r>
      <w:r w:rsidR="009D3B47">
        <w:rPr>
          <w:sz w:val="22"/>
          <w:szCs w:val="22"/>
          <w:lang w:val="en-US"/>
        </w:rPr>
        <w:t>protein</w:t>
      </w:r>
      <w:r w:rsidR="00227026" w:rsidRPr="00843E05">
        <w:rPr>
          <w:sz w:val="22"/>
          <w:szCs w:val="22"/>
          <w:lang w:val="en-US"/>
        </w:rPr>
        <w:t xml:space="preserve"> and functional </w:t>
      </w:r>
      <w:r w:rsidR="005451C8" w:rsidRPr="00843E05">
        <w:rPr>
          <w:sz w:val="22"/>
          <w:szCs w:val="22"/>
          <w:lang w:val="en-US"/>
        </w:rPr>
        <w:t>down</w:t>
      </w:r>
      <w:r w:rsidR="00227026" w:rsidRPr="00843E05">
        <w:rPr>
          <w:sz w:val="22"/>
          <w:szCs w:val="22"/>
          <w:lang w:val="en-US"/>
        </w:rPr>
        <w:t>re</w:t>
      </w:r>
      <w:r w:rsidR="005451C8" w:rsidRPr="00843E05">
        <w:rPr>
          <w:sz w:val="22"/>
          <w:szCs w:val="22"/>
          <w:lang w:val="en-US"/>
        </w:rPr>
        <w:t>gulation</w:t>
      </w:r>
      <w:r w:rsidR="00B84C8C">
        <w:rPr>
          <w:sz w:val="22"/>
          <w:szCs w:val="22"/>
          <w:lang w:val="en-US"/>
        </w:rPr>
        <w:t>s</w:t>
      </w:r>
      <w:r w:rsidR="005451C8" w:rsidRPr="00843E05">
        <w:rPr>
          <w:sz w:val="22"/>
          <w:szCs w:val="22"/>
          <w:lang w:val="en-US"/>
        </w:rPr>
        <w:t xml:space="preserve"> were confirmed by western blot (Fig </w:t>
      </w:r>
      <w:proofErr w:type="spellStart"/>
      <w:r w:rsidR="005451C8" w:rsidRPr="00843E05">
        <w:rPr>
          <w:sz w:val="22"/>
          <w:szCs w:val="22"/>
          <w:lang w:val="en-US"/>
        </w:rPr>
        <w:t>9A</w:t>
      </w:r>
      <w:proofErr w:type="spellEnd"/>
      <w:r w:rsidR="005451C8" w:rsidRPr="00843E05">
        <w:rPr>
          <w:sz w:val="22"/>
          <w:szCs w:val="22"/>
          <w:lang w:val="en-US"/>
        </w:rPr>
        <w:t xml:space="preserve">, B) and </w:t>
      </w:r>
      <w:proofErr w:type="spellStart"/>
      <w:r w:rsidR="005451C8" w:rsidRPr="00843E05">
        <w:rPr>
          <w:sz w:val="22"/>
          <w:szCs w:val="22"/>
          <w:lang w:val="en-US"/>
        </w:rPr>
        <w:t>Ca</w:t>
      </w:r>
      <w:r w:rsidR="005451C8" w:rsidRPr="00843E05">
        <w:rPr>
          <w:sz w:val="22"/>
          <w:szCs w:val="22"/>
          <w:vertAlign w:val="superscript"/>
          <w:lang w:val="en-US"/>
        </w:rPr>
        <w:t>2</w:t>
      </w:r>
      <w:proofErr w:type="spellEnd"/>
      <w:r w:rsidR="005451C8" w:rsidRPr="00843E05">
        <w:rPr>
          <w:sz w:val="22"/>
          <w:szCs w:val="22"/>
          <w:vertAlign w:val="superscript"/>
          <w:lang w:val="en-US"/>
        </w:rPr>
        <w:t>+</w:t>
      </w:r>
      <w:r w:rsidR="00E83E83" w:rsidRPr="00843E05">
        <w:rPr>
          <w:sz w:val="22"/>
          <w:szCs w:val="22"/>
          <w:lang w:val="en-US"/>
        </w:rPr>
        <w:t xml:space="preserve"> imaging experiments (Fig </w:t>
      </w:r>
      <w:proofErr w:type="spellStart"/>
      <w:r w:rsidR="00E83E83" w:rsidRPr="00843E05">
        <w:rPr>
          <w:sz w:val="22"/>
          <w:szCs w:val="22"/>
          <w:lang w:val="en-US"/>
        </w:rPr>
        <w:t>9C</w:t>
      </w:r>
      <w:proofErr w:type="spellEnd"/>
      <w:r w:rsidR="00E83E83" w:rsidRPr="00843E05">
        <w:rPr>
          <w:sz w:val="22"/>
          <w:szCs w:val="22"/>
          <w:lang w:val="en-US"/>
        </w:rPr>
        <w:t>-D</w:t>
      </w:r>
      <w:r w:rsidR="005451C8" w:rsidRPr="00843E05">
        <w:rPr>
          <w:sz w:val="22"/>
          <w:szCs w:val="22"/>
          <w:lang w:val="en-US"/>
        </w:rPr>
        <w:t>)</w:t>
      </w:r>
      <w:r w:rsidR="00227026" w:rsidRPr="00843E05">
        <w:rPr>
          <w:sz w:val="22"/>
          <w:szCs w:val="22"/>
          <w:lang w:val="en-US"/>
        </w:rPr>
        <w:t>,</w:t>
      </w:r>
      <w:r w:rsidR="005451C8" w:rsidRPr="00843E05">
        <w:rPr>
          <w:sz w:val="22"/>
          <w:szCs w:val="22"/>
          <w:lang w:val="en-US"/>
        </w:rPr>
        <w:t xml:space="preserve"> respectively. We next investigated the po</w:t>
      </w:r>
      <w:r w:rsidR="00227026" w:rsidRPr="00843E05">
        <w:rPr>
          <w:sz w:val="22"/>
          <w:szCs w:val="22"/>
          <w:lang w:val="en-US"/>
        </w:rPr>
        <w:t>tential</w:t>
      </w:r>
      <w:r w:rsidR="005451C8" w:rsidRPr="00843E05">
        <w:rPr>
          <w:sz w:val="22"/>
          <w:szCs w:val="22"/>
          <w:lang w:val="en-US"/>
        </w:rPr>
        <w:t xml:space="preserve"> involvement of </w:t>
      </w:r>
      <w:r w:rsidR="00DE1A73" w:rsidRPr="00843E05">
        <w:rPr>
          <w:sz w:val="22"/>
          <w:szCs w:val="22"/>
          <w:lang w:val="en-US"/>
        </w:rPr>
        <w:t>β</w:t>
      </w:r>
      <w:r w:rsidR="005451C8" w:rsidRPr="00843E05">
        <w:rPr>
          <w:sz w:val="22"/>
          <w:szCs w:val="22"/>
          <w:lang w:val="en-US"/>
        </w:rPr>
        <w:t xml:space="preserve">1 integrins in </w:t>
      </w:r>
      <w:proofErr w:type="spellStart"/>
      <w:r w:rsidR="005451C8" w:rsidRPr="00843E05">
        <w:rPr>
          <w:sz w:val="22"/>
          <w:szCs w:val="22"/>
          <w:lang w:val="en-US"/>
        </w:rPr>
        <w:t>TRPV4</w:t>
      </w:r>
      <w:proofErr w:type="spellEnd"/>
      <w:r w:rsidR="005451C8" w:rsidRPr="00843E05">
        <w:rPr>
          <w:sz w:val="22"/>
          <w:szCs w:val="22"/>
          <w:lang w:val="en-US"/>
        </w:rPr>
        <w:t xml:space="preserve">-mediated cell adhesion by performing </w:t>
      </w:r>
      <w:r w:rsidRPr="00843E05">
        <w:rPr>
          <w:sz w:val="22"/>
          <w:szCs w:val="22"/>
          <w:lang w:val="en-US"/>
        </w:rPr>
        <w:t>cell adhesion assays</w:t>
      </w:r>
      <w:r w:rsidR="00227026" w:rsidRPr="00843E05">
        <w:rPr>
          <w:sz w:val="22"/>
          <w:szCs w:val="22"/>
          <w:lang w:val="en-US"/>
        </w:rPr>
        <w:t>.</w:t>
      </w:r>
      <w:r w:rsidRPr="00843E05">
        <w:rPr>
          <w:sz w:val="22"/>
          <w:szCs w:val="22"/>
          <w:lang w:val="en-US"/>
        </w:rPr>
        <w:t xml:space="preserve"> </w:t>
      </w:r>
      <w:r w:rsidR="00227026" w:rsidRPr="00843E05">
        <w:rPr>
          <w:sz w:val="22"/>
          <w:szCs w:val="22"/>
          <w:lang w:val="en-US"/>
        </w:rPr>
        <w:t xml:space="preserve">Cell were </w:t>
      </w:r>
      <w:r w:rsidRPr="00843E05">
        <w:rPr>
          <w:sz w:val="22"/>
          <w:szCs w:val="22"/>
          <w:lang w:val="en-US"/>
        </w:rPr>
        <w:t>pre-incubat</w:t>
      </w:r>
      <w:r w:rsidR="00227026" w:rsidRPr="00843E05">
        <w:rPr>
          <w:sz w:val="22"/>
          <w:szCs w:val="22"/>
          <w:lang w:val="en-US"/>
        </w:rPr>
        <w:t>ed</w:t>
      </w:r>
      <w:r w:rsidRPr="00843E05">
        <w:rPr>
          <w:sz w:val="22"/>
          <w:szCs w:val="22"/>
          <w:lang w:val="en-US"/>
        </w:rPr>
        <w:t xml:space="preserve"> with </w:t>
      </w:r>
      <w:proofErr w:type="spellStart"/>
      <w:r w:rsidRPr="00843E05">
        <w:rPr>
          <w:sz w:val="22"/>
          <w:szCs w:val="22"/>
          <w:lang w:val="en-US"/>
        </w:rPr>
        <w:t>9EG7</w:t>
      </w:r>
      <w:proofErr w:type="spellEnd"/>
      <w:r w:rsidRPr="00843E05">
        <w:rPr>
          <w:sz w:val="22"/>
          <w:szCs w:val="22"/>
          <w:lang w:val="en-US"/>
        </w:rPr>
        <w:t xml:space="preserve"> activating antibody</w:t>
      </w:r>
      <w:r w:rsidR="00227026" w:rsidRPr="00843E05">
        <w:rPr>
          <w:sz w:val="22"/>
          <w:szCs w:val="22"/>
          <w:lang w:val="en-US"/>
        </w:rPr>
        <w:t>:</w:t>
      </w:r>
      <w:r w:rsidRPr="00843E05">
        <w:rPr>
          <w:sz w:val="22"/>
          <w:szCs w:val="22"/>
          <w:lang w:val="en-US"/>
        </w:rPr>
        <w:t xml:space="preserve"> </w:t>
      </w:r>
      <w:r w:rsidR="00227026" w:rsidRPr="00843E05">
        <w:rPr>
          <w:sz w:val="22"/>
          <w:szCs w:val="22"/>
          <w:lang w:val="en-US"/>
        </w:rPr>
        <w:t>a</w:t>
      </w:r>
      <w:r w:rsidRPr="00843E05">
        <w:rPr>
          <w:sz w:val="22"/>
          <w:szCs w:val="22"/>
          <w:lang w:val="en-US"/>
        </w:rPr>
        <w:t xml:space="preserve">s shown in fig </w:t>
      </w:r>
      <w:proofErr w:type="spellStart"/>
      <w:r w:rsidRPr="00843E05">
        <w:rPr>
          <w:sz w:val="22"/>
          <w:szCs w:val="22"/>
          <w:lang w:val="en-US"/>
        </w:rPr>
        <w:t>9</w:t>
      </w:r>
      <w:r w:rsidR="00E83E83" w:rsidRPr="00843E05">
        <w:rPr>
          <w:sz w:val="22"/>
          <w:szCs w:val="22"/>
          <w:lang w:val="en-US"/>
        </w:rPr>
        <w:t>E</w:t>
      </w:r>
      <w:proofErr w:type="spellEnd"/>
      <w:r w:rsidRPr="00843E05">
        <w:rPr>
          <w:sz w:val="22"/>
          <w:szCs w:val="22"/>
          <w:lang w:val="en-US"/>
        </w:rPr>
        <w:t xml:space="preserve">, the addition of </w:t>
      </w:r>
      <w:proofErr w:type="spellStart"/>
      <w:r w:rsidRPr="00843E05">
        <w:rPr>
          <w:sz w:val="22"/>
          <w:szCs w:val="22"/>
          <w:lang w:val="en-US"/>
        </w:rPr>
        <w:t>9EG7</w:t>
      </w:r>
      <w:proofErr w:type="spellEnd"/>
      <w:r w:rsidRPr="00843E05">
        <w:rPr>
          <w:sz w:val="22"/>
          <w:szCs w:val="22"/>
          <w:lang w:val="en-US"/>
        </w:rPr>
        <w:t xml:space="preserve"> and </w:t>
      </w:r>
      <w:proofErr w:type="spellStart"/>
      <w:r w:rsidR="00E83E83" w:rsidRPr="00843E05">
        <w:rPr>
          <w:sz w:val="22"/>
          <w:szCs w:val="22"/>
          <w:lang w:val="en-US"/>
        </w:rPr>
        <w:t>Mn</w:t>
      </w:r>
      <w:r w:rsidR="00E83E83" w:rsidRPr="00843E05">
        <w:rPr>
          <w:sz w:val="22"/>
          <w:szCs w:val="22"/>
          <w:vertAlign w:val="superscript"/>
          <w:lang w:val="en-US"/>
        </w:rPr>
        <w:t>2</w:t>
      </w:r>
      <w:proofErr w:type="spellEnd"/>
      <w:r w:rsidR="00E83E83" w:rsidRPr="00843E05">
        <w:rPr>
          <w:sz w:val="22"/>
          <w:szCs w:val="22"/>
          <w:vertAlign w:val="superscript"/>
          <w:lang w:val="en-US"/>
        </w:rPr>
        <w:t>+</w:t>
      </w:r>
      <w:r w:rsidRPr="00843E05">
        <w:rPr>
          <w:sz w:val="22"/>
          <w:szCs w:val="22"/>
          <w:lang w:val="en-US"/>
        </w:rPr>
        <w:t xml:space="preserve"> fully rever</w:t>
      </w:r>
      <w:r w:rsidR="005451C8" w:rsidRPr="00843E05">
        <w:rPr>
          <w:sz w:val="22"/>
          <w:szCs w:val="22"/>
          <w:lang w:val="en-US"/>
        </w:rPr>
        <w:t>ted</w:t>
      </w:r>
      <w:r w:rsidRPr="00843E05">
        <w:rPr>
          <w:sz w:val="22"/>
          <w:szCs w:val="22"/>
          <w:lang w:val="en-US"/>
        </w:rPr>
        <w:t xml:space="preserve"> </w:t>
      </w:r>
      <w:r w:rsidR="005451C8" w:rsidRPr="00843E05">
        <w:rPr>
          <w:sz w:val="22"/>
          <w:szCs w:val="22"/>
          <w:lang w:val="en-US"/>
        </w:rPr>
        <w:t xml:space="preserve">the inhibitory effect induced by </w:t>
      </w:r>
      <w:proofErr w:type="spellStart"/>
      <w:r w:rsidR="005451C8" w:rsidRPr="00843E05">
        <w:rPr>
          <w:sz w:val="22"/>
          <w:szCs w:val="22"/>
          <w:lang w:val="en-US"/>
        </w:rPr>
        <w:t>TRPV4</w:t>
      </w:r>
      <w:proofErr w:type="spellEnd"/>
      <w:r w:rsidR="005451C8" w:rsidRPr="00843E05">
        <w:rPr>
          <w:sz w:val="22"/>
          <w:szCs w:val="22"/>
          <w:lang w:val="en-US"/>
        </w:rPr>
        <w:t xml:space="preserve"> downregulation</w:t>
      </w:r>
      <w:r w:rsidR="00B84C8C">
        <w:rPr>
          <w:sz w:val="22"/>
          <w:szCs w:val="22"/>
          <w:lang w:val="en-US"/>
        </w:rPr>
        <w:t>,</w:t>
      </w:r>
      <w:r w:rsidR="005451C8" w:rsidRPr="00843E05">
        <w:rPr>
          <w:sz w:val="22"/>
          <w:szCs w:val="22"/>
          <w:lang w:val="en-US"/>
        </w:rPr>
        <w:t xml:space="preserve"> </w:t>
      </w:r>
      <w:r w:rsidR="00B84C8C">
        <w:rPr>
          <w:sz w:val="22"/>
          <w:szCs w:val="22"/>
          <w:lang w:val="en-US"/>
        </w:rPr>
        <w:t>suggesting</w:t>
      </w:r>
      <w:r w:rsidR="00B84C8C" w:rsidRPr="00843E05">
        <w:rPr>
          <w:sz w:val="22"/>
          <w:szCs w:val="22"/>
          <w:lang w:val="en-US"/>
        </w:rPr>
        <w:t xml:space="preserve"> </w:t>
      </w:r>
      <w:r w:rsidR="005451C8" w:rsidRPr="00843E05">
        <w:rPr>
          <w:sz w:val="22"/>
          <w:szCs w:val="22"/>
          <w:lang w:val="en-US"/>
        </w:rPr>
        <w:t xml:space="preserve">that </w:t>
      </w:r>
      <w:proofErr w:type="spellStart"/>
      <w:r w:rsidR="005451C8" w:rsidRPr="00843E05">
        <w:rPr>
          <w:sz w:val="22"/>
          <w:szCs w:val="22"/>
          <w:lang w:val="en-US"/>
        </w:rPr>
        <w:t>TRPV4</w:t>
      </w:r>
      <w:proofErr w:type="spellEnd"/>
      <w:r w:rsidR="005451C8" w:rsidRPr="00843E05">
        <w:rPr>
          <w:sz w:val="22"/>
          <w:szCs w:val="22"/>
          <w:lang w:val="en-US"/>
        </w:rPr>
        <w:t xml:space="preserve"> activation act</w:t>
      </w:r>
      <w:r w:rsidR="00227026" w:rsidRPr="00843E05">
        <w:rPr>
          <w:sz w:val="22"/>
          <w:szCs w:val="22"/>
          <w:lang w:val="en-US"/>
        </w:rPr>
        <w:t>s</w:t>
      </w:r>
      <w:r w:rsidR="005451C8" w:rsidRPr="00843E05">
        <w:rPr>
          <w:sz w:val="22"/>
          <w:szCs w:val="22"/>
          <w:lang w:val="en-US"/>
        </w:rPr>
        <w:t xml:space="preserve"> upstream of </w:t>
      </w:r>
      <w:r w:rsidR="00A76A5F" w:rsidRPr="00843E05">
        <w:rPr>
          <w:sz w:val="22"/>
          <w:szCs w:val="22"/>
          <w:lang w:val="en-US"/>
        </w:rPr>
        <w:t>β</w:t>
      </w:r>
      <w:r w:rsidR="005451C8" w:rsidRPr="00843E05">
        <w:rPr>
          <w:sz w:val="22"/>
          <w:szCs w:val="22"/>
          <w:lang w:val="en-US"/>
        </w:rPr>
        <w:t xml:space="preserve">1 integrin </w:t>
      </w:r>
      <w:r w:rsidR="00B84C8C">
        <w:rPr>
          <w:sz w:val="22"/>
          <w:szCs w:val="22"/>
          <w:lang w:val="en-US"/>
        </w:rPr>
        <w:t>and interferes</w:t>
      </w:r>
      <w:r w:rsidR="00B84C8C" w:rsidRPr="00843E05">
        <w:rPr>
          <w:sz w:val="22"/>
          <w:szCs w:val="22"/>
          <w:lang w:val="en-US"/>
        </w:rPr>
        <w:t xml:space="preserve"> </w:t>
      </w:r>
      <w:r w:rsidR="005451C8" w:rsidRPr="00843E05">
        <w:rPr>
          <w:sz w:val="22"/>
          <w:szCs w:val="22"/>
          <w:lang w:val="en-US"/>
        </w:rPr>
        <w:t xml:space="preserve">with its inside-out signaling. </w:t>
      </w:r>
    </w:p>
    <w:p w14:paraId="0BFF026A" w14:textId="510C5CCC" w:rsidR="00B253FC" w:rsidRDefault="00B253FC">
      <w:pPr>
        <w:pStyle w:val="BodyB"/>
        <w:keepNext w:val="0"/>
        <w:widowControl w:val="0"/>
        <w:suppressAutoHyphens w:val="0"/>
        <w:spacing w:line="480" w:lineRule="auto"/>
        <w:jc w:val="both"/>
        <w:rPr>
          <w:b/>
          <w:bCs/>
          <w:i/>
          <w:iCs/>
          <w:noProof/>
          <w:sz w:val="22"/>
          <w:szCs w:val="22"/>
          <w:lang w:val="en-US"/>
        </w:rPr>
      </w:pPr>
    </w:p>
    <w:p w14:paraId="6250D21A" w14:textId="26A6D6B6" w:rsidR="00B253FC" w:rsidRPr="00480599" w:rsidRDefault="00E160CF">
      <w:pPr>
        <w:pStyle w:val="BodyB"/>
        <w:keepNext w:val="0"/>
        <w:widowControl w:val="0"/>
        <w:suppressAutoHyphens w:val="0"/>
        <w:spacing w:line="480" w:lineRule="auto"/>
        <w:jc w:val="both"/>
        <w:rPr>
          <w:sz w:val="22"/>
          <w:szCs w:val="22"/>
          <w:lang w:val="en-US"/>
        </w:rPr>
      </w:pPr>
      <w:r>
        <w:rPr>
          <w:b/>
          <w:bCs/>
          <w:i/>
          <w:iCs/>
          <w:noProof/>
          <w:sz w:val="22"/>
          <w:szCs w:val="22"/>
          <w:lang w:val="en-US"/>
        </w:rPr>
        <w:pict w14:anchorId="2615C274">
          <v:shape id="_x0000_i1025" type="#_x0000_t75" alt="TRPV4bis" style="width:481.8pt;height:205.2pt;mso-width-percent:0;mso-height-percent:0;mso-width-percent:0;mso-height-percent:0">
            <v:imagedata r:id="rId16" o:title="TRPV4bis"/>
          </v:shape>
        </w:pict>
      </w:r>
    </w:p>
    <w:p w14:paraId="492BDBBE" w14:textId="4166C340" w:rsidR="007C0369" w:rsidRPr="00DE1A73" w:rsidRDefault="00480599" w:rsidP="007C0369">
      <w:pPr>
        <w:pStyle w:val="BodyB"/>
        <w:keepNext w:val="0"/>
        <w:widowControl w:val="0"/>
        <w:suppressAutoHyphens w:val="0"/>
        <w:spacing w:line="480" w:lineRule="auto"/>
        <w:jc w:val="both"/>
        <w:rPr>
          <w:i/>
          <w:iCs/>
          <w:kern w:val="24"/>
          <w:sz w:val="20"/>
          <w:szCs w:val="20"/>
          <w:lang w:val="en-US"/>
        </w:rPr>
      </w:pPr>
      <w:r w:rsidRPr="00DE1A73">
        <w:rPr>
          <w:i/>
          <w:iCs/>
          <w:kern w:val="24"/>
          <w:sz w:val="20"/>
          <w:szCs w:val="20"/>
          <w:lang w:val="en-US"/>
        </w:rPr>
        <w:t xml:space="preserve">Figure 9 </w:t>
      </w:r>
      <w:r w:rsidR="00DE1A73" w:rsidRPr="00DE1A73">
        <w:rPr>
          <w:i/>
          <w:iCs/>
          <w:kern w:val="24"/>
          <w:sz w:val="20"/>
          <w:szCs w:val="20"/>
          <w:lang w:val="en-US"/>
        </w:rPr>
        <w:t xml:space="preserve">(A, B) Western Blot Analysis of </w:t>
      </w:r>
      <w:proofErr w:type="spellStart"/>
      <w:r w:rsidR="00DE1A73" w:rsidRPr="00DE1A73">
        <w:rPr>
          <w:i/>
          <w:iCs/>
          <w:kern w:val="24"/>
          <w:sz w:val="20"/>
          <w:szCs w:val="20"/>
          <w:lang w:val="en-US"/>
        </w:rPr>
        <w:t>TRPV4</w:t>
      </w:r>
      <w:proofErr w:type="spellEnd"/>
      <w:r w:rsidR="00DE1A73" w:rsidRPr="00DE1A73">
        <w:rPr>
          <w:i/>
          <w:iCs/>
          <w:kern w:val="24"/>
          <w:sz w:val="20"/>
          <w:szCs w:val="20"/>
          <w:lang w:val="en-US"/>
        </w:rPr>
        <w:t xml:space="preserve"> expression and downregulation in </w:t>
      </w:r>
      <w:proofErr w:type="spellStart"/>
      <w:r w:rsidR="00DE1A73" w:rsidRPr="00DE1A73">
        <w:rPr>
          <w:i/>
          <w:iCs/>
          <w:kern w:val="24"/>
          <w:sz w:val="20"/>
          <w:szCs w:val="20"/>
          <w:lang w:val="en-US"/>
        </w:rPr>
        <w:t>MC3T3</w:t>
      </w:r>
      <w:proofErr w:type="spellEnd"/>
      <w:r w:rsidR="00DE1A73" w:rsidRPr="00DE1A73">
        <w:rPr>
          <w:i/>
          <w:iCs/>
          <w:kern w:val="24"/>
          <w:sz w:val="20"/>
          <w:szCs w:val="20"/>
          <w:lang w:val="en-US"/>
        </w:rPr>
        <w:t>.</w:t>
      </w:r>
      <w:r w:rsidR="0025473D">
        <w:rPr>
          <w:i/>
          <w:iCs/>
          <w:kern w:val="24"/>
          <w:sz w:val="20"/>
          <w:szCs w:val="20"/>
          <w:lang w:val="en-US"/>
        </w:rPr>
        <w:t xml:space="preserve"> </w:t>
      </w:r>
      <w:r w:rsidR="00DE1A73" w:rsidRPr="00DE1A73">
        <w:rPr>
          <w:i/>
          <w:iCs/>
          <w:kern w:val="24"/>
          <w:sz w:val="20"/>
          <w:szCs w:val="20"/>
          <w:lang w:val="en-US"/>
        </w:rPr>
        <w:t>(C, D)</w:t>
      </w:r>
      <w:r w:rsidR="00DE1A73" w:rsidRPr="00DE1A73">
        <w:rPr>
          <w:i/>
          <w:sz w:val="20"/>
          <w:szCs w:val="20"/>
          <w:lang w:val="en-US"/>
        </w:rPr>
        <w:t xml:space="preserve"> </w:t>
      </w:r>
      <w:proofErr w:type="spellStart"/>
      <w:r w:rsidR="00DE1A73" w:rsidRPr="00DE1A73">
        <w:rPr>
          <w:i/>
          <w:sz w:val="20"/>
          <w:szCs w:val="20"/>
          <w:lang w:val="en-US"/>
        </w:rPr>
        <w:t>Ca</w:t>
      </w:r>
      <w:r w:rsidR="00DE1A73" w:rsidRPr="00DE1A73">
        <w:rPr>
          <w:i/>
          <w:sz w:val="20"/>
          <w:szCs w:val="20"/>
          <w:vertAlign w:val="superscript"/>
          <w:lang w:val="en-US"/>
        </w:rPr>
        <w:t>2</w:t>
      </w:r>
      <w:proofErr w:type="spellEnd"/>
      <w:r w:rsidR="00DE1A73" w:rsidRPr="00DE1A73">
        <w:rPr>
          <w:i/>
          <w:sz w:val="20"/>
          <w:szCs w:val="20"/>
          <w:vertAlign w:val="superscript"/>
          <w:lang w:val="en-US"/>
        </w:rPr>
        <w:t>+</w:t>
      </w:r>
      <w:r w:rsidR="00DE1A73" w:rsidRPr="00DE1A73">
        <w:rPr>
          <w:i/>
          <w:sz w:val="20"/>
          <w:szCs w:val="20"/>
          <w:lang w:val="en-US"/>
        </w:rPr>
        <w:t xml:space="preserve"> imaging experiments showing the calcium signals observed activating </w:t>
      </w:r>
      <w:proofErr w:type="spellStart"/>
      <w:r w:rsidR="00DE1A73" w:rsidRPr="00DE1A73">
        <w:rPr>
          <w:i/>
          <w:sz w:val="20"/>
          <w:szCs w:val="20"/>
          <w:lang w:val="en-US"/>
        </w:rPr>
        <w:t>TRPV4</w:t>
      </w:r>
      <w:proofErr w:type="spellEnd"/>
      <w:r w:rsidR="00DE1A73" w:rsidRPr="00DE1A73">
        <w:rPr>
          <w:i/>
          <w:sz w:val="20"/>
          <w:szCs w:val="20"/>
          <w:lang w:val="en-US"/>
        </w:rPr>
        <w:t xml:space="preserve"> with 4α</w:t>
      </w:r>
      <w:proofErr w:type="spellStart"/>
      <w:r w:rsidR="00DE1A73" w:rsidRPr="00DE1A73">
        <w:rPr>
          <w:i/>
          <w:sz w:val="20"/>
          <w:szCs w:val="20"/>
          <w:lang w:val="en-US"/>
        </w:rPr>
        <w:t>PDD</w:t>
      </w:r>
      <w:proofErr w:type="spellEnd"/>
      <w:r w:rsidR="00DE1A73" w:rsidRPr="00DE1A73">
        <w:rPr>
          <w:i/>
          <w:sz w:val="20"/>
          <w:szCs w:val="20"/>
          <w:lang w:val="en-US"/>
        </w:rPr>
        <w:t xml:space="preserve"> 10 µM in CTRL and </w:t>
      </w:r>
      <w:proofErr w:type="spellStart"/>
      <w:r w:rsidR="00DE1A73" w:rsidRPr="00DE1A73">
        <w:rPr>
          <w:i/>
          <w:sz w:val="20"/>
          <w:szCs w:val="20"/>
          <w:lang w:val="en-US"/>
        </w:rPr>
        <w:t>shTRPV4</w:t>
      </w:r>
      <w:proofErr w:type="spellEnd"/>
      <w:r w:rsidR="00DE1A73" w:rsidRPr="00DE1A73">
        <w:rPr>
          <w:i/>
          <w:sz w:val="20"/>
          <w:szCs w:val="20"/>
          <w:lang w:val="en-US"/>
        </w:rPr>
        <w:t xml:space="preserve"> </w:t>
      </w:r>
      <w:proofErr w:type="spellStart"/>
      <w:r w:rsidR="00DE1A73" w:rsidRPr="00DE1A73">
        <w:rPr>
          <w:i/>
          <w:sz w:val="20"/>
          <w:szCs w:val="20"/>
          <w:lang w:val="en-US"/>
        </w:rPr>
        <w:t>MC3T3</w:t>
      </w:r>
      <w:proofErr w:type="spellEnd"/>
      <w:r w:rsidR="00DE1A73" w:rsidRPr="00DE1A73">
        <w:rPr>
          <w:i/>
          <w:sz w:val="20"/>
          <w:szCs w:val="20"/>
          <w:lang w:val="en-US"/>
        </w:rPr>
        <w:t>. (D) q</w:t>
      </w:r>
      <w:r w:rsidR="00E07E2C">
        <w:rPr>
          <w:i/>
          <w:sz w:val="20"/>
          <w:szCs w:val="20"/>
          <w:lang w:val="en-US"/>
        </w:rPr>
        <w:t>uantification of peak amplitude.</w:t>
      </w:r>
      <w:r w:rsidR="00DE1A73" w:rsidRPr="00DE1A73">
        <w:rPr>
          <w:i/>
          <w:sz w:val="20"/>
          <w:szCs w:val="20"/>
          <w:lang w:val="en-US"/>
        </w:rPr>
        <w:t xml:space="preserve"> (E)</w:t>
      </w:r>
      <w:r w:rsidR="007C0369" w:rsidRPr="00DE1A73">
        <w:rPr>
          <w:i/>
          <w:iCs/>
          <w:kern w:val="24"/>
          <w:sz w:val="20"/>
          <w:szCs w:val="20"/>
          <w:lang w:val="en-US"/>
        </w:rPr>
        <w:t xml:space="preserve"> Cell adhesion of </w:t>
      </w:r>
      <w:proofErr w:type="spellStart"/>
      <w:r w:rsidR="007C0369" w:rsidRPr="00DE1A73">
        <w:rPr>
          <w:i/>
          <w:iCs/>
          <w:kern w:val="24"/>
          <w:sz w:val="20"/>
          <w:szCs w:val="20"/>
          <w:lang w:val="en-US"/>
        </w:rPr>
        <w:t>MC3T3</w:t>
      </w:r>
      <w:proofErr w:type="spellEnd"/>
      <w:r w:rsidR="007C0369" w:rsidRPr="00DE1A73">
        <w:rPr>
          <w:i/>
          <w:iCs/>
          <w:kern w:val="24"/>
          <w:sz w:val="20"/>
          <w:szCs w:val="20"/>
          <w:lang w:val="en-US"/>
        </w:rPr>
        <w:t xml:space="preserve"> on different titanium</w:t>
      </w:r>
      <w:r w:rsidRPr="00DE1A73">
        <w:rPr>
          <w:i/>
          <w:iCs/>
          <w:kern w:val="24"/>
          <w:sz w:val="20"/>
          <w:szCs w:val="20"/>
          <w:lang w:val="en-US"/>
        </w:rPr>
        <w:t xml:space="preserve"> surfaces in control condition and downregulating </w:t>
      </w:r>
      <w:proofErr w:type="spellStart"/>
      <w:r w:rsidRPr="00DE1A73">
        <w:rPr>
          <w:i/>
          <w:iCs/>
          <w:kern w:val="24"/>
          <w:sz w:val="20"/>
          <w:szCs w:val="20"/>
          <w:lang w:val="en-US"/>
        </w:rPr>
        <w:t>TRPV4</w:t>
      </w:r>
      <w:proofErr w:type="spellEnd"/>
      <w:r w:rsidRPr="00DE1A73">
        <w:rPr>
          <w:i/>
          <w:iCs/>
          <w:kern w:val="24"/>
          <w:sz w:val="20"/>
          <w:szCs w:val="20"/>
          <w:lang w:val="en-US"/>
        </w:rPr>
        <w:t xml:space="preserve"> </w:t>
      </w:r>
      <w:r w:rsidR="007C0369" w:rsidRPr="00DE1A73">
        <w:rPr>
          <w:i/>
          <w:iCs/>
          <w:kern w:val="24"/>
          <w:sz w:val="20"/>
          <w:szCs w:val="20"/>
          <w:lang w:val="en-US"/>
        </w:rPr>
        <w:t xml:space="preserve">pretreated or not with </w:t>
      </w:r>
      <w:proofErr w:type="spellStart"/>
      <w:r w:rsidR="007C0369" w:rsidRPr="00DE1A73">
        <w:rPr>
          <w:i/>
          <w:iCs/>
          <w:kern w:val="24"/>
          <w:sz w:val="20"/>
          <w:szCs w:val="20"/>
          <w:lang w:val="en-US"/>
        </w:rPr>
        <w:t>9EG7</w:t>
      </w:r>
      <w:proofErr w:type="spellEnd"/>
      <w:r w:rsidR="007C0369" w:rsidRPr="00DE1A73">
        <w:rPr>
          <w:i/>
          <w:iCs/>
          <w:kern w:val="24"/>
          <w:sz w:val="20"/>
          <w:szCs w:val="20"/>
          <w:lang w:val="en-US"/>
        </w:rPr>
        <w:t xml:space="preserve"> antibody and </w:t>
      </w:r>
      <w:proofErr w:type="spellStart"/>
      <w:r w:rsidR="007C0369" w:rsidRPr="00DE1A73">
        <w:rPr>
          <w:i/>
          <w:iCs/>
          <w:kern w:val="24"/>
          <w:sz w:val="20"/>
          <w:szCs w:val="20"/>
          <w:lang w:val="en-US"/>
        </w:rPr>
        <w:t>M</w:t>
      </w:r>
      <w:r w:rsidR="00DE1A73" w:rsidRPr="00DE1A73">
        <w:rPr>
          <w:i/>
          <w:iCs/>
          <w:kern w:val="24"/>
          <w:sz w:val="20"/>
          <w:szCs w:val="20"/>
          <w:lang w:val="en-US"/>
        </w:rPr>
        <w:t>n</w:t>
      </w:r>
      <w:r w:rsidR="007C0369" w:rsidRPr="00DE1A73">
        <w:rPr>
          <w:i/>
          <w:iCs/>
          <w:kern w:val="24"/>
          <w:sz w:val="20"/>
          <w:szCs w:val="20"/>
          <w:vertAlign w:val="superscript"/>
          <w:lang w:val="en-US"/>
        </w:rPr>
        <w:t>2</w:t>
      </w:r>
      <w:proofErr w:type="spellEnd"/>
      <w:r w:rsidR="007C0369" w:rsidRPr="00DE1A73">
        <w:rPr>
          <w:i/>
          <w:iCs/>
          <w:kern w:val="24"/>
          <w:sz w:val="20"/>
          <w:szCs w:val="20"/>
          <w:vertAlign w:val="superscript"/>
          <w:lang w:val="en-US"/>
        </w:rPr>
        <w:t>+</w:t>
      </w:r>
      <w:r w:rsidR="007C0369" w:rsidRPr="00DE1A73">
        <w:rPr>
          <w:i/>
          <w:iCs/>
          <w:kern w:val="24"/>
          <w:sz w:val="20"/>
          <w:szCs w:val="20"/>
          <w:lang w:val="en-US"/>
        </w:rPr>
        <w:t>.</w:t>
      </w:r>
      <w:r w:rsidR="007C0369" w:rsidRPr="00DE1A73">
        <w:rPr>
          <w:i/>
          <w:kern w:val="24"/>
          <w:sz w:val="20"/>
          <w:szCs w:val="20"/>
          <w:lang w:val="en-US"/>
        </w:rPr>
        <w:t>Values represent mean ± SEM; the symbol (*) indicates a statistically si</w:t>
      </w:r>
      <w:r w:rsidRPr="00DE1A73">
        <w:rPr>
          <w:i/>
          <w:iCs/>
          <w:kern w:val="24"/>
          <w:sz w:val="20"/>
          <w:szCs w:val="20"/>
          <w:lang w:val="en-US"/>
        </w:rPr>
        <w:t xml:space="preserve">gnificant difference </w:t>
      </w:r>
      <w:r w:rsidR="007C0369" w:rsidRPr="00DE1A73">
        <w:rPr>
          <w:i/>
          <w:iCs/>
          <w:kern w:val="24"/>
          <w:sz w:val="20"/>
          <w:szCs w:val="20"/>
          <w:lang w:val="en-US"/>
        </w:rPr>
        <w:t>considering a p-value &lt; 0.05.</w:t>
      </w:r>
    </w:p>
    <w:p w14:paraId="52D41FF8" w14:textId="2A38171F" w:rsidR="00E2412D" w:rsidRPr="00D94DD1" w:rsidRDefault="00673E5C">
      <w:pPr>
        <w:keepNext w:val="0"/>
      </w:pPr>
      <w:r>
        <w:rPr>
          <w:i/>
          <w:iCs/>
          <w:sz w:val="26"/>
          <w:szCs w:val="26"/>
        </w:rPr>
        <w:br w:type="page"/>
      </w:r>
    </w:p>
    <w:p w14:paraId="2EDB3E78" w14:textId="77777777" w:rsidR="00E2412D" w:rsidRPr="005E6AFE" w:rsidRDefault="00673E5C">
      <w:pPr>
        <w:keepNext w:val="0"/>
        <w:widowControl w:val="0"/>
        <w:rPr>
          <w:rFonts w:eastAsia="Times New Roman Bold"/>
          <w:b/>
          <w:sz w:val="22"/>
          <w:szCs w:val="22"/>
        </w:rPr>
      </w:pPr>
      <w:r w:rsidRPr="005E6AFE">
        <w:rPr>
          <w:b/>
          <w:bCs/>
          <w:szCs w:val="22"/>
        </w:rPr>
        <w:lastRenderedPageBreak/>
        <w:t xml:space="preserve">4. </w:t>
      </w:r>
      <w:r w:rsidRPr="005E6AFE">
        <w:rPr>
          <w:b/>
          <w:szCs w:val="22"/>
        </w:rPr>
        <w:t>Discussion</w:t>
      </w:r>
    </w:p>
    <w:p w14:paraId="2BF83F1D" w14:textId="38C3CD94" w:rsidR="00E2412D" w:rsidRPr="005E6AFE" w:rsidRDefault="00673E5C">
      <w:pPr>
        <w:pStyle w:val="NormaleWeb"/>
        <w:keepNext w:val="0"/>
        <w:widowControl w:val="0"/>
        <w:suppressAutoHyphens w:val="0"/>
        <w:spacing w:line="480" w:lineRule="auto"/>
        <w:jc w:val="both"/>
        <w:rPr>
          <w:sz w:val="22"/>
          <w:szCs w:val="22"/>
          <w:u w:color="FF0000"/>
          <w:lang w:val="en-US"/>
        </w:rPr>
      </w:pPr>
      <w:r w:rsidRPr="005E6AFE">
        <w:rPr>
          <w:sz w:val="22"/>
          <w:szCs w:val="22"/>
          <w:u w:color="FF0000"/>
          <w:lang w:val="en-US"/>
        </w:rPr>
        <w:t xml:space="preserve">It is accepted that the capability of biomaterials to </w:t>
      </w:r>
      <w:proofErr w:type="spellStart"/>
      <w:r w:rsidRPr="005E6AFE">
        <w:rPr>
          <w:sz w:val="22"/>
          <w:szCs w:val="22"/>
          <w:u w:color="FF0000"/>
          <w:lang w:val="en-US"/>
        </w:rPr>
        <w:t>osseointegrate</w:t>
      </w:r>
      <w:proofErr w:type="spellEnd"/>
      <w:r w:rsidRPr="005E6AFE">
        <w:rPr>
          <w:sz w:val="22"/>
          <w:szCs w:val="22"/>
          <w:u w:color="FF0000"/>
          <w:lang w:val="en-US"/>
        </w:rPr>
        <w:t xml:space="preserve"> can be preliminary tested and somehow predicted based on </w:t>
      </w:r>
      <w:r w:rsidRPr="005E6AFE">
        <w:rPr>
          <w:i/>
          <w:iCs/>
          <w:sz w:val="22"/>
          <w:szCs w:val="22"/>
          <w:u w:color="FF0000"/>
          <w:lang w:val="en-US"/>
        </w:rPr>
        <w:t>in vitro</w:t>
      </w:r>
      <w:r w:rsidRPr="005E6AFE">
        <w:rPr>
          <w:sz w:val="22"/>
          <w:szCs w:val="22"/>
          <w:u w:color="FF0000"/>
          <w:lang w:val="en-US"/>
        </w:rPr>
        <w:t xml:space="preserve"> behavior of osteoblasts properly seeded on the material surface </w:t>
      </w:r>
      <w:r w:rsidR="002F49D0" w:rsidRPr="005E6AFE">
        <w:rPr>
          <w:sz w:val="22"/>
          <w:szCs w:val="22"/>
          <w:u w:color="FF0000"/>
          <w:lang w:val="en-US"/>
        </w:rPr>
        <w:fldChar w:fldCharType="begin" w:fldLock="1"/>
      </w:r>
      <w:r w:rsidR="00296F38">
        <w:rPr>
          <w:sz w:val="22"/>
          <w:szCs w:val="22"/>
          <w:u w:color="FF0000"/>
          <w:lang w:val="en-US"/>
        </w:rPr>
        <w:instrText>ADDIN CSL_CITATION { "citationItems" : [ { "id" : "ITEM-1", "itemData" : { "DOI" : "10.1021/am401071f", "ISSN" : "1944-8252", "PMID" : "23848958", "abstract" : "Osteointegration of titanium implants in bone defects is clinically important for long-term performance of orthopaedic implants. In this work, we developed a facile and effective \"one-pot\" deposition method based on dopamine polymerization for the development of cell-adhesive, osteoconductive, and osteoinductive titanium implants. Arg-Gly-Asp (RGD)-conjugated polymers, hydroxyapatite (HAp) nanoparticles, and bone morphogenic protein-2 (BMP-2) were mixed with an alkaline dopamine solution, and then, titanium substrates were immersed in the mixture for an hour. During poly(dopamine) coating, the three types of bioactive substances were immobilized on the titanium surfaces. Our results indicate that RGD conjugation enhanced the adhesion of human bone marrow stem cell line, while HAp incorporation facilitated cellular osteodifferentiation. The immobilization of BMP-2 induced the osteogenesis of the stem cells, indicated by reverse-transcriptase polymerase chain reaction (RT-PCR) analysis. The mineralization on the deposited substrates was also enhanced greatly. This functionalized layer on titanium substrate promoted mesenchymal stem cell to osteoblast and improved osteogenic differentiation and mineralization. In conclusion, the surface modification method shows a great potential for enhancement of osteointegration of orthopaedic and dental implants.", "author" : [ { "dropping-particle" : "", "family" : "Chien", "given" : "Chih-Yuan", "non-dropping-particle" : "", "parse-names" : false, "suffix" : "" }, { "dropping-particle" : "", "family" : "Tsai", "given" : "Wei-Bor", "non-dropping-particle" : "", "parse-names" : false, "suffix" : "" } ], "container-title" : "ACS applied materials &amp; interfaces", "id" : "ITEM-1", "issue" : "15", "issued" : { "date-parts" : [ [ "2013", "8", "14" ] ] }, "page" : "6975-83", "title" : "Poly(dopamine)-assisted immobilization of Arg-Gly-Asp peptides, hydroxyapatite, and bone morphogenic protein-2 on titanium to improve the osteogenesis of bone marrow stem cells.", "type" : "article-journal", "volume" : "5" }, "uris" : [ "http://www.mendeley.com/documents/?uuid=0d288f0a-0668-330b-a500-c2e14b21e53c", "http://www.mendeley.com/documents/?uuid=f3b5de10-588e-433b-a684-05307fdc934e" ] } ], "mendeley" : { "formattedCitation" : "[45]", "plainTextFormattedCitation" : "[45]", "previouslyFormattedCitation" : "[45]" }, "properties" : {  }, "schema" : "https://github.com/citation-style-language/schema/raw/master/csl-citation.json" }</w:instrText>
      </w:r>
      <w:r w:rsidR="002F49D0" w:rsidRPr="005E6AFE">
        <w:rPr>
          <w:sz w:val="22"/>
          <w:szCs w:val="22"/>
          <w:u w:color="FF0000"/>
          <w:lang w:val="en-US"/>
        </w:rPr>
        <w:fldChar w:fldCharType="separate"/>
      </w:r>
      <w:r w:rsidR="00296F38" w:rsidRPr="00296F38">
        <w:rPr>
          <w:noProof/>
          <w:sz w:val="22"/>
          <w:szCs w:val="22"/>
          <w:u w:color="FF0000"/>
          <w:lang w:val="en-US"/>
        </w:rPr>
        <w:t>[45]</w:t>
      </w:r>
      <w:r w:rsidR="002F49D0" w:rsidRPr="005E6AFE">
        <w:rPr>
          <w:sz w:val="22"/>
          <w:szCs w:val="22"/>
          <w:u w:color="FF0000"/>
          <w:lang w:val="en-US"/>
        </w:rPr>
        <w:fldChar w:fldCharType="end"/>
      </w:r>
      <w:r w:rsidRPr="005E6AFE">
        <w:rPr>
          <w:sz w:val="22"/>
          <w:szCs w:val="22"/>
          <w:lang w:val="en-US"/>
        </w:rPr>
        <w:t>.</w:t>
      </w:r>
      <w:r w:rsidRPr="005E6AFE">
        <w:rPr>
          <w:color w:val="FF0000"/>
          <w:sz w:val="22"/>
          <w:szCs w:val="22"/>
          <w:u w:color="FF0000"/>
          <w:lang w:val="en-US"/>
        </w:rPr>
        <w:t xml:space="preserve"> </w:t>
      </w:r>
      <w:r w:rsidRPr="005E6AFE">
        <w:rPr>
          <w:sz w:val="22"/>
          <w:szCs w:val="22"/>
          <w:u w:color="FF0000"/>
          <w:lang w:val="en-US"/>
        </w:rPr>
        <w:t xml:space="preserve">As pointed out above, in order to </w:t>
      </w:r>
      <w:r w:rsidR="00227026" w:rsidRPr="005E6AFE">
        <w:rPr>
          <w:sz w:val="22"/>
          <w:szCs w:val="22"/>
          <w:u w:color="FF0000"/>
          <w:lang w:val="en-US"/>
        </w:rPr>
        <w:t xml:space="preserve">investigate </w:t>
      </w:r>
      <w:r w:rsidRPr="005E6AFE">
        <w:rPr>
          <w:sz w:val="22"/>
          <w:szCs w:val="22"/>
          <w:u w:color="FF0000"/>
          <w:lang w:val="en-US"/>
        </w:rPr>
        <w:t>cell adhesion, it is most useful to investigate the adsorption of the protein network to which cell interact</w:t>
      </w:r>
      <w:r w:rsidR="002F49D0" w:rsidRPr="005E6AFE">
        <w:rPr>
          <w:sz w:val="22"/>
          <w:szCs w:val="22"/>
          <w:u w:color="FF0000"/>
          <w:lang w:val="en-US"/>
        </w:rPr>
        <w:t xml:space="preserve"> </w:t>
      </w:r>
      <w:r w:rsidR="002F49D0" w:rsidRPr="005E6AFE">
        <w:rPr>
          <w:sz w:val="22"/>
          <w:szCs w:val="22"/>
          <w:u w:color="FF0000"/>
          <w:lang w:val="en-US"/>
        </w:rPr>
        <w:fldChar w:fldCharType="begin" w:fldLock="1"/>
      </w:r>
      <w:r w:rsidR="00296F38">
        <w:rPr>
          <w:sz w:val="22"/>
          <w:szCs w:val="22"/>
          <w:u w:color="FF0000"/>
          <w:lang w:val="en-US"/>
        </w:rPr>
        <w:instrText>ADDIN CSL_CITATION { "citationItems" : [ { "id" : "ITEM-1", "itemData" : { "DOI" : "10.2147/IJN.S21755", "ISSN" : "1178-2013", "PMID" : "21931478", "abstract" : "This work considers the adhesion of cells to a nanorough titanium implant surface with sharp edges. The basic assumption was that the attraction between the negatively charged titanium surface and a negatively charged osteoblast is mediated by charged proteins with a distinctive quadrupolar internal charge distribution. Similarly, cation-mediated attraction between fibronectin molecules and the titanium surface is expected to be more efficient for a high surface charge density, resulting in facilitated integrin mediated osteoblast adhesion. We suggest that osteoblasts are most strongly bound along the sharp convex edges or spikes of nanorough titanium surfaces where the magnitude of the negative surface charge density is the highest. It is therefore plausible that nanorough regions of titanium surfaces with sharp edges and spikes promote the adhesion of osteoblasts.", "author" : [ { "dropping-particle" : "", "family" : "Gongadze", "given" : "Ekaterina", "non-dropping-particle" : "", "parse-names" : false, "suffix" : "" }, { "dropping-particle" : "", "family" : "Kabaso", "given" : "Doron", "non-dropping-particle" : "", "parse-names" : false, "suffix" : "" }, { "dropping-particle" : "", "family" : "Bauer", "given" : "Sebastian", "non-dropping-particle" : "", "parse-names" : false, "suffix" : "" }, { "dropping-particle" : "", "family" : "Slivnik", "given" : "Toma\u017e", "non-dropping-particle" : "", "parse-names" : false, "suffix" : "" }, { "dropping-particle" : "", "family" : "Schmuki", "given" : "Patrik", "non-dropping-particle" : "", "parse-names" : false, "suffix" : "" }, { "dropping-particle" : "", "family" : "Rienen", "given" : "Ursula", "non-dropping-particle" : "van", "parse-names" : false, "suffix" : "" }, { "dropping-particle" : "", "family" : "Igli\u010d", "given" : "Ale\u0161", "non-dropping-particle" : "", "parse-names" : false, "suffix" : "" } ], "container-title" : "International journal of nanomedicine", "id" : "ITEM-1", "issued" : { "date-parts" : [ [ "2011" ] ] }, "page" : "1801-16", "publisher" : "Dove Press", "title" : "Adhesion of osteoblasts to a nanorough titanium implant surface.", "type" : "article-journal", "volume" : "6" }, "uris" : [ "http://www.mendeley.com/documents/?uuid=00ce026f-6d2a-3d34-90c6-9042a83125e8", "http://www.mendeley.com/documents/?uuid=dcf379f7-83cb-4dfd-95fa-c28d8b4fc6f9" ] } ], "mendeley" : { "formattedCitation" : "[46]", "plainTextFormattedCitation" : "[46]", "previouslyFormattedCitation" : "[46]" }, "properties" : {  }, "schema" : "https://github.com/citation-style-language/schema/raw/master/csl-citation.json" }</w:instrText>
      </w:r>
      <w:r w:rsidR="002F49D0" w:rsidRPr="005E6AFE">
        <w:rPr>
          <w:sz w:val="22"/>
          <w:szCs w:val="22"/>
          <w:u w:color="FF0000"/>
          <w:lang w:val="en-US"/>
        </w:rPr>
        <w:fldChar w:fldCharType="separate"/>
      </w:r>
      <w:r w:rsidR="00296F38" w:rsidRPr="00296F38">
        <w:rPr>
          <w:noProof/>
          <w:sz w:val="22"/>
          <w:szCs w:val="22"/>
          <w:u w:color="FF0000"/>
          <w:lang w:val="en-US"/>
        </w:rPr>
        <w:t>[46]</w:t>
      </w:r>
      <w:r w:rsidR="002F49D0" w:rsidRPr="005E6AFE">
        <w:rPr>
          <w:sz w:val="22"/>
          <w:szCs w:val="22"/>
          <w:u w:color="FF0000"/>
          <w:lang w:val="en-US"/>
        </w:rPr>
        <w:fldChar w:fldCharType="end"/>
      </w:r>
      <w:r w:rsidR="002F49D0" w:rsidRPr="005E6AFE">
        <w:rPr>
          <w:sz w:val="22"/>
          <w:szCs w:val="22"/>
          <w:u w:color="FF0000"/>
          <w:lang w:val="en-US"/>
        </w:rPr>
        <w:t>.</w:t>
      </w:r>
      <w:r w:rsidRPr="005E6AFE">
        <w:rPr>
          <w:sz w:val="22"/>
          <w:szCs w:val="22"/>
          <w:u w:color="FF0000"/>
          <w:lang w:val="en-US"/>
        </w:rPr>
        <w:t xml:space="preserve"> Protein adsorption is regulated by some fundamental features of the material surface that may be conveniently characterized at the </w:t>
      </w:r>
      <w:proofErr w:type="spellStart"/>
      <w:r w:rsidRPr="005E6AFE">
        <w:rPr>
          <w:sz w:val="22"/>
          <w:szCs w:val="22"/>
          <w:u w:color="FF0000"/>
          <w:lang w:val="en-US"/>
        </w:rPr>
        <w:t>chemico</w:t>
      </w:r>
      <w:proofErr w:type="spellEnd"/>
      <w:r w:rsidRPr="005E6AFE">
        <w:rPr>
          <w:sz w:val="22"/>
          <w:szCs w:val="22"/>
          <w:u w:color="FF0000"/>
          <w:lang w:val="en-US"/>
        </w:rPr>
        <w:t>-physical level</w:t>
      </w:r>
      <w:r w:rsidR="002F49D0" w:rsidRPr="005E6AFE">
        <w:rPr>
          <w:sz w:val="22"/>
          <w:szCs w:val="22"/>
          <w:u w:color="FF0000"/>
          <w:lang w:val="en-US"/>
        </w:rPr>
        <w:t xml:space="preserve"> </w:t>
      </w:r>
      <w:r w:rsidR="002F49D0" w:rsidRPr="005E6AFE">
        <w:rPr>
          <w:sz w:val="22"/>
          <w:szCs w:val="22"/>
          <w:u w:color="FF0000"/>
          <w:lang w:val="en-US"/>
        </w:rPr>
        <w:fldChar w:fldCharType="begin" w:fldLock="1"/>
      </w:r>
      <w:r w:rsidR="00296F38">
        <w:rPr>
          <w:sz w:val="22"/>
          <w:szCs w:val="22"/>
          <w:u w:color="FF0000"/>
          <w:lang w:val="en-US"/>
        </w:rPr>
        <w:instrText>ADDIN CSL_CITATION { "citationItems" : [ { "id" : "ITEM-1", "itemData" : { "DOI" : "10.1016/j.biomaterials.2012.03.079", "ISBN" : "1878-5905 (Electronic)\\n0142-9612 (Linking)", "ISSN" : "01429612", "PMID" : "22521491", "author" : [ { "dropping-particle" : "", "family" : "Nikkhah", "given" : "Mehdi", "non-dropping-particle" : "", "parse-names" : false, "suffix" : "" }, { "dropping-particle" : "", "family" : "Edalat", "given" : "Faramarz", "non-dropping-particle" : "", "parse-names" : false, "suffix" : "" }, { "dropping-particle" : "", "family" : "Manoucheri", "given" : "Sam", "non-dropping-particle" : "", "parse-names" : false, "suffix" : "" }, { "dropping-particle" : "", "family" : "Khademhosseini", "given" : "Ali", "non-dropping-particle" : "", "parse-names" : false, "suffix" : "" } ], "container-title" : "Biomaterials", "id" : "ITEM-1", "issue" : "21", "issued" : { "date-parts" : [ [ "2012", "7" ] ] }, "page" : "5230-5246", "publisher" : "NIH Public Access", "title" : "Engineering microscale topographies to control the cell\u2013substrate interface", "type" : "article-journal", "volume" : "33" }, "uris" : [ "http://www.mendeley.com/documents/?uuid=1d25f650-566e-4767-b1f2-25176ae18e8e", "http://www.mendeley.com/documents/?uuid=08051c76-e603-49e5-acef-d8837e1c533d" ] } ], "mendeley" : { "formattedCitation" : "[47]", "plainTextFormattedCitation" : "[47]", "previouslyFormattedCitation" : "[47]" }, "properties" : {  }, "schema" : "https://github.com/citation-style-language/schema/raw/master/csl-citation.json" }</w:instrText>
      </w:r>
      <w:r w:rsidR="002F49D0" w:rsidRPr="005E6AFE">
        <w:rPr>
          <w:sz w:val="22"/>
          <w:szCs w:val="22"/>
          <w:u w:color="FF0000"/>
          <w:lang w:val="en-US"/>
        </w:rPr>
        <w:fldChar w:fldCharType="separate"/>
      </w:r>
      <w:r w:rsidR="00296F38" w:rsidRPr="00296F38">
        <w:rPr>
          <w:noProof/>
          <w:sz w:val="22"/>
          <w:szCs w:val="22"/>
          <w:u w:color="FF0000"/>
          <w:lang w:val="en-US"/>
        </w:rPr>
        <w:t>[47]</w:t>
      </w:r>
      <w:r w:rsidR="002F49D0" w:rsidRPr="005E6AFE">
        <w:rPr>
          <w:sz w:val="22"/>
          <w:szCs w:val="22"/>
          <w:u w:color="FF0000"/>
          <w:lang w:val="en-US"/>
        </w:rPr>
        <w:fldChar w:fldCharType="end"/>
      </w:r>
      <w:r w:rsidRPr="005E6AFE">
        <w:rPr>
          <w:sz w:val="22"/>
          <w:szCs w:val="22"/>
          <w:lang w:val="en-US"/>
        </w:rPr>
        <w:t xml:space="preserve">. </w:t>
      </w:r>
      <w:r w:rsidRPr="005E6AFE">
        <w:rPr>
          <w:sz w:val="22"/>
          <w:szCs w:val="22"/>
          <w:u w:color="FF0000"/>
          <w:lang w:val="en-US"/>
        </w:rPr>
        <w:t>Here</w:t>
      </w:r>
      <w:r w:rsidR="00E07E2C">
        <w:rPr>
          <w:sz w:val="22"/>
          <w:szCs w:val="22"/>
          <w:u w:color="FF0000"/>
          <w:lang w:val="en-US"/>
        </w:rPr>
        <w:t>,</w:t>
      </w:r>
      <w:r w:rsidRPr="005E6AFE">
        <w:rPr>
          <w:sz w:val="22"/>
          <w:szCs w:val="22"/>
          <w:u w:color="FF0000"/>
          <w:lang w:val="en-US"/>
        </w:rPr>
        <w:t xml:space="preserve"> the authors focused on</w:t>
      </w:r>
      <w:r w:rsidR="00E07E2C">
        <w:rPr>
          <w:sz w:val="22"/>
          <w:szCs w:val="22"/>
          <w:u w:color="FF0000"/>
          <w:lang w:val="en-US"/>
        </w:rPr>
        <w:t xml:space="preserve"> some of</w:t>
      </w:r>
      <w:r w:rsidRPr="005E6AFE">
        <w:rPr>
          <w:sz w:val="22"/>
          <w:szCs w:val="22"/>
          <w:u w:color="FF0000"/>
          <w:lang w:val="en-US"/>
        </w:rPr>
        <w:t xml:space="preserve"> the most relevant and commercially representative surface configurations attainable </w:t>
      </w:r>
      <w:proofErr w:type="spellStart"/>
      <w:r w:rsidRPr="005E6AFE">
        <w:rPr>
          <w:sz w:val="22"/>
          <w:szCs w:val="22"/>
          <w:u w:color="FF0000"/>
          <w:lang w:val="en-US"/>
        </w:rPr>
        <w:t>subtractively</w:t>
      </w:r>
      <w:proofErr w:type="spellEnd"/>
      <w:r w:rsidRPr="005E6AFE">
        <w:rPr>
          <w:sz w:val="22"/>
          <w:szCs w:val="22"/>
          <w:u w:color="FF0000"/>
          <w:lang w:val="en-US"/>
        </w:rPr>
        <w:t xml:space="preserve">, both from a topographical and </w:t>
      </w:r>
      <w:proofErr w:type="spellStart"/>
      <w:r w:rsidRPr="005E6AFE">
        <w:rPr>
          <w:sz w:val="22"/>
          <w:szCs w:val="22"/>
          <w:u w:color="FF0000"/>
          <w:lang w:val="en-US"/>
        </w:rPr>
        <w:t>physico</w:t>
      </w:r>
      <w:proofErr w:type="spellEnd"/>
      <w:r w:rsidRPr="005E6AFE">
        <w:rPr>
          <w:sz w:val="22"/>
          <w:szCs w:val="22"/>
          <w:u w:color="FF0000"/>
          <w:lang w:val="en-US"/>
        </w:rPr>
        <w:t xml:space="preserve">-chemical perspective. </w:t>
      </w:r>
    </w:p>
    <w:p w14:paraId="6D99F3E1" w14:textId="01586884" w:rsidR="00E2412D" w:rsidRPr="00B35696" w:rsidRDefault="00673E5C">
      <w:pPr>
        <w:pStyle w:val="NormaleWeb"/>
        <w:keepNext w:val="0"/>
        <w:widowControl w:val="0"/>
        <w:suppressAutoHyphens w:val="0"/>
        <w:spacing w:line="480" w:lineRule="auto"/>
        <w:jc w:val="both"/>
        <w:rPr>
          <w:color w:val="auto"/>
          <w:sz w:val="22"/>
          <w:szCs w:val="22"/>
          <w:u w:color="FF0000"/>
          <w:lang w:val="en-US"/>
        </w:rPr>
      </w:pPr>
      <w:r w:rsidRPr="005E6AFE">
        <w:rPr>
          <w:sz w:val="22"/>
          <w:szCs w:val="22"/>
          <w:lang w:val="en-US"/>
        </w:rPr>
        <w:t>To this end, the four different surfaces, i.e. machined (MAC), grit blasted (GB), acid etched (AE) and large grit blasted acid etched surfaces (</w:t>
      </w:r>
      <w:proofErr w:type="spellStart"/>
      <w:r w:rsidRPr="005E6AFE">
        <w:rPr>
          <w:sz w:val="22"/>
          <w:szCs w:val="22"/>
          <w:lang w:val="en-US"/>
        </w:rPr>
        <w:t>GBAE</w:t>
      </w:r>
      <w:proofErr w:type="spellEnd"/>
      <w:r w:rsidRPr="005E6AFE">
        <w:rPr>
          <w:sz w:val="22"/>
          <w:szCs w:val="22"/>
          <w:lang w:val="en-US"/>
        </w:rPr>
        <w:t xml:space="preserve">), were first analyzed topographically at the Scanning Electron Microscope and with a non-contact profilometer. Consistently with previous reports </w:t>
      </w:r>
      <w:r w:rsidR="002F49D0" w:rsidRPr="005E6AFE">
        <w:rPr>
          <w:sz w:val="22"/>
          <w:szCs w:val="22"/>
          <w:lang w:val="en-US"/>
        </w:rPr>
        <w:fldChar w:fldCharType="begin" w:fldLock="1"/>
      </w:r>
      <w:r w:rsidR="00296F38">
        <w:rPr>
          <w:sz w:val="22"/>
          <w:szCs w:val="22"/>
          <w:lang w:val="en-US"/>
        </w:rPr>
        <w:instrText>ADDIN CSL_CITATION { "citationItems" : [ { "id" : "ITEM-1", "itemData" : { "DOI" : "10.1111/j.1600-0501.2009.01775.x", "ISSN" : "09057161", "PMID" : "19663964", "abstract" : "AIM To analyse possible effects of titanium surface topography on bone integration. MATERIALS AND METHODS Our analyses were centred on a PubMed search that identified 1184 publications of assumed relevance; of those, 1064 had to be disregarded because they did not accurately present in vivo data on bone response to surface topography. The remaining 120 papers were read and analysed, after removal of an additional 20 papers that mainly dealt with CaP-coated and Zr implants; 100 papers remained and formed the basis for this paper. The bone response to differently configurated surfaces was mainly evaluated by histomorphometry (bone-to-implant contact), removal torque and pushout/pullout tests. RESULTS AND DISCUSSION A huge number of the experimental investigations have demonstrated that the bone response was influenced by the implant surface topography; smooth (S(a)&lt;0.5 microm) and minimally rough (S(a) 0.5-1 mum) surfaces showed less strong bone responses than rougher surfaces. Moderately rough (S(a)&gt;1-2 microm) surfaces showed stronger bone responses than rough (S(a)&gt;2 microm) in some studies. One limitation was that it was difficult to compare many studies because of the varying quality of surface evaluations; a surface termed 'rough' in one study was not uncommonly referred to as 'smooth' in another; many investigators falsely assumed that surface preparation per se identified the roughness of the implant; and many other studies used only qualitative techniques such as SEM. Furthermore, filtering techniques differed or only height parameters (S(a), R(a)) were reported. CONCLUSIONS * Surface topography influences bone response at the micrometre level. * Some indications exist that surface topography influences bone response at the nanometre level. * The majority of published papers present an inadequate surface characterization. * Measurement and evaluation techniques need to be standardized. * Not only height descriptive parameters but also spatial and hybrid ones should be used.", "author" : [ { "dropping-particle" : "", "family" : "Wennerberg", "given" : "Ann", "non-dropping-particle" : "", "parse-names" : false, "suffix" : "" }, { "dropping-particle" : "", "family" : "Albrektsson", "given" : "Tomas", "non-dropping-particle" : "", "parse-names" : false, "suffix" : "" } ], "container-title" : "Clinical Oral Implants Research", "id" : "ITEM-1", "issued" : { "date-parts" : [ [ "2009", "9" ] ] }, "page" : "172-184", "title" : "Effects of titanium surface topography on bone integration: a systematic review", "type" : "article-journal", "volume" : "20" }, "uris" : [ "http://www.mendeley.com/documents/?uuid=81dbffb2-39c3-32e4-9a60-8885cee19f9e" ] } ], "mendeley" : { "formattedCitation" : "[48]", "plainTextFormattedCitation" : "[48]", "previouslyFormattedCitation" : "[48]" }, "properties" : {  }, "schema" : "https://github.com/citation-style-language/schema/raw/master/csl-citation.json" }</w:instrText>
      </w:r>
      <w:r w:rsidR="002F49D0" w:rsidRPr="005E6AFE">
        <w:rPr>
          <w:sz w:val="22"/>
          <w:szCs w:val="22"/>
          <w:lang w:val="en-US"/>
        </w:rPr>
        <w:fldChar w:fldCharType="separate"/>
      </w:r>
      <w:r w:rsidR="00296F38" w:rsidRPr="00296F38">
        <w:rPr>
          <w:noProof/>
          <w:sz w:val="22"/>
          <w:szCs w:val="22"/>
          <w:lang w:val="en-US"/>
        </w:rPr>
        <w:t>[48]</w:t>
      </w:r>
      <w:r w:rsidR="002F49D0" w:rsidRPr="005E6AFE">
        <w:rPr>
          <w:sz w:val="22"/>
          <w:szCs w:val="22"/>
          <w:lang w:val="en-US"/>
        </w:rPr>
        <w:fldChar w:fldCharType="end"/>
      </w:r>
      <w:r w:rsidRPr="005E6AFE">
        <w:rPr>
          <w:sz w:val="22"/>
          <w:szCs w:val="22"/>
          <w:lang w:val="en-US"/>
        </w:rPr>
        <w:t xml:space="preserve">, </w:t>
      </w:r>
      <w:proofErr w:type="spellStart"/>
      <w:r w:rsidRPr="005E6AFE">
        <w:rPr>
          <w:sz w:val="22"/>
          <w:szCs w:val="22"/>
          <w:lang w:val="en-US"/>
        </w:rPr>
        <w:t>GBAE</w:t>
      </w:r>
      <w:proofErr w:type="spellEnd"/>
      <w:r w:rsidRPr="005E6AFE">
        <w:rPr>
          <w:sz w:val="22"/>
          <w:szCs w:val="22"/>
          <w:lang w:val="en-US"/>
        </w:rPr>
        <w:t xml:space="preserve"> reached Sa values greater than 1, while for GB and AE Sa values were comprised between 1 and 0.5, and MAC resulted the smoothest surface. In addition, based on their </w:t>
      </w:r>
      <w:r w:rsidRPr="00B35696">
        <w:rPr>
          <w:color w:val="auto"/>
          <w:sz w:val="22"/>
          <w:szCs w:val="22"/>
          <w:lang w:val="en-US"/>
        </w:rPr>
        <w:t>negative values of Skewness (</w:t>
      </w:r>
      <w:proofErr w:type="spellStart"/>
      <w:r w:rsidRPr="00B35696">
        <w:rPr>
          <w:color w:val="auto"/>
          <w:sz w:val="22"/>
          <w:szCs w:val="22"/>
          <w:lang w:val="en-US"/>
        </w:rPr>
        <w:t>S</w:t>
      </w:r>
      <w:r w:rsidRPr="00B35696">
        <w:rPr>
          <w:color w:val="auto"/>
          <w:sz w:val="22"/>
          <w:szCs w:val="22"/>
          <w:vertAlign w:val="subscript"/>
          <w:lang w:val="en-US"/>
        </w:rPr>
        <w:t>sk</w:t>
      </w:r>
      <w:proofErr w:type="spellEnd"/>
      <w:r w:rsidRPr="00B35696">
        <w:rPr>
          <w:color w:val="auto"/>
          <w:sz w:val="22"/>
          <w:szCs w:val="22"/>
          <w:lang w:val="en-US"/>
        </w:rPr>
        <w:t xml:space="preserve">), GB and </w:t>
      </w:r>
      <w:proofErr w:type="spellStart"/>
      <w:r w:rsidRPr="00B35696">
        <w:rPr>
          <w:color w:val="auto"/>
          <w:sz w:val="22"/>
          <w:szCs w:val="22"/>
          <w:lang w:val="en-US"/>
        </w:rPr>
        <w:t>GBAE</w:t>
      </w:r>
      <w:proofErr w:type="spellEnd"/>
      <w:r w:rsidRPr="00B35696">
        <w:rPr>
          <w:color w:val="auto"/>
          <w:sz w:val="22"/>
          <w:szCs w:val="22"/>
          <w:lang w:val="en-US"/>
        </w:rPr>
        <w:t xml:space="preserve"> samples were richer in valleys than peaks, while </w:t>
      </w:r>
      <w:proofErr w:type="spellStart"/>
      <w:r w:rsidRPr="00B35696">
        <w:rPr>
          <w:color w:val="auto"/>
          <w:sz w:val="22"/>
          <w:szCs w:val="22"/>
          <w:lang w:val="en-US"/>
        </w:rPr>
        <w:t>GBAE</w:t>
      </w:r>
      <w:proofErr w:type="spellEnd"/>
      <w:r w:rsidRPr="00B35696">
        <w:rPr>
          <w:color w:val="auto"/>
          <w:sz w:val="22"/>
          <w:szCs w:val="22"/>
          <w:lang w:val="en-US"/>
        </w:rPr>
        <w:t xml:space="preserve">, which reached significantly lower values of kurtosis, resulted the bumpiest surface of all the tested ones. </w:t>
      </w:r>
    </w:p>
    <w:p w14:paraId="462DEF5B" w14:textId="59436E3C" w:rsidR="00E2412D" w:rsidRPr="005E6AFE" w:rsidRDefault="00673E5C">
      <w:pPr>
        <w:pStyle w:val="BodyB"/>
        <w:keepNext w:val="0"/>
        <w:widowControl w:val="0"/>
        <w:suppressAutoHyphens w:val="0"/>
        <w:spacing w:line="480" w:lineRule="auto"/>
        <w:jc w:val="both"/>
        <w:rPr>
          <w:sz w:val="22"/>
          <w:szCs w:val="22"/>
          <w:lang w:val="en-US"/>
        </w:rPr>
      </w:pPr>
      <w:r w:rsidRPr="005E6AFE">
        <w:rPr>
          <w:sz w:val="22"/>
          <w:szCs w:val="22"/>
          <w:lang w:val="en-US"/>
        </w:rPr>
        <w:t>As determined through the XPS, the surface chemical composition of the specimens showed Titanium (</w:t>
      </w:r>
      <w:proofErr w:type="spellStart"/>
      <w:r w:rsidRPr="005E6AFE">
        <w:rPr>
          <w:sz w:val="22"/>
          <w:szCs w:val="22"/>
          <w:lang w:val="en-US"/>
        </w:rPr>
        <w:t>Ti</w:t>
      </w:r>
      <w:proofErr w:type="spellEnd"/>
      <w:r w:rsidRPr="005E6AFE">
        <w:rPr>
          <w:sz w:val="22"/>
          <w:szCs w:val="22"/>
          <w:lang w:val="en-US"/>
        </w:rPr>
        <w:t>), oxygen (O) and carbon (C), in accordance with the anticipated presence of these elements on titanium samples simulating dental implants</w:t>
      </w:r>
      <w:r w:rsidR="002F49D0" w:rsidRPr="005E6AFE">
        <w:rPr>
          <w:sz w:val="22"/>
          <w:szCs w:val="22"/>
          <w:lang w:val="en-US"/>
        </w:rPr>
        <w:t xml:space="preserve"> </w:t>
      </w:r>
      <w:r w:rsidR="002F49D0" w:rsidRPr="005E6AFE">
        <w:rPr>
          <w:sz w:val="22"/>
          <w:szCs w:val="22"/>
          <w:lang w:val="en-US"/>
        </w:rPr>
        <w:fldChar w:fldCharType="begin" w:fldLock="1"/>
      </w:r>
      <w:r w:rsidR="00296F38">
        <w:rPr>
          <w:sz w:val="22"/>
          <w:szCs w:val="22"/>
          <w:lang w:val="en-US"/>
        </w:rPr>
        <w:instrText>ADDIN CSL_CITATION { "citationItems" : [ { "id" : "ITEM-1", "itemData" : { "DOI" : "10.1016/j.actbio.2009.01.049", "ISSN" : "1878-7568", "PMID" : "19261554", "abstract" : "Today, surface chemistry modifications of titanium implants have become a development strategy for dental implants. The present study investigated the chemistry and morphology of commercially available dental implants (Nobel biocare TiUnite, Astra AB OsseoSpeed, 3i Osseotite, ITI-SLA). X-ray photoelectron spectroscopy (XPS) and auger electron spectroscopy were employed for the analysis of surface chemistry. The morphology was investigated by scanning electron microscopy. The present study demonstrated the major differences of surface properties, mainly dependent on the surface treatment used. The blasting and acid etching technique for the OsseoSpeed, Osseotite and SLA surfaces generally showed mainly TiO(2), but a varying surface morphology. In contrast, the electrochemical oxidation process for TiUnite implants not only produces microporous surface (pore size: 0.5-3.0microm), but also changes surface chemistry due to incorporation of anions of the used electrolyte. As a result, TiUnite implants contain more than 7at.% of P in oxide layer and higher amounts of hydroxides compared to the other implants in XPS analysis. F in OsseoSpeed implants was detected at 0.3% before as well as after sputter cleaning.", "author" : [ { "dropping-particle" : "", "family" : "Kang", "given" : "Byung-Soo", "non-dropping-particle" : "", "parse-names" : false, "suffix" : "" }, { "dropping-particle" : "", "family" : "Sul", "given" : "Young-Taeg", "non-dropping-particle" : "", "parse-names" : false, "suffix" : "" }, { "dropping-particle" : "", "family" : "Oh", "given" : "Se-Jung", "non-dropping-particle" : "", "parse-names" : false, "suffix" : "" }, { "dropping-particle" : "", "family" : "Lee", "given" : "Hyun-Ju", "non-dropping-particle" : "", "parse-names" : false, "suffix" : "" }, { "dropping-particle" : "", "family" : "Albrektsson", "given" : "Tomas", "non-dropping-particle" : "", "parse-names" : false, "suffix" : "" } ], "container-title" : "Acta biomaterialia", "id" : "ITEM-1", "issue" : "6", "issued" : { "date-parts" : [ [ "2009", "7" ] ] }, "page" : "2222-9", "title" : "XPS, AES and SEM analysis of recent dental implants.", "type" : "article-journal", "volume" : "5" }, "uris" : [ "http://www.mendeley.com/documents/?uuid=c2fba2d5-c0dd-3014-ad29-c0b4d011b0e6", "http://www.mendeley.com/documents/?uuid=a1989066-d8eb-497f-883a-5e74d0a8bc0a" ] } ], "mendeley" : { "formattedCitation" : "[49]", "plainTextFormattedCitation" : "[49]", "previouslyFormattedCitation" : "[49]" }, "properties" : {  }, "schema" : "https://github.com/citation-style-language/schema/raw/master/csl-citation.json" }</w:instrText>
      </w:r>
      <w:r w:rsidR="002F49D0" w:rsidRPr="005E6AFE">
        <w:rPr>
          <w:sz w:val="22"/>
          <w:szCs w:val="22"/>
          <w:lang w:val="en-US"/>
        </w:rPr>
        <w:fldChar w:fldCharType="separate"/>
      </w:r>
      <w:r w:rsidR="00296F38" w:rsidRPr="00296F38">
        <w:rPr>
          <w:noProof/>
          <w:sz w:val="22"/>
          <w:szCs w:val="22"/>
          <w:lang w:val="en-US"/>
        </w:rPr>
        <w:t>[49]</w:t>
      </w:r>
      <w:r w:rsidR="002F49D0" w:rsidRPr="005E6AFE">
        <w:rPr>
          <w:sz w:val="22"/>
          <w:szCs w:val="22"/>
          <w:lang w:val="en-US"/>
        </w:rPr>
        <w:fldChar w:fldCharType="end"/>
      </w:r>
      <w:r w:rsidR="002F49D0" w:rsidRPr="005E6AFE">
        <w:rPr>
          <w:sz w:val="22"/>
          <w:szCs w:val="22"/>
          <w:lang w:val="en-US"/>
        </w:rPr>
        <w:t>,</w:t>
      </w:r>
      <w:r w:rsidRPr="005E6AFE">
        <w:rPr>
          <w:sz w:val="22"/>
          <w:szCs w:val="22"/>
          <w:lang w:val="en-US"/>
        </w:rPr>
        <w:t xml:space="preserve"> without any significant difference among the surfaces. The amount of C was likely due to contaminants, such as atmospheric hydrocarbons, adsorbed onto the surface.  The oxygen detected, most probably, owed to the native titanium oxide layer of nanometric thickness that spontaneously forms as a consequence of the environmental exposure, which was also consistent with the presence of amorphous </w:t>
      </w:r>
      <w:proofErr w:type="spellStart"/>
      <w:r w:rsidRPr="005E6AFE">
        <w:rPr>
          <w:sz w:val="22"/>
          <w:szCs w:val="22"/>
          <w:lang w:val="en-US"/>
        </w:rPr>
        <w:t>titania</w:t>
      </w:r>
      <w:proofErr w:type="spellEnd"/>
      <w:r w:rsidRPr="005E6AFE">
        <w:rPr>
          <w:sz w:val="22"/>
          <w:szCs w:val="22"/>
          <w:lang w:val="en-US"/>
        </w:rPr>
        <w:t xml:space="preserve"> detected at the Raman spectroscopy </w:t>
      </w:r>
      <w:r w:rsidR="002F49D0" w:rsidRPr="005E6AFE">
        <w:rPr>
          <w:sz w:val="22"/>
          <w:szCs w:val="22"/>
          <w:lang w:val="en-US"/>
        </w:rPr>
        <w:fldChar w:fldCharType="begin" w:fldLock="1"/>
      </w:r>
      <w:r w:rsidR="00296F38">
        <w:rPr>
          <w:sz w:val="22"/>
          <w:szCs w:val="22"/>
          <w:lang w:val="en-US"/>
        </w:rPr>
        <w:instrText>ADDIN CSL_CITATION { "citationItems" : [ { "id" : "ITEM-1", "itemData" : { "DOI" : "10.1557/JMR.1998.0363", "ISSN" : "0884-2914", "abstract" : "Micro-Raman analysis was used to study the structure of TiO 2 powders produced at low (260 \u00b0C) and high (600\u2013900 \u00b0C) temperatures by vapor hydrolysis of titanium tetraisopropoxide (TTIP). Spatial inhomogeneity was discovered after the amorphous TiO 2 powders produced at low temperature were calcined at 700, 800, and 900 \u00b0C for 3 h. The TiO 2 powders produced at high temperatures (from 600 to 900 \u00b0C) were found to be spatially homogeneous and predominately anatase in structure. Small amounts of rutile and brookite are found for powders produced at 700, 800, and 900 \u00b0C after calcination at 600 \u00b0C for 3 h. The rutile and brookite impurities are believed to be concentrated on the surface of anatase based on a comparison of results of Raman and x-ray diffraction studies.", "author" : [ { "dropping-particle" : "", "family" : "Zhang", "given" : "Yun-Hong", "non-dropping-particle" : "", "parse-names" : false, "suffix" : "" }, { "dropping-particle" : "", "family" : "Chan", "given" : "Chak K.", "non-dropping-particle" : "", "parse-names" : false, "suffix" : "" }, { "dropping-particle" : "", "family" : "Porter", "given" : "John F.", "non-dropping-particle" : "", "parse-names" : false, "suffix" : "" }, { "dropping-particle" : "", "family" : "Guo", "given" : "Wei", "non-dropping-particle" : "", "parse-names" : false, "suffix" : "" } ], "container-title" : "Journal of Materials Research", "id" : "ITEM-1", "issue" : "9", "issued" : { "date-parts" : [ [ "1998", "9" ] ] }, "page" : "2602-2609", "publisher" : "Cambridge University Press", "title" : "Micro-Raman Spectroscopic Characterization of Nanosized TiO 2 Powders Prepared by Vapor Hydrolysis", "type" : "article-journal", "volume" : "13" }, "uris" : [ "http://www.mendeley.com/documents/?uuid=8df9671d-3b90-4dd0-8478-6c6c6a25a873", "http://www.mendeley.com/documents/?uuid=dee86cb0-cb16-33a2-bc81-e008c2b831f5" ] }, { "id" : "ITEM-2", "itemData" : { "DOI" : "10.1016/j.dental.2014.05.030", "ISBN" : "1879-0097 (Electronic) 0109-5641 (Linking)", "ISSN" : "01095641", "PMID" : "24946981", "abstract" : "Objectives To identify the TiO2 phases of the root surface of commercially available titanium dental implants, subjected to various surface treatments. Methods The titanium implants studied were: Allfit (ALF), Ice (ICE), IMZ TPS (TPS), Laser Lok (LLK), Prima Connex (PRC), Ospol (OSP), Osseospeed TX (OSS), Osseotite Full (OTF), Replace Select (RPS), SLA (SLA) and Trilobe (TRB). The root parts of the implants (n:2) were analyzed by Raman microspectroscopy employing argon ion laser excitation (514.5 nm wavelength) and a 100 ??m ?? 100 ??m sampling area at two randomly selected sites. Results The spectra of OSP and RPS showed the characteristic peaks of anatase, with traces of rutile (RPS). Complex phases composed of anatase, rutile and amorphous TiO2 were identified in ALF, ICE and LLK. Rutile and amorphous TiO2 were found in PRC, OSS, OTF, TPS and TRB, whereas rutile and possibly brookite were traced in SLA. In all implants, except OSP and RPS, peaks assigned to organic impurities (CH2, CH3) and carbonates were recorded. Ti2O3 was identified in OTF, PRC and Al2O3 in TRB. Significance Great variations in the TiO2 polymorphs were registered among the implant root surfaces tested. Considering the important differences in the biological activity of these polymorphs, it can be concluded that provision of information regarding the TiO2 state on implant surfaces should be a mandatory task for implant manufacturers. ?? 2014 Academy of Dental Materials.", "author" : [ { "dropping-particle" : "", "family" : "Gaintantzopoulou", "given" : "Marianna", "non-dropping-particle" : "", "parse-names" : false, "suffix" : "" }, { "dropping-particle" : "", "family" : "Zinelis", "given" : "Spiros", "non-dropping-particle" : "", "parse-names" : false, "suffix" : "" }, { "dropping-particle" : "", "family" : "Silikas", "given" : "Nick", "non-dropping-particle" : "", "parse-names" : false, "suffix" : "" }, { "dropping-particle" : "", "family" : "Eliades", "given" : "George", "non-dropping-particle" : "", "parse-names" : false, "suffix" : "" } ], "container-title" : "Dental Materials", "id" : "ITEM-2", "issue" : "8", "issued" : { "date-parts" : [ [ "2014", "8" ] ] }, "page" : "861-867", "title" : "Micro-Raman spectroscopic analysis of TiO2 phases on the root surfaces of commercial dental implants", "type" : "article-journal", "volume" : "30" }, "uris" : [ "http://www.mendeley.com/documents/?uuid=06d8244b-5dbe-40e9-b0c1-c77a07a43997" ] } ], "mendeley" : { "formattedCitation" : "[40,41]", "plainTextFormattedCitation" : "[40,41]", "previouslyFormattedCitation" : "[40,41]" }, "properties" : {  }, "schema" : "https://github.com/citation-style-language/schema/raw/master/csl-citation.json" }</w:instrText>
      </w:r>
      <w:r w:rsidR="002F49D0" w:rsidRPr="005E6AFE">
        <w:rPr>
          <w:sz w:val="22"/>
          <w:szCs w:val="22"/>
          <w:lang w:val="en-US"/>
        </w:rPr>
        <w:fldChar w:fldCharType="separate"/>
      </w:r>
      <w:r w:rsidR="00296F38" w:rsidRPr="00296F38">
        <w:rPr>
          <w:noProof/>
          <w:sz w:val="22"/>
          <w:szCs w:val="22"/>
          <w:lang w:val="en-US"/>
        </w:rPr>
        <w:t>[40,41]</w:t>
      </w:r>
      <w:r w:rsidR="002F49D0" w:rsidRPr="005E6AFE">
        <w:rPr>
          <w:sz w:val="22"/>
          <w:szCs w:val="22"/>
          <w:lang w:val="en-US"/>
        </w:rPr>
        <w:fldChar w:fldCharType="end"/>
      </w:r>
      <w:r w:rsidRPr="005E6AFE">
        <w:rPr>
          <w:sz w:val="22"/>
          <w:szCs w:val="22"/>
          <w:lang w:val="en-US"/>
        </w:rPr>
        <w:t xml:space="preserve">. Traces of other present elements, like silicon (Si), have been reported on dental implant surfaces </w:t>
      </w:r>
      <w:r w:rsidR="002F49D0" w:rsidRPr="005E6AFE">
        <w:rPr>
          <w:sz w:val="22"/>
          <w:szCs w:val="22"/>
          <w:lang w:val="en-US"/>
        </w:rPr>
        <w:fldChar w:fldCharType="begin" w:fldLock="1"/>
      </w:r>
      <w:r w:rsidR="00296F38">
        <w:rPr>
          <w:sz w:val="22"/>
          <w:szCs w:val="22"/>
          <w:lang w:val="en-US"/>
        </w:rPr>
        <w:instrText>ADDIN CSL_CITATION { "citationItems" : [ { "id" : "ITEM-1", "itemData" : { "DOI" : "10.1016/j.biomaterials.2003.11.011", "ISSN" : "0142-9612", "PMID" : "15046900", "abstract" : "To investigate the roles of composition and characteristics of titanium surface oxides in cellular behaviour of osteoblasts, the surface oxides of titanium were modified in composition and topography by anodic oxidation in two kinds of electrolytes, (a) 0.2 M H(3)PO(4), and (b) 0.03 M calcium glycerophosphate (Ca-GP) and 0.15 M calcium acetate (CA), respectively. Phosphorus (P: ca.10at%) or both calcium (Ca: 1-6at%) and phosphorus (P: 3-6at%) were incorporated into the anodized surfaces in the form of phosphate and calcium phosphate. Surface roughness was slightly decreased or enhanced (R(a) in the range of 0.1-0.5 microm) on the anodized surfaces. The geometry of the micro-pores in the anodized surfaces varied with diameters up to 0.5 microm in 0.2 M H(3)PO(4) and to 2 microm in 0.03 M Ca-GP and 0.15 M CA, depending on voltages and electrolyte. Contact angles of all the anodic oxides were in the range of 60-90 degrees. Cell culture experiments demonstrated absence of cytotoxicity and an increase of osteoblast adhesion and proliferation by the anodic oxides. Cells on the surfaces with micro-pores showed an irregular and polygonal growth and more lamellipodia, while osteoblasts on the titanium surface used as a control or on anodic oxides formed at low voltages showed many thick stress fibres and intense focal contacts. Alkaline phosphatase (ALP) activity of the cells did not show any correlation with surface characteristics of anodic oxides.", "author" : [ { "dropping-particle" : "", "family" : "Zhu", "given" : "Xiaolong", "non-dropping-particle" : "", "parse-names" : false, "suffix" : "" }, { "dropping-particle" : "", "family" : "Chen", "given" : "Jun", "non-dropping-particle" : "", "parse-names" : false, "suffix" : "" }, { "dropping-particle" : "", "family" : "Scheideler", "given" : "Lutz", "non-dropping-particle" : "", "parse-names" : false, "suffix" : "" }, { "dropping-particle" : "", "family" : "Reichl", "given" : "Rudolf", "non-dropping-particle" : "", "parse-names" : false, "suffix" : "" }, { "dropping-particle" : "", "family" : "Geis-Gerstorfer", "given" : "Juergen", "non-dropping-particle" : "", "parse-names" : false, "suffix" : "" } ], "container-title" : "Biomaterials", "id" : "ITEM-1", "issue" : "18", "issued" : { "date-parts" : [ [ "2004", "8" ] ] }, "page" : "4087-103", "title" : "Effects of topography and composition of titanium surface oxides on osteoblast responses.", "type" : "article-journal", "volume" : "25" }, "uris" : [ "http://www.mendeley.com/documents/?uuid=3080fed9-3f2d-31bc-9914-eb8cc1feeb75" ] } ], "mendeley" : { "formattedCitation" : "[50]", "plainTextFormattedCitation" : "[50]", "previouslyFormattedCitation" : "[50]" }, "properties" : {  }, "schema" : "https://github.com/citation-style-language/schema/raw/master/csl-citation.json" }</w:instrText>
      </w:r>
      <w:r w:rsidR="002F49D0" w:rsidRPr="005E6AFE">
        <w:rPr>
          <w:sz w:val="22"/>
          <w:szCs w:val="22"/>
          <w:lang w:val="en-US"/>
        </w:rPr>
        <w:fldChar w:fldCharType="separate"/>
      </w:r>
      <w:r w:rsidR="00296F38" w:rsidRPr="00296F38">
        <w:rPr>
          <w:noProof/>
          <w:sz w:val="22"/>
          <w:szCs w:val="22"/>
          <w:lang w:val="en-US"/>
        </w:rPr>
        <w:t>[50]</w:t>
      </w:r>
      <w:r w:rsidR="002F49D0" w:rsidRPr="005E6AFE">
        <w:rPr>
          <w:sz w:val="22"/>
          <w:szCs w:val="22"/>
          <w:lang w:val="en-US"/>
        </w:rPr>
        <w:fldChar w:fldCharType="end"/>
      </w:r>
      <w:r w:rsidR="002F49D0" w:rsidRPr="005E6AFE">
        <w:rPr>
          <w:sz w:val="22"/>
          <w:szCs w:val="22"/>
          <w:lang w:val="en-US"/>
        </w:rPr>
        <w:t>.</w:t>
      </w:r>
    </w:p>
    <w:p w14:paraId="6B445032" w14:textId="515D9516" w:rsidR="00564F15" w:rsidRPr="005E6AFE" w:rsidRDefault="00673E5C" w:rsidP="00564F15">
      <w:pPr>
        <w:pStyle w:val="BodyB"/>
        <w:keepNext w:val="0"/>
        <w:widowControl w:val="0"/>
        <w:suppressAutoHyphens w:val="0"/>
        <w:spacing w:line="480" w:lineRule="auto"/>
        <w:jc w:val="both"/>
        <w:rPr>
          <w:sz w:val="22"/>
          <w:szCs w:val="22"/>
          <w:lang w:val="en-US"/>
        </w:rPr>
      </w:pPr>
      <w:r w:rsidRPr="005E6AFE">
        <w:rPr>
          <w:sz w:val="22"/>
          <w:szCs w:val="22"/>
          <w:lang w:val="en-US"/>
        </w:rPr>
        <w:t>It is not useless to point out that researchers have progressively focused their endeavor to determine which may be the most influent of the interfacial features dictating ultimately the biological outcome</w:t>
      </w:r>
      <w:r w:rsidR="00564F15" w:rsidRPr="005E6AFE">
        <w:rPr>
          <w:sz w:val="22"/>
          <w:szCs w:val="22"/>
          <w:lang w:val="en-US"/>
        </w:rPr>
        <w:t xml:space="preserve"> </w:t>
      </w:r>
      <w:r w:rsidR="00564F15" w:rsidRPr="005E6AFE">
        <w:rPr>
          <w:sz w:val="22"/>
          <w:szCs w:val="22"/>
          <w:lang w:val="en-US"/>
        </w:rPr>
        <w:fldChar w:fldCharType="begin" w:fldLock="1"/>
      </w:r>
      <w:r w:rsidR="00296F38">
        <w:rPr>
          <w:sz w:val="22"/>
          <w:szCs w:val="22"/>
          <w:lang w:val="en-US"/>
        </w:rPr>
        <w:instrText>ADDIN CSL_CITATION { "citationItems" : [ { "id" : "ITEM-1", "itemData" : { "ISSN" : "0142-9612", "PMID" : "9884063", "abstract" : "The success of an implant is determined by its integration into the tissue surrounding the biomaterial. Surface roughness and composition are considered to influence the properties of adherent cells. The aim of this study was to determine the effect of chemical composition and surface roughness of commercially pure titanium (Ti) and Ti-6A1-4V alloy (Ti-A) on MG63 osteoblast-like cells. Unalloyed and alloyed Ti disks were machined and either fine-polished or wet-ground, resulting in smooth (S) and rough (R) finishes, respectively. Standard tissue culture plastic was used as a control. Surface topography and profile were evaluated by cold field emission scanning electron microscopy and profilometry, while chemical composition was determined using Auger electron spectroscopy and Fourier transform infrared spectroscopy. The effect on the cells was evaluated 24 h postconfluence by measuring cell number, [3H]-thymidine incorporation into DNA, cell and cell layer alkaline phosphatase specific activity (ALPase), osteocalcin and collagen production, [35S]-sulfate incorporation into proteoglycan, and prostaglandin E2 (PGE2) and transforming growth factor-beta (TGF-beta) production. When compared to plastic, the number of cells was reduced on the pure Ti surfaces, while it was equivalent on the Ti-A surfaces; [3H]-thymidine incorporation was reduced on all surfaces. The stimulatory effect of surface roughness on ALPase in isolated cells and the cell layer was more pronounced on the rougher surfaces, with enzyme activity on Ti-R being greater than on Ti-A-R. Osteocalcin production was increased only on the Ti-R surface. Collagen production was decreased on Ti surfaces except Ti-R; [35S]-sulfate incorporation was reduced on all surfaces. Surface roughness affected local factor production (TGF-beta, PGE2). The stimulatory effect of the rougher surfaces on PGE2 and TGF-beta was greater on Ti than Ti-A. In summary, cell proliferation, differentiation, protein synthesis and local factor production were affected by surface roughness and composition. Enhanced differentiation of cells grown on rough vs. smooth surfaces for both Ti and Ti-A surfaces was indicated by decreased proliferation and increased ALPase and osteocalcin production. Local factor production was also enhanced on rough surfaces, supporting the contention that these cells are more differentiated. Surface composition also played a role in cell differentiation, since cells cultured on Ti-R surfaces produced \u2026", "author" : [ { "dropping-particle" : "", "family" : "Lincks", "given" : "J", "non-dropping-particle" : "", "parse-names" : false, "suffix" : "" }, { "dropping-particle" : "", "family" : "Boyan", "given" : "B D", "non-dropping-particle" : "", "parse-names" : false, "suffix" : "" }, { "dropping-particle" : "", "family" : "Blanchard", "given" : "C R", "non-dropping-particle" : "", "parse-names" : false, "suffix" : "" }, { "dropping-particle" : "", "family" : "Lohmann", "given" : "C H", "non-dropping-particle" : "", "parse-names" : false, "suffix" : "" }, { "dropping-particle" : "", "family" : "Liu", "given" : "Y", "non-dropping-particle" : "", "parse-names" : false, "suffix" : "" }, { "dropping-particle" : "", "family" : "Cochran", "given" : "D L", "non-dropping-particle" : "", "parse-names" : false, "suffix" : "" }, { "dropping-particle" : "", "family" : "Dean", "given" : "D D", "non-dropping-particle" : "", "parse-names" : false, "suffix" : "" }, { "dropping-particle" : "", "family" : "Schwartz", "given" : "Z", "non-dropping-particle" : "", "parse-names" : false, "suffix" : "" } ], "container-title" : "Biomaterials", "id" : "ITEM-1", "issue" : "23", "issued" : { "date-parts" : [ [ "1998", "12" ] ] }, "page" : "2219-32", "title" : "Response of MG63 osteoblast-like cells to titanium and titanium alloy is dependent on surface roughness and composition.", "type" : "article-journal", "volume" : "19" }, "uris" : [ "http://www.mendeley.com/documents/?uuid=cbf2c513-3bbe-498e-98c5-eed57c38d85c", "http://www.mendeley.com/documents/?uuid=4462cee9-ea11-4a6d-b922-b950fc627ae7" ] }, { "id" : "ITEM-2", "itemData" : { "DOI" : "10.1016/j.colsurfb.2013.09.053", "ISSN" : "1873-4367", "PMID" : "24216619", "abstract" : "The present paper describes a study on laminin interaction with the surface of two alumina-zirconia composites with different percentages of ZrO2, both with submicrometric grain size. As major molecules within the basement membrane (BM), laminins are important protein fragments for epithelial cell adhesion and migration. On the other hand, alumina-zirconia composites are very attractive materials for dental applications due to their esthetic and mechanical properties. X-Ray photoelectron spectroscopy and atomic force microscopy were used to study the adsorption of two types of laminin, laminin-1 (Ln-1) and laminin-5 (Ln-5), onto the ceramics surfaces. The in vitro cell response was determined by intracellular phosphorylation of major kinases. Ceramics samples functionalized with laminins showed better cellular activation than untreated specimens; furthermore, cellular activation was found to be greater for the composite with higher percentage in zirconia when functionalized with Ln-5, whereas the adsorption of Ln-1 resulted in a greater activation for the alumina-rich oxide.", "author" : [ { "dropping-particle" : "", "family" : "Vall\u00e9e", "given" : "A.", "non-dropping-particle" : "", "parse-names" : false, "suffix" : "" }, { "dropping-particle" : "", "family" : "Faga", "given" : "M. G.", "non-dropping-particle" : "", "parse-names" : false, "suffix" : "" }, { "dropping-particle" : "", "family" : "Mussano", "given" : "F.", "non-dropping-particle" : "", "parse-names" : false, "suffix" : "" }, { "dropping-particle" : "", "family" : "Catalano", "given" : "F.", "non-dropping-particle" : "", "parse-names" : false, "suffix" : "" }, { "dropping-particle" : "", "family" : "Tolosano", "given" : "E.", "non-dropping-particle" : "", "parse-names" : false, "suffix" : "" }, { "dropping-particle" : "", "family" : "Carossa", "given" : "S.", "non-dropping-particle" : "", "parse-names" : false, "suffix" : "" }, { "dropping-particle" : "", "family" : "Altruda", "given" : "F.", "non-dropping-particle" : "", "parse-names" : false, "suffix" : "" }, { "dropping-particle" : "", "family" : "Martra", "given" : "G.", "non-dropping-particle" : "", "parse-names" : false, "suffix" : "" } ], "container-title" : "Colloids and surfaces. B, Biointerfaces", "id" : "ITEM-2", "issued" : { "date-parts" : [ [ "2014", "2" ] ] }, "page" : "284-93", "publisher" : "Elsevier B.V.", "title" : "Alumina-zirconia composites functionalized with laminin-1 and laminin-5 for dentistry: effect of protein adsorption on cellular response.", "type" : "article-journal", "volume" : "114" }, "uris" : [ "http://www.mendeley.com/documents/?uuid=93ce9964-5286-4b3d-91fe-ba7552665146", "http://www.mendeley.com/documents/?uuid=a0d53c34-9b51-456a-9fce-82075ca38a23" ] } ], "mendeley" : { "formattedCitation" : "[51,52]", "plainTextFormattedCitation" : "[51,52]", "previouslyFormattedCitation" : "[51,52]" }, "properties" : {  }, "schema" : "https://github.com/citation-style-language/schema/raw/master/csl-citation.json" }</w:instrText>
      </w:r>
      <w:r w:rsidR="00564F15" w:rsidRPr="005E6AFE">
        <w:rPr>
          <w:sz w:val="22"/>
          <w:szCs w:val="22"/>
          <w:lang w:val="en-US"/>
        </w:rPr>
        <w:fldChar w:fldCharType="separate"/>
      </w:r>
      <w:r w:rsidR="00296F38" w:rsidRPr="00296F38">
        <w:rPr>
          <w:noProof/>
          <w:sz w:val="22"/>
          <w:szCs w:val="22"/>
          <w:lang w:val="en-US"/>
        </w:rPr>
        <w:t>[51,52]</w:t>
      </w:r>
      <w:r w:rsidR="00564F15" w:rsidRPr="005E6AFE">
        <w:rPr>
          <w:sz w:val="22"/>
          <w:szCs w:val="22"/>
          <w:lang w:val="en-US"/>
        </w:rPr>
        <w:fldChar w:fldCharType="end"/>
      </w:r>
      <w:r w:rsidR="00564F15" w:rsidRPr="005E6AFE">
        <w:rPr>
          <w:sz w:val="22"/>
          <w:szCs w:val="22"/>
          <w:lang w:val="en-US"/>
        </w:rPr>
        <w:t>.</w:t>
      </w:r>
    </w:p>
    <w:p w14:paraId="36C57BB6" w14:textId="4D3CC137" w:rsidR="00E2412D" w:rsidRPr="005E6AFE" w:rsidRDefault="00673E5C">
      <w:pPr>
        <w:pStyle w:val="BodyB"/>
        <w:keepNext w:val="0"/>
        <w:widowControl w:val="0"/>
        <w:suppressAutoHyphens w:val="0"/>
        <w:spacing w:line="480" w:lineRule="auto"/>
        <w:jc w:val="both"/>
        <w:rPr>
          <w:sz w:val="22"/>
          <w:szCs w:val="22"/>
          <w:lang w:val="en-US"/>
        </w:rPr>
      </w:pPr>
      <w:r w:rsidRPr="005E6AFE">
        <w:rPr>
          <w:sz w:val="22"/>
          <w:szCs w:val="22"/>
          <w:lang w:val="en-US"/>
        </w:rPr>
        <w:t xml:space="preserve">The wetting properties of the titanium surfaces are apparently among these features </w:t>
      </w:r>
      <w:r w:rsidR="005E6AFE">
        <w:rPr>
          <w:sz w:val="22"/>
          <w:szCs w:val="22"/>
          <w:lang w:val="en-US"/>
        </w:rPr>
        <w:fldChar w:fldCharType="begin" w:fldLock="1"/>
      </w:r>
      <w:r w:rsidR="00296F38">
        <w:rPr>
          <w:sz w:val="22"/>
          <w:szCs w:val="22"/>
          <w:lang w:val="en-US"/>
        </w:rPr>
        <w:instrText>ADDIN CSL_CITATION { "citationItems" : [ { "id" : "ITEM-1", "itemData" : { "DOI" : "10.1016/j.aanat.2018.03.005", "ISSN" : "09409602", "PMID" : "29704635", "author" : [ { "dropping-particle" : "", "family" : "Canullo", "given" : "Luigi", "non-dropping-particle" : "", "parse-names" : false, "suffix" : "" }, { "dropping-particle" : "", "family" : "Genova", "given" : "Tullio", "non-dropping-particle" : "", "parse-names" : false, "suffix" : "" }, { "dropping-particle" : "", "family" : "Naenni", "given" : "Nadja", "non-dropping-particle" : "", "parse-names" : false, "suffix" : "" }, { "dropping-particle" : "", "family" : "Nakajima", "given" : "Yasushi", "non-dropping-particle" : "", "parse-names" : false, "suffix" : "" }, { "dropping-particle" : "", "family" : "Masuda", "given" : "Katsuhiko", "non-dropping-particle" : "", "parse-names" : false, "suffix" : "" }, { "dropping-particle" : "", "family" : "Mussano", "given" : "Federico", "non-dropping-particle" : "", "parse-names" : false, "suffix" : "" } ], "container-title" : "Annals of Anatomy - Anatomischer Anzeiger", "id" : "ITEM-1", "issued" : { "date-parts" : [ [ "2018", "7" ] ] }, "page" : "265-270", "title" : "Plasma of argon enhances the adhesion of murine osteoblasts on different graft materials", "type" : "article-journal", "volume" : "218" }, "uris" : [ "http://www.mendeley.com/documents/?uuid=57c33cb2-f8da-4d12-80f1-35b5f831b5d3", "http://www.mendeley.com/documents/?uuid=0475ef2f-351e-456e-a94b-832adaf53e7a" ] }, { "id" : "ITEM-2", "itemData" : { "DOI" : "10.11607/jomi.6654", "ISSN" : "08822786", "PMID" : "30427955", "abstract" : "PURPOSE: The aim of this vitro study was to reproduce and evaluate the response of bone and bacteria to traditional and innovative implant surfaces with difference wettability. MATERIALS AND METHODS: Two hundred fifty-two samples made of grade 4 titanium with different coating (machined [MAC]; double-etched, Ti-AE; zirconium nitride [Ti-ZrN]) were used for this in vitro study. Disks were divided into test (bioactivated using plasma of argon) and control group (untreated). To assess the surface morphology of the specimens, representative images were acquired via scanning electron microscopy (SEM). Murine preosteoblasts (MC3T3-E1) were used to study the biologic response in vitro, while the quantification of protein adsorption was achieved through the incubation of the titanium samples in a 2% solution of fetal bovine serum (FBS) in phosphate-buffered saline (PBS). The sterilized titanium disks were then colonized by bacterial species from a single sputum sample obtained from a healthy volunteer. For every analysis, 24 disks were used (12 for each group). RESULTS: SEM and topographic analyses demonstrated a Sa value of 0.33 (Ti-ZrN), 0.34 (MAC), and 0.62 (Ti-AE). Compared with the control groups, plasma treatment significantly increased the protein adsorption level on all the different titanium surfaces (5.88 +/- 0.21 vs 7.85 +/- 0.21, 7.13 +/- 0.14 vs 9.74 +/- 0.65, 4.41 +/- 0.62 vs 6.13 +/- 0.52, respectively, for MAC, Ti-treated, and Ti-ZrN). Similar behavior was described for cell adhesion (27.67 +/- 2.03 vs 58.00 +/- 20.13, 116.67 +/- 12.02 vs 159.33 +/- 8.09, 52.00 +/- 4.73 vs 78.33 +/- 4.67, respectively, for MAC, Ti-treated, and Ti-ZrN). Plasma treatment significantly augmented the number of CFU only in MAC and ZrN samples. CONCLUSION: With the limitations of this in vitro study, the following conclusions could be drawn: (1) rough implant surfaces present a higher adhesion and proliferation of preosteoblastic cells and bacterial biofilm; (2) rough implant surfaces benefited the most by the plasma of argon treatment.", "author" : [ { "dropping-particle" : "", "family" : "Pistilli", "given" : "Roberto", "non-dropping-particle" : "", "parse-names" : false, "suffix" : "" }, { "dropping-particle" : "", "family" : "Genova", "given" : "Tullio", "non-dropping-particle" : "", "parse-names" : false, "suffix" : "" }, { "dropping-particle" : "", "family" : "Canullo", "given" : "Luigi", "non-dropping-particle" : "", "parse-names" : false, "suffix" : "" }, { "dropping-particle" : "", "family" : "Faga", "given" : "Maria", "non-dropping-particle" : "", "parse-names" : false, "suffix" : "" }, { "dropping-particle" : "", "family" : "Terlizzi", "given" : "Maria", "non-dropping-particle" : "", "parse-names" : false, "suffix" : "" }, { "dropping-particle" : "", "family" : "Gribaudo", "given" : "Giorgio", "non-dropping-particle" : "", "parse-names" : false, "suffix" : "" }, { "dropping-particle" : "", "family" : "Mussano", "given" : "Federico", "non-dropping-particle" : "", "parse-names" : false, "suffix" : "" } ], "container-title" : "The International Journal of Oral &amp; Maxillofacial Implants", "id" : "ITEM-2", "issue" : "6", "issued" : { "date-parts" : [ [ "2018" ] ] }, "page" : "1247-1254", "title" : "Effect of Bioactivation on Traditional Surfaces and Zirconium Nitride: Adhesion and Proliferation of Preosteoblastic Cells and Bacteria", "type" : "article-journal", "volume" : "33" }, "uris" : [ "http://www.mendeley.com/documents/?uuid=9fa0af6a-9fc7-3c83-8ab4-4f0877fb8575", "http://www.mendeley.com/documents/?uuid=3530d199-f98c-4add-9d19-106c3c1ce4e2" ] }, { "id" : "ITEM-3", "itemData" : { "DOI" : "10.11607/prd.2916", "ISSN" : "01987569", "PMID" : "28609500", "abstract" : "Treatments for enhancing surface energy were studied in an effort to create a more favorable environment for cell adhesion. Cold argon plasma (CAP) is able to improve titanium-cell contact, producing hydrophilic surfaces with higher wettability. The aim of this in vitro study was to estimate the early cell morphology after CAP treatment of different commercially available titanium surfaces. Surface wettability was significantly augmented in all the treated samples. The authors investigated how CAP affected the behavior of osteoblasts by evaluating the cell morphology outcome. Cell surface areas differed in a statistically significant way when plasma-treated samples were compared to the untreated ones. The positive effect of CAP was shown on smooth, moderately rough, and rough implant surfaces.", "author" : [ { "dropping-particle" : "", "family" : "Canullo", "given" : "Luigi", "non-dropping-particle" : "", "parse-names" : false, "suffix" : "" }, { "dropping-particle" : "", "family" : "Genova", "given" : "Tullio", "non-dropping-particle" : "", "parse-names" : false, "suffix" : "" }, { "dropping-particle" : "", "family" : "Mandracci", "given" : "Pietro", "non-dropping-particle" : "", "parse-names" : false, "suffix" : "" }, { "dropping-particle" : "", "family" : "Mussano", "given" : "Federico", "non-dropping-particle" : "", "parse-names" : false, "suffix" : "" }, { "dropping-particle" : "", "family" : "Abundo", "given" : "Roberto", "non-dropping-particle" : "", "parse-names" : false, "suffix" : "" }, { "dropping-particle" : "", "family" : "Fiorellini", "given" : "Joseph", "non-dropping-particle" : "", "parse-names" : false, "suffix" : "" } ], "container-title" : "The International Journal of Periodontics &amp; Restorative Dentistry", "id" : "ITEM-3", "issue" : "4", "issued" : { "date-parts" : [ [ "2017", "7" ] ] }, "page" : "541-548", "title" : "Morphometric Changes Induced by Cold Argon Plasma Treatment on Osteoblasts Grown on Different Dental Implant Surfaces", "type" : "article-journal", "volume" : "37" }, "uris" : [ "http://www.mendeley.com/documents/?uuid=ce6009eb-58d7-4279-8a7c-7b32cc22ed52", "http://www.mendeley.com/documents/?uuid=d598ccb7-53de-42cc-9e7a-96d4b5cb8c19" ] } ], "mendeley" : { "formattedCitation" : "[53\u201355]", "plainTextFormattedCitation" : "[53\u201355]", "previouslyFormattedCitation" : "[53\u201355]" }, "properties" : {  }, "schema" : "https://github.com/citation-style-language/schema/raw/master/csl-citation.json" }</w:instrText>
      </w:r>
      <w:r w:rsidR="005E6AFE">
        <w:rPr>
          <w:sz w:val="22"/>
          <w:szCs w:val="22"/>
          <w:lang w:val="en-US"/>
        </w:rPr>
        <w:fldChar w:fldCharType="separate"/>
      </w:r>
      <w:r w:rsidR="00296F38" w:rsidRPr="00296F38">
        <w:rPr>
          <w:noProof/>
          <w:sz w:val="22"/>
          <w:szCs w:val="22"/>
          <w:lang w:val="en-US"/>
        </w:rPr>
        <w:t>[53–55]</w:t>
      </w:r>
      <w:r w:rsidR="005E6AFE">
        <w:rPr>
          <w:sz w:val="22"/>
          <w:szCs w:val="22"/>
          <w:lang w:val="en-US"/>
        </w:rPr>
        <w:fldChar w:fldCharType="end"/>
      </w:r>
      <w:r w:rsidRPr="005E6AFE">
        <w:rPr>
          <w:sz w:val="22"/>
          <w:szCs w:val="22"/>
          <w:lang w:val="en-US"/>
        </w:rPr>
        <w:t xml:space="preserve"> and, here, they were evaluated by optical contact angle (OCA) measurements. Surface wettability is conventionally defined </w:t>
      </w:r>
      <w:r w:rsidRPr="005E6AFE">
        <w:rPr>
          <w:sz w:val="22"/>
          <w:szCs w:val="22"/>
          <w:lang w:val="en-US"/>
        </w:rPr>
        <w:lastRenderedPageBreak/>
        <w:t>as hydrophilic or hydrophobic with a CA respectively lower or higher than 90°. All the surfaces tested resulted substantially hydrophilic, with an average contact angle (CA) for water of 35° in the case of MAC and CA(</w:t>
      </w:r>
      <w:proofErr w:type="spellStart"/>
      <w:r w:rsidRPr="005E6AFE">
        <w:rPr>
          <w:sz w:val="22"/>
          <w:szCs w:val="22"/>
          <w:lang w:val="en-US"/>
        </w:rPr>
        <w:t>H</w:t>
      </w:r>
      <w:r w:rsidRPr="005E6AFE">
        <w:rPr>
          <w:sz w:val="22"/>
          <w:szCs w:val="22"/>
          <w:vertAlign w:val="subscript"/>
          <w:lang w:val="en-US"/>
        </w:rPr>
        <w:t>2</w:t>
      </w:r>
      <w:r w:rsidRPr="005E6AFE">
        <w:rPr>
          <w:sz w:val="22"/>
          <w:szCs w:val="22"/>
          <w:lang w:val="en-US"/>
        </w:rPr>
        <w:t>0</w:t>
      </w:r>
      <w:proofErr w:type="spellEnd"/>
      <w:r w:rsidRPr="005E6AFE">
        <w:rPr>
          <w:sz w:val="22"/>
          <w:szCs w:val="22"/>
          <w:lang w:val="en-US"/>
        </w:rPr>
        <w:t xml:space="preserve">) of 51° for AE and </w:t>
      </w:r>
      <w:proofErr w:type="spellStart"/>
      <w:r w:rsidRPr="005E6AFE">
        <w:rPr>
          <w:sz w:val="22"/>
          <w:szCs w:val="22"/>
          <w:lang w:val="en-US"/>
        </w:rPr>
        <w:t>GBAE</w:t>
      </w:r>
      <w:proofErr w:type="spellEnd"/>
      <w:r w:rsidRPr="005E6AFE">
        <w:rPr>
          <w:sz w:val="22"/>
          <w:szCs w:val="22"/>
          <w:lang w:val="en-US"/>
        </w:rPr>
        <w:t>, whilst a limited transition toward the hydrophobic regime was found for GB with an average CA(</w:t>
      </w:r>
      <w:proofErr w:type="spellStart"/>
      <w:r w:rsidRPr="005E6AFE">
        <w:rPr>
          <w:sz w:val="22"/>
          <w:szCs w:val="22"/>
          <w:lang w:val="en-US"/>
        </w:rPr>
        <w:t>H</w:t>
      </w:r>
      <w:r w:rsidRPr="005E6AFE">
        <w:rPr>
          <w:sz w:val="22"/>
          <w:szCs w:val="22"/>
          <w:vertAlign w:val="subscript"/>
          <w:lang w:val="en-US"/>
        </w:rPr>
        <w:t>2</w:t>
      </w:r>
      <w:r w:rsidRPr="005E6AFE">
        <w:rPr>
          <w:sz w:val="22"/>
          <w:szCs w:val="22"/>
          <w:lang w:val="en-US"/>
        </w:rPr>
        <w:t>0</w:t>
      </w:r>
      <w:proofErr w:type="spellEnd"/>
      <w:r w:rsidRPr="005E6AFE">
        <w:rPr>
          <w:sz w:val="22"/>
          <w:szCs w:val="22"/>
          <w:lang w:val="en-US"/>
        </w:rPr>
        <w:t xml:space="preserve">) of 62°. The OCA in presence of an </w:t>
      </w:r>
      <w:proofErr w:type="spellStart"/>
      <w:r w:rsidRPr="005E6AFE">
        <w:rPr>
          <w:sz w:val="22"/>
          <w:szCs w:val="22"/>
          <w:lang w:val="en-US"/>
        </w:rPr>
        <w:t>apolar</w:t>
      </w:r>
      <w:proofErr w:type="spellEnd"/>
      <w:r w:rsidRPr="005E6AFE">
        <w:rPr>
          <w:sz w:val="22"/>
          <w:szCs w:val="22"/>
          <w:lang w:val="en-US"/>
        </w:rPr>
        <w:t xml:space="preserve"> component (diiodomethane </w:t>
      </w:r>
      <w:proofErr w:type="spellStart"/>
      <w:r w:rsidRPr="005E6AFE">
        <w:rPr>
          <w:sz w:val="22"/>
          <w:szCs w:val="22"/>
          <w:lang w:val="en-US"/>
        </w:rPr>
        <w:t>CH</w:t>
      </w:r>
      <w:r w:rsidRPr="005E6AFE">
        <w:rPr>
          <w:sz w:val="22"/>
          <w:szCs w:val="22"/>
          <w:vertAlign w:val="subscript"/>
          <w:lang w:val="en-US"/>
        </w:rPr>
        <w:t>2</w:t>
      </w:r>
      <w:r w:rsidRPr="005E6AFE">
        <w:rPr>
          <w:sz w:val="22"/>
          <w:szCs w:val="22"/>
          <w:lang w:val="en-US"/>
        </w:rPr>
        <w:t>I</w:t>
      </w:r>
      <w:r w:rsidRPr="005E6AFE">
        <w:rPr>
          <w:sz w:val="22"/>
          <w:szCs w:val="22"/>
          <w:vertAlign w:val="subscript"/>
          <w:lang w:val="en-US"/>
        </w:rPr>
        <w:t>2</w:t>
      </w:r>
      <w:proofErr w:type="spellEnd"/>
      <w:r w:rsidRPr="005E6AFE">
        <w:rPr>
          <w:sz w:val="22"/>
          <w:szCs w:val="22"/>
          <w:lang w:val="en-US"/>
        </w:rPr>
        <w:t>) was also determined so as to calculate the surface free energy (</w:t>
      </w:r>
      <w:proofErr w:type="spellStart"/>
      <w:r w:rsidRPr="005E6AFE">
        <w:rPr>
          <w:sz w:val="22"/>
          <w:szCs w:val="22"/>
          <w:lang w:val="en-US"/>
        </w:rPr>
        <w:t>SFE</w:t>
      </w:r>
      <w:proofErr w:type="spellEnd"/>
      <w:r w:rsidRPr="005E6AFE">
        <w:rPr>
          <w:sz w:val="22"/>
          <w:szCs w:val="22"/>
          <w:lang w:val="en-US"/>
        </w:rPr>
        <w:t xml:space="preserve">) according to the Owens-Wendt theory. Furthermore, </w:t>
      </w:r>
      <w:proofErr w:type="spellStart"/>
      <w:r w:rsidRPr="005E6AFE">
        <w:rPr>
          <w:sz w:val="22"/>
          <w:szCs w:val="22"/>
          <w:lang w:val="en-US"/>
        </w:rPr>
        <w:t>SFE</w:t>
      </w:r>
      <w:proofErr w:type="spellEnd"/>
      <w:r w:rsidRPr="005E6AFE">
        <w:rPr>
          <w:sz w:val="22"/>
          <w:szCs w:val="22"/>
          <w:lang w:val="en-US"/>
        </w:rPr>
        <w:t xml:space="preserve"> was the highest for MAC and the lowest for GB, which was the only surface to show a significant difference between H</w:t>
      </w:r>
      <w:r w:rsidRPr="005E6AFE">
        <w:rPr>
          <w:sz w:val="22"/>
          <w:szCs w:val="22"/>
          <w:vertAlign w:val="subscript"/>
          <w:lang w:val="en-US"/>
        </w:rPr>
        <w:t>2</w:t>
      </w:r>
      <w:r w:rsidRPr="005E6AFE">
        <w:rPr>
          <w:sz w:val="22"/>
          <w:szCs w:val="22"/>
          <w:lang w:val="en-US"/>
        </w:rPr>
        <w:t xml:space="preserve">O and </w:t>
      </w:r>
      <w:proofErr w:type="spellStart"/>
      <w:r w:rsidRPr="005E6AFE">
        <w:rPr>
          <w:sz w:val="22"/>
          <w:szCs w:val="22"/>
          <w:lang w:val="en-US"/>
        </w:rPr>
        <w:t>CH</w:t>
      </w:r>
      <w:r w:rsidRPr="005E6AFE">
        <w:rPr>
          <w:sz w:val="22"/>
          <w:szCs w:val="22"/>
          <w:vertAlign w:val="subscript"/>
          <w:lang w:val="en-US"/>
        </w:rPr>
        <w:t>2</w:t>
      </w:r>
      <w:r w:rsidRPr="005E6AFE">
        <w:rPr>
          <w:sz w:val="22"/>
          <w:szCs w:val="22"/>
          <w:lang w:val="en-US"/>
        </w:rPr>
        <w:t>I</w:t>
      </w:r>
      <w:r w:rsidRPr="005E6AFE">
        <w:rPr>
          <w:sz w:val="22"/>
          <w:szCs w:val="22"/>
          <w:vertAlign w:val="subscript"/>
          <w:lang w:val="en-US"/>
        </w:rPr>
        <w:t>2</w:t>
      </w:r>
      <w:proofErr w:type="spellEnd"/>
      <w:r w:rsidRPr="005E6AFE">
        <w:rPr>
          <w:sz w:val="22"/>
          <w:szCs w:val="22"/>
          <w:lang w:val="en-US"/>
        </w:rPr>
        <w:t xml:space="preserve"> contact angles and, consequently, between the polar and dispersive components of the surface energy. </w:t>
      </w:r>
    </w:p>
    <w:p w14:paraId="5127BE2C" w14:textId="53586309" w:rsidR="00E2412D" w:rsidRPr="005E6AFE" w:rsidRDefault="00673E5C" w:rsidP="007E0849">
      <w:pPr>
        <w:pStyle w:val="BodyB"/>
        <w:keepNext w:val="0"/>
        <w:widowControl w:val="0"/>
        <w:suppressAutoHyphens w:val="0"/>
        <w:spacing w:line="480" w:lineRule="auto"/>
        <w:jc w:val="both"/>
        <w:rPr>
          <w:sz w:val="22"/>
          <w:szCs w:val="22"/>
          <w:lang w:val="en-US"/>
        </w:rPr>
      </w:pPr>
      <w:r w:rsidRPr="005E6AFE">
        <w:rPr>
          <w:sz w:val="22"/>
          <w:szCs w:val="22"/>
          <w:lang w:val="en-US"/>
        </w:rPr>
        <w:t xml:space="preserve">These data were particularly interesting </w:t>
      </w:r>
      <w:r w:rsidRPr="00FC641A">
        <w:rPr>
          <w:sz w:val="22"/>
          <w:szCs w:val="22"/>
          <w:lang w:val="en-US"/>
        </w:rPr>
        <w:t xml:space="preserve">in light of protein adsorption (albumin, collagen and fibronectin) and cell adhesion assays that clearly established a different performance of GB compared to the other roughened surfaces (AE and </w:t>
      </w:r>
      <w:proofErr w:type="spellStart"/>
      <w:r w:rsidRPr="00FC641A">
        <w:rPr>
          <w:sz w:val="22"/>
          <w:szCs w:val="22"/>
          <w:lang w:val="en-US"/>
        </w:rPr>
        <w:t>GBAE</w:t>
      </w:r>
      <w:proofErr w:type="spellEnd"/>
      <w:r w:rsidRPr="00FC641A">
        <w:rPr>
          <w:sz w:val="22"/>
          <w:szCs w:val="22"/>
          <w:lang w:val="en-US"/>
        </w:rPr>
        <w:t>),</w:t>
      </w:r>
      <w:r w:rsidRPr="005E6AFE">
        <w:rPr>
          <w:sz w:val="22"/>
          <w:szCs w:val="22"/>
          <w:lang w:val="en-US"/>
        </w:rPr>
        <w:t xml:space="preserve"> notwithstanding the otherwise similar chemical parameters (XPS and Raman spectroscopy). Surface free energy is indeed a powerful driver of protein adsorption to titanium dioxide </w:t>
      </w:r>
      <w:r w:rsidR="00564F15" w:rsidRPr="005E6AFE">
        <w:rPr>
          <w:sz w:val="22"/>
          <w:szCs w:val="22"/>
          <w:lang w:val="en-US"/>
        </w:rPr>
        <w:fldChar w:fldCharType="begin" w:fldLock="1"/>
      </w:r>
      <w:r w:rsidR="00296F38">
        <w:rPr>
          <w:sz w:val="22"/>
          <w:szCs w:val="22"/>
          <w:lang w:val="en-US"/>
        </w:rPr>
        <w:instrText>ADDIN CSL_CITATION { "citationItems" : [ { "id" : "ITEM-1", "itemData" : { "DOI" : "10.1016/S0142-9612(01)00317-9", "ISBN" : "0142-9612 (Print)\\r0142-9612 (Linking)", "ISSN" : "01429612", "PMID" : "11791930", "abstract" : "Titanium is known for its biocompatibility and is widely used in dental and orthopedic reconstructive surgery. There are reports that osteointegration of these implants is not optimal. The objective of this study was to modify titanium dioxide particles and examine the resultant effects on protein adsorption to these altered surfaces using a model cell binding protein, human plasma fibronectin (HPF). HPF is an important matrix glycoprotein that plays a major role in cell and protein attachment. Titanium dioxide surfaces were modified by heating the titanium dioxide powder at 800\u00b0C for 1 h or treating with an oxidizing agent: peroxide in ammonium hydroxide followed by peroxide in hydrochloric acid. Oxidized and control samples were further treated with 9:1 butanol:water for 30 min. Brunauer-Emmett-Teller showed no change in particle surface area as a result of thermal or chemical treatment. Hydrophobicity increased with butanol treatment of titanium dioxide. Diffuse reflectance Fourier transform infrared spectroscopy showed the presence of -CH2 and -CH3 vibrations in the region of 2850-3000cm-1 for both the heated/butanol and peroxide/butanol-treated samples. The absence of increased C-O and O-C=O features as determined by electron spectroscopy for chemical analysis indicates that butanol adsorption is not occurring via an esterification mechanism. The interaction between butanol and pre-heated or peroxide-treated titanium dioxide may be one of association (weak electrostatic and/or Van der Waals forces) rather than direct ionic bonding. Maximum HPF adsorption on modified or unmodified titanium dioxide occurred within 30 min, with greater protein adsorption occurring on butanol-treated samples. Desorption was minimal with all modifications. Zeta potential measurements showed that HPF adsorption caused an increase in the negative zeta potential with the greatest change noted for the butanol-treated samples. These findings suggest that wettability and surface charge both play an important role in protein adsorption to titanium dioxide. Thus, by modifying the physico-chemical properties of titanium dioxide surfaces, it may be possible to alter protein adsorption and hence optimize cell attachment. \u00a9 2001 Elsevier Science Ltd. All rights reserved.", "author" : [ { "dropping-particle" : "", "family" : "MacDonald", "given" : "D. E.", "non-dropping-particle" : "", "parse-names" : false, "suffix" : "" }, { "dropping-particle" : "", "family" : "Deo", "given" : "N", "non-dropping-particle" : "", "parse-names" : false, "suffix" : "" }, { "dropping-particle" : "", "family" : "Markovic", "given" : "B", "non-dropping-particle" : "", "parse-names" : false, "suffix" : "" }, { "dropping-particle" : "", "family" : "Stranick", "given" : "M", "non-dropping-particle" : "", "parse-names" : false, "suffix" : "" }, { "dropping-particle" : "", "family" : "Somasundaran", "given" : "P", "non-dropping-particle" : "", "parse-names" : false, "suffix" : "" } ], "container-title" : "Biomaterials", "id" : "ITEM-1", "issue" : "4", "issued" : { "date-parts" : [ [ "2002" ] ] }, "page" : "1269-1279", "title" : "Adsorption and dissolution behavior of human plasma fibronectin on thermally and chemically modified titanium dioxide particles", "type" : "article-journal", "volume" : "23" }, "uris" : [ "http://www.mendeley.com/documents/?uuid=42f348bd-b9e8-3961-9dfb-bf3df8b81a7f", "http://www.mendeley.com/documents/?uuid=b0cd3ca0-7ec7-4cc7-a86c-6b477184da5e" ] } ], "mendeley" : { "formattedCitation" : "[56]", "plainTextFormattedCitation" : "[56]", "previouslyFormattedCitation" : "[56]" }, "properties" : {  }, "schema" : "https://github.com/citation-style-language/schema/raw/master/csl-citation.json" }</w:instrText>
      </w:r>
      <w:r w:rsidR="00564F15" w:rsidRPr="005E6AFE">
        <w:rPr>
          <w:sz w:val="22"/>
          <w:szCs w:val="22"/>
          <w:lang w:val="en-US"/>
        </w:rPr>
        <w:fldChar w:fldCharType="separate"/>
      </w:r>
      <w:r w:rsidR="00296F38" w:rsidRPr="00296F38">
        <w:rPr>
          <w:noProof/>
          <w:sz w:val="22"/>
          <w:szCs w:val="22"/>
          <w:lang w:val="en-US"/>
        </w:rPr>
        <w:t>[56]</w:t>
      </w:r>
      <w:r w:rsidR="00564F15" w:rsidRPr="005E6AFE">
        <w:rPr>
          <w:sz w:val="22"/>
          <w:szCs w:val="22"/>
          <w:lang w:val="en-US"/>
        </w:rPr>
        <w:fldChar w:fldCharType="end"/>
      </w:r>
      <w:r w:rsidRPr="005E6AFE">
        <w:rPr>
          <w:sz w:val="22"/>
          <w:szCs w:val="22"/>
          <w:lang w:val="en-US"/>
        </w:rPr>
        <w:t xml:space="preserve"> and it is capable of affecting cell spreading </w:t>
      </w:r>
      <w:r w:rsidR="00564F15" w:rsidRPr="005E6AFE">
        <w:rPr>
          <w:sz w:val="22"/>
          <w:szCs w:val="22"/>
          <w:lang w:val="en-US"/>
        </w:rPr>
        <w:fldChar w:fldCharType="begin" w:fldLock="1"/>
      </w:r>
      <w:r w:rsidR="00296F38">
        <w:rPr>
          <w:sz w:val="22"/>
          <w:szCs w:val="22"/>
          <w:lang w:val="en-US"/>
        </w:rPr>
        <w:instrText>ADDIN CSL_CITATION { "citationItems" : [ { "id" : "ITEM-1", "itemData" : { "DOI" : "10.1002/jbm.820291113", "ISSN" : "0021-9304", "PMID" : "8582910", "abstract" : "In this study, adhesion and spreading of human skin fibroblasts on gradient surfaces of dichlorodimethylsilane (DDS) coupled to glass was investigated. Gradient surfaces were prepared by the diffusion technique and characterized by the Wilhelmy plate technique and characterized by the Wilhelmy plate technique for their wettability and by scanning x-ray photoelectron spectroscopy for their chemical surface composition. A linear relation between the gradient length, based on advancing water contact angles, and the square root of the diffusion time of DDS was observed. XPS analysis and the cellular experiments were carried out on gradient surfaces prepared using a diffusion time of 3 h. A continuously varying chemical composition with Si/O elemental surface concentration ratio being highest on the hydrophobic end of the gradient surfaces. In the presence of serum proteins, human skin fibroblasts seeded on these gradient surfaces showed a preferential adhesion onto the steepest part of the gradient, probably due to an optimal local wettability and/or local chemistry. Furthermore, it was shown that the spread area of human fibroblasts increased over the length of the gradient surface when going from the hydrophobic to the hydrophilic end. Summarizing, this study shows that the use of gradient surfaces to study cellular responses to materials surface properties, like wettability, yields more-convincing conclusions than the use of a variety of materials with different wettabilities due to the control of the specific surface chemistry of gradient surfaces.", "author" : [ { "dropping-particle" : "", "family" : "Ruardy", "given" : "T. G.", "non-dropping-particle" : "", "parse-names" : false, "suffix" : "" }, { "dropping-particle" : "", "family" : "Schakenraad", "given" : "J. M.", "non-dropping-particle" : "", "parse-names" : false, "suffix" : "" }, { "dropping-particle" : "", "family" : "Mei", "given" : "H. C.", "non-dropping-particle" : "van der", "parse-names" : false, "suffix" : "" }, { "dropping-particle" : "", "family" : "Busscher", "given" : "H. J.", "non-dropping-particle" : "", "parse-names" : false, "suffix" : "" } ], "container-title" : "Journal of biomedical materials research", "id" : "ITEM-1", "issue" : "11", "issued" : { "date-parts" : [ [ "1995", "11" ] ] }, "page" : "1415-23", "title" : "Adhesion and spreading of human skin fibroblasts on physicochemically characterized gradient surfaces.", "type" : "article-journal", "volume" : "29" }, "uris" : [ "http://www.mendeley.com/documents/?uuid=837547b2-143e-397b-a74a-04e71f58dbe2", "http://www.mendeley.com/documents/?uuid=d199005b-60de-46e8-9fe9-e95832463004" ] }, { "id" : "ITEM-2", "itemData" : { "DOI" : "10.1002/(SICI)1097-4636(199603)30:3&lt;385::AID-JBM13&gt;3.0.CO;2-J", "ISBN" : "0021-9304 (Print)", "ISSN" : "0021-9304", "PMID" : "8698702", "abstract" : "The ability of human fibroblasts to remove and reorganize fibronectin (FN) bound on material surfaces was studied as a novel feature of material surface biocompatibility. Other traditional parameters of biocompatibility analyzed included cell spreading, clustering of fibronectin receptors into focal adhesions, development of stress fibers, and cell growth. Five different materials with surface wettability ranging from hydrophilic (underwater contact angle 25 degrees) to hydrophobic (underwater contact angle 111 degrees) were used, i.e., clean glass (GLASS), aminopropylsilane (APS), octadecylsilane (ODS), polylactate (PL), and silicone (SI). When cells were cultured on these materials in serum-containing medium, formation of FN receptor-rich focal adhesions and actin stress fibers were more evident on the hydrophilic surfaces (GLASS and APS) compared to the hydrophobic ones (PL, ODS, and SI). Cell growth showed a similar pattern, that is, increased cell proliferation with increasing material surface wettability. Preadsorption of FN on the material surfaces increased subsequent cell spreading and cytoskeletal reorganization on hydrophobic surfaces except SI. Removal and reorganization of FN from the material surfaces into extracellular matrixlike structures occurred on GLASS but not on less wettable surfaces, suggesting that this removal/reorganization process may be more sensitive to changes in surface wettability than other parameters of biocompatibility.", "author" : [ { "dropping-particle" : "", "family" : "Altankov", "given" : "Georgi", "non-dropping-particle" : "", "parse-names" : false, "suffix" : "" }, { "dropping-particle" : "", "family" : "Grinnell", "given" : "Frederick", "non-dropping-particle" : "", "parse-names" : false, "suffix" : "" }, { "dropping-particle" : "", "family" : "Groth", "given" : "Thomas", "non-dropping-particle" : "", "parse-names" : false, "suffix" : "" } ], "container-title" : "Journal of biomedical materials research", "id" : "ITEM-2", "issue" : "3", "issued" : { "date-parts" : [ [ "1996", "3" ] ] }, "page" : "385-91", "title" : "Studies on the biocompatibility of materials: fibroblast reorganization of substratum-bound fibronectin on surfaces varying in wettability.", "type" : "article-journal", "volume" : "30" }, "uris" : [ "http://www.mendeley.com/documents/?uuid=d8df1c97-b2f0-4251-b639-c86ad8730190", "http://www.mendeley.com/documents/?uuid=69c73cc1-39ca-489c-aaec-42eb3b8380c8" ] }, { "id" : "ITEM-3", "itemData" : { "ISSN" : "0021-9304", "PMID" : "9659612", "abstract" : "Understanding the relationships between material surface properties, adsorbed proteins, and cellular responses is essential to designing optimal material surfaces for implantation and tissue engineering. In this study, we have prepared model surfaces with different functional groups to provide a range of surface wettability and charge. The cellular responses of attachment, spreading, and cytoskeletal organization have been studied following preadsorption of these surfaces with dilute serum, specific serum proteins, and individual components of the extracellular matrix. When preadsorbed with dilute serum, cell attachment, spreading, and cytoskeletal organization were significantly greater on hydrophilic surfaces relative to hydrophobic surfaces. Among the hydrophilic surfaces, differences in charge and wettability influenced cell attachment but not cell area, shape, or cytoskeletal organization. Moderately hydrophilic surfaces (20-40 degree water contact angle) promoted the highest levels of cell attachment. Preadsorption of the model surfaces with bovine serum albumin (BSA) resulted in a pattern of cell attachment very similar to that observed following preadsorption with dilute serum, suggesting an important role for BSA in regulating cell attachment to biomaterials exposed to complex biological media.", "author" : [ { "dropping-particle" : "", "family" : "Webb", "given" : "K", "non-dropping-particle" : "", "parse-names" : false, "suffix" : "" }, { "dropping-particle" : "", "family" : "Hlady", "given" : "V", "non-dropping-particle" : "", "parse-names" : false, "suffix" : "" }, { "dropping-particle" : "", "family" : "Tresco", "given" : "P A", "non-dropping-particle" : "", "parse-names" : false, "suffix" : "" } ], "container-title" : "Journal of biomedical materials research", "id" : "ITEM-3", "issue" : "3", "issued" : { "date-parts" : [ [ "1998", "9", "5" ] ] }, "page" : "422-30", "title" : "Relative importance of surface wettability and charged functional groups on NIH 3T3 fibroblast attachment, spreading, and cytoskeletal organization.", "type" : "article-journal", "volume" : "41" }, "uris" : [ "http://www.mendeley.com/documents/?uuid=69f35903-ed90-3c90-8fb8-e550ec3f796b", "http://www.mendeley.com/documents/?uuid=7bcc0257-fc25-434f-808e-f5346432655e" ] } ], "mendeley" : { "formattedCitation" : "[57\u201359]", "plainTextFormattedCitation" : "[57\u201359]", "previouslyFormattedCitation" : "[57\u201359]" }, "properties" : {  }, "schema" : "https://github.com/citation-style-language/schema/raw/master/csl-citation.json" }</w:instrText>
      </w:r>
      <w:r w:rsidR="00564F15" w:rsidRPr="005E6AFE">
        <w:rPr>
          <w:sz w:val="22"/>
          <w:szCs w:val="22"/>
          <w:lang w:val="en-US"/>
        </w:rPr>
        <w:fldChar w:fldCharType="separate"/>
      </w:r>
      <w:r w:rsidR="00296F38" w:rsidRPr="00296F38">
        <w:rPr>
          <w:noProof/>
          <w:sz w:val="22"/>
          <w:szCs w:val="22"/>
          <w:lang w:val="en-US"/>
        </w:rPr>
        <w:t>[57–59]</w:t>
      </w:r>
      <w:r w:rsidR="00564F15" w:rsidRPr="005E6AFE">
        <w:rPr>
          <w:sz w:val="22"/>
          <w:szCs w:val="22"/>
          <w:lang w:val="en-US"/>
        </w:rPr>
        <w:fldChar w:fldCharType="end"/>
      </w:r>
      <w:r w:rsidRPr="005E6AFE">
        <w:rPr>
          <w:sz w:val="22"/>
          <w:szCs w:val="22"/>
          <w:lang w:val="en-US"/>
        </w:rPr>
        <w:t xml:space="preserve">. </w:t>
      </w:r>
      <w:r w:rsidRPr="00150C26">
        <w:rPr>
          <w:color w:val="auto"/>
          <w:sz w:val="22"/>
          <w:szCs w:val="22"/>
          <w:lang w:val="en-US"/>
        </w:rPr>
        <w:t xml:space="preserve">The delayed cell adhesion of GB (Fig. </w:t>
      </w:r>
      <w:r w:rsidR="0072377F" w:rsidRPr="00150C26">
        <w:rPr>
          <w:color w:val="auto"/>
          <w:sz w:val="22"/>
          <w:szCs w:val="22"/>
          <w:lang w:val="en-US"/>
        </w:rPr>
        <w:t>8</w:t>
      </w:r>
      <w:r w:rsidRPr="00150C26">
        <w:rPr>
          <w:color w:val="auto"/>
          <w:sz w:val="22"/>
          <w:szCs w:val="22"/>
          <w:lang w:val="en-US"/>
        </w:rPr>
        <w:t>), which did not hinder cell proliferation, was correlated to the reduced wettability and the altered</w:t>
      </w:r>
      <w:bookmarkStart w:id="2" w:name="_DdeLink__803_784573447"/>
      <w:r w:rsidRPr="00150C26">
        <w:rPr>
          <w:color w:val="auto"/>
          <w:sz w:val="22"/>
          <w:szCs w:val="22"/>
          <w:lang w:val="en-US"/>
        </w:rPr>
        <w:t xml:space="preserve"> dispersive to polar SE ratio</w:t>
      </w:r>
      <w:bookmarkEnd w:id="2"/>
      <w:r w:rsidRPr="00150C26">
        <w:rPr>
          <w:color w:val="auto"/>
          <w:sz w:val="22"/>
          <w:szCs w:val="22"/>
          <w:lang w:val="en-US"/>
        </w:rPr>
        <w:t>,</w:t>
      </w:r>
      <w:r w:rsidRPr="005E6AFE">
        <w:rPr>
          <w:color w:val="auto"/>
          <w:sz w:val="22"/>
          <w:szCs w:val="22"/>
          <w:lang w:val="en-US"/>
        </w:rPr>
        <w:t xml:space="preserve"> which was at least double-fold for GB (2.6) compared to MAC (0.8), SL (1.3) and AE (1.2). It is worth noting </w:t>
      </w:r>
      <w:r w:rsidRPr="005E6AFE">
        <w:rPr>
          <w:sz w:val="22"/>
          <w:szCs w:val="22"/>
          <w:lang w:val="en-US"/>
        </w:rPr>
        <w:t xml:space="preserve">that only GB and </w:t>
      </w:r>
      <w:proofErr w:type="spellStart"/>
      <w:r w:rsidRPr="005E6AFE">
        <w:rPr>
          <w:sz w:val="22"/>
          <w:szCs w:val="22"/>
          <w:lang w:val="en-US"/>
        </w:rPr>
        <w:t>GBAE</w:t>
      </w:r>
      <w:proofErr w:type="spellEnd"/>
      <w:r w:rsidRPr="005E6AFE">
        <w:rPr>
          <w:sz w:val="22"/>
          <w:szCs w:val="22"/>
          <w:lang w:val="en-US"/>
        </w:rPr>
        <w:t xml:space="preserve"> samples, which showed the higher dispersive to polar SE ratios, were characterized by a negative Skewness value</w:t>
      </w:r>
      <w:r w:rsidRPr="00847E04">
        <w:rPr>
          <w:color w:val="FF0000"/>
          <w:sz w:val="22"/>
          <w:szCs w:val="22"/>
          <w:lang w:val="en-US"/>
        </w:rPr>
        <w:t xml:space="preserve">. </w:t>
      </w:r>
      <w:r w:rsidR="007E0849" w:rsidRPr="006F768A">
        <w:rPr>
          <w:color w:val="FF0000"/>
          <w:sz w:val="22"/>
          <w:szCs w:val="22"/>
          <w:lang w:val="en-US"/>
        </w:rPr>
        <w:t xml:space="preserve">Moreover, the GB sample, which had the highest dispersive to polar SE ratio, showed the highest Skewness value. These results suggest a relationship between the presence of a greater amount of valleys than peaks on the surface, and a lower contribution of the polar </w:t>
      </w:r>
      <w:r w:rsidR="009B402F" w:rsidRPr="006F768A">
        <w:rPr>
          <w:color w:val="FF0000"/>
          <w:sz w:val="22"/>
          <w:szCs w:val="22"/>
          <w:lang w:val="en-US"/>
        </w:rPr>
        <w:t>component to</w:t>
      </w:r>
      <w:r w:rsidR="007E0849" w:rsidRPr="006F768A">
        <w:rPr>
          <w:color w:val="FF0000"/>
          <w:sz w:val="22"/>
          <w:szCs w:val="22"/>
          <w:lang w:val="en-US"/>
        </w:rPr>
        <w:t xml:space="preserve"> the surface energy.</w:t>
      </w:r>
      <w:r w:rsidRPr="00847E04">
        <w:rPr>
          <w:color w:val="FF0000"/>
          <w:sz w:val="22"/>
          <w:szCs w:val="22"/>
          <w:lang w:val="en-US"/>
        </w:rPr>
        <w:t xml:space="preserve"> </w:t>
      </w:r>
      <w:r w:rsidRPr="005E6AFE">
        <w:rPr>
          <w:sz w:val="22"/>
          <w:szCs w:val="22"/>
          <w:lang w:val="en-US"/>
        </w:rPr>
        <w:t>The latter, instead, does not seem to be affected by surface composition and microstructure, since these characteristics were very similar among the tested samples.</w:t>
      </w:r>
    </w:p>
    <w:p w14:paraId="1B1C89CC" w14:textId="53886147" w:rsidR="0072377F" w:rsidRDefault="00673E5C">
      <w:pPr>
        <w:pStyle w:val="NormaleWeb"/>
        <w:keepNext w:val="0"/>
        <w:widowControl w:val="0"/>
        <w:spacing w:line="480" w:lineRule="auto"/>
        <w:jc w:val="both"/>
        <w:rPr>
          <w:sz w:val="22"/>
          <w:szCs w:val="22"/>
          <w:u w:color="FF0000"/>
          <w:lang w:val="en-US"/>
        </w:rPr>
      </w:pPr>
      <w:r w:rsidRPr="005E6AFE">
        <w:rPr>
          <w:sz w:val="22"/>
          <w:szCs w:val="22"/>
          <w:lang w:val="en-US"/>
        </w:rPr>
        <w:t xml:space="preserve">To better understand the biological mechanism connecting </w:t>
      </w:r>
      <w:proofErr w:type="spellStart"/>
      <w:r w:rsidRPr="005E6AFE">
        <w:rPr>
          <w:sz w:val="22"/>
          <w:szCs w:val="22"/>
          <w:lang w:val="en-US"/>
        </w:rPr>
        <w:t>SFE</w:t>
      </w:r>
      <w:proofErr w:type="spellEnd"/>
      <w:r w:rsidRPr="005E6AFE">
        <w:rPr>
          <w:sz w:val="22"/>
          <w:szCs w:val="22"/>
          <w:lang w:val="en-US"/>
        </w:rPr>
        <w:t xml:space="preserve"> and early cell adhesion, the authors focused on protein adsorption dynamics with particular interest to fibronectin, following previous literature. Indeed, fibronectin, a high molecular weight glycoprotein of the extracellular matrix, is recognized by integrin</w:t>
      </w:r>
      <w:r w:rsidR="0013434E">
        <w:rPr>
          <w:sz w:val="22"/>
          <w:szCs w:val="22"/>
          <w:lang w:val="en-US"/>
        </w:rPr>
        <w:t xml:space="preserve"> </w:t>
      </w:r>
      <w:r w:rsidR="0013434E" w:rsidRPr="0025473D">
        <w:rPr>
          <w:color w:val="FF0000"/>
          <w:sz w:val="22"/>
          <w:szCs w:val="22"/>
          <w:u w:color="FF0000"/>
          <w:lang w:val="en-US"/>
        </w:rPr>
        <w:t>α5β1</w:t>
      </w:r>
      <w:r w:rsidR="0013434E" w:rsidRPr="0025473D">
        <w:rPr>
          <w:color w:val="FF0000"/>
          <w:sz w:val="22"/>
          <w:szCs w:val="22"/>
          <w:lang w:val="en-US"/>
        </w:rPr>
        <w:t xml:space="preserve">, belonging to one of </w:t>
      </w:r>
      <w:r w:rsidRPr="0025473D">
        <w:rPr>
          <w:color w:val="FF0000"/>
          <w:sz w:val="22"/>
          <w:szCs w:val="22"/>
          <w:lang w:val="en-US"/>
        </w:rPr>
        <w:t xml:space="preserve">the most important adhesion protein family for eukaryotic cells </w:t>
      </w:r>
      <w:r w:rsidR="0072377F" w:rsidRPr="00117758">
        <w:rPr>
          <w:color w:val="FF0000"/>
          <w:sz w:val="22"/>
          <w:szCs w:val="22"/>
          <w:lang w:val="en-US"/>
        </w:rPr>
        <w:fldChar w:fldCharType="begin" w:fldLock="1"/>
      </w:r>
      <w:r w:rsidR="00296F38" w:rsidRPr="0025473D">
        <w:rPr>
          <w:color w:val="FF0000"/>
          <w:sz w:val="22"/>
          <w:szCs w:val="22"/>
          <w:lang w:val="en-US"/>
        </w:rPr>
        <w:instrText>ADDIN CSL_CITATION { "citationItems" : [ { "id" : "ITEM-1", "itemData" : { "DOI" : "10.1073/pnas.0812334106", "ISSN" : "0027-8424", "PMID" : "19843692", "abstract" : "Adult human mesenchymal stromal cells (hMSCs) have the potential to differentiate into chondrogenic, adipogenic, or osteogenic lineages, providing a potential source for tissue regeneration. An important issue for efficient bone regeneration is to identify factors that can be targeted to promote the osteogenic potential of hMSCs. Using transcriptome analysis, we found that integrin alpha5 (ITGA5) expression is up-regulated during dexamethasone-induced osteoblast differentiation of hMSCs. Gain-of-function studies showed that ITGA5 promotes the expression of osteoblast phenotypic markers and in vitro osteogenesis of hMSCs. Down-regulation of endogenous ITGA5 using specific shRNAs blunted osteoblast marker gene expression and osteogenic differentiation. Molecular analyses showed that the enhanced osteoblast differentiation induced by ITGA5 was mediated by activation of focal adhesion kinase/ERK1/2-MAPKs and PI3K signaling pathways. Remarkably, activation of endogenous ITGA5 using agonists such as a specific antibody that primes the integrin or a peptide that specifically activates ITGA5 was sufficient to enhance ERK1/2-MAPKs and PI3K signaling and to promote osteoblast differentiation and osteogenic capacity of hMSCs. Importantly, we demonstrated that hMSCs engineered to overexpress ITGA5 exhibited a marked increase in their osteogenic potential in vivo. Taken together, these findings not only reveal that ITGA5 is required for osteoblast differentiation of adult hMSCs but also provide a targeted strategy using ITGA5 agonists to promote the osteogenic capacity of hMSCs. This may be used for tissue regeneration in bone disorders where the recruitment or capacity of hMSCs is compromised.", "author" : [ { "dropping-particle" : "", "family" : "Hamidouche", "given" : "Z.", "non-dropping-particle" : "", "parse-names" : false, "suffix" : "" }, { "dropping-particle" : "", "family" : "Fromigue", "given" : "O.", "non-dropping-particle" : "", "parse-names" : false, "suffix" : "" }, { "dropping-particle" : "", "family" : "Ringe", "given" : "J.", "non-dropping-particle" : "", "parse-names" : false, "suffix" : "" }, { "dropping-particle" : "", "family" : "Haupl", "given" : "T.", "non-dropping-particle" : "", "parse-names" : false, "suffix" : "" }, { "dropping-particle" : "", "family" : "Vaudin", "given" : "P.", "non-dropping-particle" : "", "parse-names" : false, "suffix" : "" }, { "dropping-particle" : "", "family" : "Pages", "given" : "J.-C.", "non-dropping-particle" : "", "parse-names" : false, "suffix" : "" }, { "dropping-particle" : "", "family" : "Srouji", "given" : "S.", "non-dropping-particle" : "", "parse-names" : false, "suffix" : "" }, { "dropping-particle" : "", "family" : "Livne", "given" : "E.", "non-dropping-particle" : "", "parse-names" : false, "suffix" : "" }, { "dropping-particle" : "", "family" : "Marie", "given" : "P. J.", "non-dropping-particle" : "", "parse-names" : false, "suffix" : "" } ], "container-title" : "Proceedings of the National Academy of Sciences", "id" : "ITEM-1", "issue" : "44", "issued" : { "date-parts" : [ [ "2009", "11", "3" ] ] }, "page" : "18587-18591", "title" : "Priming integrin \u00a05 promotes human mesenchymal stromal cell osteoblast differentiation and osteogenesis", "type" : "article-journal", "volume" : "106" }, "uris" : [ "http://www.mendeley.com/documents/?uuid=ffd48470-662f-49a6-9b9d-6ffa30bdab19", "http://www.mendeley.com/documents/?uuid=d071a702-c333-3ee3-adc6-3cba4ff2d155" ] }, { "id" : "ITEM-2", "itemData" : { "DOI" : "10.1016/j.yexcr.2006.10.021", "ISSN" : "00144827", "PMID" : "17123509", "abstract" : "The mechanisms underlying the altered osteoblastogenesis and bone loss in response to disuse are incompletely understood. Using the rat tail suspension model, we studied the effect of skeletal unloading on osteoblast and osteocyte apoptosis. Tail suspension for 2 to 7 days decreased tibial bone mass and induced early apoptotic loss of osteoblasts and delayed apoptotic loss of osteocytes. Surrenal gland weight and plasma corticosterone levels did not differ in loaded and unloaded rats at any time point, indicating that osteoblast/osteocyte apoptosis occurred independently of endogenous glucocorticoids. The mechanistic basis for the disuse-induced osteoblast/osteocyte apoptosis was examined. We found that alpha5beta1 integrin and phosphorylated phosphatidyl-inositol-3 kinase (p-PI3K) protein levels were transiently decreased in unloaded metaphyseal long bone compared to loaded bones. In contrast, p-FAK and p-ERK p42/44 levels were not significantly altered. Interestingly, the reduced p-PI3K levels in unloaded long bone was associated with decreased levels of the survival protein Bcl-2 with unaltered Bax levels, causing increased Bax/Bcl-2 levels. The results indicate that skeletal unloading in rats induces a glucocorticoid-independent, immediate increase in osteoblast apoptosis associated with decreased alpha5beta1-PI3K-Bcl-2 survival pathway in rat bone, which may contribute to the altered osteoblastogenesis and osteopenia induced by unloading.", "author" : [ { "dropping-particle" : "", "family" : "Dufour", "given" : "C.", "non-dropping-particle" : "", "parse-names" : false, "suffix" : "" }, { "dropping-particle" : "", "family" : "Holy", "given" : "X.", "non-dropping-particle" : "", "parse-names" : false, "suffix" : "" }, { "dropping-particle" : "", "family" : "Marie", "given" : "P.J.", "non-dropping-particle" : "", "parse-names" : false, "suffix" : "" } ], "container-title" : "Experimental Cell Research", "id" : "ITEM-2", "issue" : "2", "issued" : { "date-parts" : [ [ "2007", "1", "15" ] ] }, "page" : "394-403", "title" : "Skeletal unloading induces osteoblast apoptosis and targets \u03b15\u03b21-PI3K-Bcl-2 signaling in rat bone", "type" : "article-journal", "volume" : "313" }, "uris" : [ "http://www.mendeley.com/documents/?uuid=a3b1e125-97fe-374a-8b79-71a3dd03a552" ] } ], "mendeley" : { "formattedCitation" : "[21,22]", "plainTextFormattedCitation" : "[21,22]", "previouslyFormattedCitation" : "[21,22]" }, "properties" : {  }, "schema" : "https://github.com/citation-style-language/schema/raw/master/csl-citation.json" }</w:instrText>
      </w:r>
      <w:r w:rsidR="0072377F" w:rsidRPr="00847E04">
        <w:rPr>
          <w:color w:val="FF0000"/>
          <w:sz w:val="22"/>
          <w:szCs w:val="22"/>
          <w:lang w:val="en-US"/>
        </w:rPr>
        <w:fldChar w:fldCharType="separate"/>
      </w:r>
      <w:r w:rsidR="00FB577C" w:rsidRPr="0025473D">
        <w:rPr>
          <w:noProof/>
          <w:color w:val="FF0000"/>
          <w:sz w:val="22"/>
          <w:szCs w:val="22"/>
          <w:lang w:val="en-US"/>
        </w:rPr>
        <w:t>[21,22]</w:t>
      </w:r>
      <w:r w:rsidR="0072377F" w:rsidRPr="00117758">
        <w:rPr>
          <w:color w:val="FF0000"/>
          <w:sz w:val="22"/>
          <w:szCs w:val="22"/>
          <w:lang w:val="en-US"/>
        </w:rPr>
        <w:fldChar w:fldCharType="end"/>
      </w:r>
      <w:r w:rsidR="0072377F" w:rsidRPr="0025473D">
        <w:rPr>
          <w:color w:val="FF0000"/>
          <w:sz w:val="22"/>
          <w:szCs w:val="22"/>
          <w:lang w:val="en-US"/>
        </w:rPr>
        <w:t xml:space="preserve">. </w:t>
      </w:r>
      <w:r w:rsidR="0017777D" w:rsidRPr="0025473D">
        <w:rPr>
          <w:color w:val="FF0000"/>
          <w:sz w:val="22"/>
          <w:szCs w:val="22"/>
          <w:lang w:val="en-US"/>
        </w:rPr>
        <w:t>Specifically o</w:t>
      </w:r>
      <w:r w:rsidR="00400294" w:rsidRPr="0025473D">
        <w:rPr>
          <w:color w:val="FF0000"/>
          <w:sz w:val="22"/>
          <w:szCs w:val="22"/>
          <w:lang w:val="en-US"/>
        </w:rPr>
        <w:t xml:space="preserve">n rough surfaces, </w:t>
      </w:r>
      <w:r w:rsidR="00412792" w:rsidRPr="0025473D">
        <w:rPr>
          <w:color w:val="FF0000"/>
          <w:sz w:val="22"/>
          <w:szCs w:val="22"/>
          <w:lang w:val="en-US"/>
        </w:rPr>
        <w:t>fibronectin accumulates preferentially at ridge/groove boundaries inducing in overlying cells the formation of integrin clusters, thus focal adhesions, right above these boundaries</w:t>
      </w:r>
      <w:r w:rsidR="0017777D" w:rsidRPr="0025473D">
        <w:rPr>
          <w:color w:val="FF0000"/>
          <w:sz w:val="22"/>
          <w:szCs w:val="22"/>
          <w:lang w:val="en-US"/>
        </w:rPr>
        <w:t xml:space="preserve"> </w:t>
      </w:r>
      <w:r w:rsidR="0017777D" w:rsidRPr="00117758">
        <w:rPr>
          <w:color w:val="FF0000"/>
          <w:sz w:val="22"/>
          <w:szCs w:val="22"/>
          <w:lang w:val="en-US"/>
        </w:rPr>
        <w:fldChar w:fldCharType="begin" w:fldLock="1"/>
      </w:r>
      <w:r w:rsidR="00296F38" w:rsidRPr="0025473D">
        <w:rPr>
          <w:color w:val="FF0000"/>
          <w:sz w:val="22"/>
          <w:szCs w:val="22"/>
          <w:lang w:val="en-US"/>
        </w:rPr>
        <w:instrText>ADDIN CSL_CITATION { "citationItems" : [ { "id" : "ITEM-1", "itemData" : { "DOI" : "10.1002/jbm.a.35407", "ISSN" : "15524965", "abstract" : "Microgrooved surfaces have been used extensively to influence cell contact guidance. Guiding cell growth, extracellular matrix deposition, and mineralization is important for bone implant longevity. In this study, we investigated the osteoblast response to microgrooved metallic surfaces in serum-supplemented medium. Groove spacing was comparable with the spread osteoblast size. Focal adhesions were observed to confine to the intervening ridge/groove boundaries. Osteoblasts bridged over the grooves and were unable to conform to the concave shape of the underlying grooves. Microgrooved surfaces induced higher osteoblast proliferation and metabolic activity after 14 days in osteogenic medium compared with as-received surfaces, resulting in higher mineralization and alignment of cell-secreted collagen after 28 days. To establish whether preferential cell attachment at the ridge/groove boundaries was influenced by the adhesion proteins contained in the serum-supplemented media, fluorescently labeled fibronectin was adsorbed onto the microgrooved substrates at low concentrations, mimicking the concentrations found in blood serum. Fibronectin was found to selectively adsorb onto the ridge/groove boundaries, the osteoblast focal adhesion sites, suggesting that protein adsorption may have influenced the cell attachment pattern.", "author" : [ { "dropping-particle" : "", "family" : "Luca", "given" : "Alba C.", "non-dropping-particle" : "De", "parse-names" : false, "suffix" : "" }, { "dropping-particle" : "", "family" : "Zink", "given" : "Mareike", "non-dropping-particle" : "", "parse-names" : false, "suffix" : "" }, { "dropping-particle" : "", "family" : "Weidt", "given" : "Astrid", "non-dropping-particle" : "", "parse-names" : false, "suffix" : "" }, { "dropping-particle" : "", "family" : "Mayr", "given" : "Stefan G.", "non-dropping-particle" : "", "parse-names" : false, "suffix" : "" }, { "dropping-particle" : "", "family" : "Markaki", "given" : "Athina E.", "non-dropping-particle" : "", "parse-names" : false, "suffix" : "" } ], "container-title" : "Journal of Biomedical Materials Research - Part A", "id" : "ITEM-1", "issue" : "8", "issued" : { "date-parts" : [ [ "2015", "8" ] ] }, "page" : "2689-2700", "publisher" : "John Wiley and Sons Inc.", "title" : "Effect of microgrooved surface topography on osteoblast maturation and protein adsorption", "type" : "article-journal", "volume" : "103" }, "uris" : [ "http://www.mendeley.com/documents/?uuid=53429357-bca1-32c8-afcb-b60fa21f1f8b", "http://www.mendeley.com/documents/?uuid=7a9943bd-4e97-424a-861f-8c07750ccb03" ] } ], "mendeley" : { "formattedCitation" : "[60]", "plainTextFormattedCitation" : "[60]", "previouslyFormattedCitation" : "[60]" }, "properties" : {  }, "schema" : "https://github.com/citation-style-language/schema/raw/master/csl-citation.json" }</w:instrText>
      </w:r>
      <w:r w:rsidR="0017777D" w:rsidRPr="00847E04">
        <w:rPr>
          <w:color w:val="FF0000"/>
          <w:sz w:val="22"/>
          <w:szCs w:val="22"/>
          <w:lang w:val="en-US"/>
        </w:rPr>
        <w:fldChar w:fldCharType="separate"/>
      </w:r>
      <w:r w:rsidR="00296F38" w:rsidRPr="0025473D">
        <w:rPr>
          <w:noProof/>
          <w:color w:val="FF0000"/>
          <w:sz w:val="22"/>
          <w:szCs w:val="22"/>
          <w:lang w:val="en-US"/>
        </w:rPr>
        <w:t>[60]</w:t>
      </w:r>
      <w:r w:rsidR="0017777D" w:rsidRPr="00117758">
        <w:rPr>
          <w:color w:val="FF0000"/>
          <w:sz w:val="22"/>
          <w:szCs w:val="22"/>
          <w:lang w:val="en-US"/>
        </w:rPr>
        <w:fldChar w:fldCharType="end"/>
      </w:r>
      <w:r w:rsidR="0013434E" w:rsidRPr="00847E04">
        <w:rPr>
          <w:color w:val="FF0000"/>
          <w:sz w:val="22"/>
          <w:szCs w:val="22"/>
          <w:lang w:val="en-US"/>
        </w:rPr>
        <w:t>.</w:t>
      </w:r>
      <w:r w:rsidR="009B402F" w:rsidRPr="00847E04">
        <w:rPr>
          <w:color w:val="FF0000"/>
          <w:sz w:val="22"/>
          <w:szCs w:val="22"/>
          <w:lang w:val="en-US"/>
        </w:rPr>
        <w:t xml:space="preserve"> </w:t>
      </w:r>
      <w:r w:rsidRPr="005E6AFE">
        <w:rPr>
          <w:sz w:val="22"/>
          <w:szCs w:val="22"/>
          <w:lang w:val="en-US"/>
        </w:rPr>
        <w:t xml:space="preserve">Thanks to the specific rat monoclonal antibody </w:t>
      </w:r>
      <w:proofErr w:type="spellStart"/>
      <w:r w:rsidRPr="005E6AFE">
        <w:rPr>
          <w:sz w:val="22"/>
          <w:szCs w:val="22"/>
          <w:lang w:val="en-US"/>
        </w:rPr>
        <w:t>9EG7</w:t>
      </w:r>
      <w:proofErr w:type="spellEnd"/>
      <w:r w:rsidRPr="005E6AFE">
        <w:rPr>
          <w:sz w:val="22"/>
          <w:szCs w:val="22"/>
          <w:lang w:val="en-US"/>
        </w:rPr>
        <w:t xml:space="preserve"> against a cryptic epitope that is exposed only in the </w:t>
      </w:r>
      <w:proofErr w:type="spellStart"/>
      <w:r w:rsidRPr="005E6AFE">
        <w:rPr>
          <w:sz w:val="22"/>
          <w:szCs w:val="22"/>
          <w:lang w:val="en-US"/>
        </w:rPr>
        <w:t>EGF2</w:t>
      </w:r>
      <w:proofErr w:type="spellEnd"/>
      <w:r w:rsidRPr="005E6AFE">
        <w:rPr>
          <w:sz w:val="22"/>
          <w:szCs w:val="22"/>
          <w:lang w:val="en-US"/>
        </w:rPr>
        <w:t xml:space="preserve"> domain</w:t>
      </w:r>
      <w:r w:rsidR="00253627">
        <w:rPr>
          <w:sz w:val="22"/>
          <w:szCs w:val="22"/>
          <w:lang w:val="en-US"/>
        </w:rPr>
        <w:t xml:space="preserve"> </w:t>
      </w:r>
      <w:r w:rsidR="00253627">
        <w:rPr>
          <w:sz w:val="22"/>
          <w:szCs w:val="22"/>
          <w:lang w:val="en-US"/>
        </w:rPr>
        <w:lastRenderedPageBreak/>
        <w:t>activating β</w:t>
      </w:r>
      <w:r w:rsidR="00312A12" w:rsidRPr="005E6AFE">
        <w:rPr>
          <w:sz w:val="22"/>
          <w:szCs w:val="22"/>
          <w:lang w:val="en-US"/>
        </w:rPr>
        <w:t>1</w:t>
      </w:r>
      <w:r w:rsidR="00253627">
        <w:rPr>
          <w:sz w:val="22"/>
          <w:szCs w:val="22"/>
          <w:lang w:val="en-US"/>
        </w:rPr>
        <w:t>-</w:t>
      </w:r>
      <w:r w:rsidR="00312A12" w:rsidRPr="005E6AFE">
        <w:rPr>
          <w:sz w:val="22"/>
          <w:szCs w:val="22"/>
          <w:lang w:val="en-US"/>
        </w:rPr>
        <w:t>integrin</w:t>
      </w:r>
      <w:r w:rsidRPr="005E6AFE">
        <w:rPr>
          <w:sz w:val="22"/>
          <w:szCs w:val="22"/>
          <w:lang w:val="en-US"/>
        </w:rPr>
        <w:t>, t</w:t>
      </w:r>
      <w:r w:rsidR="00BC7249">
        <w:rPr>
          <w:sz w:val="22"/>
          <w:szCs w:val="22"/>
          <w:lang w:val="en-US"/>
        </w:rPr>
        <w:t xml:space="preserve">he authors could study </w:t>
      </w:r>
      <w:r w:rsidRPr="005E6AFE">
        <w:rPr>
          <w:sz w:val="22"/>
          <w:szCs w:val="22"/>
          <w:lang w:val="en-US"/>
        </w:rPr>
        <w:t xml:space="preserve">selectively the conformationally active β1-integrin subunit. </w:t>
      </w:r>
      <w:r w:rsidRPr="005E6AFE">
        <w:rPr>
          <w:sz w:val="22"/>
          <w:szCs w:val="22"/>
          <w:u w:color="FF0000"/>
          <w:lang w:val="en-US"/>
        </w:rPr>
        <w:t xml:space="preserve">Then, in a rescue assay, the </w:t>
      </w:r>
      <w:r w:rsidR="00312A12" w:rsidRPr="005E6AFE">
        <w:rPr>
          <w:sz w:val="22"/>
          <w:szCs w:val="22"/>
          <w:u w:color="FF0000"/>
          <w:lang w:val="en-US"/>
        </w:rPr>
        <w:t xml:space="preserve">inhibition </w:t>
      </w:r>
      <w:r w:rsidRPr="005E6AFE">
        <w:rPr>
          <w:sz w:val="22"/>
          <w:szCs w:val="22"/>
          <w:u w:color="FF0000"/>
          <w:lang w:val="en-US"/>
        </w:rPr>
        <w:t>of cell adhesion of GB</w:t>
      </w:r>
      <w:r w:rsidR="00312A12" w:rsidRPr="005E6AFE">
        <w:rPr>
          <w:sz w:val="22"/>
          <w:szCs w:val="22"/>
          <w:u w:color="FF0000"/>
          <w:lang w:val="en-US"/>
        </w:rPr>
        <w:t xml:space="preserve"> and AE</w:t>
      </w:r>
      <w:r w:rsidRPr="005E6AFE">
        <w:rPr>
          <w:sz w:val="22"/>
          <w:szCs w:val="22"/>
          <w:u w:color="FF0000"/>
          <w:lang w:val="en-US"/>
        </w:rPr>
        <w:t xml:space="preserve"> was reversed recurring to the activating capacity of the </w:t>
      </w:r>
      <w:proofErr w:type="spellStart"/>
      <w:r w:rsidRPr="005E6AFE">
        <w:rPr>
          <w:sz w:val="22"/>
          <w:szCs w:val="22"/>
          <w:lang w:val="en-US"/>
        </w:rPr>
        <w:t>9EG7</w:t>
      </w:r>
      <w:proofErr w:type="spellEnd"/>
      <w:r w:rsidRPr="005E6AFE">
        <w:rPr>
          <w:sz w:val="22"/>
          <w:szCs w:val="22"/>
          <w:u w:color="FF0000"/>
          <w:lang w:val="en-US"/>
        </w:rPr>
        <w:t xml:space="preserve"> antibody against the β</w:t>
      </w:r>
      <w:proofErr w:type="spellStart"/>
      <w:r w:rsidRPr="005E6AFE">
        <w:rPr>
          <w:sz w:val="22"/>
          <w:szCs w:val="22"/>
          <w:u w:color="FF0000"/>
          <w:lang w:val="en-US"/>
        </w:rPr>
        <w:t>1integrin</w:t>
      </w:r>
      <w:proofErr w:type="spellEnd"/>
      <w:r w:rsidRPr="005E6AFE">
        <w:rPr>
          <w:sz w:val="22"/>
          <w:szCs w:val="22"/>
          <w:u w:color="FF0000"/>
          <w:lang w:val="en-US"/>
        </w:rPr>
        <w:t xml:space="preserve"> subunit. This suggests that the impaired osteoblast adhesion on GB surface was mediated by </w:t>
      </w:r>
      <w:r w:rsidRPr="005E6AFE">
        <w:rPr>
          <w:sz w:val="22"/>
          <w:szCs w:val="22"/>
          <w:lang w:val="en-US"/>
        </w:rPr>
        <w:t>β1-integrins in agreement with the literature on the matter. S</w:t>
      </w:r>
      <w:r w:rsidRPr="005E6AFE">
        <w:rPr>
          <w:sz w:val="22"/>
          <w:szCs w:val="22"/>
          <w:u w:color="FF0000"/>
          <w:lang w:val="en-US"/>
        </w:rPr>
        <w:t xml:space="preserve">pecific integrin heterodimers are involved according to the substrate type even on titanium surfaces </w:t>
      </w:r>
      <w:r w:rsidR="0072377F" w:rsidRPr="005E6AFE">
        <w:rPr>
          <w:sz w:val="22"/>
          <w:szCs w:val="22"/>
          <w:u w:color="FF0000"/>
          <w:lang w:val="en-US"/>
        </w:rPr>
        <w:fldChar w:fldCharType="begin" w:fldLock="1"/>
      </w:r>
      <w:r w:rsidR="00296F38">
        <w:rPr>
          <w:sz w:val="22"/>
          <w:szCs w:val="22"/>
          <w:u w:color="FF0000"/>
          <w:lang w:val="en-US"/>
        </w:rPr>
        <w:instrText>ADDIN CSL_CITATION { "citationItems" : [ { "id" : "ITEM-1", "itemData" : { "DOI" : "10.1002/jbm.a.35185", "ISSN" : "1552-4965", "PMID" : "24733736", "abstract" : "Surface microroughness plays an important role in determining osteoblast behavior on titanium. Previous studies have shown that osteoblast differentiation on microtextured titanium substrates is dependent on alpha-2 beta-1 (\u03b12\u03b21) integrin signaling. This study used focused ion beam milling and scanning electron microscopy, combined with three-dimensional image reconstruction, to investigate early interactions of individual cells with their substrate and the role of integrin \u03b12\u03b21 in determining cell shape. MG63 osteoblast-like cells on sand blasted/acid etched (SLA) Ti surfaces after 3 days of culturing indicated decreased cell number, increased cell differentiation, and increased expression of mRNA levels for \u03b11, \u03b12, \u03b1V, and \u03b21 integrin subunits compared to cells on smooth Ti (PT) surfaces. \u03b12 or \u03b21 silenced cells exhibited increased cell number and decreased differentiation on SLA compared to wild-type cells. Wild-type cells on SLA possessed an elongated morphology with reduced cell area, increased cell thickness, and more apparent contact points. Cells on PT exhibited greater spreading and were relatively flat. Silenced cells possessed a morphology and phenotype similar to wild-type cells grown on PT. These observations indicate that surface microroughness affects cell response via \u03b12\u03b21 integrin signaling, resulting in a cell shape that promotes osteoblastic differentiation.", "author" : [ { "dropping-particle" : "", "family" : "Lai", "given" : "Min", "non-dropping-particle" : "", "parse-names" : false, "suffix" : "" }, { "dropping-particle" : "", "family" : "Hermann", "given" : "Christopher D.", "non-dropping-particle" : "", "parse-names" : false, "suffix" : "" }, { "dropping-particle" : "", "family" : "Cheng", "given" : "Alice", "non-dropping-particle" : "", "parse-names" : false, "suffix" : "" }, { "dropping-particle" : "", "family" : "Olivares-Navarrete", "given" : "Rene", "non-dropping-particle" : "", "parse-names" : false, "suffix" : "" }, { "dropping-particle" : "", "family" : "Gittens", "given" : "Rolando A.", "non-dropping-particle" : "", "parse-names" : false, "suffix" : "" }, { "dropping-particle" : "", "family" : "Bird", "given" : "Meredith M.", "non-dropping-particle" : "", "parse-names" : false, "suffix" : "" }, { "dropping-particle" : "", "family" : "Walker", "given" : "Marcus", "non-dropping-particle" : "", "parse-names" : false, "suffix" : "" }, { "dropping-particle" : "", "family" : "Cai", "given" : "Ye", "non-dropping-particle" : "", "parse-names" : false, "suffix" : "" }, { "dropping-particle" : "", "family" : "Cai", "given" : "Kaiyong", "non-dropping-particle" : "", "parse-names" : false, "suffix" : "" }, { "dropping-particle" : "", "family" : "Sandhage", "given" : "Kenneth H.", "non-dropping-particle" : "", "parse-names" : false, "suffix" : "" }, { "dropping-particle" : "", "family" : "Schwartz", "given" : "Zvi", "non-dropping-particle" : "", "parse-names" : false, "suffix" : "" }, { "dropping-particle" : "", "family" : "Boyan", "given" : "Barbara D.", "non-dropping-particle" : "", "parse-names" : false, "suffix" : "" } ], "container-title" : "Journal of biomedical materials research. Part A", "id" : "ITEM-1", "issue" : "2", "issued" : { "date-parts" : [ [ "2015", "2" ] ] }, "page" : "564-73", "title" : "Role of \u03b12\u03b21 integrins in mediating cell shape on microtextured titanium surfaces.", "type" : "article-journal", "volume" : "103" }, "uris" : [ "http://www.mendeley.com/documents/?uuid=a2cbd36d-e777-35cf-ad4a-2129d865d938" ] }, { "id" : "ITEM-2", "itemData" : { "DOI" : "10.1016/j.biopha.2018.01.038", "ISSN" : "1950-6007", "PMID" : "29324307", "abstract" : "BACKGROUND Cell based therapy has been heralded as a novel, promising therapeutic strategy for cardiovascular diseases including pulmonary arterial hypertension (PAH). However, the low survival rate after transplantation due to cell death via anoikis is a major obstacle in stem cell therapy. Cells adhesion via Integrin alpha5beta1 (ITGA5B1) has a tendency to exert higher maximum forces. The present study aimed to evaluate the potential protective effect of ITGA5B1 on rat bone marrow mesenchymal stem cells (rBMSCs) from anoikis. METHODS Mononuclear cells were isolated by density gradient centrifugation with Ficoll, and rBMSCs cell surface markers were evaluated by flow cytometry. Osteogenic and adipocyte differentiation was determined by Alizarin Red S and Oil Red O staining respectively. The expression of Integrin A5 (ITGA5), Integrin B1 (ITGB1), eNOS and actived-caspase-3 mRNA or protein was confirmed by qPCR and western-blot. Cell adhesion, cell viability, anoikis and the migration of rBMSCs were also evaluated. Nitric oxide (NO) production was detected by the greiss assay. RESULTS Co-infected with Integrin A5 and B1 lentivirus to rBMSCs increased ITGA5 and ITGB1 mRNA and protein expression. ITGA5B1 enhanced the cell adhesion, cell viability, cell migration and NO production but reduced the cell anoikis in rBMSCs/ITGA5B1 groups. CONCLUSION Transduction of rat rBMSCs with ITGA5B1 lentivirus could prevent cell anoikis and increase NO production.", "author" : [ { "dropping-particle" : "", "family" : "Chen", "given" : "Hai-Ying", "non-dropping-particle" : "", "parse-names" : false, "suffix" : "" }, { "dropping-particle" : "", "family" : "Pan", "given" : "Li", "non-dropping-particle" : "", "parse-names" : false, "suffix" : "" }, { "dropping-particle" : "", "family" : "Yang", "given" : "Hong-li", "non-dropping-particle" : "", "parse-names" : false, "suffix" : "" }, { "dropping-particle" : "", "family" : "Xia", "given" : "Peng", "non-dropping-particle" : "", "parse-names" : false, "suffix" : "" }, { "dropping-particle" : "", "family" : "Yu", "given" : "Wan-cheng", "non-dropping-particle" : "", "parse-names" : false, "suffix" : "" }, { "dropping-particle" : "", "family" : "Tang", "given" : "Wen-qiang", "non-dropping-particle" : "", "parse-names" : false, "suffix" : "" }, { "dropping-particle" : "", "family" : "Zhang", "given" : "Ying-xin", "non-dropping-particle" : "", "parse-names" : false, "suffix" : "" }, { "dropping-particle" : "", "family" : "Chen", "given" : "Shuang-feng", "non-dropping-particle" : "", "parse-names" : false, "suffix" : "" }, { "dropping-particle" : "", "family" : "Xue", "given" : "Yu-zeng", "non-dropping-particle" : "", "parse-names" : false, "suffix" : "" }, { "dropping-particle" : "", "family" : "Wang", "given" : "Le-xin", "non-dropping-particle" : "", "parse-names" : false, "suffix" : "" } ], "container-title" : "Biomedicine &amp; pharmacotherapy = Biomedecine &amp; pharmacotherapie", "id" : "ITEM-2", "issued" : { "date-parts" : [ [ "2018", "3" ] ] }, "page" : "1-8", "title" : "Integrin alpha5beta1 suppresses rBMSCs anoikis and promotes nitric oxide production.", "type" : "article-journal", "volume" : "99" }, "uris" : [ "http://www.mendeley.com/documents/?uuid=46010588-54bf-3ef9-a65e-e40ab303d3d1", "http://www.mendeley.com/documents/?uuid=8f03dcdf-997a-49f0-b3b5-94923bc062fe" ] } ], "mendeley" : { "formattedCitation" : "[61,62]", "plainTextFormattedCitation" : "[61,62]", "previouslyFormattedCitation" : "[61,62]" }, "properties" : {  }, "schema" : "https://github.com/citation-style-language/schema/raw/master/csl-citation.json" }</w:instrText>
      </w:r>
      <w:r w:rsidR="0072377F" w:rsidRPr="005E6AFE">
        <w:rPr>
          <w:sz w:val="22"/>
          <w:szCs w:val="22"/>
          <w:u w:color="FF0000"/>
          <w:lang w:val="en-US"/>
        </w:rPr>
        <w:fldChar w:fldCharType="separate"/>
      </w:r>
      <w:r w:rsidR="00296F38" w:rsidRPr="00296F38">
        <w:rPr>
          <w:noProof/>
          <w:sz w:val="22"/>
          <w:szCs w:val="22"/>
          <w:u w:color="FF0000"/>
          <w:lang w:val="en-US"/>
        </w:rPr>
        <w:t>[61,62]</w:t>
      </w:r>
      <w:r w:rsidR="0072377F" w:rsidRPr="005E6AFE">
        <w:rPr>
          <w:sz w:val="22"/>
          <w:szCs w:val="22"/>
          <w:u w:color="FF0000"/>
          <w:lang w:val="en-US"/>
        </w:rPr>
        <w:fldChar w:fldCharType="end"/>
      </w:r>
      <w:r w:rsidR="0072377F" w:rsidRPr="005E6AFE">
        <w:rPr>
          <w:sz w:val="22"/>
          <w:szCs w:val="22"/>
          <w:u w:color="FF0000"/>
          <w:lang w:val="en-US"/>
        </w:rPr>
        <w:t>.</w:t>
      </w:r>
      <w:r w:rsidR="00964ADA">
        <w:rPr>
          <w:sz w:val="22"/>
          <w:szCs w:val="22"/>
          <w:u w:color="FF0000"/>
          <w:lang w:val="en-US"/>
        </w:rPr>
        <w:t xml:space="preserve"> Interestingly, we did not find any significant difference in the mRNA expression of integrin α5 and β1 chains. Nevertheless, integrin activity is mostly regulated at </w:t>
      </w:r>
      <w:r w:rsidR="000D22B9">
        <w:rPr>
          <w:sz w:val="22"/>
          <w:szCs w:val="22"/>
          <w:u w:color="FF0000"/>
          <w:lang w:val="en-US"/>
        </w:rPr>
        <w:t xml:space="preserve">the level of </w:t>
      </w:r>
      <w:r w:rsidR="00964ADA">
        <w:rPr>
          <w:sz w:val="22"/>
          <w:szCs w:val="22"/>
          <w:u w:color="FF0000"/>
          <w:lang w:val="en-US"/>
        </w:rPr>
        <w:t>subcellular localization.</w:t>
      </w:r>
    </w:p>
    <w:p w14:paraId="6F679C61" w14:textId="49A153D9" w:rsidR="000F05C4" w:rsidRPr="00847E04" w:rsidRDefault="0079555F">
      <w:pPr>
        <w:pStyle w:val="NormaleWeb"/>
        <w:keepNext w:val="0"/>
        <w:widowControl w:val="0"/>
        <w:spacing w:line="480" w:lineRule="auto"/>
        <w:jc w:val="both"/>
        <w:rPr>
          <w:color w:val="FF0000"/>
          <w:sz w:val="22"/>
          <w:szCs w:val="22"/>
          <w:u w:color="FF0000"/>
          <w:lang w:val="en-GB"/>
        </w:rPr>
      </w:pPr>
      <w:r w:rsidRPr="00847E04">
        <w:rPr>
          <w:color w:val="FF0000"/>
          <w:sz w:val="22"/>
          <w:szCs w:val="22"/>
          <w:u w:color="FF0000"/>
          <w:lang w:val="en-US"/>
        </w:rPr>
        <w:t>Thus</w:t>
      </w:r>
      <w:r w:rsidR="00FC641A" w:rsidRPr="00847E04">
        <w:rPr>
          <w:color w:val="FF0000"/>
          <w:sz w:val="22"/>
          <w:szCs w:val="22"/>
          <w:u w:color="FF0000"/>
          <w:lang w:val="en-US"/>
        </w:rPr>
        <w:t>, piecing together the results from protein adsorption, cell adhesion and β1-integrin rescue experiments, we can conclude that</w:t>
      </w:r>
      <w:r w:rsidR="00FC641A" w:rsidRPr="00847E04">
        <w:rPr>
          <w:color w:val="FF0000"/>
          <w:sz w:val="22"/>
          <w:szCs w:val="22"/>
          <w:u w:color="FF0000"/>
          <w:lang w:val="en-GB"/>
        </w:rPr>
        <w:t xml:space="preserve"> titanium SE ratio modulates cell adhesion by strongly influencing the adsorption of proteins important for cells to adhere to their substrate. Specifically for GB, the altered dispersive-to-polar </w:t>
      </w:r>
      <w:proofErr w:type="spellStart"/>
      <w:r w:rsidR="00FC641A" w:rsidRPr="00847E04">
        <w:rPr>
          <w:color w:val="FF0000"/>
          <w:sz w:val="22"/>
          <w:szCs w:val="22"/>
          <w:u w:color="FF0000"/>
          <w:lang w:val="en-GB"/>
        </w:rPr>
        <w:t>SFE</w:t>
      </w:r>
      <w:proofErr w:type="spellEnd"/>
      <w:r w:rsidR="00FC641A" w:rsidRPr="00847E04">
        <w:rPr>
          <w:color w:val="FF0000"/>
          <w:sz w:val="22"/>
          <w:szCs w:val="22"/>
          <w:u w:color="FF0000"/>
          <w:lang w:val="en-GB"/>
        </w:rPr>
        <w:t xml:space="preserve"> ratio</w:t>
      </w:r>
      <w:r w:rsidR="00A57EEA" w:rsidRPr="00847E04">
        <w:rPr>
          <w:color w:val="FF0000"/>
          <w:sz w:val="22"/>
          <w:szCs w:val="22"/>
          <w:u w:color="FF0000"/>
          <w:lang w:val="en-GB"/>
        </w:rPr>
        <w:t>, likely caused by the topographical abundance in valleys,</w:t>
      </w:r>
      <w:r w:rsidR="00150C26" w:rsidRPr="00847E04">
        <w:rPr>
          <w:color w:val="FF0000"/>
          <w:sz w:val="22"/>
          <w:szCs w:val="22"/>
          <w:u w:color="FF0000"/>
          <w:lang w:val="en-GB"/>
        </w:rPr>
        <w:t xml:space="preserve"> </w:t>
      </w:r>
      <w:r w:rsidR="00FC641A" w:rsidRPr="00847E04">
        <w:rPr>
          <w:color w:val="FF0000"/>
          <w:sz w:val="22"/>
          <w:szCs w:val="22"/>
          <w:u w:color="FF0000"/>
          <w:lang w:val="en-GB"/>
        </w:rPr>
        <w:t xml:space="preserve">correlates with a reduced adsorption of fibronectin, the β1-integrin ligand, when compared with AE and </w:t>
      </w:r>
      <w:proofErr w:type="spellStart"/>
      <w:r w:rsidR="00FC641A" w:rsidRPr="00847E04">
        <w:rPr>
          <w:color w:val="FF0000"/>
          <w:sz w:val="22"/>
          <w:szCs w:val="22"/>
          <w:u w:color="FF0000"/>
          <w:lang w:val="en-GB"/>
        </w:rPr>
        <w:t>GBAE</w:t>
      </w:r>
      <w:proofErr w:type="spellEnd"/>
      <w:r w:rsidR="00FC641A" w:rsidRPr="00847E04">
        <w:rPr>
          <w:color w:val="FF0000"/>
          <w:sz w:val="22"/>
          <w:szCs w:val="22"/>
          <w:u w:color="FF0000"/>
          <w:lang w:val="en-GB"/>
        </w:rPr>
        <w:t xml:space="preserve"> surfaces. </w:t>
      </w:r>
      <w:r w:rsidR="0063675C" w:rsidRPr="00847E04">
        <w:rPr>
          <w:color w:val="FF0000"/>
          <w:sz w:val="22"/>
          <w:szCs w:val="22"/>
          <w:u w:color="FF0000"/>
          <w:lang w:val="en-GB"/>
        </w:rPr>
        <w:t>Given that integrins represent the cellular machinery dedicated to the adhesion of cells to a substrate, it stands to reason that a</w:t>
      </w:r>
      <w:r w:rsidR="00FC641A" w:rsidRPr="00847E04">
        <w:rPr>
          <w:color w:val="FF0000"/>
          <w:sz w:val="22"/>
          <w:szCs w:val="22"/>
          <w:u w:color="FF0000"/>
          <w:lang w:val="en-GB"/>
        </w:rPr>
        <w:t xml:space="preserve"> lowered β1-integrin activation </w:t>
      </w:r>
      <w:r w:rsidR="0063675C" w:rsidRPr="00847E04">
        <w:rPr>
          <w:color w:val="FF0000"/>
          <w:sz w:val="22"/>
          <w:szCs w:val="22"/>
          <w:u w:color="FF0000"/>
          <w:lang w:val="en-GB"/>
        </w:rPr>
        <w:t xml:space="preserve">significantly </w:t>
      </w:r>
      <w:r w:rsidR="00FC641A" w:rsidRPr="00847E04">
        <w:rPr>
          <w:color w:val="FF0000"/>
          <w:sz w:val="22"/>
          <w:szCs w:val="22"/>
          <w:u w:color="FF0000"/>
          <w:lang w:val="en-GB"/>
        </w:rPr>
        <w:t>impairs cell adhesion to GB surfaces.</w:t>
      </w:r>
    </w:p>
    <w:p w14:paraId="260F44BB" w14:textId="40D83B64" w:rsidR="00E2412D" w:rsidRDefault="00A57EEA">
      <w:pPr>
        <w:pStyle w:val="NormaleWeb"/>
        <w:keepNext w:val="0"/>
        <w:widowControl w:val="0"/>
        <w:spacing w:line="480" w:lineRule="auto"/>
        <w:jc w:val="both"/>
        <w:rPr>
          <w:sz w:val="22"/>
          <w:szCs w:val="22"/>
          <w:lang w:val="en-US"/>
        </w:rPr>
      </w:pPr>
      <w:r w:rsidRPr="00847E04">
        <w:rPr>
          <w:color w:val="FF0000"/>
          <w:sz w:val="22"/>
          <w:szCs w:val="22"/>
          <w:u w:color="FF0000"/>
          <w:lang w:val="en-GB"/>
        </w:rPr>
        <w:t xml:space="preserve">According to this explanation, surface topography should regulate β1 integrin-mediated osteoblast adhesion just via the influence on the dispersive-to-polar surface energy ratio. However, we questioned about the existence of a mechanism through which the topography of titanium surface could directly influence cell adhesion, independently of the </w:t>
      </w:r>
      <w:proofErr w:type="spellStart"/>
      <w:r w:rsidRPr="00847E04">
        <w:rPr>
          <w:color w:val="FF0000"/>
          <w:sz w:val="22"/>
          <w:szCs w:val="22"/>
          <w:u w:color="FF0000"/>
          <w:lang w:val="en-GB"/>
        </w:rPr>
        <w:t>SFE</w:t>
      </w:r>
      <w:proofErr w:type="spellEnd"/>
      <w:r w:rsidRPr="00847E04">
        <w:rPr>
          <w:color w:val="FF0000"/>
          <w:sz w:val="22"/>
          <w:szCs w:val="22"/>
          <w:u w:color="FF0000"/>
          <w:lang w:val="en-GB"/>
        </w:rPr>
        <w:t xml:space="preserve">. Indeed, </w:t>
      </w:r>
      <w:r w:rsidR="00210028" w:rsidRPr="00847E04">
        <w:rPr>
          <w:color w:val="FF0000"/>
          <w:sz w:val="22"/>
          <w:szCs w:val="22"/>
          <w:u w:color="FF0000"/>
          <w:lang w:val="en-GB"/>
        </w:rPr>
        <w:t>it was observed</w:t>
      </w:r>
      <w:r w:rsidR="007C3C84" w:rsidRPr="00847E04">
        <w:rPr>
          <w:color w:val="FF0000"/>
          <w:sz w:val="22"/>
          <w:szCs w:val="22"/>
          <w:u w:color="FF0000"/>
          <w:lang w:val="en-GB"/>
        </w:rPr>
        <w:t>,</w:t>
      </w:r>
      <w:r w:rsidR="00210028" w:rsidRPr="00847E04">
        <w:rPr>
          <w:color w:val="FF0000"/>
          <w:sz w:val="22"/>
          <w:szCs w:val="22"/>
          <w:u w:color="FF0000"/>
          <w:lang w:val="en-GB"/>
        </w:rPr>
        <w:t xml:space="preserve"> </w:t>
      </w:r>
      <w:r w:rsidR="007928C7" w:rsidRPr="00847E04">
        <w:rPr>
          <w:color w:val="FF0000"/>
          <w:sz w:val="22"/>
          <w:szCs w:val="22"/>
          <w:u w:color="FF0000"/>
          <w:lang w:val="en-GB"/>
        </w:rPr>
        <w:t xml:space="preserve">for materials such as hydroxyapatite and </w:t>
      </w:r>
      <w:r w:rsidR="009B402F" w:rsidRPr="00847E04">
        <w:rPr>
          <w:color w:val="FF0000"/>
          <w:sz w:val="22"/>
          <w:szCs w:val="22"/>
          <w:u w:color="FF0000"/>
          <w:lang w:val="en-GB"/>
        </w:rPr>
        <w:t>nickel</w:t>
      </w:r>
      <w:r w:rsidR="007C3C84" w:rsidRPr="00847E04">
        <w:rPr>
          <w:color w:val="FF0000"/>
          <w:sz w:val="22"/>
          <w:szCs w:val="22"/>
          <w:u w:color="FF0000"/>
          <w:lang w:val="en-GB"/>
        </w:rPr>
        <w:t>,</w:t>
      </w:r>
      <w:r w:rsidR="007928C7" w:rsidRPr="00847E04">
        <w:rPr>
          <w:color w:val="FF0000"/>
          <w:sz w:val="22"/>
          <w:szCs w:val="22"/>
          <w:u w:color="FF0000"/>
          <w:lang w:val="en-GB"/>
        </w:rPr>
        <w:t xml:space="preserve"> </w:t>
      </w:r>
      <w:r w:rsidR="00210028" w:rsidRPr="00847E04">
        <w:rPr>
          <w:color w:val="FF0000"/>
          <w:sz w:val="22"/>
          <w:szCs w:val="22"/>
          <w:u w:color="FF0000"/>
          <w:lang w:val="en-GB"/>
        </w:rPr>
        <w:t xml:space="preserve">that </w:t>
      </w:r>
      <w:r w:rsidR="00825655" w:rsidRPr="00847E04">
        <w:rPr>
          <w:color w:val="FF0000"/>
          <w:sz w:val="22"/>
          <w:szCs w:val="22"/>
          <w:u w:color="FF0000"/>
          <w:lang w:val="en-GB"/>
        </w:rPr>
        <w:t>surfaces</w:t>
      </w:r>
      <w:r w:rsidR="007C3C84" w:rsidRPr="00847E04">
        <w:rPr>
          <w:color w:val="FF0000"/>
          <w:sz w:val="22"/>
          <w:szCs w:val="22"/>
          <w:u w:color="FF0000"/>
          <w:lang w:val="en-GB"/>
        </w:rPr>
        <w:t xml:space="preserve"> showing</w:t>
      </w:r>
      <w:r w:rsidR="00CF7FB1" w:rsidRPr="00847E04">
        <w:rPr>
          <w:color w:val="FF0000"/>
          <w:sz w:val="22"/>
          <w:szCs w:val="22"/>
          <w:u w:color="FF0000"/>
          <w:lang w:val="en-GB"/>
        </w:rPr>
        <w:t xml:space="preserve"> the same </w:t>
      </w:r>
      <w:r w:rsidR="00825655" w:rsidRPr="00847E04">
        <w:rPr>
          <w:color w:val="FF0000"/>
          <w:sz w:val="22"/>
          <w:szCs w:val="22"/>
          <w:u w:color="FF0000"/>
          <w:lang w:val="en-GB"/>
        </w:rPr>
        <w:t xml:space="preserve">contact angle (thus the same </w:t>
      </w:r>
      <w:proofErr w:type="spellStart"/>
      <w:r w:rsidR="00825655" w:rsidRPr="00847E04">
        <w:rPr>
          <w:color w:val="FF0000"/>
          <w:sz w:val="22"/>
          <w:szCs w:val="22"/>
          <w:u w:color="FF0000"/>
          <w:lang w:val="en-GB"/>
        </w:rPr>
        <w:t>SFE</w:t>
      </w:r>
      <w:proofErr w:type="spellEnd"/>
      <w:r w:rsidR="00825655" w:rsidRPr="00847E04">
        <w:rPr>
          <w:color w:val="FF0000"/>
          <w:sz w:val="22"/>
          <w:szCs w:val="22"/>
          <w:u w:color="FF0000"/>
          <w:lang w:val="en-GB"/>
        </w:rPr>
        <w:t>)</w:t>
      </w:r>
      <w:r w:rsidR="007C3C84" w:rsidRPr="00847E04">
        <w:rPr>
          <w:color w:val="FF0000"/>
          <w:sz w:val="22"/>
          <w:szCs w:val="22"/>
          <w:u w:color="FF0000"/>
          <w:lang w:val="en-GB"/>
        </w:rPr>
        <w:t>,</w:t>
      </w:r>
      <w:r w:rsidR="007928C7" w:rsidRPr="00847E04">
        <w:rPr>
          <w:color w:val="FF0000"/>
          <w:sz w:val="22"/>
          <w:szCs w:val="22"/>
          <w:u w:color="FF0000"/>
          <w:lang w:val="en-GB"/>
        </w:rPr>
        <w:t xml:space="preserve"> but </w:t>
      </w:r>
      <w:r w:rsidR="007C3C84" w:rsidRPr="00847E04">
        <w:rPr>
          <w:color w:val="FF0000"/>
          <w:sz w:val="22"/>
          <w:szCs w:val="22"/>
          <w:u w:color="FF0000"/>
          <w:lang w:val="en-GB"/>
        </w:rPr>
        <w:t xml:space="preserve">with </w:t>
      </w:r>
      <w:r w:rsidR="007928C7" w:rsidRPr="00847E04">
        <w:rPr>
          <w:color w:val="FF0000"/>
          <w:sz w:val="22"/>
          <w:szCs w:val="22"/>
          <w:u w:color="FF0000"/>
          <w:lang w:val="en-GB"/>
        </w:rPr>
        <w:t>different topography</w:t>
      </w:r>
      <w:r w:rsidR="007C3C84" w:rsidRPr="00847E04">
        <w:rPr>
          <w:color w:val="FF0000"/>
          <w:sz w:val="22"/>
          <w:szCs w:val="22"/>
          <w:u w:color="FF0000"/>
          <w:lang w:val="en-GB"/>
        </w:rPr>
        <w:t>,</w:t>
      </w:r>
      <w:r w:rsidR="00825655" w:rsidRPr="00847E04">
        <w:rPr>
          <w:color w:val="FF0000"/>
          <w:sz w:val="22"/>
          <w:szCs w:val="22"/>
          <w:u w:color="FF0000"/>
          <w:lang w:val="en-GB"/>
        </w:rPr>
        <w:t xml:space="preserve"> can induce a differential protein adsorption </w:t>
      </w:r>
      <w:r w:rsidR="00825655" w:rsidRPr="00847E04">
        <w:rPr>
          <w:color w:val="FF0000"/>
          <w:sz w:val="22"/>
          <w:szCs w:val="22"/>
          <w:u w:color="FF0000"/>
          <w:lang w:val="en-GB"/>
        </w:rPr>
        <w:fldChar w:fldCharType="begin" w:fldLock="1"/>
      </w:r>
      <w:r w:rsidR="00296F38" w:rsidRPr="00847E04">
        <w:rPr>
          <w:color w:val="FF0000"/>
          <w:sz w:val="22"/>
          <w:szCs w:val="22"/>
          <w:u w:color="FF0000"/>
          <w:lang w:val="en-GB"/>
        </w:rPr>
        <w:instrText>ADDIN CSL_CITATION { "citationItems" : [ { "id" : "ITEM-1", "itemData" : { "DOI" : "10.1002/jbm.a.35967", "ISSN" : "15524965", "abstract" : "In the current study, three hydroxyapatite two-dimensional films with similar wettability but different topological roughness have been prepared through a facile one-step method using hydrated polylactic acid discs as substrates. The results indicated that the protein adsorption capabilities of the hydroxyapatite two-dimensional films and the proliferation of osteoblast cells on the as-prepared films increased obviously with the increase of the films' roughness. These reveal that the cellular responses to two-dimensional materials can be efficiently tuned by easily adjusting the topological roughness. This finding affords an efficient strategy to regulate the cellular response to bioinorganic two-dimensional materials and significantly expanded their application potentials in tissue engineering. \u00a9 2017 Wiley Periodicals, Inc. J Biomed Mater Res Part A: 105A: 991\u2013999, 2017.", "author" : [ { "dropping-particle" : "", "family" : "Yang", "given" : "Gai", "non-dropping-particle" : "", "parse-names" : false, "suffix" : "" }, { "dropping-particle" : "", "family" : "Liu", "given" : "Zili", "non-dropping-particle" : "", "parse-names" : false, "suffix" : "" }, { "dropping-particle" : "", "family" : "Guo", "given" : "Yuming", "non-dropping-particle" : "", "parse-names" : false, "suffix" : "" }, { "dropping-particle" : "", "family" : "Zhang", "given" : "Jie", "non-dropping-particle" : "", "parse-names" : false, "suffix" : "" }, { "dropping-particle" : "", "family" : "Li", "given" : "Han", "non-dropping-particle" : "", "parse-names" : false, "suffix" : "" }, { "dropping-particle" : "", "family" : "Shi", "given" : "Weike", "non-dropping-particle" : "", "parse-names" : false, "suffix" : "" }, { "dropping-particle" : "", "family" : "Feng", "given" : "Jing", "non-dropping-particle" : "", "parse-names" : false, "suffix" : "" }, { "dropping-particle" : "", "family" : "Wang", "given" : "Kui", "non-dropping-particle" : "", "parse-names" : false, "suffix" : "" }, { "dropping-particle" : "", "family" : "Yang", "given" : "Lin", "non-dropping-particle" : "", "parse-names" : false, "suffix" : "" } ], "container-title" : "Journal of Biomedical Materials Research - Part A", "id" : "ITEM-1", "issue" : "4", "issued" : { "date-parts" : [ [ "2017", "4" ] ] }, "page" : "991-999", "publisher" : "John Wiley and Sons Inc.", "title" : "Osteoblast response to the surface topography of hydroxyapatite two-dimensional films", "type" : "article-journal", "volume" : "105" }, "uris" : [ "http://www.mendeley.com/documents/?uuid=ef211253-6f5f-313e-8f3f-7f788f0e3f8d", "http://www.mendeley.com/documents/?uuid=2fa6eb3c-4d7d-498c-befa-b8871b2e0911" ] } ], "mendeley" : { "formattedCitation" : "[63]", "plainTextFormattedCitation" : "[63]", "previouslyFormattedCitation" : "[63]" }, "properties" : {  }, "schema" : "https://github.com/citation-style-language/schema/raw/master/csl-citation.json" }</w:instrText>
      </w:r>
      <w:r w:rsidR="00825655" w:rsidRPr="00847E04">
        <w:rPr>
          <w:color w:val="FF0000"/>
          <w:sz w:val="22"/>
          <w:szCs w:val="22"/>
          <w:u w:color="FF0000"/>
          <w:lang w:val="en-GB"/>
        </w:rPr>
        <w:fldChar w:fldCharType="separate"/>
      </w:r>
      <w:r w:rsidR="00296F38" w:rsidRPr="00847E04">
        <w:rPr>
          <w:color w:val="FF0000"/>
          <w:sz w:val="22"/>
          <w:szCs w:val="22"/>
          <w:u w:color="FF0000"/>
          <w:lang w:val="en-GB"/>
        </w:rPr>
        <w:t>[63]</w:t>
      </w:r>
      <w:r w:rsidR="00825655" w:rsidRPr="00847E04">
        <w:rPr>
          <w:color w:val="FF0000"/>
          <w:sz w:val="22"/>
          <w:szCs w:val="22"/>
          <w:u w:color="FF0000"/>
          <w:lang w:val="en-GB"/>
        </w:rPr>
        <w:fldChar w:fldCharType="end"/>
      </w:r>
      <w:r w:rsidR="00825655" w:rsidRPr="00847E04">
        <w:rPr>
          <w:color w:val="FF0000"/>
          <w:sz w:val="22"/>
          <w:szCs w:val="22"/>
          <w:u w:color="FF0000"/>
          <w:lang w:val="en-GB"/>
        </w:rPr>
        <w:t xml:space="preserve"> and a different degree of adhesion</w:t>
      </w:r>
      <w:r w:rsidR="002C0504" w:rsidRPr="00847E04">
        <w:rPr>
          <w:color w:val="FF0000"/>
          <w:sz w:val="22"/>
          <w:szCs w:val="22"/>
          <w:u w:color="FF0000"/>
          <w:lang w:val="en-GB"/>
        </w:rPr>
        <w:t xml:space="preserve"> contacts</w:t>
      </w:r>
      <w:r w:rsidR="00825655" w:rsidRPr="00847E04">
        <w:rPr>
          <w:color w:val="FF0000"/>
          <w:sz w:val="22"/>
          <w:szCs w:val="22"/>
          <w:u w:color="FF0000"/>
          <w:lang w:val="en-GB"/>
        </w:rPr>
        <w:t xml:space="preserve"> formation in mature OBs </w:t>
      </w:r>
      <w:r w:rsidR="00825655" w:rsidRPr="00847E04">
        <w:rPr>
          <w:color w:val="FF0000"/>
          <w:sz w:val="22"/>
          <w:szCs w:val="22"/>
          <w:u w:color="FF0000"/>
          <w:lang w:val="en-GB"/>
        </w:rPr>
        <w:fldChar w:fldCharType="begin" w:fldLock="1"/>
      </w:r>
      <w:r w:rsidR="00296F38" w:rsidRPr="00847E04">
        <w:rPr>
          <w:color w:val="FF0000"/>
          <w:sz w:val="22"/>
          <w:szCs w:val="22"/>
          <w:u w:color="FF0000"/>
          <w:lang w:val="en-GB"/>
        </w:rPr>
        <w:instrText>ADDIN CSL_CITATION { "citationItems" : [ { "id" : "ITEM-1", "itemData" : { "DOI" : "10.1177/2041731418784098", "ISSN" : "20417314", "abstract" : "The ability to influence stem cell differentiation is highly desirable as it would help us improve clinical outcomes for patients in various aspects. Many different techniques to achieve this have previously been investigated. This concise study, however, has focused on the topography on which cells grow. Current uncemented orthopaedic implants can fail if the implant fails to bind to the surrounding bone and, typically, forms a soft tissue interface which reduces direct bone contact. Here, we look at the effect of a previously reported nanotopography that utilises nanodisorder to influence mesenchymal stromal cell (as may be found in the bone marrow) differentiation towards bone and to also exert this effect on mature osteoblasts (as may be found in the bone). As topography is a physical technique, it can be envisaged for use in a range of materials such as polymers and metals used in the manufacture of orthopaedic implants.", "author" : [ { "dropping-particle" : "", "family" : "Allan", "given" : "Christopher", "non-dropping-particle" : "", "parse-names" : false, "suffix" : "" }, { "dropping-particle" : "", "family" : "Ker", "given" : "Andrew", "non-dropping-particle" : "", "parse-names" : false, "suffix" : "" }, { "dropping-particle" : "", "family" : "Smith", "given" : "Carol Anne", "non-dropping-particle" : "", "parse-names" : false, "suffix" : "" }, { "dropping-particle" : "", "family" : "Tsimbouri", "given" : "Penelope M.", "non-dropping-particle" : "", "parse-names" : false, "suffix" : "" }, { "dropping-particle" : "", "family" : "Borsoi", "given" : "Juliana", "non-dropping-particle" : "", "parse-names" : false, "suffix" : "" }, { "dropping-particle" : "", "family" : "O\u2019Neill", "given" : "Stewart", "non-dropping-particle" : "", "parse-names" : false, "suffix" : "" }, { "dropping-particle" : "", "family" : "Gadegaard", "given" : "Nikolaj", "non-dropping-particle" : "", "parse-names" : false, "suffix" : "" }, { "dropping-particle" : "", "family" : "Dalby", "given" : "Matthew J.", "non-dropping-particle" : "", "parse-names" : false, "suffix" : "" }, { "dropping-particle" : "", "family" : "Dominic Meek", "given" : "R. M.", "non-dropping-particle" : "", "parse-names" : false, "suffix" : "" } ], "container-title" : "Journal of Tissue Engineering", "id" : "ITEM-1", "issued" : { "date-parts" : [ [ "2018", "7" ] ] }, "publisher" : "SAGE Publications Ltd", "title" : "Osteoblast response to disordered nanotopography", "type" : "article-journal", "volume" : "9" }, "uris" : [ "http://www.mendeley.com/documents/?uuid=73c1169a-a71c-3f3a-807c-aa4259474bc8", "http://www.mendeley.com/documents/?uuid=defdfe47-f918-4475-8f02-6c7fa0f53e11" ] } ], "mendeley" : { "formattedCitation" : "[64]", "plainTextFormattedCitation" : "[64]", "previouslyFormattedCitation" : "[64]" }, "properties" : {  }, "schema" : "https://github.com/citation-style-language/schema/raw/master/csl-citation.json" }</w:instrText>
      </w:r>
      <w:r w:rsidR="00825655" w:rsidRPr="00847E04">
        <w:rPr>
          <w:color w:val="FF0000"/>
          <w:sz w:val="22"/>
          <w:szCs w:val="22"/>
          <w:u w:color="FF0000"/>
          <w:lang w:val="en-GB"/>
        </w:rPr>
        <w:fldChar w:fldCharType="separate"/>
      </w:r>
      <w:r w:rsidR="00296F38" w:rsidRPr="00847E04">
        <w:rPr>
          <w:color w:val="FF0000"/>
          <w:sz w:val="22"/>
          <w:szCs w:val="22"/>
          <w:u w:color="FF0000"/>
          <w:lang w:val="en-GB"/>
        </w:rPr>
        <w:t>[64]</w:t>
      </w:r>
      <w:r w:rsidR="00825655" w:rsidRPr="00847E04">
        <w:rPr>
          <w:color w:val="FF0000"/>
          <w:sz w:val="22"/>
          <w:szCs w:val="22"/>
          <w:u w:color="FF0000"/>
          <w:lang w:val="en-GB"/>
        </w:rPr>
        <w:fldChar w:fldCharType="end"/>
      </w:r>
      <w:r w:rsidR="007928C7" w:rsidRPr="00847E04">
        <w:rPr>
          <w:color w:val="FF0000"/>
          <w:sz w:val="22"/>
          <w:szCs w:val="22"/>
          <w:u w:color="FF0000"/>
          <w:lang w:val="en-GB"/>
        </w:rPr>
        <w:t>.</w:t>
      </w:r>
      <w:r w:rsidR="009B402F" w:rsidRPr="00847E04">
        <w:rPr>
          <w:color w:val="FF0000"/>
          <w:sz w:val="22"/>
          <w:szCs w:val="22"/>
          <w:u w:color="FF0000"/>
          <w:lang w:val="en-GB"/>
        </w:rPr>
        <w:t xml:space="preserve"> </w:t>
      </w:r>
      <w:r w:rsidR="00426735" w:rsidRPr="00847E04">
        <w:rPr>
          <w:color w:val="FF0000"/>
          <w:sz w:val="22"/>
          <w:szCs w:val="22"/>
          <w:u w:color="FF0000"/>
          <w:lang w:val="en-GB"/>
        </w:rPr>
        <w:t>How adhesion formation is regulated by the surface topography is not known, however, g</w:t>
      </w:r>
      <w:r w:rsidR="007C3C84" w:rsidRPr="00847E04">
        <w:rPr>
          <w:color w:val="FF0000"/>
          <w:sz w:val="22"/>
          <w:szCs w:val="22"/>
          <w:u w:color="FF0000"/>
          <w:lang w:val="en-GB"/>
        </w:rPr>
        <w:t>iven the important role of integrins in mediating adhesive contacts, the authors decided t</w:t>
      </w:r>
      <w:r w:rsidR="00673E5C" w:rsidRPr="00847E04">
        <w:rPr>
          <w:color w:val="FF0000"/>
          <w:sz w:val="22"/>
          <w:szCs w:val="22"/>
          <w:u w:color="FF0000"/>
          <w:lang w:val="en-GB"/>
        </w:rPr>
        <w:t>o further investigate the role of β1-integrins, focus</w:t>
      </w:r>
      <w:r w:rsidR="007C3C84" w:rsidRPr="00847E04">
        <w:rPr>
          <w:color w:val="FF0000"/>
          <w:sz w:val="22"/>
          <w:szCs w:val="22"/>
          <w:u w:color="FF0000"/>
          <w:lang w:val="en-GB"/>
        </w:rPr>
        <w:t>ing</w:t>
      </w:r>
      <w:r w:rsidR="00673E5C" w:rsidRPr="009B402F">
        <w:rPr>
          <w:color w:val="FF0000"/>
          <w:sz w:val="22"/>
          <w:szCs w:val="22"/>
          <w:lang w:val="en-US"/>
        </w:rPr>
        <w:t xml:space="preserve"> </w:t>
      </w:r>
      <w:r w:rsidR="00673E5C" w:rsidRPr="005E6AFE">
        <w:rPr>
          <w:sz w:val="22"/>
          <w:szCs w:val="22"/>
          <w:lang w:val="en-US"/>
        </w:rPr>
        <w:t xml:space="preserve">on the permeable calcium channel </w:t>
      </w:r>
      <w:proofErr w:type="spellStart"/>
      <w:r w:rsidR="00673E5C" w:rsidRPr="005E6AFE">
        <w:rPr>
          <w:sz w:val="22"/>
          <w:szCs w:val="22"/>
          <w:lang w:val="en-US"/>
        </w:rPr>
        <w:t>TRPV4</w:t>
      </w:r>
      <w:proofErr w:type="spellEnd"/>
      <w:r w:rsidR="00673E5C" w:rsidRPr="005E6AFE">
        <w:rPr>
          <w:sz w:val="22"/>
          <w:szCs w:val="22"/>
          <w:lang w:val="en-US"/>
        </w:rPr>
        <w:t>, which is a putative mechanoreceptor expressed in osteoblasts</w:t>
      </w:r>
      <w:r w:rsidR="005C689F" w:rsidRPr="005E6AFE">
        <w:rPr>
          <w:sz w:val="22"/>
          <w:szCs w:val="22"/>
          <w:lang w:val="en-US"/>
        </w:rPr>
        <w:t xml:space="preserve"> and </w:t>
      </w:r>
      <w:proofErr w:type="spellStart"/>
      <w:r w:rsidR="005C689F" w:rsidRPr="005E6AFE">
        <w:rPr>
          <w:sz w:val="22"/>
          <w:szCs w:val="22"/>
          <w:lang w:val="en-US"/>
        </w:rPr>
        <w:t>MC3T3-E1</w:t>
      </w:r>
      <w:proofErr w:type="spellEnd"/>
      <w:r w:rsidR="005C689F" w:rsidRPr="005E6AFE">
        <w:rPr>
          <w:sz w:val="22"/>
          <w:szCs w:val="22"/>
          <w:lang w:val="en-US"/>
        </w:rPr>
        <w:t xml:space="preserve"> cells </w:t>
      </w:r>
      <w:r w:rsidR="005C689F" w:rsidRPr="005E6AFE">
        <w:rPr>
          <w:sz w:val="22"/>
          <w:szCs w:val="22"/>
          <w:lang w:val="en-US"/>
        </w:rPr>
        <w:fldChar w:fldCharType="begin" w:fldLock="1"/>
      </w:r>
      <w:r w:rsidR="00296F38">
        <w:rPr>
          <w:sz w:val="22"/>
          <w:szCs w:val="22"/>
          <w:lang w:val="en-US"/>
        </w:rPr>
        <w:instrText>ADDIN CSL_CITATION { "citationItems" : [ { "id" : "ITEM-1", "itemData" : { "abstract" : "Duncan, Randall", "author" : [ { "dropping-particle" : "", "family" : "Howell", "given" : "Kristen", "non-dropping-particle" : "", "parse-names" : false, "suffix" : "" } ], "id" : "ITEM-1", "issued" : { "date-parts" : [ [ "2012" ] ] }, "publisher" : "University of Delaware", "title" : "The role of TRPV4 in osteogenesis and cell signaling in MC3T3-E1 ostoeoblast-like cells", "type" : "article-journal" }, "uris" : [ "http://www.mendeley.com/documents/?uuid=2d465830-89f2-3782-bf87-e6cb4bf4395d", "http://www.mendeley.com/documents/?uuid=fea494b5-430f-4e2e-877d-873bf18829d4" ] }, { "id" : "ITEM-2", "itemData" : { "DOI" : "10.1080/09687680802612721", "ISSN" : "0968-7688", "abstract" : "The preservation of bone mass relies on adequate proliferation, differentiation, secretion of matrix proteins and rate of apoptosis of the bone-forming osteoblasts. Although growing body of evidenc...", "author" : [ { "dropping-particle" : "", "family" : "Abed", "given" : "Elie", "non-dropping-particle" : "", "parse-names" : false, "suffix" : "" }, { "dropping-particle" : "", "family" : "Labelle", "given" : "Dominique", "non-dropping-particle" : "", "parse-names" : false, "suffix" : "" }, { "dropping-particle" : "", "family" : "Martineau", "given" : "Corine", "non-dropping-particle" : "", "parse-names" : false, "suffix" : "" }, { "dropping-particle" : "", "family" : "Loghin", "given" : "Andrew", "non-dropping-particle" : "", "parse-names" : false, "suffix" : "" }, { "dropping-particle" : "", "family" : "Moreau", "given" : "Robert", "non-dropping-particle" : "", "parse-names" : false, "suffix" : "" } ], "container-title" : "Molecular Membrane Biology", "id" : "ITEM-2", "issue" : "3", "issued" : { "date-parts" : [ [ "2009", "1", "9" ] ] }, "page" : "146-158", "publisher" : "Taylor &amp; Francis", "title" : "Expression of transient receptor potential (TRP) channels in human and murine osteoblast-like cells", "type" : "article-journal", "volume" : "26" }, "uris" : [ "http://www.mendeley.com/documents/?uuid=8916c7ee-a6f4-37b1-af22-5da7b8401c96", "http://www.mendeley.com/documents/?uuid=076942a5-c537-454f-8303-c0457522e999" ] } ], "mendeley" : { "formattedCitation" : "[65,66]", "plainTextFormattedCitation" : "[65,66]", "previouslyFormattedCitation" : "[65,66]" }, "properties" : {  }, "schema" : "https://github.com/citation-style-language/schema/raw/master/csl-citation.json" }</w:instrText>
      </w:r>
      <w:r w:rsidR="005C689F" w:rsidRPr="005E6AFE">
        <w:rPr>
          <w:sz w:val="22"/>
          <w:szCs w:val="22"/>
          <w:lang w:val="en-US"/>
        </w:rPr>
        <w:fldChar w:fldCharType="separate"/>
      </w:r>
      <w:r w:rsidR="00296F38" w:rsidRPr="00296F38">
        <w:rPr>
          <w:noProof/>
          <w:sz w:val="22"/>
          <w:szCs w:val="22"/>
          <w:lang w:val="en-US"/>
        </w:rPr>
        <w:t>[65,66]</w:t>
      </w:r>
      <w:r w:rsidR="005C689F" w:rsidRPr="005E6AFE">
        <w:rPr>
          <w:sz w:val="22"/>
          <w:szCs w:val="22"/>
          <w:lang w:val="en-US"/>
        </w:rPr>
        <w:fldChar w:fldCharType="end"/>
      </w:r>
      <w:r w:rsidR="005C689F" w:rsidRPr="005E6AFE">
        <w:rPr>
          <w:sz w:val="22"/>
          <w:szCs w:val="22"/>
          <w:lang w:val="en-US"/>
        </w:rPr>
        <w:t xml:space="preserve">. </w:t>
      </w:r>
      <w:proofErr w:type="spellStart"/>
      <w:r w:rsidR="004445D2" w:rsidRPr="005E6AFE">
        <w:rPr>
          <w:sz w:val="22"/>
          <w:szCs w:val="22"/>
          <w:lang w:val="en-US"/>
        </w:rPr>
        <w:t>Thodeti</w:t>
      </w:r>
      <w:proofErr w:type="spellEnd"/>
      <w:r w:rsidR="004445D2" w:rsidRPr="005E6AFE">
        <w:rPr>
          <w:sz w:val="22"/>
          <w:szCs w:val="22"/>
          <w:lang w:val="en-US"/>
        </w:rPr>
        <w:t xml:space="preserve"> et al. have shown that </w:t>
      </w:r>
      <w:proofErr w:type="spellStart"/>
      <w:r w:rsidR="004445D2" w:rsidRPr="005E6AFE">
        <w:rPr>
          <w:sz w:val="22"/>
          <w:szCs w:val="22"/>
          <w:lang w:val="en-US"/>
        </w:rPr>
        <w:t>TRPV4</w:t>
      </w:r>
      <w:proofErr w:type="spellEnd"/>
      <w:r w:rsidR="004445D2" w:rsidRPr="005E6AFE">
        <w:rPr>
          <w:sz w:val="22"/>
          <w:szCs w:val="22"/>
          <w:lang w:val="en-US"/>
        </w:rPr>
        <w:t xml:space="preserve"> is responsible for β1 integrin activation in response to mechanical strain application in endothelial cells </w:t>
      </w:r>
      <w:r w:rsidR="004445D2" w:rsidRPr="005E6AFE">
        <w:rPr>
          <w:sz w:val="22"/>
          <w:szCs w:val="22"/>
          <w:lang w:val="en-US"/>
        </w:rPr>
        <w:fldChar w:fldCharType="begin" w:fldLock="1"/>
      </w:r>
      <w:r w:rsidR="00296F38">
        <w:rPr>
          <w:sz w:val="22"/>
          <w:szCs w:val="22"/>
          <w:lang w:val="en-US"/>
        </w:rPr>
        <w:instrText>ADDIN CSL_CITATION { "citationItems" : [ { "id" : "ITEM-1", "itemData" : { "DOI" : "10.1161/CIRCRESAHA.108.192930", "ISSN" : "0009-7330", "PMID" : "19359599", "abstract" : "Cyclic mechanical strain produced by pulsatile blood flow regulates the orientation of endothelial cells lining blood vessels and influences critical processes such as angiogenesis. Mechanical stimulation of stretch-activated calcium channels is known to mediate this reorientation response; however, the molecular basis remains unknown. Here, we show that cyclically stretching capillary endothelial cells adherent to flexible extracellular matrix substrates activates mechanosensitive TRPV4 (transient receptor potential vanilloid 4) ion channels that, in turn, stimulate phosphatidylinositol 3-kinase-dependent activation and binding of additional beta1 integrin receptors, which promotes cytoskeletal remodeling and cell reorientation. Inhibition of integrin activation using blocking antibodies and knock down of TRPV4 channels using specific small interfering RNA suppress strain-induced capillary cell reorientation. Thus, mechanical forces that physically deform extracellular matrix may guide capillary cell reorientation through a strain-dependent \"integrin-to-integrin\" signaling mechanism mediated by force-induced activation of mechanically gated TRPV4 ion channels on the cell surface.", "author" : [ { "dropping-particle" : "", "family" : "Thodeti", "given" : "Charles K.", "non-dropping-particle" : "", "parse-names" : false, "suffix" : "" }, { "dropping-particle" : "", "family" : "Matthews", "given" : "Benjamin", "non-dropping-particle" : "", "parse-names" : false, "suffix" : "" }, { "dropping-particle" : "", "family" : "Ravi", "given" : "Arvind", "non-dropping-particle" : "", "parse-names" : false, "suffix" : "" }, { "dropping-particle" : "", "family" : "Mammoto", "given" : "Akiko", "non-dropping-particle" : "", "parse-names" : false, "suffix" : "" }, { "dropping-particle" : "", "family" : "Ghosh", "given" : "Kaustabh", "non-dropping-particle" : "", "parse-names" : false, "suffix" : "" }, { "dropping-particle" : "", "family" : "Bracha", "given" : "Abigail L.", "non-dropping-particle" : "", "parse-names" : false, "suffix" : "" }, { "dropping-particle" : "", "family" : "Ingber", "given" : "Donald E.", "non-dropping-particle" : "", "parse-names" : false, "suffix" : "" } ], "container-title" : "Circulation Research", "id" : "ITEM-1", "issue" : "9", "issued" : { "date-parts" : [ [ "2009", "5", "8" ] ] }, "page" : "1123-1130", "title" : "TRPV4 Channels Mediate Cyclic Strain\u2013Induced Endothelial Cell Reorientation Through Integrin-to-Integrin Signaling", "type" : "article-journal", "volume" : "104" }, "uris" : [ "http://www.mendeley.com/documents/?uuid=5fca1af0-55df-4465-b78d-5d65dfa155c4" ] } ], "mendeley" : { "formattedCitation" : "[24]", "plainTextFormattedCitation" : "[24]", "previouslyFormattedCitation" : "[24]" }, "properties" : {  }, "schema" : "https://github.com/citation-style-language/schema/raw/master/csl-citation.json" }</w:instrText>
      </w:r>
      <w:r w:rsidR="004445D2" w:rsidRPr="005E6AFE">
        <w:rPr>
          <w:sz w:val="22"/>
          <w:szCs w:val="22"/>
          <w:lang w:val="en-US"/>
        </w:rPr>
        <w:fldChar w:fldCharType="separate"/>
      </w:r>
      <w:r w:rsidR="00FB577C" w:rsidRPr="00FB577C">
        <w:rPr>
          <w:noProof/>
          <w:sz w:val="22"/>
          <w:szCs w:val="22"/>
          <w:lang w:val="en-US"/>
        </w:rPr>
        <w:t>[24]</w:t>
      </w:r>
      <w:r w:rsidR="004445D2" w:rsidRPr="005E6AFE">
        <w:rPr>
          <w:sz w:val="22"/>
          <w:szCs w:val="22"/>
          <w:lang w:val="en-US"/>
        </w:rPr>
        <w:fldChar w:fldCharType="end"/>
      </w:r>
      <w:r w:rsidR="004445D2" w:rsidRPr="005E6AFE">
        <w:rPr>
          <w:sz w:val="22"/>
          <w:szCs w:val="22"/>
          <w:lang w:val="en-US"/>
        </w:rPr>
        <w:t xml:space="preserve">. Here we demonstrated that </w:t>
      </w:r>
      <w:proofErr w:type="spellStart"/>
      <w:r w:rsidR="00312A12" w:rsidRPr="005E6AFE">
        <w:rPr>
          <w:sz w:val="22"/>
          <w:szCs w:val="22"/>
          <w:lang w:val="en-US"/>
        </w:rPr>
        <w:t>TRPV4</w:t>
      </w:r>
      <w:proofErr w:type="spellEnd"/>
      <w:r w:rsidR="00312A12" w:rsidRPr="005E6AFE">
        <w:rPr>
          <w:sz w:val="22"/>
          <w:szCs w:val="22"/>
          <w:lang w:val="en-US"/>
        </w:rPr>
        <w:t xml:space="preserve"> downregulation strongly </w:t>
      </w:r>
      <w:r w:rsidR="00673E5C" w:rsidRPr="005E6AFE">
        <w:rPr>
          <w:sz w:val="22"/>
          <w:szCs w:val="22"/>
          <w:lang w:val="en-US"/>
        </w:rPr>
        <w:t>obliterated the cell adhesion observed</w:t>
      </w:r>
      <w:r w:rsidR="00312A12" w:rsidRPr="005E6AFE">
        <w:rPr>
          <w:sz w:val="22"/>
          <w:szCs w:val="22"/>
          <w:lang w:val="en-US"/>
        </w:rPr>
        <w:t xml:space="preserve"> in </w:t>
      </w:r>
      <w:r w:rsidR="009D3B47">
        <w:rPr>
          <w:sz w:val="22"/>
          <w:szCs w:val="22"/>
          <w:lang w:val="en-US"/>
        </w:rPr>
        <w:t xml:space="preserve">AE and </w:t>
      </w:r>
      <w:proofErr w:type="spellStart"/>
      <w:r w:rsidR="00312A12" w:rsidRPr="005E6AFE">
        <w:rPr>
          <w:sz w:val="22"/>
          <w:szCs w:val="22"/>
          <w:lang w:val="en-US"/>
        </w:rPr>
        <w:t>GBAE</w:t>
      </w:r>
      <w:proofErr w:type="spellEnd"/>
      <w:r w:rsidR="00312A12" w:rsidRPr="005E6AFE">
        <w:rPr>
          <w:sz w:val="22"/>
          <w:szCs w:val="22"/>
          <w:lang w:val="en-US"/>
        </w:rPr>
        <w:t xml:space="preserve"> in cell adhesion</w:t>
      </w:r>
      <w:r w:rsidR="00673E5C" w:rsidRPr="005E6AFE">
        <w:rPr>
          <w:sz w:val="22"/>
          <w:szCs w:val="22"/>
          <w:lang w:val="en-US"/>
        </w:rPr>
        <w:t xml:space="preserve">. To support that these differences depended on </w:t>
      </w:r>
      <w:proofErr w:type="spellStart"/>
      <w:r w:rsidR="00673E5C" w:rsidRPr="005E6AFE">
        <w:rPr>
          <w:sz w:val="22"/>
          <w:szCs w:val="22"/>
          <w:lang w:val="en-US"/>
        </w:rPr>
        <w:t>TRPV4</w:t>
      </w:r>
      <w:proofErr w:type="spellEnd"/>
      <w:r w:rsidR="00673E5C" w:rsidRPr="005E6AFE">
        <w:rPr>
          <w:sz w:val="22"/>
          <w:szCs w:val="22"/>
          <w:lang w:val="en-US"/>
        </w:rPr>
        <w:t xml:space="preserve"> and were mediated by </w:t>
      </w:r>
      <w:proofErr w:type="spellStart"/>
      <w:r w:rsidR="00673E5C" w:rsidRPr="005E6AFE">
        <w:rPr>
          <w:sz w:val="22"/>
          <w:szCs w:val="22"/>
          <w:lang w:val="en-US"/>
        </w:rPr>
        <w:t>beta1</w:t>
      </w:r>
      <w:proofErr w:type="spellEnd"/>
      <w:r w:rsidR="00673E5C" w:rsidRPr="005E6AFE">
        <w:rPr>
          <w:sz w:val="22"/>
          <w:szCs w:val="22"/>
          <w:lang w:val="en-US"/>
        </w:rPr>
        <w:t xml:space="preserve"> integrins, cell adhesion tests </w:t>
      </w:r>
      <w:r w:rsidR="00673E5C" w:rsidRPr="005E6AFE">
        <w:rPr>
          <w:sz w:val="22"/>
          <w:szCs w:val="22"/>
          <w:lang w:val="en-US"/>
        </w:rPr>
        <w:lastRenderedPageBreak/>
        <w:t xml:space="preserve">were repeated by preincubating cells with the </w:t>
      </w:r>
      <w:proofErr w:type="spellStart"/>
      <w:r w:rsidR="00673E5C" w:rsidRPr="005E6AFE">
        <w:rPr>
          <w:sz w:val="22"/>
          <w:szCs w:val="22"/>
          <w:lang w:val="en-US"/>
        </w:rPr>
        <w:t>9EG7</w:t>
      </w:r>
      <w:proofErr w:type="spellEnd"/>
      <w:r w:rsidR="00673E5C" w:rsidRPr="005E6AFE">
        <w:rPr>
          <w:sz w:val="22"/>
          <w:szCs w:val="22"/>
          <w:lang w:val="en-US"/>
        </w:rPr>
        <w:t xml:space="preserve"> antibody, fully </w:t>
      </w:r>
      <w:r w:rsidR="005C689F" w:rsidRPr="005E6AFE">
        <w:rPr>
          <w:sz w:val="22"/>
          <w:szCs w:val="22"/>
          <w:lang w:val="en-US"/>
        </w:rPr>
        <w:t>reverting</w:t>
      </w:r>
      <w:r w:rsidR="00673E5C" w:rsidRPr="005E6AFE">
        <w:rPr>
          <w:sz w:val="22"/>
          <w:szCs w:val="22"/>
          <w:lang w:val="en-US"/>
        </w:rPr>
        <w:t xml:space="preserve"> the adhesion pattern previously seen.</w:t>
      </w:r>
      <w:r w:rsidR="00312A12" w:rsidRPr="005E6AFE">
        <w:rPr>
          <w:sz w:val="22"/>
          <w:szCs w:val="22"/>
          <w:lang w:val="en-US"/>
        </w:rPr>
        <w:t xml:space="preserve"> These data strongly </w:t>
      </w:r>
      <w:r w:rsidR="00AA0CF7">
        <w:rPr>
          <w:sz w:val="22"/>
          <w:szCs w:val="22"/>
          <w:lang w:val="en-US"/>
        </w:rPr>
        <w:t>suggest</w:t>
      </w:r>
      <w:r w:rsidR="00AA0CF7" w:rsidRPr="005E6AFE">
        <w:rPr>
          <w:sz w:val="22"/>
          <w:szCs w:val="22"/>
          <w:lang w:val="en-US"/>
        </w:rPr>
        <w:t xml:space="preserve"> </w:t>
      </w:r>
      <w:r w:rsidR="00AA0CF7">
        <w:rPr>
          <w:sz w:val="22"/>
          <w:szCs w:val="22"/>
          <w:lang w:val="en-US"/>
        </w:rPr>
        <w:t>an</w:t>
      </w:r>
      <w:r w:rsidR="00AA0CF7" w:rsidRPr="005E6AFE">
        <w:rPr>
          <w:sz w:val="22"/>
          <w:szCs w:val="22"/>
          <w:lang w:val="en-US"/>
        </w:rPr>
        <w:t xml:space="preserve"> </w:t>
      </w:r>
      <w:r w:rsidR="005C689F" w:rsidRPr="005E6AFE">
        <w:rPr>
          <w:sz w:val="22"/>
          <w:szCs w:val="22"/>
          <w:lang w:val="en-US"/>
        </w:rPr>
        <w:t xml:space="preserve">involvement of </w:t>
      </w:r>
      <w:proofErr w:type="spellStart"/>
      <w:r w:rsidR="005C689F" w:rsidRPr="005E6AFE">
        <w:rPr>
          <w:sz w:val="22"/>
          <w:szCs w:val="22"/>
          <w:lang w:val="en-US"/>
        </w:rPr>
        <w:t>TRPV4</w:t>
      </w:r>
      <w:proofErr w:type="spellEnd"/>
      <w:r w:rsidR="005C689F" w:rsidRPr="005E6AFE">
        <w:rPr>
          <w:sz w:val="22"/>
          <w:szCs w:val="22"/>
          <w:lang w:val="en-US"/>
        </w:rPr>
        <w:t xml:space="preserve"> in β</w:t>
      </w:r>
      <w:r w:rsidR="00312A12" w:rsidRPr="005E6AFE">
        <w:rPr>
          <w:sz w:val="22"/>
          <w:szCs w:val="22"/>
          <w:lang w:val="en-US"/>
        </w:rPr>
        <w:t xml:space="preserve">1 </w:t>
      </w:r>
      <w:r w:rsidR="005C689F" w:rsidRPr="005E6AFE">
        <w:rPr>
          <w:sz w:val="22"/>
          <w:szCs w:val="22"/>
          <w:lang w:val="en-US"/>
        </w:rPr>
        <w:t>integrin</w:t>
      </w:r>
      <w:r w:rsidR="00312A12" w:rsidRPr="005E6AFE">
        <w:rPr>
          <w:sz w:val="22"/>
          <w:szCs w:val="22"/>
          <w:lang w:val="en-US"/>
        </w:rPr>
        <w:t xml:space="preserve"> activation</w:t>
      </w:r>
      <w:r w:rsidR="00AA0CF7">
        <w:rPr>
          <w:sz w:val="22"/>
          <w:szCs w:val="22"/>
          <w:lang w:val="en-US"/>
        </w:rPr>
        <w:t>,</w:t>
      </w:r>
      <w:r w:rsidR="00312A12" w:rsidRPr="005E6AFE">
        <w:rPr>
          <w:sz w:val="22"/>
          <w:szCs w:val="22"/>
          <w:lang w:val="en-US"/>
        </w:rPr>
        <w:t xml:space="preserve"> interfering with its inside-out signal transduction.</w:t>
      </w:r>
    </w:p>
    <w:p w14:paraId="297CEF3F" w14:textId="77777777" w:rsidR="005E6AFE" w:rsidRPr="005E6AFE" w:rsidRDefault="005E6AFE">
      <w:pPr>
        <w:pStyle w:val="NormaleWeb"/>
        <w:keepNext w:val="0"/>
        <w:widowControl w:val="0"/>
        <w:spacing w:line="480" w:lineRule="auto"/>
        <w:jc w:val="both"/>
        <w:rPr>
          <w:sz w:val="22"/>
          <w:szCs w:val="22"/>
          <w:lang w:val="en-US"/>
        </w:rPr>
      </w:pPr>
    </w:p>
    <w:p w14:paraId="3BDD4D59" w14:textId="77777777" w:rsidR="005E6AFE" w:rsidRDefault="00673E5C" w:rsidP="005E6AFE">
      <w:pPr>
        <w:pStyle w:val="NormaleWeb"/>
        <w:keepNext w:val="0"/>
        <w:widowControl w:val="0"/>
        <w:suppressAutoHyphens w:val="0"/>
        <w:spacing w:line="480" w:lineRule="auto"/>
        <w:jc w:val="both"/>
        <w:rPr>
          <w:b/>
          <w:color w:val="auto"/>
          <w:sz w:val="22"/>
          <w:szCs w:val="22"/>
          <w:lang w:val="en-US"/>
        </w:rPr>
      </w:pPr>
      <w:r w:rsidRPr="005E6AFE">
        <w:rPr>
          <w:b/>
          <w:color w:val="auto"/>
          <w:sz w:val="22"/>
          <w:szCs w:val="22"/>
          <w:u w:color="FF0000"/>
          <w:lang w:val="en-US"/>
        </w:rPr>
        <w:t xml:space="preserve">5. </w:t>
      </w:r>
      <w:r w:rsidRPr="005E6AFE">
        <w:rPr>
          <w:b/>
          <w:color w:val="auto"/>
          <w:sz w:val="22"/>
          <w:szCs w:val="22"/>
          <w:lang w:val="en-US"/>
        </w:rPr>
        <w:t>Conclusions</w:t>
      </w:r>
    </w:p>
    <w:p w14:paraId="034A7BC8" w14:textId="7B3EEBCC" w:rsidR="00E2412D" w:rsidRDefault="00673E5C" w:rsidP="005E4353">
      <w:pPr>
        <w:pStyle w:val="NormaleWeb"/>
        <w:keepNext w:val="0"/>
        <w:widowControl w:val="0"/>
        <w:suppressAutoHyphens w:val="0"/>
        <w:spacing w:line="480" w:lineRule="auto"/>
        <w:jc w:val="both"/>
        <w:rPr>
          <w:sz w:val="22"/>
          <w:szCs w:val="22"/>
          <w:lang w:val="en-US"/>
        </w:rPr>
      </w:pPr>
      <w:r w:rsidRPr="005E6AFE">
        <w:rPr>
          <w:sz w:val="22"/>
          <w:szCs w:val="22"/>
          <w:lang w:val="en-US"/>
        </w:rPr>
        <w:t>Among the features of the four d</w:t>
      </w:r>
      <w:r w:rsidR="00842D93">
        <w:rPr>
          <w:sz w:val="22"/>
          <w:szCs w:val="22"/>
          <w:lang w:val="en-US"/>
        </w:rPr>
        <w:t xml:space="preserve">ifferent surfaces here studied, </w:t>
      </w:r>
      <w:r w:rsidRPr="005E6AFE">
        <w:rPr>
          <w:sz w:val="22"/>
          <w:szCs w:val="22"/>
          <w:lang w:val="en-US"/>
        </w:rPr>
        <w:t>chemical composition as assessed per XPS and Raman spectrometry resulted poorly correlated with the protein adsorption and early c</w:t>
      </w:r>
      <w:r w:rsidR="00842D93">
        <w:rPr>
          <w:sz w:val="22"/>
          <w:szCs w:val="22"/>
          <w:lang w:val="en-US"/>
        </w:rPr>
        <w:t>ell adhesion. On the contrary, s</w:t>
      </w:r>
      <w:r w:rsidRPr="005E6AFE">
        <w:rPr>
          <w:sz w:val="22"/>
          <w:szCs w:val="22"/>
          <w:lang w:val="en-US"/>
        </w:rPr>
        <w:t xml:space="preserve">urface </w:t>
      </w:r>
      <w:r w:rsidR="009F3244" w:rsidRPr="005E6AFE">
        <w:rPr>
          <w:sz w:val="22"/>
          <w:szCs w:val="22"/>
          <w:lang w:val="en-US"/>
        </w:rPr>
        <w:t>f</w:t>
      </w:r>
      <w:r w:rsidRPr="005E6AFE">
        <w:rPr>
          <w:sz w:val="22"/>
          <w:szCs w:val="22"/>
          <w:lang w:val="en-US"/>
        </w:rPr>
        <w:t xml:space="preserve">ree </w:t>
      </w:r>
      <w:r w:rsidR="009F3244" w:rsidRPr="005E6AFE">
        <w:rPr>
          <w:sz w:val="22"/>
          <w:szCs w:val="22"/>
          <w:lang w:val="en-US"/>
        </w:rPr>
        <w:t>e</w:t>
      </w:r>
      <w:r w:rsidRPr="005E6AFE">
        <w:rPr>
          <w:sz w:val="22"/>
          <w:szCs w:val="22"/>
          <w:lang w:val="en-US"/>
        </w:rPr>
        <w:t xml:space="preserve">nergy appeared more predictive of the biological outcome. The authors showed that in presence of a marked difference between polar and dispersive component of </w:t>
      </w:r>
      <w:proofErr w:type="spellStart"/>
      <w:r w:rsidRPr="005E6AFE">
        <w:rPr>
          <w:sz w:val="22"/>
          <w:szCs w:val="22"/>
          <w:lang w:val="en-US"/>
        </w:rPr>
        <w:t>SFE</w:t>
      </w:r>
      <w:proofErr w:type="spellEnd"/>
      <w:r w:rsidRPr="005E6AFE">
        <w:rPr>
          <w:sz w:val="22"/>
          <w:szCs w:val="22"/>
          <w:lang w:val="en-US"/>
        </w:rPr>
        <w:t xml:space="preserve"> (regarding GB), due to a significant difference between H</w:t>
      </w:r>
      <w:r w:rsidRPr="005E6AFE">
        <w:rPr>
          <w:sz w:val="22"/>
          <w:szCs w:val="22"/>
          <w:vertAlign w:val="subscript"/>
          <w:lang w:val="en-US"/>
        </w:rPr>
        <w:t>2</w:t>
      </w:r>
      <w:r w:rsidRPr="005E6AFE">
        <w:rPr>
          <w:sz w:val="22"/>
          <w:szCs w:val="22"/>
          <w:lang w:val="en-US"/>
        </w:rPr>
        <w:t xml:space="preserve">O and </w:t>
      </w:r>
      <w:proofErr w:type="spellStart"/>
      <w:r w:rsidRPr="005E6AFE">
        <w:rPr>
          <w:sz w:val="22"/>
          <w:szCs w:val="22"/>
          <w:lang w:val="en-US"/>
        </w:rPr>
        <w:t>CH</w:t>
      </w:r>
      <w:r w:rsidRPr="005E6AFE">
        <w:rPr>
          <w:sz w:val="22"/>
          <w:szCs w:val="22"/>
          <w:vertAlign w:val="subscript"/>
          <w:lang w:val="en-US"/>
        </w:rPr>
        <w:t>2</w:t>
      </w:r>
      <w:r w:rsidRPr="005E6AFE">
        <w:rPr>
          <w:sz w:val="22"/>
          <w:szCs w:val="22"/>
          <w:lang w:val="en-US"/>
        </w:rPr>
        <w:t>I</w:t>
      </w:r>
      <w:r w:rsidRPr="005E6AFE">
        <w:rPr>
          <w:sz w:val="22"/>
          <w:szCs w:val="22"/>
          <w:vertAlign w:val="subscript"/>
          <w:lang w:val="en-US"/>
        </w:rPr>
        <w:t>2</w:t>
      </w:r>
      <w:proofErr w:type="spellEnd"/>
      <w:r w:rsidRPr="005E6AFE">
        <w:rPr>
          <w:sz w:val="22"/>
          <w:szCs w:val="22"/>
          <w:lang w:val="en-US"/>
        </w:rPr>
        <w:t xml:space="preserve"> contact angles, protein adsorption was diminished and cell adhesion was delayed. As a possible mechanistic explanation of this </w:t>
      </w:r>
      <w:r w:rsidR="00AA0CF7">
        <w:rPr>
          <w:sz w:val="22"/>
          <w:szCs w:val="22"/>
          <w:lang w:val="en-US"/>
        </w:rPr>
        <w:t>event</w:t>
      </w:r>
      <w:r w:rsidRPr="005E6AFE">
        <w:rPr>
          <w:sz w:val="22"/>
          <w:szCs w:val="22"/>
          <w:lang w:val="en-US"/>
        </w:rPr>
        <w:t xml:space="preserve">, the authors postulated that the lesser amount of fibronectin adsorbed on GB caused a diminished activation of integrin </w:t>
      </w:r>
      <w:r w:rsidR="00253627">
        <w:rPr>
          <w:sz w:val="22"/>
          <w:szCs w:val="22"/>
          <w:lang w:val="en-US"/>
        </w:rPr>
        <w:t>β</w:t>
      </w:r>
      <w:r w:rsidRPr="005E6AFE">
        <w:rPr>
          <w:sz w:val="22"/>
          <w:szCs w:val="22"/>
          <w:lang w:val="en-US"/>
        </w:rPr>
        <w:t xml:space="preserve">1 subunit, which cooperated with </w:t>
      </w:r>
      <w:proofErr w:type="spellStart"/>
      <w:r w:rsidRPr="005E6AFE">
        <w:rPr>
          <w:sz w:val="22"/>
          <w:szCs w:val="22"/>
          <w:lang w:val="en-US"/>
        </w:rPr>
        <w:t>TRPV4</w:t>
      </w:r>
      <w:proofErr w:type="spellEnd"/>
      <w:r w:rsidRPr="005E6AFE">
        <w:rPr>
          <w:sz w:val="22"/>
          <w:szCs w:val="22"/>
          <w:lang w:val="en-US"/>
        </w:rPr>
        <w:t xml:space="preserve"> in the adhesion of the osteoblasts tested </w:t>
      </w:r>
      <w:r w:rsidRPr="00EE4159">
        <w:rPr>
          <w:i/>
          <w:iCs/>
          <w:sz w:val="22"/>
          <w:szCs w:val="22"/>
          <w:lang w:val="en-US"/>
        </w:rPr>
        <w:t>in vitro</w:t>
      </w:r>
      <w:r w:rsidRPr="005E6AFE">
        <w:rPr>
          <w:sz w:val="22"/>
          <w:szCs w:val="22"/>
          <w:lang w:val="en-US"/>
        </w:rPr>
        <w:t xml:space="preserve">. This paper addressed for the first time, to the authors’ knowledge, the role of β1-integrins and </w:t>
      </w:r>
      <w:proofErr w:type="spellStart"/>
      <w:r w:rsidRPr="005E6AFE">
        <w:rPr>
          <w:sz w:val="22"/>
          <w:szCs w:val="22"/>
          <w:lang w:val="en-US"/>
        </w:rPr>
        <w:t>TRPV4</w:t>
      </w:r>
      <w:proofErr w:type="spellEnd"/>
      <w:r w:rsidRPr="005E6AFE">
        <w:rPr>
          <w:sz w:val="22"/>
          <w:szCs w:val="22"/>
          <w:lang w:val="en-US"/>
        </w:rPr>
        <w:t xml:space="preserve"> in osteoblasts adhesion on different titanium substrates. Although further research is needed to dissect better the molecular mechanism herein highlighted, the possible clin</w:t>
      </w:r>
      <w:r w:rsidR="005E6AFE" w:rsidRPr="005E6AFE">
        <w:rPr>
          <w:sz w:val="22"/>
          <w:szCs w:val="22"/>
          <w:lang w:val="en-US"/>
        </w:rPr>
        <w:t>ical application is promising.</w:t>
      </w:r>
    </w:p>
    <w:p w14:paraId="5B7B4B19" w14:textId="77777777" w:rsidR="00E2412D" w:rsidRDefault="00673E5C">
      <w:pPr>
        <w:keepNext w:val="0"/>
        <w:widowControl w:val="0"/>
      </w:pPr>
      <w:r>
        <w:rPr>
          <w:sz w:val="22"/>
          <w:szCs w:val="22"/>
        </w:rPr>
        <w:br w:type="page"/>
      </w:r>
    </w:p>
    <w:p w14:paraId="3578C6F9" w14:textId="77777777" w:rsidR="00E2412D" w:rsidRPr="00107926" w:rsidRDefault="00673E5C">
      <w:pPr>
        <w:pStyle w:val="BodyB"/>
        <w:keepNext w:val="0"/>
        <w:widowControl w:val="0"/>
        <w:suppressAutoHyphens w:val="0"/>
        <w:spacing w:line="480" w:lineRule="auto"/>
        <w:jc w:val="both"/>
        <w:rPr>
          <w:b/>
          <w:lang w:val="en-US"/>
        </w:rPr>
      </w:pPr>
      <w:r w:rsidRPr="00107926">
        <w:rPr>
          <w:b/>
          <w:lang w:val="en-US"/>
        </w:rPr>
        <w:lastRenderedPageBreak/>
        <w:t>Acknowledgements</w:t>
      </w:r>
    </w:p>
    <w:p w14:paraId="7EDAF3A7" w14:textId="3BE4C7A0" w:rsidR="00B35696" w:rsidRDefault="00673E5C">
      <w:pPr>
        <w:pStyle w:val="BodyB"/>
        <w:keepNext w:val="0"/>
        <w:widowControl w:val="0"/>
        <w:suppressAutoHyphens w:val="0"/>
        <w:spacing w:line="480" w:lineRule="auto"/>
        <w:jc w:val="both"/>
        <w:rPr>
          <w:lang w:val="en-US"/>
        </w:rPr>
      </w:pPr>
      <w:r>
        <w:rPr>
          <w:lang w:val="en-US"/>
        </w:rPr>
        <w:t xml:space="preserve">The authors have no conflicts of interest to declare. The research was partly supported by FACE grant (Piedmont Region </w:t>
      </w:r>
      <w:proofErr w:type="spellStart"/>
      <w:r>
        <w:rPr>
          <w:lang w:val="en-US"/>
        </w:rPr>
        <w:t>INNOVAZIONE</w:t>
      </w:r>
      <w:proofErr w:type="spellEnd"/>
      <w:r>
        <w:rPr>
          <w:lang w:val="en-US"/>
        </w:rPr>
        <w:t xml:space="preserve"> e </w:t>
      </w:r>
      <w:proofErr w:type="spellStart"/>
      <w:r>
        <w:rPr>
          <w:lang w:val="en-US"/>
        </w:rPr>
        <w:t>TRANSAZIONE</w:t>
      </w:r>
      <w:proofErr w:type="spellEnd"/>
      <w:r>
        <w:rPr>
          <w:lang w:val="en-US"/>
        </w:rPr>
        <w:t xml:space="preserve"> </w:t>
      </w:r>
      <w:proofErr w:type="spellStart"/>
      <w:r>
        <w:rPr>
          <w:lang w:val="en-US"/>
        </w:rPr>
        <w:t>PRODUTTIVA</w:t>
      </w:r>
      <w:proofErr w:type="spellEnd"/>
      <w:r>
        <w:rPr>
          <w:lang w:val="en-US"/>
        </w:rPr>
        <w:t xml:space="preserve"> PAR-</w:t>
      </w:r>
      <w:proofErr w:type="spellStart"/>
      <w:r>
        <w:rPr>
          <w:lang w:val="en-US"/>
        </w:rPr>
        <w:t>FESR</w:t>
      </w:r>
      <w:proofErr w:type="spellEnd"/>
      <w:r>
        <w:rPr>
          <w:lang w:val="en-US"/>
        </w:rPr>
        <w:t>).</w:t>
      </w:r>
      <w:r w:rsidR="00842D93">
        <w:rPr>
          <w:lang w:val="en-US"/>
        </w:rPr>
        <w:t xml:space="preserve"> </w:t>
      </w:r>
      <w:r w:rsidR="00107926">
        <w:rPr>
          <w:lang w:val="en-US"/>
        </w:rPr>
        <w:t>The Piedmont Region had no part whatsoever in conducting the research, during the preparation of the article, or</w:t>
      </w:r>
      <w:r w:rsidR="00107926" w:rsidRPr="00107926">
        <w:rPr>
          <w:lang w:val="en-US"/>
        </w:rPr>
        <w:t xml:space="preserve"> in the decision to submit the </w:t>
      </w:r>
      <w:r w:rsidR="00107926">
        <w:rPr>
          <w:lang w:val="en-US"/>
        </w:rPr>
        <w:t>paper</w:t>
      </w:r>
      <w:r w:rsidR="00107926" w:rsidRPr="00107926">
        <w:rPr>
          <w:lang w:val="en-US"/>
        </w:rPr>
        <w:t xml:space="preserve"> for publication. </w:t>
      </w:r>
      <w:proofErr w:type="spellStart"/>
      <w:r w:rsidR="00D94DD1" w:rsidRPr="009F2CBF">
        <w:rPr>
          <w:lang w:val="en-US"/>
        </w:rPr>
        <w:t>S</w:t>
      </w:r>
      <w:r w:rsidR="009F2CBF" w:rsidRPr="009F2CBF">
        <w:rPr>
          <w:lang w:val="en-US"/>
        </w:rPr>
        <w:t>h</w:t>
      </w:r>
      <w:r w:rsidR="00D94DD1">
        <w:rPr>
          <w:lang w:val="en-US"/>
        </w:rPr>
        <w:t>-</w:t>
      </w:r>
      <w:r w:rsidR="00107926">
        <w:rPr>
          <w:lang w:val="en-US"/>
        </w:rPr>
        <w:t>TRPV4</w:t>
      </w:r>
      <w:proofErr w:type="spellEnd"/>
      <w:r w:rsidR="00107926">
        <w:rPr>
          <w:lang w:val="en-US"/>
        </w:rPr>
        <w:t xml:space="preserve"> was</w:t>
      </w:r>
      <w:r w:rsidR="00E93882">
        <w:rPr>
          <w:lang w:val="en-US"/>
        </w:rPr>
        <w:t xml:space="preserve"> a kind gift from Dr. </w:t>
      </w:r>
      <w:proofErr w:type="spellStart"/>
      <w:r w:rsidR="00E93882">
        <w:rPr>
          <w:lang w:val="en-US"/>
        </w:rPr>
        <w:t>Indu</w:t>
      </w:r>
      <w:proofErr w:type="spellEnd"/>
      <w:r w:rsidR="009F2CBF" w:rsidRPr="009F2CBF">
        <w:rPr>
          <w:lang w:val="en-US"/>
        </w:rPr>
        <w:t xml:space="preserve"> </w:t>
      </w:r>
      <w:proofErr w:type="spellStart"/>
      <w:r w:rsidR="009F2CBF" w:rsidRPr="009F2CBF">
        <w:rPr>
          <w:lang w:val="en-US"/>
        </w:rPr>
        <w:t>Ambudkar</w:t>
      </w:r>
      <w:proofErr w:type="spellEnd"/>
      <w:r w:rsidR="009D3B47">
        <w:rPr>
          <w:lang w:val="en-US"/>
        </w:rPr>
        <w:t xml:space="preserve"> (National Ins</w:t>
      </w:r>
      <w:r w:rsidR="00E93882">
        <w:rPr>
          <w:lang w:val="en-US"/>
        </w:rPr>
        <w:t>titute of Dental and Craniofacial Research, Bethesda, USA</w:t>
      </w:r>
      <w:r w:rsidR="009D3B47">
        <w:rPr>
          <w:lang w:val="en-US"/>
        </w:rPr>
        <w:t>)</w:t>
      </w:r>
      <w:r w:rsidR="009F2CBF">
        <w:rPr>
          <w:lang w:val="en-US"/>
        </w:rPr>
        <w:t>.</w:t>
      </w:r>
    </w:p>
    <w:p w14:paraId="0CBCAC91" w14:textId="621E765C" w:rsidR="005E6AFE" w:rsidRDefault="005E6AFE">
      <w:pPr>
        <w:keepNext w:val="0"/>
        <w:rPr>
          <w:lang w:eastAsia="it-IT"/>
        </w:rPr>
      </w:pPr>
      <w:r>
        <w:br w:type="page"/>
      </w:r>
    </w:p>
    <w:p w14:paraId="45AF9EA2" w14:textId="0BDA43D0" w:rsidR="00E2412D" w:rsidRPr="00B472EA" w:rsidRDefault="005E6AFE">
      <w:pPr>
        <w:pStyle w:val="BodyB"/>
        <w:keepNext w:val="0"/>
        <w:widowControl w:val="0"/>
        <w:suppressAutoHyphens w:val="0"/>
        <w:spacing w:before="280" w:after="280" w:line="480" w:lineRule="auto"/>
        <w:ind w:left="640" w:hanging="640"/>
        <w:rPr>
          <w:b/>
          <w:lang w:val="en-US"/>
        </w:rPr>
      </w:pPr>
      <w:r w:rsidRPr="00B472EA">
        <w:rPr>
          <w:b/>
          <w:lang w:val="en-US"/>
        </w:rPr>
        <w:lastRenderedPageBreak/>
        <w:t>References</w:t>
      </w:r>
    </w:p>
    <w:p w14:paraId="521C3166" w14:textId="78048BA9" w:rsidR="00296F38" w:rsidRPr="00296F38" w:rsidRDefault="005E6AFE" w:rsidP="00296F38">
      <w:pPr>
        <w:widowControl w:val="0"/>
        <w:autoSpaceDE w:val="0"/>
        <w:autoSpaceDN w:val="0"/>
        <w:adjustRightInd w:val="0"/>
        <w:spacing w:before="280" w:after="280" w:line="480" w:lineRule="auto"/>
        <w:ind w:left="640" w:hanging="640"/>
        <w:rPr>
          <w:noProof/>
        </w:rPr>
      </w:pPr>
      <w:r>
        <w:fldChar w:fldCharType="begin" w:fldLock="1"/>
      </w:r>
      <w:r>
        <w:instrText xml:space="preserve">ADDIN Mendeley Bibliography CSL_BIBLIOGRAPHY </w:instrText>
      </w:r>
      <w:r>
        <w:fldChar w:fldCharType="separate"/>
      </w:r>
      <w:r w:rsidR="00296F38" w:rsidRPr="00296F38">
        <w:rPr>
          <w:noProof/>
        </w:rPr>
        <w:t>[1]</w:t>
      </w:r>
      <w:r w:rsidR="00296F38" w:rsidRPr="00296F38">
        <w:rPr>
          <w:noProof/>
        </w:rPr>
        <w:tab/>
        <w:t>P.I. Brånemark, R. Adell, T. Albrektsson, U. Lekholm, S. Lundkvist, B. Rockler, Osseointegrated titanium fixtures in the treatment of edentulousness., Biomaterials. 4 (1983) 25–8. http://www.ncbi.nlm.nih.gov/pubmed/6838955 (accessed July 3, 2017).</w:t>
      </w:r>
    </w:p>
    <w:p w14:paraId="1EA004F3"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[2]</w:t>
      </w:r>
      <w:r w:rsidRPr="00296F38">
        <w:rPr>
          <w:noProof/>
        </w:rPr>
        <w:tab/>
        <w:t>J.Y. Martin, D.D. Dean, D.L. Cochran, J. Simpson, B.D. Boyan, Z. Schwartz, Proliferation, differentiation, and protein synthesis of human osteoblast-like cells (MG63) cultured on previously used titanium surfaces., Clin. Oral Implants Res. 7 (1996) 27–37. http://www.ncbi.nlm.nih.gov/pubmed/9002820 (accessed July 3, 2019).</w:t>
      </w:r>
    </w:p>
    <w:p w14:paraId="7BEAB185"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w:t>
      </w:r>
      <w:r w:rsidRPr="00296F38">
        <w:rPr>
          <w:noProof/>
        </w:rPr>
        <w:tab/>
        <w:t>G.B. Schneider, H. Perinpanayagam, M. Clegg, R. Zaharias, D. Seabold, J. Keller, C. Stanford, Implant surface roughness affects osteoblast gene expression., J. Dent. Res. 82 (2003) 372–6. doi:10.1177/154405910308200509.</w:t>
      </w:r>
    </w:p>
    <w:p w14:paraId="75A933F3"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w:t>
      </w:r>
      <w:r w:rsidRPr="00296F38">
        <w:rPr>
          <w:noProof/>
        </w:rPr>
        <w:tab/>
        <w:t>I. Wall, N. Donos, K. Carlqvist, F. Jones, P. Brett, Modified titanium surfaces promote accelerated osteogenic differentiation of mesenchymal stromal cells in vitro., Bone. 45 (2009) 17–26. doi:10.1016/j.bone.2009.03.662.</w:t>
      </w:r>
    </w:p>
    <w:p w14:paraId="773ADC32"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w:t>
      </w:r>
      <w:r w:rsidRPr="00296F38">
        <w:rPr>
          <w:noProof/>
        </w:rPr>
        <w:tab/>
        <w:t>S.J. Waddell, M.C. de Andrés, P.M. Tsimbouri, E. V. Alakpa, M. Cusack, M.J. Dalby, R.O.C. Oreffo, Biomimetic oyster shell–replicated topography alters the behaviour of human skeletal stem cells, J. Tissue Eng. 9 (2018). doi:10.1177/2041731418794007.</w:t>
      </w:r>
    </w:p>
    <w:p w14:paraId="281E7229"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[6]</w:t>
      </w:r>
      <w:r w:rsidRPr="00296F38">
        <w:rPr>
          <w:noProof/>
        </w:rPr>
        <w:tab/>
        <w:t>P. Mandracci, F. Mussano, P. Rivolo, S. Carossa, Surface Treatments and Functional Coatings for Biocompatibility Improvement and Bacterial Adhesion Reduction in Dental Implantology, Coatings. 6 (2016) 7. doi:10.3390/coatings6010007.</w:t>
      </w:r>
    </w:p>
    <w:p w14:paraId="330E5C72"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[7]</w:t>
      </w:r>
      <w:r w:rsidRPr="00296F38">
        <w:rPr>
          <w:noProof/>
        </w:rPr>
        <w:tab/>
        <w:t>A. Wennerberg, T. Albrektsson, On implant surfaces: a review of current knowledge and opinions., Int. J. Oral Maxillofac. Implants. 25 (2009) 63–74. doi:10.1111/j.1600-</w:t>
      </w:r>
      <w:r w:rsidRPr="00296F38">
        <w:rPr>
          <w:noProof/>
        </w:rPr>
        <w:lastRenderedPageBreak/>
        <w:t>051X.2008.01321.x.</w:t>
      </w:r>
    </w:p>
    <w:p w14:paraId="48FD5B2E"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[8]</w:t>
      </w:r>
      <w:r w:rsidRPr="00296F38">
        <w:rPr>
          <w:noProof/>
        </w:rPr>
        <w:tab/>
        <w:t>M. Goldman, G. Juodzbalys, V. Vilkinis, Titanium surfaces with nanostructures influence on osteoblasts proliferation: a systematic review., J. Oral Maxillofac. Res. 5 (2014) e1. doi:10.5037/jomr.2014.5301.</w:t>
      </w:r>
    </w:p>
    <w:p w14:paraId="3A9FBE6A"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[9]</w:t>
      </w:r>
      <w:r w:rsidRPr="00296F38">
        <w:rPr>
          <w:noProof/>
        </w:rPr>
        <w:tab/>
        <w:t>L. Salou, A. Hoornaert, G. Louarn, P. Layrolle, Enhanced osseointegration of titanium implants with nanostructured surfaces: an experimental study in rabbits., Acta Biomater. 11 (2015) 494–502. doi:10.1016/j.actbio.2014.10.017.</w:t>
      </w:r>
    </w:p>
    <w:p w14:paraId="1D58C605"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[10]</w:t>
      </w:r>
      <w:r w:rsidRPr="00296F38">
        <w:rPr>
          <w:noProof/>
        </w:rPr>
        <w:tab/>
        <w:t>R.A. Gittens, T. McLachlan, R. Olivares-Navarrete, Y. Cai, S. Berner, R. Tannenbaum, Z. Schwartz, K.H. Sandhage, B.D. Boyan, The effects of combined micron-/submicron-scale surface roughness and nanoscale features on cell proliferation and differentiation, Biomaterials. 32 (2011) 3395–3403. doi:10.1016/j.biomaterials.2011.01.029.</w:t>
      </w:r>
    </w:p>
    <w:p w14:paraId="71B17BAA"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[11]</w:t>
      </w:r>
      <w:r w:rsidRPr="00296F38">
        <w:rPr>
          <w:noProof/>
        </w:rPr>
        <w:tab/>
        <w:t>N. Hori, F. Iwasa, T. Ueno, K. Takeuchi, N. Tsukimura, M. Yamada, M. Hattori, A. Yamamoto, T. Ogawa, Selective cell affinity of biomimetic micro-nano-hybrid structured TiO2 overcomes the biological dilemma of osteoblasts., Dent. Mater. 26 (2010) 275–87. doi:10.1016/j.dental.2009.11.077.</w:t>
      </w:r>
    </w:p>
    <w:p w14:paraId="40E21E65"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[12]</w:t>
      </w:r>
      <w:r w:rsidRPr="00296F38">
        <w:rPr>
          <w:noProof/>
        </w:rPr>
        <w:tab/>
        <w:t>P.D.H. Prowse, C.G. Elliott, J. Hutter, D.W. Hamilton, Inhibition of Rac and ROCK signalling influence osteoblast adhesion, differentiation and mineralization on titanium topographies., PLoS One. 8 (2013) e58898. doi:10.1371/journal.pone.0058898.</w:t>
      </w:r>
    </w:p>
    <w:p w14:paraId="3DB4E96D"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[13]</w:t>
      </w:r>
      <w:r w:rsidRPr="00296F38">
        <w:rPr>
          <w:noProof/>
        </w:rPr>
        <w:tab/>
        <w:t>C.H. Seo, K. Furukawa, K. Montagne, H. Jeong, T. Ushida, The effect of substrate microtopography on focal adhesion maturation and actin organization via the RhoA/ROCK pathway., Biomaterials. 32 (2011) 9568–75. doi:10.1016/j.biomaterials.2011.08.077.</w:t>
      </w:r>
    </w:p>
    <w:p w14:paraId="606BC12E"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[14]</w:t>
      </w:r>
      <w:r w:rsidRPr="00296F38">
        <w:rPr>
          <w:noProof/>
        </w:rPr>
        <w:tab/>
        <w:t xml:space="preserve">Y. Ogino, R. Liang, D.B.S. Mendonça, G. Mendonça, M. Nagasawa, K. Koyano, L.F. </w:t>
      </w:r>
      <w:r w:rsidRPr="00296F38">
        <w:rPr>
          <w:noProof/>
        </w:rPr>
        <w:lastRenderedPageBreak/>
        <w:t>Cooper, RhoA-Mediated Functions in C3H10T1/2 Osteoprogenitors Are Substrate Topography Dependent., J. Cell. Physiol. 231 (2016) 568–75. doi:10.1002/jcp.25100.</w:t>
      </w:r>
    </w:p>
    <w:p w14:paraId="20DEDF99"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[15]</w:t>
      </w:r>
      <w:r w:rsidRPr="00296F38">
        <w:rPr>
          <w:noProof/>
        </w:rPr>
        <w:tab/>
        <w:t>L. Canullo, T. Genova, M. Tallarico, G. Gautier, F. Mussano, D. Botticelli, Plasma of Argon Affects the Earliest Biological Response of Different Implant Surfaces, J. Dent. Res. 95 (2016) 566–573. doi:10.1177/0022034516629119.</w:t>
      </w:r>
    </w:p>
    <w:p w14:paraId="2134BAEA"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[16]</w:t>
      </w:r>
      <w:r w:rsidRPr="00296F38">
        <w:rPr>
          <w:noProof/>
        </w:rPr>
        <w:tab/>
        <w:t>D. Buser, N. Broggini, M. Wieland, R.K. Schenk, A.J. Denzer, D.L. Cochran, B. Hoffmann, A. Lussi, S.G. Steinemann, Enhanced Bone Apposition to a Chemically Modified SLA Titanium Surface, J. Dent. Res. 83 (2004) 529–533. doi:10.1177/154405910408300704.</w:t>
      </w:r>
    </w:p>
    <w:p w14:paraId="7EF35DAC"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[17]</w:t>
      </w:r>
      <w:r w:rsidRPr="00296F38">
        <w:rPr>
          <w:noProof/>
        </w:rPr>
        <w:tab/>
        <w:t>J. Vlacic-Zischke, S.M. Hamlet, T. Friis, M.S. Tonetti, S. Ivanovski, The influence of surface microroughness and hydrophilicity of titanium on the up-regulation of TGFβ/BMP signalling in osteoblasts., Biomaterials. 32 (2011) 665–671. doi:10.1016/j.biomaterials.2010.09.025.</w:t>
      </w:r>
    </w:p>
    <w:p w14:paraId="595D984D"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[18]</w:t>
      </w:r>
      <w:r w:rsidRPr="00296F38">
        <w:rPr>
          <w:noProof/>
        </w:rPr>
        <w:tab/>
        <w:t>R.A. Gittens, L. Scheideler, F. Rupp, S.L. Hyzy, J. Geis-Gerstorfer, Z. Schwartz, B.D. Boyan, A review on the wettability of dental implant surfaces II: Biological and clinical aspects., Acta Biomater. 10 (2014) 2907–18. doi:10.1016/j.actbio.2014.03.032.</w:t>
      </w:r>
    </w:p>
    <w:p w14:paraId="76A8B5E2"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[19]</w:t>
      </w:r>
      <w:r w:rsidRPr="00296F38">
        <w:rPr>
          <w:noProof/>
        </w:rPr>
        <w:tab/>
        <w:t>F. Rupp, L. Scheideler, M. Eichler, J. Geis-Gerstorfer, Wetting behavior of dental implants., Int. J. Oral Maxillofac. Implants. 26 (n.d.) 1256–66. http://www.ncbi.nlm.nih.gov/pubmed/22167431 (accessed July 3, 2019).</w:t>
      </w:r>
    </w:p>
    <w:p w14:paraId="41569F3B"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[20]</w:t>
      </w:r>
      <w:r w:rsidRPr="00296F38">
        <w:rPr>
          <w:noProof/>
        </w:rPr>
        <w:tab/>
        <w:t>P.J. Marie, Targeting integrins to promote bone formation and repair., Nat. Rev. Endocrinol. 9 (2013) 288–95. doi:10.1038/nrendo.2013.4.</w:t>
      </w:r>
    </w:p>
    <w:p w14:paraId="3327654A"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[21]</w:t>
      </w:r>
      <w:r w:rsidRPr="00296F38">
        <w:rPr>
          <w:noProof/>
        </w:rPr>
        <w:tab/>
        <w:t xml:space="preserve">Z. Hamidouche, O. Fromigue, J. Ringe, T. Haupl, P. Vaudin, J.-C. Pages, S. Srouji, E. Livne, P.J. Marie, Priming integrin  5 promotes human mesenchymal stromal cell osteoblast differentiation and osteogenesis, Proc. Natl. Acad. Sci. 106 (2009) 18587–18591. </w:t>
      </w:r>
      <w:r w:rsidRPr="00296F38">
        <w:rPr>
          <w:noProof/>
        </w:rPr>
        <w:lastRenderedPageBreak/>
        <w:t>doi:10.1073/pnas.0812334106.</w:t>
      </w:r>
    </w:p>
    <w:p w14:paraId="09658CF8"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[22]</w:t>
      </w:r>
      <w:r w:rsidRPr="00296F38">
        <w:rPr>
          <w:noProof/>
        </w:rPr>
        <w:tab/>
        <w:t>C. Dufour, X. Holy, P.J. Marie, Skeletal unloading induces osteoblast apoptosis and targets α5β1-PI3K-Bcl-2 signaling in rat bone, Exp. Cell Res. 313 (2007) 394–403. doi:10.1016/j.yexcr.2006.10.021.</w:t>
      </w:r>
    </w:p>
    <w:p w14:paraId="17DDCBB4"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[23]</w:t>
      </w:r>
      <w:r w:rsidRPr="00296F38">
        <w:rPr>
          <w:noProof/>
        </w:rPr>
        <w:tab/>
        <w:t>R. Fraioli, P.M. Tsimbouri, L.E. Fisher, A.H. Nobbs, B. Su, S. Neubauer, F. Rechenmacher, H. Kessler, M.-P. Ginebra, M.J. Dalby, J.M. Manero, C. Mas-Moruno, Towards the cell-instructive bactericidal substrate: exploring the combination of nanotopographical features and integrin selective synthetic ligands., Sci. Rep. 7 (2017) 16363. doi:10.1038/s41598-017-16385-3.</w:t>
      </w:r>
    </w:p>
    <w:p w14:paraId="32DC886A"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[24]</w:t>
      </w:r>
      <w:r w:rsidRPr="00296F38">
        <w:rPr>
          <w:noProof/>
        </w:rPr>
        <w:tab/>
        <w:t>C.K. Thodeti, B. Matthews, A. Ravi, A. Mammoto, K. Ghosh, A.L. Bracha, D.E. Ingber, TRPV4 Channels Mediate Cyclic Strain–Induced Endothelial Cell Reorientation Through Integrin-to-Integrin Signaling, Circ. Res. 104 (2009) 1123–1130. doi:10.1161/CIRCRESAHA.108.192930.</w:t>
      </w:r>
    </w:p>
    <w:p w14:paraId="516A240C"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117758">
        <w:rPr>
          <w:noProof/>
          <w:lang w:val="it-IT"/>
        </w:rPr>
        <w:t>[25]</w:t>
      </w:r>
      <w:r w:rsidRPr="00117758">
        <w:rPr>
          <w:noProof/>
          <w:lang w:val="it-IT"/>
        </w:rPr>
        <w:tab/>
        <w:t xml:space="preserve">F. Mussano, T. Genova, P. Rivolo, P. Mandracci, L. Munaron, M.G. Faga, S. Carossa, Role of surface finishing on the in vitro biological properties of a silicon nitride–titanium nitride (Si3N4–TiN) composite, J. Mater. </w:t>
      </w:r>
      <w:r w:rsidRPr="00296F38">
        <w:rPr>
          <w:noProof/>
        </w:rPr>
        <w:t>Sci. 52 (2017) 467–477. doi:10.1007/s10853-016-0346-1.</w:t>
      </w:r>
    </w:p>
    <w:p w14:paraId="6FF5BC85"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[26]</w:t>
      </w:r>
      <w:r w:rsidRPr="00296F38">
        <w:rPr>
          <w:noProof/>
        </w:rPr>
        <w:tab/>
        <w:t>E.S. Gadelmawla, M.M. Koura, T.M.A. Maksoud, I.M. Elewa, H.H. Soliman, Roughness parameters, J. Mater. Process. Technol. 123 (2002) 133–145. doi:10.1016/S0924-0136(02)00060-2.</w:t>
      </w:r>
    </w:p>
    <w:p w14:paraId="414E2431"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[27]</w:t>
      </w:r>
      <w:r w:rsidRPr="00296F38">
        <w:rPr>
          <w:noProof/>
        </w:rPr>
        <w:tab/>
        <w:t xml:space="preserve">L. Canullo, T. Genova, H.-L. Wang, S. Carossa, F. Mussano, Plasma of Argon Increases Cell Attachment and Bacterial Decontamination on Different Implant Surfaces, Int. J. Oral </w:t>
      </w:r>
      <w:r w:rsidRPr="00296F38">
        <w:rPr>
          <w:noProof/>
        </w:rPr>
        <w:lastRenderedPageBreak/>
        <w:t>Maxillofac. Implants. 32 (2017) 1315–1323. doi:10.11607/jomi.5777.</w:t>
      </w:r>
    </w:p>
    <w:p w14:paraId="6DCF389A" w14:textId="77777777" w:rsidR="00296F38" w:rsidRPr="00117758" w:rsidRDefault="00296F38" w:rsidP="00296F38">
      <w:pPr>
        <w:widowControl w:val="0"/>
        <w:autoSpaceDE w:val="0"/>
        <w:autoSpaceDN w:val="0"/>
        <w:adjustRightInd w:val="0"/>
        <w:spacing w:before="280" w:after="280" w:line="480" w:lineRule="auto"/>
        <w:ind w:left="640" w:hanging="640"/>
        <w:rPr>
          <w:noProof/>
          <w:lang w:val="it-IT"/>
        </w:rPr>
      </w:pPr>
      <w:r w:rsidRPr="00296F38">
        <w:rPr>
          <w:noProof/>
        </w:rPr>
        <w:t>[28]</w:t>
      </w:r>
      <w:r w:rsidRPr="00296F38">
        <w:rPr>
          <w:noProof/>
        </w:rPr>
        <w:tab/>
        <w:t xml:space="preserve">F. Mussano, T. Genova, E. Verga Falzacappa, P. Scopece, L. Munaron, P. Rivolo, P. Mandracci, A. Benedetti, S. Carossa, A. Patelli, In vitro characterization of two different atmospheric plasma jet chemical functionalizations of titanium surfaces, Appl. </w:t>
      </w:r>
      <w:r w:rsidRPr="00117758">
        <w:rPr>
          <w:noProof/>
          <w:lang w:val="it-IT"/>
        </w:rPr>
        <w:t>Surf. Sci. 409 (2017) 314–324. doi:10.1016/j.apsusc.2017.02.035.</w:t>
      </w:r>
    </w:p>
    <w:p w14:paraId="41BB4CC1" w14:textId="77777777" w:rsidR="00296F38" w:rsidRPr="00117758" w:rsidRDefault="00296F38" w:rsidP="00296F38">
      <w:pPr>
        <w:widowControl w:val="0"/>
        <w:autoSpaceDE w:val="0"/>
        <w:autoSpaceDN w:val="0"/>
        <w:adjustRightInd w:val="0"/>
        <w:spacing w:before="280" w:after="280" w:line="480" w:lineRule="auto"/>
        <w:ind w:left="640" w:hanging="640"/>
        <w:rPr>
          <w:noProof/>
          <w:lang w:val="it-IT"/>
        </w:rPr>
      </w:pPr>
      <w:r w:rsidRPr="00117758">
        <w:rPr>
          <w:noProof/>
          <w:lang w:val="it-IT"/>
        </w:rPr>
        <w:t>[29]</w:t>
      </w:r>
      <w:r w:rsidRPr="00117758">
        <w:rPr>
          <w:noProof/>
          <w:lang w:val="it-IT"/>
        </w:rPr>
        <w:tab/>
        <w:t>F. Mussano, T. Genova, M. Laurenti, L. Munaron, C.F. Pirri, P. Rivolo, S. Carossa, P. Mandracci, Hydrogenated amorphous silicon coatings may modulate gingival cell response, Appl. Surf. Sci. 436 (2018) 603–612. doi:10.1016/j.apsusc.2017.11.283.</w:t>
      </w:r>
    </w:p>
    <w:p w14:paraId="497C55AA" w14:textId="77777777" w:rsidR="00296F38" w:rsidRPr="00117758" w:rsidRDefault="00296F38" w:rsidP="00296F38">
      <w:pPr>
        <w:widowControl w:val="0"/>
        <w:autoSpaceDE w:val="0"/>
        <w:autoSpaceDN w:val="0"/>
        <w:adjustRightInd w:val="0"/>
        <w:spacing w:before="280" w:after="280" w:line="480" w:lineRule="auto"/>
        <w:ind w:left="640" w:hanging="640"/>
        <w:rPr>
          <w:noProof/>
          <w:lang w:val="it-IT"/>
        </w:rPr>
      </w:pPr>
      <w:r w:rsidRPr="00117758">
        <w:rPr>
          <w:noProof/>
          <w:lang w:val="it-IT"/>
        </w:rPr>
        <w:t>[30]</w:t>
      </w:r>
      <w:r w:rsidRPr="00117758">
        <w:rPr>
          <w:noProof/>
          <w:lang w:val="it-IT"/>
        </w:rPr>
        <w:tab/>
        <w:t>T. Genova, G.P. Grolez, C. Camillo, M. Bernardini, A. Bokhobza, E. Richard, M. Scianna, L. Lemonnier, D. Valdembri, L. Munaron, M.R. Philips, V. Mattot, G. Serini, N. Prevarskaya, D. Gkika, A.F. Pla, TRPM8 inhibits endothelial cell migration via a non-channel function by trapping the small GTPase Rap1, J. Cell Biol. 216 (2017) 2107–2130. doi:10.1083/jcb.201506024.</w:t>
      </w:r>
    </w:p>
    <w:p w14:paraId="41EF3486"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[31]</w:t>
      </w:r>
      <w:r w:rsidRPr="00296F38">
        <w:rPr>
          <w:noProof/>
        </w:rPr>
        <w:tab/>
        <w:t>F. Mussano, T. Genova, S. Petrillo, I. Roato, R. Ferracini, L. Munaron, Osteogenic Differentiation Modulates the Cytokine, Chemokine, and Growth Factor Profile of ASCs and SHED., Int. J. Mol. Sci. 19 (2018) 1454. doi:10.3390/ijms19051454.</w:t>
      </w:r>
    </w:p>
    <w:p w14:paraId="10BEC363"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[32]</w:t>
      </w:r>
      <w:r w:rsidRPr="00296F38">
        <w:rPr>
          <w:noProof/>
        </w:rPr>
        <w:tab/>
        <w:t>M. Bernardini, A. Brossa, G. Chinigo, G.P. Grolez, G. Trimaglio, L. Allart, A. Hulot, G. Marot, T. Genova, A. Joshi, V. Mattot, G. Fromont, L. Munaron, B. Bussolati, N. Prevarskaya, A. Fiorio Pla, D. Gkika, Transient Receptor Potential Channel Expression Signatures in Tumor-Derived Endothelial Cells: Functional Roles in Prostate Cancer Angiogenesis, Cancers (Basel). 11 (2019) 956. doi:10.3390/cancers11070956.</w:t>
      </w:r>
    </w:p>
    <w:p w14:paraId="015A641E"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[33]</w:t>
      </w:r>
      <w:r w:rsidRPr="00296F38">
        <w:rPr>
          <w:noProof/>
        </w:rPr>
        <w:tab/>
        <w:t xml:space="preserve">D. Avanzato, T. Genova, A. Fiorio Pla, M. Bernardini, S. Bianco, B. Bussolati, D. Mancardi, E. Giraudo, F. Maione, P. Cassoni, I. Castellano, L. Munaron, Activation of P2X7 and P2Y11 </w:t>
      </w:r>
      <w:r w:rsidRPr="00296F38">
        <w:rPr>
          <w:noProof/>
        </w:rPr>
        <w:lastRenderedPageBreak/>
        <w:t>purinergic receptors inhibits migration and normalizes tumor-derived endothelial cells via cAMP signaling, Sci. Rep. 6 (2016) 32602. doi:10.1038/srep32602.</w:t>
      </w:r>
    </w:p>
    <w:p w14:paraId="03BF7A64"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[34]</w:t>
      </w:r>
      <w:r w:rsidRPr="00296F38">
        <w:rPr>
          <w:noProof/>
        </w:rPr>
        <w:tab/>
        <w:t>M.B. Herrera Sanchez, S. Previdi, S. Bruno, V. Fonsato, M.C. Deregibus, S. Kholia, S. Petrillo, E. Tolosano, R. Critelli, M. Spada, R. Romagnoli, M. Salizzoni, C. Tetta, G. Camussi, Extracellular vesicles from human liver stem cells restore argininosuccinate synthase deficiency, Stem Cell Res. Ther. 8 (2017) 176. doi:10.1186/s13287-017-0628-9.</w:t>
      </w:r>
    </w:p>
    <w:p w14:paraId="63C6F73D"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[35]</w:t>
      </w:r>
      <w:r w:rsidRPr="00296F38">
        <w:rPr>
          <w:noProof/>
        </w:rPr>
        <w:tab/>
        <w:t xml:space="preserve"> a Fiorio Pla, H.L. Ong, K.T. Cheng, A. Brossa, B. Bussolati, T. Lockwich, B. Paria, L. Munaron, I.S. Ambudkar, TRPV4 mediates tumor-derived endothelial cell migration via arachidonic acid-activated actin remodeling, Oncogene. 31 (2012) 200–212. doi:10.1038/onc.2011.231.</w:t>
      </w:r>
    </w:p>
    <w:p w14:paraId="6307CB3D"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[36]</w:t>
      </w:r>
      <w:r w:rsidRPr="00296F38">
        <w:rPr>
          <w:noProof/>
        </w:rPr>
        <w:tab/>
        <w:t>T. Genova, S. Petrillo, E. Zicola, I. Roato, R. Ferracini, E. Tolosano, F. Altruda, S. Carossa, F. Mussano, L. Munaron, The Crosstalk Between Osteodifferentiating Stem Cells and Endothelial Cells Promotes Angiogenesis and Bone Formation, Front. Physiol. 10 (2019). doi:10.3389/fphys.2019.01291.</w:t>
      </w:r>
    </w:p>
    <w:p w14:paraId="3D0CC937"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[37]</w:t>
      </w:r>
      <w:r w:rsidRPr="00296F38">
        <w:rPr>
          <w:noProof/>
        </w:rPr>
        <w:tab/>
        <w:t>E. Beneduce, A. Matte, L. De Falco, S. Mbiandjeu, D. Chiabrando, E. Tolosano, E. Federti, S. Petrillo, N. Mohandas, A. Siciliano, W. Babu, V. Menon, S. Ghaffari, A. Iolascon, L. De Franceschi, Fyn kinase is a novel modulator of erythropoietin signaling and stress erythropoiesis, Am. J. Hematol. 94 (2019) 10–20. doi:10.1002/ajh.25295.</w:t>
      </w:r>
    </w:p>
    <w:p w14:paraId="2E900598"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[38]</w:t>
      </w:r>
      <w:r w:rsidRPr="00296F38">
        <w:rPr>
          <w:noProof/>
        </w:rPr>
        <w:tab/>
        <w:t>P.R. Freeman, C.F. Dietrich, Uncertainty, Calibration and Probability. The Statistics of Scientific and Industrial Measurment., J. R. Stat. Soc. Ser. A. 137 (2006) 441. doi:10.2307/2344974.</w:t>
      </w:r>
    </w:p>
    <w:p w14:paraId="66335E0D"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[39]</w:t>
      </w:r>
      <w:r w:rsidRPr="00296F38">
        <w:rPr>
          <w:noProof/>
        </w:rPr>
        <w:tab/>
        <w:t xml:space="preserve">JCGM100:2008, Evaluation of measurement data — Guide to the expression of uncertainty in measurement, Int. Organ. Stand. Geneva ISBN. 50 (2008) 134. </w:t>
      </w:r>
      <w:r w:rsidRPr="00296F38">
        <w:rPr>
          <w:noProof/>
        </w:rPr>
        <w:lastRenderedPageBreak/>
        <w:t>doi:10.1373/clinchem.2003.030528.</w:t>
      </w:r>
    </w:p>
    <w:p w14:paraId="5BABFDA6"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[40]</w:t>
      </w:r>
      <w:r w:rsidRPr="00296F38">
        <w:rPr>
          <w:noProof/>
        </w:rPr>
        <w:tab/>
        <w:t>Y.-H. Zhang, C.K. Chan, J.F. Porter, W. Guo, Micro-Raman Spectroscopic Characterization of Nanosized TiO 2 Powders Prepared by Vapor Hydrolysis, J. Mater. Res. 13 (1998) 2602–2609. doi:10.1557/JMR.1998.0363.</w:t>
      </w:r>
    </w:p>
    <w:p w14:paraId="702EBCD7"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[41]</w:t>
      </w:r>
      <w:r w:rsidRPr="00296F38">
        <w:rPr>
          <w:noProof/>
        </w:rPr>
        <w:tab/>
        <w:t>M. Gaintantzopoulou, S. Zinelis, N. Silikas, G. Eliades, Micro-Raman spectroscopic analysis of TiO2 phases on the root surfaces of commercial dental implants, Dent. Mater. 30 (2014) 861–867. doi:10.1016/j.dental.2014.05.030.</w:t>
      </w:r>
    </w:p>
    <w:p w14:paraId="4C0F87C1"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[42]</w:t>
      </w:r>
      <w:r w:rsidRPr="00296F38">
        <w:rPr>
          <w:noProof/>
        </w:rPr>
        <w:tab/>
        <w:t>M. Lenter, H. Uhlig, A. Hamann, P. Jeno, B. Imhof, D. Vestweber, A monoclonal antibody against an activation epitope on mouse integrin chain beta 1 blocks adhesion of lymphocytes to the endothelial integrin alpha 6 beta 1., Proc. Natl. Acad. Sci. 90 (1993) 9051–9055. doi:10.1073/pnas.90.19.9051.</w:t>
      </w:r>
    </w:p>
    <w:p w14:paraId="0AD7D680"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[43]</w:t>
      </w:r>
      <w:r w:rsidRPr="00296F38">
        <w:rPr>
          <w:noProof/>
        </w:rPr>
        <w:tab/>
        <w:t>G. Bazzoni, D.T. Shih, C.A. Buck, M.E. Hemler, Monoclonal antibody 9EG7 defines a novel beta 1 integrin epitope induced by soluble ligand and manganese, but inhibited by calcium., J. Biol. Chem. 270 (1995) 25570–7. doi:10.1074/jbc.270.43.25570.</w:t>
      </w:r>
    </w:p>
    <w:p w14:paraId="154CA8BF"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[44]</w:t>
      </w:r>
      <w:r w:rsidRPr="00296F38">
        <w:rPr>
          <w:noProof/>
        </w:rPr>
        <w:tab/>
        <w:t>P.D. Arora, M. Di Gregorio, P. He, C.A. McCulloch, TRPV4 mediates the Ca 2+ influx required for the interaction between flightless-1 and non-muscle myosin, and collagen remodeling, J. Cell Sci. 130 (2017) 2196–2208. doi:10.1242/jcs.201665.</w:t>
      </w:r>
    </w:p>
    <w:p w14:paraId="38F25C5D"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[45]</w:t>
      </w:r>
      <w:r w:rsidRPr="00296F38">
        <w:rPr>
          <w:noProof/>
        </w:rPr>
        <w:tab/>
        <w:t>C.-Y. Chien, W.-B. Tsai, Poly(dopamine)-assisted immobilization of Arg-Gly-Asp peptides, hydroxyapatite, and bone morphogenic protein-2 on titanium to improve the osteogenesis of bone marrow stem cells., ACS Appl. Mater. Interfaces. 5 (2013) 6975–83. doi:10.1021/am401071f.</w:t>
      </w:r>
    </w:p>
    <w:p w14:paraId="44CE1F5F"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[46]</w:t>
      </w:r>
      <w:r w:rsidRPr="00296F38">
        <w:rPr>
          <w:noProof/>
        </w:rPr>
        <w:tab/>
        <w:t xml:space="preserve">E. Gongadze, D. Kabaso, S. Bauer, T. Slivnik, P. Schmuki, U. van Rienen, A. Iglič, Adhesion </w:t>
      </w:r>
      <w:r w:rsidRPr="00296F38">
        <w:rPr>
          <w:noProof/>
        </w:rPr>
        <w:lastRenderedPageBreak/>
        <w:t>of osteoblasts to a nanorough titanium implant surface., Int. J. Nanomedicine. 6 (2011) 1801–16. doi:10.2147/IJN.S21755.</w:t>
      </w:r>
    </w:p>
    <w:p w14:paraId="32965335"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[47]</w:t>
      </w:r>
      <w:r w:rsidRPr="00296F38">
        <w:rPr>
          <w:noProof/>
        </w:rPr>
        <w:tab/>
        <w:t>M. Nikkhah, F. Edalat, S. Manoucheri, A. Khademhosseini, Engineering microscale topographies to control the cell–substrate interface, Biomaterials. 33 (2012) 5230–5246. doi:10.1016/j.biomaterials.2012.03.079.</w:t>
      </w:r>
    </w:p>
    <w:p w14:paraId="4C02EDF9"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[48]</w:t>
      </w:r>
      <w:r w:rsidRPr="00296F38">
        <w:rPr>
          <w:noProof/>
        </w:rPr>
        <w:tab/>
        <w:t>A. Wennerberg, T. Albrektsson, Effects of titanium surface topography on bone integration: a systematic review, Clin. Oral Implants Res. 20 (2009) 172–184. doi:10.1111/j.1600-0501.2009.01775.x.</w:t>
      </w:r>
    </w:p>
    <w:p w14:paraId="27703B81"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[49]</w:t>
      </w:r>
      <w:r w:rsidRPr="00296F38">
        <w:rPr>
          <w:noProof/>
        </w:rPr>
        <w:tab/>
        <w:t>B.-S. Kang, Y.-T. Sul, S.-J. Oh, H.-J. Lee, T. Albrektsson, XPS, AES and SEM analysis of recent dental implants., Acta Biomater. 5 (2009) 2222–9. doi:10.1016/j.actbio.2009.01.049.</w:t>
      </w:r>
    </w:p>
    <w:p w14:paraId="17A799BC"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[50]</w:t>
      </w:r>
      <w:r w:rsidRPr="00296F38">
        <w:rPr>
          <w:noProof/>
        </w:rPr>
        <w:tab/>
        <w:t>X. Zhu, J. Chen, L. Scheideler, R. Reichl, J. Geis-Gerstorfer, Effects of topography and composition of titanium surface oxides on osteoblast responses., Biomaterials. 25 (2004) 4087–103. doi:10.1016/j.biomaterials.2003.11.011.</w:t>
      </w:r>
    </w:p>
    <w:p w14:paraId="13C17AEB"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[51]</w:t>
      </w:r>
      <w:r w:rsidRPr="00296F38">
        <w:rPr>
          <w:noProof/>
        </w:rPr>
        <w:tab/>
        <w:t>J. Lincks, B.D. Boyan, C.R. Blanchard, C.H. Lohmann, Y. Liu, D.L. Cochran, D.D. Dean, Z. Schwartz, Response of MG63 osteoblast-like cells to titanium and titanium alloy is dependent on surface roughness and composition., Biomaterials. 19 (1998) 2219–32. http://www.ncbi.nlm.nih.gov/pubmed/9884063 (accessed January 24, 2015).</w:t>
      </w:r>
    </w:p>
    <w:p w14:paraId="00955700"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[52]</w:t>
      </w:r>
      <w:r w:rsidRPr="00296F38">
        <w:rPr>
          <w:noProof/>
        </w:rPr>
        <w:tab/>
        <w:t>A. Vallée, M.G. Faga, F. Mussano, F. Catalano, E. Tolosano, S. Carossa, F. Altruda, G. Martra, Alumina-zirconia composites functionalized with laminin-1 and laminin-5 for dentistry: effect of protein adsorption on cellular response., Colloids Surf. B. Biointerfaces. 114 (2014) 284–93. doi:10.1016/j.colsurfb.2013.09.053.</w:t>
      </w:r>
    </w:p>
    <w:p w14:paraId="7C37555E"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[53]</w:t>
      </w:r>
      <w:r w:rsidRPr="00296F38">
        <w:rPr>
          <w:noProof/>
        </w:rPr>
        <w:tab/>
        <w:t xml:space="preserve">L. Canullo, T. Genova, N. Naenni, Y. Nakajima, K. Masuda, F. Mussano, Plasma of argon </w:t>
      </w:r>
      <w:r w:rsidRPr="00296F38">
        <w:rPr>
          <w:noProof/>
        </w:rPr>
        <w:lastRenderedPageBreak/>
        <w:t>enhances the adhesion of murine osteoblasts on different graft materials, Ann. Anat. - Anat. Anzeiger. 218 (2018) 265–270. doi:10.1016/j.aanat.2018.03.005.</w:t>
      </w:r>
    </w:p>
    <w:p w14:paraId="71D2E418"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[54]</w:t>
      </w:r>
      <w:r w:rsidRPr="00296F38">
        <w:rPr>
          <w:noProof/>
        </w:rPr>
        <w:tab/>
        <w:t>R. Pistilli, T. Genova, L. Canullo, M. Faga, M. Terlizzi, G. Gribaudo, F. Mussano, Effect of Bioactivation on Traditional Surfaces and Zirconium Nitride: Adhesion and Proliferation of Preosteoblastic Cells and Bacteria, Int. J. Oral Maxillofac. Implants. 33 (2018) 1247–1254. doi:10.11607/jomi.6654.</w:t>
      </w:r>
    </w:p>
    <w:p w14:paraId="42855625"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[55]</w:t>
      </w:r>
      <w:r w:rsidRPr="00296F38">
        <w:rPr>
          <w:noProof/>
        </w:rPr>
        <w:tab/>
        <w:t>L. Canullo, T. Genova, P. Mandracci, F. Mussano, R. Abundo, J. Fiorellini, Morphometric Changes Induced by Cold Argon Plasma Treatment on Osteoblasts Grown on Different Dental Implant Surfaces, Int. J. Periodontics Restorative Dent. 37 (2017) 541–548. doi:10.11607/prd.2916.</w:t>
      </w:r>
    </w:p>
    <w:p w14:paraId="104692CD"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[56]</w:t>
      </w:r>
      <w:r w:rsidRPr="00296F38">
        <w:rPr>
          <w:noProof/>
        </w:rPr>
        <w:tab/>
        <w:t>D.E. MacDonald, N. Deo, B. Markovic, M. Stranick, P. Somasundaran, Adsorption and dissolution behavior of human plasma fibronectin on thermally and chemically modified titanium dioxide particles, Biomaterials. 23 (2002) 1269–1279. doi:10.1016/S0142-9612(01)00317-9.</w:t>
      </w:r>
    </w:p>
    <w:p w14:paraId="7E7A6F47"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[57]</w:t>
      </w:r>
      <w:r w:rsidRPr="00296F38">
        <w:rPr>
          <w:noProof/>
        </w:rPr>
        <w:tab/>
        <w:t>T.G. Ruardy, J.M. Schakenraad, H.C. van der Mei, H.J. Busscher, Adhesion and spreading of human skin fibroblasts on physicochemically characterized gradient surfaces., J. Biomed. Mater. Res. 29 (1995) 1415–23. doi:10.1002/jbm.820291113.</w:t>
      </w:r>
    </w:p>
    <w:p w14:paraId="3A0BE876"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[58]</w:t>
      </w:r>
      <w:r w:rsidRPr="00296F38">
        <w:rPr>
          <w:noProof/>
        </w:rPr>
        <w:tab/>
        <w:t>G. Altankov, F. Grinnell, T. Groth, Studies on the biocompatibility of materials: fibroblast reorganization of substratum-bound fibronectin on surfaces varying in wettability., J. Biomed. Mater. Res. 30 (1996) 385–91. doi:10.1002/(SICI)1097-4636(199603)30:3&lt;385::AID-JBM13&gt;3.0.CO;2-J.</w:t>
      </w:r>
    </w:p>
    <w:p w14:paraId="75E1BF78"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[59]</w:t>
      </w:r>
      <w:r w:rsidRPr="00296F38">
        <w:rPr>
          <w:noProof/>
        </w:rPr>
        <w:tab/>
        <w:t xml:space="preserve">K. Webb, V. Hlady, P.A. Tresco, Relative importance of surface wettability and charged functional groups on NIH 3T3 fibroblast attachment, spreading, and cytoskeletal </w:t>
      </w:r>
      <w:r w:rsidRPr="00296F38">
        <w:rPr>
          <w:noProof/>
        </w:rPr>
        <w:lastRenderedPageBreak/>
        <w:t>organization., J. Biomed. Mater. Res. 41 (1998) 422–30. http://www.ncbi.nlm.nih.gov/pubmed/9659612 (accessed July 4, 2019).</w:t>
      </w:r>
    </w:p>
    <w:p w14:paraId="707B5F2B"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[60]</w:t>
      </w:r>
      <w:r w:rsidRPr="00296F38">
        <w:rPr>
          <w:noProof/>
        </w:rPr>
        <w:tab/>
        <w:t>A.C. De Luca, M. Zink, A. Weidt, S.G. Mayr, A.E. Markaki, Effect of microgrooved surface topography on osteoblast maturation and protein adsorption, J. Biomed. Mater. Res. - Part A. 103 (2015) 2689–2700. doi:10.1002/jbm.a.35407.</w:t>
      </w:r>
    </w:p>
    <w:p w14:paraId="47FEE922"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[61]</w:t>
      </w:r>
      <w:r w:rsidRPr="00296F38">
        <w:rPr>
          <w:noProof/>
        </w:rPr>
        <w:tab/>
        <w:t>M. Lai, C.D. Hermann, A. Cheng, R. Olivares-Navarrete, R.A. Gittens, M.M. Bird, M. Walker, Y. Cai, K. Cai, K.H. Sandhage, Z. Schwartz, B.D. Boyan, Role of α2β1 integrins in mediating cell shape on microtextured titanium surfaces., J. Biomed. Mater. Res. A. 103 (2015) 564–73. doi:10.1002/jbm.a.35185.</w:t>
      </w:r>
    </w:p>
    <w:p w14:paraId="1942A894"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[62]</w:t>
      </w:r>
      <w:r w:rsidRPr="00296F38">
        <w:rPr>
          <w:noProof/>
        </w:rPr>
        <w:tab/>
        <w:t>H.-Y. Chen, L. Pan, H. Yang, P. Xia, W. Yu, W. Tang, Y. Zhang, S. Chen, Y. Xue, L. Wang, Integrin alpha5beta1 suppresses rBMSCs anoikis and promotes nitric oxide production., Biomed. Pharmacother. 99 (2018) 1–8. doi:10.1016/j.biopha.2018.01.038.</w:t>
      </w:r>
    </w:p>
    <w:p w14:paraId="2D49E678"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[63]</w:t>
      </w:r>
      <w:r w:rsidRPr="00296F38">
        <w:rPr>
          <w:noProof/>
        </w:rPr>
        <w:tab/>
        <w:t>G. Yang, Z. Liu, Y. Guo, J. Zhang, H. Li, W. Shi, J. Feng, K. Wang, L. Yang, Osteoblast response to the surface topography of hydroxyapatite two-dimensional films, J. Biomed. Mater. Res. - Part A. 105 (2017) 991–999. doi:10.1002/jbm.a.35967.</w:t>
      </w:r>
    </w:p>
    <w:p w14:paraId="071B65FC"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[64]</w:t>
      </w:r>
      <w:r w:rsidRPr="00296F38">
        <w:rPr>
          <w:noProof/>
        </w:rPr>
        <w:tab/>
        <w:t>C. Allan, A. Ker, C.A. Smith, P.M. Tsimbouri, J. Borsoi, S. O’Neill, N. Gadegaard, M.J. Dalby, R.M. Dominic Meek, Osteoblast response to disordered nanotopography, J. Tissue Eng. 9 (2018). doi:10.1177/2041731418784098.</w:t>
      </w:r>
    </w:p>
    <w:p w14:paraId="41242699"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[65]</w:t>
      </w:r>
      <w:r w:rsidRPr="00296F38">
        <w:rPr>
          <w:noProof/>
        </w:rPr>
        <w:tab/>
        <w:t>K. Howell, The role of TRPV4 in osteogenesis and cell signaling in MC3T3-E1 ostoeoblast-like cells, (2012). http://udspace.udel.edu/handle/19716/12887 (accessed July 17, 2019).</w:t>
      </w:r>
    </w:p>
    <w:p w14:paraId="22E9A250" w14:textId="77777777" w:rsidR="00296F38" w:rsidRPr="00296F38" w:rsidRDefault="00296F38" w:rsidP="00296F38">
      <w:pPr>
        <w:widowControl w:val="0"/>
        <w:autoSpaceDE w:val="0"/>
        <w:autoSpaceDN w:val="0"/>
        <w:adjustRightInd w:val="0"/>
        <w:spacing w:before="280" w:after="280" w:line="480" w:lineRule="auto"/>
        <w:ind w:left="640" w:hanging="640"/>
        <w:rPr>
          <w:noProof/>
        </w:rPr>
      </w:pPr>
      <w:r w:rsidRPr="00296F38">
        <w:rPr>
          <w:noProof/>
        </w:rPr>
        <w:t>[66]</w:t>
      </w:r>
      <w:r w:rsidRPr="00296F38">
        <w:rPr>
          <w:noProof/>
        </w:rPr>
        <w:tab/>
        <w:t xml:space="preserve">E. Abed, D. Labelle, C. Martineau, A. Loghin, R. Moreau, Expression of transient receptor potential (TRP) channels in human and murine osteoblast-like cells, Mol. Membr. Biol. 26 </w:t>
      </w:r>
      <w:r w:rsidRPr="00296F38">
        <w:rPr>
          <w:noProof/>
        </w:rPr>
        <w:lastRenderedPageBreak/>
        <w:t>(2009) 146–158. doi:10.1080/09687680802612721.</w:t>
      </w:r>
    </w:p>
    <w:p w14:paraId="4F684386" w14:textId="27FCB14F" w:rsidR="005E6AFE" w:rsidRPr="00B472EA" w:rsidRDefault="005E6AFE">
      <w:pPr>
        <w:pStyle w:val="BodyB"/>
        <w:keepNext w:val="0"/>
        <w:widowControl w:val="0"/>
        <w:suppressAutoHyphens w:val="0"/>
        <w:spacing w:before="280" w:after="280" w:line="480" w:lineRule="auto"/>
        <w:ind w:left="640" w:hanging="640"/>
        <w:rPr>
          <w:lang w:val="en-US"/>
        </w:rPr>
      </w:pPr>
      <w:r>
        <w:fldChar w:fldCharType="end"/>
      </w:r>
    </w:p>
    <w:p w14:paraId="2B84D10C" w14:textId="77777777" w:rsidR="005E6AFE" w:rsidRPr="00B472EA" w:rsidRDefault="005E6AFE">
      <w:pPr>
        <w:pStyle w:val="BodyB"/>
        <w:keepNext w:val="0"/>
        <w:widowControl w:val="0"/>
        <w:suppressAutoHyphens w:val="0"/>
        <w:spacing w:before="280" w:after="280" w:line="480" w:lineRule="auto"/>
        <w:ind w:left="640" w:hanging="640"/>
        <w:rPr>
          <w:lang w:val="en-US"/>
        </w:rPr>
      </w:pPr>
    </w:p>
    <w:sectPr w:rsidR="005E6AFE" w:rsidRPr="00B472EA">
      <w:pgSz w:w="11900" w:h="16840"/>
      <w:pgMar w:top="1417" w:right="1134" w:bottom="1134" w:left="1134" w:header="0" w:footer="0" w:gutter="0"/>
      <w:cols w:space="720"/>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0321CD" w14:textId="77777777" w:rsidR="00E160CF" w:rsidRDefault="00E160CF">
      <w:r>
        <w:separator/>
      </w:r>
    </w:p>
  </w:endnote>
  <w:endnote w:type="continuationSeparator" w:id="0">
    <w:p w14:paraId="23D94463" w14:textId="77777777" w:rsidR="00E160CF" w:rsidRDefault="00E160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Segoe UI">
    <w:altName w:val="Sylfaen"/>
    <w:panose1 w:val="020B0604020202020204"/>
    <w:charset w:val="00"/>
    <w:family w:val="swiss"/>
    <w:pitch w:val="variable"/>
    <w:sig w:usb0="E4002EFF" w:usb1="C000E47F" w:usb2="00000009" w:usb3="00000000" w:csb0="000001FF" w:csb1="00000000"/>
  </w:font>
  <w:font w:name="Times New Roman Bold">
    <w:altName w:val="Times New Roman"/>
    <w:panose1 w:val="02020803070505020304"/>
    <w:charset w:val="00"/>
    <w:family w:val="roman"/>
    <w:pitch w:val="default"/>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C50A8C" w14:textId="77777777" w:rsidR="00E160CF" w:rsidRDefault="00E160CF">
      <w:r>
        <w:separator/>
      </w:r>
    </w:p>
  </w:footnote>
  <w:footnote w:type="continuationSeparator" w:id="0">
    <w:p w14:paraId="0D29436C" w14:textId="77777777" w:rsidR="00E160CF" w:rsidRDefault="00E160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7"/>
  <w:proofState w:spelling="clean"/>
  <w:trackRevisions/>
  <w:defaultTabStop w:val="720"/>
  <w:autoHyphenation/>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412D"/>
    <w:rsid w:val="000205B0"/>
    <w:rsid w:val="00056FAA"/>
    <w:rsid w:val="00070348"/>
    <w:rsid w:val="000859D4"/>
    <w:rsid w:val="000A29D5"/>
    <w:rsid w:val="000D22B9"/>
    <w:rsid w:val="000D7BFF"/>
    <w:rsid w:val="000F05C4"/>
    <w:rsid w:val="00107926"/>
    <w:rsid w:val="00117758"/>
    <w:rsid w:val="0013434E"/>
    <w:rsid w:val="00150C26"/>
    <w:rsid w:val="001545DD"/>
    <w:rsid w:val="0017777D"/>
    <w:rsid w:val="00182AEB"/>
    <w:rsid w:val="001A167B"/>
    <w:rsid w:val="001A1D28"/>
    <w:rsid w:val="001A2716"/>
    <w:rsid w:val="001D530E"/>
    <w:rsid w:val="00210028"/>
    <w:rsid w:val="00211920"/>
    <w:rsid w:val="00227026"/>
    <w:rsid w:val="00253370"/>
    <w:rsid w:val="00253627"/>
    <w:rsid w:val="0025473D"/>
    <w:rsid w:val="00296F38"/>
    <w:rsid w:val="002C0504"/>
    <w:rsid w:val="002E7096"/>
    <w:rsid w:val="002F49D0"/>
    <w:rsid w:val="002F75C5"/>
    <w:rsid w:val="00312A12"/>
    <w:rsid w:val="00335DDD"/>
    <w:rsid w:val="003674DB"/>
    <w:rsid w:val="0037254F"/>
    <w:rsid w:val="00373A29"/>
    <w:rsid w:val="003B68D1"/>
    <w:rsid w:val="003D1083"/>
    <w:rsid w:val="003E6A3D"/>
    <w:rsid w:val="00400294"/>
    <w:rsid w:val="00412792"/>
    <w:rsid w:val="00426735"/>
    <w:rsid w:val="004445D2"/>
    <w:rsid w:val="00450E72"/>
    <w:rsid w:val="00464F79"/>
    <w:rsid w:val="004678EE"/>
    <w:rsid w:val="00480599"/>
    <w:rsid w:val="004D3AB7"/>
    <w:rsid w:val="005451C8"/>
    <w:rsid w:val="00556855"/>
    <w:rsid w:val="00557C9B"/>
    <w:rsid w:val="00564F15"/>
    <w:rsid w:val="005A4EFF"/>
    <w:rsid w:val="005C689F"/>
    <w:rsid w:val="005D764E"/>
    <w:rsid w:val="005E4353"/>
    <w:rsid w:val="005E6AFE"/>
    <w:rsid w:val="0063675C"/>
    <w:rsid w:val="00640DF6"/>
    <w:rsid w:val="00641120"/>
    <w:rsid w:val="0064447C"/>
    <w:rsid w:val="00673E5C"/>
    <w:rsid w:val="006849AC"/>
    <w:rsid w:val="006F768A"/>
    <w:rsid w:val="007160B3"/>
    <w:rsid w:val="00720EE6"/>
    <w:rsid w:val="0072377F"/>
    <w:rsid w:val="00724B00"/>
    <w:rsid w:val="00733886"/>
    <w:rsid w:val="00735F00"/>
    <w:rsid w:val="0074087B"/>
    <w:rsid w:val="007605D9"/>
    <w:rsid w:val="007928C7"/>
    <w:rsid w:val="0079555F"/>
    <w:rsid w:val="007A0ED9"/>
    <w:rsid w:val="007C0369"/>
    <w:rsid w:val="007C3C84"/>
    <w:rsid w:val="007C69FC"/>
    <w:rsid w:val="007E0849"/>
    <w:rsid w:val="007E2C7C"/>
    <w:rsid w:val="007E69FB"/>
    <w:rsid w:val="00825655"/>
    <w:rsid w:val="00842D93"/>
    <w:rsid w:val="00843E05"/>
    <w:rsid w:val="00847E04"/>
    <w:rsid w:val="00886F89"/>
    <w:rsid w:val="008C2683"/>
    <w:rsid w:val="008C362D"/>
    <w:rsid w:val="00957970"/>
    <w:rsid w:val="00964ADA"/>
    <w:rsid w:val="00974294"/>
    <w:rsid w:val="009756B1"/>
    <w:rsid w:val="009A62A8"/>
    <w:rsid w:val="009B402F"/>
    <w:rsid w:val="009C2D91"/>
    <w:rsid w:val="009D3B47"/>
    <w:rsid w:val="009F2CBF"/>
    <w:rsid w:val="009F3244"/>
    <w:rsid w:val="00A57EEA"/>
    <w:rsid w:val="00A73104"/>
    <w:rsid w:val="00A76A5F"/>
    <w:rsid w:val="00AA00B2"/>
    <w:rsid w:val="00AA0CF7"/>
    <w:rsid w:val="00AB3213"/>
    <w:rsid w:val="00AC45B3"/>
    <w:rsid w:val="00AD1CF4"/>
    <w:rsid w:val="00AF1E02"/>
    <w:rsid w:val="00B1364F"/>
    <w:rsid w:val="00B253FC"/>
    <w:rsid w:val="00B32E2D"/>
    <w:rsid w:val="00B35696"/>
    <w:rsid w:val="00B472EA"/>
    <w:rsid w:val="00B63CF1"/>
    <w:rsid w:val="00B84C8C"/>
    <w:rsid w:val="00BC7249"/>
    <w:rsid w:val="00BE51A4"/>
    <w:rsid w:val="00BE70A7"/>
    <w:rsid w:val="00C02D8C"/>
    <w:rsid w:val="00C225B6"/>
    <w:rsid w:val="00C23133"/>
    <w:rsid w:val="00C518AD"/>
    <w:rsid w:val="00CA4B9D"/>
    <w:rsid w:val="00CD4F61"/>
    <w:rsid w:val="00CF7FB1"/>
    <w:rsid w:val="00D34EB7"/>
    <w:rsid w:val="00D5582A"/>
    <w:rsid w:val="00D722F4"/>
    <w:rsid w:val="00D94DD1"/>
    <w:rsid w:val="00DA59C4"/>
    <w:rsid w:val="00DC2A1D"/>
    <w:rsid w:val="00DD4117"/>
    <w:rsid w:val="00DE1A73"/>
    <w:rsid w:val="00DE1EFD"/>
    <w:rsid w:val="00DE4887"/>
    <w:rsid w:val="00E07E2C"/>
    <w:rsid w:val="00E160CF"/>
    <w:rsid w:val="00E2412D"/>
    <w:rsid w:val="00E31108"/>
    <w:rsid w:val="00E46EC6"/>
    <w:rsid w:val="00E54D14"/>
    <w:rsid w:val="00E83E83"/>
    <w:rsid w:val="00E85299"/>
    <w:rsid w:val="00E93882"/>
    <w:rsid w:val="00EA1CE5"/>
    <w:rsid w:val="00EC2A66"/>
    <w:rsid w:val="00EE4159"/>
    <w:rsid w:val="00EF3F89"/>
    <w:rsid w:val="00F06825"/>
    <w:rsid w:val="00F31FDF"/>
    <w:rsid w:val="00F5202E"/>
    <w:rsid w:val="00F642F1"/>
    <w:rsid w:val="00FB577C"/>
    <w:rsid w:val="00FC641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401D87"/>
  <w15:docId w15:val="{FFE82168-0E64-4B09-B92B-48566A97D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pPr>
      <w:keepNext/>
    </w:pPr>
    <w:rPr>
      <w:rFonts w:eastAsia="Times New Roman"/>
      <w:color w:val="000000"/>
      <w:kern w:val="2"/>
      <w:sz w:val="24"/>
      <w:szCs w:val="24"/>
      <w:u w:color="000000"/>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customStyle="1" w:styleId="BodyA">
    <w:name w:val="Body A"/>
    <w:pPr>
      <w:keepNext/>
      <w:suppressAutoHyphens/>
    </w:pPr>
    <w:rPr>
      <w:rFonts w:hAnsi="Arial Unicode MS" w:cs="Arial Unicode MS"/>
      <w:color w:val="000000"/>
      <w:kern w:val="2"/>
      <w:sz w:val="24"/>
      <w:szCs w:val="24"/>
      <w:u w:color="000000"/>
      <w:lang w:val="en-US"/>
    </w:rPr>
  </w:style>
  <w:style w:type="character" w:customStyle="1" w:styleId="None">
    <w:name w:val="None"/>
  </w:style>
  <w:style w:type="character" w:customStyle="1" w:styleId="Hyperlink0">
    <w:name w:val="Hyperlink.0"/>
    <w:basedOn w:val="None"/>
    <w:rPr>
      <w:color w:val="000000"/>
      <w:sz w:val="22"/>
      <w:szCs w:val="22"/>
      <w:u w:val="none" w:color="000000"/>
      <w:lang w:val="it-IT"/>
    </w:rPr>
  </w:style>
  <w:style w:type="paragraph" w:customStyle="1" w:styleId="BodyB">
    <w:name w:val="Body B"/>
    <w:pPr>
      <w:keepNext/>
      <w:suppressAutoHyphens/>
    </w:pPr>
    <w:rPr>
      <w:rFonts w:eastAsia="Times New Roman"/>
      <w:color w:val="000000"/>
      <w:kern w:val="2"/>
      <w:sz w:val="24"/>
      <w:szCs w:val="24"/>
      <w:u w:color="000000"/>
    </w:rPr>
  </w:style>
  <w:style w:type="paragraph" w:styleId="NormaleWeb">
    <w:name w:val="Normal (Web)"/>
    <w:pPr>
      <w:keepNext/>
      <w:suppressAutoHyphens/>
      <w:spacing w:before="280" w:after="280"/>
    </w:pPr>
    <w:rPr>
      <w:rFonts w:eastAsia="Times New Roman"/>
      <w:color w:val="000000"/>
      <w:kern w:val="2"/>
      <w:sz w:val="24"/>
      <w:szCs w:val="24"/>
      <w:u w:color="000000"/>
    </w:rPr>
  </w:style>
  <w:style w:type="paragraph" w:customStyle="1" w:styleId="Normale1">
    <w:name w:val="Normale1"/>
    <w:pPr>
      <w:keepNext/>
    </w:pPr>
    <w:rPr>
      <w:rFonts w:eastAsia="Times New Roman"/>
      <w:color w:val="000000"/>
      <w:kern w:val="2"/>
      <w:sz w:val="24"/>
      <w:szCs w:val="24"/>
      <w:u w:color="000000"/>
    </w:rPr>
  </w:style>
  <w:style w:type="paragraph" w:customStyle="1" w:styleId="Normale2">
    <w:name w:val="Normale2"/>
    <w:pPr>
      <w:keepNext/>
    </w:pPr>
    <w:rPr>
      <w:rFonts w:hAnsi="Arial Unicode MS" w:cs="Arial Unicode MS"/>
      <w:color w:val="000000"/>
      <w:kern w:val="2"/>
      <w:sz w:val="24"/>
      <w:szCs w:val="24"/>
      <w:u w:color="000000"/>
      <w:lang w:val="en-US"/>
    </w:rPr>
  </w:style>
  <w:style w:type="character" w:customStyle="1" w:styleId="Hyperlink1">
    <w:name w:val="Hyperlink.1"/>
    <w:basedOn w:val="None"/>
    <w:rPr>
      <w:sz w:val="22"/>
      <w:szCs w:val="22"/>
      <w:u w:val="single" w:color="000000"/>
      <w:lang w:val="en-US"/>
    </w:rPr>
  </w:style>
  <w:style w:type="paragraph" w:customStyle="1" w:styleId="Modulovuoto">
    <w:name w:val="Modulo vuoto"/>
    <w:pPr>
      <w:keepNext/>
    </w:pPr>
    <w:rPr>
      <w:rFonts w:eastAsia="Times New Roman"/>
      <w:color w:val="000000"/>
      <w:kern w:val="2"/>
      <w:sz w:val="24"/>
      <w:szCs w:val="24"/>
      <w:u w:color="000000"/>
    </w:rPr>
  </w:style>
  <w:style w:type="paragraph" w:customStyle="1" w:styleId="TableHeading">
    <w:name w:val="Table Heading"/>
    <w:pPr>
      <w:keepNext/>
    </w:pPr>
    <w:rPr>
      <w:rFonts w:hAnsi="Arial Unicode MS" w:cs="Arial Unicode MS"/>
      <w:color w:val="000000"/>
      <w:kern w:val="2"/>
      <w:sz w:val="24"/>
      <w:szCs w:val="24"/>
      <w:u w:color="000000"/>
      <w:lang w:val="en-US"/>
    </w:rPr>
  </w:style>
  <w:style w:type="paragraph" w:customStyle="1" w:styleId="TableContents">
    <w:name w:val="Table Contents"/>
    <w:pPr>
      <w:keepNext/>
    </w:pPr>
    <w:rPr>
      <w:rFonts w:hAnsi="Arial Unicode MS" w:cs="Arial Unicode MS"/>
      <w:color w:val="000000"/>
      <w:kern w:val="2"/>
      <w:sz w:val="24"/>
      <w:szCs w:val="24"/>
      <w:u w:color="000000"/>
      <w:lang w:val="en-US"/>
    </w:rPr>
  </w:style>
  <w:style w:type="paragraph" w:customStyle="1" w:styleId="Default">
    <w:name w:val="Default"/>
    <w:rPr>
      <w:rFonts w:ascii="Helvetica" w:eastAsia="Helvetica" w:hAnsi="Helvetica" w:cs="Helvetica"/>
      <w:color w:val="000000"/>
      <w:sz w:val="22"/>
      <w:szCs w:val="22"/>
    </w:rPr>
  </w:style>
  <w:style w:type="paragraph" w:styleId="Testocommento">
    <w:name w:val="annotation text"/>
    <w:basedOn w:val="Normale"/>
    <w:link w:val="TestocommentoCarattere"/>
    <w:uiPriority w:val="99"/>
    <w:semiHidden/>
    <w:unhideWhenUsed/>
    <w:rPr>
      <w:sz w:val="20"/>
      <w:szCs w:val="20"/>
    </w:rPr>
  </w:style>
  <w:style w:type="character" w:customStyle="1" w:styleId="TestocommentoCarattere">
    <w:name w:val="Testo commento Carattere"/>
    <w:basedOn w:val="Carpredefinitoparagrafo"/>
    <w:link w:val="Testocommento"/>
    <w:uiPriority w:val="99"/>
    <w:semiHidden/>
    <w:rPr>
      <w:rFonts w:eastAsia="Times New Roman"/>
      <w:color w:val="000000"/>
      <w:kern w:val="2"/>
      <w:u w:color="000000"/>
      <w:lang w:val="en-US" w:eastAsia="en-US"/>
    </w:rPr>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e"/>
    <w:link w:val="TestofumettoCarattere"/>
    <w:uiPriority w:val="99"/>
    <w:semiHidden/>
    <w:unhideWhenUsed/>
    <w:rsid w:val="00B1364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1364F"/>
    <w:rPr>
      <w:rFonts w:ascii="Segoe UI" w:eastAsia="Times New Roman" w:hAnsi="Segoe UI" w:cs="Segoe UI"/>
      <w:color w:val="000000"/>
      <w:kern w:val="2"/>
      <w:sz w:val="18"/>
      <w:szCs w:val="18"/>
      <w:u w:color="000000"/>
      <w:lang w:val="en-US" w:eastAsia="en-US"/>
    </w:rPr>
  </w:style>
  <w:style w:type="paragraph" w:styleId="Soggettocommento">
    <w:name w:val="annotation subject"/>
    <w:basedOn w:val="Testocommento"/>
    <w:next w:val="Testocommento"/>
    <w:link w:val="SoggettocommentoCarattere"/>
    <w:uiPriority w:val="99"/>
    <w:semiHidden/>
    <w:unhideWhenUsed/>
    <w:rsid w:val="00464F79"/>
    <w:rPr>
      <w:b/>
      <w:bCs/>
    </w:rPr>
  </w:style>
  <w:style w:type="character" w:customStyle="1" w:styleId="SoggettocommentoCarattere">
    <w:name w:val="Soggetto commento Carattere"/>
    <w:basedOn w:val="TestocommentoCarattere"/>
    <w:link w:val="Soggettocommento"/>
    <w:uiPriority w:val="99"/>
    <w:semiHidden/>
    <w:rsid w:val="00464F79"/>
    <w:rPr>
      <w:rFonts w:eastAsia="Times New Roman"/>
      <w:b/>
      <w:bCs/>
      <w:color w:val="000000"/>
      <w:kern w:val="2"/>
      <w:u w:color="000000"/>
      <w:lang w:val="en-US" w:eastAsia="en-US"/>
    </w:rPr>
  </w:style>
  <w:style w:type="paragraph" w:styleId="Revisione">
    <w:name w:val="Revision"/>
    <w:hidden/>
    <w:uiPriority w:val="99"/>
    <w:semiHidden/>
    <w:rsid w:val="00464F79"/>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color w:val="000000"/>
      <w:kern w:val="2"/>
      <w:sz w:val="24"/>
      <w:szCs w:val="24"/>
      <w:u w:color="000000"/>
      <w:lang w:val="en-US" w:eastAsia="en-US"/>
    </w:rPr>
  </w:style>
  <w:style w:type="character" w:styleId="Collegamentovisitato">
    <w:name w:val="FollowedHyperlink"/>
    <w:basedOn w:val="Carpredefinitoparagrafo"/>
    <w:uiPriority w:val="99"/>
    <w:semiHidden/>
    <w:unhideWhenUsed/>
    <w:rsid w:val="0037254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ti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imagej.nih.gov/ij/" TargetMode="Externa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D14247-E301-C34F-8163-AC95789CE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40335</Words>
  <Characters>229912</Characters>
  <Application>Microsoft Office Word</Application>
  <DocSecurity>0</DocSecurity>
  <Lines>1915</Lines>
  <Paragraphs>539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269708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Tullio Genova</dc:creator>
  <cp:lastModifiedBy>Luca Munaron</cp:lastModifiedBy>
  <cp:revision>2</cp:revision>
  <cp:lastPrinted>2019-07-22T07:33:00Z</cp:lastPrinted>
  <dcterms:created xsi:type="dcterms:W3CDTF">2021-01-14T08:20:00Z</dcterms:created>
  <dcterms:modified xsi:type="dcterms:W3CDTF">2021-01-14T08:20:00Z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7fe1d5f3-3f3e-3bbf-beaf-92dbe4e2f805</vt:lpwstr>
  </property>
  <property fmtid="{D5CDD505-2E9C-101B-9397-08002B2CF9AE}" pid="4" name="Mendeley Citation Style_1">
    <vt:lpwstr>http://www.zotero.org/styles/applied-surface-science</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http://www.zotero.org/styles/applied-surface-science</vt:lpwstr>
  </property>
  <property fmtid="{D5CDD505-2E9C-101B-9397-08002B2CF9AE}" pid="12" name="Mendeley Recent Style Name 3_1">
    <vt:lpwstr>Applied Surface Science</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Harvard - Cite Them Right 9th edition</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http://www.zotero.org/styles/sage-vancouver-brackets</vt:lpwstr>
  </property>
  <property fmtid="{D5CDD505-2E9C-101B-9397-08002B2CF9AE}" pid="24" name="Mendeley Recent Style Name 9_1">
    <vt:lpwstr>SAGE Vancouver (brackets)</vt:lpwstr>
  </property>
</Properties>
</file>