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7D6CD8" w:rsidRDefault="005961DB">
      <w:pPr>
        <w:spacing w:line="360" w:lineRule="auto"/>
        <w:jc w:val="center"/>
        <w:rPr>
          <w:b/>
        </w:rPr>
      </w:pPr>
      <w:r>
        <w:rPr>
          <w:b/>
          <w:i/>
        </w:rPr>
        <w:t>To mod or not to mod</w:t>
      </w:r>
      <w:r>
        <w:rPr>
          <w:b/>
        </w:rPr>
        <w:t>: when cocreation turns into codestruction</w:t>
      </w:r>
    </w:p>
    <w:p w14:paraId="00000002" w14:textId="77777777" w:rsidR="007D6CD8" w:rsidRDefault="007D6CD8">
      <w:pPr>
        <w:spacing w:line="360" w:lineRule="auto"/>
        <w:jc w:val="center"/>
        <w:rPr>
          <w:b/>
          <w:i/>
        </w:rPr>
      </w:pPr>
    </w:p>
    <w:p w14:paraId="0000000A" w14:textId="77777777" w:rsidR="007D6CD8" w:rsidRDefault="007D6CD8">
      <w:pPr>
        <w:spacing w:line="360" w:lineRule="auto"/>
        <w:jc w:val="both"/>
        <w:rPr>
          <w:b/>
        </w:rPr>
      </w:pPr>
    </w:p>
    <w:p w14:paraId="0000000B" w14:textId="77777777" w:rsidR="007D6CD8" w:rsidRDefault="005961DB">
      <w:pPr>
        <w:numPr>
          <w:ilvl w:val="0"/>
          <w:numId w:val="1"/>
        </w:numPr>
        <w:pBdr>
          <w:top w:val="nil"/>
          <w:left w:val="nil"/>
          <w:bottom w:val="nil"/>
          <w:right w:val="nil"/>
          <w:between w:val="nil"/>
        </w:pBdr>
        <w:spacing w:line="360" w:lineRule="auto"/>
        <w:jc w:val="both"/>
        <w:rPr>
          <w:b/>
          <w:color w:val="000000"/>
        </w:rPr>
      </w:pPr>
      <w:r>
        <w:rPr>
          <w:b/>
          <w:color w:val="000000"/>
        </w:rPr>
        <w:t>Introduction</w:t>
      </w:r>
    </w:p>
    <w:p w14:paraId="0000000C" w14:textId="77777777" w:rsidR="007D6CD8" w:rsidRDefault="005961DB">
      <w:pPr>
        <w:spacing w:line="360" w:lineRule="auto"/>
        <w:ind w:firstLine="567"/>
        <w:jc w:val="both"/>
      </w:pPr>
      <w:r>
        <w:t>The digital transformation has affected start-ups, established incumbents as well as the society overall and has empowered individuals to take an active role in the design of new products and processes (Galindo-Martín et al., 2019). Indeed, disruptive technological innovations have changed the way consumers make decisions and communicate with each other, and has made creativity more accessible to them (Bresciani et al., 2018). The “democratization of innovation” (Von Hippel, 2005) implies the shift in power from firms to consumers in which the latter take a prevailing role over the former in the creation of new products and processes. In this “open innovation model”, consumer involvement in firm business process becomes a strategic imperative with the potential to create an advantage for firms, in terms of what is defined as value cocreation (Vargo and Lusch, 2004; Prahalad and Ramaswamy, 2004). Consumer initiatives may be beneficial in a number of ways; they may lead to reduced R&amp;D efforts and marketing costs (Porter et al., 2011), they may stimulate product life extension, brand equity, customer loyalty enhancement (Cossìo-Silva et al., 2016) and new product development (Hoyer et al., 2010). Such overall consumer empowerment often takes place in online firm-hosted consumer communities, which represent a promising source of creativity outside the firm’s boundaries (Jensen et al., 2014). Indeed, online consumer communities offer advantages not only to consumers who dominate information resources through consumer-generated contents (Hung et al., 2011), but also to firms, who gain access to customers’ creativity engaging with them in a cocreation process (Dahan and Haconsumer, 2002). Consumer innovation studies (von Hippel, 1998, 2005; von Hippel and Kaulartz, 2020) and behavioural research in marketing (Berthon et al., 2007; Robson et al., 2019) theoretically anchor this research.</w:t>
      </w:r>
    </w:p>
    <w:p w14:paraId="0000000D" w14:textId="77777777" w:rsidR="007D6CD8" w:rsidRDefault="005961DB">
      <w:pPr>
        <w:spacing w:line="360" w:lineRule="auto"/>
        <w:ind w:firstLine="567"/>
        <w:jc w:val="both"/>
      </w:pPr>
      <w:r>
        <w:t xml:space="preserve">While some authors emphasize the positive aspects of cocreation and mainly explain the interactive creation process in an unproblematic way (Vargo and Lusch, 2004; Prahalad and Ramaswamy, 2004, Payne et al., 2008), others report the “dark side of cocreation” (Heidenreich et al., 2014; Gebauer et al., 2013). The dark side of cocreation occurs when the interaction and its outcome are perceived as unfair or unsatisfactory and lead to dysfunctional attitudes in the actors who participate in the process. Potential or actual conflicts and critical incidents within the firm-consumers relationship may imply </w:t>
      </w:r>
      <w:r>
        <w:rPr>
          <w:i/>
        </w:rPr>
        <w:t>codestruction</w:t>
      </w:r>
      <w:r>
        <w:t>, an accidental or intentional misuse of resources that translate into a decline in the well-being of at least one of the parts (Plé and Chumpitaz, 2010).</w:t>
      </w:r>
    </w:p>
    <w:p w14:paraId="0000000E" w14:textId="77777777" w:rsidR="007D6CD8" w:rsidRDefault="005961DB">
      <w:pPr>
        <w:spacing w:line="360" w:lineRule="auto"/>
        <w:ind w:firstLine="567"/>
        <w:jc w:val="both"/>
      </w:pPr>
      <w:r>
        <w:t xml:space="preserve">Despite the fact that in the marketing literature cocreation and codestruction may coexist (Smith, 2013), the motivations for engaging in codestruction behaviors have received much less attention than the reasons for cocreation. Consumers involved in cocreation are driven by curiosity, </w:t>
      </w:r>
      <w:r>
        <w:lastRenderedPageBreak/>
        <w:t>dissatisfaction with existing products, intrinsic interest in innovation, access to knowledge and monetary rewards, search for audience and new ideas (Füller, 2010; Constantinides et al., 2015). Distinct social and individual factors facilitate value cocreation activities, including the provision of feedback and the possibility of helping, building relationship and sharing information (Akman et al., 2019). Conversely, codestruction largely depends on consumers’ negative reactions and misbehaviors and occurs when a negative process happens due to failed resource integration (Plé and Chumpitaz, 2010; Vafeas et al., 2016). Previous studies on codestruction have focused on specific case studies (Echeverri and Skalen, 2011; Smith 2013; Vartiainen and Tuunanen, 2016) and on offline contexts (Harris and Ogbonna, 2006). Yet, the distinctive strength of the consumer innovation phenomenon lies in the ease with which individuals and firms are connected. By enhancing the opportunities for firm-consumer interaction and consumer cooperation, the widespread deployment of the Internet has preset the ideal conditions for both cocreation and codestruction.</w:t>
      </w:r>
    </w:p>
    <w:p w14:paraId="0000000F" w14:textId="77777777" w:rsidR="007D6CD8" w:rsidRDefault="005961DB">
      <w:pPr>
        <w:spacing w:line="360" w:lineRule="auto"/>
        <w:ind w:firstLine="567"/>
        <w:jc w:val="both"/>
      </w:pPr>
      <w:r>
        <w:t xml:space="preserve">Being the greater diffusion of knowledge the main driver of innovation, some sectors, namely those affected by the digital transformation, are by nature more suitable than others to be concerned by networked value cocreation or codestruction. This study aims at </w:t>
      </w:r>
      <w:r>
        <w:rPr>
          <w:rFonts w:ascii="Times" w:eastAsia="Times" w:hAnsi="Times" w:cs="Times"/>
        </w:rPr>
        <w:t>enhancing the understanding of what drives value cocreation and codestruction when consumers-producers are involved in online communities.</w:t>
      </w:r>
    </w:p>
    <w:p w14:paraId="00000010" w14:textId="77777777" w:rsidR="007D6CD8" w:rsidRDefault="005961DB">
      <w:pPr>
        <w:spacing w:line="360" w:lineRule="auto"/>
        <w:ind w:firstLine="567"/>
        <w:jc w:val="both"/>
        <w:rPr>
          <w:rFonts w:ascii="Times" w:eastAsia="Times" w:hAnsi="Times" w:cs="Times"/>
        </w:rPr>
      </w:pPr>
      <w:r>
        <w:t>To this purpose, the study takes the perspective of consumers as a source of innovation in a suitable empirical context, that of complementary modifications of video games, or “mods”. By modding, consumers (called “modders”) contributes to the already high degree of innovation of the video games sector and make their consumer-generated complements available through vibrant online communities. While consumer motivations for playing have been investigated by researchers in multiple disciplines, including media psychology, communications, and computer science, a comprehensive understanding of consumers' participation in games requires additional research and knowledge integration (Marchand and Hennig-Thurau, 2013), especially when their involvement concerns both the game consumption and the complements production. Recent research has shown that consumers’ motives to create new complements depend on the number of modders (</w:t>
      </w:r>
      <w:r>
        <w:rPr>
          <w:rFonts w:ascii="Times" w:eastAsia="Times" w:hAnsi="Times" w:cs="Times"/>
        </w:rPr>
        <w:t>Boudreau and Jeppesen, 2015) and of available mods (Wu et al., 2013) in a non-monotonic way (Abrate and Menozzi, 2020). This paper marks a step forward in respect to the previous researches by adopting</w:t>
      </w:r>
      <w:r>
        <w:t xml:space="preserve"> a sequential transformative mixed-method approach (Creswell et al., 2003) which includes, first, </w:t>
      </w:r>
      <w:r>
        <w:rPr>
          <w:rFonts w:ascii="Times" w:eastAsia="Times" w:hAnsi="Times" w:cs="Times"/>
        </w:rPr>
        <w:t>a quantitative analysis of factors that, in addition to the mere quantity of available mods, affect consumer innovation and, second,</w:t>
      </w:r>
      <w:r>
        <w:t xml:space="preserve"> </w:t>
      </w:r>
      <w:r>
        <w:rPr>
          <w:rFonts w:ascii="Times" w:eastAsia="Times" w:hAnsi="Times" w:cs="Times"/>
        </w:rPr>
        <w:t xml:space="preserve">a netnographic analysis that </w:t>
      </w:r>
      <w:r>
        <w:t>uncovers consumers’ motives for the decline of consumer innovation</w:t>
      </w:r>
      <w:r>
        <w:rPr>
          <w:rFonts w:ascii="Times" w:eastAsia="Times" w:hAnsi="Times" w:cs="Times"/>
        </w:rPr>
        <w:t>.</w:t>
      </w:r>
    </w:p>
    <w:p w14:paraId="00000011" w14:textId="77777777" w:rsidR="007D6CD8" w:rsidRDefault="005961DB">
      <w:pPr>
        <w:spacing w:line="360" w:lineRule="auto"/>
        <w:ind w:firstLine="567"/>
        <w:jc w:val="both"/>
      </w:pPr>
      <w:r>
        <w:t xml:space="preserve">Having provided the rationale and the positioning of the study, the remaining of the paper is structured as follows. The upcoming section discusses the relevant literature on consumer-generated </w:t>
      </w:r>
      <w:r>
        <w:lastRenderedPageBreak/>
        <w:t xml:space="preserve">contents and, in particular, the co-creation and co-destruction phenomena and it introduces the research hypotheses and the qualitative research question; the following section describes the empirical context of both the quantitative and qualitative studies, that of video games and their consumer-generated mods. The subsequent section describes the methodology adopted for the studies, by first illustrating the quantitative analysis (including the data, the variables, the empirical model, the methodology and the estimation results), and then introducing the qualitative study, which utilizes netnography to uncover modders’ motives for the decline in the creation of mods. Findings offer a novel contribution to the cocreation and codestruction literature. First, results of the quantitative analysis show that the incentives to incrementally contribute to product innovation diminish as the competition in the crowd becomes fiercer, as signaled by the quality of mods already made available. Second, results of the qualitative analysis unveil that a process of value codestruction affects modders innovation community when modders perceive misbehaviours within the community itself, in terms of </w:t>
      </w:r>
      <w:r>
        <w:rPr>
          <w:i/>
        </w:rPr>
        <w:t>lack of support</w:t>
      </w:r>
      <w:r>
        <w:t>,</w:t>
      </w:r>
      <w:r>
        <w:rPr>
          <w:i/>
        </w:rPr>
        <w:t xml:space="preserve"> content appropriation, planned obsolescence, stealing, fierce competition, toxic behaviours, moddaholic (addiction to modding) and exploitation</w:t>
      </w:r>
      <w:r>
        <w:t>. Such misbehaviours are the cause of strong feelings of distrust, frustration, anger and demotivation, which lead modders to stop creating innovative contents for the community. Emergent discussion and conclusion finally outline the theoretical and managerial implications, including limitations and avenues for future research.</w:t>
      </w:r>
    </w:p>
    <w:p w14:paraId="00000013" w14:textId="77777777" w:rsidR="007D6CD8" w:rsidRDefault="007D6CD8">
      <w:pPr>
        <w:spacing w:line="360" w:lineRule="auto"/>
        <w:ind w:firstLine="567"/>
        <w:jc w:val="both"/>
      </w:pPr>
    </w:p>
    <w:p w14:paraId="00000014" w14:textId="77777777" w:rsidR="007D6CD8" w:rsidRDefault="005961DB">
      <w:pPr>
        <w:numPr>
          <w:ilvl w:val="0"/>
          <w:numId w:val="1"/>
        </w:numPr>
        <w:pBdr>
          <w:top w:val="nil"/>
          <w:left w:val="nil"/>
          <w:bottom w:val="nil"/>
          <w:right w:val="nil"/>
          <w:between w:val="nil"/>
        </w:pBdr>
        <w:spacing w:line="360" w:lineRule="auto"/>
        <w:jc w:val="both"/>
        <w:rPr>
          <w:b/>
          <w:color w:val="000000"/>
        </w:rPr>
      </w:pPr>
      <w:r>
        <w:rPr>
          <w:b/>
          <w:color w:val="000000"/>
        </w:rPr>
        <w:t>Theory and hypotheses development</w:t>
      </w:r>
    </w:p>
    <w:p w14:paraId="00000015" w14:textId="77777777" w:rsidR="007D6CD8" w:rsidRDefault="005961DB">
      <w:pPr>
        <w:numPr>
          <w:ilvl w:val="1"/>
          <w:numId w:val="1"/>
        </w:numPr>
        <w:pBdr>
          <w:top w:val="nil"/>
          <w:left w:val="nil"/>
          <w:bottom w:val="nil"/>
          <w:right w:val="nil"/>
          <w:between w:val="nil"/>
        </w:pBdr>
        <w:spacing w:line="360" w:lineRule="auto"/>
        <w:jc w:val="both"/>
        <w:rPr>
          <w:b/>
          <w:color w:val="000000"/>
        </w:rPr>
      </w:pPr>
      <w:r>
        <w:rPr>
          <w:b/>
          <w:color w:val="000000"/>
        </w:rPr>
        <w:t xml:space="preserve"> Creative Consumer-Generated Content in Marketing Research</w:t>
      </w:r>
    </w:p>
    <w:p w14:paraId="00000016" w14:textId="77777777" w:rsidR="007D6CD8" w:rsidRDefault="005961DB">
      <w:pPr>
        <w:pBdr>
          <w:top w:val="nil"/>
          <w:left w:val="nil"/>
          <w:bottom w:val="nil"/>
          <w:right w:val="nil"/>
          <w:between w:val="nil"/>
        </w:pBdr>
        <w:spacing w:line="360" w:lineRule="auto"/>
        <w:ind w:firstLine="567"/>
        <w:jc w:val="both"/>
      </w:pPr>
      <w:r>
        <w:t>The recent rise in Consumer-Generated Content (CGC) is dramatically reshaping the marketing landscape. Consumers are no longer happy with only selecting and using a company’s products; they want to contribute to the development and promotion of commercial offerings (O’Hern and Rindfleisch, 2010; von Hippel 2005). This approach embraces the view according to which consumers are characterized by having creative resources instead of unmet needs. Berthon et al. (2007) define the creative consumer as an individual or group who adapts, modifies, or transforms a specific offering, such as a product or service. Early research focused on the individual innovative consumer (e.g. Kristensson et al., 2004; von Hippel, 2001) considered in their ability to offer original, valuable, and realizable ideas leading to successful innovation.</w:t>
      </w:r>
    </w:p>
    <w:p w14:paraId="00000017" w14:textId="77777777" w:rsidR="007D6CD8" w:rsidRDefault="005961DB">
      <w:pPr>
        <w:pBdr>
          <w:top w:val="nil"/>
          <w:left w:val="nil"/>
          <w:bottom w:val="nil"/>
          <w:right w:val="nil"/>
          <w:between w:val="nil"/>
        </w:pBdr>
        <w:spacing w:line="360" w:lineRule="auto"/>
        <w:ind w:firstLine="567"/>
        <w:jc w:val="both"/>
      </w:pPr>
      <w:r>
        <w:t xml:space="preserve">Research shifted then toward exploring distinctive groups of customers, the community as a system of peers (e.g. Jeppesen, 2005) or a mass crowd of customers (e.g. Füller et al., 2008). Studies on community-based innovation (Nambisan and Baron, 2010, among others) stress the opportunities provided by the social and experiential dimensions of communal platforms and develop the principles of “collective intelligence” (Ebner et al., 2009), “wisdom of crowds” (Surowiecki, 2004) and </w:t>
      </w:r>
      <w:r>
        <w:lastRenderedPageBreak/>
        <w:t>“crowdsourcing innovation” (Howe, 2008). These principles increasingly affirm the power of large groups of people to feed innovation and unleash creativity. The key element of this perspective is the newly empowered and connected customer who harnesses new technological developments (i.e. the Internet) to become more involved in and exert greater control over the company’s innovations (Labrecque et al., 2013; Sawhney et al., 2005). Following Poster (2005), we can define CGC as the aggregation of consumers’ content on the Internet and consists in the digital transformation of objects to generate written sounds, text, and images (Poster, 2005). Mobile technology and data infrastructure allow for ubiquitous and nearly instant access to information and resources and creative consumers are the dynamos of this new media world and the new locus of value in Web 2.0 (Berthon et al., 2012).</w:t>
      </w:r>
    </w:p>
    <w:p w14:paraId="00000018" w14:textId="77777777" w:rsidR="007D6CD8" w:rsidRDefault="005961DB">
      <w:pPr>
        <w:pBdr>
          <w:top w:val="nil"/>
          <w:left w:val="nil"/>
          <w:bottom w:val="nil"/>
          <w:right w:val="nil"/>
          <w:between w:val="nil"/>
        </w:pBdr>
        <w:spacing w:line="360" w:lineRule="auto"/>
        <w:ind w:firstLine="567"/>
        <w:jc w:val="both"/>
      </w:pPr>
      <w:r>
        <w:t xml:space="preserve">Recently, most scholars have focused their attention on the impact of CGC on several marketing outcomes (Li and Hitt, 2008; Moe and Trusov, 2011). </w:t>
      </w:r>
      <w:r>
        <w:rPr>
          <w:rFonts w:ascii="Times" w:eastAsia="Times" w:hAnsi="Times" w:cs="Times"/>
        </w:rPr>
        <w:t xml:space="preserve">When consumers contribute to the product development process by offering user-generated complements and making them freely available to other customers through the Internet, consumer’s adoption decision depends on the future supply of compatible components (Katz and Shapiro, 1985). As a consequence, the product’s value stems from the volume and diversity of compatible complements and the availability of CGC would eventually translate into higher sales of the firm product (Gawer and Cusumano, 2014). Likewise, the demand for complements increases with the supply of the firm good, which stimulates the creation of a greater variety of CGC or of contents of high quality (under the common assumption that the production of CGC generates economies of scale or learning-by-doing). </w:t>
      </w:r>
      <w:r>
        <w:t>Consumers also influence marketing activities by creating and disseminating advertising (Shenkan and Sichel, 2007). CGC may, indeed, generate promotion for a given product through e-word of mouth and thus increase sales (Godes and Mayzlin, 2004; Mayzlin, 2006; Li and Hitt, 2008; Dhar and Chang, 2009) and firms can, furthermore, capitalize the online feedback on social media to drive innovation (Muninger et al., 2019). Indeed, recognizing and utilizing creative CGC is a form of outsourcing of different marketing processes, from market research to the ideation of communication campaigns (Berthon et al., 2012).</w:t>
      </w:r>
    </w:p>
    <w:p w14:paraId="00000019" w14:textId="77777777" w:rsidR="007D6CD8" w:rsidRDefault="007D6CD8">
      <w:pPr>
        <w:pBdr>
          <w:top w:val="nil"/>
          <w:left w:val="nil"/>
          <w:bottom w:val="nil"/>
          <w:right w:val="nil"/>
          <w:between w:val="nil"/>
        </w:pBdr>
        <w:spacing w:line="360" w:lineRule="auto"/>
        <w:ind w:firstLine="567"/>
        <w:jc w:val="both"/>
        <w:rPr>
          <w:b/>
        </w:rPr>
      </w:pPr>
    </w:p>
    <w:p w14:paraId="0000001A" w14:textId="77777777" w:rsidR="007D6CD8" w:rsidRDefault="005961DB">
      <w:pPr>
        <w:numPr>
          <w:ilvl w:val="1"/>
          <w:numId w:val="1"/>
        </w:numPr>
        <w:pBdr>
          <w:top w:val="nil"/>
          <w:left w:val="nil"/>
          <w:bottom w:val="nil"/>
          <w:right w:val="nil"/>
          <w:between w:val="nil"/>
        </w:pBdr>
        <w:spacing w:line="360" w:lineRule="auto"/>
        <w:jc w:val="both"/>
        <w:rPr>
          <w:b/>
          <w:color w:val="000000"/>
        </w:rPr>
      </w:pPr>
      <w:r>
        <w:rPr>
          <w:b/>
          <w:color w:val="000000"/>
        </w:rPr>
        <w:t>Consumer Cocreation and Codestruction</w:t>
      </w:r>
    </w:p>
    <w:p w14:paraId="0000001B" w14:textId="77777777" w:rsidR="007D6CD8" w:rsidRDefault="005961DB">
      <w:pPr>
        <w:spacing w:line="360" w:lineRule="auto"/>
        <w:ind w:firstLine="567"/>
        <w:jc w:val="both"/>
      </w:pPr>
      <w:r>
        <w:t xml:space="preserve">Cocreation has been proposed as the practice of product or service creation that is collaboratively executed, by both the company and the consumer, at multiple points of interaction within experience environments, to create mutual value (Prahalad and Ramaswamy, 2004). By taking Pera’s perspective (2018), the explanatory power of cocreation resides in the generation of original, innovative outcomes, being creative by definition. Research has mainly given a positive meaning to the process, interpreting consumer engagement and interaction mainly in an unproblematic way (Vargo and Lusch, 2004; Prahalad and Ramaswamy, 2004). Such studies assume that cocreation is </w:t>
      </w:r>
      <w:r>
        <w:lastRenderedPageBreak/>
        <w:t>an enjoyable, beneficial, harmonious process free from conflicts. Cocreation that occurs in communities is fostered by communal notions of membership formation, enculturation, shared values, ideology and the shared base of grounded knowledge (Kozinets et al., 2008). Community-based creativity helps consumers express their selves through creative collaboration (Kale, 2004). According to this positive interpretation of cocreation, prosocial behaviors are needed for the community to endure. A prosocial behaviour refers to individuals' tendency to undertake voluntary actions aimed at benefiting others, such as sharing, donating, caring, comforting, and helping (Steca, 2007).</w:t>
      </w:r>
    </w:p>
    <w:p w14:paraId="0000001C" w14:textId="77777777" w:rsidR="007D6CD8" w:rsidRDefault="005961DB">
      <w:pPr>
        <w:spacing w:line="360" w:lineRule="auto"/>
        <w:ind w:firstLine="708"/>
        <w:jc w:val="both"/>
      </w:pPr>
      <w:r>
        <w:t>Useful insights come from the literature on consumer innovation in the digital environment. In open-source software communities, individual developers freely share their creations, motivated by the desire to signal their ability to potential employers or to gratify their ego (Lerner and Tirole, 2002). Innovators’ attitude highly depends on the size of the community. Indeed, their motives to contribute increases as the community becomes larger because a broader network of peers and firms provides greater opportunities for cocreation and personal recognition. At the same time, tough, a vast community may deter innovation because of the increased complexity in the resource integration process and the harsher competition that innovators face (Boudreau and Jeppesen, 2015). Abrate and Menozzi (2020) show that, in consumer communities, innovation increases with the size of the community itself up to a certain threshold and decreases afterwards, following a non-monotonic pattern. Consumers producers take advantage of the relationships built with other innovators and potential partners when their number facilitates a fruitful interaction and improve both their consumer experience and innovation opportunities, thus enhancing cocreation. The value increasing attitude stops when consumers innovators are involved in large communities in which getting recognition and being visible is difficult and the chances of unfairness and misbehavior, or codestruction, are higher. In addition, competition is affected by the quality of innovation (Cennamo, 2018). The quality of goods and their complements contributes to the overall value created through the interaction between consumer and producers and captures the benefit that customers derive from consuming the good. Such benefit is often unknown (and producers cannot leverage it) until the product is in the hands of the costumer (Binken &amp; Stremersch, 2009). In case of CGC, though, producers are also consumers, and the information is used to assess the level of competition, which is fiercer the higher the quality of consumer innovation.</w:t>
      </w:r>
    </w:p>
    <w:p w14:paraId="0000001D" w14:textId="77777777" w:rsidR="007D6CD8" w:rsidRDefault="005961DB">
      <w:pPr>
        <w:spacing w:line="360" w:lineRule="auto"/>
        <w:ind w:firstLine="708"/>
        <w:jc w:val="both"/>
      </w:pPr>
      <w:r>
        <w:t>We then formulate the following hypotheses:</w:t>
      </w:r>
    </w:p>
    <w:p w14:paraId="0000001E" w14:textId="77777777" w:rsidR="007D6CD8" w:rsidRDefault="007D6CD8">
      <w:pPr>
        <w:spacing w:line="360" w:lineRule="auto"/>
        <w:ind w:firstLine="708"/>
        <w:jc w:val="both"/>
      </w:pPr>
    </w:p>
    <w:p w14:paraId="0000001F" w14:textId="77777777" w:rsidR="007D6CD8" w:rsidRDefault="005961DB">
      <w:pPr>
        <w:spacing w:line="360" w:lineRule="auto"/>
        <w:ind w:firstLine="708"/>
        <w:jc w:val="both"/>
      </w:pPr>
      <w:r>
        <w:t>H1a: The number of existing CGC has a positive impact on the generation of new CGC up to a certain threshold, but a negative one beyond that threshold;</w:t>
      </w:r>
    </w:p>
    <w:p w14:paraId="00000020" w14:textId="77777777" w:rsidR="007D6CD8" w:rsidRDefault="005961DB">
      <w:pPr>
        <w:spacing w:line="360" w:lineRule="auto"/>
        <w:ind w:firstLine="708"/>
        <w:jc w:val="both"/>
      </w:pPr>
      <w:r>
        <w:t>H1b: The quality of existing CGC has a negative impact on the generation of new CGC.</w:t>
      </w:r>
    </w:p>
    <w:p w14:paraId="00000021" w14:textId="77777777" w:rsidR="007D6CD8" w:rsidRDefault="007D6CD8">
      <w:pPr>
        <w:spacing w:line="360" w:lineRule="auto"/>
        <w:ind w:firstLine="708"/>
        <w:jc w:val="both"/>
      </w:pPr>
    </w:p>
    <w:p w14:paraId="00000022" w14:textId="77777777" w:rsidR="007D6CD8" w:rsidRDefault="005961DB">
      <w:pPr>
        <w:spacing w:line="360" w:lineRule="auto"/>
        <w:ind w:firstLine="708"/>
        <w:jc w:val="both"/>
      </w:pPr>
      <w:r>
        <w:t>Unfortunately, the interactions amongst consumers and producers may not always generate value. Recently, the service literature, in particular, has started to recognize that a duality may exist: if, on one side, value creation may occur, on the other side also codestruction, as the opposite phenomenon to cocreation, can take place, and both phenomena may happen simultaneously (Heidenreich et al., 2014; Smith, 2013). Value codestruction refers to a negative interaction process that can happen due to failed resource integration (Plé and Chumpitaz, 2010; Vafeas et al., 2016). Codestruction can be intentional or unintentional, depending on the motivations and the action of the environment. Exploring resource loss from the customer perspective, Smith (2013) identifies it in terms of loss of material, self-related and social resources, energies, leisure and hope, caused by organizations misusing their own, and customer, resources. Consequences of resource loss include negative emotions (anger, disappointment, anxiety) and negative behaviour (switching, negative word of mouth, complaining). Thus, value codestruction closely connects to value cocreation, which as well refers to a resource integration process between the producer and the customer. In the same direction, when referring to value cocreation, Gebauer et al. (2013) talks about the “dark side of cocreation”, unfolding that perceived unfairness and dis-/satisfaction with the outcome can cause negative reactions and negative emotions of participants. Taking this perspective forward, to examining the ways consumer misbehaviours may destroy value, requires defining what misbehaviours are conceived in marketing. Consumer misbehaviours are undesirable acts of consumers, and deviant or aberrant customer behaviours refer to the violation of social norms in consumption situations. Such misbehavior destroys value generally causing problems for the organization (e.g. shoplifting), service employees (e.g. verbal abuse of employees), marketer merchandise, marketer’s financial assets (e.g. warranty fraud), marketers’ physical or electronic premises (e.g. vandalism) and other consumers (e.g. jumping queues) (Fullerton and Punj, 2004).</w:t>
      </w:r>
    </w:p>
    <w:p w14:paraId="00000023" w14:textId="77777777" w:rsidR="007D6CD8" w:rsidRDefault="005961DB">
      <w:pPr>
        <w:spacing w:line="360" w:lineRule="auto"/>
        <w:ind w:firstLine="708"/>
        <w:jc w:val="both"/>
      </w:pPr>
      <w:r>
        <w:t xml:space="preserve">While the service literature has started to offer a conceptualization of value codestruction, research on value codestruction in the particular domain of consumer innovation communities is scant. Indeed, previous contributions have focused on specific case studies or on qualitative methods of analysis, which do not guarantee a generalizability of results (Echeverri and Skalen, 2011, for the Swedish public transport case; Smith 2013, for the qualitative critical incident approach, and Vartiainen and Tuunanen, 2016, concerning an Information System artifact). In addition, the above studies do not explain the motivations behind engagement behaviors in an interactive value formation process. Moreover, research on value codestruction has focused on offline contexts (as in the literature mentioned above), whereas consumer interaction with peers and firms emerges at its maximum extent in the networked economy surrounding the digital environment and especially within the online communities of users. In these circles, the interaction between multiple actors with </w:t>
      </w:r>
      <w:r>
        <w:lastRenderedPageBreak/>
        <w:t>different and possibly conflicting views might lead to innovation, or cocreation, as well as to value codestruction.</w:t>
      </w:r>
    </w:p>
    <w:p w14:paraId="00000024" w14:textId="77777777" w:rsidR="007D6CD8" w:rsidRDefault="005961DB">
      <w:pPr>
        <w:spacing w:line="360" w:lineRule="auto"/>
        <w:ind w:firstLine="708"/>
        <w:jc w:val="both"/>
      </w:pPr>
      <w:r>
        <w:t>Tackling the issue of online codestruction, our qualitative work focuses on the perceptions and reasons that lead consumers to value codestruction. Specifically, our study addresses the following research question:</w:t>
      </w:r>
    </w:p>
    <w:p w14:paraId="00000025" w14:textId="77777777" w:rsidR="007D6CD8" w:rsidRDefault="005961DB">
      <w:pPr>
        <w:spacing w:line="360" w:lineRule="auto"/>
        <w:ind w:firstLine="708"/>
        <w:jc w:val="both"/>
      </w:pPr>
      <w:r>
        <w:t>Research Question: Why consumers of online game communities stop cocreating, at the best, or why they start to enact misbehaviours, at the worst?</w:t>
      </w:r>
    </w:p>
    <w:p w14:paraId="00000026" w14:textId="77777777" w:rsidR="007D6CD8" w:rsidRDefault="007D6CD8">
      <w:pPr>
        <w:spacing w:line="360" w:lineRule="auto"/>
        <w:jc w:val="both"/>
      </w:pPr>
    </w:p>
    <w:p w14:paraId="00000028" w14:textId="77777777" w:rsidR="007D6CD8" w:rsidRDefault="005961DB">
      <w:pPr>
        <w:numPr>
          <w:ilvl w:val="0"/>
          <w:numId w:val="1"/>
        </w:numPr>
        <w:pBdr>
          <w:top w:val="nil"/>
          <w:left w:val="nil"/>
          <w:bottom w:val="nil"/>
          <w:right w:val="nil"/>
          <w:between w:val="nil"/>
        </w:pBdr>
        <w:spacing w:line="360" w:lineRule="auto"/>
        <w:jc w:val="both"/>
        <w:rPr>
          <w:b/>
          <w:color w:val="000000"/>
        </w:rPr>
      </w:pPr>
      <w:r>
        <w:rPr>
          <w:b/>
          <w:color w:val="000000"/>
        </w:rPr>
        <w:t>Empirical context: the video game industry</w:t>
      </w:r>
    </w:p>
    <w:p w14:paraId="00000029" w14:textId="77777777" w:rsidR="007D6CD8" w:rsidRDefault="005961DB">
      <w:pPr>
        <w:pBdr>
          <w:top w:val="nil"/>
          <w:left w:val="nil"/>
          <w:bottom w:val="nil"/>
          <w:right w:val="nil"/>
          <w:between w:val="nil"/>
        </w:pBdr>
        <w:spacing w:line="360" w:lineRule="auto"/>
        <w:ind w:firstLine="567"/>
        <w:jc w:val="both"/>
      </w:pPr>
      <w:r>
        <w:t>From a consumer behaviour point of view, online video games represent a social environment in which people make new friends, help each other, and communicate with each other (Manninen, 2003; Zhong, 2011; Leavitt et al., 2016). Online video games stimulate a strong relationship among the members of what can be seen as a community embedded within a social system (Zhong, 2009; Hsiao and Chiou, 2012). Within the online community, individuals interact with each other and adopt a wide range of social behaviours (Cole and Griffiths, 2007) and consumers influence an individual's decisions and the value that he or she derives from games through communicative or behavioral recommendations (Marchand and Hennig-Thurau, 2013). Online games, in general, are proposed as representative examples of prosocial behaviour in cyberspace (Wang and Wang, 2008) and prosocial behaviours are themselves considered an important motivation for playing and part of game community building. A “prosocial” behavior indicates a helpful and friendly attitude (Wang and Wang, 2008) and refers to “individuals’ tendency to undertake voluntary actions aimed at benefiting others, such as sharing, donating, caring, comforting, and helping” (Steca, 2007).</w:t>
      </w:r>
    </w:p>
    <w:p w14:paraId="0000002A" w14:textId="77777777" w:rsidR="007D6CD8" w:rsidRDefault="005961DB">
      <w:pPr>
        <w:pBdr>
          <w:top w:val="nil"/>
          <w:left w:val="nil"/>
          <w:bottom w:val="nil"/>
          <w:right w:val="nil"/>
          <w:between w:val="nil"/>
        </w:pBdr>
        <w:spacing w:line="360" w:lineRule="auto"/>
        <w:ind w:firstLine="567"/>
        <w:jc w:val="both"/>
      </w:pPr>
      <w:r>
        <w:t>When game features support social interaction and cooperation, players are not just consumers but also creators of virtual worlds (Marchand, 2016), such that the games constitute cocreated narratives (Buchanan-Oliver and Seo, 2012). The consumption experience amplifies through the inclusion of other players, who become part of the social servicescape (Tombs &amp; McColl-Kennedy, 2003). Examples of such features and social environments are those offered by massively multiplayer online games or by the communities of “modders”.</w:t>
      </w:r>
    </w:p>
    <w:p w14:paraId="0000002B" w14:textId="77777777" w:rsidR="007D6CD8" w:rsidRDefault="005961DB">
      <w:pPr>
        <w:pBdr>
          <w:top w:val="nil"/>
          <w:left w:val="nil"/>
          <w:bottom w:val="nil"/>
          <w:right w:val="nil"/>
          <w:between w:val="nil"/>
        </w:pBdr>
        <w:spacing w:line="360" w:lineRule="auto"/>
        <w:ind w:firstLine="567"/>
        <w:jc w:val="both"/>
      </w:pPr>
      <w:r>
        <w:t xml:space="preserve">Modding is the activity of modifying the game in whole or in part to better meet the gamers’ preferences. Consumers, called “modders”, modify the original source code to ameliorate functions not authorized or imagined by the original developer, to respond to their personal preferences or to create entirely different gaming experiences (Münch, 2013). In this specific context, the definition of roles becomes increasingly permeable since, in addition to the company's developer, players may become developers themselves. While a unique classification of mods does not exist, they can be grouped in two macro-categories. The first one includes mods that replace a single element of the </w:t>
      </w:r>
      <w:r>
        <w:lastRenderedPageBreak/>
        <w:t>game with another one, for example a fantasy building with a real one. Sometimes modders don’t really replace the element, but the mod (called “skin”) modify the sight of it as if it were wearing a second skin. The second large macro-class consists of mods that change the entire appearance of the video game and transform every element of it. Once mods are generated, consumers can freely download them from the web as complementary contents to the game’s original version. Although most of the time the process of installing mods is simple, sometimes, when mods are not “user friendly” enough, there might be complications: in these cases the modding communities are typically ready to provide help with numerous guides and tutorials.</w:t>
      </w:r>
    </w:p>
    <w:p w14:paraId="0000002C" w14:textId="77777777" w:rsidR="007D6CD8" w:rsidRDefault="007D6CD8">
      <w:pPr>
        <w:pBdr>
          <w:top w:val="nil"/>
          <w:left w:val="nil"/>
          <w:bottom w:val="nil"/>
          <w:right w:val="nil"/>
          <w:between w:val="nil"/>
        </w:pBdr>
        <w:spacing w:line="360" w:lineRule="auto"/>
        <w:ind w:firstLine="567"/>
        <w:jc w:val="both"/>
      </w:pPr>
    </w:p>
    <w:p w14:paraId="0000002D" w14:textId="77777777" w:rsidR="007D6CD8" w:rsidRDefault="005961DB">
      <w:pPr>
        <w:pBdr>
          <w:top w:val="nil"/>
          <w:left w:val="nil"/>
          <w:bottom w:val="nil"/>
          <w:right w:val="nil"/>
          <w:between w:val="nil"/>
        </w:pBdr>
        <w:spacing w:before="280" w:line="360" w:lineRule="auto"/>
        <w:ind w:firstLine="567"/>
        <w:jc w:val="both"/>
        <w:rPr>
          <w:b/>
        </w:rPr>
      </w:pPr>
      <w:r>
        <w:rPr>
          <w:b/>
        </w:rPr>
        <w:t>4. Methodology and empirical analysis</w:t>
      </w:r>
    </w:p>
    <w:p w14:paraId="0000002E" w14:textId="77777777" w:rsidR="007D6CD8" w:rsidRDefault="005961DB">
      <w:pPr>
        <w:spacing w:line="360" w:lineRule="auto"/>
        <w:ind w:firstLine="567"/>
        <w:jc w:val="both"/>
      </w:pPr>
      <w:r>
        <w:t>The study adopts a sequential transformative mixed-method approach (Creswell et al., 2003): first, a quantitative analysis investigates the factors favoring an increase or a decrease of mods; second, a qualitative netnographic study is conducted to explore why consumers of online game communities stop contributing to the creation of mods or even starting to enact misbehaviours. The quantitative study is presented in the next section, which includes the description of the dataset, the empirical model and the results.</w:t>
      </w:r>
    </w:p>
    <w:p w14:paraId="0000002F" w14:textId="77777777" w:rsidR="007D6CD8" w:rsidRDefault="007D6CD8">
      <w:pPr>
        <w:spacing w:line="360" w:lineRule="auto"/>
        <w:rPr>
          <w:b/>
          <w:highlight w:val="yellow"/>
        </w:rPr>
      </w:pPr>
    </w:p>
    <w:p w14:paraId="00000030" w14:textId="77777777" w:rsidR="007D6CD8" w:rsidRDefault="005961DB">
      <w:pPr>
        <w:spacing w:line="360" w:lineRule="auto"/>
        <w:ind w:firstLine="567"/>
        <w:jc w:val="both"/>
        <w:rPr>
          <w:b/>
        </w:rPr>
      </w:pPr>
      <w:r>
        <w:rPr>
          <w:b/>
        </w:rPr>
        <w:t>4.1. Quantitative analysis: consumer innovation</w:t>
      </w:r>
    </w:p>
    <w:p w14:paraId="00000031" w14:textId="77777777" w:rsidR="007D6CD8" w:rsidRDefault="005961DB">
      <w:pPr>
        <w:widowControl w:val="0"/>
        <w:spacing w:line="360" w:lineRule="auto"/>
        <w:ind w:firstLine="567"/>
        <w:jc w:val="both"/>
        <w:rPr>
          <w:b/>
          <w:i/>
        </w:rPr>
      </w:pPr>
      <w:r>
        <w:rPr>
          <w:b/>
          <w:i/>
        </w:rPr>
        <w:t>Data and variables</w:t>
      </w:r>
    </w:p>
    <w:p w14:paraId="00000032" w14:textId="77777777" w:rsidR="007D6CD8" w:rsidRDefault="005961DB">
      <w:pPr>
        <w:spacing w:line="360" w:lineRule="auto"/>
        <w:ind w:firstLine="567"/>
        <w:jc w:val="both"/>
      </w:pPr>
      <w:r>
        <w:t>The quantitative analysis refers to the same context described by Boudreau and Jeppesen (2015) and Abrate and Menozzi (2020), that is, a system in which firms sell a good (the videogame) and consumers provide a complementary CGC for free through the Internet (the mods). The sample includes five best-selling video games, similar for genre (action or adventure) and sales volume. In particular, the analysis builds on the same dataset of Abrate and Menozzi (2020), with a novel focus on factors affecting innovation, thanks to the inclusion of a variable measuring the mods’ quality (i.e. the number of mod download), which affects the games experience and video games sales (Binken &amp; Stremersch, 2009; Cennamo, 2018). Despite the limited number of games, the availability of information about the consumer innovation over a long period of time and on a frequent basis allows to closely monitor the CGC activity.</w:t>
      </w:r>
    </w:p>
    <w:p w14:paraId="00000033" w14:textId="77777777" w:rsidR="007D6CD8" w:rsidRDefault="005961DB">
      <w:pPr>
        <w:widowControl w:val="0"/>
        <w:spacing w:line="360" w:lineRule="auto"/>
        <w:ind w:firstLine="567"/>
        <w:jc w:val="both"/>
      </w:pPr>
      <w:r>
        <w:t>For each game, information includes the number of weekly units sold by Italian retailers from the 12th week of 2006 to the 48th week of 2014 and referred to the different platform version (PC or PS3, X360, DS console).</w:t>
      </w:r>
      <w:r>
        <w:rPr>
          <w:vertAlign w:val="superscript"/>
        </w:rPr>
        <w:footnoteReference w:id="1"/>
      </w:r>
      <w:r>
        <w:t xml:space="preserve"> Moreover, the number of mods for the PC version of each game and the number of each mod’s downloads were manually retrieved from the Nexusmods.com and the </w:t>
      </w:r>
      <w:r>
        <w:lastRenderedPageBreak/>
        <w:t xml:space="preserve">Moddb.com fan sites, and refer to the 300 most popular (ranked on downloads) mods of each game. </w:t>
      </w:r>
    </w:p>
    <w:p w14:paraId="00000034" w14:textId="77777777" w:rsidR="007D6CD8" w:rsidRDefault="005961DB">
      <w:pPr>
        <w:spacing w:line="360" w:lineRule="auto"/>
        <w:ind w:firstLine="567"/>
        <w:jc w:val="both"/>
      </w:pPr>
      <w:r>
        <w:t>Table 1 presents the list of variables, along with their mean and standard deviation.</w:t>
      </w:r>
    </w:p>
    <w:p w14:paraId="00000035" w14:textId="77777777" w:rsidR="007D6CD8" w:rsidRDefault="005961DB">
      <w:pPr>
        <w:spacing w:line="360" w:lineRule="auto"/>
        <w:ind w:firstLine="567"/>
        <w:jc w:val="both"/>
      </w:pPr>
      <w:r>
        <w:t xml:space="preserve">- The variable </w:t>
      </w:r>
      <w:r>
        <w:rPr>
          <w:i/>
        </w:rPr>
        <w:t>modnew</w:t>
      </w:r>
      <w:r>
        <w:t xml:space="preserve"> is the number of new mods made available each week for the PC versions of each title and captures the intensity of CGC activity;</w:t>
      </w:r>
    </w:p>
    <w:p w14:paraId="00000036" w14:textId="77777777" w:rsidR="007D6CD8" w:rsidRDefault="005961DB">
      <w:pPr>
        <w:spacing w:line="360" w:lineRule="auto"/>
        <w:ind w:firstLine="567"/>
        <w:jc w:val="both"/>
      </w:pPr>
      <w:r>
        <w:t xml:space="preserve">- The variable </w:t>
      </w:r>
      <w:r>
        <w:rPr>
          <w:i/>
        </w:rPr>
        <w:t>modcum</w:t>
      </w:r>
      <w:r>
        <w:t xml:space="preserve"> is the cumulative number of mods generated up to a certain week and can be seen as a proxy of the numerosity of modders (Boudreau and Jeppesen, 2015). Thus, it is this variable that serves the purpose to test the effect that the crowd of modders exerts on the consumer’s incentive to create new mods (H1a);</w:t>
      </w:r>
    </w:p>
    <w:p w14:paraId="00000037" w14:textId="77777777" w:rsidR="007D6CD8" w:rsidRDefault="005961DB">
      <w:pPr>
        <w:spacing w:line="360" w:lineRule="auto"/>
        <w:ind w:firstLine="567"/>
        <w:jc w:val="both"/>
      </w:pPr>
      <w:r>
        <w:t xml:space="preserve">- The variable </w:t>
      </w:r>
      <w:r>
        <w:rPr>
          <w:i/>
        </w:rPr>
        <w:t>KPC</w:t>
      </w:r>
      <w:r>
        <w:t xml:space="preserve"> measures the cumulative number of video games units sold for the PC platform (likewise, </w:t>
      </w:r>
      <w:r>
        <w:rPr>
          <w:i/>
        </w:rPr>
        <w:t>KCON</w:t>
      </w:r>
      <w:r>
        <w:t xml:space="preserve"> is the cumulative number of units sold for non-PC consoles) and represents the size of the community of gamers;</w:t>
      </w:r>
    </w:p>
    <w:p w14:paraId="00000038" w14:textId="77777777" w:rsidR="007D6CD8" w:rsidRDefault="005961DB">
      <w:pPr>
        <w:spacing w:line="360" w:lineRule="auto"/>
        <w:ind w:firstLine="567"/>
        <w:jc w:val="both"/>
      </w:pPr>
      <w:r>
        <w:t xml:space="preserve">- Finally, the variable </w:t>
      </w:r>
      <w:r>
        <w:rPr>
          <w:i/>
        </w:rPr>
        <w:t>downloads</w:t>
      </w:r>
      <w:r>
        <w:t xml:space="preserve"> is the average number of downloads recorded per available mod, built as the ration of cumulated download over cumulated mods (</w:t>
      </w:r>
      <w:r>
        <w:rPr>
          <w:i/>
        </w:rPr>
        <w:t>modcum</w:t>
      </w:r>
      <w:r>
        <w:t>). This variable provides a proxy of the quality of available mods and it is thus functional to test H1b.</w:t>
      </w:r>
    </w:p>
    <w:p w14:paraId="00000039" w14:textId="77777777" w:rsidR="007D6CD8" w:rsidRDefault="005961DB">
      <w:pPr>
        <w:spacing w:line="360" w:lineRule="auto"/>
        <w:ind w:firstLine="567"/>
        <w:jc w:val="both"/>
      </w:pPr>
      <w:r>
        <w:t>The final dataset is an unbalanced panel of 1610 total observations.</w:t>
      </w:r>
    </w:p>
    <w:p w14:paraId="0000003A" w14:textId="77777777" w:rsidR="007D6CD8" w:rsidRDefault="007D6CD8">
      <w:pPr>
        <w:spacing w:line="360" w:lineRule="auto"/>
        <w:jc w:val="both"/>
      </w:pPr>
    </w:p>
    <w:p w14:paraId="0000003B" w14:textId="77777777" w:rsidR="007D6CD8" w:rsidRDefault="005961DB">
      <w:pPr>
        <w:spacing w:line="360" w:lineRule="auto"/>
        <w:jc w:val="center"/>
      </w:pPr>
      <w:r>
        <w:t>[TABLE 1 AROUND HERE]</w:t>
      </w:r>
    </w:p>
    <w:p w14:paraId="0000003C" w14:textId="77777777" w:rsidR="007D6CD8" w:rsidRDefault="007D6CD8">
      <w:pPr>
        <w:spacing w:line="360" w:lineRule="auto"/>
        <w:jc w:val="center"/>
      </w:pPr>
    </w:p>
    <w:p w14:paraId="0000003D" w14:textId="77777777" w:rsidR="007D6CD8" w:rsidRDefault="007D6CD8">
      <w:pPr>
        <w:spacing w:line="360" w:lineRule="auto"/>
        <w:ind w:firstLine="567"/>
        <w:jc w:val="both"/>
      </w:pPr>
    </w:p>
    <w:p w14:paraId="0000003E" w14:textId="77777777" w:rsidR="007D6CD8" w:rsidRDefault="005961DB">
      <w:pPr>
        <w:spacing w:line="360" w:lineRule="auto"/>
        <w:ind w:firstLine="567"/>
        <w:jc w:val="both"/>
        <w:rPr>
          <w:b/>
          <w:i/>
        </w:rPr>
      </w:pPr>
      <w:r>
        <w:rPr>
          <w:b/>
          <w:i/>
        </w:rPr>
        <w:t>The empirical model</w:t>
      </w:r>
    </w:p>
    <w:p w14:paraId="0000003F" w14:textId="77777777" w:rsidR="007D6CD8" w:rsidRDefault="005961DB">
      <w:pPr>
        <w:widowControl w:val="0"/>
        <w:spacing w:line="360" w:lineRule="auto"/>
        <w:ind w:firstLine="567"/>
        <w:jc w:val="both"/>
      </w:pPr>
      <w:r>
        <w:t xml:space="preserve">The value co-creation or value co-destruction process is questioned by exploring the relationship between </w:t>
      </w:r>
      <w:r>
        <w:rPr>
          <w:i/>
        </w:rPr>
        <w:t>modnew</w:t>
      </w:r>
      <w:r>
        <w:t xml:space="preserve"> and the aforementioned determinants, through the following model:</w:t>
      </w:r>
    </w:p>
    <w:p w14:paraId="00000040" w14:textId="77777777" w:rsidR="007D6CD8" w:rsidRDefault="007D6CD8">
      <w:pPr>
        <w:widowControl w:val="0"/>
        <w:spacing w:line="360" w:lineRule="auto"/>
        <w:ind w:firstLine="567"/>
        <w:jc w:val="both"/>
      </w:pPr>
    </w:p>
    <w:p w14:paraId="00000041" w14:textId="77777777" w:rsidR="007D6CD8" w:rsidRDefault="00963FCE">
      <w:pPr>
        <w:widowControl w:val="0"/>
        <w:spacing w:line="360" w:lineRule="auto"/>
        <w:ind w:firstLine="567"/>
        <w:jc w:val="both"/>
      </w:pPr>
      <m:oMath>
        <m:sSub>
          <m:sSubPr>
            <m:ctrlPr>
              <w:rPr>
                <w:rFonts w:ascii="Cambria Math" w:eastAsia="Cambria Math" w:hAnsi="Cambria Math" w:cs="Cambria Math"/>
              </w:rPr>
            </m:ctrlPr>
          </m:sSubPr>
          <m:e>
            <m:r>
              <w:rPr>
                <w:rFonts w:ascii="Cambria Math" w:eastAsia="Cambria Math" w:hAnsi="Cambria Math" w:cs="Cambria Math"/>
              </w:rPr>
              <m:t>modnew</m:t>
            </m:r>
          </m:e>
          <m:sub>
            <m:r>
              <w:rPr>
                <w:rFonts w:ascii="Cambria Math" w:eastAsia="Cambria Math" w:hAnsi="Cambria Math" w:cs="Cambria Math"/>
              </w:rPr>
              <m:t>it</m:t>
            </m:r>
          </m:sub>
        </m:sSub>
        <m:r>
          <w:rPr>
            <w:rFonts w:ascii="Cambria Math" w:eastAsia="Cambria Math" w:hAnsi="Cambria Math" w:cs="Cambria Math"/>
          </w:rPr>
          <m:t>=μ+ρ</m:t>
        </m:r>
        <m:sSub>
          <m:sSubPr>
            <m:ctrlPr>
              <w:rPr>
                <w:rFonts w:ascii="Cambria Math" w:eastAsia="Cambria Math" w:hAnsi="Cambria Math" w:cs="Cambria Math"/>
              </w:rPr>
            </m:ctrlPr>
          </m:sSubPr>
          <m:e>
            <m:r>
              <w:rPr>
                <w:rFonts w:ascii="Cambria Math" w:eastAsia="Cambria Math" w:hAnsi="Cambria Math" w:cs="Cambria Math"/>
              </w:rPr>
              <m:t>KPC</m:t>
            </m:r>
          </m:e>
          <m:sub>
            <m:r>
              <w:rPr>
                <w:rFonts w:ascii="Cambria Math" w:eastAsia="Cambria Math" w:hAnsi="Cambria Math" w:cs="Cambria Math"/>
              </w:rPr>
              <m:t>it-1</m:t>
            </m:r>
          </m:sub>
        </m:sSub>
        <m:r>
          <w:rPr>
            <w:rFonts w:ascii="Cambria Math" w:eastAsia="Cambria Math" w:hAnsi="Cambria Math" w:cs="Cambria Math"/>
          </w:rPr>
          <m:t xml:space="preserve">+φ </m:t>
        </m:r>
        <m:sSub>
          <m:sSubPr>
            <m:ctrlPr>
              <w:rPr>
                <w:rFonts w:ascii="Cambria Math" w:eastAsia="Cambria Math" w:hAnsi="Cambria Math" w:cs="Cambria Math"/>
              </w:rPr>
            </m:ctrlPr>
          </m:sSubPr>
          <m:e>
            <m:r>
              <w:rPr>
                <w:rFonts w:ascii="Cambria Math" w:eastAsia="Cambria Math" w:hAnsi="Cambria Math" w:cs="Cambria Math"/>
              </w:rPr>
              <m:t>modcum</m:t>
            </m:r>
          </m:e>
          <m:sub>
            <m:r>
              <w:rPr>
                <w:rFonts w:ascii="Cambria Math" w:eastAsia="Cambria Math" w:hAnsi="Cambria Math" w:cs="Cambria Math"/>
              </w:rPr>
              <m:t>it-1</m:t>
            </m:r>
          </m:sub>
        </m:sSub>
        <m:r>
          <w:rPr>
            <w:rFonts w:ascii="Cambria Math" w:eastAsia="Cambria Math" w:hAnsi="Cambria Math" w:cs="Cambria Math"/>
          </w:rPr>
          <m:t>+ω</m:t>
        </m:r>
        <m:sSub>
          <m:sSubPr>
            <m:ctrlPr>
              <w:rPr>
                <w:rFonts w:ascii="Cambria Math" w:eastAsia="Cambria Math" w:hAnsi="Cambria Math" w:cs="Cambria Math"/>
              </w:rPr>
            </m:ctrlPr>
          </m:sSubPr>
          <m:e>
            <m:sSup>
              <m:sSupPr>
                <m:ctrlPr>
                  <w:rPr>
                    <w:rFonts w:ascii="Cambria Math" w:eastAsia="Cambria Math" w:hAnsi="Cambria Math" w:cs="Cambria Math"/>
                  </w:rPr>
                </m:ctrlPr>
              </m:sSupPr>
              <m:e>
                <m:r>
                  <w:rPr>
                    <w:rFonts w:ascii="Cambria Math" w:eastAsia="Cambria Math" w:hAnsi="Cambria Math" w:cs="Cambria Math"/>
                  </w:rPr>
                  <m:t xml:space="preserve"> modcum</m:t>
                </m:r>
              </m:e>
              <m:sup>
                <m:r>
                  <w:rPr>
                    <w:rFonts w:ascii="Cambria Math" w:eastAsia="Cambria Math" w:hAnsi="Cambria Math" w:cs="Cambria Math"/>
                  </w:rPr>
                  <m:t>2</m:t>
                </m:r>
              </m:sup>
            </m:sSup>
          </m:e>
          <m:sub>
            <m:r>
              <w:rPr>
                <w:rFonts w:ascii="Cambria Math" w:eastAsia="Cambria Math" w:hAnsi="Cambria Math" w:cs="Cambria Math"/>
              </w:rPr>
              <m:t>it-1</m:t>
            </m:r>
          </m:sub>
        </m:sSub>
        <m:r>
          <w:rPr>
            <w:rFonts w:ascii="Cambria Math" w:eastAsia="Cambria Math" w:hAnsi="Cambria Math" w:cs="Cambria Math"/>
          </w:rPr>
          <m:t xml:space="preserve">+α </m:t>
        </m:r>
        <m:sSub>
          <m:sSubPr>
            <m:ctrlPr>
              <w:rPr>
                <w:rFonts w:ascii="Cambria Math" w:eastAsia="Cambria Math" w:hAnsi="Cambria Math" w:cs="Cambria Math"/>
              </w:rPr>
            </m:ctrlPr>
          </m:sSubPr>
          <m:e>
            <m:r>
              <w:rPr>
                <w:rFonts w:ascii="Cambria Math" w:eastAsia="Cambria Math" w:hAnsi="Cambria Math" w:cs="Cambria Math"/>
              </w:rPr>
              <m:t>downloads</m:t>
            </m:r>
          </m:e>
          <m:sub>
            <m:r>
              <w:rPr>
                <w:rFonts w:ascii="Cambria Math" w:eastAsia="Cambria Math" w:hAnsi="Cambria Math" w:cs="Cambria Math"/>
              </w:rPr>
              <m:t>it-1</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π</m:t>
            </m:r>
          </m:e>
          <m:sub>
            <m:r>
              <w:rPr>
                <w:rFonts w:ascii="Cambria Math" w:eastAsia="Cambria Math" w:hAnsi="Cambria Math" w:cs="Cambria Math"/>
              </w:rPr>
              <m:t>i</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σ</m:t>
            </m:r>
          </m:e>
          <m:sub>
            <m:r>
              <w:rPr>
                <w:rFonts w:ascii="Cambria Math" w:eastAsia="Cambria Math" w:hAnsi="Cambria Math" w:cs="Cambria Math"/>
              </w:rPr>
              <m:t>t</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it</m:t>
            </m:r>
          </m:sub>
        </m:sSub>
      </m:oMath>
      <w:r w:rsidR="005961DB">
        <w:tab/>
      </w:r>
      <w:r w:rsidR="005961DB">
        <w:tab/>
      </w:r>
      <w:r w:rsidR="005961DB">
        <w:tab/>
      </w:r>
      <w:r w:rsidR="005961DB">
        <w:tab/>
      </w:r>
      <w:r w:rsidR="005961DB">
        <w:tab/>
      </w:r>
      <w:r w:rsidR="005961DB">
        <w:tab/>
      </w:r>
      <w:r w:rsidR="005961DB">
        <w:tab/>
      </w:r>
      <w:r w:rsidR="005961DB">
        <w:tab/>
      </w:r>
      <w:r w:rsidR="005961DB">
        <w:tab/>
      </w:r>
      <w:r w:rsidR="005961DB">
        <w:tab/>
      </w:r>
      <w:r w:rsidR="005961DB">
        <w:tab/>
        <w:t>[1]</w:t>
      </w:r>
    </w:p>
    <w:p w14:paraId="00000042" w14:textId="77777777" w:rsidR="007D6CD8" w:rsidRDefault="007D6CD8">
      <w:pPr>
        <w:widowControl w:val="0"/>
        <w:spacing w:line="360" w:lineRule="auto"/>
        <w:jc w:val="both"/>
      </w:pPr>
    </w:p>
    <w:p w14:paraId="00000043" w14:textId="77777777" w:rsidR="007D6CD8" w:rsidRDefault="005961DB">
      <w:pPr>
        <w:widowControl w:val="0"/>
        <w:spacing w:line="360" w:lineRule="auto"/>
        <w:ind w:firstLine="567"/>
        <w:jc w:val="both"/>
      </w:pPr>
      <w:r>
        <w:t xml:space="preserve">To address the econometric issues related to endogeneity, the above model is estimated via a three-stage least squares procedure in which variable </w:t>
      </w:r>
      <w:r>
        <w:rPr>
          <w:i/>
        </w:rPr>
        <w:t>KPC</w:t>
      </w:r>
      <w:r>
        <w:t xml:space="preserve"> is instrumented through variable </w:t>
      </w:r>
      <w:r>
        <w:rPr>
          <w:i/>
        </w:rPr>
        <w:t>KCON</w:t>
      </w:r>
      <w:r>
        <w:t xml:space="preserve">. Measuring the cumulative number of console game units sold, </w:t>
      </w:r>
      <w:r>
        <w:rPr>
          <w:i/>
        </w:rPr>
        <w:t>KCON</w:t>
      </w:r>
      <w:r>
        <w:t xml:space="preserve"> proxies the size of the community of gamers as variable </w:t>
      </w:r>
      <w:r>
        <w:rPr>
          <w:i/>
        </w:rPr>
        <w:t>KPC</w:t>
      </w:r>
      <w:r>
        <w:t xml:space="preserve"> does; as such, it is certainly correlated to the PC platform consumer base and yet not directly correlated with the number of new mods, or variable </w:t>
      </w:r>
      <w:r>
        <w:rPr>
          <w:i/>
        </w:rPr>
        <w:t>modnew</w:t>
      </w:r>
      <w:r>
        <w:t>, given that mods are not specifically designed for console platforms. The instrumental variable strategy is implemented through the following equation:</w:t>
      </w:r>
    </w:p>
    <w:p w14:paraId="00000044" w14:textId="77777777" w:rsidR="007D6CD8" w:rsidRDefault="007D6CD8">
      <w:pPr>
        <w:widowControl w:val="0"/>
        <w:spacing w:line="360" w:lineRule="auto"/>
        <w:ind w:firstLine="567"/>
        <w:jc w:val="both"/>
      </w:pPr>
    </w:p>
    <w:p w14:paraId="00000045" w14:textId="77777777" w:rsidR="007D6CD8" w:rsidRDefault="00963FCE">
      <w:pPr>
        <w:widowControl w:val="0"/>
        <w:spacing w:line="360" w:lineRule="auto"/>
        <w:ind w:firstLine="567"/>
        <w:jc w:val="both"/>
      </w:pPr>
      <m:oMath>
        <m:sSub>
          <m:sSubPr>
            <m:ctrlPr>
              <w:rPr>
                <w:rFonts w:ascii="Cambria Math" w:eastAsia="Cambria Math" w:hAnsi="Cambria Math" w:cs="Cambria Math"/>
              </w:rPr>
            </m:ctrlPr>
          </m:sSubPr>
          <m:e>
            <m:r>
              <w:rPr>
                <w:rFonts w:ascii="Cambria Math" w:eastAsia="Cambria Math" w:hAnsi="Cambria Math" w:cs="Cambria Math"/>
              </w:rPr>
              <m:t>KPC</m:t>
            </m:r>
          </m:e>
          <m:sub>
            <m:r>
              <w:rPr>
                <w:rFonts w:ascii="Cambria Math" w:eastAsia="Cambria Math" w:hAnsi="Cambria Math" w:cs="Cambria Math"/>
              </w:rPr>
              <m:t>it</m:t>
            </m:r>
          </m:sub>
        </m:sSub>
        <m:r>
          <w:rPr>
            <w:rFonts w:ascii="Cambria Math" w:eastAsia="Cambria Math" w:hAnsi="Cambria Math" w:cs="Cambria Math"/>
          </w:rPr>
          <m:t>=τ+</m:t>
        </m:r>
        <m:sSub>
          <m:sSubPr>
            <m:ctrlPr>
              <w:rPr>
                <w:rFonts w:ascii="Cambria Math" w:eastAsia="Cambria Math" w:hAnsi="Cambria Math" w:cs="Cambria Math"/>
              </w:rPr>
            </m:ctrlPr>
          </m:sSubPr>
          <m:e>
            <m:r>
              <w:rPr>
                <w:rFonts w:ascii="Cambria Math" w:eastAsia="Cambria Math" w:hAnsi="Cambria Math" w:cs="Cambria Math"/>
              </w:rPr>
              <m:t>ϕ KCON</m:t>
            </m:r>
          </m:e>
          <m:sub>
            <m:r>
              <w:rPr>
                <w:rFonts w:ascii="Cambria Math" w:eastAsia="Cambria Math" w:hAnsi="Cambria Math" w:cs="Cambria Math"/>
              </w:rPr>
              <m:t>it</m:t>
            </m:r>
          </m:sub>
        </m:sSub>
        <m:r>
          <w:rPr>
            <w:rFonts w:ascii="Cambria Math" w:eastAsia="Cambria Math" w:hAnsi="Cambria Math" w:cs="Cambria Math"/>
          </w:rPr>
          <m:t>+</m:t>
        </m:r>
        <m:sSub>
          <m:sSubPr>
            <m:ctrlPr>
              <w:rPr>
                <w:rFonts w:ascii="Cambria Math" w:eastAsia="Cambria Math" w:hAnsi="Cambria Math" w:cs="Cambria Math"/>
              </w:rPr>
            </m:ctrlPr>
          </m:sSubPr>
          <m:e>
            <m:sSub>
              <m:sSubPr>
                <m:ctrlPr>
                  <w:rPr>
                    <w:rFonts w:ascii="Cambria Math" w:eastAsia="Cambria Math" w:hAnsi="Cambria Math" w:cs="Cambria Math"/>
                  </w:rPr>
                </m:ctrlPr>
              </m:sSubPr>
              <m:e>
                <m:r>
                  <w:rPr>
                    <w:rFonts w:ascii="Cambria Math" w:eastAsia="Cambria Math" w:hAnsi="Cambria Math" w:cs="Cambria Math"/>
                  </w:rPr>
                  <m:t>π</m:t>
                </m:r>
              </m:e>
              <m:sub>
                <m:r>
                  <w:rPr>
                    <w:rFonts w:ascii="Cambria Math" w:eastAsia="Cambria Math" w:hAnsi="Cambria Math" w:cs="Cambria Math"/>
                  </w:rPr>
                  <m:t>i</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σ</m:t>
                </m:r>
              </m:e>
              <m:sub>
                <m:r>
                  <w:rPr>
                    <w:rFonts w:ascii="Cambria Math" w:eastAsia="Cambria Math" w:hAnsi="Cambria Math" w:cs="Cambria Math"/>
                  </w:rPr>
                  <m:t>t</m:t>
                </m:r>
              </m:sub>
            </m:sSub>
            <m:r>
              <w:rPr>
                <w:rFonts w:ascii="Cambria Math" w:eastAsia="Cambria Math" w:hAnsi="Cambria Math" w:cs="Cambria Math"/>
              </w:rPr>
              <m:t>+ϵ</m:t>
            </m:r>
          </m:e>
          <m:sub>
            <m:r>
              <w:rPr>
                <w:rFonts w:ascii="Cambria Math" w:eastAsia="Cambria Math" w:hAnsi="Cambria Math" w:cs="Cambria Math"/>
              </w:rPr>
              <m:t>it</m:t>
            </m:r>
          </m:sub>
        </m:sSub>
      </m:oMath>
      <w:r w:rsidR="005961DB">
        <w:tab/>
      </w:r>
      <w:r w:rsidR="005961DB">
        <w:tab/>
      </w:r>
      <w:r w:rsidR="005961DB">
        <w:tab/>
      </w:r>
      <w:r w:rsidR="005961DB">
        <w:tab/>
      </w:r>
      <w:r w:rsidR="005961DB">
        <w:tab/>
      </w:r>
      <w:r w:rsidR="005961DB">
        <w:tab/>
        <w:t>[2]</w:t>
      </w:r>
    </w:p>
    <w:p w14:paraId="00000046" w14:textId="77777777" w:rsidR="007D6CD8" w:rsidRDefault="007D6CD8">
      <w:pPr>
        <w:widowControl w:val="0"/>
        <w:spacing w:line="360" w:lineRule="auto"/>
        <w:jc w:val="both"/>
      </w:pPr>
    </w:p>
    <w:p w14:paraId="00000047" w14:textId="77777777" w:rsidR="007D6CD8" w:rsidRDefault="005961DB">
      <w:pPr>
        <w:widowControl w:val="0"/>
        <w:spacing w:line="360" w:lineRule="auto"/>
        <w:ind w:firstLine="567"/>
        <w:jc w:val="both"/>
      </w:pPr>
      <w:r>
        <w:t xml:space="preserve">In both equations [1] and [2], </w:t>
      </w:r>
      <m:oMath>
        <m:sSub>
          <m:sSubPr>
            <m:ctrlPr>
              <w:rPr>
                <w:rFonts w:ascii="Cambria Math" w:eastAsia="Cambria Math" w:hAnsi="Cambria Math" w:cs="Cambria Math"/>
              </w:rPr>
            </m:ctrlPr>
          </m:sSubPr>
          <m:e>
            <m:r>
              <w:rPr>
                <w:rFonts w:ascii="Cambria Math" w:hAnsi="Cambria Math"/>
              </w:rPr>
              <m:t>π</m:t>
            </m:r>
          </m:e>
          <m:sub>
            <m:r>
              <w:rPr>
                <w:rFonts w:ascii="Cambria Math" w:eastAsia="Cambria Math" w:hAnsi="Cambria Math" w:cs="Cambria Math"/>
              </w:rPr>
              <m:t>i</m:t>
            </m:r>
          </m:sub>
        </m:sSub>
      </m:oMath>
      <w:r>
        <w:t xml:space="preserve"> and </w:t>
      </w:r>
      <m:oMath>
        <m:sSub>
          <m:sSubPr>
            <m:ctrlPr>
              <w:rPr>
                <w:rFonts w:ascii="Cambria Math" w:eastAsia="Cambria Math" w:hAnsi="Cambria Math" w:cs="Cambria Math"/>
              </w:rPr>
            </m:ctrlPr>
          </m:sSubPr>
          <m:e>
            <m:r>
              <w:rPr>
                <w:rFonts w:ascii="Cambria Math" w:hAnsi="Cambria Math"/>
              </w:rPr>
              <m:t>σ</m:t>
            </m:r>
          </m:e>
          <m:sub>
            <m:r>
              <w:rPr>
                <w:rFonts w:ascii="Cambria Math" w:eastAsia="Cambria Math" w:hAnsi="Cambria Math" w:cs="Cambria Math"/>
              </w:rPr>
              <m:t>t</m:t>
            </m:r>
          </m:sub>
        </m:sSub>
      </m:oMath>
      <w:r>
        <w:t xml:space="preserve"> capture video games and time period fixed effects, respectively, and </w:t>
      </w:r>
      <m:oMath>
        <m:sSub>
          <m:sSubPr>
            <m:ctrlPr>
              <w:rPr>
                <w:rFonts w:ascii="Cambria Math" w:eastAsia="Cambria Math" w:hAnsi="Cambria Math" w:cs="Cambria Math"/>
              </w:rPr>
            </m:ctrlPr>
          </m:sSubPr>
          <m:e>
            <m:r>
              <w:rPr>
                <w:rFonts w:ascii="Cambria Math" w:hAnsi="Cambria Math"/>
              </w:rPr>
              <m:t>ϵ</m:t>
            </m:r>
          </m:e>
          <m:sub>
            <m:r>
              <w:rPr>
                <w:rFonts w:ascii="Cambria Math" w:eastAsia="Cambria Math" w:hAnsi="Cambria Math" w:cs="Cambria Math"/>
              </w:rPr>
              <m:t>it</m:t>
            </m:r>
          </m:sub>
        </m:sSub>
      </m:oMath>
      <w:r>
        <w:t xml:space="preserve"> is the error term. The cross-sectional units (the games) are identified by </w:t>
      </w:r>
      <w:r>
        <w:rPr>
          <w:i/>
        </w:rPr>
        <w:t>i</w:t>
      </w:r>
      <w:r>
        <w:t xml:space="preserve">=1, …, 5 and the time unit by </w:t>
      </w:r>
      <w:r>
        <w:rPr>
          <w:i/>
        </w:rPr>
        <w:t>t</w:t>
      </w:r>
      <w:r>
        <w:t xml:space="preserve">=1, …, 453 with </w:t>
      </w:r>
      <w:r>
        <w:rPr>
          <w:i/>
        </w:rPr>
        <w:t>t</w:t>
      </w:r>
      <w:r>
        <w:t xml:space="preserve">=1 corresponding to the first week of release of the game and </w:t>
      </w:r>
      <w:r>
        <w:rPr>
          <w:i/>
        </w:rPr>
        <w:t>t</w:t>
      </w:r>
      <w:r>
        <w:t>=453 to the maximum number of weeks with positive sales.</w:t>
      </w:r>
    </w:p>
    <w:p w14:paraId="00000048" w14:textId="77777777" w:rsidR="007D6CD8" w:rsidRDefault="007D6CD8">
      <w:pPr>
        <w:widowControl w:val="0"/>
        <w:spacing w:line="360" w:lineRule="auto"/>
        <w:ind w:firstLine="567"/>
        <w:jc w:val="both"/>
      </w:pPr>
    </w:p>
    <w:p w14:paraId="00000049" w14:textId="77777777" w:rsidR="007D6CD8" w:rsidRDefault="005961DB">
      <w:pPr>
        <w:widowControl w:val="0"/>
        <w:spacing w:line="360" w:lineRule="auto"/>
        <w:ind w:firstLine="567"/>
        <w:jc w:val="both"/>
        <w:rPr>
          <w:b/>
          <w:i/>
        </w:rPr>
      </w:pPr>
      <w:r>
        <w:rPr>
          <w:b/>
          <w:i/>
        </w:rPr>
        <w:t>Results of the quantitative analysis</w:t>
      </w:r>
    </w:p>
    <w:p w14:paraId="0000004A" w14:textId="77777777" w:rsidR="007D6CD8" w:rsidRDefault="005961DB">
      <w:pPr>
        <w:widowControl w:val="0"/>
        <w:spacing w:line="360" w:lineRule="auto"/>
        <w:ind w:firstLine="567"/>
        <w:jc w:val="both"/>
      </w:pPr>
      <w:r>
        <w:t xml:space="preserve"> Table 1 shows the estimates of equation [1] (in the fourth column; those of equation [2] are available upon request).</w:t>
      </w:r>
    </w:p>
    <w:p w14:paraId="0000004B" w14:textId="77777777" w:rsidR="007D6CD8" w:rsidRDefault="005961DB">
      <w:pPr>
        <w:spacing w:line="360" w:lineRule="auto"/>
        <w:ind w:firstLine="708"/>
        <w:jc w:val="both"/>
      </w:pPr>
      <w:r>
        <w:t>The consumers’ network size (</w:t>
      </w:r>
      <w:r>
        <w:rPr>
          <w:i/>
        </w:rPr>
        <w:t>KPC</w:t>
      </w:r>
      <w:r>
        <w:t xml:space="preserve">), constituted by all customers that have already bought a copy of the video game’s PC version, proxies the potential appeal of the video games market, which provides a motivation for the creation of new mods, as the positive and significant coefficient of the </w:t>
      </w:r>
      <w:r>
        <w:rPr>
          <w:i/>
        </w:rPr>
        <w:t xml:space="preserve">KPC </w:t>
      </w:r>
      <w:r>
        <w:t xml:space="preserve">variable proves. At the same time, the relation between new mods and the existing stock of mods takes the form of an inverted-U shape, as captured by both variables </w:t>
      </w:r>
      <w:r>
        <w:rPr>
          <w:i/>
        </w:rPr>
        <w:t>modcum</w:t>
      </w:r>
      <w:r>
        <w:t xml:space="preserve"> and its quadratic term </w:t>
      </w:r>
      <w:r>
        <w:rPr>
          <w:i/>
        </w:rPr>
        <w:t>modcum</w:t>
      </w:r>
      <w:r>
        <w:rPr>
          <w:i/>
          <w:vertAlign w:val="superscript"/>
        </w:rPr>
        <w:t>2</w:t>
      </w:r>
      <w:r>
        <w:t>,</w:t>
      </w:r>
      <w:r>
        <w:rPr>
          <w:i/>
        </w:rPr>
        <w:t xml:space="preserve"> </w:t>
      </w:r>
      <w:r>
        <w:t xml:space="preserve">whose significant coefficients highlight a non-monotonic effect of the existent stock of mods on the generation of new ones (first order coefficient = 0.0308, </w:t>
      </w:r>
      <w:r>
        <w:rPr>
          <w:i/>
        </w:rPr>
        <w:t>p</w:t>
      </w:r>
      <w:r>
        <w:t xml:space="preserve">&lt;0,01; second order coefficient = 0.00014, </w:t>
      </w:r>
      <w:r>
        <w:rPr>
          <w:i/>
        </w:rPr>
        <w:t>p</w:t>
      </w:r>
      <w:r>
        <w:t>&lt;0.01). This finding implies that a larger presence of already generated mods (</w:t>
      </w:r>
      <w:r>
        <w:rPr>
          <w:i/>
        </w:rPr>
        <w:t>modcum</w:t>
      </w:r>
      <w:r>
        <w:t>) initially motivates modders to create new mods, thus stimulating co-creation. However, when the crowd has reached a considerable size, a negative effect on innovation emerges, acting as a competitive threat to the developers. In other words, there is a threshold when the virtuous initial stimulus given by being part of an active community environment reverses and gives rise to a process of co-destruction, as modders start to feel discouraged to keep on create and share their innovation. The results confirms H1a.</w:t>
      </w:r>
    </w:p>
    <w:p w14:paraId="0000004C" w14:textId="77777777" w:rsidR="007D6CD8" w:rsidRDefault="005961DB">
      <w:pPr>
        <w:spacing w:line="360" w:lineRule="auto"/>
        <w:ind w:firstLine="708"/>
        <w:jc w:val="both"/>
      </w:pPr>
      <w:r>
        <w:t xml:space="preserve">It is not only the number of existing mods that matters. The significant and negative impact of the average quality of already existing mods, measured in terms of </w:t>
      </w:r>
      <w:r>
        <w:rPr>
          <w:i/>
        </w:rPr>
        <w:t xml:space="preserve">downloads </w:t>
      </w:r>
      <w:r>
        <w:t xml:space="preserve">(-0.003, </w:t>
      </w:r>
      <w:r>
        <w:rPr>
          <w:i/>
        </w:rPr>
        <w:t>p</w:t>
      </w:r>
      <w:r>
        <w:t>&lt;0.01), gives a further characterization of the reasons dampening the creation of new mods. If previous mods have been particularly successful within the community, modders face even fiercer competition and have less motives to feed in the innovation process, as predicted by H1b.</w:t>
      </w:r>
    </w:p>
    <w:p w14:paraId="0000004D" w14:textId="77777777" w:rsidR="007D6CD8" w:rsidRDefault="005961DB">
      <w:pPr>
        <w:widowControl w:val="0"/>
        <w:spacing w:line="360" w:lineRule="auto"/>
        <w:ind w:firstLine="567"/>
        <w:jc w:val="both"/>
      </w:pPr>
      <w:r>
        <w:t xml:space="preserve">The empirical model includes detailed time controls, in the form of weekly dummies, to give reasons of the dynamics of the video game market, in which most sales concentrate in the very first weeks after the release of a new title. The variable </w:t>
      </w:r>
      <w:r>
        <w:rPr>
          <w:i/>
        </w:rPr>
        <w:t>KPC</w:t>
      </w:r>
      <w:r>
        <w:t xml:space="preserve"> controls for the increase in the size of the consumer base through time, and its effect on the generation of new mods. In addition, the video games’ “age” also affects the creation of new mods. Figure 1 depicts the role of video game obsolescence by presenting the marginal effect of each time dummy on the variable </w:t>
      </w:r>
      <w:r>
        <w:rPr>
          <w:i/>
        </w:rPr>
        <w:t>modnew</w:t>
      </w:r>
      <w:r>
        <w:t xml:space="preserve">, with respect to the first week of release (the omitted time dummy). The black solid line connecting the </w:t>
      </w:r>
      <w:r>
        <w:lastRenderedPageBreak/>
        <w:t>time dummies’ coefficients, shows the average estimated impact of the video game age, which, apart from an initial positive boost, is always below the x-axis. The grey area shows the confidence interval at the 95% significance level. Interestingly, weekly dummies, which capture the dynamics of consumer innovation, have a significant and negative impact on the creation of new mods for a limited period of time only: the effect becomes statistically significant for the first time in week 24 and, on the contrary, it is never significant after week 195. Overall, what emerges from this picture is that, while the effect due to the video game age is certainly present, it is not the direct main responsible of the lower incentive to innovate.</w:t>
      </w:r>
    </w:p>
    <w:p w14:paraId="0000004E" w14:textId="77777777" w:rsidR="007D6CD8" w:rsidRDefault="007D6CD8">
      <w:pPr>
        <w:spacing w:line="360" w:lineRule="auto"/>
        <w:ind w:firstLine="708"/>
        <w:jc w:val="both"/>
      </w:pPr>
    </w:p>
    <w:p w14:paraId="0000004F" w14:textId="77777777" w:rsidR="007D6CD8" w:rsidRDefault="005961DB">
      <w:pPr>
        <w:spacing w:line="360" w:lineRule="auto"/>
        <w:jc w:val="center"/>
      </w:pPr>
      <w:r>
        <w:t>[FIGURE 1 AROUND HERE]</w:t>
      </w:r>
    </w:p>
    <w:p w14:paraId="00000050" w14:textId="77777777" w:rsidR="007D6CD8" w:rsidRDefault="007D6CD8">
      <w:pPr>
        <w:spacing w:line="360" w:lineRule="auto"/>
        <w:jc w:val="both"/>
      </w:pPr>
    </w:p>
    <w:p w14:paraId="00000051" w14:textId="77777777" w:rsidR="007D6CD8" w:rsidRDefault="005961DB">
      <w:pPr>
        <w:spacing w:line="360" w:lineRule="auto"/>
        <w:ind w:firstLine="708"/>
        <w:jc w:val="both"/>
        <w:rPr>
          <w:b/>
        </w:rPr>
      </w:pPr>
      <w:r>
        <w:rPr>
          <w:b/>
        </w:rPr>
        <w:t>4.2. Qualitative analysis: netnography research of modders’ community</w:t>
      </w:r>
    </w:p>
    <w:p w14:paraId="00000052" w14:textId="77777777" w:rsidR="007D6CD8" w:rsidRDefault="005961DB">
      <w:pPr>
        <w:spacing w:line="360" w:lineRule="auto"/>
        <w:ind w:firstLine="708"/>
        <w:jc w:val="both"/>
        <w:rPr>
          <w:b/>
        </w:rPr>
      </w:pPr>
      <w:r>
        <w:t>The qualitative study adopts netnography to uncover modders’ motives for the decline in the creation of mods revealed by the quantitative analysis above. Gamers’ interactions are mainly explored in their destructive dimension and within the relationships that may occur between modders and the producers, between modders and modders,  and between modders and players</w:t>
      </w:r>
      <w:r>
        <w:rPr>
          <w:b/>
        </w:rPr>
        <w:t xml:space="preserve">. </w:t>
      </w:r>
    </w:p>
    <w:p w14:paraId="00000053" w14:textId="77777777" w:rsidR="007D6CD8" w:rsidRDefault="005961DB">
      <w:pPr>
        <w:spacing w:line="360" w:lineRule="auto"/>
        <w:ind w:firstLine="708"/>
        <w:jc w:val="both"/>
      </w:pPr>
      <w:r>
        <w:t>Netnography is defined as a “participant-observational research based in online fieldwork and uses computer-mediated communications as a source to enable a contextually situated exploration of the behavior of members of an online group” (Kozinets et al., 2010, p. 60). Netnography is a powerful method for the analysis of a human experience, whereby social reality is viewed as a constantly shifting iterative process and is based on human interactions. Going by Kozinets’ et al. (2010) established tradition, netnography is a qualitative research approach belonging to the ethnographic branch, which uses naturalistic analysis techniques (that are immersive and not intrusive) allowing the researcher to empathetically enter (consumers’) online conversations. The netnography method is suitable for this study because it allows the researchers to gain access to consumer discussions by observing a in communications on publicly available online forums. This part of the research retrieves data from online modding communities of the single player games that were the object of the quantitative analysis.</w:t>
      </w:r>
    </w:p>
    <w:p w14:paraId="00000054" w14:textId="77777777" w:rsidR="007D6CD8" w:rsidRDefault="005961DB">
      <w:pPr>
        <w:spacing w:line="360" w:lineRule="auto"/>
        <w:ind w:firstLine="708"/>
        <w:jc w:val="both"/>
      </w:pPr>
      <w:r>
        <w:t xml:space="preserve">A modding community (and the sub-groups therein) has its own social dynamic, its own conventions and linguistic codes. The netnographic research requires understanding that the modding scene has common cultural referents and practices, while simultaneously keeping in mind that it does not take place in one place. The community is too loosely distributed over multiple venues and activities to understand it focusing on one digital endeavor only. This has led to the decision of including in the qualitative research team, constituted by 3 researchers, a teenager who supported in navigating a highly complex environment. Being supported by an active teenage gamer meant going </w:t>
      </w:r>
      <w:r>
        <w:lastRenderedPageBreak/>
        <w:t xml:space="preserve">to the sorts of online places that modders go and doing the sorts of things that modders do. With a general goal of understanding why modders stopped publishing mods in the online games the researchers examined exchanging asynchronous threads coming from: 1. the official online game forums managed by the producers of the five games evaluated in the quantitative phase; 2. Non-official game forums managed by modders and players that were mentioned in the official online game forum where experienced modders write tutorials and publish them on their Web sites as well; 3. Social networks related to the game, i.d. Reddit. This site was chosen as the basis for netnographic research because of its numerous communities within it, defined as “subreddit”. The community was born in 2005 and has now more than 330 million active consumers per month and represents the sixth most popular site worldwide. These reasons have led to choosing such a platform as a field of investigation. </w:t>
      </w:r>
    </w:p>
    <w:p w14:paraId="00000055" w14:textId="77777777" w:rsidR="007D6CD8" w:rsidRDefault="005961DB">
      <w:pPr>
        <w:spacing w:line="360" w:lineRule="auto"/>
        <w:ind w:firstLine="708"/>
        <w:jc w:val="both"/>
      </w:pPr>
      <w:r>
        <w:t>The observed asynchronous threads (approximately 230 threads), coming from the forums and from the social networks, were observed for a period of over six months (from the beginning of March to the end September 2020) and covered threads belonging to the the period from 2016 to 2020.</w:t>
      </w:r>
    </w:p>
    <w:p w14:paraId="00000056" w14:textId="77777777" w:rsidR="007D6CD8" w:rsidRDefault="005961DB">
      <w:pPr>
        <w:spacing w:line="360" w:lineRule="auto"/>
        <w:ind w:firstLine="708"/>
        <w:jc w:val="both"/>
      </w:pPr>
      <w:r>
        <w:t>The forms of collaboration amongst the mod community members are relatively diverse. Advice concerning technical details is asked for and openly given on the forums. The forums are also used as a source of feedback: released beta versions are advertised to receive comments and bug reports.</w:t>
      </w:r>
    </w:p>
    <w:p w14:paraId="00000057" w14:textId="77777777" w:rsidR="007D6CD8" w:rsidRDefault="007D6CD8">
      <w:pPr>
        <w:spacing w:line="360" w:lineRule="auto"/>
        <w:ind w:firstLine="708"/>
        <w:jc w:val="both"/>
        <w:rPr>
          <w:b/>
        </w:rPr>
      </w:pPr>
    </w:p>
    <w:p w14:paraId="00000058" w14:textId="77777777" w:rsidR="007D6CD8" w:rsidRDefault="005961DB">
      <w:pPr>
        <w:spacing w:line="360" w:lineRule="auto"/>
        <w:ind w:firstLine="708"/>
        <w:jc w:val="both"/>
        <w:rPr>
          <w:b/>
          <w:i/>
        </w:rPr>
      </w:pPr>
      <w:r>
        <w:rPr>
          <w:b/>
          <w:i/>
        </w:rPr>
        <w:t>Qualitative results</w:t>
      </w:r>
    </w:p>
    <w:p w14:paraId="00000059" w14:textId="77777777" w:rsidR="007D6CD8" w:rsidRDefault="005961DB">
      <w:pPr>
        <w:spacing w:line="360" w:lineRule="auto"/>
        <w:ind w:firstLine="708"/>
        <w:jc w:val="both"/>
      </w:pPr>
      <w:r>
        <w:t xml:space="preserve">The study adopts an interpretive methodology to identify themes emerging from the analysis of the data. According to Yin (2013), the analytic framework comprised three stages: (1) immersion in the conversations and selection of any kind of post that related to our research question: Why modders stop publishing mods? (2) identification of common recurrent themes and (3) analysis of shared themes. The final stage was undertaken by all four investigators in order to blend the quantitative and qualitative phases at best and involved categorical aggregation and the search for emerging patterns. The data was revisited to search for relationships between the quantitative results and the shared themes and the different concepts that had emerged in the qualitative phase. Viewing a thread means viewing a list of posts in chronological order from the oldest to the newest (the oldest from 2016 to today’s ones). For long threads, the most commented posts were selected and analyzed. More than 230 threads were selected which underwent several rounds of discussions to define an initial sense of what was in the data that concerned modders’ rationale, motivations, needs, and thoughts related to stopping publishing mods. Although international in scope, postings on these platforms primarily occurred in English. As the texts, videos, threads we observed across the three </w:t>
      </w:r>
      <w:r>
        <w:lastRenderedPageBreak/>
        <w:t>platforms were similar in content we collapsed them into one large data set. Threads were subject to open and selective coding (Emerson, Fretz, and Shaw, 1995, p. 143) simultaneously: open coding allowed for the identification of unanticipated patterns or repetitions, while selective coding looked specifically for topics that had already come up in my past observations or participant interviews. Consequently, the search for meaning was a search for patterns and consistency within certain conditions. Reliability assessment was independently repeated by two of the authors analyzing a randomly chosen 10 threads per game as a reliability check, which scored 81%. The items on which there was no initial consent were shared, discussed and agreed on.</w:t>
      </w:r>
    </w:p>
    <w:p w14:paraId="0000005A" w14:textId="77777777" w:rsidR="007D6CD8" w:rsidRDefault="005961DB">
      <w:pPr>
        <w:spacing w:line="360" w:lineRule="auto"/>
        <w:ind w:firstLine="708"/>
        <w:jc w:val="both"/>
      </w:pPr>
      <w:r>
        <w:t>Using these initial perceptions, we generated a starting list of codes, which included ideas about modders’ different interactions with the community and perceptions of their contribution to it. From there, we returned to the data to conduct a systematic analysis of the themes that arose. After several iterations of coding, we categorized the findings across two dimensions 1. The actor(s) involved; 2. The specific motive that may explain why modders stop publishing.</w:t>
      </w:r>
    </w:p>
    <w:p w14:paraId="0000005B" w14:textId="77777777" w:rsidR="007D6CD8" w:rsidRDefault="005961DB">
      <w:pPr>
        <w:spacing w:line="360" w:lineRule="auto"/>
        <w:ind w:firstLine="708"/>
        <w:jc w:val="both"/>
      </w:pPr>
      <w:r>
        <w:t>The analysis of the ongoing discussions among the members of the different communities has revealed that a background of negativity is present, in terms of a sense of frustration, disappointment, and, also, betrayal. Within the community there are numerous textual and visual graphic posts that show how dynamic and complex this type of community is. Figure 2 visualizes the key themes emerging from the qualitative analysis’ results.</w:t>
      </w:r>
    </w:p>
    <w:p w14:paraId="0000005C" w14:textId="77777777" w:rsidR="007D6CD8" w:rsidRDefault="007D6CD8">
      <w:pPr>
        <w:spacing w:line="360" w:lineRule="auto"/>
        <w:ind w:firstLine="708"/>
        <w:jc w:val="both"/>
      </w:pPr>
    </w:p>
    <w:p w14:paraId="0000005D" w14:textId="77777777" w:rsidR="007D6CD8" w:rsidRDefault="005961DB">
      <w:pPr>
        <w:spacing w:line="360" w:lineRule="auto"/>
        <w:jc w:val="center"/>
      </w:pPr>
      <w:r>
        <w:t>[FIGURE 2 AROUND HERE]</w:t>
      </w:r>
    </w:p>
    <w:p w14:paraId="0000005E" w14:textId="77777777" w:rsidR="007D6CD8" w:rsidRDefault="007D6CD8">
      <w:pPr>
        <w:spacing w:after="200" w:line="276" w:lineRule="auto"/>
        <w:rPr>
          <w:b/>
        </w:rPr>
      </w:pPr>
    </w:p>
    <w:p w14:paraId="0000005F" w14:textId="77777777" w:rsidR="007D6CD8" w:rsidRDefault="005961DB">
      <w:pPr>
        <w:spacing w:line="360" w:lineRule="auto"/>
        <w:ind w:firstLine="708"/>
        <w:jc w:val="both"/>
        <w:rPr>
          <w:b/>
          <w:i/>
        </w:rPr>
      </w:pPr>
      <w:r>
        <w:rPr>
          <w:b/>
          <w:i/>
        </w:rPr>
        <w:t>Modders Versus Producers</w:t>
      </w:r>
    </w:p>
    <w:p w14:paraId="00000060" w14:textId="77777777" w:rsidR="007D6CD8" w:rsidRDefault="005961DB">
      <w:pPr>
        <w:spacing w:line="360" w:lineRule="auto"/>
        <w:ind w:firstLine="708"/>
        <w:jc w:val="both"/>
      </w:pPr>
      <w:r>
        <w:t>The most recurrent detrimental behaviours refer to the relation between modders and producers. The online conversations indicate that Modders tend to experience and complain about the following deviant behaviours.</w:t>
      </w:r>
    </w:p>
    <w:p w14:paraId="00000061" w14:textId="77777777" w:rsidR="007D6CD8" w:rsidRDefault="005961DB">
      <w:pPr>
        <w:spacing w:line="360" w:lineRule="auto"/>
        <w:jc w:val="both"/>
      </w:pPr>
      <w:r>
        <w:t xml:space="preserve"> </w:t>
      </w:r>
    </w:p>
    <w:p w14:paraId="00000062" w14:textId="77777777" w:rsidR="007D6CD8" w:rsidRDefault="005961DB">
      <w:pPr>
        <w:spacing w:line="360" w:lineRule="auto"/>
        <w:ind w:firstLine="708"/>
        <w:jc w:val="both"/>
        <w:rPr>
          <w:b/>
          <w:i/>
        </w:rPr>
      </w:pPr>
      <w:r>
        <w:rPr>
          <w:b/>
          <w:i/>
        </w:rPr>
        <w:t xml:space="preserve">Lack of support service </w:t>
      </w:r>
    </w:p>
    <w:p w14:paraId="00000063" w14:textId="77777777" w:rsidR="007D6CD8" w:rsidRDefault="005961DB">
      <w:pPr>
        <w:spacing w:line="360" w:lineRule="auto"/>
        <w:ind w:firstLine="708"/>
        <w:jc w:val="both"/>
      </w:pPr>
      <w:r>
        <w:t xml:space="preserve">Tension, conflict and frustration emerge from modders who resent the lack of sustain from the producers in their efforts. In this outburst the consumer wonders if the producers actually cares whether modders may encounter in their gaming experience. </w:t>
      </w:r>
    </w:p>
    <w:p w14:paraId="00000064" w14:textId="77777777" w:rsidR="007D6CD8" w:rsidRDefault="005961DB">
      <w:pPr>
        <w:spacing w:line="360" w:lineRule="auto"/>
        <w:ind w:firstLine="708"/>
      </w:pPr>
      <w:r>
        <w:t>In the case below the game problem reported by the annoyed consumer was ignored for the first few days, but the response he got after months of waiting turned out to be useless; in addition, the modder complains that this response was automatically generated by a bot.</w:t>
      </w:r>
    </w:p>
    <w:p w14:paraId="00000065" w14:textId="77777777" w:rsidR="007D6CD8" w:rsidRDefault="007D6CD8">
      <w:pPr>
        <w:spacing w:line="360" w:lineRule="auto"/>
      </w:pPr>
    </w:p>
    <w:p w14:paraId="00000066" w14:textId="77777777" w:rsidR="007D6CD8" w:rsidRDefault="005961DB">
      <w:pPr>
        <w:jc w:val="both"/>
        <w:rPr>
          <w:i/>
          <w:sz w:val="20"/>
          <w:szCs w:val="20"/>
        </w:rPr>
      </w:pPr>
      <w:r>
        <w:rPr>
          <w:sz w:val="20"/>
          <w:szCs w:val="20"/>
        </w:rPr>
        <w:t>Jake:</w:t>
      </w:r>
      <w:r>
        <w:rPr>
          <w:i/>
          <w:sz w:val="20"/>
          <w:szCs w:val="20"/>
        </w:rPr>
        <w:t xml:space="preserve"> “No they do not. I emailed </w:t>
      </w:r>
      <w:r>
        <w:rPr>
          <w:sz w:val="20"/>
          <w:szCs w:val="20"/>
        </w:rPr>
        <w:t>(Name of the game)</w:t>
      </w:r>
      <w:r>
        <w:rPr>
          <w:i/>
          <w:sz w:val="20"/>
          <w:szCs w:val="20"/>
        </w:rPr>
        <w:t xml:space="preserve"> support about something a few months ago and still no reply. I had to email epic. They instantly gave me a response, but just kept giving me bots”.</w:t>
      </w:r>
    </w:p>
    <w:p w14:paraId="00000067" w14:textId="77777777" w:rsidR="007D6CD8" w:rsidRDefault="005961DB">
      <w:pPr>
        <w:pBdr>
          <w:top w:val="nil"/>
          <w:left w:val="nil"/>
          <w:bottom w:val="nil"/>
          <w:right w:val="nil"/>
          <w:between w:val="nil"/>
        </w:pBdr>
        <w:jc w:val="both"/>
        <w:rPr>
          <w:i/>
          <w:sz w:val="20"/>
          <w:szCs w:val="20"/>
        </w:rPr>
      </w:pPr>
      <w:r>
        <w:rPr>
          <w:sz w:val="20"/>
          <w:szCs w:val="20"/>
        </w:rPr>
        <w:lastRenderedPageBreak/>
        <w:t>Alex:</w:t>
      </w:r>
      <w:r>
        <w:rPr>
          <w:i/>
          <w:sz w:val="20"/>
          <w:szCs w:val="20"/>
        </w:rPr>
        <w:t xml:space="preserve"> “Does support care? No. Because they are like every other support and farmed out to some third world country where the can pay people less than half of what domestic workers cost and to them you're just another ticket on thier daily quota. I doubt many of them have even played core video games let alone </w:t>
      </w:r>
      <w:r>
        <w:rPr>
          <w:sz w:val="20"/>
          <w:szCs w:val="20"/>
        </w:rPr>
        <w:t>(Name of the game)</w:t>
      </w:r>
      <w:r>
        <w:rPr>
          <w:i/>
          <w:sz w:val="20"/>
          <w:szCs w:val="20"/>
        </w:rPr>
        <w:t>”</w:t>
      </w:r>
    </w:p>
    <w:p w14:paraId="00000068" w14:textId="77777777" w:rsidR="007D6CD8" w:rsidRDefault="007D6CD8">
      <w:pPr>
        <w:spacing w:line="360" w:lineRule="auto"/>
        <w:jc w:val="both"/>
      </w:pPr>
    </w:p>
    <w:p w14:paraId="00000069" w14:textId="77777777" w:rsidR="007D6CD8" w:rsidRDefault="005961DB">
      <w:pPr>
        <w:spacing w:line="360" w:lineRule="auto"/>
        <w:ind w:firstLine="708"/>
        <w:jc w:val="both"/>
      </w:pPr>
      <w:r>
        <w:t>One of the main complaints is that the platform has failed to keep its promise to the community to do everything possible to make modders “powerful and invincible”, as the following sentence highlights:</w:t>
      </w:r>
    </w:p>
    <w:p w14:paraId="0000006A" w14:textId="77777777" w:rsidR="007D6CD8" w:rsidRDefault="007D6CD8">
      <w:pPr>
        <w:spacing w:line="360" w:lineRule="auto"/>
        <w:jc w:val="both"/>
      </w:pPr>
    </w:p>
    <w:p w14:paraId="0000006B" w14:textId="77777777" w:rsidR="007D6CD8" w:rsidRDefault="005961DB">
      <w:pPr>
        <w:jc w:val="both"/>
        <w:rPr>
          <w:i/>
        </w:rPr>
      </w:pPr>
      <w:r>
        <w:rPr>
          <w:sz w:val="20"/>
          <w:szCs w:val="20"/>
        </w:rPr>
        <w:t>“</w:t>
      </w:r>
      <w:r>
        <w:rPr>
          <w:i/>
          <w:sz w:val="20"/>
          <w:szCs w:val="20"/>
        </w:rPr>
        <w:t xml:space="preserve">The lag is ridiculous. Each attempt at “fixing” the problem has either introduced more issues or made the lag even worse…. I wish </w:t>
      </w:r>
      <w:r>
        <w:rPr>
          <w:sz w:val="20"/>
          <w:szCs w:val="20"/>
        </w:rPr>
        <w:t>(Name of the producer)</w:t>
      </w:r>
      <w:r>
        <w:rPr>
          <w:i/>
          <w:sz w:val="20"/>
          <w:szCs w:val="20"/>
        </w:rPr>
        <w:t xml:space="preserve"> would pull back on the “we have to do whatever possible to keep people feeling powerful and mighty” </w:t>
      </w:r>
      <w:r>
        <w:rPr>
          <w:sz w:val="20"/>
          <w:szCs w:val="20"/>
        </w:rPr>
        <w:t>Marcia</w:t>
      </w:r>
      <w:r>
        <w:rPr>
          <w:i/>
        </w:rPr>
        <w:t>.</w:t>
      </w:r>
    </w:p>
    <w:p w14:paraId="0000006C" w14:textId="77777777" w:rsidR="007D6CD8" w:rsidRDefault="007D6CD8">
      <w:pPr>
        <w:spacing w:line="360" w:lineRule="auto"/>
        <w:ind w:firstLine="708"/>
        <w:jc w:val="both"/>
        <w:rPr>
          <w:i/>
        </w:rPr>
      </w:pPr>
    </w:p>
    <w:p w14:paraId="0000006D" w14:textId="77777777" w:rsidR="007D6CD8" w:rsidRDefault="005961DB">
      <w:pPr>
        <w:spacing w:line="360" w:lineRule="auto"/>
        <w:ind w:firstLine="708"/>
        <w:jc w:val="both"/>
        <w:rPr>
          <w:i/>
        </w:rPr>
      </w:pPr>
      <w:r>
        <w:t>Modders feel disappointed and let-down and express disapproval of having been “abandoned”.</w:t>
      </w:r>
    </w:p>
    <w:p w14:paraId="0000006E" w14:textId="77777777" w:rsidR="007D6CD8" w:rsidRDefault="005961DB">
      <w:pPr>
        <w:spacing w:line="360" w:lineRule="auto"/>
        <w:ind w:firstLine="708"/>
        <w:jc w:val="both"/>
      </w:pPr>
      <w:r>
        <w:t>Another element that emerges from the analysis is the loss of motivation to mod because of a "bug" that causes discomfort in the player, but also in the modder who is unable to reach his/her goal. This lack of motivation also makes the modder lose the sense of "challenge”.</w:t>
      </w:r>
    </w:p>
    <w:p w14:paraId="0000006F" w14:textId="77777777" w:rsidR="007D6CD8" w:rsidRDefault="005961DB">
      <w:pPr>
        <w:spacing w:line="360" w:lineRule="auto"/>
        <w:ind w:firstLine="708"/>
        <w:jc w:val="both"/>
      </w:pPr>
      <w:r>
        <w:t>The sense of impatience towards undelivered promises diverts modders to other games, not necessarily better, but offering more fun.</w:t>
      </w:r>
    </w:p>
    <w:p w14:paraId="00000070" w14:textId="77777777" w:rsidR="007D6CD8" w:rsidRDefault="007D6CD8">
      <w:pPr>
        <w:spacing w:line="360" w:lineRule="auto"/>
        <w:jc w:val="both"/>
        <w:rPr>
          <w:b/>
        </w:rPr>
      </w:pPr>
    </w:p>
    <w:p w14:paraId="00000071" w14:textId="77777777" w:rsidR="007D6CD8" w:rsidRDefault="005961DB">
      <w:pPr>
        <w:spacing w:line="360" w:lineRule="auto"/>
        <w:ind w:firstLine="708"/>
        <w:jc w:val="both"/>
        <w:rPr>
          <w:b/>
          <w:i/>
        </w:rPr>
      </w:pPr>
      <w:r>
        <w:rPr>
          <w:b/>
          <w:i/>
        </w:rPr>
        <w:t>Content appropriation - exploitation</w:t>
      </w:r>
    </w:p>
    <w:p w14:paraId="00000072" w14:textId="77777777" w:rsidR="007D6CD8" w:rsidRDefault="005961DB">
      <w:pPr>
        <w:spacing w:line="360" w:lineRule="auto"/>
        <w:ind w:firstLine="708"/>
        <w:jc w:val="both"/>
      </w:pPr>
      <w:r>
        <w:t>Many modders clearly follow a sort of open source approach in which the development work is seen more as a communal project, teaming up to work towards a common goal. Modification of someone else’s work is not regarded as theft but more as paying homage to a good job, as long as the author of the original is credited for his or her part. However, this does not seem always the case, as the extract below indicates. Modders should be free to decide how their work is distributed, and not forced to keep working for free. Free labor and exploitation have been discussed in connection to computer game modifications, where the tension between commercial logics of authorship and intellectual property on the one hand, and having an open community that follows best practices on the other, is discussed in the literature. Modders in general do not usually get a paid to make games, unless they are unusually successful by winning an open modding competition for example (Sotamaa 2005).</w:t>
      </w:r>
    </w:p>
    <w:p w14:paraId="00000073" w14:textId="77777777" w:rsidR="007D6CD8" w:rsidRDefault="005961DB">
      <w:pPr>
        <w:spacing w:line="360" w:lineRule="auto"/>
        <w:ind w:firstLine="708"/>
        <w:jc w:val="both"/>
      </w:pPr>
      <w:r>
        <w:t>Terranova (2000) considers unwaged labor – work processes shifted from the factory to society - a significant force in advanced capitalist societies and Postigo (2007) discusses how voluntary activities including participation in mailing lists and web forums, website building and modifying software packages are key activities in the creation of value in the online gaming industry. The following extract is evidence of strong feelings of outrage and loathing as a reaction to the producer’s perceived immoral actions.</w:t>
      </w:r>
    </w:p>
    <w:p w14:paraId="00000074" w14:textId="77777777" w:rsidR="007D6CD8" w:rsidRDefault="007D6CD8">
      <w:pPr>
        <w:rPr>
          <w:sz w:val="20"/>
          <w:szCs w:val="20"/>
        </w:rPr>
      </w:pPr>
    </w:p>
    <w:p w14:paraId="00000075" w14:textId="77777777" w:rsidR="007D6CD8" w:rsidRDefault="005961DB">
      <w:pPr>
        <w:jc w:val="both"/>
        <w:rPr>
          <w:i/>
          <w:strike/>
          <w:sz w:val="20"/>
          <w:szCs w:val="20"/>
        </w:rPr>
      </w:pPr>
      <w:r>
        <w:rPr>
          <w:sz w:val="20"/>
          <w:szCs w:val="20"/>
        </w:rPr>
        <w:t>Jason:</w:t>
      </w:r>
      <w:r>
        <w:rPr>
          <w:i/>
          <w:sz w:val="20"/>
          <w:szCs w:val="20"/>
        </w:rPr>
        <w:t xml:space="preserve"> RIP </w:t>
      </w:r>
      <w:r>
        <w:rPr>
          <w:sz w:val="20"/>
          <w:szCs w:val="20"/>
        </w:rPr>
        <w:t>(Name of the game)</w:t>
      </w:r>
      <w:r>
        <w:rPr>
          <w:i/>
          <w:strike/>
          <w:sz w:val="20"/>
          <w:szCs w:val="20"/>
        </w:rPr>
        <w:t>.</w:t>
      </w:r>
      <w:r>
        <w:rPr>
          <w:i/>
          <w:sz w:val="20"/>
          <w:szCs w:val="20"/>
        </w:rPr>
        <w:t xml:space="preserve"> We saw the writing on the wall with 4 and the creation club, and 76 was the last nail in the coffin. </w:t>
      </w:r>
      <w:r>
        <w:rPr>
          <w:sz w:val="20"/>
          <w:szCs w:val="20"/>
        </w:rPr>
        <w:t xml:space="preserve">(Name of the producer) </w:t>
      </w:r>
      <w:r>
        <w:rPr>
          <w:i/>
          <w:sz w:val="20"/>
          <w:szCs w:val="20"/>
        </w:rPr>
        <w:t xml:space="preserve">is now a company run by corrupt, immoral, lazy, predators of its own fan base. No gaming company has ever been able to last long with such a culture, except maybe </w:t>
      </w:r>
      <w:r>
        <w:rPr>
          <w:sz w:val="20"/>
          <w:szCs w:val="20"/>
        </w:rPr>
        <w:t>(Name of another producer)</w:t>
      </w:r>
      <w:r>
        <w:rPr>
          <w:i/>
          <w:sz w:val="20"/>
          <w:szCs w:val="20"/>
        </w:rPr>
        <w:t xml:space="preserve">. But </w:t>
      </w:r>
      <w:r>
        <w:rPr>
          <w:sz w:val="20"/>
          <w:szCs w:val="20"/>
        </w:rPr>
        <w:t>(Name of the producer)</w:t>
      </w:r>
      <w:r>
        <w:rPr>
          <w:i/>
          <w:sz w:val="20"/>
          <w:szCs w:val="20"/>
        </w:rPr>
        <w:t xml:space="preserve"> is no EA...so bye </w:t>
      </w:r>
      <w:r>
        <w:rPr>
          <w:sz w:val="20"/>
          <w:szCs w:val="20"/>
        </w:rPr>
        <w:t>(Name of the game)</w:t>
      </w:r>
      <w:r>
        <w:rPr>
          <w:i/>
          <w:sz w:val="20"/>
          <w:szCs w:val="20"/>
        </w:rPr>
        <w:t>!!!</w:t>
      </w:r>
    </w:p>
    <w:p w14:paraId="00000076" w14:textId="77777777" w:rsidR="007D6CD8" w:rsidRDefault="007D6CD8">
      <w:pPr>
        <w:spacing w:line="360" w:lineRule="auto"/>
        <w:ind w:left="567"/>
        <w:jc w:val="both"/>
        <w:rPr>
          <w:i/>
        </w:rPr>
      </w:pPr>
    </w:p>
    <w:p w14:paraId="00000077" w14:textId="77777777" w:rsidR="007D6CD8" w:rsidRDefault="005961DB">
      <w:pPr>
        <w:spacing w:line="360" w:lineRule="auto"/>
        <w:jc w:val="both"/>
      </w:pPr>
      <w:r>
        <w:t>No credit nor recognition by the producer are strongly condemned, as the following extract indicates:</w:t>
      </w:r>
    </w:p>
    <w:p w14:paraId="00000078" w14:textId="77777777" w:rsidR="007D6CD8" w:rsidRDefault="005961DB">
      <w:pPr>
        <w:jc w:val="both"/>
        <w:rPr>
          <w:i/>
          <w:sz w:val="20"/>
          <w:szCs w:val="20"/>
        </w:rPr>
      </w:pPr>
      <w:r>
        <w:rPr>
          <w:sz w:val="20"/>
          <w:szCs w:val="20"/>
        </w:rPr>
        <w:t>Pixelated Dreams:</w:t>
      </w:r>
      <w:r>
        <w:rPr>
          <w:i/>
          <w:sz w:val="20"/>
          <w:szCs w:val="20"/>
        </w:rPr>
        <w:t xml:space="preserve"> You have to be an idiot to make a mod for Creation Club. They basically own your work and can do anything with it in the future and try to sell it as full fledged DLC. It's like making a brand new companion for </w:t>
      </w:r>
      <w:r>
        <w:rPr>
          <w:sz w:val="20"/>
          <w:szCs w:val="20"/>
        </w:rPr>
        <w:t>(Name of the game)</w:t>
      </w:r>
      <w:r>
        <w:rPr>
          <w:i/>
          <w:strike/>
          <w:sz w:val="20"/>
          <w:szCs w:val="20"/>
        </w:rPr>
        <w:t>.</w:t>
      </w:r>
      <w:r>
        <w:rPr>
          <w:i/>
          <w:sz w:val="20"/>
          <w:szCs w:val="20"/>
        </w:rPr>
        <w:t xml:space="preserve"> with a backstory, voicelines, and character design, and so on in Creation Club. </w:t>
      </w:r>
      <w:r>
        <w:rPr>
          <w:sz w:val="20"/>
          <w:szCs w:val="20"/>
        </w:rPr>
        <w:t>(Name of the producer)</w:t>
      </w:r>
      <w:r>
        <w:rPr>
          <w:i/>
          <w:sz w:val="20"/>
          <w:szCs w:val="20"/>
        </w:rPr>
        <w:t xml:space="preserve">.  decides to put YOUR COMPANION in </w:t>
      </w:r>
      <w:r>
        <w:rPr>
          <w:sz w:val="20"/>
          <w:szCs w:val="20"/>
        </w:rPr>
        <w:t>(Name of the game)</w:t>
      </w:r>
      <w:r>
        <w:rPr>
          <w:i/>
          <w:sz w:val="20"/>
          <w:szCs w:val="20"/>
        </w:rPr>
        <w:t xml:space="preserve">. You might think "Aww how cute! An easter egg!" NOPE no hints of easter egg they will just pretend like they came up with this character from the beginning and your credit for creating your character? NONE! No acknowledgment, no reference, no nothing. Oh yeah your companion you created is the main character for their </w:t>
      </w:r>
      <w:r>
        <w:rPr>
          <w:sz w:val="20"/>
          <w:szCs w:val="20"/>
        </w:rPr>
        <w:t>(Name of the game)</w:t>
      </w:r>
      <w:r>
        <w:rPr>
          <w:i/>
          <w:sz w:val="20"/>
          <w:szCs w:val="20"/>
        </w:rPr>
        <w:t>. expansion... yeah. It's disgusting.</w:t>
      </w:r>
    </w:p>
    <w:p w14:paraId="00000079" w14:textId="77777777" w:rsidR="007D6CD8" w:rsidRDefault="007D6CD8">
      <w:pPr>
        <w:spacing w:line="360" w:lineRule="auto"/>
        <w:ind w:left="567"/>
        <w:jc w:val="both"/>
        <w:rPr>
          <w:i/>
        </w:rPr>
      </w:pPr>
    </w:p>
    <w:p w14:paraId="0000007A" w14:textId="77777777" w:rsidR="007D6CD8" w:rsidRDefault="005961DB">
      <w:pPr>
        <w:spacing w:line="360" w:lineRule="auto"/>
        <w:ind w:firstLine="708"/>
        <w:jc w:val="both"/>
      </w:pPr>
      <w:r>
        <w:t>Feelings of anger and outrage are shared with the community. Intense, uncontrolled emotions that are an increasingly hostile response to a perceived injury and injustice from the producer, who is represented as strongly distrustful. Modders feel violated and powerless, believing the producer is legally responsible for violations of copyright and trademark infringements without however being able to stand up. The producer, in the following case, is responsible of a lack of control over the community misbehaviours.</w:t>
      </w:r>
    </w:p>
    <w:p w14:paraId="0000007B" w14:textId="77777777" w:rsidR="007D6CD8" w:rsidRDefault="007D6CD8"/>
    <w:p w14:paraId="0000007C" w14:textId="77777777" w:rsidR="007D6CD8" w:rsidRDefault="005961DB">
      <w:pPr>
        <w:jc w:val="both"/>
        <w:rPr>
          <w:sz w:val="20"/>
          <w:szCs w:val="20"/>
        </w:rPr>
      </w:pPr>
      <w:r>
        <w:rPr>
          <w:sz w:val="20"/>
          <w:szCs w:val="20"/>
        </w:rPr>
        <w:t xml:space="preserve">John: </w:t>
      </w:r>
      <w:r>
        <w:rPr>
          <w:i/>
          <w:sz w:val="20"/>
          <w:szCs w:val="20"/>
        </w:rPr>
        <w:t xml:space="preserve">there are multiple Stolen mods on the </w:t>
      </w:r>
      <w:r>
        <w:rPr>
          <w:sz w:val="20"/>
          <w:szCs w:val="20"/>
        </w:rPr>
        <w:t>(Name of the community)</w:t>
      </w:r>
      <w:r>
        <w:rPr>
          <w:i/>
          <w:sz w:val="20"/>
          <w:szCs w:val="20"/>
        </w:rPr>
        <w:t xml:space="preserve"> website, (there is one in particular that I know of, that the original creator, created for (Name of the game), ported to Game, but this modder doesn't have (Name of the game), a Creation Club Membership, ect..) Multiple mods that are in Violation of Copyright, and Trademark laws. Modders work hard to create mods, and others come along and steal mods, and (Name of the producer) allows it, and charges for it! It's sickening to say the least. I wonder how Marvel and D.C. Comics would feel about their characters being used in a mod on </w:t>
      </w:r>
      <w:r>
        <w:rPr>
          <w:i/>
          <w:sz w:val="20"/>
          <w:szCs w:val="20"/>
          <w:u w:val="single"/>
        </w:rPr>
        <w:t>(Name of the producer).net</w:t>
      </w:r>
      <w:r>
        <w:rPr>
          <w:i/>
          <w:sz w:val="20"/>
          <w:szCs w:val="20"/>
        </w:rPr>
        <w:t>, without permission or compensation? (Name of the producer ) is 100% legally responsible for all Violations of Copyright, and Trademark infringements, because (Name of the producer ) owns the Website because they allow it to continue. Truth 2: (Name of the producer) has stolen mods from the modder community and used it in (Name of the game), which (Name of the producer) seems to feel is OK to do.</w:t>
      </w:r>
    </w:p>
    <w:p w14:paraId="0000007D" w14:textId="77777777" w:rsidR="007D6CD8" w:rsidRDefault="007D6CD8">
      <w:pPr>
        <w:pBdr>
          <w:top w:val="nil"/>
          <w:left w:val="nil"/>
          <w:bottom w:val="nil"/>
          <w:right w:val="nil"/>
          <w:between w:val="nil"/>
        </w:pBdr>
        <w:spacing w:line="360" w:lineRule="auto"/>
        <w:jc w:val="both"/>
        <w:rPr>
          <w:i/>
          <w:sz w:val="22"/>
          <w:szCs w:val="22"/>
        </w:rPr>
      </w:pPr>
    </w:p>
    <w:p w14:paraId="0000007E" w14:textId="77777777" w:rsidR="007D6CD8" w:rsidRDefault="005961DB">
      <w:pPr>
        <w:spacing w:line="360" w:lineRule="auto"/>
        <w:ind w:firstLine="708"/>
        <w:jc w:val="both"/>
        <w:rPr>
          <w:b/>
          <w:i/>
        </w:rPr>
      </w:pPr>
      <w:r>
        <w:rPr>
          <w:b/>
          <w:i/>
        </w:rPr>
        <w:t>Planned Obsolescence</w:t>
      </w:r>
    </w:p>
    <w:p w14:paraId="0000007F" w14:textId="77777777" w:rsidR="007D6CD8" w:rsidRDefault="005961DB">
      <w:pPr>
        <w:spacing w:line="360" w:lineRule="auto"/>
        <w:ind w:firstLine="708"/>
        <w:jc w:val="both"/>
      </w:pPr>
      <w:r>
        <w:t>Today, popular mods can significantly extend the lifespan of a game title and particularly successful works of mod community can make the jump from mod to a retail title. However, producers are shown to deliberately reduce the resale value of previous production by focusing on introducing new generations with large quality improvements as indicated in the following post. Such actions leave modders demotivated by lack of challenge.</w:t>
      </w:r>
    </w:p>
    <w:p w14:paraId="00000080" w14:textId="77777777" w:rsidR="007D6CD8" w:rsidRDefault="007D6CD8"/>
    <w:p w14:paraId="00000081" w14:textId="77777777" w:rsidR="007D6CD8" w:rsidRDefault="005961DB">
      <w:r>
        <w:rPr>
          <w:sz w:val="20"/>
          <w:szCs w:val="20"/>
        </w:rPr>
        <w:t>Hahnchen:</w:t>
      </w:r>
      <w:r>
        <w:t xml:space="preserve"> </w:t>
      </w:r>
      <w:r>
        <w:rPr>
          <w:i/>
          <w:sz w:val="20"/>
          <w:szCs w:val="20"/>
        </w:rPr>
        <w:t xml:space="preserve">Developers may not want to “extend the lifetime by years. </w:t>
      </w:r>
      <w:r>
        <w:rPr>
          <w:sz w:val="20"/>
          <w:szCs w:val="20"/>
        </w:rPr>
        <w:t>(Name of the game)</w:t>
      </w:r>
      <w:r>
        <w:rPr>
          <w:i/>
          <w:sz w:val="20"/>
          <w:szCs w:val="20"/>
        </w:rPr>
        <w:t xml:space="preserve"> is released once a year for a reason. They charge more than the tyoical RRP for the game, charge for cosmetics, and charge for maps, and they’re very successful at doing so.</w:t>
      </w:r>
    </w:p>
    <w:p w14:paraId="00000082" w14:textId="77777777" w:rsidR="007D6CD8" w:rsidRDefault="007D6CD8">
      <w:pPr>
        <w:spacing w:after="200" w:line="276" w:lineRule="auto"/>
      </w:pPr>
    </w:p>
    <w:p w14:paraId="00000083" w14:textId="77777777" w:rsidR="007D6CD8" w:rsidRDefault="005961DB">
      <w:pPr>
        <w:spacing w:after="200" w:line="276" w:lineRule="auto"/>
        <w:ind w:firstLine="720"/>
        <w:rPr>
          <w:b/>
          <w:i/>
        </w:rPr>
      </w:pPr>
      <w:r>
        <w:rPr>
          <w:b/>
          <w:i/>
        </w:rPr>
        <w:t>Modders Versus Modders</w:t>
      </w:r>
    </w:p>
    <w:p w14:paraId="00000084" w14:textId="77777777" w:rsidR="007D6CD8" w:rsidRDefault="005961DB">
      <w:pPr>
        <w:spacing w:line="360" w:lineRule="auto"/>
        <w:ind w:firstLine="708"/>
        <w:jc w:val="both"/>
        <w:rPr>
          <w:b/>
          <w:i/>
          <w:highlight w:val="white"/>
        </w:rPr>
      </w:pPr>
      <w:r>
        <w:rPr>
          <w:b/>
          <w:i/>
          <w:highlight w:val="white"/>
        </w:rPr>
        <w:t>Stealing</w:t>
      </w:r>
    </w:p>
    <w:p w14:paraId="00000085" w14:textId="77777777" w:rsidR="007D6CD8" w:rsidRDefault="005961DB">
      <w:pPr>
        <w:spacing w:line="360" w:lineRule="auto"/>
        <w:ind w:firstLine="708"/>
        <w:jc w:val="both"/>
      </w:pPr>
      <w:r>
        <w:rPr>
          <w:highlight w:val="white"/>
        </w:rPr>
        <w:lastRenderedPageBreak/>
        <w:t>Another recurrent theme occurs when modders steal content (or at least ideas) from other modders.</w:t>
      </w:r>
    </w:p>
    <w:p w14:paraId="00000086" w14:textId="77777777" w:rsidR="007D6CD8" w:rsidRDefault="005961DB">
      <w:pPr>
        <w:spacing w:line="360" w:lineRule="auto"/>
        <w:ind w:firstLine="708"/>
        <w:jc w:val="both"/>
        <w:rPr>
          <w:highlight w:val="white"/>
        </w:rPr>
      </w:pPr>
      <w:r>
        <w:rPr>
          <w:highlight w:val="white"/>
        </w:rPr>
        <w:t>When modders use an animation system from another modder without express permission, this becomes a reason while modders stop modding a specific game. The following extract indicates a strong betrayal and desperate quest to report this “modder from modder” theft:</w:t>
      </w:r>
    </w:p>
    <w:p w14:paraId="00000087" w14:textId="77777777" w:rsidR="007D6CD8" w:rsidRDefault="007D6CD8">
      <w:pPr>
        <w:spacing w:line="360" w:lineRule="auto"/>
        <w:ind w:firstLine="708"/>
        <w:jc w:val="both"/>
        <w:rPr>
          <w:highlight w:val="white"/>
        </w:rPr>
      </w:pPr>
    </w:p>
    <w:p w14:paraId="00000088" w14:textId="77777777" w:rsidR="007D6CD8" w:rsidRDefault="005961DB">
      <w:pPr>
        <w:rPr>
          <w:i/>
          <w:sz w:val="20"/>
          <w:szCs w:val="20"/>
        </w:rPr>
      </w:pPr>
      <w:r>
        <w:rPr>
          <w:sz w:val="20"/>
          <w:szCs w:val="20"/>
        </w:rPr>
        <w:t>ShadowDragon:</w:t>
      </w:r>
      <w:r>
        <w:rPr>
          <w:i/>
          <w:sz w:val="20"/>
          <w:szCs w:val="20"/>
        </w:rPr>
        <w:t xml:space="preserve"> </w:t>
      </w:r>
      <w:r>
        <w:rPr>
          <w:sz w:val="20"/>
          <w:szCs w:val="20"/>
        </w:rPr>
        <w:t>(Name of a Modder)</w:t>
      </w:r>
      <w:r>
        <w:rPr>
          <w:i/>
          <w:sz w:val="20"/>
          <w:szCs w:val="20"/>
        </w:rPr>
        <w:t xml:space="preserve"> felt my mod was unbalanced, so he ripped off my mod, changed some numbers, and reuploaded it under the name “</w:t>
      </w:r>
      <w:r>
        <w:rPr>
          <w:sz w:val="20"/>
          <w:szCs w:val="20"/>
        </w:rPr>
        <w:t xml:space="preserve">(Name of the Mod)” </w:t>
      </w:r>
      <w:r>
        <w:rPr>
          <w:i/>
          <w:sz w:val="20"/>
          <w:szCs w:val="20"/>
        </w:rPr>
        <w:t>which he has since changed to “</w:t>
      </w:r>
      <w:r>
        <w:rPr>
          <w:sz w:val="20"/>
          <w:szCs w:val="20"/>
        </w:rPr>
        <w:t>(Re-Name of the Mod)”</w:t>
      </w:r>
    </w:p>
    <w:p w14:paraId="00000089" w14:textId="77777777" w:rsidR="007D6CD8" w:rsidRDefault="007D6CD8">
      <w:pPr>
        <w:rPr>
          <w:i/>
          <w:sz w:val="20"/>
          <w:szCs w:val="20"/>
        </w:rPr>
      </w:pPr>
    </w:p>
    <w:p w14:paraId="0000008A" w14:textId="77777777" w:rsidR="007D6CD8" w:rsidRDefault="005961DB">
      <w:pPr>
        <w:rPr>
          <w:i/>
          <w:sz w:val="20"/>
          <w:szCs w:val="20"/>
        </w:rPr>
      </w:pPr>
      <w:r>
        <w:rPr>
          <w:i/>
          <w:sz w:val="20"/>
          <w:szCs w:val="20"/>
        </w:rPr>
        <w:t xml:space="preserve">To be clear, he did not take apart my mod to learn how to recreate it; above is a text diff comparing my mod, on the left, and his, on the right. He has blatantly copied my files, deleted one comment, changed some numbers, and reuploaded it, so people could unsubscribe from my mod and subscribe to his without breaking their saved games. </w:t>
      </w:r>
    </w:p>
    <w:p w14:paraId="0000008B" w14:textId="77777777" w:rsidR="007D6CD8" w:rsidRDefault="005961DB">
      <w:pPr>
        <w:rPr>
          <w:i/>
          <w:sz w:val="20"/>
          <w:szCs w:val="20"/>
        </w:rPr>
      </w:pPr>
      <w:r>
        <w:rPr>
          <w:i/>
          <w:sz w:val="20"/>
          <w:szCs w:val="20"/>
        </w:rPr>
        <w:t xml:space="preserve">I find this infuriating, and I hope that if enough people report his mod for being stolen on the </w:t>
      </w:r>
      <w:r>
        <w:rPr>
          <w:sz w:val="20"/>
          <w:szCs w:val="20"/>
        </w:rPr>
        <w:t>(Name of the platform),</w:t>
      </w:r>
      <w:r>
        <w:rPr>
          <w:i/>
          <w:sz w:val="20"/>
          <w:szCs w:val="20"/>
        </w:rPr>
        <w:t xml:space="preserve"> </w:t>
      </w:r>
      <w:r>
        <w:rPr>
          <w:sz w:val="20"/>
          <w:szCs w:val="20"/>
        </w:rPr>
        <w:t>(Name of a producer)</w:t>
      </w:r>
      <w:r>
        <w:rPr>
          <w:i/>
          <w:sz w:val="20"/>
          <w:szCs w:val="20"/>
        </w:rPr>
        <w:t xml:space="preserve"> will take it down.</w:t>
      </w:r>
    </w:p>
    <w:p w14:paraId="0000008C" w14:textId="77777777" w:rsidR="007D6CD8" w:rsidRDefault="007D6CD8">
      <w:pPr>
        <w:rPr>
          <w:i/>
          <w:sz w:val="20"/>
          <w:szCs w:val="20"/>
        </w:rPr>
      </w:pPr>
    </w:p>
    <w:p w14:paraId="0000008D" w14:textId="77777777" w:rsidR="007D6CD8" w:rsidRDefault="005961DB">
      <w:pPr>
        <w:rPr>
          <w:i/>
          <w:sz w:val="20"/>
          <w:szCs w:val="20"/>
        </w:rPr>
      </w:pPr>
      <w:r>
        <w:rPr>
          <w:i/>
          <w:sz w:val="20"/>
          <w:szCs w:val="20"/>
        </w:rPr>
        <w:t>Please help me, please register your disapproval of mod theft.</w:t>
      </w:r>
    </w:p>
    <w:p w14:paraId="0000008E" w14:textId="77777777" w:rsidR="007D6CD8" w:rsidRDefault="007D6CD8">
      <w:pPr>
        <w:spacing w:line="360" w:lineRule="auto"/>
        <w:jc w:val="both"/>
      </w:pPr>
    </w:p>
    <w:p w14:paraId="0000008F" w14:textId="77777777" w:rsidR="007D6CD8" w:rsidRDefault="005961DB">
      <w:pPr>
        <w:spacing w:after="200" w:line="276" w:lineRule="auto"/>
        <w:jc w:val="both"/>
      </w:pPr>
      <w:r>
        <w:rPr>
          <w:highlight w:val="white"/>
        </w:rPr>
        <w:t xml:space="preserve">Also, a quest to producer is launched. It is another case where a </w:t>
      </w:r>
      <w:r>
        <w:t xml:space="preserve">Modder uses stolen assets in one of his works made for sale without asking permission to the original owner. </w:t>
      </w:r>
      <w:r>
        <w:rPr>
          <w:highlight w:val="white"/>
        </w:rPr>
        <w:t>The willingness to stop cocreating value for the community is explicit, as expressed in a strongly disillusioned manner in the following extract:</w:t>
      </w:r>
    </w:p>
    <w:p w14:paraId="00000090" w14:textId="77777777" w:rsidR="007D6CD8" w:rsidRDefault="005961DB">
      <w:pPr>
        <w:jc w:val="both"/>
      </w:pPr>
      <w:r>
        <w:rPr>
          <w:sz w:val="20"/>
          <w:szCs w:val="20"/>
          <w:highlight w:val="white"/>
        </w:rPr>
        <w:t xml:space="preserve">Chesko: </w:t>
      </w:r>
      <w:r>
        <w:rPr>
          <w:i/>
          <w:sz w:val="20"/>
          <w:szCs w:val="20"/>
          <w:highlight w:val="white"/>
        </w:rPr>
        <w:t xml:space="preserve">Unfortunately, I am beyond worn-down. My hobby has suddenly taken over my life and it needs to stop. </w:t>
      </w:r>
      <w:r>
        <w:rPr>
          <w:highlight w:val="white"/>
        </w:rPr>
        <w:t>In the Reddit post he suggested that leaving behind this mod world entirely is also an option.</w:t>
      </w:r>
      <w:r>
        <w:rPr>
          <w:i/>
          <w:sz w:val="20"/>
          <w:szCs w:val="20"/>
          <w:highlight w:val="white"/>
        </w:rPr>
        <w:t xml:space="preserve"> “I have other things I could spend my energy on,” he wrote. </w:t>
      </w:r>
      <w:r>
        <w:rPr>
          <w:highlight w:val="white"/>
        </w:rPr>
        <w:t>Since August 2020 he has deleted his Reddit account, in addition to multiple social media profiles.</w:t>
      </w:r>
    </w:p>
    <w:p w14:paraId="00000091" w14:textId="77777777" w:rsidR="007D6CD8" w:rsidRDefault="007D6CD8">
      <w:pPr>
        <w:spacing w:after="200" w:line="276" w:lineRule="auto"/>
        <w:rPr>
          <w:b/>
        </w:rPr>
      </w:pPr>
    </w:p>
    <w:p w14:paraId="00000092" w14:textId="77777777" w:rsidR="007D6CD8" w:rsidRDefault="005961DB">
      <w:pPr>
        <w:spacing w:line="360" w:lineRule="auto"/>
        <w:ind w:firstLine="708"/>
        <w:jc w:val="both"/>
        <w:rPr>
          <w:b/>
          <w:i/>
          <w:highlight w:val="white"/>
        </w:rPr>
      </w:pPr>
      <w:r>
        <w:rPr>
          <w:b/>
          <w:i/>
          <w:highlight w:val="white"/>
        </w:rPr>
        <w:t>Fierce competition</w:t>
      </w:r>
    </w:p>
    <w:p w14:paraId="00000093" w14:textId="77777777" w:rsidR="007D6CD8" w:rsidRDefault="005961DB">
      <w:pPr>
        <w:spacing w:after="200" w:line="276" w:lineRule="auto"/>
        <w:ind w:firstLine="708"/>
        <w:jc w:val="both"/>
      </w:pPr>
      <w:r>
        <w:t>While a certain level of competition has been assessed to be beneficial to cocreation, Modders showcase serious frustration because of the proliferation of similar, or even better, consumer generated content.</w:t>
      </w:r>
    </w:p>
    <w:p w14:paraId="00000094" w14:textId="77777777" w:rsidR="007D6CD8" w:rsidRDefault="005961DB">
      <w:pPr>
        <w:shd w:val="clear" w:color="auto" w:fill="FFFFFF"/>
        <w:rPr>
          <w:i/>
          <w:sz w:val="20"/>
          <w:szCs w:val="20"/>
        </w:rPr>
      </w:pPr>
      <w:r>
        <w:rPr>
          <w:sz w:val="20"/>
          <w:szCs w:val="20"/>
        </w:rPr>
        <w:t xml:space="preserve">OCD: </w:t>
      </w:r>
      <w:r>
        <w:rPr>
          <w:i/>
          <w:sz w:val="20"/>
          <w:szCs w:val="20"/>
        </w:rPr>
        <w:t>I start a new session minding my own business suddenly I'm being dropped out of my car as I'm driving and have things spawning on my head. I have spent all week modding and now I start yet another new session only to find it contains another new mod that would also, or maybe be better than mine! What the HELLL? I wonder if it’s worth it</w:t>
      </w:r>
    </w:p>
    <w:p w14:paraId="00000095" w14:textId="77777777" w:rsidR="007D6CD8" w:rsidRDefault="007D6CD8">
      <w:pPr>
        <w:spacing w:after="200" w:line="276" w:lineRule="auto"/>
        <w:rPr>
          <w:i/>
        </w:rPr>
      </w:pPr>
    </w:p>
    <w:p w14:paraId="00000096" w14:textId="77777777" w:rsidR="007D6CD8" w:rsidRDefault="005961DB">
      <w:pPr>
        <w:spacing w:after="200" w:line="276" w:lineRule="auto"/>
        <w:ind w:firstLine="708"/>
        <w:jc w:val="both"/>
      </w:pPr>
      <w:r>
        <w:t>Modders feel the pressure of competition, and sometimes they openly share how overwhelmed they are by it, expressing also kinds of admiration for other modders.</w:t>
      </w:r>
    </w:p>
    <w:p w14:paraId="00000097" w14:textId="77777777" w:rsidR="007D6CD8" w:rsidRDefault="005961DB">
      <w:pPr>
        <w:spacing w:after="200" w:line="276" w:lineRule="auto"/>
        <w:rPr>
          <w:i/>
          <w:sz w:val="20"/>
          <w:szCs w:val="20"/>
        </w:rPr>
      </w:pPr>
      <w:r>
        <w:rPr>
          <w:i/>
          <w:sz w:val="20"/>
          <w:szCs w:val="20"/>
        </w:rPr>
        <w:t>Etto: So much time put in the (Name of the Community) and I wonder if I should start playing tennis! When you see that a new jerk has released such a fun mod, well you look at his tutorial and you discover hesss 17. Yea I’ll book a lesson</w:t>
      </w:r>
    </w:p>
    <w:p w14:paraId="00000098" w14:textId="77777777" w:rsidR="007D6CD8" w:rsidRDefault="007D6CD8">
      <w:pPr>
        <w:spacing w:after="200" w:line="276" w:lineRule="auto"/>
        <w:rPr>
          <w:i/>
          <w:sz w:val="20"/>
          <w:szCs w:val="20"/>
        </w:rPr>
      </w:pPr>
    </w:p>
    <w:p w14:paraId="00000099" w14:textId="77777777" w:rsidR="007D6CD8" w:rsidRDefault="005961DB">
      <w:pPr>
        <w:spacing w:line="360" w:lineRule="auto"/>
        <w:ind w:firstLine="708"/>
        <w:jc w:val="both"/>
        <w:rPr>
          <w:b/>
          <w:i/>
        </w:rPr>
      </w:pPr>
      <w:r>
        <w:rPr>
          <w:b/>
          <w:i/>
        </w:rPr>
        <w:t>Modders Versus players Versus players (broader community)</w:t>
      </w:r>
    </w:p>
    <w:p w14:paraId="0000009A" w14:textId="77777777" w:rsidR="007D6CD8" w:rsidRDefault="005961DB">
      <w:pPr>
        <w:spacing w:line="360" w:lineRule="auto"/>
        <w:ind w:firstLine="708"/>
        <w:jc w:val="both"/>
      </w:pPr>
      <w:r>
        <w:t>The following themes refer to the dynamics of the broader community, where modders interact with players and where players interact with other players, focusing their conversations on producers as well.</w:t>
      </w:r>
    </w:p>
    <w:p w14:paraId="0000009B" w14:textId="77777777" w:rsidR="007D6CD8" w:rsidRDefault="007D6CD8">
      <w:pPr>
        <w:spacing w:line="360" w:lineRule="auto"/>
        <w:jc w:val="both"/>
        <w:rPr>
          <w:b/>
        </w:rPr>
      </w:pPr>
    </w:p>
    <w:p w14:paraId="0000009C" w14:textId="77777777" w:rsidR="007D6CD8" w:rsidRDefault="005961DB">
      <w:pPr>
        <w:spacing w:line="360" w:lineRule="auto"/>
        <w:ind w:firstLine="708"/>
        <w:jc w:val="both"/>
        <w:rPr>
          <w:b/>
          <w:i/>
        </w:rPr>
      </w:pPr>
      <w:r>
        <w:rPr>
          <w:b/>
          <w:i/>
        </w:rPr>
        <w:t>Toxic behaviours</w:t>
      </w:r>
    </w:p>
    <w:p w14:paraId="0000009D" w14:textId="77777777" w:rsidR="007D6CD8" w:rsidRDefault="005961DB">
      <w:pPr>
        <w:spacing w:line="360" w:lineRule="auto"/>
        <w:ind w:firstLine="708"/>
        <w:jc w:val="both"/>
      </w:pPr>
      <w:r>
        <w:t>By nature, some video games tend to frustrate people more. The reasons can be many, ranging from the inherent difficulty of the game to a simple issue such as unreliable servers. However, this study has unveiled the behaviours that destroy value for the community because of negative interactions between members, taking a step beyond a common level of frustration due to objective features of the game.</w:t>
      </w:r>
    </w:p>
    <w:p w14:paraId="0000009E" w14:textId="77777777" w:rsidR="007D6CD8" w:rsidRDefault="005961DB">
      <w:pPr>
        <w:spacing w:line="360" w:lineRule="auto"/>
        <w:ind w:firstLine="708"/>
        <w:jc w:val="both"/>
      </w:pPr>
      <w:r>
        <w:t>Cyberbullying and other toxic (i.e., “bad”) behavior such as mischief, and cheating are often grouped together and called toxic behavior and have become exceedingly problematic and common to find. The common use of slurs and other demeaning language creates an unwelcoming space, becoming a possible reason for not being willing to play and cocreate anymore.</w:t>
      </w:r>
    </w:p>
    <w:p w14:paraId="0000009F" w14:textId="77777777" w:rsidR="007D6CD8" w:rsidRDefault="005961DB">
      <w:pPr>
        <w:pBdr>
          <w:top w:val="nil"/>
          <w:left w:val="nil"/>
          <w:bottom w:val="nil"/>
          <w:right w:val="nil"/>
          <w:between w:val="nil"/>
        </w:pBdr>
        <w:shd w:val="clear" w:color="auto" w:fill="FFFFFF"/>
        <w:rPr>
          <w:i/>
          <w:sz w:val="20"/>
          <w:szCs w:val="20"/>
        </w:rPr>
      </w:pPr>
      <w:r>
        <w:rPr>
          <w:sz w:val="20"/>
          <w:szCs w:val="20"/>
        </w:rPr>
        <w:t>D1rtymalca:</w:t>
      </w:r>
      <w:r>
        <w:rPr>
          <w:i/>
          <w:sz w:val="20"/>
          <w:szCs w:val="20"/>
        </w:rPr>
        <w:t xml:space="preserve"> Because just like real life people who are shit at games/life get mad instead of getting better.they moan and blame others and try to bully them out the game .</w:t>
      </w:r>
    </w:p>
    <w:p w14:paraId="000000A0" w14:textId="77777777" w:rsidR="007D6CD8" w:rsidRDefault="007D6CD8">
      <w:pPr>
        <w:spacing w:line="360" w:lineRule="auto"/>
        <w:jc w:val="both"/>
      </w:pPr>
    </w:p>
    <w:p w14:paraId="000000A1" w14:textId="77777777" w:rsidR="007D6CD8" w:rsidRDefault="005961DB">
      <w:pPr>
        <w:spacing w:line="360" w:lineRule="auto"/>
        <w:ind w:firstLine="708"/>
        <w:jc w:val="both"/>
      </w:pPr>
      <w:r>
        <w:t>In online gaming negative behaviors can be easily found, for example when gamers deliberately destroy intricate structures created by others at will. This behaviour has led to the popularisation of the term 'griefing', which refers to the act of irritating and angering other gamers, notably concerning online games (Foo and Koivisto 2004). As the following modder expresses</w:t>
      </w:r>
    </w:p>
    <w:p w14:paraId="000000A2" w14:textId="77777777" w:rsidR="007D6CD8" w:rsidRDefault="007D6CD8">
      <w:pPr>
        <w:spacing w:line="360" w:lineRule="auto"/>
        <w:jc w:val="both"/>
      </w:pPr>
    </w:p>
    <w:p w14:paraId="000000A3" w14:textId="77777777" w:rsidR="007D6CD8" w:rsidRDefault="005961DB">
      <w:pPr>
        <w:pBdr>
          <w:top w:val="nil"/>
          <w:left w:val="nil"/>
          <w:bottom w:val="nil"/>
          <w:right w:val="nil"/>
          <w:between w:val="nil"/>
        </w:pBdr>
        <w:jc w:val="both"/>
        <w:rPr>
          <w:i/>
          <w:sz w:val="20"/>
          <w:szCs w:val="20"/>
        </w:rPr>
      </w:pPr>
      <w:r>
        <w:rPr>
          <w:sz w:val="20"/>
          <w:szCs w:val="20"/>
        </w:rPr>
        <w:t>Sephith5Darknesse:</w:t>
      </w:r>
      <w:r>
        <w:rPr>
          <w:i/>
          <w:sz w:val="20"/>
          <w:szCs w:val="20"/>
        </w:rPr>
        <w:t xml:space="preserve"> I honestly think that it </w:t>
      </w:r>
      <w:r>
        <w:rPr>
          <w:sz w:val="20"/>
          <w:szCs w:val="20"/>
        </w:rPr>
        <w:t>(referring to the term griefing mentioned in another post)</w:t>
      </w:r>
      <w:r>
        <w:rPr>
          <w:i/>
          <w:sz w:val="20"/>
          <w:szCs w:val="20"/>
        </w:rPr>
        <w:t xml:space="preserve"> leans more towards dehumanisation. Its much easier to think that someone doesn't matter online, and that can lead to people caring much less about how they feel, and not care about making jokes at their expense, or flat out insulting them. There are also much less chance of repercussions as well, reinforcing the behavior.</w:t>
      </w:r>
    </w:p>
    <w:p w14:paraId="000000A4" w14:textId="77777777" w:rsidR="007D6CD8" w:rsidRDefault="007D6CD8">
      <w:pPr>
        <w:pBdr>
          <w:top w:val="nil"/>
          <w:left w:val="nil"/>
          <w:bottom w:val="nil"/>
          <w:right w:val="nil"/>
          <w:between w:val="nil"/>
        </w:pBdr>
        <w:ind w:left="567"/>
        <w:rPr>
          <w:i/>
        </w:rPr>
      </w:pPr>
    </w:p>
    <w:p w14:paraId="000000A5" w14:textId="77777777" w:rsidR="007D6CD8" w:rsidRDefault="005961DB">
      <w:pPr>
        <w:spacing w:line="360" w:lineRule="auto"/>
        <w:ind w:firstLine="708"/>
        <w:jc w:val="both"/>
      </w:pPr>
      <w:r>
        <w:t xml:space="preserve">Cyberbullying is often reported as abusive behaviours in the forums this study has analyzed and generally refers to the use of technology to engage in bullying, consisting of direct and/or indirect aggression. Technology seems to enforce cyberbullying’s negative impacts, because of: “its accessibility, its perpetrator anonymity, its widespread dissemination, and the indelible quality of its information” (Chang et al., 2015, p. 258). </w:t>
      </w:r>
    </w:p>
    <w:p w14:paraId="000000A6" w14:textId="77777777" w:rsidR="007D6CD8" w:rsidRDefault="005961DB">
      <w:pPr>
        <w:spacing w:line="360" w:lineRule="auto"/>
        <w:ind w:firstLine="708"/>
        <w:jc w:val="both"/>
      </w:pPr>
      <w:r>
        <w:t>Cyberbullying can make players, even in single player games, feel totally victimized and fragile which can lead to great distress and the desire to quit playing.</w:t>
      </w:r>
    </w:p>
    <w:p w14:paraId="000000A7" w14:textId="77777777" w:rsidR="007D6CD8" w:rsidRDefault="007D6CD8">
      <w:pPr>
        <w:pBdr>
          <w:top w:val="nil"/>
          <w:left w:val="nil"/>
          <w:bottom w:val="nil"/>
          <w:right w:val="nil"/>
          <w:between w:val="nil"/>
        </w:pBdr>
        <w:rPr>
          <w:sz w:val="20"/>
          <w:szCs w:val="20"/>
        </w:rPr>
      </w:pPr>
    </w:p>
    <w:p w14:paraId="000000A8" w14:textId="77777777" w:rsidR="007D6CD8" w:rsidRDefault="005961DB">
      <w:pPr>
        <w:pBdr>
          <w:top w:val="nil"/>
          <w:left w:val="nil"/>
          <w:bottom w:val="nil"/>
          <w:right w:val="nil"/>
          <w:between w:val="nil"/>
        </w:pBdr>
        <w:jc w:val="both"/>
        <w:rPr>
          <w:sz w:val="20"/>
          <w:szCs w:val="20"/>
        </w:rPr>
      </w:pPr>
      <w:r>
        <w:rPr>
          <w:sz w:val="20"/>
          <w:szCs w:val="20"/>
        </w:rPr>
        <w:t>Clore: “</w:t>
      </w:r>
      <w:r>
        <w:rPr>
          <w:i/>
          <w:sz w:val="20"/>
          <w:szCs w:val="20"/>
        </w:rPr>
        <w:t>I have been told: oh yeah I PWN (</w:t>
      </w:r>
      <w:r>
        <w:rPr>
          <w:sz w:val="20"/>
          <w:szCs w:val="20"/>
        </w:rPr>
        <w:t>which stands for</w:t>
      </w:r>
      <w:r>
        <w:rPr>
          <w:i/>
          <w:sz w:val="20"/>
          <w:szCs w:val="20"/>
        </w:rPr>
        <w:t xml:space="preserve"> </w:t>
      </w:r>
      <w:r>
        <w:rPr>
          <w:sz w:val="20"/>
          <w:szCs w:val="20"/>
        </w:rPr>
        <w:t xml:space="preserve">‘pone’ and refers to completely defeating an opponent) </w:t>
      </w:r>
      <w:r>
        <w:rPr>
          <w:i/>
          <w:sz w:val="20"/>
          <w:szCs w:val="20"/>
        </w:rPr>
        <w:t xml:space="preserve">you’... I feel really bad and... dn’t want to play that game anymore”. </w:t>
      </w:r>
    </w:p>
    <w:p w14:paraId="000000A9" w14:textId="77777777" w:rsidR="007D6CD8" w:rsidRDefault="007D6CD8">
      <w:pPr>
        <w:pBdr>
          <w:top w:val="nil"/>
          <w:left w:val="nil"/>
          <w:bottom w:val="nil"/>
          <w:right w:val="nil"/>
          <w:between w:val="nil"/>
        </w:pBdr>
        <w:shd w:val="clear" w:color="auto" w:fill="FFFFFF"/>
      </w:pPr>
    </w:p>
    <w:p w14:paraId="000000AA" w14:textId="77777777" w:rsidR="007D6CD8" w:rsidRDefault="005961DB">
      <w:pPr>
        <w:pBdr>
          <w:top w:val="nil"/>
          <w:left w:val="nil"/>
          <w:bottom w:val="nil"/>
          <w:right w:val="nil"/>
          <w:between w:val="nil"/>
        </w:pBdr>
        <w:shd w:val="clear" w:color="auto" w:fill="FFFFFF"/>
        <w:rPr>
          <w:i/>
        </w:rPr>
      </w:pPr>
      <w:r>
        <w:t>Such antisocial behavior are behaviours that intentionally disturb another people’s convenience.</w:t>
      </w:r>
    </w:p>
    <w:p w14:paraId="000000AB" w14:textId="77777777" w:rsidR="007D6CD8" w:rsidRDefault="007D6CD8">
      <w:pPr>
        <w:spacing w:line="360" w:lineRule="auto"/>
        <w:jc w:val="both"/>
      </w:pPr>
    </w:p>
    <w:p w14:paraId="000000AC" w14:textId="77777777" w:rsidR="007D6CD8" w:rsidRDefault="005961DB">
      <w:pPr>
        <w:spacing w:line="360" w:lineRule="auto"/>
        <w:ind w:firstLine="709"/>
        <w:jc w:val="both"/>
        <w:rPr>
          <w:b/>
          <w:i/>
        </w:rPr>
      </w:pPr>
      <w:r>
        <w:rPr>
          <w:b/>
          <w:i/>
        </w:rPr>
        <w:t>Moddaholic</w:t>
      </w:r>
    </w:p>
    <w:p w14:paraId="000000AD" w14:textId="77777777" w:rsidR="007D6CD8" w:rsidRDefault="005961DB">
      <w:pPr>
        <w:spacing w:line="360" w:lineRule="auto"/>
        <w:ind w:firstLine="709"/>
        <w:jc w:val="both"/>
        <w:rPr>
          <w:i/>
          <w:sz w:val="20"/>
          <w:szCs w:val="20"/>
          <w:u w:val="single"/>
        </w:rPr>
      </w:pPr>
      <w:r>
        <w:t>“</w:t>
      </w:r>
      <w:r>
        <w:rPr>
          <w:i/>
        </w:rPr>
        <w:t>Moddaholic</w:t>
      </w:r>
      <w:r>
        <w:t xml:space="preserve">” is a term that the community uses to define a person who is addicted to modding and cannot stop from doing it, enacting compulsive behaviours. Much like someone with an </w:t>
      </w:r>
      <w:r>
        <w:lastRenderedPageBreak/>
        <w:t xml:space="preserve">addiction, a gamer with a “mod” addiction, achieves a “high” from modding. Modders spend much more time modding than initially intended. Albeit </w:t>
      </w:r>
      <w:r>
        <w:rPr>
          <w:i/>
        </w:rPr>
        <w:t>moddaholic</w:t>
      </w:r>
      <w:r>
        <w:t xml:space="preserve"> is a socially acceptable, it may reinforce “toxicity problem” that affects most gaming environments. This kind of obsession affects the whole community by creating a negative atmosphere, as illustrated in the quote </w:t>
      </w:r>
      <w:r>
        <w:rPr>
          <w:sz w:val="20"/>
          <w:szCs w:val="20"/>
        </w:rPr>
        <w:t>“</w:t>
      </w:r>
      <w:r>
        <w:rPr>
          <w:i/>
          <w:sz w:val="20"/>
          <w:szCs w:val="20"/>
        </w:rPr>
        <w:t xml:space="preserve">the way you complain about a video game is just a proof of how some people have the wrong priorities. People should enjoy video games instead of taking them to the point of addictions. That's why I downvoted, you made me read some worthless moaning about a known bug that will probably will be solved in a week or less” </w:t>
      </w:r>
      <w:r>
        <w:rPr>
          <w:sz w:val="20"/>
          <w:szCs w:val="20"/>
        </w:rPr>
        <w:t>Kincyc.</w:t>
      </w:r>
    </w:p>
    <w:p w14:paraId="000000AE" w14:textId="77777777" w:rsidR="007D6CD8" w:rsidRDefault="005961DB">
      <w:pPr>
        <w:spacing w:line="360" w:lineRule="auto"/>
        <w:jc w:val="both"/>
      </w:pPr>
      <w:r>
        <w:t>It becomes apparent that a key factor for the success of cocreation is the good relationship that must be established amongst players, and it must be constantly monitored. If this is not done, many players may decrease their activity within the community for fear of being contradicted by other consumers.</w:t>
      </w:r>
    </w:p>
    <w:p w14:paraId="000000AF" w14:textId="77777777" w:rsidR="007D6CD8" w:rsidRDefault="007D6CD8">
      <w:pPr>
        <w:spacing w:line="360" w:lineRule="auto"/>
        <w:jc w:val="both"/>
      </w:pPr>
    </w:p>
    <w:p w14:paraId="000000B0" w14:textId="77777777" w:rsidR="007D6CD8" w:rsidRDefault="005961DB">
      <w:pPr>
        <w:spacing w:line="360" w:lineRule="auto"/>
        <w:ind w:firstLine="708"/>
        <w:jc w:val="both"/>
        <w:rPr>
          <w:b/>
          <w:i/>
        </w:rPr>
      </w:pPr>
      <w:r>
        <w:rPr>
          <w:b/>
          <w:i/>
        </w:rPr>
        <w:t>Exploitation</w:t>
      </w:r>
    </w:p>
    <w:p w14:paraId="000000B1" w14:textId="77777777" w:rsidR="007D6CD8" w:rsidRDefault="005961DB">
      <w:pPr>
        <w:spacing w:line="360" w:lineRule="auto"/>
        <w:ind w:firstLine="708"/>
        <w:jc w:val="both"/>
      </w:pPr>
      <w:r>
        <w:t xml:space="preserve">A general support and emotional closeness are given from players to modders when a content creation is not recognized and the producer is believed responsible. This is evidence that consumer generated content exploitation is badly perceived by the community in general. Comments from players empathizing with the creator of a mod who is complaining of no recognition from the producer are very common, such as: </w:t>
      </w:r>
      <w:r>
        <w:rPr>
          <w:i/>
          <w:sz w:val="20"/>
          <w:szCs w:val="20"/>
        </w:rPr>
        <w:t xml:space="preserve">“I get what you mean about losing the motivation, I resent any kind of new stuff they do”, </w:t>
      </w:r>
      <w:r>
        <w:rPr>
          <w:sz w:val="20"/>
          <w:szCs w:val="20"/>
        </w:rPr>
        <w:t>JoD</w:t>
      </w:r>
      <w:r>
        <w:rPr>
          <w:i/>
          <w:sz w:val="20"/>
          <w:szCs w:val="20"/>
        </w:rPr>
        <w:t xml:space="preserve">; “I stopped playing it, I feel with you …” </w:t>
      </w:r>
      <w:r>
        <w:rPr>
          <w:sz w:val="20"/>
          <w:szCs w:val="20"/>
        </w:rPr>
        <w:t>Mazzda2</w:t>
      </w:r>
      <w:r>
        <w:t>.</w:t>
      </w:r>
    </w:p>
    <w:p w14:paraId="000000B2" w14:textId="77777777" w:rsidR="007D6CD8" w:rsidRDefault="005961DB">
      <w:pPr>
        <w:spacing w:line="360" w:lineRule="auto"/>
        <w:ind w:firstLine="708"/>
        <w:jc w:val="both"/>
      </w:pPr>
      <w:r>
        <w:t xml:space="preserve">The situation just described shows how there is a twofold response from the community: if on the one hand they are happy for the modder who realized the concept, on the other hand they show perplexity and disappointment for not seeing any kind of recognition for the modder’s creative work. </w:t>
      </w:r>
    </w:p>
    <w:p w14:paraId="000000B3" w14:textId="77777777" w:rsidR="007D6CD8" w:rsidRDefault="005961DB">
      <w:pPr>
        <w:spacing w:line="360" w:lineRule="auto"/>
        <w:jc w:val="both"/>
      </w:pPr>
      <w:r>
        <w:t>The appropriation of content by the producers or other actors is not a new phenomenon in the community and this generates several conflicting opinions among players as it has been possible to observe.</w:t>
      </w:r>
    </w:p>
    <w:p w14:paraId="000000B4" w14:textId="77777777" w:rsidR="007D6CD8" w:rsidRDefault="005961DB">
      <w:pPr>
        <w:spacing w:line="360" w:lineRule="auto"/>
        <w:ind w:firstLine="708"/>
        <w:jc w:val="both"/>
      </w:pPr>
      <w:r>
        <w:t>There are different opinions, but the focus of the discussion is to acknowledge that the company is making the players’ experience less exciting. The consumer feeling ignored finds people in the online community who share the same problem, the sense of sharing in this case becomes a communal sense of frustration.</w:t>
      </w:r>
    </w:p>
    <w:p w14:paraId="000000B5" w14:textId="77777777" w:rsidR="007D6CD8" w:rsidRDefault="005961DB">
      <w:pPr>
        <w:spacing w:line="360" w:lineRule="auto"/>
        <w:ind w:firstLine="708"/>
        <w:jc w:val="both"/>
      </w:pPr>
      <w:r>
        <w:t>The visual post below expresses a criticism in the form of humor; the player has created an image that represents the flowchart of the producer’s decision making (Figure 2). From the visual emerges how the producer is committed to ruin the game and irritate the players in every possible way, sure however that consumers, even if they threaten to leave the game, will never translate this threat into a concrete action (as evidenced by the arrows). The criticism, in the form of humorous content is an example of how the producer has lost credibility turning into an object of derision. More than a thousand people positively reacted to the post.</w:t>
      </w:r>
    </w:p>
    <w:p w14:paraId="000000B6" w14:textId="77777777" w:rsidR="007D6CD8" w:rsidRDefault="007D6CD8">
      <w:pPr>
        <w:spacing w:line="360" w:lineRule="auto"/>
        <w:ind w:firstLine="708"/>
        <w:jc w:val="both"/>
      </w:pPr>
    </w:p>
    <w:p w14:paraId="000000B7" w14:textId="77777777" w:rsidR="007D6CD8" w:rsidRDefault="005961DB">
      <w:pPr>
        <w:spacing w:line="360" w:lineRule="auto"/>
        <w:jc w:val="center"/>
      </w:pPr>
      <w:r>
        <w:lastRenderedPageBreak/>
        <w:t>[FIGURE 3 AROUND HERE]</w:t>
      </w:r>
    </w:p>
    <w:p w14:paraId="000000B8" w14:textId="77777777" w:rsidR="007D6CD8" w:rsidRDefault="007D6CD8">
      <w:pPr>
        <w:spacing w:line="360" w:lineRule="auto"/>
        <w:jc w:val="both"/>
      </w:pPr>
    </w:p>
    <w:p w14:paraId="000000B9" w14:textId="77777777" w:rsidR="007D6CD8" w:rsidRDefault="005961DB">
      <w:pPr>
        <w:spacing w:line="360" w:lineRule="auto"/>
        <w:jc w:val="both"/>
      </w:pPr>
      <w:r>
        <w:t>From the netnographic research it is clear that within the community a strong resentment is present. The table below summarizes the key emotions felt in response to perceived misbehaviours.</w:t>
      </w:r>
    </w:p>
    <w:p w14:paraId="000000BA" w14:textId="77777777" w:rsidR="007D6CD8" w:rsidRDefault="007D6CD8">
      <w:pPr>
        <w:spacing w:line="360" w:lineRule="auto"/>
        <w:jc w:val="both"/>
      </w:pPr>
    </w:p>
    <w:p w14:paraId="000000BB" w14:textId="77777777" w:rsidR="007D6CD8" w:rsidRDefault="005961DB">
      <w:pPr>
        <w:spacing w:line="360" w:lineRule="auto"/>
        <w:jc w:val="center"/>
      </w:pPr>
      <w:r>
        <w:t>[TABLE 2 AROUND HERE]</w:t>
      </w:r>
    </w:p>
    <w:p w14:paraId="000000BC" w14:textId="77777777" w:rsidR="007D6CD8" w:rsidRDefault="007D6CD8">
      <w:pPr>
        <w:spacing w:line="360" w:lineRule="auto"/>
        <w:jc w:val="both"/>
        <w:rPr>
          <w:b/>
        </w:rPr>
      </w:pPr>
    </w:p>
    <w:p w14:paraId="000000BD" w14:textId="77777777" w:rsidR="007D6CD8" w:rsidRDefault="005961DB">
      <w:pPr>
        <w:numPr>
          <w:ilvl w:val="0"/>
          <w:numId w:val="2"/>
        </w:numPr>
        <w:pBdr>
          <w:top w:val="nil"/>
          <w:left w:val="nil"/>
          <w:bottom w:val="nil"/>
          <w:right w:val="nil"/>
          <w:between w:val="nil"/>
        </w:pBdr>
        <w:spacing w:line="360" w:lineRule="auto"/>
        <w:jc w:val="both"/>
        <w:rPr>
          <w:b/>
          <w:color w:val="000000"/>
        </w:rPr>
      </w:pPr>
      <w:r>
        <w:rPr>
          <w:b/>
          <w:color w:val="000000"/>
        </w:rPr>
        <w:t>Discussion and conclusion</w:t>
      </w:r>
    </w:p>
    <w:p w14:paraId="000000BE" w14:textId="77777777" w:rsidR="007D6CD8" w:rsidRDefault="005961DB">
      <w:pPr>
        <w:numPr>
          <w:ilvl w:val="1"/>
          <w:numId w:val="2"/>
        </w:numPr>
        <w:pBdr>
          <w:top w:val="nil"/>
          <w:left w:val="nil"/>
          <w:bottom w:val="nil"/>
          <w:right w:val="nil"/>
          <w:between w:val="nil"/>
        </w:pBdr>
        <w:spacing w:line="360" w:lineRule="auto"/>
        <w:jc w:val="both"/>
        <w:rPr>
          <w:b/>
          <w:color w:val="000000"/>
        </w:rPr>
      </w:pPr>
      <w:r>
        <w:rPr>
          <w:b/>
          <w:color w:val="000000"/>
        </w:rPr>
        <w:t>Summary of main findings</w:t>
      </w:r>
    </w:p>
    <w:p w14:paraId="000000BF" w14:textId="48D4DE3D" w:rsidR="007D6CD8" w:rsidRDefault="005961DB">
      <w:pPr>
        <w:spacing w:line="360" w:lineRule="auto"/>
        <w:ind w:firstLine="708"/>
        <w:jc w:val="both"/>
      </w:pPr>
      <w:bookmarkStart w:id="0" w:name="_heading=h.30j0zll" w:colFirst="0" w:colLast="0"/>
      <w:bookmarkEnd w:id="0"/>
      <w:r w:rsidRPr="0035546C">
        <w:t>This study explores the drivers of consumer innovation and the reasons why cocreation processes can turn into codestruction. The suitable context of videogames modding communities provides the empirical field for a multi-method methodological approach.</w:t>
      </w:r>
    </w:p>
    <w:p w14:paraId="000000C0" w14:textId="77777777" w:rsidR="007D6CD8" w:rsidRDefault="005961DB">
      <w:pPr>
        <w:spacing w:line="360" w:lineRule="auto"/>
        <w:ind w:firstLine="708"/>
        <w:jc w:val="both"/>
      </w:pPr>
      <w:r>
        <w:t>The quantitative analysis shows that an increase in the size of the online consumer innovation communitiy initially motivates modders towards cocreation but such process finds a limit in the competitive pressure exerted by the raising number and quality of already existing mods. As long as the community of modders expands, modders endure creating and sharing their CGC within the community until it reaches a given size, after which their motivation to innovate decreases. A further factor affecting consumer innovation is the quality of existing mods, as measured by the number of mod downloads: when it increases, the number of newly generated mods decreases. A possible explanation of the result is that high quality mods are perceived by modders as a threat to their sucess and visibility within the community, which discourages them from continuing in their innovation effort. Lastly, the intensity of modding varies significantly over the weeks, suggesting that the obsolescence of the game, which translates into lack of attractiveness for modders, starts quickly to exert an effect that nevertheless becomes milder afterwards. Overall, the dynamics of mod creation and their success is what shapes the long-term incentive to innovate, more than the passing of time.</w:t>
      </w:r>
    </w:p>
    <w:p w14:paraId="000000C1" w14:textId="77777777" w:rsidR="007D6CD8" w:rsidRDefault="005961DB">
      <w:pPr>
        <w:spacing w:line="360" w:lineRule="auto"/>
        <w:ind w:firstLine="708"/>
        <w:jc w:val="both"/>
      </w:pPr>
      <w:r>
        <w:t xml:space="preserve">The qualitative netnographic analysis reveals what occurs when cocreation decreases within the community unveiling the unfavorable behaviors, the perception of fierce competition and the conflicts that emerge even in previously collaborative community. Because of such perceived misbehaviours in terms of </w:t>
      </w:r>
      <w:r>
        <w:rPr>
          <w:i/>
        </w:rPr>
        <w:t>lack of support, content appropriation, planned obsolescence, stealing, fierce competition, toxic behaviours, maddaholic, exploitation</w:t>
      </w:r>
      <w:r>
        <w:t>, modders experience strong feelings of distrust, frustration, anger and demotivation. Modders complain beyond technical failures addressing issues that relate to perceived injustuce and aggressive behaviours among the community. The analysis is informative about the structure of the community and the relationships within it. Modders who initially generated or intended to generate creative content divert from this intention because of negative interactions with community members.</w:t>
      </w:r>
    </w:p>
    <w:p w14:paraId="000000C2" w14:textId="77777777" w:rsidR="007D6CD8" w:rsidRDefault="007D6CD8">
      <w:pPr>
        <w:spacing w:line="360" w:lineRule="auto"/>
        <w:ind w:firstLine="708"/>
        <w:jc w:val="both"/>
      </w:pPr>
    </w:p>
    <w:p w14:paraId="000000C3" w14:textId="77777777" w:rsidR="007D6CD8" w:rsidRDefault="005961DB">
      <w:pPr>
        <w:numPr>
          <w:ilvl w:val="1"/>
          <w:numId w:val="2"/>
        </w:numPr>
        <w:pBdr>
          <w:top w:val="nil"/>
          <w:left w:val="nil"/>
          <w:bottom w:val="nil"/>
          <w:right w:val="nil"/>
          <w:between w:val="nil"/>
        </w:pBdr>
        <w:spacing w:line="360" w:lineRule="auto"/>
        <w:jc w:val="both"/>
        <w:rPr>
          <w:b/>
          <w:color w:val="000000"/>
        </w:rPr>
      </w:pPr>
      <w:r>
        <w:rPr>
          <w:b/>
          <w:color w:val="000000"/>
        </w:rPr>
        <w:t>Theoretical implications</w:t>
      </w:r>
    </w:p>
    <w:p w14:paraId="000000C4" w14:textId="77777777" w:rsidR="007D6CD8" w:rsidRDefault="005961DB">
      <w:pPr>
        <w:spacing w:line="360" w:lineRule="auto"/>
        <w:ind w:firstLine="708"/>
        <w:jc w:val="both"/>
      </w:pPr>
      <w:r>
        <w:t xml:space="preserve">From a theoretical standpoint, three main implications emerge. </w:t>
      </w:r>
    </w:p>
    <w:p w14:paraId="000000C5" w14:textId="77777777" w:rsidR="007D6CD8" w:rsidRDefault="005961DB">
      <w:pPr>
        <w:spacing w:line="360" w:lineRule="auto"/>
        <w:ind w:firstLine="708"/>
        <w:jc w:val="both"/>
      </w:pPr>
      <w:r>
        <w:t xml:space="preserve">First, the paper contributes to the consumer innovation field (von Hippel, 1998, 2005; von Hippel and Kaulartz, 2020) by confirming that motivations to create CGC depend on the size of consumer community in a non-monotonic way (Abrate and Menozzi, 2020) and by showing that such motivations decrease when the competition exerted by high quality CGC increases. In this respect, the paper advances the literature on consumer innovation by providing a characterization of the competition not just in terms of numerosity but also on the basis of the quality of CGC. </w:t>
      </w:r>
    </w:p>
    <w:p w14:paraId="000000C6" w14:textId="77777777" w:rsidR="007D6CD8" w:rsidRDefault="005961DB">
      <w:pPr>
        <w:spacing w:line="360" w:lineRule="auto"/>
        <w:ind w:firstLine="708"/>
        <w:jc w:val="both"/>
      </w:pPr>
      <w:r>
        <w:t xml:space="preserve">Second, the study contributes to the cocreation and codestruction literature (Plé and Chumpitaz, 2010; Vafeas et al., 2016) by proposing that the consumer innovation community is affected by a process of value codestruction that lead consumers to stop cocreating innovative contents. In particular, this work identifies the causes of codestruction from conflicts between different actors (modders, producers and players). On the one hand, the creation of value is propped up by creative consumers and their supporters through positive feedback (cocreation process); on the other hand, discontent and negative experiences drag the creation of value towards a process of value destruction (codestruction process). </w:t>
      </w:r>
    </w:p>
    <w:p w14:paraId="000000C7" w14:textId="77777777" w:rsidR="007D6CD8" w:rsidRDefault="005961DB">
      <w:pPr>
        <w:spacing w:line="360" w:lineRule="auto"/>
        <w:ind w:firstLine="708"/>
        <w:jc w:val="both"/>
      </w:pPr>
      <w:r>
        <w:t>The third contribution is methodological: the analysis adopts a sequential transformative mixed-method approach (Creswell et al., 2003) whose results present a level of breadth as well as depth that helps to improve the utility and generalizability of the qualitative findings.</w:t>
      </w:r>
      <w:r>
        <w:rPr>
          <w:highlight w:val="yellow"/>
        </w:rPr>
        <w:t xml:space="preserve"> </w:t>
      </w:r>
    </w:p>
    <w:p w14:paraId="000000C8" w14:textId="77777777" w:rsidR="007D6CD8" w:rsidRDefault="007D6CD8">
      <w:pPr>
        <w:spacing w:line="360" w:lineRule="auto"/>
        <w:ind w:firstLine="708"/>
        <w:jc w:val="both"/>
      </w:pPr>
    </w:p>
    <w:p w14:paraId="000000C9" w14:textId="77777777" w:rsidR="007D6CD8" w:rsidRDefault="005961DB">
      <w:pPr>
        <w:numPr>
          <w:ilvl w:val="1"/>
          <w:numId w:val="2"/>
        </w:numPr>
        <w:pBdr>
          <w:top w:val="nil"/>
          <w:left w:val="nil"/>
          <w:bottom w:val="nil"/>
          <w:right w:val="nil"/>
          <w:between w:val="nil"/>
        </w:pBdr>
        <w:spacing w:line="360" w:lineRule="auto"/>
        <w:jc w:val="both"/>
        <w:rPr>
          <w:b/>
          <w:color w:val="000000"/>
        </w:rPr>
      </w:pPr>
      <w:r>
        <w:rPr>
          <w:b/>
          <w:color w:val="000000"/>
        </w:rPr>
        <w:t xml:space="preserve"> Managerial implications</w:t>
      </w:r>
    </w:p>
    <w:p w14:paraId="000000CA" w14:textId="77777777" w:rsidR="007D6CD8" w:rsidRDefault="005961DB">
      <w:pPr>
        <w:pBdr>
          <w:top w:val="nil"/>
          <w:left w:val="nil"/>
          <w:bottom w:val="nil"/>
          <w:right w:val="nil"/>
          <w:between w:val="nil"/>
        </w:pBdr>
        <w:spacing w:line="360" w:lineRule="auto"/>
        <w:ind w:firstLine="709"/>
        <w:jc w:val="both"/>
      </w:pPr>
      <w:r>
        <w:t xml:space="preserve">The paper’s findings offer several managerial implications. Consumer innovation increases in intensity in early-stage communities of modders, thus sustaining the video games business through new and appealing complements. Nevertheless, the deflating effect that especially mod quality exerts on the consumer-producers innovation rate represents a challenge that video games producers should properly address. </w:t>
      </w:r>
    </w:p>
    <w:p w14:paraId="000000CB" w14:textId="77777777" w:rsidR="007D6CD8" w:rsidRDefault="005961DB">
      <w:pPr>
        <w:pBdr>
          <w:top w:val="nil"/>
          <w:left w:val="nil"/>
          <w:bottom w:val="nil"/>
          <w:right w:val="nil"/>
          <w:between w:val="nil"/>
        </w:pBdr>
        <w:spacing w:line="360" w:lineRule="auto"/>
        <w:ind w:firstLine="567"/>
        <w:jc w:val="both"/>
      </w:pPr>
      <w:r>
        <w:t>A company that aims to effectively implement the cocreation paradigm must, in order for it to be defined as such, maintain an active, positive and fair posture. It must stimulate and support creative initiatives and discourage misbehaviours amongst the community. Neglecting creative consumers leads to the development of members’ negative feelings and discontent, causing a potential network effect of value codestruction. Addressing consumer needs requires including a series of measures that increases members’ trust and engagement, going well beyond the classic after-sales customer care initiatives.</w:t>
      </w:r>
    </w:p>
    <w:p w14:paraId="000000CC" w14:textId="77777777" w:rsidR="007D6CD8" w:rsidRDefault="007D6CD8">
      <w:pPr>
        <w:pBdr>
          <w:top w:val="nil"/>
          <w:left w:val="nil"/>
          <w:bottom w:val="nil"/>
          <w:right w:val="nil"/>
          <w:between w:val="nil"/>
        </w:pBdr>
        <w:spacing w:line="360" w:lineRule="auto"/>
        <w:jc w:val="both"/>
        <w:rPr>
          <w:b/>
        </w:rPr>
      </w:pPr>
    </w:p>
    <w:p w14:paraId="000000CD" w14:textId="77777777" w:rsidR="007D6CD8" w:rsidRDefault="005961DB">
      <w:pPr>
        <w:numPr>
          <w:ilvl w:val="1"/>
          <w:numId w:val="2"/>
        </w:numPr>
        <w:pBdr>
          <w:top w:val="nil"/>
          <w:left w:val="nil"/>
          <w:bottom w:val="nil"/>
          <w:right w:val="nil"/>
          <w:between w:val="nil"/>
        </w:pBdr>
        <w:spacing w:line="360" w:lineRule="auto"/>
        <w:jc w:val="both"/>
        <w:rPr>
          <w:b/>
          <w:color w:val="000000"/>
        </w:rPr>
      </w:pPr>
      <w:r>
        <w:rPr>
          <w:b/>
          <w:color w:val="000000"/>
        </w:rPr>
        <w:lastRenderedPageBreak/>
        <w:t xml:space="preserve"> Limitations and future research</w:t>
      </w:r>
    </w:p>
    <w:p w14:paraId="000000CE" w14:textId="77777777" w:rsidR="007D6CD8" w:rsidRDefault="005961DB">
      <w:pPr>
        <w:spacing w:line="360" w:lineRule="auto"/>
        <w:ind w:firstLine="709"/>
        <w:jc w:val="both"/>
      </w:pPr>
      <w:r>
        <w:t>The quantitative empirical evidence presented in this paper is based on a panel dataset including five video games’ titles: while the focus on a limited number of video games allows to precisely track mods and downloads over the long period of time covered by the analysis (453 weeks), a broader set of video games would expand the comprehension of both the modders’ motivations as innovators and of their preferences as consumers. Future research could also explore how to include in the quantitative analysis the i</w:t>
      </w:r>
      <w:r>
        <w:rPr>
          <w:rFonts w:ascii="Times" w:eastAsia="Times" w:hAnsi="Times" w:cs="Times"/>
        </w:rPr>
        <w:t>nformation about the modders’ profile emerging from the qualitative study to assess the relative importance of consumers’ and CGC’s characteristics in the cocreation or codestruction processes.</w:t>
      </w:r>
    </w:p>
    <w:p w14:paraId="000000CF" w14:textId="77777777" w:rsidR="007D6CD8" w:rsidRDefault="005961DB">
      <w:pPr>
        <w:spacing w:line="360" w:lineRule="auto"/>
        <w:ind w:firstLine="709"/>
        <w:jc w:val="both"/>
      </w:pPr>
      <w:r>
        <w:t>Regarding the netnography method, it was utilized to explore a priori concepts that have been identified in the literature and in the quantitative research unveiling the reasons behind them. However, it relies on secondary data. Future research could direct its efforts in unveiling the most significant motivators for abandoning the online community through in-depth interviews with modders that have decided not only to stop contributing but to withdraw completely or act against the community. Finally, this research has focused on consumers perceptions and motives behind value codestruction. Including pruducers’ perspective, in terms of their reaction to the community’s hostility, would also enrich the understanding of the phenomenon.</w:t>
      </w:r>
    </w:p>
    <w:p w14:paraId="000000D0" w14:textId="77777777" w:rsidR="007D6CD8" w:rsidRDefault="007D6CD8">
      <w:pPr>
        <w:spacing w:line="360" w:lineRule="auto"/>
        <w:jc w:val="both"/>
        <w:rPr>
          <w:b/>
        </w:rPr>
      </w:pPr>
    </w:p>
    <w:p w14:paraId="000000D1" w14:textId="77777777" w:rsidR="007D6CD8" w:rsidRDefault="005961DB">
      <w:pPr>
        <w:rPr>
          <w:b/>
        </w:rPr>
      </w:pPr>
      <w:r>
        <w:br w:type="page"/>
      </w:r>
    </w:p>
    <w:p w14:paraId="000000D2" w14:textId="77777777" w:rsidR="007D6CD8" w:rsidRDefault="005961DB">
      <w:bookmarkStart w:id="1" w:name="_heading=h.gjdgxs" w:colFirst="0" w:colLast="0"/>
      <w:bookmarkEnd w:id="1"/>
      <w:r>
        <w:rPr>
          <w:b/>
        </w:rPr>
        <w:lastRenderedPageBreak/>
        <w:t>Table 1.</w:t>
      </w:r>
      <w:r>
        <w:t xml:space="preserve"> </w:t>
      </w:r>
      <w:r>
        <w:rPr>
          <w:b/>
        </w:rPr>
        <w:t>Quantitative analysis: determinants of new mods.</w:t>
      </w:r>
    </w:p>
    <w:p w14:paraId="000000D3" w14:textId="77777777" w:rsidR="007D6CD8" w:rsidRDefault="007D6CD8"/>
    <w:tbl>
      <w:tblPr>
        <w:tblStyle w:val="a"/>
        <w:tblW w:w="905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01"/>
        <w:gridCol w:w="2471"/>
        <w:gridCol w:w="2187"/>
        <w:gridCol w:w="2694"/>
      </w:tblGrid>
      <w:tr w:rsidR="007D6CD8" w14:paraId="5660EC87" w14:textId="77777777">
        <w:tc>
          <w:tcPr>
            <w:tcW w:w="1701" w:type="dxa"/>
            <w:tcBorders>
              <w:top w:val="single" w:sz="4" w:space="0" w:color="000000"/>
              <w:left w:val="single" w:sz="4" w:space="0" w:color="000000"/>
              <w:bottom w:val="single" w:sz="6" w:space="0" w:color="000000"/>
              <w:right w:val="single" w:sz="4" w:space="0" w:color="000000"/>
            </w:tcBorders>
            <w:vAlign w:val="center"/>
          </w:tcPr>
          <w:p w14:paraId="000000D4" w14:textId="77777777" w:rsidR="007D6CD8" w:rsidRDefault="005961DB">
            <w:pPr>
              <w:widowControl w:val="0"/>
              <w:ind w:left="-567" w:firstLine="567"/>
              <w:rPr>
                <w:b/>
              </w:rPr>
            </w:pPr>
            <w:r>
              <w:rPr>
                <w:b/>
              </w:rPr>
              <w:t>VARIABLES</w:t>
            </w:r>
          </w:p>
        </w:tc>
        <w:tc>
          <w:tcPr>
            <w:tcW w:w="2471" w:type="dxa"/>
            <w:tcBorders>
              <w:top w:val="single" w:sz="4" w:space="0" w:color="000000"/>
              <w:bottom w:val="single" w:sz="6" w:space="0" w:color="000000"/>
              <w:right w:val="single" w:sz="4" w:space="0" w:color="000000"/>
            </w:tcBorders>
            <w:vAlign w:val="center"/>
          </w:tcPr>
          <w:p w14:paraId="000000D5" w14:textId="77777777" w:rsidR="007D6CD8" w:rsidRDefault="005961DB">
            <w:pPr>
              <w:widowControl w:val="0"/>
              <w:ind w:left="-567" w:firstLine="567"/>
              <w:jc w:val="center"/>
              <w:rPr>
                <w:b/>
              </w:rPr>
            </w:pPr>
            <w:r>
              <w:rPr>
                <w:b/>
              </w:rPr>
              <w:t>Description</w:t>
            </w:r>
          </w:p>
        </w:tc>
        <w:tc>
          <w:tcPr>
            <w:tcW w:w="2187" w:type="dxa"/>
            <w:tcBorders>
              <w:top w:val="single" w:sz="4" w:space="0" w:color="000000"/>
              <w:bottom w:val="single" w:sz="6" w:space="0" w:color="000000"/>
              <w:right w:val="single" w:sz="4" w:space="0" w:color="000000"/>
            </w:tcBorders>
            <w:vAlign w:val="center"/>
          </w:tcPr>
          <w:p w14:paraId="000000D6" w14:textId="77777777" w:rsidR="007D6CD8" w:rsidRDefault="005961DB">
            <w:pPr>
              <w:widowControl w:val="0"/>
              <w:ind w:left="-567" w:firstLine="567"/>
              <w:jc w:val="center"/>
              <w:rPr>
                <w:b/>
              </w:rPr>
            </w:pPr>
            <w:r>
              <w:rPr>
                <w:b/>
              </w:rPr>
              <w:t>Descriptive statistics</w:t>
            </w:r>
          </w:p>
          <w:p w14:paraId="000000D7" w14:textId="77777777" w:rsidR="007D6CD8" w:rsidRDefault="005961DB">
            <w:pPr>
              <w:widowControl w:val="0"/>
              <w:ind w:left="-567" w:firstLine="567"/>
              <w:jc w:val="center"/>
              <w:rPr>
                <w:b/>
              </w:rPr>
            </w:pPr>
            <w:r>
              <w:rPr>
                <w:b/>
              </w:rPr>
              <w:t>Mean (std. dev.)</w:t>
            </w:r>
          </w:p>
        </w:tc>
        <w:tc>
          <w:tcPr>
            <w:tcW w:w="2694" w:type="dxa"/>
            <w:tcBorders>
              <w:top w:val="single" w:sz="4" w:space="0" w:color="000000"/>
              <w:left w:val="single" w:sz="4" w:space="0" w:color="000000"/>
              <w:bottom w:val="single" w:sz="6" w:space="0" w:color="000000"/>
              <w:right w:val="single" w:sz="4" w:space="0" w:color="000000"/>
            </w:tcBorders>
            <w:vAlign w:val="center"/>
          </w:tcPr>
          <w:p w14:paraId="000000D8" w14:textId="77777777" w:rsidR="007D6CD8" w:rsidRDefault="005961DB">
            <w:pPr>
              <w:widowControl w:val="0"/>
              <w:ind w:left="-567" w:firstLine="567"/>
              <w:jc w:val="center"/>
              <w:rPr>
                <w:b/>
              </w:rPr>
            </w:pPr>
            <w:r>
              <w:rPr>
                <w:b/>
              </w:rPr>
              <w:t xml:space="preserve">Estimates of eq. [1] </w:t>
            </w:r>
            <w:r>
              <w:rPr>
                <w:b/>
                <w:vertAlign w:val="superscript"/>
              </w:rPr>
              <w:t>(1)</w:t>
            </w:r>
          </w:p>
          <w:p w14:paraId="000000D9" w14:textId="77777777" w:rsidR="007D6CD8" w:rsidRDefault="005961DB">
            <w:pPr>
              <w:widowControl w:val="0"/>
              <w:ind w:left="-567" w:firstLine="567"/>
              <w:jc w:val="center"/>
              <w:rPr>
                <w:b/>
              </w:rPr>
            </w:pPr>
            <w:r>
              <w:rPr>
                <w:b/>
              </w:rPr>
              <w:t>Coefficient (s.e.)</w:t>
            </w:r>
          </w:p>
        </w:tc>
      </w:tr>
      <w:tr w:rsidR="007D6CD8" w14:paraId="5F5ECE08" w14:textId="77777777">
        <w:trPr>
          <w:trHeight w:val="759"/>
        </w:trPr>
        <w:tc>
          <w:tcPr>
            <w:tcW w:w="1701" w:type="dxa"/>
            <w:tcBorders>
              <w:top w:val="nil"/>
              <w:left w:val="single" w:sz="4" w:space="0" w:color="000000"/>
              <w:right w:val="single" w:sz="4" w:space="0" w:color="000000"/>
            </w:tcBorders>
            <w:vAlign w:val="center"/>
          </w:tcPr>
          <w:p w14:paraId="000000DA" w14:textId="77777777" w:rsidR="007D6CD8" w:rsidRDefault="005961DB">
            <w:pPr>
              <w:widowControl w:val="0"/>
              <w:ind w:left="-567" w:firstLine="567"/>
              <w:rPr>
                <w:vertAlign w:val="subscript"/>
              </w:rPr>
            </w:pPr>
            <w:r>
              <w:t>modnew</w:t>
            </w:r>
            <w:r>
              <w:rPr>
                <w:vertAlign w:val="subscript"/>
              </w:rPr>
              <w:t>t</w:t>
            </w:r>
          </w:p>
        </w:tc>
        <w:tc>
          <w:tcPr>
            <w:tcW w:w="2471" w:type="dxa"/>
            <w:tcBorders>
              <w:top w:val="nil"/>
              <w:right w:val="single" w:sz="4" w:space="0" w:color="000000"/>
            </w:tcBorders>
            <w:vAlign w:val="center"/>
          </w:tcPr>
          <w:p w14:paraId="000000DB" w14:textId="77777777" w:rsidR="007D6CD8" w:rsidRDefault="005961DB">
            <w:pPr>
              <w:widowControl w:val="0"/>
            </w:pPr>
            <w:r>
              <w:t>Number of new mods</w:t>
            </w:r>
          </w:p>
        </w:tc>
        <w:tc>
          <w:tcPr>
            <w:tcW w:w="2187" w:type="dxa"/>
            <w:tcBorders>
              <w:top w:val="nil"/>
              <w:right w:val="single" w:sz="4" w:space="0" w:color="000000"/>
            </w:tcBorders>
            <w:vAlign w:val="center"/>
          </w:tcPr>
          <w:p w14:paraId="000000DC" w14:textId="77777777" w:rsidR="007D6CD8" w:rsidRDefault="005961DB">
            <w:pPr>
              <w:widowControl w:val="0"/>
              <w:ind w:left="-567" w:firstLine="567"/>
              <w:jc w:val="center"/>
            </w:pPr>
            <w:r>
              <w:t>0.92 (1.66)</w:t>
            </w:r>
          </w:p>
        </w:tc>
        <w:tc>
          <w:tcPr>
            <w:tcW w:w="2694" w:type="dxa"/>
            <w:tcBorders>
              <w:top w:val="nil"/>
              <w:left w:val="single" w:sz="4" w:space="0" w:color="000000"/>
              <w:right w:val="single" w:sz="4" w:space="0" w:color="000000"/>
            </w:tcBorders>
            <w:vAlign w:val="center"/>
          </w:tcPr>
          <w:p w14:paraId="000000DD" w14:textId="77777777" w:rsidR="007D6CD8" w:rsidRDefault="005961DB">
            <w:pPr>
              <w:widowControl w:val="0"/>
              <w:ind w:left="-567" w:firstLine="567"/>
              <w:jc w:val="center"/>
            </w:pPr>
            <w:r>
              <w:t>Dependent variable</w:t>
            </w:r>
          </w:p>
        </w:tc>
      </w:tr>
      <w:tr w:rsidR="007D6CD8" w14:paraId="531304B0" w14:textId="77777777">
        <w:tc>
          <w:tcPr>
            <w:tcW w:w="1701" w:type="dxa"/>
            <w:tcBorders>
              <w:top w:val="single" w:sz="4" w:space="0" w:color="000000"/>
              <w:left w:val="single" w:sz="4" w:space="0" w:color="000000"/>
              <w:bottom w:val="nil"/>
              <w:right w:val="single" w:sz="4" w:space="0" w:color="000000"/>
            </w:tcBorders>
          </w:tcPr>
          <w:p w14:paraId="000000DE" w14:textId="77777777" w:rsidR="007D6CD8" w:rsidRDefault="007D6CD8">
            <w:pPr>
              <w:widowControl w:val="0"/>
              <w:ind w:left="-567" w:firstLine="567"/>
            </w:pPr>
          </w:p>
        </w:tc>
        <w:tc>
          <w:tcPr>
            <w:tcW w:w="2471" w:type="dxa"/>
            <w:tcBorders>
              <w:top w:val="single" w:sz="4" w:space="0" w:color="000000"/>
              <w:bottom w:val="nil"/>
              <w:right w:val="single" w:sz="4" w:space="0" w:color="000000"/>
            </w:tcBorders>
          </w:tcPr>
          <w:p w14:paraId="000000DF" w14:textId="77777777" w:rsidR="007D6CD8" w:rsidRDefault="007D6CD8">
            <w:pPr>
              <w:widowControl w:val="0"/>
            </w:pPr>
          </w:p>
        </w:tc>
        <w:tc>
          <w:tcPr>
            <w:tcW w:w="2187" w:type="dxa"/>
            <w:tcBorders>
              <w:top w:val="single" w:sz="4" w:space="0" w:color="000000"/>
              <w:bottom w:val="nil"/>
              <w:right w:val="single" w:sz="4" w:space="0" w:color="000000"/>
            </w:tcBorders>
          </w:tcPr>
          <w:p w14:paraId="000000E0" w14:textId="77777777" w:rsidR="007D6CD8" w:rsidRDefault="007D6CD8">
            <w:pPr>
              <w:widowControl w:val="0"/>
              <w:ind w:left="-567" w:firstLine="567"/>
              <w:jc w:val="center"/>
            </w:pPr>
          </w:p>
        </w:tc>
        <w:tc>
          <w:tcPr>
            <w:tcW w:w="2694" w:type="dxa"/>
            <w:tcBorders>
              <w:top w:val="single" w:sz="4" w:space="0" w:color="000000"/>
              <w:left w:val="single" w:sz="4" w:space="0" w:color="000000"/>
              <w:bottom w:val="nil"/>
              <w:right w:val="single" w:sz="4" w:space="0" w:color="000000"/>
            </w:tcBorders>
          </w:tcPr>
          <w:p w14:paraId="000000E1" w14:textId="77777777" w:rsidR="007D6CD8" w:rsidRDefault="007D6CD8">
            <w:pPr>
              <w:widowControl w:val="0"/>
              <w:ind w:left="-567" w:firstLine="567"/>
              <w:jc w:val="center"/>
            </w:pPr>
          </w:p>
        </w:tc>
      </w:tr>
      <w:tr w:rsidR="007D6CD8" w14:paraId="1BA7B07A" w14:textId="77777777">
        <w:tc>
          <w:tcPr>
            <w:tcW w:w="1701" w:type="dxa"/>
            <w:tcBorders>
              <w:top w:val="nil"/>
              <w:left w:val="single" w:sz="4" w:space="0" w:color="000000"/>
              <w:bottom w:val="nil"/>
              <w:right w:val="single" w:sz="4" w:space="0" w:color="000000"/>
            </w:tcBorders>
          </w:tcPr>
          <w:p w14:paraId="000000E2" w14:textId="77777777" w:rsidR="007D6CD8" w:rsidRDefault="005961DB">
            <w:pPr>
              <w:widowControl w:val="0"/>
              <w:ind w:left="-567" w:firstLine="567"/>
            </w:pPr>
            <w:r>
              <w:t>KPC</w:t>
            </w:r>
            <w:r>
              <w:rPr>
                <w:vertAlign w:val="subscript"/>
              </w:rPr>
              <w:t>t</w:t>
            </w:r>
          </w:p>
        </w:tc>
        <w:tc>
          <w:tcPr>
            <w:tcW w:w="2471" w:type="dxa"/>
            <w:tcBorders>
              <w:top w:val="nil"/>
              <w:bottom w:val="nil"/>
              <w:right w:val="single" w:sz="4" w:space="0" w:color="000000"/>
            </w:tcBorders>
          </w:tcPr>
          <w:p w14:paraId="000000E3" w14:textId="77777777" w:rsidR="007D6CD8" w:rsidRDefault="005961DB">
            <w:pPr>
              <w:widowControl w:val="0"/>
            </w:pPr>
            <w:r>
              <w:t>Cumulative number of PC game units’ sold (000)</w:t>
            </w:r>
          </w:p>
        </w:tc>
        <w:tc>
          <w:tcPr>
            <w:tcW w:w="2187" w:type="dxa"/>
            <w:tcBorders>
              <w:top w:val="nil"/>
              <w:bottom w:val="nil"/>
              <w:right w:val="single" w:sz="4" w:space="0" w:color="000000"/>
            </w:tcBorders>
          </w:tcPr>
          <w:p w14:paraId="000000E4" w14:textId="77777777" w:rsidR="007D6CD8" w:rsidRDefault="005961DB">
            <w:pPr>
              <w:widowControl w:val="0"/>
              <w:ind w:left="-567" w:firstLine="567"/>
              <w:jc w:val="center"/>
            </w:pPr>
            <w:r>
              <w:t>35.18 (13.07)</w:t>
            </w:r>
          </w:p>
        </w:tc>
        <w:tc>
          <w:tcPr>
            <w:tcW w:w="2694" w:type="dxa"/>
            <w:tcBorders>
              <w:top w:val="nil"/>
              <w:left w:val="single" w:sz="4" w:space="0" w:color="000000"/>
              <w:bottom w:val="nil"/>
              <w:right w:val="single" w:sz="4" w:space="0" w:color="000000"/>
            </w:tcBorders>
          </w:tcPr>
          <w:p w14:paraId="000000E5" w14:textId="77777777" w:rsidR="007D6CD8" w:rsidRDefault="005961DB">
            <w:pPr>
              <w:widowControl w:val="0"/>
              <w:ind w:left="-567" w:firstLine="567"/>
              <w:jc w:val="center"/>
            </w:pPr>
            <w:r>
              <w:t>0.02993 (0.00740)***</w:t>
            </w:r>
          </w:p>
        </w:tc>
      </w:tr>
      <w:tr w:rsidR="007D6CD8" w14:paraId="0B29F850" w14:textId="77777777">
        <w:tc>
          <w:tcPr>
            <w:tcW w:w="1701" w:type="dxa"/>
            <w:tcBorders>
              <w:top w:val="nil"/>
              <w:left w:val="single" w:sz="4" w:space="0" w:color="000000"/>
              <w:bottom w:val="nil"/>
              <w:right w:val="single" w:sz="4" w:space="0" w:color="000000"/>
            </w:tcBorders>
          </w:tcPr>
          <w:p w14:paraId="000000E6" w14:textId="77777777" w:rsidR="007D6CD8" w:rsidRDefault="007D6CD8">
            <w:pPr>
              <w:widowControl w:val="0"/>
              <w:ind w:left="-567" w:firstLine="567"/>
            </w:pPr>
          </w:p>
        </w:tc>
        <w:tc>
          <w:tcPr>
            <w:tcW w:w="2471" w:type="dxa"/>
            <w:tcBorders>
              <w:top w:val="nil"/>
              <w:bottom w:val="nil"/>
              <w:right w:val="single" w:sz="4" w:space="0" w:color="000000"/>
            </w:tcBorders>
          </w:tcPr>
          <w:p w14:paraId="000000E7" w14:textId="77777777" w:rsidR="007D6CD8" w:rsidRDefault="007D6CD8">
            <w:pPr>
              <w:widowControl w:val="0"/>
            </w:pPr>
          </w:p>
        </w:tc>
        <w:tc>
          <w:tcPr>
            <w:tcW w:w="2187" w:type="dxa"/>
            <w:tcBorders>
              <w:top w:val="nil"/>
              <w:bottom w:val="nil"/>
              <w:right w:val="single" w:sz="4" w:space="0" w:color="000000"/>
            </w:tcBorders>
          </w:tcPr>
          <w:p w14:paraId="000000E8" w14:textId="77777777" w:rsidR="007D6CD8" w:rsidRDefault="007D6CD8">
            <w:pPr>
              <w:widowControl w:val="0"/>
              <w:ind w:left="-567" w:firstLine="567"/>
              <w:jc w:val="center"/>
            </w:pPr>
          </w:p>
        </w:tc>
        <w:tc>
          <w:tcPr>
            <w:tcW w:w="2694" w:type="dxa"/>
            <w:tcBorders>
              <w:top w:val="nil"/>
              <w:left w:val="single" w:sz="4" w:space="0" w:color="000000"/>
              <w:bottom w:val="nil"/>
              <w:right w:val="single" w:sz="4" w:space="0" w:color="000000"/>
            </w:tcBorders>
          </w:tcPr>
          <w:p w14:paraId="000000E9" w14:textId="77777777" w:rsidR="007D6CD8" w:rsidRDefault="007D6CD8">
            <w:pPr>
              <w:widowControl w:val="0"/>
              <w:ind w:left="-567" w:firstLine="567"/>
              <w:jc w:val="center"/>
            </w:pPr>
          </w:p>
        </w:tc>
      </w:tr>
      <w:tr w:rsidR="007D6CD8" w14:paraId="6427CD2F" w14:textId="77777777">
        <w:tc>
          <w:tcPr>
            <w:tcW w:w="1701" w:type="dxa"/>
            <w:tcBorders>
              <w:top w:val="nil"/>
              <w:left w:val="single" w:sz="4" w:space="0" w:color="000000"/>
              <w:bottom w:val="nil"/>
              <w:right w:val="single" w:sz="4" w:space="0" w:color="000000"/>
            </w:tcBorders>
          </w:tcPr>
          <w:p w14:paraId="000000EA" w14:textId="77777777" w:rsidR="007D6CD8" w:rsidRDefault="005961DB">
            <w:pPr>
              <w:widowControl w:val="0"/>
              <w:ind w:left="-567" w:firstLine="567"/>
            </w:pPr>
            <w:r>
              <w:t>modcum</w:t>
            </w:r>
            <w:r>
              <w:rPr>
                <w:vertAlign w:val="subscript"/>
              </w:rPr>
              <w:t>t-1</w:t>
            </w:r>
          </w:p>
        </w:tc>
        <w:tc>
          <w:tcPr>
            <w:tcW w:w="2471" w:type="dxa"/>
            <w:tcBorders>
              <w:top w:val="nil"/>
              <w:bottom w:val="nil"/>
              <w:right w:val="single" w:sz="4" w:space="0" w:color="000000"/>
            </w:tcBorders>
          </w:tcPr>
          <w:p w14:paraId="000000EB" w14:textId="77777777" w:rsidR="007D6CD8" w:rsidRDefault="005961DB">
            <w:pPr>
              <w:widowControl w:val="0"/>
            </w:pPr>
            <w:r>
              <w:t>Cumulative number of mods</w:t>
            </w:r>
          </w:p>
        </w:tc>
        <w:tc>
          <w:tcPr>
            <w:tcW w:w="2187" w:type="dxa"/>
            <w:tcBorders>
              <w:top w:val="nil"/>
              <w:bottom w:val="nil"/>
              <w:right w:val="single" w:sz="4" w:space="0" w:color="000000"/>
            </w:tcBorders>
          </w:tcPr>
          <w:p w14:paraId="000000EC" w14:textId="77777777" w:rsidR="007D6CD8" w:rsidRDefault="005961DB">
            <w:pPr>
              <w:widowControl w:val="0"/>
              <w:ind w:left="-567" w:firstLine="567"/>
              <w:jc w:val="center"/>
            </w:pPr>
            <w:r>
              <w:t>229.53 (76.81)</w:t>
            </w:r>
          </w:p>
        </w:tc>
        <w:tc>
          <w:tcPr>
            <w:tcW w:w="2694" w:type="dxa"/>
            <w:tcBorders>
              <w:top w:val="nil"/>
              <w:left w:val="single" w:sz="4" w:space="0" w:color="000000"/>
              <w:bottom w:val="nil"/>
              <w:right w:val="single" w:sz="4" w:space="0" w:color="000000"/>
            </w:tcBorders>
          </w:tcPr>
          <w:p w14:paraId="000000ED" w14:textId="77777777" w:rsidR="007D6CD8" w:rsidRDefault="005961DB">
            <w:pPr>
              <w:widowControl w:val="0"/>
              <w:ind w:left="-567" w:firstLine="567"/>
              <w:jc w:val="center"/>
            </w:pPr>
            <w:r>
              <w:t>0.03085 (0.00353) ***</w:t>
            </w:r>
          </w:p>
        </w:tc>
      </w:tr>
      <w:tr w:rsidR="007D6CD8" w14:paraId="65F75FC9" w14:textId="77777777">
        <w:tc>
          <w:tcPr>
            <w:tcW w:w="1701" w:type="dxa"/>
            <w:tcBorders>
              <w:top w:val="nil"/>
              <w:left w:val="single" w:sz="4" w:space="0" w:color="000000"/>
              <w:bottom w:val="nil"/>
              <w:right w:val="single" w:sz="4" w:space="0" w:color="000000"/>
            </w:tcBorders>
          </w:tcPr>
          <w:p w14:paraId="000000EE" w14:textId="77777777" w:rsidR="007D6CD8" w:rsidRDefault="005961DB">
            <w:pPr>
              <w:widowControl w:val="0"/>
              <w:ind w:left="-567" w:firstLine="567"/>
            </w:pPr>
            <w:r>
              <w:t>modcum</w:t>
            </w:r>
            <w:r>
              <w:rPr>
                <w:vertAlign w:val="subscript"/>
              </w:rPr>
              <w:t>t-1</w:t>
            </w:r>
            <w:r>
              <w:rPr>
                <w:vertAlign w:val="superscript"/>
              </w:rPr>
              <w:t>2</w:t>
            </w:r>
          </w:p>
        </w:tc>
        <w:tc>
          <w:tcPr>
            <w:tcW w:w="2471" w:type="dxa"/>
            <w:tcBorders>
              <w:top w:val="nil"/>
              <w:bottom w:val="nil"/>
              <w:right w:val="single" w:sz="4" w:space="0" w:color="000000"/>
            </w:tcBorders>
          </w:tcPr>
          <w:p w14:paraId="000000EF" w14:textId="77777777" w:rsidR="007D6CD8" w:rsidRDefault="007D6CD8">
            <w:pPr>
              <w:widowControl w:val="0"/>
            </w:pPr>
          </w:p>
        </w:tc>
        <w:tc>
          <w:tcPr>
            <w:tcW w:w="2187" w:type="dxa"/>
            <w:tcBorders>
              <w:top w:val="nil"/>
              <w:bottom w:val="nil"/>
              <w:right w:val="single" w:sz="4" w:space="0" w:color="000000"/>
            </w:tcBorders>
          </w:tcPr>
          <w:p w14:paraId="000000F0" w14:textId="77777777" w:rsidR="007D6CD8" w:rsidRDefault="007D6CD8">
            <w:pPr>
              <w:widowControl w:val="0"/>
              <w:ind w:left="-567" w:firstLine="567"/>
              <w:jc w:val="center"/>
            </w:pPr>
          </w:p>
        </w:tc>
        <w:tc>
          <w:tcPr>
            <w:tcW w:w="2694" w:type="dxa"/>
            <w:tcBorders>
              <w:top w:val="nil"/>
              <w:left w:val="single" w:sz="4" w:space="0" w:color="000000"/>
              <w:bottom w:val="nil"/>
              <w:right w:val="single" w:sz="4" w:space="0" w:color="000000"/>
            </w:tcBorders>
          </w:tcPr>
          <w:p w14:paraId="000000F1" w14:textId="77777777" w:rsidR="007D6CD8" w:rsidRDefault="005961DB">
            <w:pPr>
              <w:widowControl w:val="0"/>
              <w:ind w:left="-567" w:firstLine="567"/>
              <w:jc w:val="center"/>
            </w:pPr>
            <w:r>
              <w:t>-0.00014 (0.00001)***</w:t>
            </w:r>
          </w:p>
        </w:tc>
      </w:tr>
      <w:tr w:rsidR="007D6CD8" w14:paraId="5E228872" w14:textId="77777777">
        <w:tc>
          <w:tcPr>
            <w:tcW w:w="1701" w:type="dxa"/>
            <w:tcBorders>
              <w:top w:val="nil"/>
              <w:left w:val="single" w:sz="4" w:space="0" w:color="000000"/>
              <w:bottom w:val="nil"/>
              <w:right w:val="single" w:sz="4" w:space="0" w:color="000000"/>
            </w:tcBorders>
          </w:tcPr>
          <w:p w14:paraId="000000F2" w14:textId="77777777" w:rsidR="007D6CD8" w:rsidRDefault="007D6CD8">
            <w:pPr>
              <w:widowControl w:val="0"/>
              <w:ind w:left="-567" w:firstLine="567"/>
            </w:pPr>
          </w:p>
        </w:tc>
        <w:tc>
          <w:tcPr>
            <w:tcW w:w="2471" w:type="dxa"/>
            <w:tcBorders>
              <w:top w:val="nil"/>
              <w:bottom w:val="nil"/>
              <w:right w:val="single" w:sz="4" w:space="0" w:color="000000"/>
            </w:tcBorders>
          </w:tcPr>
          <w:p w14:paraId="000000F3" w14:textId="77777777" w:rsidR="007D6CD8" w:rsidRDefault="007D6CD8">
            <w:pPr>
              <w:widowControl w:val="0"/>
            </w:pPr>
          </w:p>
        </w:tc>
        <w:tc>
          <w:tcPr>
            <w:tcW w:w="2187" w:type="dxa"/>
            <w:tcBorders>
              <w:top w:val="nil"/>
              <w:bottom w:val="nil"/>
              <w:right w:val="single" w:sz="4" w:space="0" w:color="000000"/>
            </w:tcBorders>
          </w:tcPr>
          <w:p w14:paraId="000000F4" w14:textId="77777777" w:rsidR="007D6CD8" w:rsidRDefault="007D6CD8">
            <w:pPr>
              <w:widowControl w:val="0"/>
              <w:ind w:left="-567" w:firstLine="567"/>
              <w:jc w:val="center"/>
            </w:pPr>
          </w:p>
        </w:tc>
        <w:tc>
          <w:tcPr>
            <w:tcW w:w="2694" w:type="dxa"/>
            <w:tcBorders>
              <w:top w:val="nil"/>
              <w:left w:val="single" w:sz="4" w:space="0" w:color="000000"/>
              <w:bottom w:val="nil"/>
              <w:right w:val="single" w:sz="4" w:space="0" w:color="000000"/>
            </w:tcBorders>
          </w:tcPr>
          <w:p w14:paraId="000000F5" w14:textId="77777777" w:rsidR="007D6CD8" w:rsidRDefault="007D6CD8">
            <w:pPr>
              <w:widowControl w:val="0"/>
              <w:ind w:left="-567" w:firstLine="567"/>
              <w:jc w:val="center"/>
            </w:pPr>
          </w:p>
        </w:tc>
      </w:tr>
      <w:tr w:rsidR="007D6CD8" w14:paraId="6DD962DD" w14:textId="77777777">
        <w:tc>
          <w:tcPr>
            <w:tcW w:w="1701" w:type="dxa"/>
            <w:tcBorders>
              <w:top w:val="nil"/>
              <w:left w:val="single" w:sz="4" w:space="0" w:color="000000"/>
              <w:bottom w:val="nil"/>
              <w:right w:val="single" w:sz="4" w:space="0" w:color="000000"/>
            </w:tcBorders>
          </w:tcPr>
          <w:p w14:paraId="000000F6" w14:textId="77777777" w:rsidR="007D6CD8" w:rsidRDefault="005961DB">
            <w:pPr>
              <w:widowControl w:val="0"/>
              <w:ind w:left="-567" w:firstLine="567"/>
            </w:pPr>
            <w:r>
              <w:t>downloads</w:t>
            </w:r>
            <w:r>
              <w:rPr>
                <w:vertAlign w:val="subscript"/>
              </w:rPr>
              <w:t>t-1</w:t>
            </w:r>
          </w:p>
        </w:tc>
        <w:tc>
          <w:tcPr>
            <w:tcW w:w="2471" w:type="dxa"/>
            <w:tcBorders>
              <w:top w:val="nil"/>
              <w:bottom w:val="nil"/>
              <w:right w:val="single" w:sz="4" w:space="0" w:color="000000"/>
            </w:tcBorders>
          </w:tcPr>
          <w:p w14:paraId="000000F7" w14:textId="77777777" w:rsidR="007D6CD8" w:rsidRDefault="005961DB">
            <w:pPr>
              <w:widowControl w:val="0"/>
            </w:pPr>
            <w:r>
              <w:t>Average number of downloads per mod (000)</w:t>
            </w:r>
          </w:p>
        </w:tc>
        <w:tc>
          <w:tcPr>
            <w:tcW w:w="2187" w:type="dxa"/>
            <w:tcBorders>
              <w:top w:val="nil"/>
              <w:bottom w:val="nil"/>
              <w:right w:val="single" w:sz="4" w:space="0" w:color="000000"/>
            </w:tcBorders>
          </w:tcPr>
          <w:p w14:paraId="000000F8" w14:textId="77777777" w:rsidR="007D6CD8" w:rsidRDefault="005961DB">
            <w:pPr>
              <w:widowControl w:val="0"/>
              <w:ind w:left="-567" w:firstLine="567"/>
              <w:jc w:val="center"/>
            </w:pPr>
            <w:r>
              <w:t>189.37 (304.49)</w:t>
            </w:r>
          </w:p>
        </w:tc>
        <w:tc>
          <w:tcPr>
            <w:tcW w:w="2694" w:type="dxa"/>
            <w:tcBorders>
              <w:top w:val="nil"/>
              <w:left w:val="single" w:sz="4" w:space="0" w:color="000000"/>
              <w:bottom w:val="nil"/>
              <w:right w:val="single" w:sz="4" w:space="0" w:color="000000"/>
            </w:tcBorders>
          </w:tcPr>
          <w:p w14:paraId="000000F9" w14:textId="77777777" w:rsidR="007D6CD8" w:rsidRDefault="005961DB">
            <w:pPr>
              <w:widowControl w:val="0"/>
              <w:ind w:left="-567" w:firstLine="567"/>
              <w:jc w:val="center"/>
            </w:pPr>
            <w:r>
              <w:t>-0.00392 (0.00073)***</w:t>
            </w:r>
          </w:p>
        </w:tc>
      </w:tr>
      <w:tr w:rsidR="007D6CD8" w14:paraId="47B2B63D" w14:textId="77777777">
        <w:tc>
          <w:tcPr>
            <w:tcW w:w="1701" w:type="dxa"/>
            <w:tcBorders>
              <w:top w:val="nil"/>
              <w:left w:val="single" w:sz="4" w:space="0" w:color="000000"/>
              <w:bottom w:val="nil"/>
              <w:right w:val="single" w:sz="4" w:space="0" w:color="000000"/>
            </w:tcBorders>
          </w:tcPr>
          <w:p w14:paraId="000000FA" w14:textId="77777777" w:rsidR="007D6CD8" w:rsidRDefault="007D6CD8">
            <w:pPr>
              <w:widowControl w:val="0"/>
              <w:ind w:left="-567" w:firstLine="567"/>
            </w:pPr>
          </w:p>
        </w:tc>
        <w:tc>
          <w:tcPr>
            <w:tcW w:w="2471" w:type="dxa"/>
            <w:tcBorders>
              <w:top w:val="nil"/>
              <w:bottom w:val="nil"/>
              <w:right w:val="single" w:sz="4" w:space="0" w:color="000000"/>
            </w:tcBorders>
          </w:tcPr>
          <w:p w14:paraId="000000FB" w14:textId="77777777" w:rsidR="007D6CD8" w:rsidRDefault="007D6CD8">
            <w:pPr>
              <w:widowControl w:val="0"/>
            </w:pPr>
          </w:p>
        </w:tc>
        <w:tc>
          <w:tcPr>
            <w:tcW w:w="2187" w:type="dxa"/>
            <w:tcBorders>
              <w:top w:val="nil"/>
              <w:bottom w:val="nil"/>
              <w:right w:val="single" w:sz="4" w:space="0" w:color="000000"/>
            </w:tcBorders>
          </w:tcPr>
          <w:p w14:paraId="000000FC" w14:textId="77777777" w:rsidR="007D6CD8" w:rsidRDefault="007D6CD8">
            <w:pPr>
              <w:widowControl w:val="0"/>
              <w:ind w:left="-567" w:firstLine="567"/>
              <w:jc w:val="center"/>
            </w:pPr>
          </w:p>
        </w:tc>
        <w:tc>
          <w:tcPr>
            <w:tcW w:w="2694" w:type="dxa"/>
            <w:tcBorders>
              <w:top w:val="nil"/>
              <w:left w:val="single" w:sz="4" w:space="0" w:color="000000"/>
              <w:bottom w:val="nil"/>
              <w:right w:val="single" w:sz="4" w:space="0" w:color="000000"/>
            </w:tcBorders>
          </w:tcPr>
          <w:p w14:paraId="000000FD" w14:textId="77777777" w:rsidR="007D6CD8" w:rsidRDefault="007D6CD8">
            <w:pPr>
              <w:widowControl w:val="0"/>
              <w:ind w:left="-567" w:firstLine="567"/>
              <w:jc w:val="center"/>
            </w:pPr>
          </w:p>
        </w:tc>
      </w:tr>
      <w:tr w:rsidR="007D6CD8" w14:paraId="2E06290A" w14:textId="77777777">
        <w:tc>
          <w:tcPr>
            <w:tcW w:w="1701" w:type="dxa"/>
            <w:tcBorders>
              <w:top w:val="nil"/>
              <w:left w:val="single" w:sz="4" w:space="0" w:color="000000"/>
              <w:bottom w:val="nil"/>
              <w:right w:val="single" w:sz="4" w:space="0" w:color="000000"/>
            </w:tcBorders>
          </w:tcPr>
          <w:p w14:paraId="000000FE" w14:textId="77777777" w:rsidR="007D6CD8" w:rsidRDefault="005961DB">
            <w:pPr>
              <w:widowControl w:val="0"/>
              <w:ind w:left="-567" w:firstLine="567"/>
            </w:pPr>
            <w:r>
              <w:t>Time dummies</w:t>
            </w:r>
          </w:p>
        </w:tc>
        <w:tc>
          <w:tcPr>
            <w:tcW w:w="2471" w:type="dxa"/>
            <w:tcBorders>
              <w:top w:val="nil"/>
              <w:bottom w:val="nil"/>
              <w:right w:val="single" w:sz="4" w:space="0" w:color="000000"/>
            </w:tcBorders>
          </w:tcPr>
          <w:p w14:paraId="000000FF" w14:textId="77777777" w:rsidR="007D6CD8" w:rsidRDefault="005961DB">
            <w:pPr>
              <w:widowControl w:val="0"/>
            </w:pPr>
            <w:r>
              <w:t>453 weeks</w:t>
            </w:r>
          </w:p>
        </w:tc>
        <w:tc>
          <w:tcPr>
            <w:tcW w:w="2187" w:type="dxa"/>
            <w:tcBorders>
              <w:top w:val="nil"/>
              <w:bottom w:val="nil"/>
              <w:right w:val="single" w:sz="4" w:space="0" w:color="000000"/>
            </w:tcBorders>
          </w:tcPr>
          <w:p w14:paraId="00000100" w14:textId="77777777" w:rsidR="007D6CD8" w:rsidRDefault="007D6CD8">
            <w:pPr>
              <w:widowControl w:val="0"/>
              <w:ind w:left="-567" w:firstLine="567"/>
              <w:jc w:val="center"/>
            </w:pPr>
          </w:p>
        </w:tc>
        <w:tc>
          <w:tcPr>
            <w:tcW w:w="2694" w:type="dxa"/>
            <w:tcBorders>
              <w:top w:val="nil"/>
              <w:left w:val="single" w:sz="4" w:space="0" w:color="000000"/>
              <w:bottom w:val="nil"/>
              <w:right w:val="single" w:sz="4" w:space="0" w:color="000000"/>
            </w:tcBorders>
          </w:tcPr>
          <w:p w14:paraId="00000101" w14:textId="77777777" w:rsidR="007D6CD8" w:rsidRDefault="005961DB">
            <w:pPr>
              <w:widowControl w:val="0"/>
              <w:ind w:left="-567" w:firstLine="567"/>
              <w:jc w:val="center"/>
            </w:pPr>
            <w:r>
              <w:t>yes</w:t>
            </w:r>
          </w:p>
        </w:tc>
      </w:tr>
      <w:tr w:rsidR="007D6CD8" w14:paraId="3D61272B" w14:textId="77777777">
        <w:tc>
          <w:tcPr>
            <w:tcW w:w="1701" w:type="dxa"/>
            <w:tcBorders>
              <w:top w:val="nil"/>
              <w:left w:val="single" w:sz="4" w:space="0" w:color="000000"/>
              <w:bottom w:val="nil"/>
              <w:right w:val="single" w:sz="4" w:space="0" w:color="000000"/>
            </w:tcBorders>
          </w:tcPr>
          <w:p w14:paraId="00000102" w14:textId="77777777" w:rsidR="007D6CD8" w:rsidRDefault="005961DB">
            <w:pPr>
              <w:widowControl w:val="0"/>
              <w:ind w:left="-567" w:firstLine="567"/>
            </w:pPr>
            <w:r>
              <w:t>EAN dummies</w:t>
            </w:r>
          </w:p>
        </w:tc>
        <w:tc>
          <w:tcPr>
            <w:tcW w:w="2471" w:type="dxa"/>
            <w:tcBorders>
              <w:top w:val="nil"/>
              <w:bottom w:val="nil"/>
              <w:right w:val="single" w:sz="4" w:space="0" w:color="000000"/>
            </w:tcBorders>
          </w:tcPr>
          <w:p w14:paraId="00000103" w14:textId="77777777" w:rsidR="007D6CD8" w:rsidRDefault="005961DB">
            <w:pPr>
              <w:widowControl w:val="0"/>
            </w:pPr>
            <w:r>
              <w:t>5 games</w:t>
            </w:r>
          </w:p>
        </w:tc>
        <w:tc>
          <w:tcPr>
            <w:tcW w:w="2187" w:type="dxa"/>
            <w:tcBorders>
              <w:top w:val="nil"/>
              <w:bottom w:val="nil"/>
              <w:right w:val="single" w:sz="4" w:space="0" w:color="000000"/>
            </w:tcBorders>
          </w:tcPr>
          <w:p w14:paraId="00000104" w14:textId="77777777" w:rsidR="007D6CD8" w:rsidRDefault="007D6CD8">
            <w:pPr>
              <w:widowControl w:val="0"/>
              <w:ind w:left="-567" w:firstLine="567"/>
              <w:jc w:val="center"/>
            </w:pPr>
          </w:p>
        </w:tc>
        <w:tc>
          <w:tcPr>
            <w:tcW w:w="2694" w:type="dxa"/>
            <w:tcBorders>
              <w:top w:val="nil"/>
              <w:left w:val="single" w:sz="4" w:space="0" w:color="000000"/>
              <w:bottom w:val="nil"/>
              <w:right w:val="single" w:sz="4" w:space="0" w:color="000000"/>
            </w:tcBorders>
          </w:tcPr>
          <w:p w14:paraId="00000105" w14:textId="77777777" w:rsidR="007D6CD8" w:rsidRDefault="005961DB">
            <w:pPr>
              <w:widowControl w:val="0"/>
              <w:ind w:left="-567" w:firstLine="567"/>
              <w:jc w:val="center"/>
            </w:pPr>
            <w:r>
              <w:t>yes</w:t>
            </w:r>
          </w:p>
        </w:tc>
      </w:tr>
      <w:tr w:rsidR="007D6CD8" w14:paraId="532881D9" w14:textId="77777777">
        <w:tc>
          <w:tcPr>
            <w:tcW w:w="1701" w:type="dxa"/>
            <w:tcBorders>
              <w:top w:val="nil"/>
              <w:left w:val="single" w:sz="4" w:space="0" w:color="000000"/>
              <w:bottom w:val="nil"/>
              <w:right w:val="single" w:sz="4" w:space="0" w:color="000000"/>
            </w:tcBorders>
          </w:tcPr>
          <w:p w14:paraId="00000106" w14:textId="77777777" w:rsidR="007D6CD8" w:rsidRDefault="005961DB">
            <w:pPr>
              <w:widowControl w:val="0"/>
              <w:ind w:left="-567" w:firstLine="567"/>
            </w:pPr>
            <w:r>
              <w:t>Observations</w:t>
            </w:r>
          </w:p>
        </w:tc>
        <w:tc>
          <w:tcPr>
            <w:tcW w:w="2471" w:type="dxa"/>
            <w:tcBorders>
              <w:top w:val="nil"/>
              <w:bottom w:val="nil"/>
              <w:right w:val="single" w:sz="4" w:space="0" w:color="000000"/>
            </w:tcBorders>
          </w:tcPr>
          <w:p w14:paraId="00000107" w14:textId="77777777" w:rsidR="007D6CD8" w:rsidRDefault="007D6CD8">
            <w:pPr>
              <w:widowControl w:val="0"/>
            </w:pPr>
          </w:p>
        </w:tc>
        <w:tc>
          <w:tcPr>
            <w:tcW w:w="2187" w:type="dxa"/>
            <w:tcBorders>
              <w:top w:val="nil"/>
              <w:bottom w:val="nil"/>
              <w:right w:val="single" w:sz="4" w:space="0" w:color="000000"/>
            </w:tcBorders>
          </w:tcPr>
          <w:p w14:paraId="00000108" w14:textId="77777777" w:rsidR="007D6CD8" w:rsidRDefault="007D6CD8">
            <w:pPr>
              <w:widowControl w:val="0"/>
              <w:ind w:left="-567" w:firstLine="567"/>
              <w:jc w:val="center"/>
            </w:pPr>
          </w:p>
        </w:tc>
        <w:tc>
          <w:tcPr>
            <w:tcW w:w="2694" w:type="dxa"/>
            <w:tcBorders>
              <w:top w:val="nil"/>
              <w:left w:val="single" w:sz="4" w:space="0" w:color="000000"/>
              <w:bottom w:val="nil"/>
              <w:right w:val="single" w:sz="4" w:space="0" w:color="000000"/>
            </w:tcBorders>
          </w:tcPr>
          <w:p w14:paraId="00000109" w14:textId="77777777" w:rsidR="007D6CD8" w:rsidRDefault="005961DB">
            <w:pPr>
              <w:widowControl w:val="0"/>
              <w:ind w:left="-567" w:firstLine="567"/>
              <w:jc w:val="center"/>
            </w:pPr>
            <w:r>
              <w:t>1610</w:t>
            </w:r>
          </w:p>
        </w:tc>
      </w:tr>
      <w:tr w:rsidR="007D6CD8" w14:paraId="540A4AE1" w14:textId="77777777">
        <w:tc>
          <w:tcPr>
            <w:tcW w:w="1701" w:type="dxa"/>
            <w:tcBorders>
              <w:top w:val="nil"/>
              <w:left w:val="single" w:sz="4" w:space="0" w:color="000000"/>
              <w:bottom w:val="single" w:sz="4" w:space="0" w:color="000000"/>
              <w:right w:val="single" w:sz="4" w:space="0" w:color="000000"/>
            </w:tcBorders>
          </w:tcPr>
          <w:p w14:paraId="0000010A" w14:textId="77777777" w:rsidR="007D6CD8" w:rsidRDefault="005961DB">
            <w:pPr>
              <w:widowControl w:val="0"/>
              <w:ind w:left="-567" w:firstLine="567"/>
            </w:pPr>
            <w:r>
              <w:t>R-squared</w:t>
            </w:r>
          </w:p>
        </w:tc>
        <w:tc>
          <w:tcPr>
            <w:tcW w:w="2471" w:type="dxa"/>
            <w:tcBorders>
              <w:top w:val="nil"/>
              <w:left w:val="nil"/>
              <w:bottom w:val="single" w:sz="4" w:space="0" w:color="000000"/>
              <w:right w:val="single" w:sz="4" w:space="0" w:color="000000"/>
            </w:tcBorders>
          </w:tcPr>
          <w:p w14:paraId="0000010B" w14:textId="77777777" w:rsidR="007D6CD8" w:rsidRDefault="007D6CD8">
            <w:pPr>
              <w:widowControl w:val="0"/>
              <w:ind w:left="-567" w:firstLine="567"/>
              <w:jc w:val="center"/>
            </w:pPr>
          </w:p>
        </w:tc>
        <w:tc>
          <w:tcPr>
            <w:tcW w:w="2187" w:type="dxa"/>
            <w:tcBorders>
              <w:top w:val="nil"/>
              <w:left w:val="single" w:sz="4" w:space="0" w:color="000000"/>
              <w:bottom w:val="single" w:sz="4" w:space="0" w:color="000000"/>
              <w:right w:val="single" w:sz="4" w:space="0" w:color="000000"/>
            </w:tcBorders>
          </w:tcPr>
          <w:p w14:paraId="0000010C" w14:textId="77777777" w:rsidR="007D6CD8" w:rsidRDefault="007D6CD8">
            <w:pPr>
              <w:widowControl w:val="0"/>
              <w:ind w:left="-567" w:firstLine="567"/>
              <w:jc w:val="center"/>
            </w:pPr>
          </w:p>
        </w:tc>
        <w:tc>
          <w:tcPr>
            <w:tcW w:w="2694" w:type="dxa"/>
            <w:tcBorders>
              <w:top w:val="nil"/>
              <w:left w:val="single" w:sz="4" w:space="0" w:color="000000"/>
              <w:bottom w:val="single" w:sz="4" w:space="0" w:color="000000"/>
              <w:right w:val="single" w:sz="4" w:space="0" w:color="000000"/>
            </w:tcBorders>
          </w:tcPr>
          <w:p w14:paraId="0000010D" w14:textId="77777777" w:rsidR="007D6CD8" w:rsidRDefault="005961DB">
            <w:pPr>
              <w:widowControl w:val="0"/>
              <w:ind w:left="-567" w:firstLine="567"/>
              <w:jc w:val="center"/>
            </w:pPr>
            <w:r>
              <w:t>0.548</w:t>
            </w:r>
          </w:p>
        </w:tc>
      </w:tr>
    </w:tbl>
    <w:p w14:paraId="0000010E" w14:textId="77777777" w:rsidR="007D6CD8" w:rsidRDefault="005961DB">
      <w:pPr>
        <w:spacing w:before="280"/>
        <w:rPr>
          <w:sz w:val="20"/>
          <w:szCs w:val="20"/>
        </w:rPr>
      </w:pPr>
      <w:r>
        <w:rPr>
          <w:sz w:val="20"/>
          <w:szCs w:val="20"/>
        </w:rPr>
        <w:t>(1) Results from three-stage least squares estimation of Equations [1]-[2]. The dependent variable is the number of new weekly mods (</w:t>
      </w:r>
      <w:r>
        <w:rPr>
          <w:i/>
          <w:sz w:val="20"/>
          <w:szCs w:val="20"/>
        </w:rPr>
        <w:t>modnew</w:t>
      </w:r>
      <w:r>
        <w:rPr>
          <w:sz w:val="20"/>
          <w:szCs w:val="20"/>
        </w:rPr>
        <w:t xml:space="preserve">). </w:t>
      </w:r>
      <w:r>
        <w:rPr>
          <w:i/>
          <w:sz w:val="20"/>
          <w:szCs w:val="20"/>
        </w:rPr>
        <w:t>KPC</w:t>
      </w:r>
      <w:r>
        <w:rPr>
          <w:sz w:val="20"/>
          <w:szCs w:val="20"/>
        </w:rPr>
        <w:t xml:space="preserve"> is the cumulative number of PC game units sold and it has been instrumented through the variable </w:t>
      </w:r>
      <w:r>
        <w:rPr>
          <w:i/>
          <w:sz w:val="20"/>
          <w:szCs w:val="20"/>
        </w:rPr>
        <w:t>KCON</w:t>
      </w:r>
      <w:r>
        <w:rPr>
          <w:sz w:val="20"/>
          <w:szCs w:val="20"/>
        </w:rPr>
        <w:t xml:space="preserve">, the cumulative number of console game units sold (not shown). Standard errors in parentheses. </w:t>
      </w:r>
    </w:p>
    <w:p w14:paraId="0000010F" w14:textId="77777777" w:rsidR="007D6CD8" w:rsidRDefault="005961DB">
      <w:pPr>
        <w:rPr>
          <w:sz w:val="20"/>
          <w:szCs w:val="20"/>
        </w:rPr>
      </w:pPr>
      <w:r>
        <w:rPr>
          <w:sz w:val="20"/>
          <w:szCs w:val="20"/>
        </w:rPr>
        <w:t>***p &lt; 0.01; **p &lt; 0.05; *p &lt; 0.1.</w:t>
      </w:r>
    </w:p>
    <w:p w14:paraId="00000110" w14:textId="77777777" w:rsidR="007D6CD8" w:rsidRDefault="007D6CD8">
      <w:pPr>
        <w:rPr>
          <w:b/>
        </w:rPr>
      </w:pPr>
    </w:p>
    <w:p w14:paraId="00000111" w14:textId="77777777" w:rsidR="007D6CD8" w:rsidRDefault="005961DB">
      <w:pPr>
        <w:rPr>
          <w:b/>
        </w:rPr>
      </w:pPr>
      <w:r>
        <w:br w:type="page"/>
      </w:r>
    </w:p>
    <w:p w14:paraId="6ECD257A" w14:textId="77777777" w:rsidR="004C370B" w:rsidRDefault="004C370B" w:rsidP="004C370B">
      <w:pPr>
        <w:rPr>
          <w:b/>
        </w:rPr>
      </w:pPr>
      <w:r>
        <w:rPr>
          <w:b/>
        </w:rPr>
        <w:lastRenderedPageBreak/>
        <w:t xml:space="preserve">Table </w:t>
      </w:r>
      <w:sdt>
        <w:sdtPr>
          <w:tag w:val="goog_rdk_0"/>
          <w:id w:val="-2042350373"/>
        </w:sdtPr>
        <w:sdtEndPr/>
        <w:sdtContent/>
      </w:sdt>
      <w:r>
        <w:rPr>
          <w:b/>
        </w:rPr>
        <w:t>2. Key emotions in response to perceived misbehaviours.</w:t>
      </w:r>
    </w:p>
    <w:p w14:paraId="4F23B64D" w14:textId="77777777" w:rsidR="004C370B" w:rsidRDefault="004C370B" w:rsidP="004C370B">
      <w:pPr>
        <w:rPr>
          <w:b/>
        </w:rPr>
      </w:pPr>
    </w:p>
    <w:tbl>
      <w:tblPr>
        <w:tblStyle w:val="a0"/>
        <w:tblW w:w="67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38"/>
        <w:gridCol w:w="2214"/>
        <w:gridCol w:w="3403"/>
      </w:tblGrid>
      <w:tr w:rsidR="004C370B" w14:paraId="02DF823C" w14:textId="77777777" w:rsidTr="000B2C3E">
        <w:trPr>
          <w:trHeight w:val="614"/>
        </w:trPr>
        <w:tc>
          <w:tcPr>
            <w:tcW w:w="1138" w:type="dxa"/>
            <w:shd w:val="clear" w:color="auto" w:fill="auto"/>
          </w:tcPr>
          <w:p w14:paraId="281580EA" w14:textId="77777777" w:rsidR="004C370B" w:rsidRDefault="004C370B" w:rsidP="000B2C3E">
            <w:pPr>
              <w:spacing w:line="360" w:lineRule="auto"/>
              <w:jc w:val="center"/>
              <w:rPr>
                <w:b/>
                <w:sz w:val="16"/>
                <w:szCs w:val="16"/>
              </w:rPr>
            </w:pPr>
          </w:p>
        </w:tc>
        <w:tc>
          <w:tcPr>
            <w:tcW w:w="2214" w:type="dxa"/>
            <w:shd w:val="clear" w:color="auto" w:fill="auto"/>
          </w:tcPr>
          <w:p w14:paraId="5BFF5BC9" w14:textId="77777777" w:rsidR="004C370B" w:rsidRDefault="004C370B" w:rsidP="000B2C3E">
            <w:pPr>
              <w:spacing w:line="360" w:lineRule="auto"/>
              <w:jc w:val="center"/>
              <w:rPr>
                <w:b/>
                <w:sz w:val="16"/>
                <w:szCs w:val="16"/>
              </w:rPr>
            </w:pPr>
            <w:r>
              <w:rPr>
                <w:b/>
                <w:sz w:val="16"/>
                <w:szCs w:val="16"/>
              </w:rPr>
              <w:t>BEHAVIOUR PROBLEM</w:t>
            </w:r>
          </w:p>
        </w:tc>
        <w:tc>
          <w:tcPr>
            <w:tcW w:w="3403" w:type="dxa"/>
            <w:shd w:val="clear" w:color="auto" w:fill="auto"/>
          </w:tcPr>
          <w:p w14:paraId="6E71127F" w14:textId="77777777" w:rsidR="004C370B" w:rsidRDefault="004C370B" w:rsidP="000B2C3E">
            <w:pPr>
              <w:spacing w:line="360" w:lineRule="auto"/>
              <w:jc w:val="center"/>
              <w:rPr>
                <w:b/>
                <w:sz w:val="16"/>
                <w:szCs w:val="16"/>
              </w:rPr>
            </w:pPr>
            <w:r>
              <w:rPr>
                <w:b/>
                <w:sz w:val="16"/>
                <w:szCs w:val="16"/>
              </w:rPr>
              <w:t>FEELINGS</w:t>
            </w:r>
          </w:p>
        </w:tc>
      </w:tr>
      <w:tr w:rsidR="004C370B" w14:paraId="347F1F2C" w14:textId="77777777" w:rsidTr="000B2C3E">
        <w:tc>
          <w:tcPr>
            <w:tcW w:w="1138" w:type="dxa"/>
            <w:vMerge w:val="restart"/>
            <w:shd w:val="clear" w:color="auto" w:fill="auto"/>
          </w:tcPr>
          <w:p w14:paraId="5393E115" w14:textId="77777777" w:rsidR="004C370B" w:rsidRDefault="004C370B" w:rsidP="000B2C3E">
            <w:pPr>
              <w:spacing w:line="360" w:lineRule="auto"/>
              <w:jc w:val="center"/>
              <w:rPr>
                <w:b/>
                <w:sz w:val="18"/>
                <w:szCs w:val="18"/>
              </w:rPr>
            </w:pPr>
            <w:r>
              <w:rPr>
                <w:b/>
                <w:sz w:val="18"/>
                <w:szCs w:val="18"/>
              </w:rPr>
              <w:t>Modders VS producers</w:t>
            </w:r>
          </w:p>
          <w:p w14:paraId="6B2EBFB1" w14:textId="77777777" w:rsidR="004C370B" w:rsidRDefault="004C370B" w:rsidP="000B2C3E">
            <w:pPr>
              <w:spacing w:line="360" w:lineRule="auto"/>
              <w:jc w:val="center"/>
              <w:rPr>
                <w:b/>
                <w:sz w:val="18"/>
                <w:szCs w:val="18"/>
              </w:rPr>
            </w:pPr>
          </w:p>
        </w:tc>
        <w:tc>
          <w:tcPr>
            <w:tcW w:w="2214" w:type="dxa"/>
            <w:shd w:val="clear" w:color="auto" w:fill="auto"/>
          </w:tcPr>
          <w:p w14:paraId="7B7CCAB4" w14:textId="77777777" w:rsidR="004C370B" w:rsidRDefault="004C370B" w:rsidP="000B2C3E">
            <w:pPr>
              <w:spacing w:line="360" w:lineRule="auto"/>
              <w:jc w:val="center"/>
              <w:rPr>
                <w:sz w:val="18"/>
                <w:szCs w:val="18"/>
              </w:rPr>
            </w:pPr>
            <w:r>
              <w:rPr>
                <w:sz w:val="18"/>
                <w:szCs w:val="18"/>
              </w:rPr>
              <w:t>Lack of support service</w:t>
            </w:r>
          </w:p>
        </w:tc>
        <w:tc>
          <w:tcPr>
            <w:tcW w:w="3403" w:type="dxa"/>
            <w:shd w:val="clear" w:color="auto" w:fill="auto"/>
          </w:tcPr>
          <w:p w14:paraId="7D7960AF" w14:textId="77777777" w:rsidR="004C370B" w:rsidRDefault="004C370B" w:rsidP="000B2C3E">
            <w:pPr>
              <w:spacing w:line="360" w:lineRule="auto"/>
              <w:jc w:val="center"/>
              <w:rPr>
                <w:sz w:val="18"/>
                <w:szCs w:val="18"/>
              </w:rPr>
            </w:pPr>
            <w:r>
              <w:rPr>
                <w:sz w:val="18"/>
                <w:szCs w:val="18"/>
              </w:rPr>
              <w:t>Dissatisfaction, sense of abandonment, annoyance, disappointment, demotivation</w:t>
            </w:r>
          </w:p>
        </w:tc>
      </w:tr>
      <w:tr w:rsidR="004C370B" w14:paraId="44604DEF" w14:textId="77777777" w:rsidTr="000B2C3E">
        <w:tc>
          <w:tcPr>
            <w:tcW w:w="1138" w:type="dxa"/>
            <w:vMerge/>
            <w:shd w:val="clear" w:color="auto" w:fill="auto"/>
          </w:tcPr>
          <w:p w14:paraId="0BDBAFBB" w14:textId="77777777" w:rsidR="004C370B" w:rsidRDefault="004C370B" w:rsidP="000B2C3E">
            <w:pPr>
              <w:widowControl w:val="0"/>
              <w:pBdr>
                <w:top w:val="nil"/>
                <w:left w:val="nil"/>
                <w:bottom w:val="nil"/>
                <w:right w:val="nil"/>
                <w:between w:val="nil"/>
              </w:pBdr>
              <w:spacing w:line="276" w:lineRule="auto"/>
              <w:rPr>
                <w:sz w:val="18"/>
                <w:szCs w:val="18"/>
              </w:rPr>
            </w:pPr>
          </w:p>
        </w:tc>
        <w:tc>
          <w:tcPr>
            <w:tcW w:w="2214" w:type="dxa"/>
            <w:shd w:val="clear" w:color="auto" w:fill="auto"/>
          </w:tcPr>
          <w:p w14:paraId="05F15D1F" w14:textId="77777777" w:rsidR="004C370B" w:rsidRDefault="004C370B" w:rsidP="000B2C3E">
            <w:pPr>
              <w:spacing w:line="360" w:lineRule="auto"/>
              <w:jc w:val="center"/>
              <w:rPr>
                <w:sz w:val="18"/>
                <w:szCs w:val="18"/>
              </w:rPr>
            </w:pPr>
            <w:r>
              <w:rPr>
                <w:sz w:val="18"/>
                <w:szCs w:val="18"/>
              </w:rPr>
              <w:t>Content appropriation - Exploitive</w:t>
            </w:r>
          </w:p>
        </w:tc>
        <w:tc>
          <w:tcPr>
            <w:tcW w:w="3403" w:type="dxa"/>
            <w:shd w:val="clear" w:color="auto" w:fill="auto"/>
          </w:tcPr>
          <w:p w14:paraId="178E2CFB" w14:textId="77777777" w:rsidR="004C370B" w:rsidRDefault="004C370B" w:rsidP="000B2C3E">
            <w:pPr>
              <w:spacing w:line="360" w:lineRule="auto"/>
              <w:jc w:val="center"/>
              <w:rPr>
                <w:sz w:val="18"/>
                <w:szCs w:val="18"/>
              </w:rPr>
            </w:pPr>
            <w:r>
              <w:rPr>
                <w:sz w:val="18"/>
                <w:szCs w:val="18"/>
              </w:rPr>
              <w:t>Distrust, anger, outrage, loathing, powerless</w:t>
            </w:r>
          </w:p>
        </w:tc>
      </w:tr>
      <w:tr w:rsidR="004C370B" w14:paraId="64193104" w14:textId="77777777" w:rsidTr="000B2C3E">
        <w:tc>
          <w:tcPr>
            <w:tcW w:w="1138" w:type="dxa"/>
            <w:vMerge/>
            <w:shd w:val="clear" w:color="auto" w:fill="auto"/>
          </w:tcPr>
          <w:p w14:paraId="3D9A9EDE" w14:textId="77777777" w:rsidR="004C370B" w:rsidRDefault="004C370B" w:rsidP="000B2C3E">
            <w:pPr>
              <w:widowControl w:val="0"/>
              <w:pBdr>
                <w:top w:val="nil"/>
                <w:left w:val="nil"/>
                <w:bottom w:val="nil"/>
                <w:right w:val="nil"/>
                <w:between w:val="nil"/>
              </w:pBdr>
              <w:spacing w:line="276" w:lineRule="auto"/>
              <w:rPr>
                <w:sz w:val="18"/>
                <w:szCs w:val="18"/>
              </w:rPr>
            </w:pPr>
          </w:p>
        </w:tc>
        <w:tc>
          <w:tcPr>
            <w:tcW w:w="2214" w:type="dxa"/>
            <w:shd w:val="clear" w:color="auto" w:fill="auto"/>
          </w:tcPr>
          <w:p w14:paraId="6FCD8AB4" w14:textId="77777777" w:rsidR="004C370B" w:rsidRDefault="004C370B" w:rsidP="000B2C3E">
            <w:pPr>
              <w:spacing w:line="360" w:lineRule="auto"/>
              <w:jc w:val="center"/>
              <w:rPr>
                <w:sz w:val="18"/>
                <w:szCs w:val="18"/>
              </w:rPr>
            </w:pPr>
            <w:r>
              <w:rPr>
                <w:sz w:val="18"/>
                <w:szCs w:val="18"/>
              </w:rPr>
              <w:t>Planned Obsolescence</w:t>
            </w:r>
          </w:p>
        </w:tc>
        <w:tc>
          <w:tcPr>
            <w:tcW w:w="3403" w:type="dxa"/>
            <w:shd w:val="clear" w:color="auto" w:fill="auto"/>
          </w:tcPr>
          <w:p w14:paraId="3B4F1659" w14:textId="77777777" w:rsidR="004C370B" w:rsidRDefault="004C370B" w:rsidP="000B2C3E">
            <w:pPr>
              <w:spacing w:line="360" w:lineRule="auto"/>
              <w:jc w:val="center"/>
              <w:rPr>
                <w:sz w:val="18"/>
                <w:szCs w:val="18"/>
              </w:rPr>
            </w:pPr>
            <w:r>
              <w:rPr>
                <w:sz w:val="18"/>
                <w:szCs w:val="18"/>
              </w:rPr>
              <w:t>Disappointment, loss of challenge, demotivation</w:t>
            </w:r>
          </w:p>
        </w:tc>
      </w:tr>
      <w:tr w:rsidR="004C370B" w14:paraId="53A9F22F" w14:textId="77777777" w:rsidTr="000B2C3E">
        <w:tc>
          <w:tcPr>
            <w:tcW w:w="1138" w:type="dxa"/>
            <w:vMerge w:val="restart"/>
            <w:shd w:val="clear" w:color="auto" w:fill="auto"/>
          </w:tcPr>
          <w:p w14:paraId="357A5ABE" w14:textId="77777777" w:rsidR="004C370B" w:rsidRDefault="004C370B" w:rsidP="000B2C3E">
            <w:pPr>
              <w:spacing w:line="360" w:lineRule="auto"/>
              <w:jc w:val="center"/>
              <w:rPr>
                <w:b/>
                <w:sz w:val="18"/>
                <w:szCs w:val="18"/>
              </w:rPr>
            </w:pPr>
            <w:r>
              <w:rPr>
                <w:b/>
                <w:sz w:val="18"/>
                <w:szCs w:val="18"/>
              </w:rPr>
              <w:t>Modders VS Modders</w:t>
            </w:r>
          </w:p>
          <w:p w14:paraId="31F80144" w14:textId="77777777" w:rsidR="004C370B" w:rsidRDefault="004C370B" w:rsidP="000B2C3E">
            <w:pPr>
              <w:spacing w:line="360" w:lineRule="auto"/>
              <w:jc w:val="center"/>
              <w:rPr>
                <w:b/>
                <w:sz w:val="18"/>
                <w:szCs w:val="18"/>
              </w:rPr>
            </w:pPr>
          </w:p>
        </w:tc>
        <w:tc>
          <w:tcPr>
            <w:tcW w:w="2214" w:type="dxa"/>
            <w:shd w:val="clear" w:color="auto" w:fill="auto"/>
          </w:tcPr>
          <w:p w14:paraId="12556A2B" w14:textId="77777777" w:rsidR="004C370B" w:rsidRDefault="004C370B" w:rsidP="000B2C3E">
            <w:pPr>
              <w:spacing w:line="360" w:lineRule="auto"/>
              <w:jc w:val="center"/>
              <w:rPr>
                <w:sz w:val="18"/>
                <w:szCs w:val="18"/>
              </w:rPr>
            </w:pPr>
            <w:r>
              <w:rPr>
                <w:sz w:val="18"/>
                <w:szCs w:val="18"/>
              </w:rPr>
              <w:t>Stealing</w:t>
            </w:r>
          </w:p>
        </w:tc>
        <w:tc>
          <w:tcPr>
            <w:tcW w:w="3403" w:type="dxa"/>
            <w:shd w:val="clear" w:color="auto" w:fill="auto"/>
          </w:tcPr>
          <w:p w14:paraId="71D6ACA4" w14:textId="77777777" w:rsidR="004C370B" w:rsidRDefault="004C370B" w:rsidP="000B2C3E">
            <w:pPr>
              <w:spacing w:line="360" w:lineRule="auto"/>
              <w:jc w:val="center"/>
              <w:rPr>
                <w:sz w:val="18"/>
                <w:szCs w:val="18"/>
              </w:rPr>
            </w:pPr>
            <w:r>
              <w:rPr>
                <w:sz w:val="18"/>
                <w:szCs w:val="18"/>
              </w:rPr>
              <w:t>Disdain, betrayed, disillusioned</w:t>
            </w:r>
          </w:p>
        </w:tc>
      </w:tr>
      <w:tr w:rsidR="004C370B" w14:paraId="3D585A3A" w14:textId="77777777" w:rsidTr="000B2C3E">
        <w:tc>
          <w:tcPr>
            <w:tcW w:w="1138" w:type="dxa"/>
            <w:vMerge/>
            <w:shd w:val="clear" w:color="auto" w:fill="auto"/>
          </w:tcPr>
          <w:p w14:paraId="39BCD06A" w14:textId="77777777" w:rsidR="004C370B" w:rsidRDefault="004C370B" w:rsidP="000B2C3E">
            <w:pPr>
              <w:widowControl w:val="0"/>
              <w:pBdr>
                <w:top w:val="nil"/>
                <w:left w:val="nil"/>
                <w:bottom w:val="nil"/>
                <w:right w:val="nil"/>
                <w:between w:val="nil"/>
              </w:pBdr>
              <w:spacing w:line="276" w:lineRule="auto"/>
              <w:rPr>
                <w:sz w:val="18"/>
                <w:szCs w:val="18"/>
              </w:rPr>
            </w:pPr>
          </w:p>
        </w:tc>
        <w:tc>
          <w:tcPr>
            <w:tcW w:w="2214" w:type="dxa"/>
            <w:shd w:val="clear" w:color="auto" w:fill="auto"/>
          </w:tcPr>
          <w:p w14:paraId="1B943618" w14:textId="77777777" w:rsidR="004C370B" w:rsidRDefault="004C370B" w:rsidP="000B2C3E">
            <w:pPr>
              <w:spacing w:line="360" w:lineRule="auto"/>
              <w:jc w:val="center"/>
              <w:rPr>
                <w:sz w:val="18"/>
                <w:szCs w:val="18"/>
              </w:rPr>
            </w:pPr>
            <w:r>
              <w:rPr>
                <w:sz w:val="18"/>
                <w:szCs w:val="18"/>
              </w:rPr>
              <w:t>Fierce competition</w:t>
            </w:r>
          </w:p>
        </w:tc>
        <w:tc>
          <w:tcPr>
            <w:tcW w:w="3403" w:type="dxa"/>
            <w:shd w:val="clear" w:color="auto" w:fill="auto"/>
          </w:tcPr>
          <w:p w14:paraId="1FEC0A6A" w14:textId="77777777" w:rsidR="004C370B" w:rsidRDefault="004C370B" w:rsidP="000B2C3E">
            <w:pPr>
              <w:spacing w:line="360" w:lineRule="auto"/>
              <w:jc w:val="center"/>
              <w:rPr>
                <w:sz w:val="18"/>
                <w:szCs w:val="18"/>
              </w:rPr>
            </w:pPr>
            <w:r>
              <w:rPr>
                <w:sz w:val="18"/>
                <w:szCs w:val="18"/>
              </w:rPr>
              <w:t>Frustration, stressed, admiration, overwhelmed</w:t>
            </w:r>
          </w:p>
        </w:tc>
      </w:tr>
      <w:tr w:rsidR="004C370B" w14:paraId="3AB385A8" w14:textId="77777777" w:rsidTr="000B2C3E">
        <w:tc>
          <w:tcPr>
            <w:tcW w:w="1138" w:type="dxa"/>
            <w:vMerge w:val="restart"/>
            <w:shd w:val="clear" w:color="auto" w:fill="auto"/>
          </w:tcPr>
          <w:p w14:paraId="018A351F" w14:textId="77777777" w:rsidR="004C370B" w:rsidRDefault="004C370B" w:rsidP="000B2C3E">
            <w:pPr>
              <w:spacing w:line="360" w:lineRule="auto"/>
              <w:jc w:val="center"/>
              <w:rPr>
                <w:b/>
                <w:sz w:val="18"/>
                <w:szCs w:val="18"/>
              </w:rPr>
            </w:pPr>
            <w:r>
              <w:rPr>
                <w:b/>
                <w:sz w:val="18"/>
                <w:szCs w:val="18"/>
              </w:rPr>
              <w:t>Broader Community</w:t>
            </w:r>
          </w:p>
        </w:tc>
        <w:tc>
          <w:tcPr>
            <w:tcW w:w="2214" w:type="dxa"/>
            <w:shd w:val="clear" w:color="auto" w:fill="auto"/>
          </w:tcPr>
          <w:p w14:paraId="2E2495C5" w14:textId="77777777" w:rsidR="004C370B" w:rsidRDefault="004C370B" w:rsidP="000B2C3E">
            <w:pPr>
              <w:spacing w:line="360" w:lineRule="auto"/>
              <w:jc w:val="center"/>
              <w:rPr>
                <w:sz w:val="18"/>
                <w:szCs w:val="18"/>
              </w:rPr>
            </w:pPr>
            <w:r>
              <w:rPr>
                <w:sz w:val="18"/>
                <w:szCs w:val="18"/>
              </w:rPr>
              <w:t>Toxic behaviours</w:t>
            </w:r>
          </w:p>
          <w:p w14:paraId="4C926030" w14:textId="77777777" w:rsidR="004C370B" w:rsidRDefault="004C370B" w:rsidP="000B2C3E">
            <w:pPr>
              <w:spacing w:line="360" w:lineRule="auto"/>
              <w:jc w:val="center"/>
              <w:rPr>
                <w:sz w:val="18"/>
                <w:szCs w:val="18"/>
              </w:rPr>
            </w:pPr>
          </w:p>
        </w:tc>
        <w:tc>
          <w:tcPr>
            <w:tcW w:w="3403" w:type="dxa"/>
            <w:shd w:val="clear" w:color="auto" w:fill="auto"/>
          </w:tcPr>
          <w:p w14:paraId="2680EA91" w14:textId="77777777" w:rsidR="004C370B" w:rsidRDefault="004C370B" w:rsidP="000B2C3E">
            <w:pPr>
              <w:spacing w:line="360" w:lineRule="auto"/>
              <w:jc w:val="center"/>
              <w:rPr>
                <w:sz w:val="18"/>
                <w:szCs w:val="18"/>
              </w:rPr>
            </w:pPr>
            <w:r>
              <w:rPr>
                <w:sz w:val="18"/>
                <w:szCs w:val="18"/>
              </w:rPr>
              <w:t>Fragile, victimized, apprehension, uncomfortable</w:t>
            </w:r>
          </w:p>
        </w:tc>
      </w:tr>
      <w:tr w:rsidR="004C370B" w14:paraId="6DA40283" w14:textId="77777777" w:rsidTr="000B2C3E">
        <w:tc>
          <w:tcPr>
            <w:tcW w:w="1138" w:type="dxa"/>
            <w:vMerge/>
            <w:shd w:val="clear" w:color="auto" w:fill="auto"/>
          </w:tcPr>
          <w:p w14:paraId="141B54BA" w14:textId="77777777" w:rsidR="004C370B" w:rsidRDefault="004C370B" w:rsidP="000B2C3E">
            <w:pPr>
              <w:widowControl w:val="0"/>
              <w:pBdr>
                <w:top w:val="nil"/>
                <w:left w:val="nil"/>
                <w:bottom w:val="nil"/>
                <w:right w:val="nil"/>
                <w:between w:val="nil"/>
              </w:pBdr>
              <w:spacing w:line="276" w:lineRule="auto"/>
              <w:rPr>
                <w:sz w:val="18"/>
                <w:szCs w:val="18"/>
              </w:rPr>
            </w:pPr>
          </w:p>
        </w:tc>
        <w:tc>
          <w:tcPr>
            <w:tcW w:w="2214" w:type="dxa"/>
            <w:shd w:val="clear" w:color="auto" w:fill="auto"/>
          </w:tcPr>
          <w:p w14:paraId="778E1D1D" w14:textId="77777777" w:rsidR="004C370B" w:rsidRDefault="004C370B" w:rsidP="000B2C3E">
            <w:pPr>
              <w:spacing w:line="360" w:lineRule="auto"/>
              <w:jc w:val="center"/>
              <w:rPr>
                <w:sz w:val="18"/>
                <w:szCs w:val="18"/>
              </w:rPr>
            </w:pPr>
            <w:r>
              <w:rPr>
                <w:sz w:val="18"/>
                <w:szCs w:val="18"/>
              </w:rPr>
              <w:t>Maddaholic</w:t>
            </w:r>
          </w:p>
        </w:tc>
        <w:tc>
          <w:tcPr>
            <w:tcW w:w="3403" w:type="dxa"/>
            <w:shd w:val="clear" w:color="auto" w:fill="auto"/>
          </w:tcPr>
          <w:p w14:paraId="21FFCE8F" w14:textId="77777777" w:rsidR="004C370B" w:rsidRDefault="004C370B" w:rsidP="000B2C3E">
            <w:pPr>
              <w:spacing w:line="360" w:lineRule="auto"/>
              <w:jc w:val="center"/>
              <w:rPr>
                <w:sz w:val="18"/>
                <w:szCs w:val="18"/>
              </w:rPr>
            </w:pPr>
            <w:r>
              <w:rPr>
                <w:sz w:val="18"/>
                <w:szCs w:val="18"/>
              </w:rPr>
              <w:t>Anxiety, obsession</w:t>
            </w:r>
          </w:p>
        </w:tc>
      </w:tr>
      <w:tr w:rsidR="004C370B" w14:paraId="2967803B" w14:textId="77777777" w:rsidTr="000B2C3E">
        <w:tc>
          <w:tcPr>
            <w:tcW w:w="1138" w:type="dxa"/>
            <w:vMerge/>
            <w:shd w:val="clear" w:color="auto" w:fill="auto"/>
          </w:tcPr>
          <w:p w14:paraId="48014F21" w14:textId="77777777" w:rsidR="004C370B" w:rsidRDefault="004C370B" w:rsidP="000B2C3E">
            <w:pPr>
              <w:widowControl w:val="0"/>
              <w:pBdr>
                <w:top w:val="nil"/>
                <w:left w:val="nil"/>
                <w:bottom w:val="nil"/>
                <w:right w:val="nil"/>
                <w:between w:val="nil"/>
              </w:pBdr>
              <w:spacing w:line="276" w:lineRule="auto"/>
              <w:rPr>
                <w:sz w:val="18"/>
                <w:szCs w:val="18"/>
              </w:rPr>
            </w:pPr>
          </w:p>
        </w:tc>
        <w:tc>
          <w:tcPr>
            <w:tcW w:w="2214" w:type="dxa"/>
            <w:shd w:val="clear" w:color="auto" w:fill="auto"/>
          </w:tcPr>
          <w:p w14:paraId="7545826C" w14:textId="77777777" w:rsidR="004C370B" w:rsidRDefault="004C370B" w:rsidP="000B2C3E">
            <w:pPr>
              <w:spacing w:line="360" w:lineRule="auto"/>
              <w:jc w:val="center"/>
              <w:rPr>
                <w:sz w:val="18"/>
                <w:szCs w:val="18"/>
              </w:rPr>
            </w:pPr>
            <w:r>
              <w:rPr>
                <w:sz w:val="18"/>
                <w:szCs w:val="18"/>
              </w:rPr>
              <w:t>Exploitation</w:t>
            </w:r>
          </w:p>
        </w:tc>
        <w:tc>
          <w:tcPr>
            <w:tcW w:w="3403" w:type="dxa"/>
            <w:shd w:val="clear" w:color="auto" w:fill="auto"/>
          </w:tcPr>
          <w:p w14:paraId="06A9567C" w14:textId="77777777" w:rsidR="004C370B" w:rsidRDefault="004C370B" w:rsidP="000B2C3E">
            <w:pPr>
              <w:spacing w:line="360" w:lineRule="auto"/>
              <w:jc w:val="center"/>
              <w:rPr>
                <w:sz w:val="18"/>
                <w:szCs w:val="18"/>
              </w:rPr>
            </w:pPr>
            <w:r>
              <w:rPr>
                <w:sz w:val="18"/>
                <w:szCs w:val="18"/>
              </w:rPr>
              <w:t xml:space="preserve">Emotional closeness, pity, empathy, outrage, frustration, powerless </w:t>
            </w:r>
          </w:p>
        </w:tc>
      </w:tr>
    </w:tbl>
    <w:p w14:paraId="02AF1F38" w14:textId="77777777" w:rsidR="004C370B" w:rsidRDefault="004C370B" w:rsidP="004C370B">
      <w:pPr>
        <w:rPr>
          <w:b/>
        </w:rPr>
      </w:pPr>
    </w:p>
    <w:p w14:paraId="00000112" w14:textId="134D5B46" w:rsidR="004C370B" w:rsidRDefault="004C370B">
      <w:pPr>
        <w:rPr>
          <w:b/>
        </w:rPr>
      </w:pPr>
      <w:r>
        <w:rPr>
          <w:b/>
        </w:rPr>
        <w:br w:type="page"/>
      </w:r>
    </w:p>
    <w:p w14:paraId="00000114" w14:textId="77777777" w:rsidR="007D6CD8" w:rsidRDefault="005961DB">
      <w:pPr>
        <w:rPr>
          <w:b/>
        </w:rPr>
      </w:pPr>
      <w:r>
        <w:rPr>
          <w:b/>
        </w:rPr>
        <w:lastRenderedPageBreak/>
        <w:t>Figure 1. Impact of time on new mods (estimated effect and confidence intervals)</w:t>
      </w:r>
    </w:p>
    <w:p w14:paraId="00000115" w14:textId="77777777" w:rsidR="007D6CD8" w:rsidRDefault="007D6CD8">
      <w:pPr>
        <w:rPr>
          <w:b/>
        </w:rPr>
      </w:pPr>
    </w:p>
    <w:p w14:paraId="00000116" w14:textId="77777777" w:rsidR="007D6CD8" w:rsidRDefault="005961DB">
      <w:r>
        <w:rPr>
          <w:noProof/>
        </w:rPr>
        <w:drawing>
          <wp:inline distT="0" distB="0" distL="0" distR="0" wp14:anchorId="7E70105A" wp14:editId="2C305601">
            <wp:extent cx="6116320" cy="3997325"/>
            <wp:effectExtent l="0" t="0" r="0" b="0"/>
            <wp:docPr id="226" name="Chart 22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Pr>
          <w:noProof/>
        </w:rPr>
        <mc:AlternateContent>
          <mc:Choice Requires="wpg">
            <w:drawing>
              <wp:anchor distT="45720" distB="45720" distL="114300" distR="114300" simplePos="0" relativeHeight="251658240" behindDoc="0" locked="0" layoutInCell="1" hidden="0" allowOverlap="1" wp14:anchorId="556025A0" wp14:editId="64904CFB">
                <wp:simplePos x="0" y="0"/>
                <wp:positionH relativeFrom="column">
                  <wp:posOffset>4089400</wp:posOffset>
                </wp:positionH>
                <wp:positionV relativeFrom="paragraph">
                  <wp:posOffset>3639820</wp:posOffset>
                </wp:positionV>
                <wp:extent cx="1755775" cy="274955"/>
                <wp:effectExtent l="0" t="0" r="0" b="0"/>
                <wp:wrapNone/>
                <wp:docPr id="228" name="Rectangle 228"/>
                <wp:cNvGraphicFramePr/>
                <a:graphic xmlns:a="http://schemas.openxmlformats.org/drawingml/2006/main">
                  <a:graphicData uri="http://schemas.microsoft.com/office/word/2010/wordprocessingShape">
                    <wps:wsp>
                      <wps:cNvSpPr/>
                      <wps:spPr>
                        <a:xfrm>
                          <a:off x="4482400" y="3656810"/>
                          <a:ext cx="1727200" cy="246380"/>
                        </a:xfrm>
                        <a:prstGeom prst="rect">
                          <a:avLst/>
                        </a:prstGeom>
                        <a:solidFill>
                          <a:srgbClr val="FFFFFF"/>
                        </a:solidFill>
                        <a:ln>
                          <a:noFill/>
                        </a:ln>
                      </wps:spPr>
                      <wps:txbx>
                        <w:txbxContent>
                          <w:p w14:paraId="07BC0208" w14:textId="77777777" w:rsidR="007D6CD8" w:rsidRDefault="005961DB">
                            <w:pPr>
                              <w:textDirection w:val="btLr"/>
                            </w:pPr>
                            <w:r>
                              <w:rPr>
                                <w:color w:val="000000"/>
                                <w:sz w:val="20"/>
                              </w:rPr>
                              <w:t>Weeks from the release</w:t>
                            </w:r>
                          </w:p>
                        </w:txbxContent>
                      </wps:txbx>
                      <wps:bodyPr spcFirstLastPara="1" wrap="square" lIns="91425" tIns="45700" rIns="91425"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http://schemas.microsoft.com/office/word/2018/wordml" xmlns:w16cex="http://schemas.microsoft.com/office/word/2018/wordml/cex">
            <w:drawing>
              <wp:anchor allowOverlap="1" behindDoc="0" distB="45720" distT="45720" distL="114300" distR="114300" hidden="0" layoutInCell="1" locked="0" relativeHeight="0" simplePos="0">
                <wp:simplePos x="0" y="0"/>
                <wp:positionH relativeFrom="column">
                  <wp:posOffset>4089400</wp:posOffset>
                </wp:positionH>
                <wp:positionV relativeFrom="paragraph">
                  <wp:posOffset>3639820</wp:posOffset>
                </wp:positionV>
                <wp:extent cx="1755775" cy="274955"/>
                <wp:effectExtent b="0" l="0" r="0" t="0"/>
                <wp:wrapNone/>
                <wp:docPr id="228" name="image4.png"/>
                <a:graphic>
                  <a:graphicData uri="http://schemas.openxmlformats.org/drawingml/2006/picture">
                    <pic:pic>
                      <pic:nvPicPr>
                        <pic:cNvPr id="0" name="image4.png"/>
                        <pic:cNvPicPr preferRelativeResize="0"/>
                      </pic:nvPicPr>
                      <pic:blipFill>
                        <a:blip r:embed="rId11"/>
                        <a:srcRect/>
                        <a:stretch>
                          <a:fillRect/>
                        </a:stretch>
                      </pic:blipFill>
                      <pic:spPr>
                        <a:xfrm>
                          <a:off x="0" y="0"/>
                          <a:ext cx="1755775" cy="274955"/>
                        </a:xfrm>
                        <a:prstGeom prst="rect"/>
                        <a:ln/>
                      </pic:spPr>
                    </pic:pic>
                  </a:graphicData>
                </a:graphic>
              </wp:anchor>
            </w:drawing>
          </mc:Fallback>
        </mc:AlternateContent>
      </w:r>
      <w:r>
        <w:rPr>
          <w:noProof/>
        </w:rPr>
        <mc:AlternateContent>
          <mc:Choice Requires="wpg">
            <w:drawing>
              <wp:anchor distT="45720" distB="45720" distL="114300" distR="114300" simplePos="0" relativeHeight="251659264" behindDoc="0" locked="0" layoutInCell="1" hidden="0" allowOverlap="1" wp14:anchorId="0EE61B91" wp14:editId="2CBC501C">
                <wp:simplePos x="0" y="0"/>
                <wp:positionH relativeFrom="column">
                  <wp:posOffset>1</wp:posOffset>
                </wp:positionH>
                <wp:positionV relativeFrom="paragraph">
                  <wp:posOffset>134620</wp:posOffset>
                </wp:positionV>
                <wp:extent cx="2066925" cy="274955"/>
                <wp:effectExtent l="0" t="0" r="0" b="0"/>
                <wp:wrapNone/>
                <wp:docPr id="227" name="Rectangle 227"/>
                <wp:cNvGraphicFramePr/>
                <a:graphic xmlns:a="http://schemas.openxmlformats.org/drawingml/2006/main">
                  <a:graphicData uri="http://schemas.microsoft.com/office/word/2010/wordprocessingShape">
                    <wps:wsp>
                      <wps:cNvSpPr/>
                      <wps:spPr>
                        <a:xfrm>
                          <a:off x="4326825" y="3656810"/>
                          <a:ext cx="2038350" cy="246380"/>
                        </a:xfrm>
                        <a:prstGeom prst="rect">
                          <a:avLst/>
                        </a:prstGeom>
                        <a:solidFill>
                          <a:srgbClr val="FFFFFF"/>
                        </a:solidFill>
                        <a:ln>
                          <a:noFill/>
                        </a:ln>
                      </wps:spPr>
                      <wps:txbx>
                        <w:txbxContent>
                          <w:p w14:paraId="4E9F45E8" w14:textId="77777777" w:rsidR="007D6CD8" w:rsidRDefault="005961DB">
                            <w:pPr>
                              <w:textDirection w:val="btLr"/>
                            </w:pPr>
                            <w:r>
                              <w:rPr>
                                <w:color w:val="000000"/>
                                <w:sz w:val="20"/>
                              </w:rPr>
                              <w:t>Marginal effects of new mods</w:t>
                            </w:r>
                          </w:p>
                        </w:txbxContent>
                      </wps:txbx>
                      <wps:bodyPr spcFirstLastPara="1" wrap="square" lIns="91425" tIns="45700" rIns="91425" bIns="45700" anchor="t"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http://schemas.microsoft.com/office/word/2018/wordml" xmlns:w16cex="http://schemas.microsoft.com/office/word/2018/wordml/cex">
            <w:drawing>
              <wp:anchor allowOverlap="1" behindDoc="0" distB="45720" distT="45720" distL="114300" distR="114300" hidden="0" layoutInCell="1" locked="0" relativeHeight="0" simplePos="0">
                <wp:simplePos x="0" y="0"/>
                <wp:positionH relativeFrom="column">
                  <wp:posOffset>1</wp:posOffset>
                </wp:positionH>
                <wp:positionV relativeFrom="paragraph">
                  <wp:posOffset>134620</wp:posOffset>
                </wp:positionV>
                <wp:extent cx="2066925" cy="274955"/>
                <wp:effectExtent b="0" l="0" r="0" t="0"/>
                <wp:wrapNone/>
                <wp:docPr id="227" name="image3.png"/>
                <a:graphic>
                  <a:graphicData uri="http://schemas.openxmlformats.org/drawingml/2006/picture">
                    <pic:pic>
                      <pic:nvPicPr>
                        <pic:cNvPr id="0" name="image3.png"/>
                        <pic:cNvPicPr preferRelativeResize="0"/>
                      </pic:nvPicPr>
                      <pic:blipFill>
                        <a:blip r:embed="rId12"/>
                        <a:srcRect/>
                        <a:stretch>
                          <a:fillRect/>
                        </a:stretch>
                      </pic:blipFill>
                      <pic:spPr>
                        <a:xfrm>
                          <a:off x="0" y="0"/>
                          <a:ext cx="2066925" cy="274955"/>
                        </a:xfrm>
                        <a:prstGeom prst="rect"/>
                        <a:ln/>
                      </pic:spPr>
                    </pic:pic>
                  </a:graphicData>
                </a:graphic>
              </wp:anchor>
            </w:drawing>
          </mc:Fallback>
        </mc:AlternateContent>
      </w:r>
    </w:p>
    <w:p w14:paraId="00000117" w14:textId="77777777" w:rsidR="007D6CD8" w:rsidRDefault="005961DB">
      <w:r>
        <w:rPr>
          <w:sz w:val="20"/>
          <w:szCs w:val="20"/>
        </w:rPr>
        <w:t>Marginal effects of weekly time dummies with respect to the first week of release. The black line shows the average estimated impact of the video game age, the grey area shows the confidence interval at the 95% significance level.</w:t>
      </w:r>
    </w:p>
    <w:p w14:paraId="00000118" w14:textId="77777777" w:rsidR="007D6CD8" w:rsidRDefault="007D6CD8">
      <w:pPr>
        <w:jc w:val="both"/>
      </w:pPr>
    </w:p>
    <w:p w14:paraId="00000119" w14:textId="77777777" w:rsidR="007D6CD8" w:rsidRDefault="005961DB">
      <w:pPr>
        <w:rPr>
          <w:b/>
        </w:rPr>
      </w:pPr>
      <w:r>
        <w:br w:type="page"/>
      </w:r>
    </w:p>
    <w:p w14:paraId="0000011B" w14:textId="77777777" w:rsidR="007D6CD8" w:rsidRDefault="005961DB">
      <w:pPr>
        <w:rPr>
          <w:b/>
        </w:rPr>
      </w:pPr>
      <w:r>
        <w:rPr>
          <w:b/>
        </w:rPr>
        <w:lastRenderedPageBreak/>
        <w:t>Figure 2. Key themes of the qualitative analysis</w:t>
      </w:r>
    </w:p>
    <w:p w14:paraId="0000011C" w14:textId="77777777" w:rsidR="007D6CD8" w:rsidRDefault="007D6CD8">
      <w:pPr>
        <w:rPr>
          <w:b/>
        </w:rPr>
      </w:pPr>
    </w:p>
    <w:p w14:paraId="0000011D" w14:textId="007690B4" w:rsidR="007D6CD8" w:rsidRDefault="005961DB">
      <w:r>
        <w:t xml:space="preserve"> </w:t>
      </w:r>
      <w:r w:rsidR="00952A35" w:rsidRPr="00952A35">
        <w:drawing>
          <wp:inline distT="0" distB="0" distL="0" distR="0" wp14:anchorId="5F9A0901" wp14:editId="1666A4FE">
            <wp:extent cx="6116320" cy="3275330"/>
            <wp:effectExtent l="0" t="0" r="5080" b="127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16320" cy="3275330"/>
                    </a:xfrm>
                    <a:prstGeom prst="rect">
                      <a:avLst/>
                    </a:prstGeom>
                  </pic:spPr>
                </pic:pic>
              </a:graphicData>
            </a:graphic>
          </wp:inline>
        </w:drawing>
      </w:r>
    </w:p>
    <w:p w14:paraId="0000011E" w14:textId="77777777" w:rsidR="007D6CD8" w:rsidRDefault="007D6CD8"/>
    <w:p w14:paraId="0000011F" w14:textId="77777777" w:rsidR="007D6CD8" w:rsidRDefault="005961DB">
      <w:pPr>
        <w:rPr>
          <w:b/>
        </w:rPr>
      </w:pPr>
      <w:r>
        <w:br w:type="page"/>
      </w:r>
      <w:bookmarkStart w:id="2" w:name="_GoBack"/>
      <w:bookmarkEnd w:id="2"/>
    </w:p>
    <w:p w14:paraId="00000121" w14:textId="77777777" w:rsidR="007D6CD8" w:rsidRDefault="005961DB">
      <w:pPr>
        <w:rPr>
          <w:b/>
        </w:rPr>
      </w:pPr>
      <w:r>
        <w:rPr>
          <w:b/>
        </w:rPr>
        <w:lastRenderedPageBreak/>
        <w:t>Figure 3. The flowchart of the producer’s decision making</w:t>
      </w:r>
    </w:p>
    <w:p w14:paraId="00000122" w14:textId="77777777" w:rsidR="007D6CD8" w:rsidRDefault="007D6CD8">
      <w:pPr>
        <w:rPr>
          <w:b/>
        </w:rPr>
      </w:pPr>
    </w:p>
    <w:p w14:paraId="00000123" w14:textId="77777777" w:rsidR="007D6CD8" w:rsidRDefault="005961DB">
      <w:pPr>
        <w:rPr>
          <w:b/>
        </w:rPr>
      </w:pPr>
      <w:r>
        <w:rPr>
          <w:b/>
          <w:noProof/>
        </w:rPr>
        <w:drawing>
          <wp:inline distT="0" distB="0" distL="0" distR="0" wp14:anchorId="433128A9" wp14:editId="4FF1C4E5">
            <wp:extent cx="3632363" cy="5316004"/>
            <wp:effectExtent l="0" t="0" r="0" b="0"/>
            <wp:docPr id="22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a:srcRect/>
                    <a:stretch>
                      <a:fillRect/>
                    </a:stretch>
                  </pic:blipFill>
                  <pic:spPr>
                    <a:xfrm>
                      <a:off x="0" y="0"/>
                      <a:ext cx="3632363" cy="5316004"/>
                    </a:xfrm>
                    <a:prstGeom prst="rect">
                      <a:avLst/>
                    </a:prstGeom>
                    <a:ln/>
                  </pic:spPr>
                </pic:pic>
              </a:graphicData>
            </a:graphic>
          </wp:inline>
        </w:drawing>
      </w:r>
    </w:p>
    <w:p w14:paraId="00000124" w14:textId="77777777" w:rsidR="007D6CD8" w:rsidRDefault="007D6CD8"/>
    <w:p w14:paraId="00000125" w14:textId="77777777" w:rsidR="007D6CD8" w:rsidRDefault="005961DB">
      <w:r>
        <w:br w:type="page"/>
      </w:r>
    </w:p>
    <w:p w14:paraId="0000015F" w14:textId="77777777" w:rsidR="007D6CD8" w:rsidRDefault="005961DB">
      <w:pPr>
        <w:rPr>
          <w:b/>
        </w:rPr>
      </w:pPr>
      <w:r>
        <w:rPr>
          <w:b/>
        </w:rPr>
        <w:lastRenderedPageBreak/>
        <w:t>References</w:t>
      </w:r>
    </w:p>
    <w:p w14:paraId="00000160" w14:textId="77777777" w:rsidR="007D6CD8" w:rsidRDefault="007D6CD8">
      <w:pPr>
        <w:jc w:val="both"/>
      </w:pPr>
    </w:p>
    <w:p w14:paraId="00000161" w14:textId="77777777" w:rsidR="007D6CD8" w:rsidRDefault="005961DB">
      <w:pPr>
        <w:jc w:val="both"/>
        <w:rPr>
          <w:b/>
        </w:rPr>
      </w:pPr>
      <w:r>
        <w:t xml:space="preserve">Abrate, G., &amp; Menozzi, A. (2020). User innovation and network effects. The case of video games. </w:t>
      </w:r>
      <w:r>
        <w:rPr>
          <w:i/>
        </w:rPr>
        <w:t>Industrial and Corporate Change</w:t>
      </w:r>
      <w:r>
        <w:t xml:space="preserve"> (forthcoming).</w:t>
      </w:r>
    </w:p>
    <w:p w14:paraId="00000162" w14:textId="77777777" w:rsidR="007D6CD8" w:rsidRDefault="007D6CD8">
      <w:pPr>
        <w:jc w:val="both"/>
      </w:pPr>
    </w:p>
    <w:p w14:paraId="00000163" w14:textId="77777777" w:rsidR="007D6CD8" w:rsidRDefault="005961DB">
      <w:pPr>
        <w:jc w:val="both"/>
      </w:pPr>
      <w:r>
        <w:t xml:space="preserve">Akman, H., Plewa, C., &amp; Conduit, J. (2019). Co-creating value in online innovation communities. </w:t>
      </w:r>
      <w:r>
        <w:rPr>
          <w:i/>
        </w:rPr>
        <w:t>European Journal of Marketing</w:t>
      </w:r>
      <w:r>
        <w:t xml:space="preserve">, </w:t>
      </w:r>
      <w:r>
        <w:rPr>
          <w:i/>
        </w:rPr>
        <w:t>53</w:t>
      </w:r>
      <w:r>
        <w:t>(6), 205-1233.</w:t>
      </w:r>
    </w:p>
    <w:p w14:paraId="00000164" w14:textId="77777777" w:rsidR="007D6CD8" w:rsidRDefault="007D6CD8">
      <w:pPr>
        <w:jc w:val="both"/>
      </w:pPr>
    </w:p>
    <w:p w14:paraId="00000165" w14:textId="77777777" w:rsidR="007D6CD8" w:rsidRDefault="005961DB">
      <w:pPr>
        <w:jc w:val="both"/>
      </w:pPr>
      <w:r>
        <w:t xml:space="preserve">Berthon, P. R., Pitt, L. F., McCarthy, I. &amp; Kates, S. M. (2007). When customers get clever: Managerial approaches to dealing with creative consumers. </w:t>
      </w:r>
      <w:r>
        <w:rPr>
          <w:i/>
        </w:rPr>
        <w:t>Business Horizons</w:t>
      </w:r>
      <w:r>
        <w:t xml:space="preserve">, </w:t>
      </w:r>
      <w:r>
        <w:rPr>
          <w:i/>
        </w:rPr>
        <w:t>50</w:t>
      </w:r>
      <w:r>
        <w:t>(1), 39-47.</w:t>
      </w:r>
    </w:p>
    <w:p w14:paraId="00000166" w14:textId="77777777" w:rsidR="007D6CD8" w:rsidRDefault="007D6CD8">
      <w:pPr>
        <w:jc w:val="both"/>
      </w:pPr>
    </w:p>
    <w:p w14:paraId="00000167" w14:textId="77777777" w:rsidR="007D6CD8" w:rsidRDefault="005961DB">
      <w:pPr>
        <w:jc w:val="both"/>
      </w:pPr>
      <w:r>
        <w:t xml:space="preserve">Berthon, P. R., Pitt, L. F., Plangger, K., &amp; Shapiro, D. (2012). Marketing meets Web 2.0, social media, and creative consumers: Implications for international marketing strategy. </w:t>
      </w:r>
      <w:r>
        <w:rPr>
          <w:i/>
        </w:rPr>
        <w:t>Business horizons</w:t>
      </w:r>
      <w:r>
        <w:t xml:space="preserve">, </w:t>
      </w:r>
      <w:r>
        <w:rPr>
          <w:i/>
        </w:rPr>
        <w:t>55</w:t>
      </w:r>
      <w:r>
        <w:t xml:space="preserve">(3), 261-271.     </w:t>
      </w:r>
    </w:p>
    <w:p w14:paraId="00000168" w14:textId="77777777" w:rsidR="007D6CD8" w:rsidRDefault="007D6CD8">
      <w:pPr>
        <w:jc w:val="both"/>
      </w:pPr>
    </w:p>
    <w:p w14:paraId="00000169" w14:textId="77777777" w:rsidR="007D6CD8" w:rsidRDefault="005961DB">
      <w:pPr>
        <w:jc w:val="both"/>
      </w:pPr>
      <w:r>
        <w:t xml:space="preserve">Binken, J. L. G., &amp; Stremersch, S. 2009. The effect of superstar software on hardware sales in system markets. </w:t>
      </w:r>
      <w:r>
        <w:rPr>
          <w:i/>
        </w:rPr>
        <w:t>Journal of Marketing</w:t>
      </w:r>
      <w:r>
        <w:t xml:space="preserve">, </w:t>
      </w:r>
      <w:r>
        <w:rPr>
          <w:i/>
        </w:rPr>
        <w:t>73</w:t>
      </w:r>
      <w:r>
        <w:t>(2), 88-104.</w:t>
      </w:r>
    </w:p>
    <w:p w14:paraId="0000016A" w14:textId="77777777" w:rsidR="007D6CD8" w:rsidRDefault="007D6CD8">
      <w:pPr>
        <w:jc w:val="both"/>
      </w:pPr>
    </w:p>
    <w:p w14:paraId="0000016B" w14:textId="77777777" w:rsidR="007D6CD8" w:rsidRDefault="005961DB">
      <w:pPr>
        <w:jc w:val="both"/>
      </w:pPr>
      <w:r>
        <w:t>Boudreau K. J., &amp; Jeppesen L. B. (2015). Unpaid crowd complementors: The platform network effect mirage. </w:t>
      </w:r>
      <w:r>
        <w:rPr>
          <w:i/>
        </w:rPr>
        <w:t>Strategic Management Journal, 36</w:t>
      </w:r>
      <w:r>
        <w:t>(12), 1761-1777.</w:t>
      </w:r>
    </w:p>
    <w:p w14:paraId="0000016C" w14:textId="77777777" w:rsidR="007D6CD8" w:rsidRDefault="007D6CD8">
      <w:pPr>
        <w:pBdr>
          <w:top w:val="nil"/>
          <w:left w:val="nil"/>
          <w:bottom w:val="nil"/>
          <w:right w:val="nil"/>
          <w:between w:val="nil"/>
        </w:pBdr>
        <w:jc w:val="both"/>
      </w:pPr>
    </w:p>
    <w:p w14:paraId="0000016D" w14:textId="77777777" w:rsidR="007D6CD8" w:rsidRDefault="005961DB">
      <w:pPr>
        <w:pBdr>
          <w:top w:val="nil"/>
          <w:left w:val="nil"/>
          <w:bottom w:val="nil"/>
          <w:right w:val="nil"/>
          <w:between w:val="nil"/>
        </w:pBdr>
        <w:jc w:val="both"/>
      </w:pPr>
      <w:r>
        <w:t xml:space="preserve">Bresciani, S., Ferraris, A., &amp; Del Giudice, M. (2018). The management of organizational ambidexterity through alliances in a new context of analysis: Internet of Things (IoT) smart city projects, </w:t>
      </w:r>
      <w:r>
        <w:rPr>
          <w:i/>
        </w:rPr>
        <w:t>Technological Forecasting and Social Change, 136,</w:t>
      </w:r>
      <w:r>
        <w:t xml:space="preserve"> 331-338.     </w:t>
      </w:r>
    </w:p>
    <w:p w14:paraId="0000016E" w14:textId="77777777" w:rsidR="007D6CD8" w:rsidRDefault="007D6CD8">
      <w:pPr>
        <w:pBdr>
          <w:top w:val="nil"/>
          <w:left w:val="nil"/>
          <w:bottom w:val="nil"/>
          <w:right w:val="nil"/>
          <w:between w:val="nil"/>
        </w:pBdr>
        <w:jc w:val="both"/>
      </w:pPr>
    </w:p>
    <w:p w14:paraId="0000016F" w14:textId="77777777" w:rsidR="007D6CD8" w:rsidRDefault="005961DB">
      <w:pPr>
        <w:pBdr>
          <w:top w:val="nil"/>
          <w:left w:val="nil"/>
          <w:bottom w:val="nil"/>
          <w:right w:val="nil"/>
          <w:between w:val="nil"/>
        </w:pBdr>
        <w:jc w:val="both"/>
      </w:pPr>
      <w:r>
        <w:t>Buchanan‐Oliver, M. &amp; Seo, Y. (2012). Play as co‐created narrative in computer game consumption: The hero's journey in Warcraft III. </w:t>
      </w:r>
      <w:r>
        <w:rPr>
          <w:i/>
        </w:rPr>
        <w:t>Journal of Consumer Behaviour</w:t>
      </w:r>
      <w:r>
        <w:t>, </w:t>
      </w:r>
      <w:r>
        <w:rPr>
          <w:i/>
        </w:rPr>
        <w:t>11</w:t>
      </w:r>
      <w:r>
        <w:t>(6), 423-431.</w:t>
      </w:r>
    </w:p>
    <w:p w14:paraId="00000170" w14:textId="77777777" w:rsidR="007D6CD8" w:rsidRDefault="007D6CD8">
      <w:pPr>
        <w:pBdr>
          <w:top w:val="nil"/>
          <w:left w:val="nil"/>
          <w:bottom w:val="nil"/>
          <w:right w:val="nil"/>
          <w:between w:val="nil"/>
        </w:pBdr>
        <w:jc w:val="both"/>
      </w:pPr>
    </w:p>
    <w:p w14:paraId="00000171" w14:textId="77777777" w:rsidR="007D6CD8" w:rsidRDefault="005961DB">
      <w:pPr>
        <w:pBdr>
          <w:top w:val="nil"/>
          <w:left w:val="nil"/>
          <w:bottom w:val="nil"/>
          <w:right w:val="nil"/>
          <w:between w:val="nil"/>
        </w:pBdr>
        <w:jc w:val="both"/>
      </w:pPr>
      <w:r>
        <w:t xml:space="preserve">Cennamo, C. (2018). Building the value of next-generation platforms: the paradox of diminishing returns. </w:t>
      </w:r>
      <w:r>
        <w:rPr>
          <w:i/>
        </w:rPr>
        <w:t>Journal of Management</w:t>
      </w:r>
      <w:r>
        <w:t xml:space="preserve">, </w:t>
      </w:r>
      <w:r>
        <w:rPr>
          <w:i/>
        </w:rPr>
        <w:t>44</w:t>
      </w:r>
      <w:r>
        <w:t>(8), 3038–3069.</w:t>
      </w:r>
    </w:p>
    <w:p w14:paraId="00000172" w14:textId="77777777" w:rsidR="007D6CD8" w:rsidRDefault="007D6CD8">
      <w:pPr>
        <w:pBdr>
          <w:top w:val="nil"/>
          <w:left w:val="nil"/>
          <w:bottom w:val="nil"/>
          <w:right w:val="nil"/>
          <w:between w:val="nil"/>
        </w:pBdr>
        <w:jc w:val="both"/>
      </w:pPr>
    </w:p>
    <w:p w14:paraId="00000173" w14:textId="77777777" w:rsidR="007D6CD8" w:rsidRDefault="005961DB">
      <w:pPr>
        <w:pBdr>
          <w:top w:val="nil"/>
          <w:left w:val="nil"/>
          <w:bottom w:val="nil"/>
          <w:right w:val="nil"/>
          <w:between w:val="nil"/>
        </w:pBdr>
        <w:jc w:val="both"/>
      </w:pPr>
      <w:r>
        <w:t xml:space="preserve">Chang, F., Chiu, C., Miao, N., Chen, P., Lee, C., Huang, T., &amp; Pan, Y. (2015). Online gaming and risks predict cyberbullying perpetration and victimization in adolescents. </w:t>
      </w:r>
      <w:r>
        <w:rPr>
          <w:i/>
        </w:rPr>
        <w:t>International Journal of Public Health</w:t>
      </w:r>
      <w:r>
        <w:t xml:space="preserve">, </w:t>
      </w:r>
      <w:r>
        <w:rPr>
          <w:i/>
        </w:rPr>
        <w:t>60</w:t>
      </w:r>
      <w:r>
        <w:t>, 257-266.</w:t>
      </w:r>
    </w:p>
    <w:p w14:paraId="00000174" w14:textId="77777777" w:rsidR="007D6CD8" w:rsidRDefault="007D6CD8">
      <w:pPr>
        <w:jc w:val="both"/>
      </w:pPr>
    </w:p>
    <w:p w14:paraId="00000175" w14:textId="77777777" w:rsidR="007D6CD8" w:rsidRDefault="005961DB">
      <w:pPr>
        <w:jc w:val="both"/>
      </w:pPr>
      <w:r>
        <w:t>Cole, H., &amp; Griffiths, M. D. (2007). Social interactions in massively multiplayer online role-playing gamers. </w:t>
      </w:r>
      <w:r>
        <w:rPr>
          <w:i/>
        </w:rPr>
        <w:t>Cyberpsychology &amp; behavior</w:t>
      </w:r>
      <w:r>
        <w:t>, </w:t>
      </w:r>
      <w:r>
        <w:rPr>
          <w:i/>
        </w:rPr>
        <w:t>10</w:t>
      </w:r>
      <w:r>
        <w:t>(4), 575-583.</w:t>
      </w:r>
    </w:p>
    <w:p w14:paraId="00000176" w14:textId="77777777" w:rsidR="007D6CD8" w:rsidRDefault="007D6CD8">
      <w:pPr>
        <w:jc w:val="both"/>
      </w:pPr>
    </w:p>
    <w:p w14:paraId="00000177" w14:textId="77777777" w:rsidR="007D6CD8" w:rsidRDefault="005961DB">
      <w:pPr>
        <w:jc w:val="both"/>
      </w:pPr>
      <w:r>
        <w:t xml:space="preserve">Constantinides, E., Brünink, L. A., &amp; Lorenzo–Romero, C. (2015). Customer motives and benefits for participating in online co–creation activities. </w:t>
      </w:r>
      <w:r>
        <w:rPr>
          <w:i/>
        </w:rPr>
        <w:t>International journal of internet marketing and advertising</w:t>
      </w:r>
      <w:r>
        <w:t xml:space="preserve">, </w:t>
      </w:r>
      <w:r>
        <w:rPr>
          <w:i/>
        </w:rPr>
        <w:t>9</w:t>
      </w:r>
      <w:r>
        <w:t>(1), 21-48.</w:t>
      </w:r>
    </w:p>
    <w:p w14:paraId="00000178" w14:textId="77777777" w:rsidR="007D6CD8" w:rsidRDefault="007D6CD8">
      <w:pPr>
        <w:jc w:val="both"/>
      </w:pPr>
    </w:p>
    <w:p w14:paraId="00000179" w14:textId="77777777" w:rsidR="007D6CD8" w:rsidRDefault="005961DB">
      <w:pPr>
        <w:jc w:val="both"/>
      </w:pPr>
      <w:r>
        <w:t>Cossío-Silva, F. J., Revilla-Camacho, M. Á., Vega-Vázquez, M., &amp; Palacios-Florencio, B. (2016). Value co-creation and customer loyalty</w:t>
      </w:r>
      <w:r>
        <w:rPr>
          <w:i/>
        </w:rPr>
        <w:t>. Journal of Business Research, 69</w:t>
      </w:r>
      <w:r>
        <w:t>(5), 1621-1625.</w:t>
      </w:r>
    </w:p>
    <w:p w14:paraId="0000017A" w14:textId="77777777" w:rsidR="007D6CD8" w:rsidRDefault="007D6CD8">
      <w:pPr>
        <w:jc w:val="both"/>
      </w:pPr>
    </w:p>
    <w:p w14:paraId="0000017B" w14:textId="77777777" w:rsidR="007D6CD8" w:rsidRDefault="005961DB">
      <w:pPr>
        <w:jc w:val="both"/>
      </w:pPr>
      <w:r>
        <w:t xml:space="preserve">Creswell, J. W, Plano Clark, V. L., Guttmann, M. L., &amp; Hanson, E. E. (2003). Advanced mixed methods research design. In A.Tashakkori and C. Teddlie (Eds.), </w:t>
      </w:r>
      <w:r>
        <w:rPr>
          <w:i/>
        </w:rPr>
        <w:t xml:space="preserve">Handbook of mixed methods in social and be- havioral research </w:t>
      </w:r>
      <w:r>
        <w:t>(pp. 209–240). Sage, Thousand Oaks, CA.</w:t>
      </w:r>
    </w:p>
    <w:p w14:paraId="0000017C" w14:textId="77777777" w:rsidR="007D6CD8" w:rsidRDefault="007D6CD8">
      <w:pPr>
        <w:jc w:val="both"/>
      </w:pPr>
    </w:p>
    <w:p w14:paraId="0000017D" w14:textId="77777777" w:rsidR="007D6CD8" w:rsidRDefault="005961DB">
      <w:pPr>
        <w:jc w:val="both"/>
      </w:pPr>
      <w:r>
        <w:t xml:space="preserve">Dahan, E., &amp; Haconsumer, J. R. (2002). The virtual customer. </w:t>
      </w:r>
      <w:r>
        <w:rPr>
          <w:i/>
        </w:rPr>
        <w:t>Journal of Product Innovation Management</w:t>
      </w:r>
      <w:r>
        <w:t xml:space="preserve">, </w:t>
      </w:r>
      <w:r>
        <w:rPr>
          <w:i/>
        </w:rPr>
        <w:t>19</w:t>
      </w:r>
      <w:r>
        <w:t>(5), 332-353.</w:t>
      </w:r>
    </w:p>
    <w:p w14:paraId="0000017E" w14:textId="77777777" w:rsidR="007D6CD8" w:rsidRDefault="007D6CD8">
      <w:pPr>
        <w:jc w:val="both"/>
      </w:pPr>
    </w:p>
    <w:p w14:paraId="0000017F" w14:textId="77777777" w:rsidR="007D6CD8" w:rsidRDefault="005961DB">
      <w:pPr>
        <w:jc w:val="both"/>
      </w:pPr>
      <w:r>
        <w:lastRenderedPageBreak/>
        <w:t xml:space="preserve">Dhar, V., &amp;      Chang, E. A. (2009). Does chatter matter? The impact of consumer-generated content on music sales. </w:t>
      </w:r>
      <w:r>
        <w:rPr>
          <w:i/>
        </w:rPr>
        <w:t>Journal of Interactive Marketing</w:t>
      </w:r>
      <w:r>
        <w:t xml:space="preserve">, </w:t>
      </w:r>
      <w:r>
        <w:rPr>
          <w:i/>
        </w:rPr>
        <w:t>23</w:t>
      </w:r>
      <w:r>
        <w:t>(4), 300-307.</w:t>
      </w:r>
    </w:p>
    <w:p w14:paraId="00000180" w14:textId="77777777" w:rsidR="007D6CD8" w:rsidRDefault="007D6CD8">
      <w:pPr>
        <w:jc w:val="both"/>
      </w:pPr>
    </w:p>
    <w:p w14:paraId="00000181" w14:textId="77777777" w:rsidR="007D6CD8" w:rsidRDefault="005961DB">
      <w:pPr>
        <w:jc w:val="both"/>
      </w:pPr>
      <w:r>
        <w:t xml:space="preserve">Ebner, W., Leimeister, J. M., &amp; Krcmar, H. (2009). Community engineering for innovations: the ideas competition as a method to nurture a virtual community for innovations. </w:t>
      </w:r>
      <w:r>
        <w:rPr>
          <w:i/>
        </w:rPr>
        <w:t>R&amp;D</w:t>
      </w:r>
      <w:r>
        <w:t xml:space="preserve"> </w:t>
      </w:r>
      <w:r>
        <w:rPr>
          <w:i/>
        </w:rPr>
        <w:t>Management</w:t>
      </w:r>
      <w:r>
        <w:t xml:space="preserve">,      </w:t>
      </w:r>
      <w:r>
        <w:rPr>
          <w:i/>
        </w:rPr>
        <w:t>39</w:t>
      </w:r>
      <w:r>
        <w:t>(4), 342-356.</w:t>
      </w:r>
    </w:p>
    <w:p w14:paraId="00000182" w14:textId="77777777" w:rsidR="007D6CD8" w:rsidRDefault="007D6CD8">
      <w:pPr>
        <w:jc w:val="both"/>
      </w:pPr>
    </w:p>
    <w:p w14:paraId="00000183" w14:textId="77777777" w:rsidR="007D6CD8" w:rsidRDefault="005961DB">
      <w:pPr>
        <w:jc w:val="both"/>
      </w:pPr>
      <w:r>
        <w:t xml:space="preserve">Echeverri, P., &amp;      Skålén, P. (2011). Co-creation and co-destruction: A practice-theory based study of interactive value formation. </w:t>
      </w:r>
      <w:r>
        <w:rPr>
          <w:i/>
        </w:rPr>
        <w:t>Marketing theory</w:t>
      </w:r>
      <w:r>
        <w:t xml:space="preserve">, </w:t>
      </w:r>
      <w:r>
        <w:rPr>
          <w:i/>
        </w:rPr>
        <w:t>11</w:t>
      </w:r>
      <w:r>
        <w:t>(3), 351-373.</w:t>
      </w:r>
    </w:p>
    <w:p w14:paraId="00000184" w14:textId="77777777" w:rsidR="007D6CD8" w:rsidRDefault="007D6CD8">
      <w:pPr>
        <w:jc w:val="both"/>
      </w:pPr>
    </w:p>
    <w:p w14:paraId="00000185" w14:textId="77777777" w:rsidR="007D6CD8" w:rsidRDefault="005961DB">
      <w:pPr>
        <w:jc w:val="both"/>
      </w:pPr>
      <w:r>
        <w:t xml:space="preserve">Emerson, R. M., Fretz, R. I., &amp; Shaw, L. L. (1995). </w:t>
      </w:r>
      <w:r>
        <w:rPr>
          <w:i/>
        </w:rPr>
        <w:t>Writing ethnographic fieldnotes</w:t>
      </w:r>
      <w:r>
        <w:t>. University of Chicago Press, Chicago, Illinois, US.</w:t>
      </w:r>
    </w:p>
    <w:p w14:paraId="00000186" w14:textId="77777777" w:rsidR="007D6CD8" w:rsidRDefault="007D6CD8">
      <w:pPr>
        <w:jc w:val="both"/>
      </w:pPr>
    </w:p>
    <w:p w14:paraId="00000187" w14:textId="77777777" w:rsidR="007D6CD8" w:rsidRDefault="005961DB">
      <w:pPr>
        <w:jc w:val="both"/>
      </w:pPr>
      <w:r>
        <w:t xml:space="preserve">Foo, C. Y., &amp; Koivisto, E. M. (2004, September). Defining grief play in MMORPGs: player and developer perceptions. In </w:t>
      </w:r>
      <w:r>
        <w:rPr>
          <w:i/>
        </w:rPr>
        <w:t>Proceedings of the 2004 ACM SIGCHI International Conference on Advances in computer entertainment technology</w:t>
      </w:r>
      <w:r>
        <w:t xml:space="preserve"> (pp. 245-250)</w:t>
      </w:r>
    </w:p>
    <w:p w14:paraId="00000188" w14:textId="77777777" w:rsidR="007D6CD8" w:rsidRDefault="007D6CD8">
      <w:pPr>
        <w:jc w:val="both"/>
      </w:pPr>
    </w:p>
    <w:p w14:paraId="00000189" w14:textId="77777777" w:rsidR="007D6CD8" w:rsidRDefault="005961DB">
      <w:pPr>
        <w:jc w:val="both"/>
      </w:pPr>
      <w:r>
        <w:t xml:space="preserve">Füller, J. (2010). Refining virtual co-creation from a consumer perspective. </w:t>
      </w:r>
      <w:r>
        <w:rPr>
          <w:i/>
        </w:rPr>
        <w:t>California management review, 52</w:t>
      </w:r>
      <w:r>
        <w:t>(2), 98-122.</w:t>
      </w:r>
    </w:p>
    <w:p w14:paraId="0000018A" w14:textId="77777777" w:rsidR="007D6CD8" w:rsidRDefault="007D6CD8">
      <w:pPr>
        <w:jc w:val="both"/>
      </w:pPr>
    </w:p>
    <w:p w14:paraId="0000018B" w14:textId="77777777" w:rsidR="007D6CD8" w:rsidRDefault="005961DB">
      <w:pPr>
        <w:jc w:val="both"/>
      </w:pPr>
      <w:r>
        <w:t xml:space="preserve">Füller, J., Matzler, K., &amp; Hoppe, M. (2008). Brand community members as a source of innovation. </w:t>
      </w:r>
      <w:r>
        <w:rPr>
          <w:i/>
        </w:rPr>
        <w:t>Journal of Product Innovation Management</w:t>
      </w:r>
      <w:r>
        <w:t xml:space="preserve">, </w:t>
      </w:r>
      <w:r>
        <w:rPr>
          <w:i/>
        </w:rPr>
        <w:t>25</w:t>
      </w:r>
      <w:r>
        <w:t>(6), 608-619.</w:t>
      </w:r>
    </w:p>
    <w:p w14:paraId="0000018C" w14:textId="77777777" w:rsidR="007D6CD8" w:rsidRDefault="007D6CD8">
      <w:pPr>
        <w:jc w:val="both"/>
      </w:pPr>
    </w:p>
    <w:p w14:paraId="0000018D" w14:textId="77777777" w:rsidR="007D6CD8" w:rsidRDefault="005961DB">
      <w:pPr>
        <w:jc w:val="both"/>
      </w:pPr>
      <w:r>
        <w:t xml:space="preserve">Fullerton, R. A., &amp; Punj, G. (2004). Repercussions of promoting an ideology of consumption: consumer misbehavior. </w:t>
      </w:r>
      <w:r>
        <w:rPr>
          <w:i/>
        </w:rPr>
        <w:t>Journal of Business Research</w:t>
      </w:r>
      <w:r>
        <w:t xml:space="preserve">, </w:t>
      </w:r>
      <w:r>
        <w:rPr>
          <w:i/>
        </w:rPr>
        <w:t>57</w:t>
      </w:r>
      <w:r>
        <w:t>(11), 1239-1249.</w:t>
      </w:r>
    </w:p>
    <w:p w14:paraId="0000018E" w14:textId="77777777" w:rsidR="007D6CD8" w:rsidRDefault="007D6CD8">
      <w:pPr>
        <w:jc w:val="both"/>
      </w:pPr>
    </w:p>
    <w:p w14:paraId="0000018F" w14:textId="77777777" w:rsidR="007D6CD8" w:rsidRDefault="005961DB">
      <w:pPr>
        <w:jc w:val="both"/>
      </w:pPr>
      <w:r>
        <w:t xml:space="preserve">Galindo-Martín, M. Á., Castaño-Martínez, M. S., &amp; Méndez-Picazo, M. T. (2019). Digital transformation, digital dividends and entrepreneurship: A quantitative analysis. </w:t>
      </w:r>
      <w:r>
        <w:rPr>
          <w:i/>
        </w:rPr>
        <w:t>Journal of Business Research</w:t>
      </w:r>
      <w:r>
        <w:t xml:space="preserve">, </w:t>
      </w:r>
      <w:r>
        <w:rPr>
          <w:i/>
        </w:rPr>
        <w:t>101</w:t>
      </w:r>
      <w:r>
        <w:t>(August), 522-527.</w:t>
      </w:r>
    </w:p>
    <w:p w14:paraId="00000190" w14:textId="77777777" w:rsidR="007D6CD8" w:rsidRDefault="007D6CD8">
      <w:pPr>
        <w:jc w:val="both"/>
      </w:pPr>
    </w:p>
    <w:p w14:paraId="00000191" w14:textId="77777777" w:rsidR="007D6CD8" w:rsidRDefault="005961DB">
      <w:pPr>
        <w:jc w:val="both"/>
      </w:pPr>
      <w:r>
        <w:t>Gawer, A., &amp; Cusumano, M. A. (2014). Industry platforms and ecosystem innovation. </w:t>
      </w:r>
      <w:r>
        <w:rPr>
          <w:i/>
        </w:rPr>
        <w:t>Journal of product innovation management</w:t>
      </w:r>
      <w:r>
        <w:t>, </w:t>
      </w:r>
      <w:r>
        <w:rPr>
          <w:i/>
        </w:rPr>
        <w:t>31</w:t>
      </w:r>
      <w:r>
        <w:t>(3), 417-433.</w:t>
      </w:r>
    </w:p>
    <w:p w14:paraId="00000192" w14:textId="77777777" w:rsidR="007D6CD8" w:rsidRDefault="007D6CD8">
      <w:pPr>
        <w:jc w:val="both"/>
      </w:pPr>
    </w:p>
    <w:p w14:paraId="00000193" w14:textId="77777777" w:rsidR="007D6CD8" w:rsidRDefault="005961DB">
      <w:pPr>
        <w:jc w:val="both"/>
      </w:pPr>
      <w:r>
        <w:t xml:space="preserve">Gebauer, J., Füller, J., &amp; Pezzei, R. (2013). The dark and the bright side of co-creation: Triggers of member behavior in online innovation communities. </w:t>
      </w:r>
      <w:r>
        <w:rPr>
          <w:i/>
        </w:rPr>
        <w:t>Journal of Business Research</w:t>
      </w:r>
      <w:r>
        <w:t xml:space="preserve">, </w:t>
      </w:r>
      <w:r>
        <w:rPr>
          <w:i/>
        </w:rPr>
        <w:t>66</w:t>
      </w:r>
      <w:r>
        <w:t>(9), 1516-1527.</w:t>
      </w:r>
    </w:p>
    <w:p w14:paraId="00000194" w14:textId="77777777" w:rsidR="007D6CD8" w:rsidRDefault="007D6CD8">
      <w:pPr>
        <w:jc w:val="both"/>
      </w:pPr>
    </w:p>
    <w:p w14:paraId="00000195" w14:textId="77777777" w:rsidR="007D6CD8" w:rsidRDefault="005961DB">
      <w:pPr>
        <w:jc w:val="both"/>
      </w:pPr>
      <w:r>
        <w:t xml:space="preserve">Godes, D., &amp; Mayzlin, D. (2004). Using Online Conversations to Study Word-of-Mouth Communication. </w:t>
      </w:r>
      <w:r>
        <w:rPr>
          <w:i/>
        </w:rPr>
        <w:t>Marketing Science, 23</w:t>
      </w:r>
      <w:r>
        <w:t xml:space="preserve">(4), 545-560. </w:t>
      </w:r>
    </w:p>
    <w:p w14:paraId="00000196" w14:textId="77777777" w:rsidR="007D6CD8" w:rsidRDefault="007D6CD8">
      <w:pPr>
        <w:jc w:val="both"/>
      </w:pPr>
    </w:p>
    <w:p w14:paraId="00000197" w14:textId="77777777" w:rsidR="007D6CD8" w:rsidRDefault="005961DB">
      <w:pPr>
        <w:jc w:val="both"/>
        <w:rPr>
          <w:sz w:val="28"/>
          <w:szCs w:val="28"/>
        </w:rPr>
      </w:pPr>
      <w:r>
        <w:rPr>
          <w:highlight w:val="white"/>
        </w:rPr>
        <w:t xml:space="preserve">Harris, L. C., &amp; Ogbonna, E. (2006). Service sabotage: A study of antecedents and consequences. </w:t>
      </w:r>
      <w:r>
        <w:rPr>
          <w:i/>
          <w:highlight w:val="white"/>
        </w:rPr>
        <w:t>Journal of the Academy of Marketing Science</w:t>
      </w:r>
      <w:r>
        <w:rPr>
          <w:highlight w:val="white"/>
        </w:rPr>
        <w:t xml:space="preserve">, </w:t>
      </w:r>
      <w:r>
        <w:rPr>
          <w:i/>
          <w:highlight w:val="white"/>
        </w:rPr>
        <w:t>34</w:t>
      </w:r>
      <w:r>
        <w:rPr>
          <w:highlight w:val="white"/>
        </w:rPr>
        <w:t>(4), 543-558.</w:t>
      </w:r>
    </w:p>
    <w:p w14:paraId="00000198" w14:textId="77777777" w:rsidR="007D6CD8" w:rsidRDefault="007D6CD8">
      <w:pPr>
        <w:jc w:val="both"/>
      </w:pPr>
    </w:p>
    <w:p w14:paraId="00000199" w14:textId="77777777" w:rsidR="007D6CD8" w:rsidRDefault="005961DB">
      <w:pPr>
        <w:jc w:val="both"/>
      </w:pPr>
      <w:r>
        <w:t xml:space="preserve">Heidenreich, S., Wittkowski, K., Handrich, M., &amp; Falk, T. (2014). The dark side of customer industrial marketing: Past, present, and future. </w:t>
      </w:r>
      <w:r>
        <w:rPr>
          <w:i/>
        </w:rPr>
        <w:t>Industrial Marketing Management</w:t>
      </w:r>
      <w:r>
        <w:t xml:space="preserve">, </w:t>
      </w:r>
      <w:r>
        <w:rPr>
          <w:i/>
        </w:rPr>
        <w:t>41</w:t>
      </w:r>
      <w:r>
        <w:t>(1), 207–214.</w:t>
      </w:r>
    </w:p>
    <w:p w14:paraId="0000019A" w14:textId="77777777" w:rsidR="007D6CD8" w:rsidRDefault="007D6CD8">
      <w:pPr>
        <w:jc w:val="both"/>
      </w:pPr>
    </w:p>
    <w:p w14:paraId="0000019B" w14:textId="77777777" w:rsidR="007D6CD8" w:rsidRDefault="005961DB">
      <w:pPr>
        <w:jc w:val="both"/>
      </w:pPr>
      <w:r>
        <w:t xml:space="preserve">Hoyer, W. D., Chandy, R., Dorotic, M., Krafft, M., &amp; Singh, S. S. (2010). Consumer cocreation in new product development. </w:t>
      </w:r>
      <w:r>
        <w:rPr>
          <w:i/>
        </w:rPr>
        <w:t>Journal of service research, 13</w:t>
      </w:r>
      <w:r>
        <w:t>(3), 283-296.</w:t>
      </w:r>
    </w:p>
    <w:p w14:paraId="0000019C" w14:textId="77777777" w:rsidR="007D6CD8" w:rsidRDefault="007D6CD8">
      <w:pPr>
        <w:jc w:val="both"/>
      </w:pPr>
    </w:p>
    <w:p w14:paraId="0000019D" w14:textId="77777777" w:rsidR="007D6CD8" w:rsidRDefault="005961DB">
      <w:pPr>
        <w:jc w:val="both"/>
      </w:pPr>
      <w:r>
        <w:t>Howe, J. (2008). </w:t>
      </w:r>
      <w:r>
        <w:rPr>
          <w:i/>
        </w:rPr>
        <w:t>Crowdsourcing: How the power of the crowd is driving the future of business</w:t>
      </w:r>
      <w:r>
        <w:t>. Random House.</w:t>
      </w:r>
      <w:r>
        <w:rPr>
          <w:rFonts w:ascii="Palatino Linotype" w:eastAsia="Palatino Linotype" w:hAnsi="Palatino Linotype" w:cs="Palatino Linotype"/>
          <w:sz w:val="22"/>
          <w:szCs w:val="22"/>
        </w:rPr>
        <w:t xml:space="preserve"> </w:t>
      </w:r>
      <w:r>
        <w:t>Crown Business, New York, NY, USA.</w:t>
      </w:r>
    </w:p>
    <w:p w14:paraId="0000019E" w14:textId="77777777" w:rsidR="007D6CD8" w:rsidRDefault="007D6CD8">
      <w:pPr>
        <w:jc w:val="both"/>
        <w:rPr>
          <w:highlight w:val="white"/>
        </w:rPr>
      </w:pPr>
    </w:p>
    <w:p w14:paraId="0000019F" w14:textId="77777777" w:rsidR="007D6CD8" w:rsidRDefault="005961DB">
      <w:pPr>
        <w:jc w:val="both"/>
        <w:rPr>
          <w:highlight w:val="white"/>
        </w:rPr>
      </w:pPr>
      <w:r>
        <w:rPr>
          <w:highlight w:val="white"/>
        </w:rPr>
        <w:lastRenderedPageBreak/>
        <w:t>Hsiao, C. C., &amp; Chiou, J. S. (2012). The effects of a player’s network centrality on resource accessibility, game enjoyment, and continuance intention: A study on online gaming communities. </w:t>
      </w:r>
      <w:r>
        <w:rPr>
          <w:i/>
          <w:highlight w:val="white"/>
        </w:rPr>
        <w:t>Electronic Commerce Research and Applications</w:t>
      </w:r>
      <w:r>
        <w:rPr>
          <w:highlight w:val="white"/>
        </w:rPr>
        <w:t>, </w:t>
      </w:r>
      <w:r>
        <w:rPr>
          <w:i/>
          <w:highlight w:val="white"/>
        </w:rPr>
        <w:t>11</w:t>
      </w:r>
      <w:r>
        <w:rPr>
          <w:highlight w:val="white"/>
        </w:rPr>
        <w:t>(1), 75-84.</w:t>
      </w:r>
    </w:p>
    <w:p w14:paraId="000001A0" w14:textId="77777777" w:rsidR="007D6CD8" w:rsidRDefault="007D6CD8">
      <w:pPr>
        <w:jc w:val="both"/>
        <w:rPr>
          <w:highlight w:val="white"/>
        </w:rPr>
      </w:pPr>
    </w:p>
    <w:p w14:paraId="000001A1" w14:textId="77777777" w:rsidR="007D6CD8" w:rsidRDefault="005961DB">
      <w:pPr>
        <w:jc w:val="both"/>
        <w:rPr>
          <w:highlight w:val="white"/>
        </w:rPr>
      </w:pPr>
      <w:r>
        <w:rPr>
          <w:highlight w:val="white"/>
        </w:rPr>
        <w:t>Hung, K., Li, S. Y., &amp; Tse, D. K. (2011). Interpersonal trust and platform credibility in a Chinese multibrand online community. </w:t>
      </w:r>
      <w:r>
        <w:rPr>
          <w:i/>
          <w:highlight w:val="white"/>
        </w:rPr>
        <w:t>Journal of Advertising</w:t>
      </w:r>
      <w:r>
        <w:rPr>
          <w:highlight w:val="white"/>
        </w:rPr>
        <w:t>, </w:t>
      </w:r>
      <w:r>
        <w:rPr>
          <w:i/>
          <w:highlight w:val="white"/>
        </w:rPr>
        <w:t>40</w:t>
      </w:r>
      <w:r>
        <w:rPr>
          <w:highlight w:val="white"/>
        </w:rPr>
        <w:t>(3), 99-112.</w:t>
      </w:r>
    </w:p>
    <w:p w14:paraId="000001A2" w14:textId="77777777" w:rsidR="007D6CD8" w:rsidRDefault="007D6CD8">
      <w:pPr>
        <w:jc w:val="both"/>
        <w:rPr>
          <w:highlight w:val="white"/>
        </w:rPr>
      </w:pPr>
    </w:p>
    <w:p w14:paraId="000001A3" w14:textId="77777777" w:rsidR="007D6CD8" w:rsidRDefault="005961DB">
      <w:pPr>
        <w:jc w:val="both"/>
        <w:rPr>
          <w:highlight w:val="white"/>
        </w:rPr>
      </w:pPr>
      <w:r>
        <w:rPr>
          <w:highlight w:val="white"/>
        </w:rPr>
        <w:t>Jensen, M. B., Hienerth, C., &amp; Lettl, C. (2014). Forecasting the commercial attractiveness of consumer</w:t>
      </w:r>
      <w:r>
        <w:rPr>
          <w:rFonts w:ascii="Cambria Math" w:eastAsia="Cambria Math" w:hAnsi="Cambria Math" w:cs="Cambria Math"/>
          <w:highlight w:val="white"/>
        </w:rPr>
        <w:t>‐</w:t>
      </w:r>
      <w:r>
        <w:rPr>
          <w:highlight w:val="white"/>
        </w:rPr>
        <w:t>generated designs using online data: An empirical study within the LEGO consumer community.</w:t>
      </w:r>
      <w:r>
        <w:t xml:space="preserve"> </w:t>
      </w:r>
      <w:r>
        <w:rPr>
          <w:i/>
        </w:rPr>
        <w:t>Journal of Product Innovation Management</w:t>
      </w:r>
      <w:r>
        <w:rPr>
          <w:highlight w:val="white"/>
        </w:rPr>
        <w:t>,</w:t>
      </w:r>
      <w:r>
        <w:t xml:space="preserve"> </w:t>
      </w:r>
      <w:r>
        <w:rPr>
          <w:i/>
        </w:rPr>
        <w:t>31</w:t>
      </w:r>
      <w:r>
        <w:t>(S1)</w:t>
      </w:r>
      <w:r>
        <w:rPr>
          <w:highlight w:val="white"/>
        </w:rPr>
        <w:t>, 75-93.</w:t>
      </w:r>
    </w:p>
    <w:p w14:paraId="000001A4" w14:textId="77777777" w:rsidR="007D6CD8" w:rsidRDefault="007D6CD8">
      <w:pPr>
        <w:jc w:val="both"/>
      </w:pPr>
    </w:p>
    <w:p w14:paraId="000001A5" w14:textId="77777777" w:rsidR="007D6CD8" w:rsidRDefault="005961DB">
      <w:pPr>
        <w:jc w:val="both"/>
      </w:pPr>
      <w:r>
        <w:t xml:space="preserve">Jeppesen, L. B. (2005). Consumer toolkits for innovation: Consumers support each other. </w:t>
      </w:r>
      <w:r>
        <w:rPr>
          <w:i/>
        </w:rPr>
        <w:t>Journal of product innovation management</w:t>
      </w:r>
      <w:r>
        <w:t xml:space="preserve">, </w:t>
      </w:r>
      <w:r>
        <w:rPr>
          <w:i/>
        </w:rPr>
        <w:t>22</w:t>
      </w:r>
      <w:r>
        <w:t>(4), 347-362.</w:t>
      </w:r>
    </w:p>
    <w:p w14:paraId="000001A6" w14:textId="77777777" w:rsidR="007D6CD8" w:rsidRDefault="007D6CD8">
      <w:pPr>
        <w:jc w:val="both"/>
      </w:pPr>
    </w:p>
    <w:p w14:paraId="000001A7" w14:textId="77777777" w:rsidR="007D6CD8" w:rsidRDefault="005961DB">
      <w:pPr>
        <w:jc w:val="both"/>
      </w:pPr>
      <w:r>
        <w:t xml:space="preserve">Kale, S. H. (2004). Spirituality, religion, and globalization. </w:t>
      </w:r>
      <w:r>
        <w:rPr>
          <w:i/>
        </w:rPr>
        <w:t>Journal of Macromarketing</w:t>
      </w:r>
      <w:r>
        <w:t xml:space="preserve">, </w:t>
      </w:r>
      <w:r>
        <w:rPr>
          <w:i/>
        </w:rPr>
        <w:t>24</w:t>
      </w:r>
      <w:r>
        <w:t>(2), 92-107.</w:t>
      </w:r>
    </w:p>
    <w:p w14:paraId="000001A8" w14:textId="77777777" w:rsidR="007D6CD8" w:rsidRDefault="007D6CD8">
      <w:pPr>
        <w:jc w:val="both"/>
      </w:pPr>
    </w:p>
    <w:p w14:paraId="000001A9" w14:textId="77777777" w:rsidR="007D6CD8" w:rsidRDefault="005961DB">
      <w:pPr>
        <w:pBdr>
          <w:top w:val="nil"/>
          <w:left w:val="nil"/>
          <w:bottom w:val="nil"/>
          <w:right w:val="nil"/>
          <w:between w:val="nil"/>
        </w:pBdr>
        <w:jc w:val="both"/>
      </w:pPr>
      <w:r>
        <w:t>Katz, M. L., &amp; Shapiro, C. (1985). On the licensing of innovations. </w:t>
      </w:r>
      <w:r>
        <w:rPr>
          <w:i/>
        </w:rPr>
        <w:t>The RAND Journal of Economics</w:t>
      </w:r>
      <w:r>
        <w:t xml:space="preserve">, </w:t>
      </w:r>
      <w:r>
        <w:rPr>
          <w:i/>
        </w:rPr>
        <w:t>16</w:t>
      </w:r>
      <w:r>
        <w:t>(4), 504-520.</w:t>
      </w:r>
    </w:p>
    <w:p w14:paraId="000001AA" w14:textId="77777777" w:rsidR="007D6CD8" w:rsidRDefault="007D6CD8">
      <w:pPr>
        <w:pBdr>
          <w:top w:val="nil"/>
          <w:left w:val="nil"/>
          <w:bottom w:val="nil"/>
          <w:right w:val="nil"/>
          <w:between w:val="nil"/>
        </w:pBdr>
        <w:jc w:val="both"/>
      </w:pPr>
    </w:p>
    <w:p w14:paraId="000001AB" w14:textId="77777777" w:rsidR="007D6CD8" w:rsidRDefault="005961DB">
      <w:pPr>
        <w:pBdr>
          <w:top w:val="nil"/>
          <w:left w:val="nil"/>
          <w:bottom w:val="nil"/>
          <w:right w:val="nil"/>
          <w:between w:val="nil"/>
        </w:pBdr>
        <w:jc w:val="both"/>
      </w:pPr>
      <w:r>
        <w:t xml:space="preserve">Kozinets, R. V., Hemetsberger, A., &amp; Schau, H. J. (2008). The wisdom of consumer crowds: Collective innovation in the age of networked marketing. </w:t>
      </w:r>
      <w:r>
        <w:rPr>
          <w:i/>
        </w:rPr>
        <w:t>Journal of macromarketing</w:t>
      </w:r>
      <w:r>
        <w:t xml:space="preserve">, </w:t>
      </w:r>
      <w:r>
        <w:rPr>
          <w:i/>
        </w:rPr>
        <w:t>28</w:t>
      </w:r>
      <w:r>
        <w:t>(4), 339-354.</w:t>
      </w:r>
    </w:p>
    <w:p w14:paraId="000001AC" w14:textId="77777777" w:rsidR="007D6CD8" w:rsidRDefault="007D6CD8">
      <w:pPr>
        <w:pBdr>
          <w:top w:val="nil"/>
          <w:left w:val="nil"/>
          <w:bottom w:val="nil"/>
          <w:right w:val="nil"/>
          <w:between w:val="nil"/>
        </w:pBdr>
        <w:jc w:val="both"/>
      </w:pPr>
    </w:p>
    <w:p w14:paraId="000001AD" w14:textId="77777777" w:rsidR="007D6CD8" w:rsidRDefault="005961DB">
      <w:pPr>
        <w:jc w:val="both"/>
      </w:pPr>
      <w:r>
        <w:t xml:space="preserve">Kozinets, R. V., De Valck, K., Wojnicki, A. C., &amp; Wilner, S. J. (2010). Networked narratives: Understanding word-of-mouth marketing in online communities. </w:t>
      </w:r>
      <w:r>
        <w:rPr>
          <w:i/>
        </w:rPr>
        <w:t>Journal of marketing</w:t>
      </w:r>
      <w:r>
        <w:t xml:space="preserve">, </w:t>
      </w:r>
      <w:r>
        <w:rPr>
          <w:i/>
        </w:rPr>
        <w:t>74</w:t>
      </w:r>
      <w:r>
        <w:t>(2), 71-89.</w:t>
      </w:r>
    </w:p>
    <w:p w14:paraId="000001AE" w14:textId="77777777" w:rsidR="007D6CD8" w:rsidRDefault="007D6CD8">
      <w:pPr>
        <w:jc w:val="both"/>
      </w:pPr>
    </w:p>
    <w:p w14:paraId="000001AF" w14:textId="77777777" w:rsidR="007D6CD8" w:rsidRDefault="005961DB">
      <w:pPr>
        <w:pBdr>
          <w:top w:val="nil"/>
          <w:left w:val="nil"/>
          <w:bottom w:val="nil"/>
          <w:right w:val="nil"/>
          <w:between w:val="nil"/>
        </w:pBdr>
        <w:jc w:val="both"/>
      </w:pPr>
      <w:r>
        <w:t>Kristensson, P., Gustafsson, A., &amp; Archer, T. (2004). Harnessing the creative potential among consumers. </w:t>
      </w:r>
      <w:r>
        <w:rPr>
          <w:i/>
        </w:rPr>
        <w:t>Journal of product innovation management</w:t>
      </w:r>
      <w:r>
        <w:t xml:space="preserve">, </w:t>
      </w:r>
      <w:r>
        <w:rPr>
          <w:i/>
        </w:rPr>
        <w:t>21</w:t>
      </w:r>
      <w:r>
        <w:t>(1), 4-14.</w:t>
      </w:r>
    </w:p>
    <w:p w14:paraId="000001B0" w14:textId="77777777" w:rsidR="007D6CD8" w:rsidRDefault="007D6CD8">
      <w:pPr>
        <w:pBdr>
          <w:top w:val="nil"/>
          <w:left w:val="nil"/>
          <w:bottom w:val="nil"/>
          <w:right w:val="nil"/>
          <w:between w:val="nil"/>
        </w:pBdr>
        <w:jc w:val="both"/>
      </w:pPr>
    </w:p>
    <w:p w14:paraId="000001B1" w14:textId="77777777" w:rsidR="007D6CD8" w:rsidRDefault="005961DB">
      <w:pPr>
        <w:pBdr>
          <w:top w:val="nil"/>
          <w:left w:val="nil"/>
          <w:bottom w:val="nil"/>
          <w:right w:val="nil"/>
          <w:between w:val="nil"/>
        </w:pBdr>
        <w:jc w:val="both"/>
      </w:pPr>
      <w:r>
        <w:t>Labrecque, L. I., vor dem Esche, J., Mathwick, C., Novak, T. P., &amp; Hofacker, C. F. (2013). Consumer power: Evolution in the digital age. </w:t>
      </w:r>
      <w:r>
        <w:rPr>
          <w:i/>
        </w:rPr>
        <w:t>Journal of Interactive Marketing</w:t>
      </w:r>
      <w:r>
        <w:t>, </w:t>
      </w:r>
      <w:r>
        <w:rPr>
          <w:i/>
        </w:rPr>
        <w:t>27</w:t>
      </w:r>
      <w:r>
        <w:t>(4), 257-269</w:t>
      </w:r>
    </w:p>
    <w:p w14:paraId="000001B2" w14:textId="77777777" w:rsidR="007D6CD8" w:rsidRDefault="007D6CD8">
      <w:pPr>
        <w:pBdr>
          <w:top w:val="nil"/>
          <w:left w:val="nil"/>
          <w:bottom w:val="nil"/>
          <w:right w:val="nil"/>
          <w:between w:val="nil"/>
        </w:pBdr>
        <w:jc w:val="both"/>
      </w:pPr>
    </w:p>
    <w:p w14:paraId="000001B3" w14:textId="77777777" w:rsidR="007D6CD8" w:rsidRDefault="005961DB">
      <w:pPr>
        <w:jc w:val="both"/>
      </w:pPr>
      <w:r>
        <w:t>Leavitt, A., Keegan, B. C., &amp; Clark, J. (2016, May). Ping to win? non-verbal communication and team performance in competitive online multiplayer games. In </w:t>
      </w:r>
      <w:r>
        <w:rPr>
          <w:i/>
        </w:rPr>
        <w:t>Proceedings of the 2016 CHI Conference on Human Factors in Computing Systems</w:t>
      </w:r>
      <w:r>
        <w:t> (pp. 4337-4350).</w:t>
      </w:r>
    </w:p>
    <w:p w14:paraId="000001B4" w14:textId="77777777" w:rsidR="007D6CD8" w:rsidRDefault="007D6CD8">
      <w:pPr>
        <w:jc w:val="both"/>
      </w:pPr>
    </w:p>
    <w:p w14:paraId="000001B5" w14:textId="77777777" w:rsidR="007D6CD8" w:rsidRDefault="005961DB">
      <w:pPr>
        <w:jc w:val="both"/>
      </w:pPr>
      <w:r>
        <w:t>Lerner, J., &amp; Tirole, J. (2002). Some simple economics of open source. </w:t>
      </w:r>
      <w:r>
        <w:rPr>
          <w:i/>
        </w:rPr>
        <w:t>The journal of industrial economics</w:t>
      </w:r>
      <w:r>
        <w:t>, </w:t>
      </w:r>
      <w:r>
        <w:rPr>
          <w:i/>
        </w:rPr>
        <w:t>50</w:t>
      </w:r>
      <w:r>
        <w:t>(2), 197-234.</w:t>
      </w:r>
    </w:p>
    <w:p w14:paraId="000001B6" w14:textId="77777777" w:rsidR="007D6CD8" w:rsidRDefault="007D6CD8">
      <w:pPr>
        <w:jc w:val="both"/>
      </w:pPr>
    </w:p>
    <w:p w14:paraId="000001B7" w14:textId="77777777" w:rsidR="007D6CD8" w:rsidRDefault="005961DB">
      <w:pPr>
        <w:jc w:val="both"/>
      </w:pPr>
      <w:r>
        <w:t xml:space="preserve">Li, X., &amp; Hitt, L. M. (2008).  Self-Selection and Information Role of Online Product 36 Reviews. </w:t>
      </w:r>
      <w:r>
        <w:rPr>
          <w:i/>
        </w:rPr>
        <w:t>Information Systems Research, 19</w:t>
      </w:r>
      <w:r>
        <w:t>(4), 456-474.</w:t>
      </w:r>
    </w:p>
    <w:p w14:paraId="000001B8" w14:textId="77777777" w:rsidR="007D6CD8" w:rsidRDefault="007D6CD8">
      <w:pPr>
        <w:jc w:val="both"/>
      </w:pPr>
    </w:p>
    <w:p w14:paraId="000001B9" w14:textId="77777777" w:rsidR="007D6CD8" w:rsidRDefault="005961DB">
      <w:pPr>
        <w:jc w:val="both"/>
      </w:pPr>
      <w:r>
        <w:t>Manninen, T. (2003). Interaction forms and communicative actions in multiplayer games. </w:t>
      </w:r>
      <w:r>
        <w:rPr>
          <w:i/>
        </w:rPr>
        <w:t>Game studies</w:t>
      </w:r>
      <w:r>
        <w:t>, </w:t>
      </w:r>
      <w:r>
        <w:rPr>
          <w:i/>
        </w:rPr>
        <w:t>3</w:t>
      </w:r>
      <w:r>
        <w:t>(1), 2003.</w:t>
      </w:r>
    </w:p>
    <w:p w14:paraId="000001BA" w14:textId="77777777" w:rsidR="007D6CD8" w:rsidRDefault="005961DB">
      <w:pPr>
        <w:jc w:val="both"/>
      </w:pPr>
      <w:r>
        <w:t xml:space="preserve"> </w:t>
      </w:r>
    </w:p>
    <w:p w14:paraId="000001BB" w14:textId="77777777" w:rsidR="007D6CD8" w:rsidRDefault="005961DB">
      <w:pPr>
        <w:jc w:val="both"/>
      </w:pPr>
      <w:r>
        <w:t>Marchand, A. (2016). The power of an installed base to combat lifecycle decline: The case of video games. </w:t>
      </w:r>
      <w:r>
        <w:rPr>
          <w:i/>
        </w:rPr>
        <w:t>International Journal of Research in Marketing</w:t>
      </w:r>
      <w:r>
        <w:t>, </w:t>
      </w:r>
      <w:r>
        <w:rPr>
          <w:i/>
        </w:rPr>
        <w:t>33</w:t>
      </w:r>
      <w:r>
        <w:t>(1), 140-154.</w:t>
      </w:r>
    </w:p>
    <w:p w14:paraId="000001BC" w14:textId="77777777" w:rsidR="007D6CD8" w:rsidRDefault="007D6CD8">
      <w:pPr>
        <w:jc w:val="both"/>
      </w:pPr>
    </w:p>
    <w:p w14:paraId="000001BD" w14:textId="77777777" w:rsidR="007D6CD8" w:rsidRDefault="005961DB">
      <w:pPr>
        <w:jc w:val="both"/>
      </w:pPr>
      <w:r>
        <w:t>Marchand, A., &amp; Hennig-Thurau, T. (2013). Value creation in the video game industry: Industry economics, consumer benefits, and research opportunities. </w:t>
      </w:r>
      <w:r>
        <w:rPr>
          <w:i/>
        </w:rPr>
        <w:t>Journal of interactive marketing</w:t>
      </w:r>
      <w:r>
        <w:t>, </w:t>
      </w:r>
      <w:r>
        <w:rPr>
          <w:i/>
        </w:rPr>
        <w:t>27</w:t>
      </w:r>
      <w:r>
        <w:t>(3), 141-157.</w:t>
      </w:r>
    </w:p>
    <w:p w14:paraId="000001BE" w14:textId="77777777" w:rsidR="007D6CD8" w:rsidRDefault="007D6CD8">
      <w:pPr>
        <w:jc w:val="both"/>
      </w:pPr>
    </w:p>
    <w:p w14:paraId="000001BF" w14:textId="77777777" w:rsidR="007D6CD8" w:rsidRDefault="005961DB">
      <w:pPr>
        <w:jc w:val="both"/>
      </w:pPr>
      <w:r>
        <w:lastRenderedPageBreak/>
        <w:t xml:space="preserve">Mayzlin, D. (2006). Promotional Chat on the Internet, </w:t>
      </w:r>
      <w:r>
        <w:rPr>
          <w:i/>
        </w:rPr>
        <w:t>Marketing Science, 25</w:t>
      </w:r>
      <w:r>
        <w:t xml:space="preserve">(2), 155-63. </w:t>
      </w:r>
    </w:p>
    <w:p w14:paraId="000001C0" w14:textId="77777777" w:rsidR="007D6CD8" w:rsidRDefault="007D6CD8">
      <w:pPr>
        <w:jc w:val="both"/>
      </w:pPr>
    </w:p>
    <w:p w14:paraId="000001C1" w14:textId="77777777" w:rsidR="007D6CD8" w:rsidRDefault="005961DB">
      <w:pPr>
        <w:jc w:val="both"/>
      </w:pPr>
      <w:r>
        <w:t xml:space="preserve">Moe, W. W., &amp; Trusov, M. (2011). Measuring the Value of Social Dynamics in Online Product Ratings Forums. </w:t>
      </w:r>
      <w:r>
        <w:rPr>
          <w:i/>
        </w:rPr>
        <w:t>Journal of Marketing Research</w:t>
      </w:r>
      <w:r>
        <w:t xml:space="preserve">, </w:t>
      </w:r>
      <w:r>
        <w:rPr>
          <w:i/>
        </w:rPr>
        <w:t>48</w:t>
      </w:r>
      <w:r>
        <w:t>(3), 444-456.</w:t>
      </w:r>
    </w:p>
    <w:p w14:paraId="000001C2" w14:textId="77777777" w:rsidR="007D6CD8" w:rsidRDefault="007D6CD8">
      <w:pPr>
        <w:jc w:val="both"/>
      </w:pPr>
    </w:p>
    <w:p w14:paraId="000001C3" w14:textId="77777777" w:rsidR="007D6CD8" w:rsidRDefault="005961DB">
      <w:pPr>
        <w:jc w:val="both"/>
      </w:pPr>
      <w:r>
        <w:t>Münch, M. (2013). Fooling the user? Modding in the video game industry. </w:t>
      </w:r>
      <w:r>
        <w:rPr>
          <w:i/>
        </w:rPr>
        <w:t>Internet Policy Review</w:t>
      </w:r>
      <w:r>
        <w:t>, </w:t>
      </w:r>
      <w:r>
        <w:rPr>
          <w:i/>
        </w:rPr>
        <w:t>2</w:t>
      </w:r>
      <w:r>
        <w:t>(2), 1-4.</w:t>
      </w:r>
    </w:p>
    <w:p w14:paraId="000001C4" w14:textId="77777777" w:rsidR="007D6CD8" w:rsidRDefault="007D6CD8">
      <w:pPr>
        <w:jc w:val="both"/>
      </w:pPr>
    </w:p>
    <w:p w14:paraId="000001C5" w14:textId="77777777" w:rsidR="007D6CD8" w:rsidRDefault="005961DB">
      <w:pPr>
        <w:jc w:val="both"/>
      </w:pPr>
      <w:r>
        <w:t>Muninger, M. I., Hammedi, W., &amp; Mahr, D. (2019). The value of social media for innovation: A capability perspective. </w:t>
      </w:r>
      <w:r>
        <w:rPr>
          <w:i/>
        </w:rPr>
        <w:t>Journal of Business Research</w:t>
      </w:r>
      <w:r>
        <w:t>, </w:t>
      </w:r>
      <w:r>
        <w:rPr>
          <w:i/>
        </w:rPr>
        <w:t>95</w:t>
      </w:r>
      <w:r>
        <w:t>, 116-127.</w:t>
      </w:r>
    </w:p>
    <w:p w14:paraId="000001C6" w14:textId="77777777" w:rsidR="007D6CD8" w:rsidRDefault="007D6CD8">
      <w:pPr>
        <w:jc w:val="both"/>
      </w:pPr>
    </w:p>
    <w:p w14:paraId="000001C7" w14:textId="77777777" w:rsidR="007D6CD8" w:rsidRDefault="005961DB">
      <w:pPr>
        <w:jc w:val="both"/>
      </w:pPr>
      <w:r>
        <w:rPr>
          <w:highlight w:val="white"/>
        </w:rPr>
        <w:t>Nambisan, S., &amp; Baron, R. A. (2010). Different roles, different strokes: Organizing virtual customer environments to promote two types of customer contributions. </w:t>
      </w:r>
      <w:r>
        <w:rPr>
          <w:i/>
          <w:highlight w:val="white"/>
        </w:rPr>
        <w:t>Organization Science</w:t>
      </w:r>
      <w:r>
        <w:rPr>
          <w:highlight w:val="white"/>
        </w:rPr>
        <w:t xml:space="preserve">, </w:t>
      </w:r>
      <w:r>
        <w:rPr>
          <w:i/>
          <w:highlight w:val="white"/>
        </w:rPr>
        <w:t>21</w:t>
      </w:r>
      <w:r>
        <w:rPr>
          <w:highlight w:val="white"/>
        </w:rPr>
        <w:t>(2), 554-572.</w:t>
      </w:r>
    </w:p>
    <w:p w14:paraId="000001C8" w14:textId="77777777" w:rsidR="007D6CD8" w:rsidRDefault="007D6CD8">
      <w:pPr>
        <w:jc w:val="both"/>
        <w:rPr>
          <w:highlight w:val="white"/>
        </w:rPr>
      </w:pPr>
    </w:p>
    <w:p w14:paraId="000001C9" w14:textId="77777777" w:rsidR="007D6CD8" w:rsidRDefault="005961DB">
      <w:pPr>
        <w:jc w:val="both"/>
        <w:rPr>
          <w:highlight w:val="white"/>
        </w:rPr>
      </w:pPr>
      <w:r>
        <w:rPr>
          <w:highlight w:val="white"/>
        </w:rPr>
        <w:t xml:space="preserve">O’Hern, M. S., &amp; Rindfleisch, A. (2010). Customer co-creation: a typology and research agenda. </w:t>
      </w:r>
      <w:r>
        <w:rPr>
          <w:i/>
        </w:rPr>
        <w:t>Review of marketing research</w:t>
      </w:r>
      <w:r>
        <w:rPr>
          <w:highlight w:val="white"/>
        </w:rPr>
        <w:t xml:space="preserve">, </w:t>
      </w:r>
      <w:r>
        <w:rPr>
          <w:i/>
        </w:rPr>
        <w:t>6</w:t>
      </w:r>
      <w:r>
        <w:rPr>
          <w:highlight w:val="white"/>
        </w:rPr>
        <w:t>(1), 84-106.</w:t>
      </w:r>
    </w:p>
    <w:p w14:paraId="000001CA" w14:textId="77777777" w:rsidR="007D6CD8" w:rsidRDefault="007D6CD8">
      <w:pPr>
        <w:jc w:val="both"/>
        <w:rPr>
          <w:highlight w:val="white"/>
        </w:rPr>
      </w:pPr>
    </w:p>
    <w:p w14:paraId="000001CB" w14:textId="77777777" w:rsidR="007D6CD8" w:rsidRDefault="005961DB">
      <w:pPr>
        <w:jc w:val="both"/>
        <w:rPr>
          <w:highlight w:val="white"/>
        </w:rPr>
      </w:pPr>
      <w:r>
        <w:rPr>
          <w:highlight w:val="white"/>
        </w:rPr>
        <w:t xml:space="preserve">Payne, A. F., Storbacka, K., &amp; Frow, P. (2008). Managing the co-creation of value. </w:t>
      </w:r>
      <w:r>
        <w:rPr>
          <w:i/>
          <w:highlight w:val="white"/>
        </w:rPr>
        <w:t>Journal of the academy of marketing science,</w:t>
      </w:r>
      <w:r>
        <w:rPr>
          <w:highlight w:val="white"/>
        </w:rPr>
        <w:t xml:space="preserve"> </w:t>
      </w:r>
      <w:r>
        <w:rPr>
          <w:i/>
          <w:highlight w:val="white"/>
        </w:rPr>
        <w:t>36</w:t>
      </w:r>
      <w:r>
        <w:rPr>
          <w:highlight w:val="white"/>
        </w:rPr>
        <w:t>(1), 83-96.</w:t>
      </w:r>
    </w:p>
    <w:p w14:paraId="000001CC" w14:textId="77777777" w:rsidR="007D6CD8" w:rsidRDefault="007D6CD8">
      <w:pPr>
        <w:jc w:val="both"/>
      </w:pPr>
    </w:p>
    <w:p w14:paraId="000001CD" w14:textId="77777777" w:rsidR="007D6CD8" w:rsidRDefault="005961DB">
      <w:pPr>
        <w:jc w:val="both"/>
      </w:pPr>
      <w:r>
        <w:t xml:space="preserve">Pera, R. (2008). </w:t>
      </w:r>
      <w:r>
        <w:rPr>
          <w:i/>
        </w:rPr>
        <w:t xml:space="preserve">When Consumers get creative. Cocreation in the individual and collective realm. </w:t>
      </w:r>
      <w:r>
        <w:t>Editoriale scientifica, Napoli, Italy.</w:t>
      </w:r>
    </w:p>
    <w:p w14:paraId="000001CE" w14:textId="77777777" w:rsidR="007D6CD8" w:rsidRDefault="007D6CD8">
      <w:pPr>
        <w:jc w:val="both"/>
      </w:pPr>
    </w:p>
    <w:p w14:paraId="000001CF" w14:textId="77777777" w:rsidR="007D6CD8" w:rsidRDefault="005961DB">
      <w:pPr>
        <w:jc w:val="both"/>
      </w:pPr>
      <w:r>
        <w:t xml:space="preserve">Plé, L., &amp; Chumpitaz, R. (2010). Not always co- creation: introducing interactional co-destruction of value in Service-Dominant Logic. </w:t>
      </w:r>
      <w:r>
        <w:rPr>
          <w:i/>
        </w:rPr>
        <w:t>Journal of Services Marketing</w:t>
      </w:r>
      <w:r>
        <w:t xml:space="preserve">, </w:t>
      </w:r>
      <w:r>
        <w:rPr>
          <w:i/>
        </w:rPr>
        <w:t>24</w:t>
      </w:r>
      <w:r>
        <w:t>(6), 430- 437.</w:t>
      </w:r>
    </w:p>
    <w:p w14:paraId="000001D0" w14:textId="77777777" w:rsidR="007D6CD8" w:rsidRDefault="007D6CD8">
      <w:pPr>
        <w:pBdr>
          <w:top w:val="nil"/>
          <w:left w:val="nil"/>
          <w:bottom w:val="nil"/>
          <w:right w:val="nil"/>
          <w:between w:val="nil"/>
        </w:pBdr>
        <w:jc w:val="both"/>
      </w:pPr>
    </w:p>
    <w:p w14:paraId="000001D1" w14:textId="77777777" w:rsidR="007D6CD8" w:rsidRDefault="005961DB">
      <w:pPr>
        <w:pBdr>
          <w:top w:val="nil"/>
          <w:left w:val="nil"/>
          <w:bottom w:val="nil"/>
          <w:right w:val="nil"/>
          <w:between w:val="nil"/>
        </w:pBdr>
        <w:jc w:val="both"/>
      </w:pPr>
      <w:r>
        <w:t>Porter, C. E., Donthu, N., MacElroy, W. H., &amp; Wydra, D. (2011). How to foster and sustain engagement in virtual communities. </w:t>
      </w:r>
      <w:r>
        <w:rPr>
          <w:i/>
        </w:rPr>
        <w:t>California management review</w:t>
      </w:r>
      <w:r>
        <w:t xml:space="preserve">, </w:t>
      </w:r>
      <w:r>
        <w:rPr>
          <w:i/>
        </w:rPr>
        <w:t>53</w:t>
      </w:r>
      <w:r>
        <w:t>(4), 80-110.</w:t>
      </w:r>
    </w:p>
    <w:p w14:paraId="000001D2" w14:textId="77777777" w:rsidR="007D6CD8" w:rsidRDefault="007D6CD8">
      <w:pPr>
        <w:jc w:val="both"/>
      </w:pPr>
    </w:p>
    <w:p w14:paraId="000001D3" w14:textId="77777777" w:rsidR="007D6CD8" w:rsidRDefault="005961DB">
      <w:pPr>
        <w:jc w:val="both"/>
      </w:pPr>
      <w:r>
        <w:t xml:space="preserve">Poster, M. (2005). </w:t>
      </w:r>
      <w:r>
        <w:rPr>
          <w:i/>
        </w:rPr>
        <w:t>Future advertising: Dick’s Ubik and the digital Ad</w:t>
      </w:r>
      <w:r>
        <w:t>. In: S Cohen (ed.) Consumption in an Age of Information (21–38).  Berg Publishers, Oxford, UK.</w:t>
      </w:r>
    </w:p>
    <w:p w14:paraId="000001D4" w14:textId="77777777" w:rsidR="007D6CD8" w:rsidRDefault="007D6CD8">
      <w:pPr>
        <w:pBdr>
          <w:top w:val="nil"/>
          <w:left w:val="nil"/>
          <w:bottom w:val="nil"/>
          <w:right w:val="nil"/>
          <w:between w:val="nil"/>
        </w:pBdr>
        <w:jc w:val="both"/>
      </w:pPr>
    </w:p>
    <w:p w14:paraId="000001D5" w14:textId="77777777" w:rsidR="007D6CD8" w:rsidRDefault="005961DB">
      <w:pPr>
        <w:pBdr>
          <w:top w:val="nil"/>
          <w:left w:val="nil"/>
          <w:bottom w:val="nil"/>
          <w:right w:val="nil"/>
          <w:between w:val="nil"/>
        </w:pBdr>
        <w:jc w:val="both"/>
      </w:pPr>
      <w:r>
        <w:t xml:space="preserve">Postigo, H. (2007). Of mods and modders: Chasing down the value of fan-based digital game modifications. </w:t>
      </w:r>
      <w:r>
        <w:rPr>
          <w:i/>
        </w:rPr>
        <w:t>Games and Culture</w:t>
      </w:r>
      <w:r>
        <w:t xml:space="preserve">, </w:t>
      </w:r>
      <w:r>
        <w:rPr>
          <w:i/>
        </w:rPr>
        <w:t>2</w:t>
      </w:r>
      <w:r>
        <w:t>(4), 300-313.</w:t>
      </w:r>
    </w:p>
    <w:p w14:paraId="000001D6" w14:textId="77777777" w:rsidR="007D6CD8" w:rsidRDefault="007D6CD8">
      <w:pPr>
        <w:pBdr>
          <w:top w:val="nil"/>
          <w:left w:val="nil"/>
          <w:bottom w:val="nil"/>
          <w:right w:val="nil"/>
          <w:between w:val="nil"/>
        </w:pBdr>
        <w:jc w:val="both"/>
      </w:pPr>
    </w:p>
    <w:p w14:paraId="000001D7" w14:textId="77777777" w:rsidR="007D6CD8" w:rsidRDefault="005961DB">
      <w:pPr>
        <w:pBdr>
          <w:top w:val="nil"/>
          <w:left w:val="nil"/>
          <w:bottom w:val="nil"/>
          <w:right w:val="nil"/>
          <w:between w:val="nil"/>
        </w:pBdr>
        <w:jc w:val="both"/>
      </w:pPr>
      <w:r>
        <w:t>Prahalad, C. K., &amp; Ramaswamy, V. (2004). Co</w:t>
      </w:r>
      <w:r>
        <w:rPr>
          <w:rFonts w:ascii="Cambria Math" w:eastAsia="Cambria Math" w:hAnsi="Cambria Math" w:cs="Cambria Math"/>
        </w:rPr>
        <w:t>‐</w:t>
      </w:r>
      <w:r>
        <w:t xml:space="preserve">creation experiences: The next practice in value creation. </w:t>
      </w:r>
      <w:r>
        <w:rPr>
          <w:i/>
        </w:rPr>
        <w:t>Journal of interactive marketing</w:t>
      </w:r>
      <w:r>
        <w:t xml:space="preserve">, </w:t>
      </w:r>
      <w:r>
        <w:rPr>
          <w:i/>
        </w:rPr>
        <w:t>18</w:t>
      </w:r>
      <w:r>
        <w:t>(3), 5-14.</w:t>
      </w:r>
    </w:p>
    <w:p w14:paraId="000001D8" w14:textId="77777777" w:rsidR="007D6CD8" w:rsidRDefault="007D6CD8">
      <w:pPr>
        <w:jc w:val="both"/>
      </w:pPr>
    </w:p>
    <w:p w14:paraId="000001D9" w14:textId="77777777" w:rsidR="007D6CD8" w:rsidRDefault="005961DB">
      <w:pPr>
        <w:jc w:val="both"/>
      </w:pPr>
      <w:r>
        <w:t xml:space="preserve">Robson, K., Wilson, M., &amp; Pitt, L. (2019). Creating new products from old ones: Consumer motivations for innovating autonomously from firms. </w:t>
      </w:r>
      <w:r>
        <w:rPr>
          <w:i/>
        </w:rPr>
        <w:t>Technovation</w:t>
      </w:r>
      <w:r>
        <w:t>, </w:t>
      </w:r>
      <w:r>
        <w:rPr>
          <w:i/>
        </w:rPr>
        <w:t>88</w:t>
      </w:r>
      <w:r>
        <w:t>, 1-13.</w:t>
      </w:r>
    </w:p>
    <w:p w14:paraId="000001DA" w14:textId="77777777" w:rsidR="007D6CD8" w:rsidRDefault="007D6CD8">
      <w:pPr>
        <w:pBdr>
          <w:top w:val="nil"/>
          <w:left w:val="nil"/>
          <w:bottom w:val="nil"/>
          <w:right w:val="nil"/>
          <w:between w:val="nil"/>
        </w:pBdr>
        <w:jc w:val="both"/>
      </w:pPr>
    </w:p>
    <w:p w14:paraId="000001DB" w14:textId="77777777" w:rsidR="007D6CD8" w:rsidRDefault="005961DB">
      <w:pPr>
        <w:pBdr>
          <w:top w:val="nil"/>
          <w:left w:val="nil"/>
          <w:bottom w:val="nil"/>
          <w:right w:val="nil"/>
          <w:between w:val="nil"/>
        </w:pBdr>
        <w:jc w:val="both"/>
      </w:pPr>
      <w:r>
        <w:t xml:space="preserve">Sawhney, M., Verona, G., &amp; Prandelli, E. (2005). Collaborating to create: The Internet as a platform for customer engagement in product innovation. </w:t>
      </w:r>
      <w:r>
        <w:rPr>
          <w:i/>
        </w:rPr>
        <w:t>Journal of interactive marketing</w:t>
      </w:r>
      <w:r>
        <w:t xml:space="preserve">, </w:t>
      </w:r>
      <w:r>
        <w:rPr>
          <w:i/>
        </w:rPr>
        <w:t>19</w:t>
      </w:r>
      <w:r>
        <w:t>(4), 4-17.</w:t>
      </w:r>
    </w:p>
    <w:p w14:paraId="000001DC" w14:textId="77777777" w:rsidR="007D6CD8" w:rsidRDefault="007D6CD8">
      <w:pPr>
        <w:jc w:val="both"/>
      </w:pPr>
    </w:p>
    <w:p w14:paraId="000001DD" w14:textId="77777777" w:rsidR="007D6CD8" w:rsidRDefault="005961DB">
      <w:pPr>
        <w:jc w:val="both"/>
      </w:pPr>
      <w:r>
        <w:t xml:space="preserve">Shenkan, A. G., &amp; Sichel, B. (2007). Marketing with consumer-generated content, </w:t>
      </w:r>
      <w:r>
        <w:rPr>
          <w:i/>
        </w:rPr>
        <w:t>McKinsey Quarterly</w:t>
      </w:r>
      <w:r>
        <w:t xml:space="preserve">, </w:t>
      </w:r>
      <w:r>
        <w:rPr>
          <w:i/>
        </w:rPr>
        <w:t>4</w:t>
      </w:r>
      <w:r>
        <w:t>(1), 22-23.</w:t>
      </w:r>
    </w:p>
    <w:p w14:paraId="000001DE" w14:textId="77777777" w:rsidR="007D6CD8" w:rsidRDefault="007D6CD8">
      <w:pPr>
        <w:jc w:val="both"/>
      </w:pPr>
    </w:p>
    <w:p w14:paraId="000001DF" w14:textId="77777777" w:rsidR="007D6CD8" w:rsidRDefault="005961DB">
      <w:pPr>
        <w:jc w:val="both"/>
      </w:pPr>
      <w:r>
        <w:t xml:space="preserve">Smith, A. (2013). The value co-destruction process: a customer resource perspective. </w:t>
      </w:r>
      <w:r>
        <w:rPr>
          <w:i/>
        </w:rPr>
        <w:t>European Journal of Marketing</w:t>
      </w:r>
      <w:r>
        <w:t xml:space="preserve">, </w:t>
      </w:r>
      <w:r>
        <w:rPr>
          <w:i/>
        </w:rPr>
        <w:t>47(</w:t>
      </w:r>
      <w:r>
        <w:t>11/1</w:t>
      </w:r>
      <w:r>
        <w:rPr>
          <w:i/>
        </w:rPr>
        <w:t>2)</w:t>
      </w:r>
      <w:r>
        <w:t>, 1889-1909.</w:t>
      </w:r>
    </w:p>
    <w:p w14:paraId="000001E0" w14:textId="77777777" w:rsidR="007D6CD8" w:rsidRDefault="007D6CD8">
      <w:pPr>
        <w:jc w:val="both"/>
      </w:pPr>
    </w:p>
    <w:p w14:paraId="000001E1" w14:textId="77777777" w:rsidR="007D6CD8" w:rsidRDefault="005961DB">
      <w:pPr>
        <w:jc w:val="both"/>
      </w:pPr>
      <w:r>
        <w:t xml:space="preserve">Sotamaa, O. (2005). Creative consumer-centered design practices: lessons from game cultures. In </w:t>
      </w:r>
      <w:r>
        <w:rPr>
          <w:i/>
        </w:rPr>
        <w:t>Everyday innovators</w:t>
      </w:r>
      <w:r>
        <w:t xml:space="preserve"> (104-116). Springer, Dordrecht, Germany.</w:t>
      </w:r>
    </w:p>
    <w:p w14:paraId="000001E2" w14:textId="77777777" w:rsidR="007D6CD8" w:rsidRDefault="007D6CD8">
      <w:pPr>
        <w:jc w:val="both"/>
      </w:pPr>
    </w:p>
    <w:p w14:paraId="000001E3" w14:textId="77777777" w:rsidR="007D6CD8" w:rsidRDefault="005961DB">
      <w:pPr>
        <w:jc w:val="both"/>
      </w:pPr>
      <w:r>
        <w:lastRenderedPageBreak/>
        <w:t xml:space="preserve">Steca, P. (2007). Prosocial agency: the contribution of values and self-efficacy beliefs to prosocial behavior across ages. </w:t>
      </w:r>
      <w:r>
        <w:rPr>
          <w:i/>
        </w:rPr>
        <w:t>Journal of social and clinical psychology</w:t>
      </w:r>
      <w:r>
        <w:t xml:space="preserve">, </w:t>
      </w:r>
      <w:r>
        <w:rPr>
          <w:i/>
        </w:rPr>
        <w:t>26</w:t>
      </w:r>
      <w:r>
        <w:t>(2), 218.</w:t>
      </w:r>
    </w:p>
    <w:p w14:paraId="000001E4" w14:textId="77777777" w:rsidR="007D6CD8" w:rsidRDefault="005961DB">
      <w:pPr>
        <w:jc w:val="both"/>
      </w:pPr>
      <w:r>
        <w:t xml:space="preserve">     </w:t>
      </w:r>
    </w:p>
    <w:p w14:paraId="000001E5" w14:textId="77777777" w:rsidR="007D6CD8" w:rsidRDefault="005961DB">
      <w:pPr>
        <w:jc w:val="both"/>
      </w:pPr>
      <w:r>
        <w:t xml:space="preserve">Surowiecki, J. (2004). The wisdom of crowds: Why the many are smarter than the few and how collective wisdom shapes business. </w:t>
      </w:r>
      <w:r>
        <w:rPr>
          <w:i/>
        </w:rPr>
        <w:t>Economies, Societies and Nations</w:t>
      </w:r>
      <w:r>
        <w:t xml:space="preserve">, </w:t>
      </w:r>
      <w:r>
        <w:rPr>
          <w:i/>
        </w:rPr>
        <w:t>296</w:t>
      </w:r>
      <w:r>
        <w:t>, 5.</w:t>
      </w:r>
    </w:p>
    <w:p w14:paraId="000001E6" w14:textId="77777777" w:rsidR="007D6CD8" w:rsidRDefault="005961DB">
      <w:pPr>
        <w:jc w:val="both"/>
      </w:pPr>
      <w:r>
        <w:t xml:space="preserve"> </w:t>
      </w:r>
    </w:p>
    <w:p w14:paraId="000001E7" w14:textId="77777777" w:rsidR="007D6CD8" w:rsidRDefault="005961DB">
      <w:pPr>
        <w:jc w:val="both"/>
      </w:pPr>
      <w:r>
        <w:t xml:space="preserve">Terranova, T. (2000). Free labor: producing culture for the digital economy, </w:t>
      </w:r>
      <w:r>
        <w:rPr>
          <w:i/>
        </w:rPr>
        <w:t>Social Text</w:t>
      </w:r>
      <w:r>
        <w:t xml:space="preserve">, </w:t>
      </w:r>
      <w:r>
        <w:rPr>
          <w:i/>
        </w:rPr>
        <w:t>18(2)</w:t>
      </w:r>
      <w:r>
        <w:t>, 33-57.</w:t>
      </w:r>
    </w:p>
    <w:p w14:paraId="000001E8" w14:textId="77777777" w:rsidR="007D6CD8" w:rsidRDefault="007D6CD8">
      <w:pPr>
        <w:jc w:val="both"/>
      </w:pPr>
    </w:p>
    <w:p w14:paraId="000001E9" w14:textId="77777777" w:rsidR="007D6CD8" w:rsidRDefault="005961DB">
      <w:pPr>
        <w:jc w:val="both"/>
      </w:pPr>
      <w:r>
        <w:t>Tombs, A., &amp; McColl-Kennedy, J. R. (2003). Social-servicescape conceptual model. </w:t>
      </w:r>
      <w:r>
        <w:rPr>
          <w:i/>
        </w:rPr>
        <w:t>Marketing theory</w:t>
      </w:r>
      <w:r>
        <w:t>, </w:t>
      </w:r>
      <w:r>
        <w:rPr>
          <w:i/>
        </w:rPr>
        <w:t>3</w:t>
      </w:r>
      <w:r>
        <w:t>(4), 447-475.</w:t>
      </w:r>
    </w:p>
    <w:p w14:paraId="000001EA" w14:textId="77777777" w:rsidR="007D6CD8" w:rsidRDefault="007D6CD8">
      <w:pPr>
        <w:jc w:val="both"/>
      </w:pPr>
    </w:p>
    <w:p w14:paraId="000001EB" w14:textId="77777777" w:rsidR="007D6CD8" w:rsidRDefault="005961DB">
      <w:pPr>
        <w:jc w:val="both"/>
      </w:pPr>
      <w:r>
        <w:t>Vafeas, M., Hughes, T., &amp; Hilton, T. (2016). Antecedents to value diminution: A dyadic perspective. </w:t>
      </w:r>
      <w:r>
        <w:rPr>
          <w:i/>
        </w:rPr>
        <w:t>Marketing Theory</w:t>
      </w:r>
      <w:r>
        <w:t>, </w:t>
      </w:r>
      <w:r>
        <w:rPr>
          <w:i/>
        </w:rPr>
        <w:t>16</w:t>
      </w:r>
      <w:r>
        <w:t>(4), 469-491.</w:t>
      </w:r>
    </w:p>
    <w:p w14:paraId="000001EC" w14:textId="77777777" w:rsidR="007D6CD8" w:rsidRDefault="005961DB">
      <w:pPr>
        <w:jc w:val="both"/>
      </w:pPr>
      <w:r>
        <w:t xml:space="preserve"> </w:t>
      </w:r>
    </w:p>
    <w:p w14:paraId="000001ED" w14:textId="77777777" w:rsidR="007D6CD8" w:rsidRDefault="005961DB">
      <w:pPr>
        <w:jc w:val="both"/>
      </w:pPr>
      <w:r>
        <w:t>Vargo, S. L., &amp; Lusch, R. F. (2004). The four service marketing myths: remnants of a goods-based, manufacturing model. </w:t>
      </w:r>
      <w:r>
        <w:rPr>
          <w:i/>
        </w:rPr>
        <w:t>Journal of service research</w:t>
      </w:r>
      <w:r>
        <w:t>, </w:t>
      </w:r>
      <w:r>
        <w:rPr>
          <w:i/>
        </w:rPr>
        <w:t>6</w:t>
      </w:r>
      <w:r>
        <w:t>(4), 324-335.</w:t>
      </w:r>
    </w:p>
    <w:p w14:paraId="000001EE" w14:textId="77777777" w:rsidR="007D6CD8" w:rsidRDefault="007D6CD8">
      <w:pPr>
        <w:jc w:val="both"/>
      </w:pPr>
    </w:p>
    <w:p w14:paraId="000001EF" w14:textId="77777777" w:rsidR="007D6CD8" w:rsidRDefault="005961DB">
      <w:pPr>
        <w:jc w:val="both"/>
      </w:pPr>
      <w:r>
        <w:t>Vartiainen, T., &amp; Tuunanen, T. (2016, January). Value Co-Creation and Co-Destruction in an IS Artifact: Contradictions of Geocaching. In </w:t>
      </w:r>
      <w:r>
        <w:rPr>
          <w:i/>
        </w:rPr>
        <w:t>2016 49th Hawaii International Conference on System Sciences (HICSS)</w:t>
      </w:r>
      <w:r>
        <w:t xml:space="preserve"> (1266-1275). IEEE.</w:t>
      </w:r>
    </w:p>
    <w:p w14:paraId="000001F0" w14:textId="77777777" w:rsidR="007D6CD8" w:rsidRDefault="007D6CD8">
      <w:pPr>
        <w:pBdr>
          <w:top w:val="nil"/>
          <w:left w:val="nil"/>
          <w:bottom w:val="nil"/>
          <w:right w:val="nil"/>
          <w:between w:val="nil"/>
        </w:pBdr>
        <w:jc w:val="both"/>
      </w:pPr>
    </w:p>
    <w:p w14:paraId="000001F1" w14:textId="77777777" w:rsidR="007D6CD8" w:rsidRDefault="005961DB">
      <w:pPr>
        <w:pBdr>
          <w:top w:val="nil"/>
          <w:left w:val="nil"/>
          <w:bottom w:val="nil"/>
          <w:right w:val="nil"/>
          <w:between w:val="nil"/>
        </w:pBdr>
        <w:jc w:val="both"/>
      </w:pPr>
      <w:r>
        <w:t xml:space="preserve">von Hippel, E. (2001). Consumer toolkits for innovation. </w:t>
      </w:r>
      <w:r>
        <w:rPr>
          <w:i/>
        </w:rPr>
        <w:t>Journal of Product Innovation Management</w:t>
      </w:r>
      <w:r>
        <w:t xml:space="preserve">, </w:t>
      </w:r>
      <w:r>
        <w:rPr>
          <w:i/>
        </w:rPr>
        <w:t>18</w:t>
      </w:r>
      <w:r>
        <w:t>(4), 247-257.</w:t>
      </w:r>
    </w:p>
    <w:p w14:paraId="000001F2" w14:textId="77777777" w:rsidR="007D6CD8" w:rsidRDefault="007D6CD8">
      <w:pPr>
        <w:pBdr>
          <w:top w:val="nil"/>
          <w:left w:val="nil"/>
          <w:bottom w:val="nil"/>
          <w:right w:val="nil"/>
          <w:between w:val="nil"/>
        </w:pBdr>
        <w:jc w:val="both"/>
      </w:pPr>
    </w:p>
    <w:p w14:paraId="000001F3" w14:textId="77777777" w:rsidR="007D6CD8" w:rsidRDefault="005961DB">
      <w:pPr>
        <w:pBdr>
          <w:top w:val="nil"/>
          <w:left w:val="nil"/>
          <w:bottom w:val="nil"/>
          <w:right w:val="nil"/>
          <w:between w:val="nil"/>
        </w:pBdr>
        <w:jc w:val="both"/>
      </w:pPr>
      <w:r>
        <w:t xml:space="preserve">von Hippel, E.(1988). </w:t>
      </w:r>
      <w:r>
        <w:rPr>
          <w:i/>
        </w:rPr>
        <w:t>The Sources of Innovation</w:t>
      </w:r>
      <w:r>
        <w:t>. Oxford University Press, New York, NY, USA.</w:t>
      </w:r>
    </w:p>
    <w:p w14:paraId="000001F4" w14:textId="77777777" w:rsidR="007D6CD8" w:rsidRDefault="007D6CD8">
      <w:pPr>
        <w:pBdr>
          <w:top w:val="nil"/>
          <w:left w:val="nil"/>
          <w:bottom w:val="nil"/>
          <w:right w:val="nil"/>
          <w:between w:val="nil"/>
        </w:pBdr>
        <w:jc w:val="both"/>
      </w:pPr>
    </w:p>
    <w:p w14:paraId="000001F5" w14:textId="77777777" w:rsidR="007D6CD8" w:rsidRDefault="005961DB">
      <w:pPr>
        <w:pBdr>
          <w:top w:val="nil"/>
          <w:left w:val="nil"/>
          <w:bottom w:val="nil"/>
          <w:right w:val="nil"/>
          <w:between w:val="nil"/>
        </w:pBdr>
        <w:jc w:val="both"/>
      </w:pPr>
      <w:r>
        <w:t xml:space="preserve">von Hippel, E. (2005). </w:t>
      </w:r>
      <w:r>
        <w:rPr>
          <w:i/>
        </w:rPr>
        <w:t>Democratizing innovation</w:t>
      </w:r>
      <w:r>
        <w:t>. MIT Press, Cambridge, MA, USA.</w:t>
      </w:r>
    </w:p>
    <w:p w14:paraId="000001F6" w14:textId="77777777" w:rsidR="007D6CD8" w:rsidRDefault="007D6CD8">
      <w:pPr>
        <w:pBdr>
          <w:top w:val="nil"/>
          <w:left w:val="nil"/>
          <w:bottom w:val="nil"/>
          <w:right w:val="nil"/>
          <w:between w:val="nil"/>
        </w:pBdr>
        <w:jc w:val="both"/>
      </w:pPr>
    </w:p>
    <w:p w14:paraId="000001F7" w14:textId="77777777" w:rsidR="007D6CD8" w:rsidRDefault="005961DB">
      <w:pPr>
        <w:jc w:val="both"/>
      </w:pPr>
      <w:r>
        <w:t xml:space="preserve">von Hippel, E., &amp; Kaulartz, S. (2020). Next-generation consumer innovation search: Identifying early-stage need-solution pairs on the web. </w:t>
      </w:r>
      <w:r>
        <w:rPr>
          <w:i/>
        </w:rPr>
        <w:t>Research Policy</w:t>
      </w:r>
      <w:r>
        <w:t>, In Press.</w:t>
      </w:r>
    </w:p>
    <w:p w14:paraId="000001F8" w14:textId="77777777" w:rsidR="007D6CD8" w:rsidRDefault="007D6CD8">
      <w:pPr>
        <w:pBdr>
          <w:top w:val="nil"/>
          <w:left w:val="nil"/>
          <w:bottom w:val="nil"/>
          <w:right w:val="nil"/>
          <w:between w:val="nil"/>
        </w:pBdr>
        <w:jc w:val="both"/>
      </w:pPr>
    </w:p>
    <w:p w14:paraId="000001F9" w14:textId="77777777" w:rsidR="007D6CD8" w:rsidRDefault="005961DB">
      <w:pPr>
        <w:pBdr>
          <w:top w:val="nil"/>
          <w:left w:val="nil"/>
          <w:bottom w:val="nil"/>
          <w:right w:val="nil"/>
          <w:between w:val="nil"/>
        </w:pBdr>
        <w:jc w:val="both"/>
      </w:pPr>
      <w:r>
        <w:t>Wang, C. C., &amp; Wang, C. H. (2008). Helping others in online games: Prosocial behavior in cyberspace. </w:t>
      </w:r>
      <w:r>
        <w:rPr>
          <w:i/>
        </w:rPr>
        <w:t>CyberPsychology &amp; Behavior</w:t>
      </w:r>
      <w:r>
        <w:t>, </w:t>
      </w:r>
      <w:r>
        <w:rPr>
          <w:i/>
        </w:rPr>
        <w:t>11</w:t>
      </w:r>
      <w:r>
        <w:t>(3), 344-346.</w:t>
      </w:r>
    </w:p>
    <w:p w14:paraId="000001FA" w14:textId="77777777" w:rsidR="007D6CD8" w:rsidRDefault="005961DB">
      <w:pPr>
        <w:pBdr>
          <w:top w:val="nil"/>
          <w:left w:val="nil"/>
          <w:bottom w:val="nil"/>
          <w:right w:val="nil"/>
          <w:between w:val="nil"/>
        </w:pBdr>
        <w:jc w:val="both"/>
      </w:pPr>
      <w:r>
        <w:t xml:space="preserve"> </w:t>
      </w:r>
    </w:p>
    <w:p w14:paraId="000001FB" w14:textId="77777777" w:rsidR="007D6CD8" w:rsidRDefault="005961DB">
      <w:pPr>
        <w:pBdr>
          <w:top w:val="nil"/>
          <w:left w:val="nil"/>
          <w:bottom w:val="nil"/>
          <w:right w:val="nil"/>
          <w:between w:val="nil"/>
        </w:pBdr>
        <w:jc w:val="both"/>
      </w:pPr>
      <w:r>
        <w:t>Wu, C. C., Chen, Y. J., &amp; Cho, Y. J. (2013). Nested network effects in online free games with accessory selling. </w:t>
      </w:r>
      <w:r>
        <w:rPr>
          <w:i/>
        </w:rPr>
        <w:t>Journal of Interactive Marketing</w:t>
      </w:r>
      <w:r>
        <w:t>, </w:t>
      </w:r>
      <w:r>
        <w:rPr>
          <w:i/>
        </w:rPr>
        <w:t>27</w:t>
      </w:r>
      <w:r>
        <w:t>(3), 158-171.</w:t>
      </w:r>
    </w:p>
    <w:p w14:paraId="000001FC" w14:textId="77777777" w:rsidR="007D6CD8" w:rsidRDefault="005961DB">
      <w:pPr>
        <w:pBdr>
          <w:top w:val="nil"/>
          <w:left w:val="nil"/>
          <w:bottom w:val="nil"/>
          <w:right w:val="nil"/>
          <w:between w:val="nil"/>
        </w:pBdr>
        <w:jc w:val="both"/>
      </w:pPr>
      <w:r>
        <w:t xml:space="preserve"> </w:t>
      </w:r>
    </w:p>
    <w:p w14:paraId="000001FD" w14:textId="77777777" w:rsidR="007D6CD8" w:rsidRDefault="005961DB">
      <w:pPr>
        <w:pBdr>
          <w:top w:val="nil"/>
          <w:left w:val="nil"/>
          <w:bottom w:val="nil"/>
          <w:right w:val="nil"/>
          <w:between w:val="nil"/>
        </w:pBdr>
        <w:jc w:val="both"/>
      </w:pPr>
      <w:r>
        <w:t xml:space="preserve">Yin, R. K. (2013). Validity and generalization in future case study evaluations. </w:t>
      </w:r>
      <w:r>
        <w:rPr>
          <w:i/>
        </w:rPr>
        <w:t>Evaluation</w:t>
      </w:r>
      <w:r>
        <w:t xml:space="preserve">, </w:t>
      </w:r>
      <w:r>
        <w:rPr>
          <w:i/>
        </w:rPr>
        <w:t>19</w:t>
      </w:r>
      <w:r>
        <w:t>(3), 321-332.</w:t>
      </w:r>
    </w:p>
    <w:p w14:paraId="000001FE" w14:textId="77777777" w:rsidR="007D6CD8" w:rsidRDefault="007D6CD8">
      <w:pPr>
        <w:pBdr>
          <w:top w:val="nil"/>
          <w:left w:val="nil"/>
          <w:bottom w:val="nil"/>
          <w:right w:val="nil"/>
          <w:between w:val="nil"/>
        </w:pBdr>
        <w:jc w:val="both"/>
      </w:pPr>
    </w:p>
    <w:p w14:paraId="000001FF" w14:textId="77777777" w:rsidR="007D6CD8" w:rsidRDefault="005961DB">
      <w:pPr>
        <w:pBdr>
          <w:top w:val="nil"/>
          <w:left w:val="nil"/>
          <w:bottom w:val="nil"/>
          <w:right w:val="nil"/>
          <w:between w:val="nil"/>
        </w:pBdr>
        <w:jc w:val="both"/>
      </w:pPr>
      <w:r>
        <w:t>Zhong, Z. J. (2011). The effects of collective MMORPG (Massively Multiplayer Online Role-Playing Games) play on gamers’ online and offline social capital. </w:t>
      </w:r>
      <w:r>
        <w:rPr>
          <w:i/>
        </w:rPr>
        <w:t>Computers in human behavior</w:t>
      </w:r>
      <w:r>
        <w:t>, </w:t>
      </w:r>
      <w:r>
        <w:rPr>
          <w:i/>
        </w:rPr>
        <w:t>27</w:t>
      </w:r>
      <w:r>
        <w:t>(6), 2352-2363.</w:t>
      </w:r>
    </w:p>
    <w:p w14:paraId="00000200" w14:textId="77777777" w:rsidR="007D6CD8" w:rsidRDefault="007D6CD8">
      <w:pPr>
        <w:pBdr>
          <w:top w:val="nil"/>
          <w:left w:val="nil"/>
          <w:bottom w:val="nil"/>
          <w:right w:val="nil"/>
          <w:between w:val="nil"/>
        </w:pBdr>
        <w:jc w:val="both"/>
      </w:pPr>
    </w:p>
    <w:p w14:paraId="00000201" w14:textId="77777777" w:rsidR="007D6CD8" w:rsidRDefault="005961DB">
      <w:pPr>
        <w:pBdr>
          <w:top w:val="nil"/>
          <w:left w:val="nil"/>
          <w:bottom w:val="nil"/>
          <w:right w:val="nil"/>
          <w:between w:val="nil"/>
        </w:pBdr>
        <w:jc w:val="both"/>
      </w:pPr>
      <w:r>
        <w:t>Zhong, Z. J. (2009). Third-person perceptions and online games: A comparison of perceived antisocial and prosocial game effects. </w:t>
      </w:r>
      <w:r>
        <w:rPr>
          <w:i/>
        </w:rPr>
        <w:t>Journal of Computer-Mediated Communication</w:t>
      </w:r>
      <w:r>
        <w:t>, </w:t>
      </w:r>
      <w:r>
        <w:rPr>
          <w:i/>
        </w:rPr>
        <w:t>14</w:t>
      </w:r>
      <w:r>
        <w:t>(2), 286-306.</w:t>
      </w:r>
    </w:p>
    <w:p w14:paraId="00000202" w14:textId="77777777" w:rsidR="007D6CD8" w:rsidRDefault="007D6CD8">
      <w:pPr>
        <w:pBdr>
          <w:top w:val="nil"/>
          <w:left w:val="nil"/>
          <w:bottom w:val="nil"/>
          <w:right w:val="nil"/>
          <w:between w:val="nil"/>
        </w:pBdr>
        <w:jc w:val="both"/>
      </w:pPr>
    </w:p>
    <w:sectPr w:rsidR="007D6CD8">
      <w:footerReference w:type="even" r:id="rId15"/>
      <w:footerReference w:type="default" r:id="rId16"/>
      <w:pgSz w:w="11900" w:h="16840"/>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15BFC5" w14:textId="77777777" w:rsidR="00963FCE" w:rsidRDefault="00963FCE">
      <w:r>
        <w:separator/>
      </w:r>
    </w:p>
  </w:endnote>
  <w:endnote w:type="continuationSeparator" w:id="0">
    <w:p w14:paraId="7D28EE0E" w14:textId="77777777" w:rsidR="00963FCE" w:rsidRDefault="00963F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Lucida Grande">
    <w:altName w:val="﷽﷽﷽﷽﷽"/>
    <w:panose1 w:val="020B0600040502020204"/>
    <w:charset w:val="00"/>
    <w:family w:val="swiss"/>
    <w:pitch w:val="variable"/>
    <w:sig w:usb0="E1000AEF" w:usb1="5000A1FF" w:usb2="00000000" w:usb3="00000000" w:csb0="000001BF" w:csb1="00000000"/>
  </w:font>
  <w:font w:name="Georgia">
    <w:altName w:val="﷽﷽﷽﷽﷽﷽﷽﷽"/>
    <w:panose1 w:val="02040502050405020303"/>
    <w:charset w:val="00"/>
    <w:family w:val="roman"/>
    <w:pitch w:val="variable"/>
    <w:sig w:usb0="00000287" w:usb1="00000000" w:usb2="00000000" w:usb3="00000000" w:csb0="0000009F" w:csb1="00000000"/>
  </w:font>
  <w:font w:name="Times">
    <w:panose1 w:val="00000500000000020000"/>
    <w:charset w:val="00"/>
    <w:family w:val="auto"/>
    <w:pitch w:val="variable"/>
    <w:sig w:usb0="E00002FF" w:usb1="5000205A" w:usb2="00000000" w:usb3="00000000" w:csb0="0000019F" w:csb1="00000000"/>
  </w:font>
  <w:font w:name="AdvPSA3A1">
    <w:altName w:val="Cambria"/>
    <w:panose1 w:val="020B0604020202020204"/>
    <w:charset w:val="00"/>
    <w:family w:val="auto"/>
    <w:pitch w:val="default"/>
  </w:font>
  <w:font w:name="Cambria Math">
    <w:panose1 w:val="02040503050406030204"/>
    <w:charset w:val="00"/>
    <w:family w:val="roman"/>
    <w:pitch w:val="variable"/>
    <w:sig w:usb0="E00006FF" w:usb1="420024FF" w:usb2="02000000" w:usb3="00000000" w:csb0="0000019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206" w14:textId="77777777" w:rsidR="007D6CD8" w:rsidRDefault="005961DB">
    <w:pPr>
      <w:pBdr>
        <w:top w:val="nil"/>
        <w:left w:val="nil"/>
        <w:bottom w:val="nil"/>
        <w:right w:val="nil"/>
        <w:between w:val="nil"/>
      </w:pBdr>
      <w:tabs>
        <w:tab w:val="center" w:pos="4320"/>
        <w:tab w:val="right" w:pos="8640"/>
      </w:tabs>
      <w:jc w:val="center"/>
      <w:rPr>
        <w:color w:val="000000"/>
      </w:rPr>
    </w:pPr>
    <w:r>
      <w:rPr>
        <w:color w:val="000000"/>
      </w:rPr>
      <w:fldChar w:fldCharType="begin"/>
    </w:r>
    <w:r>
      <w:rPr>
        <w:color w:val="000000"/>
      </w:rPr>
      <w:instrText>PAGE</w:instrText>
    </w:r>
    <w:r>
      <w:rPr>
        <w:color w:val="000000"/>
      </w:rPr>
      <w:fldChar w:fldCharType="end"/>
    </w:r>
  </w:p>
  <w:p w14:paraId="00000207" w14:textId="77777777" w:rsidR="007D6CD8" w:rsidRDefault="007D6CD8">
    <w:pPr>
      <w:pBdr>
        <w:top w:val="nil"/>
        <w:left w:val="nil"/>
        <w:bottom w:val="nil"/>
        <w:right w:val="nil"/>
        <w:between w:val="nil"/>
      </w:pBdr>
      <w:tabs>
        <w:tab w:val="center" w:pos="4320"/>
        <w:tab w:val="right" w:pos="8640"/>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204" w14:textId="3327ECF9" w:rsidR="007D6CD8" w:rsidRDefault="005961DB">
    <w:pPr>
      <w:pBdr>
        <w:top w:val="nil"/>
        <w:left w:val="nil"/>
        <w:bottom w:val="nil"/>
        <w:right w:val="nil"/>
        <w:between w:val="nil"/>
      </w:pBdr>
      <w:tabs>
        <w:tab w:val="center" w:pos="4320"/>
        <w:tab w:val="right" w:pos="8640"/>
      </w:tabs>
      <w:jc w:val="center"/>
      <w:rPr>
        <w:color w:val="000000"/>
      </w:rPr>
    </w:pPr>
    <w:r>
      <w:rPr>
        <w:color w:val="000000"/>
      </w:rPr>
      <w:fldChar w:fldCharType="begin"/>
    </w:r>
    <w:r>
      <w:rPr>
        <w:color w:val="000000"/>
      </w:rPr>
      <w:instrText>PAGE</w:instrText>
    </w:r>
    <w:r>
      <w:rPr>
        <w:color w:val="000000"/>
      </w:rPr>
      <w:fldChar w:fldCharType="separate"/>
    </w:r>
    <w:r w:rsidR="0035546C">
      <w:rPr>
        <w:noProof/>
        <w:color w:val="000000"/>
      </w:rPr>
      <w:t>1</w:t>
    </w:r>
    <w:r>
      <w:rPr>
        <w:color w:val="000000"/>
      </w:rPr>
      <w:fldChar w:fldCharType="end"/>
    </w:r>
  </w:p>
  <w:p w14:paraId="00000205" w14:textId="77777777" w:rsidR="007D6CD8" w:rsidRDefault="007D6CD8">
    <w:pPr>
      <w:pBdr>
        <w:top w:val="nil"/>
        <w:left w:val="nil"/>
        <w:bottom w:val="nil"/>
        <w:right w:val="nil"/>
        <w:between w:val="nil"/>
      </w:pBdr>
      <w:tabs>
        <w:tab w:val="center" w:pos="4320"/>
        <w:tab w:val="right" w:pos="864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2A1BBC" w14:textId="77777777" w:rsidR="00963FCE" w:rsidRDefault="00963FCE">
      <w:r>
        <w:separator/>
      </w:r>
    </w:p>
  </w:footnote>
  <w:footnote w:type="continuationSeparator" w:id="0">
    <w:p w14:paraId="5DA7312F" w14:textId="77777777" w:rsidR="00963FCE" w:rsidRDefault="00963FCE">
      <w:r>
        <w:continuationSeparator/>
      </w:r>
    </w:p>
  </w:footnote>
  <w:footnote w:id="1">
    <w:p w14:paraId="00000203" w14:textId="77777777" w:rsidR="007D6CD8" w:rsidRDefault="005961DB">
      <w:pPr>
        <w:pBdr>
          <w:top w:val="nil"/>
          <w:left w:val="nil"/>
          <w:bottom w:val="nil"/>
          <w:right w:val="nil"/>
          <w:between w:val="nil"/>
        </w:pBdr>
        <w:rPr>
          <w:color w:val="000000"/>
        </w:rPr>
      </w:pPr>
      <w:r>
        <w:rPr>
          <w:vertAlign w:val="superscript"/>
        </w:rPr>
        <w:footnoteRef/>
      </w:r>
      <w:r>
        <w:rPr>
          <w:color w:val="000000"/>
          <w:sz w:val="20"/>
          <w:szCs w:val="20"/>
        </w:rPr>
        <w:t xml:space="preserve"> </w:t>
      </w:r>
      <w:r>
        <w:rPr>
          <w:rFonts w:ascii="AdvPSA3A1" w:eastAsia="AdvPSA3A1" w:hAnsi="AdvPSA3A1" w:cs="AdvPSA3A1"/>
          <w:color w:val="000000"/>
          <w:sz w:val="18"/>
          <w:szCs w:val="18"/>
        </w:rPr>
        <w:t>Data concerning retail sales were provided courtesy of Gfk on condition that video games’ real titles were not displayed</w:t>
      </w:r>
      <w:r>
        <w:rPr>
          <w:color w:val="000000"/>
          <w:sz w:val="20"/>
          <w:szCs w:val="20"/>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81743C"/>
    <w:multiLevelType w:val="multilevel"/>
    <w:tmpl w:val="F6E2FF98"/>
    <w:lvl w:ilvl="0">
      <w:start w:val="5"/>
      <w:numFmt w:val="decimal"/>
      <w:lvlText w:val="%1."/>
      <w:lvlJc w:val="left"/>
      <w:pPr>
        <w:ind w:left="1080" w:hanging="360"/>
      </w:pPr>
    </w:lvl>
    <w:lvl w:ilvl="1">
      <w:start w:val="1"/>
      <w:numFmt w:val="decimal"/>
      <w:lvlText w:val="%1.%2."/>
      <w:lvlJc w:val="left"/>
      <w:pPr>
        <w:ind w:left="1080" w:hanging="360"/>
      </w:pPr>
    </w:lvl>
    <w:lvl w:ilvl="2">
      <w:start w:val="1"/>
      <w:numFmt w:val="decimal"/>
      <w:lvlText w:val="%1.%2.%3."/>
      <w:lvlJc w:val="left"/>
      <w:pPr>
        <w:ind w:left="1440" w:hanging="720"/>
      </w:pPr>
    </w:lvl>
    <w:lvl w:ilvl="3">
      <w:start w:val="1"/>
      <w:numFmt w:val="decimal"/>
      <w:lvlText w:val="%1.%2.%3.%4."/>
      <w:lvlJc w:val="left"/>
      <w:pPr>
        <w:ind w:left="1440" w:hanging="720"/>
      </w:pPr>
    </w:lvl>
    <w:lvl w:ilvl="4">
      <w:start w:val="1"/>
      <w:numFmt w:val="decimal"/>
      <w:lvlText w:val="%1.%2.%3.%4.%5."/>
      <w:lvlJc w:val="left"/>
      <w:pPr>
        <w:ind w:left="1800" w:hanging="1080"/>
      </w:pPr>
    </w:lvl>
    <w:lvl w:ilvl="5">
      <w:start w:val="1"/>
      <w:numFmt w:val="decimal"/>
      <w:lvlText w:val="%1.%2.%3.%4.%5.%6."/>
      <w:lvlJc w:val="left"/>
      <w:pPr>
        <w:ind w:left="1800" w:hanging="1080"/>
      </w:pPr>
    </w:lvl>
    <w:lvl w:ilvl="6">
      <w:start w:val="1"/>
      <w:numFmt w:val="decimal"/>
      <w:lvlText w:val="%1.%2.%3.%4.%5.%6.%7."/>
      <w:lvlJc w:val="left"/>
      <w:pPr>
        <w:ind w:left="2160" w:hanging="1440"/>
      </w:pPr>
    </w:lvl>
    <w:lvl w:ilvl="7">
      <w:start w:val="1"/>
      <w:numFmt w:val="decimal"/>
      <w:lvlText w:val="%1.%2.%3.%4.%5.%6.%7.%8."/>
      <w:lvlJc w:val="left"/>
      <w:pPr>
        <w:ind w:left="2160" w:hanging="1440"/>
      </w:pPr>
    </w:lvl>
    <w:lvl w:ilvl="8">
      <w:start w:val="1"/>
      <w:numFmt w:val="decimal"/>
      <w:lvlText w:val="%1.%2.%3.%4.%5.%6.%7.%8.%9."/>
      <w:lvlJc w:val="left"/>
      <w:pPr>
        <w:ind w:left="2520" w:hanging="1800"/>
      </w:pPr>
    </w:lvl>
  </w:abstractNum>
  <w:abstractNum w:abstractNumId="1" w15:restartNumberingAfterBreak="0">
    <w:nsid w:val="3D1A3D23"/>
    <w:multiLevelType w:val="multilevel"/>
    <w:tmpl w:val="3FE499E4"/>
    <w:lvl w:ilvl="0">
      <w:start w:val="1"/>
      <w:numFmt w:val="decimal"/>
      <w:lvlText w:val="%1."/>
      <w:lvlJc w:val="left"/>
      <w:pPr>
        <w:ind w:left="720" w:hanging="360"/>
      </w:pPr>
    </w:lvl>
    <w:lvl w:ilvl="1">
      <w:start w:val="1"/>
      <w:numFmt w:val="decimal"/>
      <w:lvlText w:val="%1.%2."/>
      <w:lvlJc w:val="left"/>
      <w:pPr>
        <w:ind w:left="927" w:hanging="360"/>
      </w:pPr>
    </w:lvl>
    <w:lvl w:ilvl="2">
      <w:start w:val="1"/>
      <w:numFmt w:val="decimal"/>
      <w:lvlText w:val="%1.%2.%3."/>
      <w:lvlJc w:val="left"/>
      <w:pPr>
        <w:ind w:left="1494" w:hanging="720"/>
      </w:pPr>
    </w:lvl>
    <w:lvl w:ilvl="3">
      <w:start w:val="1"/>
      <w:numFmt w:val="decimal"/>
      <w:lvlText w:val="%1.%2.%3.%4."/>
      <w:lvlJc w:val="left"/>
      <w:pPr>
        <w:ind w:left="1701" w:hanging="720"/>
      </w:pPr>
    </w:lvl>
    <w:lvl w:ilvl="4">
      <w:start w:val="1"/>
      <w:numFmt w:val="decimal"/>
      <w:lvlText w:val="%1.%2.%3.%4.%5."/>
      <w:lvlJc w:val="left"/>
      <w:pPr>
        <w:ind w:left="2268" w:hanging="1080"/>
      </w:pPr>
    </w:lvl>
    <w:lvl w:ilvl="5">
      <w:start w:val="1"/>
      <w:numFmt w:val="decimal"/>
      <w:lvlText w:val="%1.%2.%3.%4.%5.%6."/>
      <w:lvlJc w:val="left"/>
      <w:pPr>
        <w:ind w:left="2475" w:hanging="1080"/>
      </w:pPr>
    </w:lvl>
    <w:lvl w:ilvl="6">
      <w:start w:val="1"/>
      <w:numFmt w:val="decimal"/>
      <w:lvlText w:val="%1.%2.%3.%4.%5.%6.%7."/>
      <w:lvlJc w:val="left"/>
      <w:pPr>
        <w:ind w:left="3042" w:hanging="1440"/>
      </w:pPr>
    </w:lvl>
    <w:lvl w:ilvl="7">
      <w:start w:val="1"/>
      <w:numFmt w:val="decimal"/>
      <w:lvlText w:val="%1.%2.%3.%4.%5.%6.%7.%8."/>
      <w:lvlJc w:val="left"/>
      <w:pPr>
        <w:ind w:left="3249" w:hanging="1440"/>
      </w:pPr>
    </w:lvl>
    <w:lvl w:ilvl="8">
      <w:start w:val="1"/>
      <w:numFmt w:val="decimal"/>
      <w:lvlText w:val="%1.%2.%3.%4.%5.%6.%7.%8.%9."/>
      <w:lvlJc w:val="left"/>
      <w:pPr>
        <w:ind w:left="3816" w:hanging="1799"/>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6CD8"/>
    <w:rsid w:val="000964D7"/>
    <w:rsid w:val="00120997"/>
    <w:rsid w:val="001C6A1D"/>
    <w:rsid w:val="00315668"/>
    <w:rsid w:val="0035546C"/>
    <w:rsid w:val="003D2C74"/>
    <w:rsid w:val="004C370B"/>
    <w:rsid w:val="005961DB"/>
    <w:rsid w:val="007D6CD8"/>
    <w:rsid w:val="00937930"/>
    <w:rsid w:val="00952A35"/>
    <w:rsid w:val="00963FCE"/>
    <w:rsid w:val="00C40E46"/>
    <w:rsid w:val="00C54264"/>
    <w:rsid w:val="00D369A1"/>
    <w:rsid w:val="00D8613A"/>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decimalSymbol w:val=","/>
  <w:listSeparator w:val=";"/>
  <w14:docId w14:val="3E7C7D04"/>
  <w15:docId w15:val="{BB1C694A-6D5C-494F-BCA4-953E5CB09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uz-Cyrl-UZ"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BF0F99"/>
  </w:style>
  <w:style w:type="paragraph" w:styleId="Titolo1">
    <w:name w:val="heading 1"/>
    <w:basedOn w:val="Normale"/>
    <w:next w:val="Normale"/>
    <w:uiPriority w:val="9"/>
    <w:qFormat/>
    <w:pPr>
      <w:keepNext/>
      <w:keepLines/>
      <w:spacing w:before="480" w:after="120"/>
      <w:outlineLvl w:val="0"/>
    </w:pPr>
    <w:rPr>
      <w:b/>
      <w:sz w:val="48"/>
      <w:szCs w:val="48"/>
      <w:lang w:val="en-US"/>
    </w:rPr>
  </w:style>
  <w:style w:type="paragraph" w:styleId="Titolo2">
    <w:name w:val="heading 2"/>
    <w:basedOn w:val="Normale"/>
    <w:next w:val="Normale"/>
    <w:uiPriority w:val="9"/>
    <w:semiHidden/>
    <w:unhideWhenUsed/>
    <w:qFormat/>
    <w:pPr>
      <w:keepNext/>
      <w:keepLines/>
      <w:spacing w:before="360" w:after="80"/>
      <w:outlineLvl w:val="1"/>
    </w:pPr>
    <w:rPr>
      <w:b/>
      <w:sz w:val="36"/>
      <w:szCs w:val="36"/>
      <w:lang w:val="en-US"/>
    </w:rPr>
  </w:style>
  <w:style w:type="paragraph" w:styleId="Titolo3">
    <w:name w:val="heading 3"/>
    <w:basedOn w:val="Normale"/>
    <w:next w:val="Normale"/>
    <w:uiPriority w:val="9"/>
    <w:semiHidden/>
    <w:unhideWhenUsed/>
    <w:qFormat/>
    <w:pPr>
      <w:keepNext/>
      <w:keepLines/>
      <w:spacing w:before="280" w:after="80"/>
      <w:outlineLvl w:val="2"/>
    </w:pPr>
    <w:rPr>
      <w:b/>
      <w:sz w:val="28"/>
      <w:szCs w:val="28"/>
      <w:lang w:val="en-US"/>
    </w:rPr>
  </w:style>
  <w:style w:type="paragraph" w:styleId="Titolo4">
    <w:name w:val="heading 4"/>
    <w:basedOn w:val="Normale"/>
    <w:next w:val="Normale"/>
    <w:uiPriority w:val="9"/>
    <w:semiHidden/>
    <w:unhideWhenUsed/>
    <w:qFormat/>
    <w:pPr>
      <w:keepNext/>
      <w:keepLines/>
      <w:spacing w:before="240" w:after="40"/>
      <w:outlineLvl w:val="3"/>
    </w:pPr>
    <w:rPr>
      <w:b/>
      <w:lang w:val="en-US"/>
    </w:rPr>
  </w:style>
  <w:style w:type="paragraph" w:styleId="Titolo5">
    <w:name w:val="heading 5"/>
    <w:basedOn w:val="Normale"/>
    <w:next w:val="Normale"/>
    <w:uiPriority w:val="9"/>
    <w:semiHidden/>
    <w:unhideWhenUsed/>
    <w:qFormat/>
    <w:pPr>
      <w:keepNext/>
      <w:keepLines/>
      <w:spacing w:before="220" w:after="40"/>
      <w:outlineLvl w:val="4"/>
    </w:pPr>
    <w:rPr>
      <w:b/>
      <w:sz w:val="22"/>
      <w:szCs w:val="22"/>
      <w:lang w:val="en-US"/>
    </w:rPr>
  </w:style>
  <w:style w:type="paragraph" w:styleId="Titolo6">
    <w:name w:val="heading 6"/>
    <w:basedOn w:val="Normale"/>
    <w:next w:val="Normale"/>
    <w:uiPriority w:val="9"/>
    <w:semiHidden/>
    <w:unhideWhenUsed/>
    <w:qFormat/>
    <w:pPr>
      <w:keepNext/>
      <w:keepLines/>
      <w:spacing w:before="200" w:after="40"/>
      <w:outlineLvl w:val="5"/>
    </w:pPr>
    <w:rPr>
      <w:b/>
      <w:sz w:val="20"/>
      <w:szCs w:val="20"/>
      <w:lang w:val="en-US"/>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uiPriority w:val="10"/>
    <w:qFormat/>
    <w:pPr>
      <w:keepNext/>
      <w:keepLines/>
      <w:spacing w:before="480" w:after="120"/>
    </w:pPr>
    <w:rPr>
      <w:b/>
      <w:sz w:val="72"/>
      <w:szCs w:val="72"/>
      <w:lang w:val="en-US"/>
    </w:rPr>
  </w:style>
  <w:style w:type="paragraph" w:styleId="NormaleWeb">
    <w:name w:val="Normal (Web)"/>
    <w:basedOn w:val="Normale"/>
    <w:uiPriority w:val="99"/>
    <w:unhideWhenUsed/>
    <w:rsid w:val="002E79DF"/>
    <w:pPr>
      <w:spacing w:before="100" w:beforeAutospacing="1" w:after="100" w:afterAutospacing="1"/>
    </w:pPr>
    <w:rPr>
      <w:lang w:val="en-US" w:eastAsia="it-IT"/>
    </w:rPr>
  </w:style>
  <w:style w:type="character" w:customStyle="1" w:styleId="apple-converted-space">
    <w:name w:val="apple-converted-space"/>
    <w:basedOn w:val="Carpredefinitoparagrafo"/>
    <w:rsid w:val="00A4683D"/>
  </w:style>
  <w:style w:type="character" w:styleId="Enfasicorsivo">
    <w:name w:val="Emphasis"/>
    <w:basedOn w:val="Carpredefinitoparagrafo"/>
    <w:uiPriority w:val="20"/>
    <w:qFormat/>
    <w:rsid w:val="004C27AB"/>
    <w:rPr>
      <w:i/>
      <w:iCs/>
    </w:rPr>
  </w:style>
  <w:style w:type="character" w:styleId="Collegamentoipertestuale">
    <w:name w:val="Hyperlink"/>
    <w:basedOn w:val="Carpredefinitoparagrafo"/>
    <w:uiPriority w:val="99"/>
    <w:unhideWhenUsed/>
    <w:rsid w:val="00AA1056"/>
    <w:rPr>
      <w:color w:val="0563C1" w:themeColor="hyperlink"/>
      <w:u w:val="single"/>
    </w:rPr>
  </w:style>
  <w:style w:type="character" w:customStyle="1" w:styleId="Menzionenonrisolta1">
    <w:name w:val="Menzione non risolta1"/>
    <w:basedOn w:val="Carpredefinitoparagrafo"/>
    <w:uiPriority w:val="99"/>
    <w:semiHidden/>
    <w:unhideWhenUsed/>
    <w:rsid w:val="00AA1056"/>
    <w:rPr>
      <w:color w:val="605E5C"/>
      <w:shd w:val="clear" w:color="auto" w:fill="E1DFDD"/>
    </w:rPr>
  </w:style>
  <w:style w:type="paragraph" w:customStyle="1" w:styleId="rz6fp9-10">
    <w:name w:val="rz6fp9-10"/>
    <w:basedOn w:val="Normale"/>
    <w:rsid w:val="00056CF1"/>
    <w:pPr>
      <w:spacing w:before="100" w:beforeAutospacing="1" w:after="100" w:afterAutospacing="1"/>
    </w:pPr>
    <w:rPr>
      <w:lang w:val="en-US" w:eastAsia="it-IT"/>
    </w:rPr>
  </w:style>
  <w:style w:type="table" w:styleId="Grigliatabella">
    <w:name w:val="Table Grid"/>
    <w:basedOn w:val="Tabellanormale"/>
    <w:uiPriority w:val="59"/>
    <w:rsid w:val="0050228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basedOn w:val="Carpredefinitoparagrafo"/>
    <w:uiPriority w:val="99"/>
    <w:semiHidden/>
    <w:unhideWhenUsed/>
    <w:rsid w:val="00A7504E"/>
    <w:rPr>
      <w:color w:val="954F72" w:themeColor="followedHyperlink"/>
      <w:u w:val="single"/>
    </w:rPr>
  </w:style>
  <w:style w:type="paragraph" w:styleId="Testofumetto">
    <w:name w:val="Balloon Text"/>
    <w:basedOn w:val="Normale"/>
    <w:link w:val="TestofumettoCarattere"/>
    <w:uiPriority w:val="99"/>
    <w:semiHidden/>
    <w:unhideWhenUsed/>
    <w:rsid w:val="00C80685"/>
    <w:rPr>
      <w:rFonts w:ascii="Lucida Grande" w:hAnsi="Lucida Grande" w:cs="Lucida Grande"/>
      <w:sz w:val="18"/>
      <w:szCs w:val="18"/>
      <w:lang w:val="en-US"/>
    </w:rPr>
  </w:style>
  <w:style w:type="character" w:customStyle="1" w:styleId="TestofumettoCarattere">
    <w:name w:val="Testo fumetto Carattere"/>
    <w:basedOn w:val="Carpredefinitoparagrafo"/>
    <w:link w:val="Testofumetto"/>
    <w:uiPriority w:val="99"/>
    <w:semiHidden/>
    <w:rsid w:val="00C80685"/>
    <w:rPr>
      <w:rFonts w:ascii="Lucida Grande" w:hAnsi="Lucida Grande" w:cs="Lucida Grande"/>
      <w:sz w:val="18"/>
      <w:szCs w:val="18"/>
    </w:rPr>
  </w:style>
  <w:style w:type="paragraph" w:styleId="Pidipagina">
    <w:name w:val="footer"/>
    <w:basedOn w:val="Normale"/>
    <w:link w:val="PidipaginaCarattere"/>
    <w:uiPriority w:val="99"/>
    <w:unhideWhenUsed/>
    <w:rsid w:val="00C80685"/>
    <w:pPr>
      <w:tabs>
        <w:tab w:val="center" w:pos="4320"/>
        <w:tab w:val="right" w:pos="8640"/>
      </w:tabs>
    </w:pPr>
    <w:rPr>
      <w:lang w:val="en-US"/>
    </w:rPr>
  </w:style>
  <w:style w:type="character" w:customStyle="1" w:styleId="PidipaginaCarattere">
    <w:name w:val="Piè di pagina Carattere"/>
    <w:basedOn w:val="Carpredefinitoparagrafo"/>
    <w:link w:val="Pidipagina"/>
    <w:uiPriority w:val="99"/>
    <w:rsid w:val="00C80685"/>
  </w:style>
  <w:style w:type="character" w:styleId="Numeropagina">
    <w:name w:val="page number"/>
    <w:basedOn w:val="Carpredefinitoparagrafo"/>
    <w:uiPriority w:val="99"/>
    <w:semiHidden/>
    <w:unhideWhenUsed/>
    <w:rsid w:val="00C80685"/>
  </w:style>
  <w:style w:type="paragraph" w:styleId="Intestazione">
    <w:name w:val="header"/>
    <w:basedOn w:val="Normale"/>
    <w:link w:val="IntestazioneCarattere"/>
    <w:uiPriority w:val="99"/>
    <w:unhideWhenUsed/>
    <w:rsid w:val="00C80685"/>
    <w:pPr>
      <w:tabs>
        <w:tab w:val="center" w:pos="4320"/>
        <w:tab w:val="right" w:pos="8640"/>
      </w:tabs>
    </w:pPr>
    <w:rPr>
      <w:lang w:val="en-US"/>
    </w:rPr>
  </w:style>
  <w:style w:type="character" w:customStyle="1" w:styleId="IntestazioneCarattere">
    <w:name w:val="Intestazione Carattere"/>
    <w:basedOn w:val="Carpredefinitoparagrafo"/>
    <w:link w:val="Intestazione"/>
    <w:uiPriority w:val="99"/>
    <w:rsid w:val="00C80685"/>
  </w:style>
  <w:style w:type="character" w:styleId="Rimandocommento">
    <w:name w:val="annotation reference"/>
    <w:basedOn w:val="Carpredefinitoparagrafo"/>
    <w:uiPriority w:val="99"/>
    <w:semiHidden/>
    <w:unhideWhenUsed/>
    <w:rsid w:val="006B34CD"/>
    <w:rPr>
      <w:sz w:val="18"/>
      <w:szCs w:val="18"/>
    </w:rPr>
  </w:style>
  <w:style w:type="paragraph" w:styleId="Testocommento">
    <w:name w:val="annotation text"/>
    <w:basedOn w:val="Normale"/>
    <w:link w:val="TestocommentoCarattere"/>
    <w:uiPriority w:val="99"/>
    <w:semiHidden/>
    <w:unhideWhenUsed/>
    <w:rsid w:val="006B34CD"/>
    <w:rPr>
      <w:lang w:val="en-US"/>
    </w:rPr>
  </w:style>
  <w:style w:type="character" w:customStyle="1" w:styleId="TestocommentoCarattere">
    <w:name w:val="Testo commento Carattere"/>
    <w:basedOn w:val="Carpredefinitoparagrafo"/>
    <w:link w:val="Testocommento"/>
    <w:uiPriority w:val="99"/>
    <w:semiHidden/>
    <w:rsid w:val="006B34CD"/>
  </w:style>
  <w:style w:type="paragraph" w:styleId="Soggettocommento">
    <w:name w:val="annotation subject"/>
    <w:basedOn w:val="Testocommento"/>
    <w:next w:val="Testocommento"/>
    <w:link w:val="SoggettocommentoCarattere"/>
    <w:uiPriority w:val="99"/>
    <w:semiHidden/>
    <w:unhideWhenUsed/>
    <w:rsid w:val="006B34CD"/>
    <w:rPr>
      <w:b/>
      <w:bCs/>
      <w:sz w:val="20"/>
      <w:szCs w:val="20"/>
    </w:rPr>
  </w:style>
  <w:style w:type="character" w:customStyle="1" w:styleId="SoggettocommentoCarattere">
    <w:name w:val="Soggetto commento Carattere"/>
    <w:basedOn w:val="TestocommentoCarattere"/>
    <w:link w:val="Soggettocommento"/>
    <w:uiPriority w:val="99"/>
    <w:semiHidden/>
    <w:rsid w:val="006B34CD"/>
    <w:rPr>
      <w:b/>
      <w:bCs/>
      <w:sz w:val="20"/>
      <w:szCs w:val="20"/>
    </w:rPr>
  </w:style>
  <w:style w:type="paragraph" w:styleId="Testonotaapidipagina">
    <w:name w:val="footnote text"/>
    <w:basedOn w:val="Normale"/>
    <w:link w:val="TestonotaapidipaginaCarattere"/>
    <w:uiPriority w:val="99"/>
    <w:rsid w:val="00733DD2"/>
    <w:rPr>
      <w:sz w:val="20"/>
      <w:szCs w:val="20"/>
      <w:lang w:val="en-US" w:eastAsia="it-IT"/>
    </w:rPr>
  </w:style>
  <w:style w:type="character" w:customStyle="1" w:styleId="TestonotaapidipaginaCarattere">
    <w:name w:val="Testo nota a piè di pagina Carattere"/>
    <w:basedOn w:val="Carpredefinitoparagrafo"/>
    <w:link w:val="Testonotaapidipagina"/>
    <w:uiPriority w:val="99"/>
    <w:rsid w:val="00733DD2"/>
    <w:rPr>
      <w:rFonts w:ascii="Times New Roman" w:eastAsia="Times New Roman" w:hAnsi="Times New Roman" w:cs="Times New Roman"/>
      <w:sz w:val="20"/>
      <w:szCs w:val="20"/>
      <w:lang w:eastAsia="it-IT"/>
    </w:rPr>
  </w:style>
  <w:style w:type="character" w:styleId="Rimandonotaapidipagina">
    <w:name w:val="footnote reference"/>
    <w:uiPriority w:val="99"/>
    <w:rsid w:val="00733DD2"/>
    <w:rPr>
      <w:vertAlign w:val="superscript"/>
    </w:rPr>
  </w:style>
  <w:style w:type="character" w:customStyle="1" w:styleId="style-scope">
    <w:name w:val="style-scope"/>
    <w:basedOn w:val="Carpredefinitoparagrafo"/>
    <w:rsid w:val="002B0C0D"/>
  </w:style>
  <w:style w:type="character" w:customStyle="1" w:styleId="2etufsvzmbxihia6hfjctq">
    <w:name w:val="_2etufsvzmbxihia6hfjctq"/>
    <w:basedOn w:val="Carpredefinitoparagrafo"/>
    <w:rsid w:val="002B0C0D"/>
  </w:style>
  <w:style w:type="paragraph" w:customStyle="1" w:styleId="1qeiagb0cpwnlhdf9xsijm">
    <w:name w:val="_1qeiagb0cpwnlhdf9xsijm"/>
    <w:basedOn w:val="Normale"/>
    <w:rsid w:val="002B0C0D"/>
    <w:pPr>
      <w:spacing w:before="100" w:beforeAutospacing="1" w:after="100" w:afterAutospacing="1"/>
    </w:pPr>
    <w:rPr>
      <w:lang w:val="en-US"/>
    </w:rPr>
  </w:style>
  <w:style w:type="character" w:customStyle="1" w:styleId="textrun">
    <w:name w:val="textrun"/>
    <w:basedOn w:val="Carpredefinitoparagrafo"/>
    <w:rsid w:val="00F47EC6"/>
  </w:style>
  <w:style w:type="character" w:customStyle="1" w:styleId="UnresolvedMention1">
    <w:name w:val="Unresolved Mention1"/>
    <w:basedOn w:val="Carpredefinitoparagrafo"/>
    <w:uiPriority w:val="99"/>
    <w:semiHidden/>
    <w:unhideWhenUsed/>
    <w:rsid w:val="00985B95"/>
    <w:rPr>
      <w:color w:val="605E5C"/>
      <w:shd w:val="clear" w:color="auto" w:fill="E1DFDD"/>
    </w:rPr>
  </w:style>
  <w:style w:type="paragraph" w:styleId="Revisione">
    <w:name w:val="Revision"/>
    <w:hidden/>
    <w:uiPriority w:val="99"/>
    <w:semiHidden/>
    <w:rsid w:val="003F332D"/>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4">
    <w:name w:val="4"/>
    <w:basedOn w:val="Tabellanormale"/>
    <w:tblPr>
      <w:tblStyleRowBandSize w:val="1"/>
      <w:tblStyleColBandSize w:val="1"/>
      <w:tblCellMar>
        <w:left w:w="75" w:type="dxa"/>
        <w:right w:w="75" w:type="dxa"/>
      </w:tblCellMar>
    </w:tblPr>
  </w:style>
  <w:style w:type="table" w:customStyle="1" w:styleId="3">
    <w:name w:val="3"/>
    <w:basedOn w:val="Tabellanormale"/>
    <w:rPr>
      <w:sz w:val="22"/>
      <w:szCs w:val="22"/>
    </w:rPr>
    <w:tblPr>
      <w:tblStyleRowBandSize w:val="1"/>
      <w:tblStyleColBandSize w:val="1"/>
    </w:tblPr>
  </w:style>
  <w:style w:type="table" w:customStyle="1" w:styleId="2">
    <w:name w:val="2"/>
    <w:basedOn w:val="Tabellanormale"/>
    <w:rPr>
      <w:sz w:val="22"/>
      <w:szCs w:val="22"/>
    </w:rPr>
    <w:tblPr>
      <w:tblStyleRowBandSize w:val="1"/>
      <w:tblStyleColBandSize w:val="1"/>
      <w:tblCellMar>
        <w:left w:w="75" w:type="dxa"/>
        <w:right w:w="75" w:type="dxa"/>
      </w:tblCellMar>
    </w:tblPr>
  </w:style>
  <w:style w:type="table" w:customStyle="1" w:styleId="1">
    <w:name w:val="1"/>
    <w:basedOn w:val="Tabellanormale"/>
    <w:rPr>
      <w:sz w:val="22"/>
      <w:szCs w:val="22"/>
    </w:rPr>
    <w:tblPr>
      <w:tblStyleRowBandSize w:val="1"/>
      <w:tblStyleColBandSize w:val="1"/>
      <w:tblCellMar>
        <w:left w:w="75" w:type="dxa"/>
        <w:right w:w="75" w:type="dxa"/>
      </w:tblCellMar>
    </w:tblPr>
  </w:style>
  <w:style w:type="paragraph" w:styleId="Paragrafoelenco">
    <w:name w:val="List Paragraph"/>
    <w:basedOn w:val="Normale"/>
    <w:uiPriority w:val="34"/>
    <w:qFormat/>
    <w:rsid w:val="00F967AE"/>
    <w:pPr>
      <w:ind w:left="720"/>
      <w:contextualSpacing/>
    </w:pPr>
  </w:style>
  <w:style w:type="table" w:customStyle="1" w:styleId="a">
    <w:basedOn w:val="Tabellanormale"/>
    <w:rPr>
      <w:sz w:val="22"/>
      <w:szCs w:val="22"/>
    </w:rPr>
    <w:tblPr>
      <w:tblStyleRowBandSize w:val="1"/>
      <w:tblStyleColBandSize w:val="1"/>
      <w:tblCellMar>
        <w:left w:w="75" w:type="dxa"/>
        <w:right w:w="75" w:type="dxa"/>
      </w:tblCellMar>
    </w:tblPr>
  </w:style>
  <w:style w:type="table" w:customStyle="1" w:styleId="a0">
    <w:basedOn w:val="Tabellanormale"/>
    <w:rPr>
      <w:sz w:val="22"/>
      <w:szCs w:val="22"/>
    </w:rPr>
    <w:tblPr>
      <w:tblStyleRowBandSize w:val="1"/>
      <w:tblStyleColBandSize w:val="1"/>
      <w:tblCellMar>
        <w:left w:w="75" w:type="dxa"/>
        <w:right w:w="7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1.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4" Type="http://schemas.openxmlformats.org/officeDocument/2006/relationships/settings" Target="settings.xml"/><Relationship Id="rId14"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Graziano\Dropbox\Games%20Pontiroli\JBR%20con%20Rebecca\Cartel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0742112395568598E-2"/>
          <c:y val="9.9064139330849593E-2"/>
          <c:w val="0.90787729658792704"/>
          <c:h val="0.81974888687081504"/>
        </c:manualLayout>
      </c:layout>
      <c:lineChart>
        <c:grouping val="standard"/>
        <c:varyColors val="0"/>
        <c:ser>
          <c:idx val="0"/>
          <c:order val="0"/>
          <c:spPr>
            <a:ln w="47625" cap="rnd" cmpd="sng" algn="ctr">
              <a:solidFill>
                <a:schemeClr val="tx2"/>
              </a:solidFill>
              <a:round/>
            </a:ln>
            <a:effectLst/>
          </c:spPr>
          <c:marker>
            <c:symbol val="none"/>
          </c:marker>
          <c:val>
            <c:numRef>
              <c:f>Foglio1!$B$39:$B$300</c:f>
              <c:numCache>
                <c:formatCode>General</c:formatCode>
                <c:ptCount val="262"/>
                <c:pt idx="0">
                  <c:v>2.474515999999999</c:v>
                </c:pt>
                <c:pt idx="1">
                  <c:v>1.7838320000000001</c:v>
                </c:pt>
                <c:pt idx="2">
                  <c:v>0.75872530000000005</c:v>
                </c:pt>
                <c:pt idx="3">
                  <c:v>0.99259019999999998</c:v>
                </c:pt>
                <c:pt idx="4">
                  <c:v>0.97190969999999999</c:v>
                </c:pt>
                <c:pt idx="5">
                  <c:v>1.752111</c:v>
                </c:pt>
                <c:pt idx="6">
                  <c:v>0.96097600000000005</c:v>
                </c:pt>
                <c:pt idx="7">
                  <c:v>1.621359</c:v>
                </c:pt>
                <c:pt idx="8">
                  <c:v>-1.147313</c:v>
                </c:pt>
                <c:pt idx="9">
                  <c:v>-2.0144660000000001</c:v>
                </c:pt>
                <c:pt idx="10">
                  <c:v>-0.40552729999999998</c:v>
                </c:pt>
                <c:pt idx="11">
                  <c:v>-0.87880709999999995</c:v>
                </c:pt>
                <c:pt idx="12">
                  <c:v>6.6914899999999999E-2</c:v>
                </c:pt>
                <c:pt idx="13">
                  <c:v>2.2178E-2</c:v>
                </c:pt>
                <c:pt idx="14">
                  <c:v>-1.005557</c:v>
                </c:pt>
                <c:pt idx="15">
                  <c:v>1.3564670000000001</c:v>
                </c:pt>
                <c:pt idx="16">
                  <c:v>-0.25029950000000001</c:v>
                </c:pt>
                <c:pt idx="17">
                  <c:v>-0.88221700000000003</c:v>
                </c:pt>
                <c:pt idx="18">
                  <c:v>-0.3266481</c:v>
                </c:pt>
                <c:pt idx="19">
                  <c:v>-1.7778499999999999</c:v>
                </c:pt>
                <c:pt idx="20">
                  <c:v>-1.1655340000000001</c:v>
                </c:pt>
                <c:pt idx="21">
                  <c:v>-1.761895</c:v>
                </c:pt>
                <c:pt idx="22">
                  <c:v>-3.1562760000000001</c:v>
                </c:pt>
                <c:pt idx="23">
                  <c:v>-1.1693279999999999</c:v>
                </c:pt>
                <c:pt idx="24">
                  <c:v>-2.568905</c:v>
                </c:pt>
                <c:pt idx="25">
                  <c:v>-1.990418</c:v>
                </c:pt>
                <c:pt idx="26">
                  <c:v>-2.194096</c:v>
                </c:pt>
                <c:pt idx="27">
                  <c:v>-2.782868999999998</c:v>
                </c:pt>
                <c:pt idx="28">
                  <c:v>-3.3903110000000001</c:v>
                </c:pt>
                <c:pt idx="29">
                  <c:v>-2.966199</c:v>
                </c:pt>
                <c:pt idx="30">
                  <c:v>-3.1807400000000001</c:v>
                </c:pt>
                <c:pt idx="31">
                  <c:v>-3.1797309999999999</c:v>
                </c:pt>
                <c:pt idx="32">
                  <c:v>-3.3547349999999998</c:v>
                </c:pt>
                <c:pt idx="33">
                  <c:v>-2.338219</c:v>
                </c:pt>
                <c:pt idx="34">
                  <c:v>-2.526206999999999</c:v>
                </c:pt>
                <c:pt idx="35">
                  <c:v>-3.1349130000000001</c:v>
                </c:pt>
                <c:pt idx="36">
                  <c:v>-3.3215530000000002</c:v>
                </c:pt>
                <c:pt idx="37">
                  <c:v>-2.5225909999999998</c:v>
                </c:pt>
                <c:pt idx="38">
                  <c:v>-2.911964999999999</c:v>
                </c:pt>
                <c:pt idx="39">
                  <c:v>-2.5018440000000002</c:v>
                </c:pt>
                <c:pt idx="40">
                  <c:v>-2.490183</c:v>
                </c:pt>
                <c:pt idx="41">
                  <c:v>-2.6762359999999981</c:v>
                </c:pt>
                <c:pt idx="42">
                  <c:v>-2.8749069999999981</c:v>
                </c:pt>
                <c:pt idx="43">
                  <c:v>-2.6759599999999981</c:v>
                </c:pt>
                <c:pt idx="44">
                  <c:v>-3.6422140000000001</c:v>
                </c:pt>
                <c:pt idx="45">
                  <c:v>-2.6503109999999999</c:v>
                </c:pt>
                <c:pt idx="46">
                  <c:v>-2.8375249999999999</c:v>
                </c:pt>
                <c:pt idx="47">
                  <c:v>-3.0031129999999999</c:v>
                </c:pt>
                <c:pt idx="48">
                  <c:v>-2.2028249999999998</c:v>
                </c:pt>
                <c:pt idx="49">
                  <c:v>-2.9890530000000002</c:v>
                </c:pt>
                <c:pt idx="50">
                  <c:v>-3.367731</c:v>
                </c:pt>
                <c:pt idx="51">
                  <c:v>-3.5587810000000002</c:v>
                </c:pt>
                <c:pt idx="52">
                  <c:v>-2.3623970000000001</c:v>
                </c:pt>
                <c:pt idx="53">
                  <c:v>-3.5055109999999998</c:v>
                </c:pt>
                <c:pt idx="54">
                  <c:v>-2.507787</c:v>
                </c:pt>
                <c:pt idx="55">
                  <c:v>-2.6878009999999999</c:v>
                </c:pt>
                <c:pt idx="56">
                  <c:v>-2.687287</c:v>
                </c:pt>
                <c:pt idx="57">
                  <c:v>-3.477665</c:v>
                </c:pt>
                <c:pt idx="58">
                  <c:v>-3.874333</c:v>
                </c:pt>
                <c:pt idx="59">
                  <c:v>-3.2793640000000002</c:v>
                </c:pt>
                <c:pt idx="60">
                  <c:v>-3.077650999999999</c:v>
                </c:pt>
                <c:pt idx="61">
                  <c:v>-2.8480650000000001</c:v>
                </c:pt>
                <c:pt idx="62">
                  <c:v>-2.8419720000000002</c:v>
                </c:pt>
                <c:pt idx="63">
                  <c:v>-3.2319550000000001</c:v>
                </c:pt>
                <c:pt idx="64">
                  <c:v>-2.4216069999999981</c:v>
                </c:pt>
                <c:pt idx="65">
                  <c:v>-3.39073</c:v>
                </c:pt>
                <c:pt idx="66">
                  <c:v>-2.592533</c:v>
                </c:pt>
                <c:pt idx="67">
                  <c:v>-2.9820790000000001</c:v>
                </c:pt>
                <c:pt idx="68">
                  <c:v>-3.3643519999999998</c:v>
                </c:pt>
                <c:pt idx="69">
                  <c:v>-2.9540280000000001</c:v>
                </c:pt>
                <c:pt idx="70">
                  <c:v>-2.9313760000000002</c:v>
                </c:pt>
                <c:pt idx="71">
                  <c:v>-3.1137350000000001</c:v>
                </c:pt>
                <c:pt idx="72">
                  <c:v>-3.492845999999997</c:v>
                </c:pt>
                <c:pt idx="73">
                  <c:v>-2.6853959999999999</c:v>
                </c:pt>
                <c:pt idx="74">
                  <c:v>-2.2735509999999999</c:v>
                </c:pt>
                <c:pt idx="75">
                  <c:v>-2.4307029999999981</c:v>
                </c:pt>
                <c:pt idx="76">
                  <c:v>-2.6072850000000001</c:v>
                </c:pt>
                <c:pt idx="77">
                  <c:v>-2.7738719999999999</c:v>
                </c:pt>
                <c:pt idx="78">
                  <c:v>-2.9500790000000001</c:v>
                </c:pt>
                <c:pt idx="79">
                  <c:v>-2.7286670000000002</c:v>
                </c:pt>
                <c:pt idx="80">
                  <c:v>-3.6953269999999998</c:v>
                </c:pt>
                <c:pt idx="81">
                  <c:v>-2.8874659999999981</c:v>
                </c:pt>
                <c:pt idx="82">
                  <c:v>-3.6659790000000001</c:v>
                </c:pt>
                <c:pt idx="83">
                  <c:v>-3.4593820000000002</c:v>
                </c:pt>
                <c:pt idx="84">
                  <c:v>-3.0489039999999998</c:v>
                </c:pt>
                <c:pt idx="85">
                  <c:v>-2.444261</c:v>
                </c:pt>
                <c:pt idx="86">
                  <c:v>-3.0082520000000001</c:v>
                </c:pt>
                <c:pt idx="87">
                  <c:v>-3.391159</c:v>
                </c:pt>
                <c:pt idx="88">
                  <c:v>-3.179926</c:v>
                </c:pt>
                <c:pt idx="89">
                  <c:v>-3.1613229999999999</c:v>
                </c:pt>
                <c:pt idx="90">
                  <c:v>-3.348062999999998</c:v>
                </c:pt>
                <c:pt idx="91">
                  <c:v>-2.7315330000000002</c:v>
                </c:pt>
                <c:pt idx="92">
                  <c:v>-2.9135490000000002</c:v>
                </c:pt>
                <c:pt idx="93">
                  <c:v>-3.4965160000000002</c:v>
                </c:pt>
                <c:pt idx="94">
                  <c:v>-3.2913410000000001</c:v>
                </c:pt>
                <c:pt idx="95">
                  <c:v>-3.2772130000000002</c:v>
                </c:pt>
                <c:pt idx="96">
                  <c:v>-3.4649160000000001</c:v>
                </c:pt>
                <c:pt idx="97">
                  <c:v>-3.2661669999999998</c:v>
                </c:pt>
                <c:pt idx="98">
                  <c:v>-3.062238999999999</c:v>
                </c:pt>
                <c:pt idx="99">
                  <c:v>-2.851484999999998</c:v>
                </c:pt>
                <c:pt idx="100">
                  <c:v>-2.630017</c:v>
                </c:pt>
                <c:pt idx="101">
                  <c:v>-2.811864999999997</c:v>
                </c:pt>
                <c:pt idx="102">
                  <c:v>-3.1901630000000001</c:v>
                </c:pt>
                <c:pt idx="103">
                  <c:v>-2.5870419999999998</c:v>
                </c:pt>
                <c:pt idx="104">
                  <c:v>-2.961789</c:v>
                </c:pt>
                <c:pt idx="105">
                  <c:v>-2.748961</c:v>
                </c:pt>
                <c:pt idx="106">
                  <c:v>-2.3333849999999998</c:v>
                </c:pt>
                <c:pt idx="107">
                  <c:v>-3.1099770000000002</c:v>
                </c:pt>
                <c:pt idx="108">
                  <c:v>-2.298762</c:v>
                </c:pt>
                <c:pt idx="109">
                  <c:v>-2.455911</c:v>
                </c:pt>
                <c:pt idx="110">
                  <c:v>-2.4311219999999998</c:v>
                </c:pt>
                <c:pt idx="111">
                  <c:v>-3.4036710000000001</c:v>
                </c:pt>
                <c:pt idx="112">
                  <c:v>-3.0065849999999998</c:v>
                </c:pt>
                <c:pt idx="113">
                  <c:v>-2.7953220000000001</c:v>
                </c:pt>
                <c:pt idx="114">
                  <c:v>-2.977633</c:v>
                </c:pt>
                <c:pt idx="115">
                  <c:v>-1.9607289999999999</c:v>
                </c:pt>
                <c:pt idx="116">
                  <c:v>-2.9140350000000002</c:v>
                </c:pt>
                <c:pt idx="117">
                  <c:v>-2.6946300000000001</c:v>
                </c:pt>
                <c:pt idx="118">
                  <c:v>-2.2738649999999998</c:v>
                </c:pt>
                <c:pt idx="119">
                  <c:v>-1.842125</c:v>
                </c:pt>
                <c:pt idx="120">
                  <c:v>-2.5937990000000002</c:v>
                </c:pt>
                <c:pt idx="121">
                  <c:v>-3.1735350000000002</c:v>
                </c:pt>
                <c:pt idx="122">
                  <c:v>-3.1689660000000002</c:v>
                </c:pt>
                <c:pt idx="123">
                  <c:v>-2.96645</c:v>
                </c:pt>
                <c:pt idx="124">
                  <c:v>-1.9593480000000001</c:v>
                </c:pt>
                <c:pt idx="125">
                  <c:v>-2.7198989999999981</c:v>
                </c:pt>
                <c:pt idx="126">
                  <c:v>-2.9108610000000001</c:v>
                </c:pt>
                <c:pt idx="127">
                  <c:v>-2.3055750000000002</c:v>
                </c:pt>
                <c:pt idx="128">
                  <c:v>-2.8805100000000001</c:v>
                </c:pt>
                <c:pt idx="129">
                  <c:v>-2.4725320000000002</c:v>
                </c:pt>
                <c:pt idx="130">
                  <c:v>-2.2522489999999968</c:v>
                </c:pt>
                <c:pt idx="131">
                  <c:v>-2.221571</c:v>
                </c:pt>
                <c:pt idx="132">
                  <c:v>-2.1959849999999999</c:v>
                </c:pt>
                <c:pt idx="133">
                  <c:v>-1.9653020000000001</c:v>
                </c:pt>
                <c:pt idx="134">
                  <c:v>-3.1255030000000001</c:v>
                </c:pt>
                <c:pt idx="135">
                  <c:v>-2.5285199999999999</c:v>
                </c:pt>
                <c:pt idx="136">
                  <c:v>-2.914972999999998</c:v>
                </c:pt>
                <c:pt idx="137">
                  <c:v>-2.7145410000000001</c:v>
                </c:pt>
                <c:pt idx="138">
                  <c:v>-2.701746</c:v>
                </c:pt>
                <c:pt idx="139">
                  <c:v>-2.8893270000000002</c:v>
                </c:pt>
                <c:pt idx="140">
                  <c:v>-2.8884219999999998</c:v>
                </c:pt>
                <c:pt idx="141">
                  <c:v>-2.0876830000000002</c:v>
                </c:pt>
                <c:pt idx="142">
                  <c:v>-2.8549720000000001</c:v>
                </c:pt>
                <c:pt idx="143">
                  <c:v>-2.452137</c:v>
                </c:pt>
                <c:pt idx="144">
                  <c:v>-2.833654999999998</c:v>
                </c:pt>
                <c:pt idx="145">
                  <c:v>-2.8297080000000001</c:v>
                </c:pt>
                <c:pt idx="146">
                  <c:v>-2.8237410000000001</c:v>
                </c:pt>
                <c:pt idx="147">
                  <c:v>-2.6178940000000002</c:v>
                </c:pt>
                <c:pt idx="148">
                  <c:v>-2.6075780000000002</c:v>
                </c:pt>
                <c:pt idx="149">
                  <c:v>-2.1937700000000002</c:v>
                </c:pt>
                <c:pt idx="150">
                  <c:v>-2.972926999999999</c:v>
                </c:pt>
                <c:pt idx="151">
                  <c:v>-2.775099</c:v>
                </c:pt>
                <c:pt idx="152">
                  <c:v>-2.3703530000000002</c:v>
                </c:pt>
                <c:pt idx="153">
                  <c:v>-1.757077</c:v>
                </c:pt>
                <c:pt idx="154">
                  <c:v>-2.5161720000000001</c:v>
                </c:pt>
                <c:pt idx="155">
                  <c:v>-2.309978999999998</c:v>
                </c:pt>
                <c:pt idx="156">
                  <c:v>-2.6920989999999971</c:v>
                </c:pt>
                <c:pt idx="157">
                  <c:v>-2.6876690000000001</c:v>
                </c:pt>
                <c:pt idx="158">
                  <c:v>-2.6912039999999982</c:v>
                </c:pt>
                <c:pt idx="159">
                  <c:v>-2.690585</c:v>
                </c:pt>
                <c:pt idx="160">
                  <c:v>-2.6884510000000001</c:v>
                </c:pt>
                <c:pt idx="161">
                  <c:v>-1.683273</c:v>
                </c:pt>
                <c:pt idx="162">
                  <c:v>-2.6423199999999998</c:v>
                </c:pt>
                <c:pt idx="163">
                  <c:v>-2.1354790000000001</c:v>
                </c:pt>
                <c:pt idx="164">
                  <c:v>-2.610954</c:v>
                </c:pt>
                <c:pt idx="165">
                  <c:v>-2.3517649999999981</c:v>
                </c:pt>
                <c:pt idx="166">
                  <c:v>-2.3347999999999991</c:v>
                </c:pt>
                <c:pt idx="167">
                  <c:v>-2.074892999999999</c:v>
                </c:pt>
                <c:pt idx="168">
                  <c:v>-2.8026300000000002</c:v>
                </c:pt>
                <c:pt idx="169">
                  <c:v>-2.804792</c:v>
                </c:pt>
                <c:pt idx="170">
                  <c:v>-2.3069389999999981</c:v>
                </c:pt>
                <c:pt idx="171">
                  <c:v>-1.793048</c:v>
                </c:pt>
                <c:pt idx="172">
                  <c:v>-2.0127890000000002</c:v>
                </c:pt>
                <c:pt idx="173">
                  <c:v>-1.485314</c:v>
                </c:pt>
                <c:pt idx="174">
                  <c:v>-2.1870810000000001</c:v>
                </c:pt>
                <c:pt idx="175">
                  <c:v>-2.677187</c:v>
                </c:pt>
                <c:pt idx="176">
                  <c:v>-1.9301729999999999</c:v>
                </c:pt>
                <c:pt idx="177">
                  <c:v>-2.1539760000000001</c:v>
                </c:pt>
                <c:pt idx="178">
                  <c:v>-2.3902649999999981</c:v>
                </c:pt>
                <c:pt idx="179">
                  <c:v>-2.6326160000000001</c:v>
                </c:pt>
                <c:pt idx="180">
                  <c:v>-2.6356679999999981</c:v>
                </c:pt>
                <c:pt idx="181">
                  <c:v>-2.3882569999999981</c:v>
                </c:pt>
                <c:pt idx="182">
                  <c:v>-2.3805019999999999</c:v>
                </c:pt>
                <c:pt idx="183">
                  <c:v>-1.1262259999999999</c:v>
                </c:pt>
                <c:pt idx="184">
                  <c:v>-2.565515</c:v>
                </c:pt>
                <c:pt idx="185">
                  <c:v>-2.318020999999999</c:v>
                </c:pt>
                <c:pt idx="186">
                  <c:v>-2.5597590000000001</c:v>
                </c:pt>
                <c:pt idx="187">
                  <c:v>-1.811869</c:v>
                </c:pt>
                <c:pt idx="188">
                  <c:v>-2.035228</c:v>
                </c:pt>
                <c:pt idx="189">
                  <c:v>-2.2649780000000002</c:v>
                </c:pt>
                <c:pt idx="190">
                  <c:v>-1.509868</c:v>
                </c:pt>
                <c:pt idx="191">
                  <c:v>-1.968715</c:v>
                </c:pt>
                <c:pt idx="192">
                  <c:v>-2.199675</c:v>
                </c:pt>
                <c:pt idx="193">
                  <c:v>-2.4413800000000001</c:v>
                </c:pt>
                <c:pt idx="194">
                  <c:v>-1.6939390000000001</c:v>
                </c:pt>
                <c:pt idx="195">
                  <c:v>-1.6667590000000001</c:v>
                </c:pt>
                <c:pt idx="196">
                  <c:v>-2.3906249999999991</c:v>
                </c:pt>
                <c:pt idx="197">
                  <c:v>-1.6429750000000001</c:v>
                </c:pt>
                <c:pt idx="198">
                  <c:v>-0.86360079999999995</c:v>
                </c:pt>
                <c:pt idx="199">
                  <c:v>-1.5531520000000001</c:v>
                </c:pt>
                <c:pt idx="200">
                  <c:v>-2.0210149999999998</c:v>
                </c:pt>
                <c:pt idx="201">
                  <c:v>-1.511083</c:v>
                </c:pt>
                <c:pt idx="202">
                  <c:v>-1.4790399999999999</c:v>
                </c:pt>
                <c:pt idx="203">
                  <c:v>-1.9490639999999999</c:v>
                </c:pt>
                <c:pt idx="204">
                  <c:v>-2.1911269999999998</c:v>
                </c:pt>
                <c:pt idx="205">
                  <c:v>-2.1929979999999998</c:v>
                </c:pt>
                <c:pt idx="206">
                  <c:v>-2.1949809999999998</c:v>
                </c:pt>
                <c:pt idx="207">
                  <c:v>-2.1971729999999998</c:v>
                </c:pt>
                <c:pt idx="208">
                  <c:v>-1.9492910000000001</c:v>
                </c:pt>
                <c:pt idx="209">
                  <c:v>-1.9435629999999999</c:v>
                </c:pt>
                <c:pt idx="210">
                  <c:v>-2.185659999999999</c:v>
                </c:pt>
                <c:pt idx="211">
                  <c:v>-1.939737</c:v>
                </c:pt>
                <c:pt idx="212">
                  <c:v>-1.4357279999999999</c:v>
                </c:pt>
                <c:pt idx="213">
                  <c:v>-2.1653199999999999</c:v>
                </c:pt>
                <c:pt idx="214">
                  <c:v>-1.918156</c:v>
                </c:pt>
                <c:pt idx="215">
                  <c:v>-1.1600109999999999</c:v>
                </c:pt>
                <c:pt idx="216">
                  <c:v>-1.8679250000000001</c:v>
                </c:pt>
                <c:pt idx="217">
                  <c:v>-1.8624860000000001</c:v>
                </c:pt>
                <c:pt idx="218">
                  <c:v>-2.1032999999999999</c:v>
                </c:pt>
                <c:pt idx="219">
                  <c:v>-1.355791</c:v>
                </c:pt>
                <c:pt idx="220">
                  <c:v>-1.8275840000000001</c:v>
                </c:pt>
                <c:pt idx="221">
                  <c:v>-1.8172280000000001</c:v>
                </c:pt>
                <c:pt idx="222">
                  <c:v>-1.810826</c:v>
                </c:pt>
                <c:pt idx="223">
                  <c:v>-1.3009949999999999</c:v>
                </c:pt>
                <c:pt idx="224">
                  <c:v>-1.5180279999999999</c:v>
                </c:pt>
                <c:pt idx="225">
                  <c:v>-1.253698</c:v>
                </c:pt>
                <c:pt idx="226">
                  <c:v>-1.71916</c:v>
                </c:pt>
                <c:pt idx="227">
                  <c:v>-1.2087509999999999</c:v>
                </c:pt>
                <c:pt idx="228">
                  <c:v>-1.431775</c:v>
                </c:pt>
                <c:pt idx="229">
                  <c:v>-1.6630780000000001</c:v>
                </c:pt>
                <c:pt idx="230">
                  <c:v>-1.405594999999999</c:v>
                </c:pt>
                <c:pt idx="231">
                  <c:v>-0.63927639999999997</c:v>
                </c:pt>
                <c:pt idx="232">
                  <c:v>-1.8385100000000001</c:v>
                </c:pt>
                <c:pt idx="233">
                  <c:v>-1.839842</c:v>
                </c:pt>
                <c:pt idx="234">
                  <c:v>-0.84107670000000001</c:v>
                </c:pt>
                <c:pt idx="235">
                  <c:v>-1.30063</c:v>
                </c:pt>
                <c:pt idx="236">
                  <c:v>-1.780151</c:v>
                </c:pt>
                <c:pt idx="237">
                  <c:v>-1.5315049999999999</c:v>
                </c:pt>
                <c:pt idx="238">
                  <c:v>-1.524098</c:v>
                </c:pt>
                <c:pt idx="239">
                  <c:v>-1.7662580000000001</c:v>
                </c:pt>
                <c:pt idx="240">
                  <c:v>-1.0183450000000001</c:v>
                </c:pt>
                <c:pt idx="241">
                  <c:v>-1.488496</c:v>
                </c:pt>
                <c:pt idx="242">
                  <c:v>-1.477644</c:v>
                </c:pt>
                <c:pt idx="243">
                  <c:v>-1.4674529999999999</c:v>
                </c:pt>
                <c:pt idx="244">
                  <c:v>-1.457449</c:v>
                </c:pt>
                <c:pt idx="245">
                  <c:v>-1.4470149999999999</c:v>
                </c:pt>
                <c:pt idx="246">
                  <c:v>-1.4390719999999999</c:v>
                </c:pt>
                <c:pt idx="247">
                  <c:v>-1.4285190000000001</c:v>
                </c:pt>
                <c:pt idx="248">
                  <c:v>-1.4178519999999999</c:v>
                </c:pt>
                <c:pt idx="249">
                  <c:v>-1.6573100000000001</c:v>
                </c:pt>
                <c:pt idx="250">
                  <c:v>-1.409592</c:v>
                </c:pt>
                <c:pt idx="251">
                  <c:v>-1.649297</c:v>
                </c:pt>
                <c:pt idx="252">
                  <c:v>-1.1515040000000001</c:v>
                </c:pt>
                <c:pt idx="253">
                  <c:v>-1.383921</c:v>
                </c:pt>
                <c:pt idx="254">
                  <c:v>-1.126026</c:v>
                </c:pt>
                <c:pt idx="255">
                  <c:v>-1.357874</c:v>
                </c:pt>
                <c:pt idx="256">
                  <c:v>-1.596698</c:v>
                </c:pt>
                <c:pt idx="257">
                  <c:v>-0.84793960000000002</c:v>
                </c:pt>
                <c:pt idx="258">
                  <c:v>-1.3180210000000001</c:v>
                </c:pt>
                <c:pt idx="259">
                  <c:v>-1.058983</c:v>
                </c:pt>
                <c:pt idx="260">
                  <c:v>-1.286883</c:v>
                </c:pt>
                <c:pt idx="261">
                  <c:v>-0.52626050000000002</c:v>
                </c:pt>
              </c:numCache>
            </c:numRef>
          </c:val>
          <c:smooth val="0"/>
          <c:extLst>
            <c:ext xmlns:c16="http://schemas.microsoft.com/office/drawing/2014/chart" uri="{C3380CC4-5D6E-409C-BE32-E72D297353CC}">
              <c16:uniqueId val="{00000000-A646-9247-8051-B53911DF7197}"/>
            </c:ext>
          </c:extLst>
        </c:ser>
        <c:ser>
          <c:idx val="1"/>
          <c:order val="1"/>
          <c:spPr>
            <a:ln w="12700" cap="rnd" cmpd="sng" algn="ctr">
              <a:solidFill>
                <a:schemeClr val="bg2"/>
              </a:solidFill>
              <a:round/>
            </a:ln>
            <a:effectLst/>
          </c:spPr>
          <c:marker>
            <c:symbol val="none"/>
          </c:marker>
          <c:val>
            <c:numRef>
              <c:f>Foglio1!$C$39:$C$300</c:f>
              <c:numCache>
                <c:formatCode>General</c:formatCode>
                <c:ptCount val="262"/>
                <c:pt idx="0">
                  <c:v>-7.2529800000000005E-2</c:v>
                </c:pt>
                <c:pt idx="1">
                  <c:v>-0.76657850000000005</c:v>
                </c:pt>
                <c:pt idx="2">
                  <c:v>-1.790197</c:v>
                </c:pt>
                <c:pt idx="3">
                  <c:v>-1.554988</c:v>
                </c:pt>
                <c:pt idx="4">
                  <c:v>-1.5761719999999999</c:v>
                </c:pt>
                <c:pt idx="5">
                  <c:v>-0.78891239999999996</c:v>
                </c:pt>
                <c:pt idx="6">
                  <c:v>-1.5787739999999999</c:v>
                </c:pt>
                <c:pt idx="7">
                  <c:v>-0.91681849999999998</c:v>
                </c:pt>
                <c:pt idx="8">
                  <c:v>-3.6846299999999998</c:v>
                </c:pt>
                <c:pt idx="9">
                  <c:v>-4.550430999999997</c:v>
                </c:pt>
                <c:pt idx="10">
                  <c:v>-2.937811</c:v>
                </c:pt>
                <c:pt idx="11">
                  <c:v>-3.4093450000000001</c:v>
                </c:pt>
                <c:pt idx="12">
                  <c:v>-2.4619710000000001</c:v>
                </c:pt>
                <c:pt idx="13">
                  <c:v>-2.5032040000000002</c:v>
                </c:pt>
                <c:pt idx="14">
                  <c:v>-3.526694</c:v>
                </c:pt>
                <c:pt idx="15">
                  <c:v>-1.1627989999999999</c:v>
                </c:pt>
                <c:pt idx="16">
                  <c:v>-2.7644440000000001</c:v>
                </c:pt>
                <c:pt idx="17">
                  <c:v>-3.394244</c:v>
                </c:pt>
                <c:pt idx="18">
                  <c:v>-2.837723</c:v>
                </c:pt>
                <c:pt idx="19">
                  <c:v>-4.2875030000000001</c:v>
                </c:pt>
                <c:pt idx="20">
                  <c:v>-3.672374</c:v>
                </c:pt>
                <c:pt idx="21">
                  <c:v>-4.2665290000000002</c:v>
                </c:pt>
                <c:pt idx="22">
                  <c:v>-5.6589829999999957</c:v>
                </c:pt>
                <c:pt idx="23">
                  <c:v>-3.6715300000000002</c:v>
                </c:pt>
                <c:pt idx="24">
                  <c:v>-5.0691439999999997</c:v>
                </c:pt>
                <c:pt idx="25">
                  <c:v>-4.4902069999999998</c:v>
                </c:pt>
                <c:pt idx="26">
                  <c:v>-4.6924609999999971</c:v>
                </c:pt>
                <c:pt idx="27">
                  <c:v>-5.2795399999999999</c:v>
                </c:pt>
                <c:pt idx="28">
                  <c:v>-5.8860440000000001</c:v>
                </c:pt>
                <c:pt idx="29">
                  <c:v>-5.4600839999999966</c:v>
                </c:pt>
                <c:pt idx="30">
                  <c:v>-5.6742610000000004</c:v>
                </c:pt>
                <c:pt idx="31">
                  <c:v>-5.6724739999999967</c:v>
                </c:pt>
                <c:pt idx="32">
                  <c:v>-5.8459799999999973</c:v>
                </c:pt>
                <c:pt idx="33">
                  <c:v>-4.8280069999999968</c:v>
                </c:pt>
                <c:pt idx="34">
                  <c:v>-5.0144769999999967</c:v>
                </c:pt>
                <c:pt idx="35">
                  <c:v>-5.6224069999999946</c:v>
                </c:pt>
                <c:pt idx="36">
                  <c:v>-5.8073920000000001</c:v>
                </c:pt>
                <c:pt idx="37">
                  <c:v>-5.0078869999999966</c:v>
                </c:pt>
                <c:pt idx="38">
                  <c:v>-5.3958179999999958</c:v>
                </c:pt>
                <c:pt idx="39">
                  <c:v>-4.9846820000000003</c:v>
                </c:pt>
                <c:pt idx="40">
                  <c:v>-4.971654</c:v>
                </c:pt>
                <c:pt idx="41">
                  <c:v>-5.1564990000000002</c:v>
                </c:pt>
                <c:pt idx="42">
                  <c:v>-5.3541199999999947</c:v>
                </c:pt>
                <c:pt idx="43">
                  <c:v>-5.1546499999999966</c:v>
                </c:pt>
                <c:pt idx="44">
                  <c:v>-6.1191819999999968</c:v>
                </c:pt>
                <c:pt idx="45">
                  <c:v>-5.1272149999999943</c:v>
                </c:pt>
                <c:pt idx="46">
                  <c:v>-5.3134169999999967</c:v>
                </c:pt>
                <c:pt idx="47">
                  <c:v>-5.4770789999999998</c:v>
                </c:pt>
                <c:pt idx="48">
                  <c:v>-4.6762940000000004</c:v>
                </c:pt>
                <c:pt idx="49">
                  <c:v>-5.4612249999999998</c:v>
                </c:pt>
                <c:pt idx="50">
                  <c:v>-5.8385339999999966</c:v>
                </c:pt>
                <c:pt idx="51">
                  <c:v>-6.0289169999999954</c:v>
                </c:pt>
                <c:pt idx="52">
                  <c:v>-4.8321799999999966</c:v>
                </c:pt>
                <c:pt idx="53">
                  <c:v>-5.9727180000000004</c:v>
                </c:pt>
                <c:pt idx="54">
                  <c:v>-4.9746050000000004</c:v>
                </c:pt>
                <c:pt idx="55">
                  <c:v>-5.1531559999999956</c:v>
                </c:pt>
                <c:pt idx="56">
                  <c:v>-5.1519019999999971</c:v>
                </c:pt>
                <c:pt idx="57">
                  <c:v>-5.9416289999999998</c:v>
                </c:pt>
                <c:pt idx="58">
                  <c:v>-6.3376279999999996</c:v>
                </c:pt>
                <c:pt idx="59">
                  <c:v>-5.7427460000000004</c:v>
                </c:pt>
                <c:pt idx="60">
                  <c:v>-5.5407260000000003</c:v>
                </c:pt>
                <c:pt idx="61">
                  <c:v>-5.3099299999999996</c:v>
                </c:pt>
                <c:pt idx="62">
                  <c:v>-5.3031980000000001</c:v>
                </c:pt>
                <c:pt idx="63">
                  <c:v>-5.6923409999999972</c:v>
                </c:pt>
                <c:pt idx="64">
                  <c:v>-4.8812179999999996</c:v>
                </c:pt>
                <c:pt idx="65">
                  <c:v>-5.8489849999999937</c:v>
                </c:pt>
                <c:pt idx="66">
                  <c:v>-5.0505589999999971</c:v>
                </c:pt>
                <c:pt idx="67">
                  <c:v>-5.4392529999999999</c:v>
                </c:pt>
                <c:pt idx="68">
                  <c:v>-5.8207420000000001</c:v>
                </c:pt>
                <c:pt idx="69">
                  <c:v>-5.4099240000000002</c:v>
                </c:pt>
                <c:pt idx="70">
                  <c:v>-5.3864849999999969</c:v>
                </c:pt>
                <c:pt idx="71">
                  <c:v>-5.5680189999999969</c:v>
                </c:pt>
                <c:pt idx="72">
                  <c:v>-5.9462770000000003</c:v>
                </c:pt>
                <c:pt idx="73">
                  <c:v>-5.1384569999999972</c:v>
                </c:pt>
                <c:pt idx="74">
                  <c:v>-4.7258849999999937</c:v>
                </c:pt>
                <c:pt idx="75">
                  <c:v>-4.8813259999999996</c:v>
                </c:pt>
                <c:pt idx="76">
                  <c:v>-5.0568720000000003</c:v>
                </c:pt>
                <c:pt idx="77">
                  <c:v>-5.2223709999999972</c:v>
                </c:pt>
                <c:pt idx="78">
                  <c:v>-5.3975629999999972</c:v>
                </c:pt>
                <c:pt idx="79">
                  <c:v>-5.1753330000000002</c:v>
                </c:pt>
                <c:pt idx="80">
                  <c:v>-6.1408680000000002</c:v>
                </c:pt>
                <c:pt idx="81">
                  <c:v>-5.3326219999999998</c:v>
                </c:pt>
                <c:pt idx="82">
                  <c:v>-6.1102689999999997</c:v>
                </c:pt>
                <c:pt idx="83">
                  <c:v>-5.9034519999999997</c:v>
                </c:pt>
                <c:pt idx="84">
                  <c:v>-5.4926120000000003</c:v>
                </c:pt>
                <c:pt idx="85">
                  <c:v>-4.8875630000000001</c:v>
                </c:pt>
                <c:pt idx="86">
                  <c:v>-5.450393</c:v>
                </c:pt>
                <c:pt idx="87">
                  <c:v>-5.8326929999999999</c:v>
                </c:pt>
                <c:pt idx="88">
                  <c:v>-5.621041</c:v>
                </c:pt>
                <c:pt idx="89">
                  <c:v>-5.601871</c:v>
                </c:pt>
                <c:pt idx="90">
                  <c:v>-5.7881710000000002</c:v>
                </c:pt>
                <c:pt idx="91">
                  <c:v>-5.1711720000000003</c:v>
                </c:pt>
                <c:pt idx="92">
                  <c:v>-5.3524769999999968</c:v>
                </c:pt>
                <c:pt idx="93">
                  <c:v>-5.9348910000000004</c:v>
                </c:pt>
                <c:pt idx="94">
                  <c:v>-5.7295189999999971</c:v>
                </c:pt>
                <c:pt idx="95">
                  <c:v>-5.7149589999999968</c:v>
                </c:pt>
                <c:pt idx="96">
                  <c:v>-5.9021939999999997</c:v>
                </c:pt>
                <c:pt idx="97">
                  <c:v>-5.7033849999999973</c:v>
                </c:pt>
                <c:pt idx="98">
                  <c:v>-5.499206</c:v>
                </c:pt>
                <c:pt idx="99">
                  <c:v>-5.288036</c:v>
                </c:pt>
                <c:pt idx="100">
                  <c:v>-5.065864999999997</c:v>
                </c:pt>
                <c:pt idx="101">
                  <c:v>-5.2469169999999972</c:v>
                </c:pt>
                <c:pt idx="102">
                  <c:v>-5.6242259999999957</c:v>
                </c:pt>
                <c:pt idx="103">
                  <c:v>-5.020899</c:v>
                </c:pt>
                <c:pt idx="104">
                  <c:v>-5.3947999999999974</c:v>
                </c:pt>
                <c:pt idx="105">
                  <c:v>-5.18154</c:v>
                </c:pt>
                <c:pt idx="106">
                  <c:v>-4.7653730000000003</c:v>
                </c:pt>
                <c:pt idx="107">
                  <c:v>-5.5410089999999999</c:v>
                </c:pt>
                <c:pt idx="108">
                  <c:v>-4.729349</c:v>
                </c:pt>
                <c:pt idx="109">
                  <c:v>-4.8851930000000001</c:v>
                </c:pt>
                <c:pt idx="110">
                  <c:v>-4.8596440000000003</c:v>
                </c:pt>
                <c:pt idx="111">
                  <c:v>-5.8312720000000002</c:v>
                </c:pt>
                <c:pt idx="112">
                  <c:v>-5.4342199999999998</c:v>
                </c:pt>
                <c:pt idx="113">
                  <c:v>-5.2226119999999971</c:v>
                </c:pt>
                <c:pt idx="114">
                  <c:v>-5.404407</c:v>
                </c:pt>
                <c:pt idx="115">
                  <c:v>-4.3870490000000002</c:v>
                </c:pt>
                <c:pt idx="116">
                  <c:v>-5.3390380000000004</c:v>
                </c:pt>
                <c:pt idx="117">
                  <c:v>-5.1191269999999971</c:v>
                </c:pt>
                <c:pt idx="118">
                  <c:v>-4.697752999999997</c:v>
                </c:pt>
                <c:pt idx="119">
                  <c:v>-4.2650829999999971</c:v>
                </c:pt>
                <c:pt idx="120">
                  <c:v>-5.0154730000000001</c:v>
                </c:pt>
                <c:pt idx="121">
                  <c:v>-5.5945329999999966</c:v>
                </c:pt>
                <c:pt idx="122">
                  <c:v>-5.5898729999999999</c:v>
                </c:pt>
                <c:pt idx="123">
                  <c:v>-5.3872629999999999</c:v>
                </c:pt>
                <c:pt idx="124">
                  <c:v>-4.3799190000000001</c:v>
                </c:pt>
                <c:pt idx="125">
                  <c:v>-5.1393969999999998</c:v>
                </c:pt>
                <c:pt idx="126">
                  <c:v>-5.3300409999999996</c:v>
                </c:pt>
                <c:pt idx="127">
                  <c:v>-4.7245749999999944</c:v>
                </c:pt>
                <c:pt idx="128">
                  <c:v>-5.2988330000000001</c:v>
                </c:pt>
                <c:pt idx="129">
                  <c:v>-4.8906619999999998</c:v>
                </c:pt>
                <c:pt idx="130">
                  <c:v>-4.669857999999997</c:v>
                </c:pt>
                <c:pt idx="131">
                  <c:v>-4.6384139999999974</c:v>
                </c:pt>
                <c:pt idx="132">
                  <c:v>-4.6121279999999958</c:v>
                </c:pt>
                <c:pt idx="133">
                  <c:v>-4.3807169999999971</c:v>
                </c:pt>
                <c:pt idx="134">
                  <c:v>-5.5399430000000001</c:v>
                </c:pt>
                <c:pt idx="135">
                  <c:v>-4.9430189999999996</c:v>
                </c:pt>
                <c:pt idx="136">
                  <c:v>-5.329100999999997</c:v>
                </c:pt>
                <c:pt idx="137">
                  <c:v>-5.1286309999999968</c:v>
                </c:pt>
                <c:pt idx="138">
                  <c:v>-5.1155389999999956</c:v>
                </c:pt>
                <c:pt idx="139">
                  <c:v>-5.3028039999999974</c:v>
                </c:pt>
                <c:pt idx="140">
                  <c:v>-5.3018390000000002</c:v>
                </c:pt>
                <c:pt idx="141">
                  <c:v>-4.501055</c:v>
                </c:pt>
                <c:pt idx="142">
                  <c:v>-5.2675199999999966</c:v>
                </c:pt>
                <c:pt idx="143">
                  <c:v>-4.8645959999999944</c:v>
                </c:pt>
                <c:pt idx="144">
                  <c:v>-5.2456990000000001</c:v>
                </c:pt>
                <c:pt idx="145">
                  <c:v>-5.241644</c:v>
                </c:pt>
                <c:pt idx="146">
                  <c:v>-5.2355309999999973</c:v>
                </c:pt>
                <c:pt idx="147">
                  <c:v>-5.0295799999999966</c:v>
                </c:pt>
                <c:pt idx="148">
                  <c:v>-5.0190060000000001</c:v>
                </c:pt>
                <c:pt idx="149">
                  <c:v>-4.604873999999997</c:v>
                </c:pt>
                <c:pt idx="150">
                  <c:v>-5.3834429999999998</c:v>
                </c:pt>
                <c:pt idx="151">
                  <c:v>-5.1856619999999998</c:v>
                </c:pt>
                <c:pt idx="152">
                  <c:v>-4.7808020000000004</c:v>
                </c:pt>
                <c:pt idx="153">
                  <c:v>-4.167180999999994</c:v>
                </c:pt>
                <c:pt idx="154">
                  <c:v>-4.9253289999999996</c:v>
                </c:pt>
                <c:pt idx="155">
                  <c:v>-4.718966</c:v>
                </c:pt>
                <c:pt idx="156">
                  <c:v>-5.100644</c:v>
                </c:pt>
                <c:pt idx="157">
                  <c:v>-5.0961039999999986</c:v>
                </c:pt>
                <c:pt idx="158">
                  <c:v>-5.1475959999999956</c:v>
                </c:pt>
                <c:pt idx="159">
                  <c:v>-5.146941</c:v>
                </c:pt>
                <c:pt idx="160">
                  <c:v>-5.144739999999997</c:v>
                </c:pt>
                <c:pt idx="161">
                  <c:v>-4.1394330000000004</c:v>
                </c:pt>
                <c:pt idx="162">
                  <c:v>-5.0975289999999971</c:v>
                </c:pt>
                <c:pt idx="163">
                  <c:v>-4.5905369999999968</c:v>
                </c:pt>
                <c:pt idx="164">
                  <c:v>-5.065458999999997</c:v>
                </c:pt>
                <c:pt idx="165">
                  <c:v>-4.8060710000000002</c:v>
                </c:pt>
                <c:pt idx="166">
                  <c:v>-4.7887310000000003</c:v>
                </c:pt>
                <c:pt idx="167">
                  <c:v>-4.5285829999999967</c:v>
                </c:pt>
                <c:pt idx="168">
                  <c:v>-5.2558210000000001</c:v>
                </c:pt>
                <c:pt idx="169">
                  <c:v>-5.2580280000000004</c:v>
                </c:pt>
                <c:pt idx="170">
                  <c:v>-4.7602190000000002</c:v>
                </c:pt>
                <c:pt idx="171">
                  <c:v>-4.2460139999999997</c:v>
                </c:pt>
                <c:pt idx="172">
                  <c:v>-4.4650889999999972</c:v>
                </c:pt>
                <c:pt idx="173">
                  <c:v>-3.937025999999999</c:v>
                </c:pt>
                <c:pt idx="174">
                  <c:v>-4.6377939999999986</c:v>
                </c:pt>
                <c:pt idx="175">
                  <c:v>-5.1276769999999967</c:v>
                </c:pt>
                <c:pt idx="176">
                  <c:v>-4.3807219999999996</c:v>
                </c:pt>
                <c:pt idx="177">
                  <c:v>-4.6039819999999958</c:v>
                </c:pt>
                <c:pt idx="178">
                  <c:v>-4.8399839999999976</c:v>
                </c:pt>
                <c:pt idx="179">
                  <c:v>-5.0821779999999972</c:v>
                </c:pt>
                <c:pt idx="180">
                  <c:v>-5.0852919999999999</c:v>
                </c:pt>
                <c:pt idx="181">
                  <c:v>-4.8379329999999969</c:v>
                </c:pt>
                <c:pt idx="182">
                  <c:v>-4.8300210000000003</c:v>
                </c:pt>
                <c:pt idx="183">
                  <c:v>-3.575653</c:v>
                </c:pt>
                <c:pt idx="184">
                  <c:v>-5.0137429999999998</c:v>
                </c:pt>
                <c:pt idx="185">
                  <c:v>-4.7663000000000002</c:v>
                </c:pt>
                <c:pt idx="186">
                  <c:v>-5.007876999999997</c:v>
                </c:pt>
                <c:pt idx="187">
                  <c:v>-4.2600300000000004</c:v>
                </c:pt>
                <c:pt idx="188">
                  <c:v>-4.482856</c:v>
                </c:pt>
                <c:pt idx="189">
                  <c:v>-4.7122039999999998</c:v>
                </c:pt>
                <c:pt idx="190">
                  <c:v>-3.9569849999999991</c:v>
                </c:pt>
                <c:pt idx="191">
                  <c:v>-4.4150049999999972</c:v>
                </c:pt>
                <c:pt idx="192">
                  <c:v>-4.6456139999999966</c:v>
                </c:pt>
                <c:pt idx="193">
                  <c:v>-4.8871699999999976</c:v>
                </c:pt>
                <c:pt idx="194">
                  <c:v>-4.1397789999999999</c:v>
                </c:pt>
                <c:pt idx="195">
                  <c:v>-4.1120929999999971</c:v>
                </c:pt>
                <c:pt idx="196">
                  <c:v>-4.8354439999999999</c:v>
                </c:pt>
                <c:pt idx="197">
                  <c:v>-4.0878389999999971</c:v>
                </c:pt>
                <c:pt idx="198">
                  <c:v>-3.307906</c:v>
                </c:pt>
                <c:pt idx="199">
                  <c:v>-3.9963790000000001</c:v>
                </c:pt>
                <c:pt idx="200">
                  <c:v>-4.4636950000000004</c:v>
                </c:pt>
                <c:pt idx="201">
                  <c:v>-3.9535960000000001</c:v>
                </c:pt>
                <c:pt idx="202">
                  <c:v>-3.9210090000000002</c:v>
                </c:pt>
                <c:pt idx="203">
                  <c:v>-4.3905279999999971</c:v>
                </c:pt>
                <c:pt idx="204">
                  <c:v>-4.6324309999999969</c:v>
                </c:pt>
                <c:pt idx="205">
                  <c:v>-4.6343349999999957</c:v>
                </c:pt>
                <c:pt idx="206">
                  <c:v>-4.6363529999999997</c:v>
                </c:pt>
                <c:pt idx="207">
                  <c:v>-4.6385859999999957</c:v>
                </c:pt>
                <c:pt idx="208">
                  <c:v>-4.3907420000000004</c:v>
                </c:pt>
                <c:pt idx="209">
                  <c:v>-4.3849089999999968</c:v>
                </c:pt>
                <c:pt idx="210">
                  <c:v>-4.6268839999999969</c:v>
                </c:pt>
                <c:pt idx="211">
                  <c:v>-4.3810390000000003</c:v>
                </c:pt>
                <c:pt idx="212">
                  <c:v>-3.8769649999999971</c:v>
                </c:pt>
                <c:pt idx="213">
                  <c:v>-4.606204</c:v>
                </c:pt>
                <c:pt idx="214">
                  <c:v>-4.3590949999999973</c:v>
                </c:pt>
                <c:pt idx="215">
                  <c:v>-3.6008270000000002</c:v>
                </c:pt>
                <c:pt idx="216">
                  <c:v>-4.3080699999999998</c:v>
                </c:pt>
                <c:pt idx="217">
                  <c:v>-4.3025439999999966</c:v>
                </c:pt>
                <c:pt idx="218">
                  <c:v>-4.5432170000000003</c:v>
                </c:pt>
                <c:pt idx="219">
                  <c:v>-3.795757</c:v>
                </c:pt>
                <c:pt idx="220">
                  <c:v>-4.2670680000000001</c:v>
                </c:pt>
                <c:pt idx="221">
                  <c:v>-4.2565569999999973</c:v>
                </c:pt>
                <c:pt idx="222">
                  <c:v>-4.2500520000000002</c:v>
                </c:pt>
                <c:pt idx="223">
                  <c:v>-3.740075</c:v>
                </c:pt>
                <c:pt idx="224">
                  <c:v>-3.956604</c:v>
                </c:pt>
                <c:pt idx="225">
                  <c:v>-3.6920479999999971</c:v>
                </c:pt>
                <c:pt idx="226">
                  <c:v>-4.1569849999999944</c:v>
                </c:pt>
                <c:pt idx="227">
                  <c:v>-3.6464259999999991</c:v>
                </c:pt>
                <c:pt idx="228">
                  <c:v>-3.8690419999999981</c:v>
                </c:pt>
                <c:pt idx="229">
                  <c:v>-4.100037999999997</c:v>
                </c:pt>
                <c:pt idx="230">
                  <c:v>-3.8424429999999972</c:v>
                </c:pt>
                <c:pt idx="231">
                  <c:v>-3.075879</c:v>
                </c:pt>
                <c:pt idx="232">
                  <c:v>-4.2743739999999999</c:v>
                </c:pt>
                <c:pt idx="233">
                  <c:v>-4.2757290000000001</c:v>
                </c:pt>
                <c:pt idx="234">
                  <c:v>-3.276986</c:v>
                </c:pt>
                <c:pt idx="235">
                  <c:v>-3.7359749999999998</c:v>
                </c:pt>
                <c:pt idx="236">
                  <c:v>-4.2152159999999972</c:v>
                </c:pt>
                <c:pt idx="237">
                  <c:v>-3.966593</c:v>
                </c:pt>
                <c:pt idx="238">
                  <c:v>-3.9590890000000001</c:v>
                </c:pt>
                <c:pt idx="239">
                  <c:v>-4.2011440000000002</c:v>
                </c:pt>
                <c:pt idx="240">
                  <c:v>-3.453268</c:v>
                </c:pt>
                <c:pt idx="241">
                  <c:v>-3.9230170000000002</c:v>
                </c:pt>
                <c:pt idx="242">
                  <c:v>-3.912024999999999</c:v>
                </c:pt>
                <c:pt idx="243">
                  <c:v>-3.9017080000000002</c:v>
                </c:pt>
                <c:pt idx="244">
                  <c:v>-3.8915820000000001</c:v>
                </c:pt>
                <c:pt idx="245">
                  <c:v>-3.881019999999999</c:v>
                </c:pt>
                <c:pt idx="246">
                  <c:v>-3.8729770000000001</c:v>
                </c:pt>
                <c:pt idx="247">
                  <c:v>-3.8622960000000002</c:v>
                </c:pt>
                <c:pt idx="248">
                  <c:v>-3.8515000000000001</c:v>
                </c:pt>
                <c:pt idx="249">
                  <c:v>-4.090830999999997</c:v>
                </c:pt>
                <c:pt idx="250">
                  <c:v>-3.843153</c:v>
                </c:pt>
                <c:pt idx="251">
                  <c:v>-4.0827390000000001</c:v>
                </c:pt>
                <c:pt idx="252">
                  <c:v>-3.5849850000000001</c:v>
                </c:pt>
                <c:pt idx="253">
                  <c:v>-3.81718</c:v>
                </c:pt>
                <c:pt idx="254">
                  <c:v>-3.5591910000000002</c:v>
                </c:pt>
                <c:pt idx="255">
                  <c:v>-3.7908149999999998</c:v>
                </c:pt>
                <c:pt idx="256">
                  <c:v>-4.029509</c:v>
                </c:pt>
                <c:pt idx="257">
                  <c:v>-3.2807729999999999</c:v>
                </c:pt>
                <c:pt idx="258">
                  <c:v>-3.75048</c:v>
                </c:pt>
                <c:pt idx="259">
                  <c:v>-3.491336</c:v>
                </c:pt>
                <c:pt idx="260">
                  <c:v>-3.7189719999999999</c:v>
                </c:pt>
                <c:pt idx="261">
                  <c:v>-2.958232999999999</c:v>
                </c:pt>
              </c:numCache>
            </c:numRef>
          </c:val>
          <c:smooth val="0"/>
          <c:extLst>
            <c:ext xmlns:c16="http://schemas.microsoft.com/office/drawing/2014/chart" uri="{C3380CC4-5D6E-409C-BE32-E72D297353CC}">
              <c16:uniqueId val="{00000001-A646-9247-8051-B53911DF7197}"/>
            </c:ext>
          </c:extLst>
        </c:ser>
        <c:ser>
          <c:idx val="2"/>
          <c:order val="2"/>
          <c:spPr>
            <a:ln w="12700" cap="rnd" cmpd="sng" algn="ctr">
              <a:solidFill>
                <a:schemeClr val="bg2"/>
              </a:solidFill>
              <a:round/>
            </a:ln>
            <a:effectLst/>
          </c:spPr>
          <c:marker>
            <c:symbol val="none"/>
          </c:marker>
          <c:val>
            <c:numRef>
              <c:f>Foglio1!$D$39:$D$300</c:f>
              <c:numCache>
                <c:formatCode>General</c:formatCode>
                <c:ptCount val="262"/>
                <c:pt idx="0">
                  <c:v>5.0215610000000002</c:v>
                </c:pt>
                <c:pt idx="1">
                  <c:v>4.3342429999999998</c:v>
                </c:pt>
                <c:pt idx="2">
                  <c:v>3.307646999999998</c:v>
                </c:pt>
                <c:pt idx="3">
                  <c:v>3.540168</c:v>
                </c:pt>
                <c:pt idx="4">
                  <c:v>3.5199910000000001</c:v>
                </c:pt>
                <c:pt idx="5">
                  <c:v>4.2931349999999968</c:v>
                </c:pt>
                <c:pt idx="6">
                  <c:v>3.5007259999999998</c:v>
                </c:pt>
                <c:pt idx="7">
                  <c:v>4.1595379999999968</c:v>
                </c:pt>
                <c:pt idx="8">
                  <c:v>1.390004</c:v>
                </c:pt>
                <c:pt idx="9">
                  <c:v>0.52149880000000004</c:v>
                </c:pt>
                <c:pt idx="10">
                  <c:v>2.126755999999999</c:v>
                </c:pt>
                <c:pt idx="11">
                  <c:v>1.6517310000000001</c:v>
                </c:pt>
                <c:pt idx="12">
                  <c:v>2.595800999999998</c:v>
                </c:pt>
                <c:pt idx="13">
                  <c:v>2.5475599999999998</c:v>
                </c:pt>
                <c:pt idx="14">
                  <c:v>1.515579</c:v>
                </c:pt>
                <c:pt idx="15">
                  <c:v>3.8757329999999981</c:v>
                </c:pt>
                <c:pt idx="16">
                  <c:v>2.2638449999999999</c:v>
                </c:pt>
                <c:pt idx="17">
                  <c:v>1.62981</c:v>
                </c:pt>
                <c:pt idx="18">
                  <c:v>2.1844269999999999</c:v>
                </c:pt>
                <c:pt idx="19">
                  <c:v>0.73180319999999999</c:v>
                </c:pt>
                <c:pt idx="20">
                  <c:v>1.3413060000000001</c:v>
                </c:pt>
                <c:pt idx="21">
                  <c:v>0.74273940000000005</c:v>
                </c:pt>
                <c:pt idx="22">
                  <c:v>-0.65356910000000001</c:v>
                </c:pt>
                <c:pt idx="23">
                  <c:v>1.3328739999999999</c:v>
                </c:pt>
                <c:pt idx="24">
                  <c:v>-6.8665599999999993E-2</c:v>
                </c:pt>
                <c:pt idx="25">
                  <c:v>0.5093704</c:v>
                </c:pt>
                <c:pt idx="26">
                  <c:v>0.30426819999999999</c:v>
                </c:pt>
                <c:pt idx="27">
                  <c:v>-0.28619840000000002</c:v>
                </c:pt>
                <c:pt idx="28">
                  <c:v>-0.8945784</c:v>
                </c:pt>
                <c:pt idx="29">
                  <c:v>-0.47231420000000002</c:v>
                </c:pt>
                <c:pt idx="30">
                  <c:v>-0.68721889999999997</c:v>
                </c:pt>
                <c:pt idx="31">
                  <c:v>-0.68698809999999999</c:v>
                </c:pt>
                <c:pt idx="32">
                  <c:v>-0.86348950000000002</c:v>
                </c:pt>
                <c:pt idx="33">
                  <c:v>0.15156900000000001</c:v>
                </c:pt>
                <c:pt idx="34">
                  <c:v>-3.7936900000000003E-2</c:v>
                </c:pt>
                <c:pt idx="35">
                  <c:v>-0.64741959999999998</c:v>
                </c:pt>
                <c:pt idx="36">
                  <c:v>-0.83571300000000004</c:v>
                </c:pt>
                <c:pt idx="37">
                  <c:v>-3.7294399999999998E-2</c:v>
                </c:pt>
                <c:pt idx="38">
                  <c:v>-0.42811159999999998</c:v>
                </c:pt>
                <c:pt idx="39">
                  <c:v>-1.9005600000000001E-2</c:v>
                </c:pt>
                <c:pt idx="40">
                  <c:v>-8.7122999999999992E-3</c:v>
                </c:pt>
                <c:pt idx="41">
                  <c:v>-0.1959728</c:v>
                </c:pt>
                <c:pt idx="42">
                  <c:v>-0.39569339999999997</c:v>
                </c:pt>
                <c:pt idx="43">
                  <c:v>-0.19727020000000001</c:v>
                </c:pt>
                <c:pt idx="44">
                  <c:v>-1.1652469999999999</c:v>
                </c:pt>
                <c:pt idx="45">
                  <c:v>-0.1734076</c:v>
                </c:pt>
                <c:pt idx="46">
                  <c:v>-0.36163309999999999</c:v>
                </c:pt>
                <c:pt idx="47">
                  <c:v>-0.52914689999999998</c:v>
                </c:pt>
                <c:pt idx="48">
                  <c:v>0.270644</c:v>
                </c:pt>
                <c:pt idx="49">
                  <c:v>-0.51688199999999995</c:v>
                </c:pt>
                <c:pt idx="50">
                  <c:v>-0.89692850000000002</c:v>
                </c:pt>
                <c:pt idx="51">
                  <c:v>-1.0886439999999999</c:v>
                </c:pt>
                <c:pt idx="52">
                  <c:v>0.1073852</c:v>
                </c:pt>
                <c:pt idx="53">
                  <c:v>-1.0383039999999999</c:v>
                </c:pt>
                <c:pt idx="54">
                  <c:v>-4.0968600000000001E-2</c:v>
                </c:pt>
                <c:pt idx="55">
                  <c:v>-0.22244659999999999</c:v>
                </c:pt>
                <c:pt idx="56">
                  <c:v>-0.22267129999999999</c:v>
                </c:pt>
                <c:pt idx="57">
                  <c:v>-1.0137020000000001</c:v>
                </c:pt>
                <c:pt idx="58">
                  <c:v>-1.4110370000000001</c:v>
                </c:pt>
                <c:pt idx="59">
                  <c:v>-0.81598210000000004</c:v>
                </c:pt>
                <c:pt idx="60">
                  <c:v>-0.61457499999999998</c:v>
                </c:pt>
                <c:pt idx="61">
                  <c:v>-0.38619910000000002</c:v>
                </c:pt>
                <c:pt idx="62">
                  <c:v>-0.38074599999999997</c:v>
                </c:pt>
                <c:pt idx="63">
                  <c:v>-0.77156930000000001</c:v>
                </c:pt>
                <c:pt idx="64">
                  <c:v>3.8003599999999998E-2</c:v>
                </c:pt>
                <c:pt idx="65">
                  <c:v>-0.9324749</c:v>
                </c:pt>
                <c:pt idx="66">
                  <c:v>-0.13450699999999999</c:v>
                </c:pt>
                <c:pt idx="67">
                  <c:v>-0.52490479999999995</c:v>
                </c:pt>
                <c:pt idx="68">
                  <c:v>-0.90796140000000003</c:v>
                </c:pt>
                <c:pt idx="69">
                  <c:v>-0.4981312</c:v>
                </c:pt>
                <c:pt idx="70">
                  <c:v>-0.47626649999999998</c:v>
                </c:pt>
                <c:pt idx="71">
                  <c:v>-0.65945129999999996</c:v>
                </c:pt>
                <c:pt idx="72">
                  <c:v>-1.0394140000000001</c:v>
                </c:pt>
                <c:pt idx="73">
                  <c:v>-0.23233519999999999</c:v>
                </c:pt>
                <c:pt idx="74">
                  <c:v>0.17878340000000001</c:v>
                </c:pt>
                <c:pt idx="75">
                  <c:v>1.9919900000000001E-2</c:v>
                </c:pt>
                <c:pt idx="76">
                  <c:v>-0.15769720000000001</c:v>
                </c:pt>
                <c:pt idx="77">
                  <c:v>-0.32537280000000002</c:v>
                </c:pt>
                <c:pt idx="78">
                  <c:v>-0.50259569999999998</c:v>
                </c:pt>
                <c:pt idx="79">
                  <c:v>-0.28200180000000002</c:v>
                </c:pt>
                <c:pt idx="80">
                  <c:v>-1.2497860000000001</c:v>
                </c:pt>
                <c:pt idx="81">
                  <c:v>-0.44231039999999999</c:v>
                </c:pt>
                <c:pt idx="82">
                  <c:v>-1.221689</c:v>
                </c:pt>
                <c:pt idx="83">
                  <c:v>-1.015312</c:v>
                </c:pt>
                <c:pt idx="84">
                  <c:v>-0.60519650000000003</c:v>
                </c:pt>
                <c:pt idx="85">
                  <c:v>-9.5890000000000005E-4</c:v>
                </c:pt>
                <c:pt idx="86">
                  <c:v>-0.5661117</c:v>
                </c:pt>
                <c:pt idx="87">
                  <c:v>-0.94962539999999995</c:v>
                </c:pt>
                <c:pt idx="88">
                  <c:v>-0.73881140000000001</c:v>
                </c:pt>
                <c:pt idx="89">
                  <c:v>-0.72077420000000003</c:v>
                </c:pt>
                <c:pt idx="90">
                  <c:v>-0.90795490000000001</c:v>
                </c:pt>
                <c:pt idx="91">
                  <c:v>-0.2918946</c:v>
                </c:pt>
                <c:pt idx="92">
                  <c:v>-0.4746205</c:v>
                </c:pt>
                <c:pt idx="93">
                  <c:v>-1.0581419999999999</c:v>
                </c:pt>
                <c:pt idx="94">
                  <c:v>-0.85316250000000005</c:v>
                </c:pt>
                <c:pt idx="95">
                  <c:v>-0.83946690000000002</c:v>
                </c:pt>
                <c:pt idx="96">
                  <c:v>-1.0276369999999999</c:v>
                </c:pt>
                <c:pt idx="97">
                  <c:v>-0.82894869999999998</c:v>
                </c:pt>
                <c:pt idx="98">
                  <c:v>-0.62527060000000001</c:v>
                </c:pt>
                <c:pt idx="99">
                  <c:v>-0.4149349</c:v>
                </c:pt>
                <c:pt idx="100">
                  <c:v>-0.19416849999999999</c:v>
                </c:pt>
                <c:pt idx="101">
                  <c:v>-0.37681399999999998</c:v>
                </c:pt>
                <c:pt idx="102">
                  <c:v>-0.75610120000000003</c:v>
                </c:pt>
                <c:pt idx="103">
                  <c:v>-0.1531854</c:v>
                </c:pt>
                <c:pt idx="104">
                  <c:v>-0.52877779999999996</c:v>
                </c:pt>
                <c:pt idx="105">
                  <c:v>-0.31638230000000001</c:v>
                </c:pt>
                <c:pt idx="106">
                  <c:v>9.8603499999999997E-2</c:v>
                </c:pt>
                <c:pt idx="107">
                  <c:v>-0.67894480000000001</c:v>
                </c:pt>
                <c:pt idx="108">
                  <c:v>0.1318251</c:v>
                </c:pt>
                <c:pt idx="109">
                  <c:v>-2.6630000000000001E-2</c:v>
                </c:pt>
                <c:pt idx="110">
                  <c:v>-2.6004999999999999E-3</c:v>
                </c:pt>
                <c:pt idx="111">
                  <c:v>-0.97606919999999997</c:v>
                </c:pt>
                <c:pt idx="112">
                  <c:v>-0.57895039999999998</c:v>
                </c:pt>
                <c:pt idx="113">
                  <c:v>-0.36803160000000001</c:v>
                </c:pt>
                <c:pt idx="114">
                  <c:v>-0.55086000000000002</c:v>
                </c:pt>
                <c:pt idx="115">
                  <c:v>0.46559070000000002</c:v>
                </c:pt>
                <c:pt idx="116">
                  <c:v>-0.48903170000000001</c:v>
                </c:pt>
                <c:pt idx="117">
                  <c:v>-0.27013369999999998</c:v>
                </c:pt>
                <c:pt idx="118">
                  <c:v>0.1500223</c:v>
                </c:pt>
                <c:pt idx="119">
                  <c:v>0.58083220000000002</c:v>
                </c:pt>
                <c:pt idx="120">
                  <c:v>-0.17212440000000001</c:v>
                </c:pt>
                <c:pt idx="121">
                  <c:v>-0.75253650000000005</c:v>
                </c:pt>
                <c:pt idx="122">
                  <c:v>-0.74805880000000002</c:v>
                </c:pt>
                <c:pt idx="123">
                  <c:v>-0.5456375</c:v>
                </c:pt>
                <c:pt idx="124">
                  <c:v>0.46122299999999999</c:v>
                </c:pt>
                <c:pt idx="125">
                  <c:v>-0.30040070000000002</c:v>
                </c:pt>
                <c:pt idx="126">
                  <c:v>-0.4916817</c:v>
                </c:pt>
                <c:pt idx="127">
                  <c:v>0.1134256</c:v>
                </c:pt>
                <c:pt idx="128">
                  <c:v>-0.46218670000000001</c:v>
                </c:pt>
                <c:pt idx="129">
                  <c:v>-5.44006E-2</c:v>
                </c:pt>
                <c:pt idx="130">
                  <c:v>0.1653589</c:v>
                </c:pt>
                <c:pt idx="131">
                  <c:v>0.19527330000000001</c:v>
                </c:pt>
                <c:pt idx="132">
                  <c:v>0.22015779999999999</c:v>
                </c:pt>
                <c:pt idx="133">
                  <c:v>0.45011250000000003</c:v>
                </c:pt>
                <c:pt idx="134">
                  <c:v>-0.71106389999999997</c:v>
                </c:pt>
                <c:pt idx="135">
                  <c:v>-0.114021</c:v>
                </c:pt>
                <c:pt idx="136">
                  <c:v>-0.5008454</c:v>
                </c:pt>
                <c:pt idx="137">
                  <c:v>-0.30045040000000001</c:v>
                </c:pt>
                <c:pt idx="138">
                  <c:v>-0.28795189999999998</c:v>
                </c:pt>
                <c:pt idx="139">
                  <c:v>-0.47585070000000002</c:v>
                </c:pt>
                <c:pt idx="140">
                  <c:v>-0.47500409999999998</c:v>
                </c:pt>
                <c:pt idx="141">
                  <c:v>0.32568970000000003</c:v>
                </c:pt>
                <c:pt idx="142">
                  <c:v>-0.4424246</c:v>
                </c:pt>
                <c:pt idx="143">
                  <c:v>-3.9678100000000001E-2</c:v>
                </c:pt>
                <c:pt idx="144">
                  <c:v>-0.42161179999999998</c:v>
                </c:pt>
                <c:pt idx="145">
                  <c:v>-0.41777239999999999</c:v>
                </c:pt>
                <c:pt idx="146">
                  <c:v>-0.41195179999999998</c:v>
                </c:pt>
                <c:pt idx="147">
                  <c:v>-0.20620859999999999</c:v>
                </c:pt>
                <c:pt idx="148">
                  <c:v>-0.19614909999999999</c:v>
                </c:pt>
                <c:pt idx="149">
                  <c:v>0.21733430000000001</c:v>
                </c:pt>
                <c:pt idx="150">
                  <c:v>-0.56241010000000002</c:v>
                </c:pt>
                <c:pt idx="151">
                  <c:v>-0.36453679999999999</c:v>
                </c:pt>
                <c:pt idx="152">
                  <c:v>4.0096199999999999E-2</c:v>
                </c:pt>
                <c:pt idx="153">
                  <c:v>0.65302720000000003</c:v>
                </c:pt>
                <c:pt idx="154">
                  <c:v>-0.1070145</c:v>
                </c:pt>
                <c:pt idx="155">
                  <c:v>9.9006700000000003E-2</c:v>
                </c:pt>
                <c:pt idx="156">
                  <c:v>-0.2835549</c:v>
                </c:pt>
                <c:pt idx="157">
                  <c:v>-0.27923480000000001</c:v>
                </c:pt>
                <c:pt idx="158">
                  <c:v>-0.23481279999999999</c:v>
                </c:pt>
                <c:pt idx="159">
                  <c:v>-0.2342291</c:v>
                </c:pt>
                <c:pt idx="160">
                  <c:v>-0.23216139999999999</c:v>
                </c:pt>
                <c:pt idx="161">
                  <c:v>0.77288659999999998</c:v>
                </c:pt>
                <c:pt idx="162">
                  <c:v>-0.18711059999999999</c:v>
                </c:pt>
                <c:pt idx="163">
                  <c:v>0.31957970000000002</c:v>
                </c:pt>
                <c:pt idx="164">
                  <c:v>-0.15644939999999999</c:v>
                </c:pt>
                <c:pt idx="165">
                  <c:v>0.1025416</c:v>
                </c:pt>
                <c:pt idx="166">
                  <c:v>0.119131</c:v>
                </c:pt>
                <c:pt idx="167">
                  <c:v>0.37879669999999999</c:v>
                </c:pt>
                <c:pt idx="168">
                  <c:v>-0.34943809999999997</c:v>
                </c:pt>
                <c:pt idx="169">
                  <c:v>-0.35155639999999999</c:v>
                </c:pt>
                <c:pt idx="170">
                  <c:v>0.14634050000000001</c:v>
                </c:pt>
                <c:pt idx="171">
                  <c:v>0.65991809999999995</c:v>
                </c:pt>
                <c:pt idx="172">
                  <c:v>0.43951180000000001</c:v>
                </c:pt>
                <c:pt idx="173">
                  <c:v>0.96639839999999999</c:v>
                </c:pt>
                <c:pt idx="174">
                  <c:v>0.26363209999999998</c:v>
                </c:pt>
                <c:pt idx="175">
                  <c:v>-0.2266975</c:v>
                </c:pt>
                <c:pt idx="176">
                  <c:v>0.52037619999999996</c:v>
                </c:pt>
                <c:pt idx="177">
                  <c:v>0.2960296</c:v>
                </c:pt>
                <c:pt idx="178">
                  <c:v>5.9453600000000002E-2</c:v>
                </c:pt>
                <c:pt idx="179">
                  <c:v>-0.18305289999999999</c:v>
                </c:pt>
                <c:pt idx="180">
                  <c:v>-0.18604470000000001</c:v>
                </c:pt>
                <c:pt idx="181">
                  <c:v>6.1418800000000003E-2</c:v>
                </c:pt>
                <c:pt idx="182">
                  <c:v>6.9016599999999997E-2</c:v>
                </c:pt>
                <c:pt idx="183">
                  <c:v>1.3232010000000001</c:v>
                </c:pt>
                <c:pt idx="184">
                  <c:v>-0.117286</c:v>
                </c:pt>
                <c:pt idx="185">
                  <c:v>0.1302576</c:v>
                </c:pt>
                <c:pt idx="186">
                  <c:v>-0.1116419</c:v>
                </c:pt>
                <c:pt idx="187">
                  <c:v>0.63629089999999999</c:v>
                </c:pt>
                <c:pt idx="188">
                  <c:v>0.41239910000000002</c:v>
                </c:pt>
                <c:pt idx="189">
                  <c:v>0.18224760000000001</c:v>
                </c:pt>
                <c:pt idx="190">
                  <c:v>0.93724850000000004</c:v>
                </c:pt>
                <c:pt idx="191">
                  <c:v>0.47757440000000001</c:v>
                </c:pt>
                <c:pt idx="192">
                  <c:v>0.2462647</c:v>
                </c:pt>
                <c:pt idx="193">
                  <c:v>4.4089999999999997E-3</c:v>
                </c:pt>
                <c:pt idx="194">
                  <c:v>0.75190040000000002</c:v>
                </c:pt>
                <c:pt idx="195">
                  <c:v>0.77857430000000005</c:v>
                </c:pt>
                <c:pt idx="196">
                  <c:v>5.41938E-2</c:v>
                </c:pt>
                <c:pt idx="197">
                  <c:v>0.80189010000000005</c:v>
                </c:pt>
                <c:pt idx="198">
                  <c:v>1.5807040000000001</c:v>
                </c:pt>
                <c:pt idx="199">
                  <c:v>0.89007599999999998</c:v>
                </c:pt>
                <c:pt idx="200">
                  <c:v>0.42166399999999998</c:v>
                </c:pt>
                <c:pt idx="201">
                  <c:v>0.93143069999999994</c:v>
                </c:pt>
                <c:pt idx="202">
                  <c:v>0.96292940000000005</c:v>
                </c:pt>
                <c:pt idx="203">
                  <c:v>0.49239939999999999</c:v>
                </c:pt>
                <c:pt idx="204">
                  <c:v>0.2501758</c:v>
                </c:pt>
                <c:pt idx="205">
                  <c:v>0.2483387</c:v>
                </c:pt>
                <c:pt idx="206">
                  <c:v>0.24639179999999999</c:v>
                </c:pt>
                <c:pt idx="207">
                  <c:v>0.2442396</c:v>
                </c:pt>
                <c:pt idx="208">
                  <c:v>0.49216120000000002</c:v>
                </c:pt>
                <c:pt idx="209">
                  <c:v>0.4977839</c:v>
                </c:pt>
                <c:pt idx="210">
                  <c:v>0.25556479999999998</c:v>
                </c:pt>
                <c:pt idx="211">
                  <c:v>0.50156449999999997</c:v>
                </c:pt>
                <c:pt idx="212">
                  <c:v>1.005509</c:v>
                </c:pt>
                <c:pt idx="213">
                  <c:v>0.27556340000000001</c:v>
                </c:pt>
                <c:pt idx="214">
                  <c:v>0.52278270000000004</c:v>
                </c:pt>
                <c:pt idx="215">
                  <c:v>1.280805</c:v>
                </c:pt>
                <c:pt idx="216">
                  <c:v>0.57221909999999998</c:v>
                </c:pt>
                <c:pt idx="217">
                  <c:v>0.57757080000000005</c:v>
                </c:pt>
                <c:pt idx="218">
                  <c:v>0.3366171</c:v>
                </c:pt>
                <c:pt idx="219">
                  <c:v>1.0841750000000001</c:v>
                </c:pt>
                <c:pt idx="220">
                  <c:v>0.61190020000000001</c:v>
                </c:pt>
                <c:pt idx="221">
                  <c:v>0.62209999999999999</c:v>
                </c:pt>
                <c:pt idx="222">
                  <c:v>0.6283995</c:v>
                </c:pt>
                <c:pt idx="223">
                  <c:v>1.138085</c:v>
                </c:pt>
                <c:pt idx="224">
                  <c:v>0.92054829999999999</c:v>
                </c:pt>
                <c:pt idx="225">
                  <c:v>1.1846509999999999</c:v>
                </c:pt>
                <c:pt idx="226">
                  <c:v>0.71866549999999996</c:v>
                </c:pt>
                <c:pt idx="227">
                  <c:v>1.2289239999999999</c:v>
                </c:pt>
                <c:pt idx="228">
                  <c:v>1.0054920000000001</c:v>
                </c:pt>
                <c:pt idx="229">
                  <c:v>0.77388210000000002</c:v>
                </c:pt>
                <c:pt idx="230">
                  <c:v>1.031253</c:v>
                </c:pt>
                <c:pt idx="231">
                  <c:v>1.7973269999999999</c:v>
                </c:pt>
                <c:pt idx="232">
                  <c:v>0.59735309999999997</c:v>
                </c:pt>
                <c:pt idx="233">
                  <c:v>0.59604480000000004</c:v>
                </c:pt>
                <c:pt idx="234">
                  <c:v>1.594832</c:v>
                </c:pt>
                <c:pt idx="235">
                  <c:v>1.1347149999999999</c:v>
                </c:pt>
                <c:pt idx="236">
                  <c:v>0.65491429999999995</c:v>
                </c:pt>
                <c:pt idx="237">
                  <c:v>0.90358349999999998</c:v>
                </c:pt>
                <c:pt idx="238">
                  <c:v>0.9108927</c:v>
                </c:pt>
                <c:pt idx="239">
                  <c:v>0.66862829999999995</c:v>
                </c:pt>
                <c:pt idx="240">
                  <c:v>1.416577</c:v>
                </c:pt>
                <c:pt idx="241">
                  <c:v>0.94602439999999999</c:v>
                </c:pt>
                <c:pt idx="242">
                  <c:v>0.95673589999999997</c:v>
                </c:pt>
                <c:pt idx="243">
                  <c:v>0.96680149999999998</c:v>
                </c:pt>
                <c:pt idx="244">
                  <c:v>0.97668440000000001</c:v>
                </c:pt>
                <c:pt idx="245">
                  <c:v>0.98699000000000003</c:v>
                </c:pt>
                <c:pt idx="246">
                  <c:v>0.99483290000000002</c:v>
                </c:pt>
                <c:pt idx="247">
                  <c:v>1.005258</c:v>
                </c:pt>
                <c:pt idx="248">
                  <c:v>1.0157959999999999</c:v>
                </c:pt>
                <c:pt idx="249">
                  <c:v>0.77621189999999995</c:v>
                </c:pt>
                <c:pt idx="250">
                  <c:v>1.02397</c:v>
                </c:pt>
                <c:pt idx="251">
                  <c:v>0.78414459999999997</c:v>
                </c:pt>
                <c:pt idx="252">
                  <c:v>1.2819769999999999</c:v>
                </c:pt>
                <c:pt idx="253">
                  <c:v>1.0493380000000001</c:v>
                </c:pt>
                <c:pt idx="254">
                  <c:v>1.30714</c:v>
                </c:pt>
                <c:pt idx="255">
                  <c:v>1.075067</c:v>
                </c:pt>
                <c:pt idx="256">
                  <c:v>0.83611349999999995</c:v>
                </c:pt>
                <c:pt idx="257">
                  <c:v>1.5848930000000001</c:v>
                </c:pt>
                <c:pt idx="258">
                  <c:v>1.1144369999999999</c:v>
                </c:pt>
                <c:pt idx="259">
                  <c:v>1.3733690000000001</c:v>
                </c:pt>
                <c:pt idx="260">
                  <c:v>1.1452070000000001</c:v>
                </c:pt>
                <c:pt idx="261">
                  <c:v>1.9057120000000001</c:v>
                </c:pt>
              </c:numCache>
            </c:numRef>
          </c:val>
          <c:smooth val="0"/>
          <c:extLst>
            <c:ext xmlns:c16="http://schemas.microsoft.com/office/drawing/2014/chart" uri="{C3380CC4-5D6E-409C-BE32-E72D297353CC}">
              <c16:uniqueId val="{00000002-A646-9247-8051-B53911DF7197}"/>
            </c:ext>
          </c:extLst>
        </c:ser>
        <c:dLbls>
          <c:showLegendKey val="0"/>
          <c:showVal val="0"/>
          <c:showCatName val="0"/>
          <c:showSerName val="0"/>
          <c:showPercent val="0"/>
          <c:showBubbleSize val="0"/>
        </c:dLbls>
        <c:dropLines>
          <c:spPr>
            <a:ln w="12700" cap="flat" cmpd="sng" algn="ctr">
              <a:solidFill>
                <a:schemeClr val="tx1">
                  <a:alpha val="50000"/>
                </a:schemeClr>
              </a:solidFill>
              <a:round/>
            </a:ln>
            <a:effectLst/>
          </c:spPr>
        </c:dropLines>
        <c:smooth val="0"/>
        <c:axId val="2030335336"/>
        <c:axId val="2030343352"/>
      </c:lineChart>
      <c:catAx>
        <c:axId val="2030335336"/>
        <c:scaling>
          <c:orientation val="minMax"/>
        </c:scaling>
        <c:delete val="0"/>
        <c:axPos val="b"/>
        <c:numFmt formatCode="General" sourceLinked="1"/>
        <c:majorTickMark val="out"/>
        <c:minorTickMark val="none"/>
        <c:tickLblPos val="none"/>
        <c:spPr>
          <a:noFill/>
          <a:ln w="19050" cap="flat" cmpd="sng" algn="ctr">
            <a:solidFill>
              <a:schemeClr val="tx1"/>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it-IT"/>
          </a:p>
        </c:txPr>
        <c:crossAx val="2030343352"/>
        <c:crosses val="autoZero"/>
        <c:auto val="1"/>
        <c:lblAlgn val="ctr"/>
        <c:lblOffset val="100"/>
        <c:noMultiLvlLbl val="0"/>
      </c:catAx>
      <c:valAx>
        <c:axId val="203034335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it-IT"/>
          </a:p>
        </c:txPr>
        <c:crossAx val="2030335336"/>
        <c:crosses val="autoZero"/>
        <c:crossBetween val="between"/>
      </c:valAx>
      <c:spPr>
        <a:solidFill>
          <a:schemeClr val="bg1"/>
        </a:solidFill>
        <a:ln>
          <a:solidFill>
            <a:schemeClr val="accent1"/>
          </a:solid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zXS5zVNuzdsrXjPKddAWkaYw1IQ==">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</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31</Pages>
  <Words>11375</Words>
  <Characters>64844</Characters>
  <Application>Microsoft Office Word</Application>
  <DocSecurity>0</DocSecurity>
  <Lines>540</Lines>
  <Paragraphs>152</Paragraphs>
  <ScaleCrop>false</ScaleCrop>
  <Company/>
  <LinksUpToDate>false</LinksUpToDate>
  <CharactersWithSpaces>76067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Microsoft Office User</cp:lastModifiedBy>
  <cp:revision>6</cp:revision>
  <dcterms:created xsi:type="dcterms:W3CDTF">2020-12-30T17:26:00Z</dcterms:created>
  <dcterms:modified xsi:type="dcterms:W3CDTF">2021-01-22T14:52:00Z</dcterms:modified>
</cp:coreProperties>
</file>