
<file path=[Content_Types].xml><?xml version="1.0" encoding="utf-8"?>
<Types xmlns="http://schemas.openxmlformats.org/package/2006/content-types">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E1932A" w14:textId="522F93F6" w:rsidR="008816C2" w:rsidRDefault="0067470A" w:rsidP="007D272E">
      <w:pPr>
        <w:suppressLineNumbers/>
        <w:spacing w:line="276" w:lineRule="auto"/>
        <w:jc w:val="both"/>
        <w:rPr>
          <w:rFonts w:ascii="Times New Roman" w:hAnsi="Times New Roman" w:cs="Times New Roman"/>
          <w:b/>
          <w:bCs/>
          <w:sz w:val="28"/>
          <w:szCs w:val="28"/>
        </w:rPr>
      </w:pPr>
      <w:r>
        <w:rPr>
          <w:rFonts w:ascii="Times New Roman" w:hAnsi="Times New Roman" w:cs="Times New Roman"/>
          <w:b/>
          <w:bCs/>
          <w:sz w:val="28"/>
          <w:szCs w:val="28"/>
        </w:rPr>
        <w:t>Toward a</w:t>
      </w:r>
      <w:r w:rsidR="005A47B7">
        <w:rPr>
          <w:rFonts w:ascii="Times New Roman" w:hAnsi="Times New Roman" w:cs="Times New Roman"/>
          <w:b/>
          <w:bCs/>
          <w:sz w:val="28"/>
          <w:szCs w:val="28"/>
        </w:rPr>
        <w:t xml:space="preserve">chieving circularity and sustainability </w:t>
      </w:r>
      <w:r w:rsidR="0072320C">
        <w:rPr>
          <w:rFonts w:ascii="Times New Roman" w:hAnsi="Times New Roman" w:cs="Times New Roman"/>
          <w:b/>
          <w:bCs/>
          <w:sz w:val="28"/>
          <w:szCs w:val="28"/>
        </w:rPr>
        <w:t xml:space="preserve">in feeds for </w:t>
      </w:r>
      <w:r w:rsidR="00794D9B">
        <w:rPr>
          <w:rFonts w:ascii="Times New Roman" w:hAnsi="Times New Roman" w:cs="Times New Roman"/>
          <w:b/>
          <w:bCs/>
          <w:sz w:val="28"/>
          <w:szCs w:val="28"/>
        </w:rPr>
        <w:t>farmed</w:t>
      </w:r>
      <w:r w:rsidR="005A47B7">
        <w:rPr>
          <w:rFonts w:ascii="Times New Roman" w:hAnsi="Times New Roman" w:cs="Times New Roman"/>
          <w:b/>
          <w:bCs/>
          <w:sz w:val="28"/>
          <w:szCs w:val="28"/>
        </w:rPr>
        <w:t xml:space="preserve"> blue foods</w:t>
      </w:r>
    </w:p>
    <w:p w14:paraId="3258373B" w14:textId="09957879" w:rsidR="001224C1" w:rsidRDefault="001224C1" w:rsidP="007D272E">
      <w:pPr>
        <w:suppressLineNumbers/>
      </w:pPr>
    </w:p>
    <w:p w14:paraId="463B6E42" w14:textId="6124630B" w:rsidR="008816C2" w:rsidRPr="0074276B" w:rsidRDefault="008816C2" w:rsidP="007D272E">
      <w:pPr>
        <w:suppressLineNumbers/>
        <w:rPr>
          <w:rFonts w:ascii="Times New Roman" w:hAnsi="Times New Roman" w:cs="Times New Roman"/>
        </w:rPr>
      </w:pPr>
      <w:r w:rsidRPr="0074276B">
        <w:rPr>
          <w:rFonts w:ascii="Times New Roman" w:hAnsi="Times New Roman" w:cs="Times New Roman"/>
        </w:rPr>
        <w:t>Stefanie M. Colombo</w:t>
      </w:r>
      <w:r w:rsidR="001B49E4" w:rsidRPr="001B49E4">
        <w:rPr>
          <w:rFonts w:ascii="Times New Roman" w:hAnsi="Times New Roman" w:cs="Times New Roman"/>
          <w:vertAlign w:val="superscript"/>
        </w:rPr>
        <w:t>1</w:t>
      </w:r>
      <w:r w:rsidR="005C47D0">
        <w:rPr>
          <w:rFonts w:ascii="Times New Roman" w:hAnsi="Times New Roman" w:cs="Times New Roman"/>
          <w:vertAlign w:val="superscript"/>
        </w:rPr>
        <w:t>*</w:t>
      </w:r>
      <w:r w:rsidRPr="0074276B">
        <w:rPr>
          <w:rFonts w:ascii="Times New Roman" w:hAnsi="Times New Roman" w:cs="Times New Roman"/>
        </w:rPr>
        <w:t>, Koushik Roy</w:t>
      </w:r>
      <w:r w:rsidR="00054D08" w:rsidRPr="00054D08">
        <w:rPr>
          <w:rFonts w:ascii="Times New Roman" w:hAnsi="Times New Roman" w:cs="Times New Roman"/>
          <w:vertAlign w:val="superscript"/>
        </w:rPr>
        <w:t>2</w:t>
      </w:r>
      <w:r w:rsidRPr="0074276B">
        <w:rPr>
          <w:rFonts w:ascii="Times New Roman" w:hAnsi="Times New Roman" w:cs="Times New Roman"/>
        </w:rPr>
        <w:t>, Jan Mraz</w:t>
      </w:r>
      <w:r w:rsidR="00346D62" w:rsidRPr="00346D62">
        <w:rPr>
          <w:rFonts w:ascii="Times New Roman" w:hAnsi="Times New Roman" w:cs="Times New Roman"/>
          <w:vertAlign w:val="superscript"/>
        </w:rPr>
        <w:t>2</w:t>
      </w:r>
      <w:r w:rsidRPr="0074276B">
        <w:rPr>
          <w:rFonts w:ascii="Times New Roman" w:hAnsi="Times New Roman" w:cs="Times New Roman"/>
        </w:rPr>
        <w:t xml:space="preserve">, </w:t>
      </w:r>
      <w:r w:rsidR="00525B29">
        <w:rPr>
          <w:rFonts w:ascii="Times New Roman" w:hAnsi="Times New Roman" w:cs="Times New Roman"/>
        </w:rPr>
        <w:t xml:space="preserve">Alex </w:t>
      </w:r>
      <w:r w:rsidR="00543D03">
        <w:rPr>
          <w:rFonts w:ascii="Times New Roman" w:hAnsi="Times New Roman" w:cs="Times New Roman"/>
        </w:rPr>
        <w:t xml:space="preserve">H. L. </w:t>
      </w:r>
      <w:r w:rsidR="00525B29">
        <w:rPr>
          <w:rFonts w:ascii="Times New Roman" w:hAnsi="Times New Roman" w:cs="Times New Roman"/>
        </w:rPr>
        <w:t>Wan</w:t>
      </w:r>
      <w:r w:rsidR="00525B29">
        <w:rPr>
          <w:rFonts w:ascii="Times New Roman" w:hAnsi="Times New Roman" w:cs="Times New Roman"/>
          <w:vertAlign w:val="superscript"/>
        </w:rPr>
        <w:t>3</w:t>
      </w:r>
      <w:r w:rsidR="00525B29">
        <w:rPr>
          <w:rFonts w:ascii="Times New Roman" w:hAnsi="Times New Roman" w:cs="Times New Roman"/>
        </w:rPr>
        <w:t>, Simon Davies</w:t>
      </w:r>
      <w:r w:rsidR="00525B29">
        <w:rPr>
          <w:rFonts w:ascii="Times New Roman" w:hAnsi="Times New Roman" w:cs="Times New Roman"/>
          <w:vertAlign w:val="superscript"/>
        </w:rPr>
        <w:t>3</w:t>
      </w:r>
      <w:r w:rsidR="00525B29">
        <w:rPr>
          <w:rFonts w:ascii="Times New Roman" w:hAnsi="Times New Roman" w:cs="Times New Roman"/>
        </w:rPr>
        <w:t xml:space="preserve">, </w:t>
      </w:r>
      <w:r w:rsidR="00BF33AC">
        <w:rPr>
          <w:rFonts w:ascii="Times New Roman" w:hAnsi="Times New Roman" w:cs="Times New Roman"/>
        </w:rPr>
        <w:t>Sean M. Tibbetts</w:t>
      </w:r>
      <w:r w:rsidR="00525B29">
        <w:rPr>
          <w:rFonts w:ascii="Times New Roman" w:hAnsi="Times New Roman" w:cs="Times New Roman"/>
          <w:vertAlign w:val="superscript"/>
        </w:rPr>
        <w:t>4</w:t>
      </w:r>
      <w:r w:rsidR="00BF33AC">
        <w:rPr>
          <w:rFonts w:ascii="Times New Roman" w:hAnsi="Times New Roman" w:cs="Times New Roman"/>
        </w:rPr>
        <w:t xml:space="preserve">, </w:t>
      </w:r>
      <w:r w:rsidR="00BF33AC" w:rsidRPr="00BF33AC">
        <w:rPr>
          <w:rFonts w:ascii="Times New Roman" w:hAnsi="Times New Roman" w:cs="Times New Roman"/>
        </w:rPr>
        <w:t>Margareth Øverland</w:t>
      </w:r>
      <w:r w:rsidR="00525B29">
        <w:rPr>
          <w:rFonts w:ascii="Times New Roman" w:hAnsi="Times New Roman" w:cs="Times New Roman"/>
          <w:vertAlign w:val="superscript"/>
        </w:rPr>
        <w:t>5</w:t>
      </w:r>
      <w:r w:rsidR="00BF33AC">
        <w:rPr>
          <w:rFonts w:ascii="Times New Roman" w:hAnsi="Times New Roman" w:cs="Times New Roman"/>
        </w:rPr>
        <w:t xml:space="preserve">, </w:t>
      </w:r>
      <w:r w:rsidRPr="0074276B">
        <w:rPr>
          <w:rFonts w:ascii="Times New Roman" w:hAnsi="Times New Roman" w:cs="Times New Roman"/>
        </w:rPr>
        <w:t>David S. Francis</w:t>
      </w:r>
      <w:r w:rsidR="00525B29">
        <w:rPr>
          <w:rFonts w:ascii="Times New Roman" w:hAnsi="Times New Roman" w:cs="Times New Roman"/>
          <w:vertAlign w:val="superscript"/>
        </w:rPr>
        <w:t>6</w:t>
      </w:r>
      <w:r w:rsidRPr="0074276B">
        <w:rPr>
          <w:rFonts w:ascii="Times New Roman" w:hAnsi="Times New Roman" w:cs="Times New Roman"/>
        </w:rPr>
        <w:t>, Melissa M. Rocker</w:t>
      </w:r>
      <w:r w:rsidR="00525B29">
        <w:rPr>
          <w:rFonts w:ascii="Times New Roman" w:hAnsi="Times New Roman" w:cs="Times New Roman"/>
          <w:vertAlign w:val="superscript"/>
        </w:rPr>
        <w:t>6</w:t>
      </w:r>
      <w:r w:rsidR="00FB75E4">
        <w:rPr>
          <w:rFonts w:ascii="Times New Roman" w:hAnsi="Times New Roman" w:cs="Times New Roman"/>
        </w:rPr>
        <w:t xml:space="preserve">, </w:t>
      </w:r>
      <w:r w:rsidR="00521622">
        <w:rPr>
          <w:rFonts w:ascii="Times New Roman" w:hAnsi="Times New Roman" w:cs="Times New Roman"/>
        </w:rPr>
        <w:t>Laura Gasco</w:t>
      </w:r>
      <w:r w:rsidR="00525B29">
        <w:rPr>
          <w:rFonts w:ascii="Times New Roman" w:hAnsi="Times New Roman" w:cs="Times New Roman"/>
          <w:vertAlign w:val="superscript"/>
        </w:rPr>
        <w:t>7</w:t>
      </w:r>
      <w:r w:rsidR="00521622">
        <w:rPr>
          <w:rFonts w:ascii="Times New Roman" w:hAnsi="Times New Roman" w:cs="Times New Roman"/>
        </w:rPr>
        <w:t>, Emma Spencer</w:t>
      </w:r>
      <w:r w:rsidR="002D7C28" w:rsidRPr="002D7C28">
        <w:rPr>
          <w:rFonts w:ascii="Times New Roman" w:hAnsi="Times New Roman" w:cs="Times New Roman"/>
          <w:vertAlign w:val="superscript"/>
        </w:rPr>
        <w:t>8</w:t>
      </w:r>
      <w:r w:rsidR="00521622">
        <w:rPr>
          <w:rFonts w:ascii="Times New Roman" w:hAnsi="Times New Roman" w:cs="Times New Roman"/>
        </w:rPr>
        <w:t xml:space="preserve">, </w:t>
      </w:r>
      <w:r w:rsidR="00445C35">
        <w:rPr>
          <w:rFonts w:ascii="Times New Roman" w:hAnsi="Times New Roman" w:cs="Times New Roman"/>
        </w:rPr>
        <w:t>Marc Metian</w:t>
      </w:r>
      <w:r w:rsidR="00445C35" w:rsidRPr="00445C35">
        <w:rPr>
          <w:rFonts w:ascii="Times New Roman" w:hAnsi="Times New Roman" w:cs="Times New Roman"/>
          <w:vertAlign w:val="superscript"/>
        </w:rPr>
        <w:t>9</w:t>
      </w:r>
      <w:r w:rsidR="00445C35">
        <w:rPr>
          <w:rFonts w:ascii="Times New Roman" w:hAnsi="Times New Roman" w:cs="Times New Roman"/>
        </w:rPr>
        <w:t xml:space="preserve">, </w:t>
      </w:r>
      <w:r w:rsidR="00525DC5" w:rsidRPr="00B965A2">
        <w:rPr>
          <w:rFonts w:ascii="Times New Roman" w:hAnsi="Times New Roman" w:cs="Times New Roman"/>
        </w:rPr>
        <w:t>Jesse T. Trushenski</w:t>
      </w:r>
      <w:r w:rsidR="00525DC5" w:rsidRPr="00B965A2">
        <w:rPr>
          <w:rFonts w:ascii="Times New Roman" w:hAnsi="Times New Roman" w:cs="Times New Roman"/>
          <w:vertAlign w:val="superscript"/>
        </w:rPr>
        <w:t>10</w:t>
      </w:r>
      <w:r w:rsidR="00525DC5">
        <w:rPr>
          <w:rFonts w:ascii="Times New Roman" w:hAnsi="Times New Roman" w:cs="Times New Roman"/>
        </w:rPr>
        <w:t xml:space="preserve">, </w:t>
      </w:r>
      <w:r w:rsidR="00FB75E4">
        <w:rPr>
          <w:rFonts w:ascii="Times New Roman" w:hAnsi="Times New Roman" w:cs="Times New Roman"/>
        </w:rPr>
        <w:t>Giovanni Turchini</w:t>
      </w:r>
      <w:r w:rsidR="0059469A">
        <w:rPr>
          <w:rFonts w:ascii="Times New Roman" w:hAnsi="Times New Roman" w:cs="Times New Roman"/>
          <w:vertAlign w:val="superscript"/>
        </w:rPr>
        <w:t>11</w:t>
      </w:r>
    </w:p>
    <w:p w14:paraId="58C90A0C" w14:textId="46AC3725" w:rsidR="001B49E4" w:rsidRDefault="00D42F7A" w:rsidP="007D272E">
      <w:pPr>
        <w:suppressLineNumbers/>
        <w:rPr>
          <w:rFonts w:ascii="Times New Roman" w:hAnsi="Times New Roman" w:cs="Times New Roman"/>
        </w:rPr>
      </w:pPr>
      <w:r w:rsidRPr="00D42F7A">
        <w:rPr>
          <w:rFonts w:ascii="Times New Roman" w:hAnsi="Times New Roman" w:cs="Times New Roman"/>
          <w:vertAlign w:val="superscript"/>
        </w:rPr>
        <w:t>1</w:t>
      </w:r>
      <w:r w:rsidR="001B49E4">
        <w:rPr>
          <w:rFonts w:ascii="Times New Roman" w:hAnsi="Times New Roman" w:cs="Times New Roman"/>
        </w:rPr>
        <w:t xml:space="preserve">Department of Animal Science and Aquaculture, </w:t>
      </w:r>
      <w:r>
        <w:rPr>
          <w:rFonts w:ascii="Times New Roman" w:hAnsi="Times New Roman" w:cs="Times New Roman"/>
        </w:rPr>
        <w:t xml:space="preserve">Faculty of Agriculture, </w:t>
      </w:r>
      <w:r w:rsidR="001B49E4">
        <w:rPr>
          <w:rFonts w:ascii="Times New Roman" w:hAnsi="Times New Roman" w:cs="Times New Roman"/>
        </w:rPr>
        <w:t>Dalhousie University, Truro</w:t>
      </w:r>
      <w:r>
        <w:rPr>
          <w:rFonts w:ascii="Times New Roman" w:hAnsi="Times New Roman" w:cs="Times New Roman"/>
        </w:rPr>
        <w:t>, Nova Scotia, Canada, B2N 5E3</w:t>
      </w:r>
    </w:p>
    <w:p w14:paraId="2ACC57C2" w14:textId="6CCAD941" w:rsidR="007F6653" w:rsidRDefault="00D42F7A" w:rsidP="007D272E">
      <w:pPr>
        <w:suppressLineNumbers/>
        <w:rPr>
          <w:rFonts w:ascii="Times New Roman" w:hAnsi="Times New Roman" w:cs="Times New Roman"/>
        </w:rPr>
      </w:pPr>
      <w:r w:rsidRPr="007F6653">
        <w:rPr>
          <w:rFonts w:ascii="Times New Roman" w:hAnsi="Times New Roman" w:cs="Times New Roman"/>
          <w:vertAlign w:val="superscript"/>
        </w:rPr>
        <w:t>2</w:t>
      </w:r>
      <w:r w:rsidR="005275A2" w:rsidRPr="005275A2">
        <w:rPr>
          <w:rFonts w:ascii="Times New Roman" w:hAnsi="Times New Roman" w:cs="Times New Roman"/>
        </w:rPr>
        <w:t xml:space="preserve">Faculty of Fisheries and Protection of Waters, South Bohemian Research Center of Aquaculture and Biodiversity of </w:t>
      </w:r>
      <w:proofErr w:type="spellStart"/>
      <w:r w:rsidR="005275A2" w:rsidRPr="005275A2">
        <w:rPr>
          <w:rFonts w:ascii="Times New Roman" w:hAnsi="Times New Roman" w:cs="Times New Roman"/>
        </w:rPr>
        <w:t>Hydrocenoses</w:t>
      </w:r>
      <w:proofErr w:type="spellEnd"/>
      <w:r w:rsidR="005275A2" w:rsidRPr="005275A2">
        <w:rPr>
          <w:rFonts w:ascii="Times New Roman" w:hAnsi="Times New Roman" w:cs="Times New Roman"/>
        </w:rPr>
        <w:t xml:space="preserve">, University of South Bohemia in </w:t>
      </w:r>
      <w:proofErr w:type="spellStart"/>
      <w:r w:rsidR="005275A2" w:rsidRPr="005275A2">
        <w:rPr>
          <w:rFonts w:ascii="Times New Roman" w:hAnsi="Times New Roman" w:cs="Times New Roman"/>
        </w:rPr>
        <w:t>České</w:t>
      </w:r>
      <w:proofErr w:type="spellEnd"/>
      <w:r w:rsidR="005275A2" w:rsidRPr="005275A2">
        <w:rPr>
          <w:rFonts w:ascii="Times New Roman" w:hAnsi="Times New Roman" w:cs="Times New Roman"/>
        </w:rPr>
        <w:t xml:space="preserve"> </w:t>
      </w:r>
      <w:proofErr w:type="spellStart"/>
      <w:r w:rsidR="005275A2" w:rsidRPr="005275A2">
        <w:rPr>
          <w:rFonts w:ascii="Times New Roman" w:hAnsi="Times New Roman" w:cs="Times New Roman"/>
        </w:rPr>
        <w:t>Budějovice</w:t>
      </w:r>
      <w:proofErr w:type="spellEnd"/>
      <w:r w:rsidR="005275A2" w:rsidRPr="005275A2">
        <w:rPr>
          <w:rFonts w:ascii="Times New Roman" w:hAnsi="Times New Roman" w:cs="Times New Roman"/>
        </w:rPr>
        <w:t xml:space="preserve">, Na </w:t>
      </w:r>
      <w:proofErr w:type="spellStart"/>
      <w:r w:rsidR="005275A2" w:rsidRPr="005275A2">
        <w:rPr>
          <w:rFonts w:ascii="Times New Roman" w:hAnsi="Times New Roman" w:cs="Times New Roman"/>
        </w:rPr>
        <w:t>Sádkách</w:t>
      </w:r>
      <w:proofErr w:type="spellEnd"/>
      <w:r w:rsidR="005275A2" w:rsidRPr="005275A2">
        <w:rPr>
          <w:rFonts w:ascii="Times New Roman" w:hAnsi="Times New Roman" w:cs="Times New Roman"/>
        </w:rPr>
        <w:t xml:space="preserve"> 1780, 370 05, Ceske Budejovice, Czech Republic</w:t>
      </w:r>
    </w:p>
    <w:p w14:paraId="3CFD8122" w14:textId="300E5FB5" w:rsidR="00525B29" w:rsidRDefault="00525B29" w:rsidP="007D272E">
      <w:pPr>
        <w:suppressLineNumbers/>
        <w:rPr>
          <w:rFonts w:ascii="Times New Roman" w:hAnsi="Times New Roman" w:cs="Times New Roman"/>
        </w:rPr>
      </w:pPr>
      <w:r>
        <w:rPr>
          <w:rFonts w:ascii="Times New Roman" w:hAnsi="Times New Roman" w:cs="Times New Roman"/>
          <w:vertAlign w:val="superscript"/>
        </w:rPr>
        <w:t>3</w:t>
      </w:r>
      <w:r w:rsidRPr="002B0276">
        <w:rPr>
          <w:rFonts w:ascii="Times New Roman" w:hAnsi="Times New Roman" w:cs="Times New Roman"/>
        </w:rPr>
        <w:t xml:space="preserve">Aquaculture and Nutrition Research Unit, </w:t>
      </w:r>
      <w:proofErr w:type="spellStart"/>
      <w:r w:rsidRPr="002B0276">
        <w:rPr>
          <w:rFonts w:ascii="Times New Roman" w:hAnsi="Times New Roman" w:cs="Times New Roman"/>
        </w:rPr>
        <w:t>Carna</w:t>
      </w:r>
      <w:proofErr w:type="spellEnd"/>
      <w:r w:rsidRPr="002B0276">
        <w:rPr>
          <w:rFonts w:ascii="Times New Roman" w:hAnsi="Times New Roman" w:cs="Times New Roman"/>
        </w:rPr>
        <w:t xml:space="preserve"> Research Station, Ryan Institute and School of Natural Sciences, University of Galway, </w:t>
      </w:r>
      <w:proofErr w:type="spellStart"/>
      <w:r w:rsidR="00A6079A">
        <w:rPr>
          <w:rFonts w:ascii="Times New Roman" w:hAnsi="Times New Roman" w:cs="Times New Roman"/>
        </w:rPr>
        <w:t>Carna</w:t>
      </w:r>
      <w:proofErr w:type="spellEnd"/>
      <w:r w:rsidR="00A6079A">
        <w:rPr>
          <w:rFonts w:ascii="Times New Roman" w:hAnsi="Times New Roman" w:cs="Times New Roman"/>
        </w:rPr>
        <w:t xml:space="preserve">, </w:t>
      </w:r>
      <w:r w:rsidRPr="002B0276">
        <w:rPr>
          <w:rFonts w:ascii="Times New Roman" w:hAnsi="Times New Roman" w:cs="Times New Roman"/>
        </w:rPr>
        <w:t>Connemara, Co. Galway, Ireland, H91 V8Y1</w:t>
      </w:r>
    </w:p>
    <w:p w14:paraId="67BCF118" w14:textId="3EE594D2" w:rsidR="00B24352" w:rsidRDefault="00525B29" w:rsidP="007D272E">
      <w:pPr>
        <w:suppressLineNumbers/>
        <w:rPr>
          <w:rFonts w:ascii="Times New Roman" w:hAnsi="Times New Roman" w:cs="Times New Roman"/>
        </w:rPr>
      </w:pPr>
      <w:r>
        <w:rPr>
          <w:rFonts w:ascii="Times New Roman" w:hAnsi="Times New Roman" w:cs="Times New Roman"/>
          <w:vertAlign w:val="superscript"/>
        </w:rPr>
        <w:t>4</w:t>
      </w:r>
      <w:r w:rsidR="00B24352" w:rsidRPr="00B24352">
        <w:rPr>
          <w:rFonts w:ascii="Times New Roman" w:hAnsi="Times New Roman" w:cs="Times New Roman"/>
        </w:rPr>
        <w:t>Aquatic and Crop Resource Development Research Centre, National Research Council of Canada, Halifax, NS, Canada</w:t>
      </w:r>
    </w:p>
    <w:p w14:paraId="463EA5A4" w14:textId="5C91AE00" w:rsidR="00D42F7A" w:rsidRDefault="00525B29" w:rsidP="007D272E">
      <w:pPr>
        <w:suppressLineNumbers/>
        <w:rPr>
          <w:rFonts w:ascii="Times New Roman" w:hAnsi="Times New Roman" w:cs="Times New Roman"/>
        </w:rPr>
      </w:pPr>
      <w:r>
        <w:rPr>
          <w:rFonts w:ascii="Times New Roman" w:hAnsi="Times New Roman" w:cs="Times New Roman"/>
          <w:vertAlign w:val="superscript"/>
        </w:rPr>
        <w:t>5</w:t>
      </w:r>
      <w:r w:rsidR="001530C3" w:rsidRPr="001530C3">
        <w:rPr>
          <w:rFonts w:ascii="Times New Roman" w:hAnsi="Times New Roman" w:cs="Times New Roman"/>
        </w:rPr>
        <w:t xml:space="preserve">Department of Animal and Aquacultural Sciences, Faculty of Biosciences, Norwegian University of Life Sciences, P.O. Box 5003, NO-1432 </w:t>
      </w:r>
      <w:proofErr w:type="spellStart"/>
      <w:r w:rsidR="001530C3" w:rsidRPr="001530C3">
        <w:rPr>
          <w:rFonts w:ascii="Times New Roman" w:hAnsi="Times New Roman" w:cs="Times New Roman"/>
        </w:rPr>
        <w:t>Ås</w:t>
      </w:r>
      <w:proofErr w:type="spellEnd"/>
      <w:r w:rsidR="001530C3" w:rsidRPr="001530C3">
        <w:rPr>
          <w:rFonts w:ascii="Times New Roman" w:hAnsi="Times New Roman" w:cs="Times New Roman"/>
        </w:rPr>
        <w:t>, Norway</w:t>
      </w:r>
    </w:p>
    <w:p w14:paraId="5B2D159B" w14:textId="68B11110" w:rsidR="001944AC" w:rsidRDefault="00525B29" w:rsidP="007D272E">
      <w:pPr>
        <w:suppressLineNumbers/>
        <w:rPr>
          <w:rFonts w:ascii="Times New Roman" w:hAnsi="Times New Roman" w:cs="Times New Roman"/>
        </w:rPr>
      </w:pPr>
      <w:r>
        <w:rPr>
          <w:rFonts w:ascii="Times New Roman" w:hAnsi="Times New Roman" w:cs="Times New Roman"/>
          <w:vertAlign w:val="superscript"/>
        </w:rPr>
        <w:t>6</w:t>
      </w:r>
      <w:r w:rsidR="001944AC" w:rsidRPr="001944AC">
        <w:rPr>
          <w:rFonts w:ascii="Times New Roman" w:hAnsi="Times New Roman" w:cs="Times New Roman"/>
        </w:rPr>
        <w:t xml:space="preserve">Nutrition and Seafood Laboratory, School of Life and Environmental Sciences, Deakin University, </w:t>
      </w:r>
      <w:proofErr w:type="spellStart"/>
      <w:r w:rsidR="001944AC" w:rsidRPr="001944AC">
        <w:rPr>
          <w:rFonts w:ascii="Times New Roman" w:hAnsi="Times New Roman" w:cs="Times New Roman"/>
        </w:rPr>
        <w:t>Queenscliff</w:t>
      </w:r>
      <w:proofErr w:type="spellEnd"/>
      <w:r w:rsidR="001944AC" w:rsidRPr="001944AC">
        <w:rPr>
          <w:rFonts w:ascii="Times New Roman" w:hAnsi="Times New Roman" w:cs="Times New Roman"/>
        </w:rPr>
        <w:t xml:space="preserve"> 3225, VIC, Australia</w:t>
      </w:r>
    </w:p>
    <w:p w14:paraId="36D8DEDB" w14:textId="0BEC3EC1" w:rsidR="000E50AB" w:rsidRDefault="001642D4" w:rsidP="007D272E">
      <w:pPr>
        <w:suppressLineNumbers/>
        <w:rPr>
          <w:rFonts w:ascii="Times New Roman" w:hAnsi="Times New Roman" w:cs="Times New Roman"/>
        </w:rPr>
      </w:pPr>
      <w:r>
        <w:rPr>
          <w:rFonts w:ascii="Times New Roman" w:hAnsi="Times New Roman" w:cs="Times New Roman"/>
          <w:vertAlign w:val="superscript"/>
        </w:rPr>
        <w:t>7</w:t>
      </w:r>
      <w:r w:rsidR="000E50AB" w:rsidRPr="000E50AB">
        <w:rPr>
          <w:rFonts w:ascii="Times New Roman" w:hAnsi="Times New Roman" w:cs="Times New Roman"/>
        </w:rPr>
        <w:t xml:space="preserve">Department of Agricultural, Forest and Food Sciences, University of Turin, Largo P. </w:t>
      </w:r>
      <w:proofErr w:type="spellStart"/>
      <w:r w:rsidR="000E50AB" w:rsidRPr="000E50AB">
        <w:rPr>
          <w:rFonts w:ascii="Times New Roman" w:hAnsi="Times New Roman" w:cs="Times New Roman"/>
        </w:rPr>
        <w:t>Braccini</w:t>
      </w:r>
      <w:proofErr w:type="spellEnd"/>
      <w:r w:rsidR="000E50AB" w:rsidRPr="000E50AB">
        <w:rPr>
          <w:rFonts w:ascii="Times New Roman" w:hAnsi="Times New Roman" w:cs="Times New Roman"/>
        </w:rPr>
        <w:t xml:space="preserve"> 2, 10095 </w:t>
      </w:r>
      <w:proofErr w:type="spellStart"/>
      <w:r w:rsidR="000E50AB" w:rsidRPr="000E50AB">
        <w:rPr>
          <w:rFonts w:ascii="Times New Roman" w:hAnsi="Times New Roman" w:cs="Times New Roman"/>
        </w:rPr>
        <w:t>Grugliasco</w:t>
      </w:r>
      <w:proofErr w:type="spellEnd"/>
      <w:r w:rsidR="000E50AB" w:rsidRPr="000E50AB">
        <w:rPr>
          <w:rFonts w:ascii="Times New Roman" w:hAnsi="Times New Roman" w:cs="Times New Roman"/>
        </w:rPr>
        <w:t>, TO, Italy</w:t>
      </w:r>
    </w:p>
    <w:p w14:paraId="7B178DC1" w14:textId="7ADD422C" w:rsidR="002D7C28" w:rsidRDefault="00054D08" w:rsidP="007D272E">
      <w:pPr>
        <w:suppressLineNumbers/>
        <w:rPr>
          <w:rFonts w:ascii="Times New Roman" w:hAnsi="Times New Roman" w:cs="Times New Roman"/>
        </w:rPr>
      </w:pPr>
      <w:r w:rsidRPr="006175D3">
        <w:rPr>
          <w:rFonts w:ascii="Times New Roman" w:hAnsi="Times New Roman" w:cs="Times New Roman"/>
          <w:vertAlign w:val="superscript"/>
        </w:rPr>
        <w:t>8</w:t>
      </w:r>
      <w:r w:rsidR="006175D3" w:rsidRPr="006175D3">
        <w:rPr>
          <w:rFonts w:ascii="Times New Roman" w:hAnsi="Times New Roman" w:cs="Times New Roman"/>
        </w:rPr>
        <w:t>Global Ecology Lab, School of Life and Environmental Sciences, The University of Sydney, Sydney, NSW, Australia</w:t>
      </w:r>
    </w:p>
    <w:p w14:paraId="15407F02" w14:textId="5F1BB8D2" w:rsidR="00445C35" w:rsidRDefault="00F15151" w:rsidP="007D272E">
      <w:pPr>
        <w:suppressLineNumbers/>
        <w:rPr>
          <w:rFonts w:ascii="Times New Roman" w:hAnsi="Times New Roman" w:cs="Times New Roman"/>
        </w:rPr>
      </w:pPr>
      <w:r w:rsidRPr="00F15151">
        <w:rPr>
          <w:rFonts w:ascii="Times New Roman" w:hAnsi="Times New Roman" w:cs="Times New Roman"/>
          <w:vertAlign w:val="superscript"/>
        </w:rPr>
        <w:t>9</w:t>
      </w:r>
      <w:r w:rsidR="000F578F" w:rsidRPr="000F578F">
        <w:rPr>
          <w:rFonts w:ascii="Times New Roman" w:hAnsi="Times New Roman" w:cs="Times New Roman"/>
        </w:rPr>
        <w:t>International Atomic Energy Agency–</w:t>
      </w:r>
      <w:r w:rsidR="006F65DD">
        <w:rPr>
          <w:rFonts w:ascii="Times New Roman" w:hAnsi="Times New Roman" w:cs="Times New Roman"/>
        </w:rPr>
        <w:t xml:space="preserve">Marine </w:t>
      </w:r>
      <w:r w:rsidR="000F578F" w:rsidRPr="000F578F">
        <w:rPr>
          <w:rFonts w:ascii="Times New Roman" w:hAnsi="Times New Roman" w:cs="Times New Roman"/>
        </w:rPr>
        <w:t>Environment Laboratories (IAEA-</w:t>
      </w:r>
      <w:r w:rsidR="00E2198F">
        <w:rPr>
          <w:rFonts w:ascii="Times New Roman" w:hAnsi="Times New Roman" w:cs="Times New Roman"/>
        </w:rPr>
        <w:t>M</w:t>
      </w:r>
      <w:r w:rsidR="000F578F" w:rsidRPr="000F578F">
        <w:rPr>
          <w:rFonts w:ascii="Times New Roman" w:hAnsi="Times New Roman" w:cs="Times New Roman"/>
        </w:rPr>
        <w:t>EL), Radioecology Laboratory, Principality of Monaco, Monaco</w:t>
      </w:r>
    </w:p>
    <w:p w14:paraId="458E3F08" w14:textId="32981A15" w:rsidR="00D91D85" w:rsidRDefault="00D91D85" w:rsidP="007D272E">
      <w:pPr>
        <w:suppressLineNumbers/>
        <w:rPr>
          <w:rFonts w:ascii="Times New Roman" w:hAnsi="Times New Roman" w:cs="Times New Roman"/>
        </w:rPr>
      </w:pPr>
      <w:r w:rsidRPr="00DC4079">
        <w:rPr>
          <w:rFonts w:ascii="Times New Roman" w:hAnsi="Times New Roman" w:cs="Times New Roman"/>
          <w:vertAlign w:val="superscript"/>
        </w:rPr>
        <w:t>10</w:t>
      </w:r>
      <w:r w:rsidRPr="00D91D85">
        <w:rPr>
          <w:rFonts w:ascii="Times New Roman" w:hAnsi="Times New Roman" w:cs="Times New Roman"/>
        </w:rPr>
        <w:t>Riverence Holdings LLC, 604 W Franklin St Boise, ID, 83702, USA</w:t>
      </w:r>
    </w:p>
    <w:p w14:paraId="102D7392" w14:textId="518774FD" w:rsidR="0059469A" w:rsidRDefault="0059469A" w:rsidP="007D272E">
      <w:pPr>
        <w:suppressLineNumbers/>
        <w:rPr>
          <w:rFonts w:ascii="Times New Roman" w:hAnsi="Times New Roman" w:cs="Times New Roman"/>
        </w:rPr>
      </w:pPr>
      <w:r w:rsidRPr="00732E70">
        <w:rPr>
          <w:rFonts w:ascii="Times New Roman" w:hAnsi="Times New Roman" w:cs="Times New Roman"/>
          <w:vertAlign w:val="superscript"/>
        </w:rPr>
        <w:t>11</w:t>
      </w:r>
      <w:r w:rsidRPr="0059469A">
        <w:rPr>
          <w:rFonts w:ascii="Times New Roman" w:hAnsi="Times New Roman" w:cs="Times New Roman"/>
        </w:rPr>
        <w:t>School of Agriculture and Food, Faculty of Veterinary and Agricultural Sciences. The University of Melbourne, 3010, VIC, Australia.</w:t>
      </w:r>
    </w:p>
    <w:p w14:paraId="691A29DB" w14:textId="2BC4B68A" w:rsidR="008816C2" w:rsidRPr="0074276B" w:rsidRDefault="008816C2" w:rsidP="007D272E">
      <w:pPr>
        <w:suppressLineNumbers/>
        <w:rPr>
          <w:rFonts w:ascii="Times New Roman" w:hAnsi="Times New Roman" w:cs="Times New Roman"/>
        </w:rPr>
      </w:pPr>
    </w:p>
    <w:p w14:paraId="349B88E7" w14:textId="4DDFC54F" w:rsidR="008816C2" w:rsidRPr="0074276B" w:rsidRDefault="008816C2" w:rsidP="007D272E">
      <w:pPr>
        <w:suppressLineNumbers/>
        <w:rPr>
          <w:rFonts w:ascii="Times New Roman" w:hAnsi="Times New Roman" w:cs="Times New Roman"/>
        </w:rPr>
      </w:pPr>
    </w:p>
    <w:p w14:paraId="1CA134CE" w14:textId="6F7372CA" w:rsidR="008816C2" w:rsidRPr="0074276B" w:rsidRDefault="008816C2" w:rsidP="007D272E">
      <w:pPr>
        <w:suppressLineNumbers/>
        <w:rPr>
          <w:rFonts w:ascii="Times New Roman" w:hAnsi="Times New Roman" w:cs="Times New Roman"/>
        </w:rPr>
      </w:pPr>
    </w:p>
    <w:p w14:paraId="3B0792D0" w14:textId="2C9810E7" w:rsidR="008816C2" w:rsidRPr="0074276B" w:rsidRDefault="008816C2" w:rsidP="007D272E">
      <w:pPr>
        <w:suppressLineNumbers/>
        <w:rPr>
          <w:rFonts w:ascii="Times New Roman" w:hAnsi="Times New Roman" w:cs="Times New Roman"/>
        </w:rPr>
      </w:pPr>
    </w:p>
    <w:p w14:paraId="60CD3180" w14:textId="3AF0F58F" w:rsidR="008816C2" w:rsidRPr="0074276B" w:rsidRDefault="008816C2" w:rsidP="007D272E">
      <w:pPr>
        <w:suppressLineNumbers/>
        <w:rPr>
          <w:rFonts w:ascii="Times New Roman" w:hAnsi="Times New Roman" w:cs="Times New Roman"/>
        </w:rPr>
      </w:pPr>
    </w:p>
    <w:p w14:paraId="490944AB" w14:textId="039C262C" w:rsidR="008816C2" w:rsidRPr="0074276B" w:rsidRDefault="008816C2" w:rsidP="007D272E">
      <w:pPr>
        <w:suppressLineNumbers/>
        <w:rPr>
          <w:rFonts w:ascii="Times New Roman" w:hAnsi="Times New Roman" w:cs="Times New Roman"/>
        </w:rPr>
      </w:pPr>
    </w:p>
    <w:p w14:paraId="305BFB8E" w14:textId="53CE3514" w:rsidR="008816C2" w:rsidRPr="0074276B" w:rsidRDefault="008816C2" w:rsidP="007D272E">
      <w:pPr>
        <w:suppressLineNumbers/>
        <w:rPr>
          <w:rFonts w:ascii="Times New Roman" w:hAnsi="Times New Roman" w:cs="Times New Roman"/>
        </w:rPr>
      </w:pPr>
    </w:p>
    <w:p w14:paraId="18839828" w14:textId="6653B5BD" w:rsidR="008816C2" w:rsidRPr="008A1097" w:rsidRDefault="00755322">
      <w:pPr>
        <w:rPr>
          <w:rFonts w:ascii="Times New Roman" w:hAnsi="Times New Roman" w:cs="Times New Roman"/>
          <w:b/>
          <w:bCs/>
        </w:rPr>
      </w:pPr>
      <w:r w:rsidRPr="008A1097">
        <w:rPr>
          <w:rFonts w:ascii="Times New Roman" w:hAnsi="Times New Roman" w:cs="Times New Roman"/>
          <w:b/>
          <w:bCs/>
        </w:rPr>
        <w:lastRenderedPageBreak/>
        <w:t>Abstract</w:t>
      </w:r>
    </w:p>
    <w:p w14:paraId="346FF8D0" w14:textId="3E69A900" w:rsidR="00755322" w:rsidRDefault="00F8236D" w:rsidP="00522623">
      <w:pPr>
        <w:jc w:val="both"/>
        <w:rPr>
          <w:rFonts w:ascii="Times New Roman" w:hAnsi="Times New Roman" w:cs="Times New Roman"/>
        </w:rPr>
      </w:pPr>
      <w:r w:rsidRPr="00F8236D">
        <w:rPr>
          <w:rFonts w:ascii="Times New Roman" w:hAnsi="Times New Roman" w:cs="Times New Roman"/>
        </w:rPr>
        <w:t>The aim</w:t>
      </w:r>
      <w:r w:rsidR="0000702F">
        <w:rPr>
          <w:rFonts w:ascii="Times New Roman" w:hAnsi="Times New Roman" w:cs="Times New Roman"/>
        </w:rPr>
        <w:t>s</w:t>
      </w:r>
      <w:r w:rsidRPr="00F8236D">
        <w:rPr>
          <w:rFonts w:ascii="Times New Roman" w:hAnsi="Times New Roman" w:cs="Times New Roman"/>
        </w:rPr>
        <w:t xml:space="preserve"> of </w:t>
      </w:r>
      <w:r>
        <w:rPr>
          <w:rFonts w:ascii="Times New Roman" w:hAnsi="Times New Roman" w:cs="Times New Roman"/>
        </w:rPr>
        <w:t>this</w:t>
      </w:r>
      <w:r w:rsidRPr="00F8236D">
        <w:rPr>
          <w:rFonts w:ascii="Times New Roman" w:hAnsi="Times New Roman" w:cs="Times New Roman"/>
        </w:rPr>
        <w:t xml:space="preserve"> review </w:t>
      </w:r>
      <w:r w:rsidR="0000702F">
        <w:rPr>
          <w:rFonts w:ascii="Times New Roman" w:hAnsi="Times New Roman" w:cs="Times New Roman"/>
        </w:rPr>
        <w:t>are</w:t>
      </w:r>
      <w:r w:rsidRPr="00F8236D">
        <w:rPr>
          <w:rFonts w:ascii="Times New Roman" w:hAnsi="Times New Roman" w:cs="Times New Roman"/>
        </w:rPr>
        <w:t xml:space="preserve"> to describe the role of ‘blue-food production’ (</w:t>
      </w:r>
      <w:r w:rsidR="00596F7F" w:rsidRPr="00596F7F">
        <w:rPr>
          <w:rFonts w:ascii="Times New Roman" w:hAnsi="Times New Roman" w:cs="Times New Roman"/>
        </w:rPr>
        <w:t>animals, plants and algae harvested from freshwater and marine environments</w:t>
      </w:r>
      <w:r w:rsidRPr="00F8236D">
        <w:rPr>
          <w:rFonts w:ascii="Times New Roman" w:hAnsi="Times New Roman" w:cs="Times New Roman"/>
        </w:rPr>
        <w:t xml:space="preserve">) within a circular bioeconomy, </w:t>
      </w:r>
      <w:r w:rsidR="0000702F">
        <w:rPr>
          <w:rFonts w:ascii="Times New Roman" w:hAnsi="Times New Roman" w:cs="Times New Roman"/>
        </w:rPr>
        <w:t xml:space="preserve">discuss </w:t>
      </w:r>
      <w:r w:rsidRPr="00F8236D">
        <w:rPr>
          <w:rFonts w:ascii="Times New Roman" w:hAnsi="Times New Roman" w:cs="Times New Roman"/>
        </w:rPr>
        <w:t xml:space="preserve">how </w:t>
      </w:r>
      <w:r w:rsidR="006B3D07">
        <w:rPr>
          <w:rFonts w:ascii="Times New Roman" w:hAnsi="Times New Roman" w:cs="Times New Roman"/>
        </w:rPr>
        <w:t>such</w:t>
      </w:r>
      <w:r w:rsidR="0098054E">
        <w:rPr>
          <w:rFonts w:ascii="Times New Roman" w:hAnsi="Times New Roman" w:cs="Times New Roman"/>
        </w:rPr>
        <w:t xml:space="preserve"> a</w:t>
      </w:r>
      <w:r w:rsidR="006B3D07">
        <w:rPr>
          <w:rFonts w:ascii="Times New Roman" w:hAnsi="Times New Roman" w:cs="Times New Roman"/>
        </w:rPr>
        <w:t xml:space="preserve"> </w:t>
      </w:r>
      <w:r w:rsidRPr="00F8236D">
        <w:rPr>
          <w:rFonts w:ascii="Times New Roman" w:hAnsi="Times New Roman" w:cs="Times New Roman"/>
        </w:rPr>
        <w:t>framework can help the sustainability and resilienc</w:t>
      </w:r>
      <w:r w:rsidR="002151D3">
        <w:rPr>
          <w:rFonts w:ascii="Times New Roman" w:hAnsi="Times New Roman" w:cs="Times New Roman"/>
        </w:rPr>
        <w:t>e</w:t>
      </w:r>
      <w:r w:rsidRPr="00F8236D">
        <w:rPr>
          <w:rFonts w:ascii="Times New Roman" w:hAnsi="Times New Roman" w:cs="Times New Roman"/>
        </w:rPr>
        <w:t xml:space="preserve"> of aquaculture and </w:t>
      </w:r>
      <w:r w:rsidR="0000702F">
        <w:rPr>
          <w:rFonts w:ascii="Times New Roman" w:hAnsi="Times New Roman" w:cs="Times New Roman"/>
        </w:rPr>
        <w:t xml:space="preserve">to </w:t>
      </w:r>
      <w:r w:rsidRPr="00F8236D">
        <w:rPr>
          <w:rFonts w:ascii="Times New Roman" w:hAnsi="Times New Roman" w:cs="Times New Roman"/>
        </w:rPr>
        <w:t xml:space="preserve">summarize key examples of novel nutrient sources that are emerging in the field </w:t>
      </w:r>
      <w:r w:rsidR="00B5726D">
        <w:rPr>
          <w:rFonts w:ascii="Times New Roman" w:hAnsi="Times New Roman" w:cs="Times New Roman"/>
        </w:rPr>
        <w:t>of</w:t>
      </w:r>
      <w:r w:rsidRPr="00F8236D">
        <w:rPr>
          <w:rFonts w:ascii="Times New Roman" w:hAnsi="Times New Roman" w:cs="Times New Roman"/>
        </w:rPr>
        <w:t xml:space="preserve"> fed-</w:t>
      </w:r>
      <w:r w:rsidR="0000702F">
        <w:rPr>
          <w:rFonts w:ascii="Times New Roman" w:hAnsi="Times New Roman" w:cs="Times New Roman"/>
        </w:rPr>
        <w:t xml:space="preserve">aquaculture </w:t>
      </w:r>
      <w:r w:rsidRPr="00F8236D">
        <w:rPr>
          <w:rFonts w:ascii="Times New Roman" w:hAnsi="Times New Roman" w:cs="Times New Roman"/>
        </w:rPr>
        <w:t xml:space="preserve">species. Aquaculture now </w:t>
      </w:r>
      <w:r w:rsidR="005E6E57">
        <w:rPr>
          <w:rFonts w:ascii="Times New Roman" w:hAnsi="Times New Roman" w:cs="Times New Roman"/>
        </w:rPr>
        <w:t>provides</w:t>
      </w:r>
      <w:r w:rsidRPr="00F8236D">
        <w:rPr>
          <w:rFonts w:ascii="Times New Roman" w:hAnsi="Times New Roman" w:cs="Times New Roman"/>
        </w:rPr>
        <w:t xml:space="preserve"> &gt;50% of </w:t>
      </w:r>
      <w:r w:rsidR="00B21AA7">
        <w:rPr>
          <w:rFonts w:ascii="Times New Roman" w:hAnsi="Times New Roman" w:cs="Times New Roman"/>
        </w:rPr>
        <w:t>the global</w:t>
      </w:r>
      <w:r w:rsidRPr="00F8236D">
        <w:rPr>
          <w:rFonts w:ascii="Times New Roman" w:hAnsi="Times New Roman" w:cs="Times New Roman"/>
        </w:rPr>
        <w:t xml:space="preserve"> seafood</w:t>
      </w:r>
      <w:r w:rsidR="005E6E57">
        <w:rPr>
          <w:rFonts w:ascii="Times New Roman" w:hAnsi="Times New Roman" w:cs="Times New Roman"/>
        </w:rPr>
        <w:t xml:space="preserve"> supply, </w:t>
      </w:r>
      <w:r w:rsidR="00956406">
        <w:rPr>
          <w:rFonts w:ascii="Times New Roman" w:hAnsi="Times New Roman" w:cs="Times New Roman"/>
        </w:rPr>
        <w:t>a share that</w:t>
      </w:r>
      <w:r w:rsidRPr="00F8236D">
        <w:rPr>
          <w:rFonts w:ascii="Times New Roman" w:hAnsi="Times New Roman" w:cs="Times New Roman"/>
        </w:rPr>
        <w:t xml:space="preserve"> is expected to increase to at least 60% </w:t>
      </w:r>
      <w:r w:rsidR="0000702F">
        <w:rPr>
          <w:rFonts w:ascii="Times New Roman" w:hAnsi="Times New Roman" w:cs="Times New Roman"/>
        </w:rPr>
        <w:t>with</w:t>
      </w:r>
      <w:r w:rsidRPr="00F8236D">
        <w:rPr>
          <w:rFonts w:ascii="Times New Roman" w:hAnsi="Times New Roman" w:cs="Times New Roman"/>
        </w:rPr>
        <w:t xml:space="preserve">in the next decade. </w:t>
      </w:r>
      <w:r w:rsidR="00956406">
        <w:rPr>
          <w:rFonts w:ascii="Times New Roman" w:hAnsi="Times New Roman" w:cs="Times New Roman"/>
        </w:rPr>
        <w:t>Aquaculture is an important tool for reducing resource consumption in global protein production and increasing resilience to climate change and other global disruptions (i.e., pandemics, geo-political instability). Importantly, blue foods also provide essential nutrition for a growing human population. Blue foods are helping</w:t>
      </w:r>
      <w:r w:rsidRPr="00F8236D">
        <w:rPr>
          <w:rFonts w:ascii="Times New Roman" w:hAnsi="Times New Roman" w:cs="Times New Roman"/>
        </w:rPr>
        <w:t xml:space="preserve"> to help </w:t>
      </w:r>
      <w:r w:rsidR="002151D3">
        <w:rPr>
          <w:rFonts w:ascii="Times New Roman" w:hAnsi="Times New Roman" w:cs="Times New Roman"/>
        </w:rPr>
        <w:t xml:space="preserve">the </w:t>
      </w:r>
      <w:r w:rsidRPr="00F8236D">
        <w:rPr>
          <w:rFonts w:ascii="Times New Roman" w:hAnsi="Times New Roman" w:cs="Times New Roman"/>
        </w:rPr>
        <w:t>global</w:t>
      </w:r>
      <w:r w:rsidR="002151D3">
        <w:rPr>
          <w:rFonts w:ascii="Times New Roman" w:hAnsi="Times New Roman" w:cs="Times New Roman"/>
        </w:rPr>
        <w:t xml:space="preserve"> goal of</w:t>
      </w:r>
      <w:r w:rsidRPr="00F8236D">
        <w:rPr>
          <w:rFonts w:ascii="Times New Roman" w:hAnsi="Times New Roman" w:cs="Times New Roman"/>
        </w:rPr>
        <w:t xml:space="preserve"> ‘zero hunger’ </w:t>
      </w:r>
      <w:r w:rsidR="00EB5BCA">
        <w:rPr>
          <w:rFonts w:ascii="Times New Roman" w:hAnsi="Times New Roman" w:cs="Times New Roman"/>
        </w:rPr>
        <w:t xml:space="preserve">(United Nation’s Sustainable Development Goal 2) </w:t>
      </w:r>
      <w:r w:rsidRPr="00F8236D">
        <w:rPr>
          <w:rFonts w:ascii="Times New Roman" w:hAnsi="Times New Roman" w:cs="Times New Roman"/>
        </w:rPr>
        <w:t xml:space="preserve">while reducing </w:t>
      </w:r>
      <w:r w:rsidR="00EB5BCA">
        <w:rPr>
          <w:rFonts w:ascii="Times New Roman" w:hAnsi="Times New Roman" w:cs="Times New Roman"/>
        </w:rPr>
        <w:t xml:space="preserve">the </w:t>
      </w:r>
      <w:r w:rsidRPr="00F8236D">
        <w:rPr>
          <w:rFonts w:ascii="Times New Roman" w:hAnsi="Times New Roman" w:cs="Times New Roman"/>
        </w:rPr>
        <w:t>dependency o</w:t>
      </w:r>
      <w:r w:rsidR="005C0FC7">
        <w:rPr>
          <w:rFonts w:ascii="Times New Roman" w:hAnsi="Times New Roman" w:cs="Times New Roman"/>
        </w:rPr>
        <w:t>n</w:t>
      </w:r>
      <w:r w:rsidRPr="00F8236D">
        <w:rPr>
          <w:rFonts w:ascii="Times New Roman" w:hAnsi="Times New Roman" w:cs="Times New Roman"/>
        </w:rPr>
        <w:t xml:space="preserve"> </w:t>
      </w:r>
      <w:r w:rsidR="0000702F">
        <w:rPr>
          <w:rFonts w:ascii="Times New Roman" w:hAnsi="Times New Roman" w:cs="Times New Roman"/>
        </w:rPr>
        <w:t xml:space="preserve">finite </w:t>
      </w:r>
      <w:r w:rsidRPr="00F8236D">
        <w:rPr>
          <w:rFonts w:ascii="Times New Roman" w:hAnsi="Times New Roman" w:cs="Times New Roman"/>
        </w:rPr>
        <w:t xml:space="preserve">natural resources </w:t>
      </w:r>
      <w:r w:rsidR="002738F7">
        <w:rPr>
          <w:rFonts w:ascii="Times New Roman" w:hAnsi="Times New Roman" w:cs="Times New Roman"/>
        </w:rPr>
        <w:t xml:space="preserve">but further refinement and new solutions are needed to make the industry more ‘circular’ and sustainable, particularly with respect to sourcing raw materials for aquafeeds. </w:t>
      </w:r>
      <w:r w:rsidR="00E919B4">
        <w:rPr>
          <w:rFonts w:ascii="Times New Roman" w:hAnsi="Times New Roman" w:cs="Times New Roman"/>
        </w:rPr>
        <w:t xml:space="preserve">This review </w:t>
      </w:r>
      <w:r w:rsidR="00B5278D" w:rsidRPr="00B5278D">
        <w:rPr>
          <w:rFonts w:ascii="Times New Roman" w:hAnsi="Times New Roman" w:cs="Times New Roman"/>
        </w:rPr>
        <w:t>describe</w:t>
      </w:r>
      <w:r w:rsidR="00E919B4">
        <w:rPr>
          <w:rFonts w:ascii="Times New Roman" w:hAnsi="Times New Roman" w:cs="Times New Roman"/>
        </w:rPr>
        <w:t>s the</w:t>
      </w:r>
      <w:r w:rsidR="00B5278D" w:rsidRPr="00B5278D">
        <w:rPr>
          <w:rFonts w:ascii="Times New Roman" w:hAnsi="Times New Roman" w:cs="Times New Roman"/>
        </w:rPr>
        <w:t xml:space="preserve"> </w:t>
      </w:r>
      <w:r w:rsidR="002738F7">
        <w:rPr>
          <w:rFonts w:ascii="Times New Roman" w:hAnsi="Times New Roman" w:cs="Times New Roman"/>
        </w:rPr>
        <w:t>feed resources that are available or may be created</w:t>
      </w:r>
      <w:r w:rsidR="00B5278D" w:rsidRPr="00B5278D">
        <w:rPr>
          <w:rFonts w:ascii="Times New Roman" w:hAnsi="Times New Roman" w:cs="Times New Roman"/>
        </w:rPr>
        <w:t xml:space="preserve"> within </w:t>
      </w:r>
      <w:r w:rsidR="0000702F">
        <w:rPr>
          <w:rFonts w:ascii="Times New Roman" w:hAnsi="Times New Roman" w:cs="Times New Roman"/>
        </w:rPr>
        <w:t>a</w:t>
      </w:r>
      <w:r w:rsidR="00B5278D" w:rsidRPr="00B5278D">
        <w:rPr>
          <w:rFonts w:ascii="Times New Roman" w:hAnsi="Times New Roman" w:cs="Times New Roman"/>
        </w:rPr>
        <w:t xml:space="preserve"> </w:t>
      </w:r>
      <w:r w:rsidR="00F55F02">
        <w:rPr>
          <w:rFonts w:ascii="Times New Roman" w:hAnsi="Times New Roman" w:cs="Times New Roman"/>
        </w:rPr>
        <w:t>circular bioeconomy framework</w:t>
      </w:r>
      <w:r w:rsidR="00B76D4F">
        <w:rPr>
          <w:rFonts w:ascii="Times New Roman" w:hAnsi="Times New Roman" w:cs="Times New Roman"/>
        </w:rPr>
        <w:t xml:space="preserve">, their role within the framework and in aquaculture, </w:t>
      </w:r>
      <w:r w:rsidR="00A700AB" w:rsidRPr="00A700AB">
        <w:rPr>
          <w:rFonts w:ascii="Times New Roman" w:hAnsi="Times New Roman" w:cs="Times New Roman"/>
        </w:rPr>
        <w:t xml:space="preserve">and </w:t>
      </w:r>
      <w:r w:rsidR="00B76D4F">
        <w:rPr>
          <w:rFonts w:ascii="Times New Roman" w:hAnsi="Times New Roman" w:cs="Times New Roman"/>
        </w:rPr>
        <w:t xml:space="preserve">ultimately, </w:t>
      </w:r>
      <w:r w:rsidR="00A700AB" w:rsidRPr="00A700AB">
        <w:rPr>
          <w:rFonts w:ascii="Times New Roman" w:hAnsi="Times New Roman" w:cs="Times New Roman"/>
        </w:rPr>
        <w:t>ho</w:t>
      </w:r>
      <w:r w:rsidR="00B76D4F">
        <w:rPr>
          <w:rFonts w:ascii="Times New Roman" w:hAnsi="Times New Roman" w:cs="Times New Roman"/>
        </w:rPr>
        <w:t xml:space="preserve">w these resources </w:t>
      </w:r>
      <w:r w:rsidR="00A700AB" w:rsidRPr="00A700AB">
        <w:rPr>
          <w:rFonts w:ascii="Times New Roman" w:hAnsi="Times New Roman" w:cs="Times New Roman"/>
        </w:rPr>
        <w:t xml:space="preserve">contribute to </w:t>
      </w:r>
      <w:r w:rsidR="00EF0EE0">
        <w:rPr>
          <w:rFonts w:ascii="Times New Roman" w:hAnsi="Times New Roman" w:cs="Times New Roman"/>
        </w:rPr>
        <w:t>de-risking and establishing a</w:t>
      </w:r>
      <w:r w:rsidR="00A700AB" w:rsidRPr="00A700AB">
        <w:rPr>
          <w:rFonts w:ascii="Times New Roman" w:hAnsi="Times New Roman" w:cs="Times New Roman"/>
        </w:rPr>
        <w:t xml:space="preserve"> resilient aquaculture </w:t>
      </w:r>
      <w:r w:rsidR="00410D8A">
        <w:rPr>
          <w:rFonts w:ascii="Times New Roman" w:hAnsi="Times New Roman" w:cs="Times New Roman"/>
        </w:rPr>
        <w:t>production chain</w:t>
      </w:r>
      <w:r w:rsidR="00A700AB" w:rsidRPr="00A700AB">
        <w:rPr>
          <w:rFonts w:ascii="Times New Roman" w:hAnsi="Times New Roman" w:cs="Times New Roman"/>
        </w:rPr>
        <w:t>.</w:t>
      </w:r>
    </w:p>
    <w:p w14:paraId="6215FBDD" w14:textId="006C2DB9" w:rsidR="00755322" w:rsidRDefault="00755322" w:rsidP="00522623">
      <w:pPr>
        <w:jc w:val="both"/>
        <w:rPr>
          <w:rFonts w:ascii="Times New Roman" w:hAnsi="Times New Roman" w:cs="Times New Roman"/>
        </w:rPr>
      </w:pPr>
    </w:p>
    <w:p w14:paraId="5122BCEA" w14:textId="5BA7960D" w:rsidR="00755322" w:rsidRPr="0074276B" w:rsidRDefault="00755322" w:rsidP="00522623">
      <w:pPr>
        <w:jc w:val="both"/>
        <w:rPr>
          <w:rFonts w:ascii="Times New Roman" w:hAnsi="Times New Roman" w:cs="Times New Roman"/>
        </w:rPr>
      </w:pPr>
      <w:r w:rsidRPr="008A1097">
        <w:rPr>
          <w:rFonts w:ascii="Times New Roman" w:hAnsi="Times New Roman" w:cs="Times New Roman"/>
          <w:b/>
          <w:bCs/>
        </w:rPr>
        <w:t>Keywords:</w:t>
      </w:r>
      <w:r>
        <w:rPr>
          <w:rFonts w:ascii="Times New Roman" w:hAnsi="Times New Roman" w:cs="Times New Roman"/>
        </w:rPr>
        <w:t xml:space="preserve"> </w:t>
      </w:r>
      <w:r w:rsidR="004F1379">
        <w:rPr>
          <w:rFonts w:ascii="Times New Roman" w:hAnsi="Times New Roman" w:cs="Times New Roman"/>
        </w:rPr>
        <w:t>Aquaculture, c</w:t>
      </w:r>
      <w:r w:rsidR="0061030C">
        <w:rPr>
          <w:rFonts w:ascii="Times New Roman" w:hAnsi="Times New Roman" w:cs="Times New Roman"/>
        </w:rPr>
        <w:t>ircular economy,</w:t>
      </w:r>
      <w:r w:rsidR="00487978">
        <w:rPr>
          <w:rFonts w:ascii="Times New Roman" w:hAnsi="Times New Roman" w:cs="Times New Roman"/>
        </w:rPr>
        <w:t xml:space="preserve"> </w:t>
      </w:r>
      <w:r w:rsidR="004F1379">
        <w:rPr>
          <w:rFonts w:ascii="Times New Roman" w:hAnsi="Times New Roman" w:cs="Times New Roman"/>
        </w:rPr>
        <w:t xml:space="preserve">fisheries, </w:t>
      </w:r>
      <w:r w:rsidR="0061030C">
        <w:rPr>
          <w:rFonts w:ascii="Times New Roman" w:hAnsi="Times New Roman" w:cs="Times New Roman"/>
        </w:rPr>
        <w:t xml:space="preserve">insects, </w:t>
      </w:r>
      <w:r w:rsidR="00A76430">
        <w:rPr>
          <w:rFonts w:ascii="Times New Roman" w:hAnsi="Times New Roman" w:cs="Times New Roman"/>
        </w:rPr>
        <w:t xml:space="preserve">scavenger, </w:t>
      </w:r>
      <w:r w:rsidR="006A0924">
        <w:rPr>
          <w:rFonts w:ascii="Times New Roman" w:hAnsi="Times New Roman" w:cs="Times New Roman"/>
        </w:rPr>
        <w:t>sustainability</w:t>
      </w:r>
    </w:p>
    <w:p w14:paraId="06975759" w14:textId="76FEB6CA" w:rsidR="008816C2" w:rsidRPr="0074276B" w:rsidRDefault="008816C2">
      <w:pPr>
        <w:rPr>
          <w:rFonts w:ascii="Times New Roman" w:hAnsi="Times New Roman" w:cs="Times New Roman"/>
        </w:rPr>
      </w:pPr>
    </w:p>
    <w:p w14:paraId="24B74BD6" w14:textId="26E50C50" w:rsidR="008816C2" w:rsidRPr="0074276B" w:rsidRDefault="008816C2">
      <w:pPr>
        <w:rPr>
          <w:rFonts w:ascii="Times New Roman" w:hAnsi="Times New Roman" w:cs="Times New Roman"/>
        </w:rPr>
      </w:pPr>
    </w:p>
    <w:p w14:paraId="3C161C0D" w14:textId="373EE109" w:rsidR="008816C2" w:rsidRPr="0074276B" w:rsidRDefault="008816C2">
      <w:pPr>
        <w:rPr>
          <w:rFonts w:ascii="Times New Roman" w:hAnsi="Times New Roman" w:cs="Times New Roman"/>
        </w:rPr>
      </w:pPr>
    </w:p>
    <w:p w14:paraId="024BE699" w14:textId="34DA2445" w:rsidR="008816C2" w:rsidRPr="0074276B" w:rsidRDefault="008816C2">
      <w:pPr>
        <w:rPr>
          <w:rFonts w:ascii="Times New Roman" w:hAnsi="Times New Roman" w:cs="Times New Roman"/>
        </w:rPr>
      </w:pPr>
    </w:p>
    <w:p w14:paraId="2FAE36BF" w14:textId="49771966" w:rsidR="008816C2" w:rsidRPr="0074276B" w:rsidRDefault="008816C2">
      <w:pPr>
        <w:rPr>
          <w:rFonts w:ascii="Times New Roman" w:hAnsi="Times New Roman" w:cs="Times New Roman"/>
        </w:rPr>
      </w:pPr>
    </w:p>
    <w:p w14:paraId="791639FD" w14:textId="64BB9A3D" w:rsidR="008816C2" w:rsidRPr="0074276B" w:rsidRDefault="008816C2">
      <w:pPr>
        <w:rPr>
          <w:rFonts w:ascii="Times New Roman" w:hAnsi="Times New Roman" w:cs="Times New Roman"/>
        </w:rPr>
      </w:pPr>
    </w:p>
    <w:p w14:paraId="0C1915C4" w14:textId="3964C07E" w:rsidR="008816C2" w:rsidRPr="0074276B" w:rsidRDefault="008816C2">
      <w:pPr>
        <w:rPr>
          <w:rFonts w:ascii="Times New Roman" w:hAnsi="Times New Roman" w:cs="Times New Roman"/>
        </w:rPr>
      </w:pPr>
    </w:p>
    <w:p w14:paraId="693975C4" w14:textId="5C67D1CB" w:rsidR="008816C2" w:rsidRPr="0074276B" w:rsidRDefault="008816C2">
      <w:pPr>
        <w:rPr>
          <w:rFonts w:ascii="Times New Roman" w:hAnsi="Times New Roman" w:cs="Times New Roman"/>
        </w:rPr>
      </w:pPr>
    </w:p>
    <w:p w14:paraId="15E840AD" w14:textId="0A05DDDB" w:rsidR="008816C2" w:rsidRPr="0074276B" w:rsidRDefault="008816C2">
      <w:pPr>
        <w:rPr>
          <w:rFonts w:ascii="Times New Roman" w:hAnsi="Times New Roman" w:cs="Times New Roman"/>
        </w:rPr>
      </w:pPr>
    </w:p>
    <w:p w14:paraId="1E1CC618" w14:textId="50E84EA6" w:rsidR="008816C2" w:rsidRPr="0074276B" w:rsidRDefault="008816C2">
      <w:pPr>
        <w:rPr>
          <w:rFonts w:ascii="Times New Roman" w:hAnsi="Times New Roman" w:cs="Times New Roman"/>
        </w:rPr>
      </w:pPr>
    </w:p>
    <w:p w14:paraId="7B1E1E87" w14:textId="4C679ED7" w:rsidR="008816C2" w:rsidRDefault="008816C2">
      <w:pPr>
        <w:rPr>
          <w:rFonts w:ascii="Times New Roman" w:hAnsi="Times New Roman" w:cs="Times New Roman"/>
        </w:rPr>
      </w:pPr>
    </w:p>
    <w:p w14:paraId="3E457BC4" w14:textId="0AA9E9FE" w:rsidR="008A1097" w:rsidRDefault="008A1097">
      <w:pPr>
        <w:rPr>
          <w:rFonts w:ascii="Times New Roman" w:hAnsi="Times New Roman" w:cs="Times New Roman"/>
        </w:rPr>
      </w:pPr>
    </w:p>
    <w:p w14:paraId="33827C4E" w14:textId="2FE79DAB" w:rsidR="008A1097" w:rsidRDefault="008A1097">
      <w:pPr>
        <w:rPr>
          <w:rFonts w:ascii="Times New Roman" w:hAnsi="Times New Roman" w:cs="Times New Roman"/>
        </w:rPr>
      </w:pPr>
    </w:p>
    <w:p w14:paraId="63988116" w14:textId="6C9D0C45" w:rsidR="008A1097" w:rsidRDefault="008A1097">
      <w:pPr>
        <w:rPr>
          <w:rFonts w:ascii="Times New Roman" w:hAnsi="Times New Roman" w:cs="Times New Roman"/>
        </w:rPr>
      </w:pPr>
    </w:p>
    <w:p w14:paraId="5FECA6C1" w14:textId="4D768BB6" w:rsidR="008A1097" w:rsidRDefault="008A1097">
      <w:pPr>
        <w:rPr>
          <w:rFonts w:ascii="Times New Roman" w:hAnsi="Times New Roman" w:cs="Times New Roman"/>
        </w:rPr>
      </w:pPr>
    </w:p>
    <w:p w14:paraId="57DAA2A0" w14:textId="77777777" w:rsidR="00A00338" w:rsidRDefault="00A00338">
      <w:pPr>
        <w:rPr>
          <w:rFonts w:ascii="Times New Roman" w:hAnsi="Times New Roman" w:cs="Times New Roman"/>
        </w:rPr>
      </w:pPr>
    </w:p>
    <w:p w14:paraId="10932B50" w14:textId="78F15215" w:rsidR="008A1097" w:rsidRDefault="008A1097">
      <w:pPr>
        <w:rPr>
          <w:rFonts w:ascii="Times New Roman" w:hAnsi="Times New Roman" w:cs="Times New Roman"/>
        </w:rPr>
      </w:pPr>
    </w:p>
    <w:p w14:paraId="1D7CE1B4" w14:textId="23536328" w:rsidR="008816C2" w:rsidRPr="008A1097" w:rsidRDefault="008816C2" w:rsidP="00522623">
      <w:pPr>
        <w:spacing w:line="360" w:lineRule="auto"/>
        <w:contextualSpacing/>
        <w:jc w:val="both"/>
        <w:rPr>
          <w:rFonts w:ascii="Times New Roman" w:hAnsi="Times New Roman" w:cs="Times New Roman"/>
          <w:b/>
          <w:bCs/>
          <w:sz w:val="28"/>
          <w:szCs w:val="28"/>
        </w:rPr>
      </w:pPr>
      <w:r w:rsidRPr="008A1097">
        <w:rPr>
          <w:rFonts w:ascii="Times New Roman" w:hAnsi="Times New Roman" w:cs="Times New Roman"/>
          <w:b/>
          <w:bCs/>
          <w:sz w:val="28"/>
          <w:szCs w:val="28"/>
        </w:rPr>
        <w:lastRenderedPageBreak/>
        <w:t>Introduction</w:t>
      </w:r>
    </w:p>
    <w:p w14:paraId="6034D6D9" w14:textId="7A482D69" w:rsidR="00D94EC7" w:rsidRDefault="00E7589B" w:rsidP="00461BFC">
      <w:pPr>
        <w:spacing w:line="360" w:lineRule="auto"/>
        <w:ind w:firstLine="720"/>
        <w:contextualSpacing/>
        <w:jc w:val="both"/>
        <w:rPr>
          <w:rFonts w:ascii="Times New Roman" w:hAnsi="Times New Roman" w:cs="Times New Roman"/>
        </w:rPr>
      </w:pPr>
      <w:r>
        <w:rPr>
          <w:rFonts w:ascii="Times New Roman" w:hAnsi="Times New Roman" w:cs="Times New Roman"/>
        </w:rPr>
        <w:t xml:space="preserve">Current and anticipated effects of </w:t>
      </w:r>
      <w:r w:rsidR="00A77A42">
        <w:rPr>
          <w:rFonts w:ascii="Times New Roman" w:hAnsi="Times New Roman" w:cs="Times New Roman"/>
        </w:rPr>
        <w:t>c</w:t>
      </w:r>
      <w:r w:rsidR="008816C2" w:rsidRPr="0074276B">
        <w:rPr>
          <w:rFonts w:ascii="Times New Roman" w:hAnsi="Times New Roman" w:cs="Times New Roman"/>
        </w:rPr>
        <w:t>limate change</w:t>
      </w:r>
      <w:r>
        <w:rPr>
          <w:rFonts w:ascii="Times New Roman" w:hAnsi="Times New Roman" w:cs="Times New Roman"/>
        </w:rPr>
        <w:t xml:space="preserve"> are compounding the inadequacies of the global food system, whereby the productivity of natural and agricultural ecosystems </w:t>
      </w:r>
      <w:r w:rsidR="00F367D1">
        <w:rPr>
          <w:rFonts w:ascii="Times New Roman" w:hAnsi="Times New Roman" w:cs="Times New Roman"/>
        </w:rPr>
        <w:t xml:space="preserve">is </w:t>
      </w:r>
      <w:r>
        <w:rPr>
          <w:rFonts w:ascii="Times New Roman" w:hAnsi="Times New Roman" w:cs="Times New Roman"/>
        </w:rPr>
        <w:t xml:space="preserve">threatened by a warming climate, more frequent and severe droughts, floods, and other extreme weather events, ocean acidification and so forth. Moreover, the </w:t>
      </w:r>
      <w:r w:rsidR="00A300E8">
        <w:rPr>
          <w:rFonts w:ascii="Times New Roman" w:hAnsi="Times New Roman" w:cs="Times New Roman"/>
        </w:rPr>
        <w:t>COVID-</w:t>
      </w:r>
      <w:r w:rsidR="00B00DF5">
        <w:rPr>
          <w:rFonts w:ascii="Times New Roman" w:hAnsi="Times New Roman" w:cs="Times New Roman"/>
        </w:rPr>
        <w:t xml:space="preserve">19 </w:t>
      </w:r>
      <w:r w:rsidR="008816C2" w:rsidRPr="0074276B">
        <w:rPr>
          <w:rFonts w:ascii="Times New Roman" w:hAnsi="Times New Roman" w:cs="Times New Roman"/>
        </w:rPr>
        <w:t>pandemic</w:t>
      </w:r>
      <w:r w:rsidR="00961205">
        <w:rPr>
          <w:rFonts w:ascii="Times New Roman" w:hAnsi="Times New Roman" w:cs="Times New Roman"/>
        </w:rPr>
        <w:t xml:space="preserve"> and </w:t>
      </w:r>
      <w:r w:rsidR="00A300E8">
        <w:rPr>
          <w:rFonts w:ascii="Times New Roman" w:hAnsi="Times New Roman" w:cs="Times New Roman"/>
        </w:rPr>
        <w:t xml:space="preserve">recent </w:t>
      </w:r>
      <w:r w:rsidR="00961205">
        <w:rPr>
          <w:rFonts w:ascii="Times New Roman" w:hAnsi="Times New Roman" w:cs="Times New Roman"/>
        </w:rPr>
        <w:t xml:space="preserve">geo-political </w:t>
      </w:r>
      <w:r w:rsidR="00EA338E">
        <w:rPr>
          <w:rFonts w:ascii="Times New Roman" w:hAnsi="Times New Roman" w:cs="Times New Roman"/>
        </w:rPr>
        <w:t>instability</w:t>
      </w:r>
      <w:r w:rsidR="008816C2" w:rsidRPr="0074276B">
        <w:rPr>
          <w:rFonts w:ascii="Times New Roman" w:hAnsi="Times New Roman" w:cs="Times New Roman"/>
        </w:rPr>
        <w:t xml:space="preserve"> </w:t>
      </w:r>
      <w:r w:rsidR="00A300E8">
        <w:rPr>
          <w:rFonts w:ascii="Times New Roman" w:hAnsi="Times New Roman" w:cs="Times New Roman"/>
        </w:rPr>
        <w:t xml:space="preserve">in Eastern Europe </w:t>
      </w:r>
      <w:r w:rsidR="008816C2" w:rsidRPr="0074276B">
        <w:rPr>
          <w:rFonts w:ascii="Times New Roman" w:hAnsi="Times New Roman" w:cs="Times New Roman"/>
        </w:rPr>
        <w:t xml:space="preserve">have </w:t>
      </w:r>
      <w:r w:rsidR="00A300E8">
        <w:rPr>
          <w:rFonts w:ascii="Times New Roman" w:hAnsi="Times New Roman" w:cs="Times New Roman"/>
        </w:rPr>
        <w:t xml:space="preserve">revealed the complexity and fragility of raw material and perishable product supply </w:t>
      </w:r>
      <w:r w:rsidR="002A5AB1">
        <w:rPr>
          <w:rFonts w:ascii="Times New Roman" w:hAnsi="Times New Roman" w:cs="Times New Roman"/>
        </w:rPr>
        <w:t xml:space="preserve">chains. Collectively, these factors are forcing </w:t>
      </w:r>
      <w:r w:rsidR="00E26727">
        <w:rPr>
          <w:rFonts w:ascii="Times New Roman" w:hAnsi="Times New Roman" w:cs="Times New Roman"/>
        </w:rPr>
        <w:t xml:space="preserve">society </w:t>
      </w:r>
      <w:r w:rsidR="00D93828">
        <w:rPr>
          <w:rFonts w:ascii="Times New Roman" w:hAnsi="Times New Roman" w:cs="Times New Roman"/>
        </w:rPr>
        <w:t xml:space="preserve">to </w:t>
      </w:r>
      <w:r w:rsidR="00D94EC7">
        <w:rPr>
          <w:rFonts w:ascii="Times New Roman" w:hAnsi="Times New Roman" w:cs="Times New Roman"/>
        </w:rPr>
        <w:t xml:space="preserve">reconsider the state of our global food system and </w:t>
      </w:r>
      <w:r w:rsidR="006B00BD">
        <w:rPr>
          <w:rFonts w:ascii="Times New Roman" w:hAnsi="Times New Roman" w:cs="Times New Roman"/>
        </w:rPr>
        <w:t>seek</w:t>
      </w:r>
      <w:r w:rsidR="00D94EC7">
        <w:rPr>
          <w:rFonts w:ascii="Times New Roman" w:hAnsi="Times New Roman" w:cs="Times New Roman"/>
        </w:rPr>
        <w:t xml:space="preserve"> ways to increase its resilience. </w:t>
      </w:r>
      <w:r w:rsidR="0089496A" w:rsidRPr="0089496A">
        <w:rPr>
          <w:rFonts w:ascii="Times New Roman" w:hAnsi="Times New Roman" w:cs="Times New Roman"/>
        </w:rPr>
        <w:t>Blue foods — animals, plants and algae harvested from freshwater and marine environments — supply protein to over 3.2 billion people</w:t>
      </w:r>
      <w:r w:rsidR="009F0C0F">
        <w:rPr>
          <w:rFonts w:ascii="Times New Roman" w:hAnsi="Times New Roman" w:cs="Times New Roman"/>
        </w:rPr>
        <w:fldChar w:fldCharType="begin"/>
      </w:r>
      <w:r w:rsidR="00A95868">
        <w:rPr>
          <w:rFonts w:ascii="Times New Roman" w:hAnsi="Times New Roman" w:cs="Times New Roman"/>
        </w:rPr>
        <w:instrText xml:space="preserve"> ADDIN ZOTERO_ITEM CSL_CITATION {"citationID":"a2cco89bseq","properties":{"formattedCitation":"\\super 1\\nosupersub{}","plainCitation":"1","noteIndex":0},"citationItems":[{"id":1684,"uris":["http://zotero.org/users/9431846/items/C7RTCYCN"],"itemData":{"id":1684,"type":"article-journal","container-title":"Nature","DOI":"10.1038/d41586-021-02476-9","ISSN":"0028-0836, 1476-4687","issue":"7876","journalAbbreviation":"Nature","language":"en","page":"303-303","source":"DOI.org (Crossref)","title":"Harness the world’s aquatic ‘blue’ food systems to help end hunger","volume":"597","issued":{"date-parts":[["2021",9,16]]}}}],"schema":"https://github.com/citation-style-language/schema/raw/master/csl-citation.json"} </w:instrText>
      </w:r>
      <w:r w:rsidR="009F0C0F">
        <w:rPr>
          <w:rFonts w:ascii="Times New Roman" w:hAnsi="Times New Roman" w:cs="Times New Roman"/>
        </w:rPr>
        <w:fldChar w:fldCharType="separate"/>
      </w:r>
      <w:r w:rsidR="008A0949" w:rsidRPr="008A0949">
        <w:rPr>
          <w:rFonts w:ascii="Times New Roman" w:hAnsi="Times New Roman" w:cs="Times New Roman"/>
          <w:szCs w:val="24"/>
          <w:vertAlign w:val="superscript"/>
        </w:rPr>
        <w:t>1</w:t>
      </w:r>
      <w:r w:rsidR="009F0C0F">
        <w:rPr>
          <w:rFonts w:ascii="Times New Roman" w:hAnsi="Times New Roman" w:cs="Times New Roman"/>
        </w:rPr>
        <w:fldChar w:fldCharType="end"/>
      </w:r>
      <w:r w:rsidR="000A7EBE">
        <w:rPr>
          <w:rFonts w:ascii="Times New Roman" w:hAnsi="Times New Roman" w:cs="Times New Roman"/>
        </w:rPr>
        <w:t xml:space="preserve">. </w:t>
      </w:r>
      <w:r w:rsidR="00D94EC7">
        <w:rPr>
          <w:rFonts w:ascii="Times New Roman" w:hAnsi="Times New Roman" w:cs="Times New Roman"/>
        </w:rPr>
        <w:t xml:space="preserve">Aquaculture </w:t>
      </w:r>
      <w:r w:rsidR="00FE7E78">
        <w:rPr>
          <w:rFonts w:ascii="Times New Roman" w:hAnsi="Times New Roman" w:cs="Times New Roman"/>
        </w:rPr>
        <w:t xml:space="preserve">currently </w:t>
      </w:r>
      <w:r w:rsidR="006B00BD">
        <w:rPr>
          <w:rFonts w:ascii="Times New Roman" w:hAnsi="Times New Roman" w:cs="Times New Roman"/>
        </w:rPr>
        <w:t xml:space="preserve">contributes </w:t>
      </w:r>
      <w:r w:rsidR="00FE7E78">
        <w:rPr>
          <w:rFonts w:ascii="Times New Roman" w:hAnsi="Times New Roman" w:cs="Times New Roman"/>
        </w:rPr>
        <w:t>approximately half of the blue foods produced</w:t>
      </w:r>
      <w:r w:rsidR="00F77943">
        <w:rPr>
          <w:rFonts w:ascii="Times New Roman" w:hAnsi="Times New Roman" w:cs="Times New Roman"/>
        </w:rPr>
        <w:fldChar w:fldCharType="begin"/>
      </w:r>
      <w:r w:rsidR="00A95868">
        <w:rPr>
          <w:rFonts w:ascii="Times New Roman" w:hAnsi="Times New Roman" w:cs="Times New Roman"/>
        </w:rPr>
        <w:instrText xml:space="preserve"> ADDIN ZOTERO_ITEM CSL_CITATION {"citationID":"a1qld90tvm4","properties":{"formattedCitation":"\\super 2\\nosupersub{}","plainCitation":"2","noteIndex":0},"citationItems":[{"id":44,"uris":["http://zotero.org/users/9431846/items/5I24RHNS"],"itemData":{"id":44,"type":"webpage","title":"FAO Fisheries &amp; Aquaculture","URL":"https://www.fao.org/fishery/en/global-search?q=statistics%20global-aquaculture-production%20en&amp;lang=en","accessed":{"date-parts":[["2022",4,24]]},"issued":{"date-parts":[["2022",4,24]]}}}],"schema":"https://github.com/citation-style-language/schema/raw/master/csl-citation.json"} </w:instrText>
      </w:r>
      <w:r w:rsidR="00F77943">
        <w:rPr>
          <w:rFonts w:ascii="Times New Roman" w:hAnsi="Times New Roman" w:cs="Times New Roman"/>
        </w:rPr>
        <w:fldChar w:fldCharType="separate"/>
      </w:r>
      <w:r w:rsidR="00174432" w:rsidRPr="00174432">
        <w:rPr>
          <w:rFonts w:ascii="Times New Roman" w:hAnsi="Times New Roman" w:cs="Times New Roman"/>
          <w:szCs w:val="24"/>
          <w:vertAlign w:val="superscript"/>
        </w:rPr>
        <w:t>2</w:t>
      </w:r>
      <w:r w:rsidR="00F77943">
        <w:rPr>
          <w:rFonts w:ascii="Times New Roman" w:hAnsi="Times New Roman" w:cs="Times New Roman"/>
        </w:rPr>
        <w:fldChar w:fldCharType="end"/>
      </w:r>
      <w:r w:rsidR="00F77943">
        <w:rPr>
          <w:rFonts w:ascii="Times New Roman" w:hAnsi="Times New Roman" w:cs="Times New Roman"/>
        </w:rPr>
        <w:t xml:space="preserve">, and thus </w:t>
      </w:r>
      <w:r w:rsidR="001771AB">
        <w:rPr>
          <w:rFonts w:ascii="Times New Roman" w:hAnsi="Times New Roman" w:cs="Times New Roman"/>
        </w:rPr>
        <w:t>is</w:t>
      </w:r>
      <w:r w:rsidR="00D94EC7">
        <w:rPr>
          <w:rFonts w:ascii="Times New Roman" w:hAnsi="Times New Roman" w:cs="Times New Roman"/>
        </w:rPr>
        <w:t xml:space="preserve"> a </w:t>
      </w:r>
      <w:r w:rsidR="001771AB">
        <w:rPr>
          <w:rFonts w:ascii="Times New Roman" w:hAnsi="Times New Roman" w:cs="Times New Roman"/>
        </w:rPr>
        <w:t xml:space="preserve">powerful </w:t>
      </w:r>
      <w:r w:rsidR="00D94EC7">
        <w:rPr>
          <w:rFonts w:ascii="Times New Roman" w:hAnsi="Times New Roman" w:cs="Times New Roman"/>
        </w:rPr>
        <w:t>tool for increasing food security:</w:t>
      </w:r>
    </w:p>
    <w:p w14:paraId="52B90858" w14:textId="2D08D8D7" w:rsidR="006A1FDF" w:rsidRDefault="006A1FDF" w:rsidP="006A1FDF">
      <w:pPr>
        <w:pStyle w:val="ListParagraph"/>
        <w:numPr>
          <w:ilvl w:val="0"/>
          <w:numId w:val="4"/>
        </w:numPr>
        <w:spacing w:line="360" w:lineRule="auto"/>
        <w:jc w:val="both"/>
        <w:rPr>
          <w:rFonts w:ascii="Times New Roman" w:hAnsi="Times New Roman" w:cs="Times New Roman"/>
        </w:rPr>
      </w:pPr>
      <w:r w:rsidRPr="006A1FDF">
        <w:rPr>
          <w:rFonts w:ascii="Times New Roman" w:hAnsi="Times New Roman" w:cs="Times New Roman"/>
        </w:rPr>
        <w:t>Aquaculture can relieve harvest pressure on capture fisheries, allowing for stock rebuilding and adoption of climate-sensitive fishery management plans</w:t>
      </w:r>
      <w:r w:rsidR="00FC5B71">
        <w:rPr>
          <w:rFonts w:ascii="Times New Roman" w:hAnsi="Times New Roman" w:cs="Times New Roman"/>
        </w:rPr>
        <w:fldChar w:fldCharType="begin"/>
      </w:r>
      <w:r w:rsidR="00513F7B">
        <w:rPr>
          <w:rFonts w:ascii="Times New Roman" w:hAnsi="Times New Roman" w:cs="Times New Roman"/>
        </w:rPr>
        <w:instrText xml:space="preserve"> ADDIN ZOTERO_ITEM CSL_CITATION {"citationID":"abief1m4mh","properties":{"formattedCitation":"\\super 3\\nosupersub{}","plainCitation":"3","noteIndex":0},"citationItems":[{"id":1692,"uris":["http://zotero.org/users/9431846/items/A6LFH96A"],"itemData":{"id":1692,"type":"book","ISBN":"978-92-5-136367-6","language":"en","note":"DOI: 10.4060/cc0463en","publisher":"FAO","source":"DOI.org (Crossref)","title":"In Brief to The State of World Fisheries and Aquaculture 2022","URL":"http://www.fao.org/documents/card/en/c/cc0463en","accessed":{"date-parts":[["2022",8,27]]},"issued":{"date-parts":[["2022",6,28]]}}}],"schema":"https://github.com/citation-style-language/schema/raw/master/csl-citation.json"} </w:instrText>
      </w:r>
      <w:r w:rsidR="00FC5B71">
        <w:rPr>
          <w:rFonts w:ascii="Times New Roman" w:hAnsi="Times New Roman" w:cs="Times New Roman"/>
        </w:rPr>
        <w:fldChar w:fldCharType="separate"/>
      </w:r>
      <w:r w:rsidR="00513F7B" w:rsidRPr="00513F7B">
        <w:rPr>
          <w:rFonts w:ascii="Times New Roman" w:hAnsi="Times New Roman" w:cs="Times New Roman"/>
          <w:szCs w:val="24"/>
          <w:vertAlign w:val="superscript"/>
        </w:rPr>
        <w:t>3</w:t>
      </w:r>
      <w:r w:rsidR="00FC5B71">
        <w:rPr>
          <w:rFonts w:ascii="Times New Roman" w:hAnsi="Times New Roman" w:cs="Times New Roman"/>
        </w:rPr>
        <w:fldChar w:fldCharType="end"/>
      </w:r>
      <w:r w:rsidRPr="006A1FDF">
        <w:rPr>
          <w:rFonts w:ascii="Times New Roman" w:hAnsi="Times New Roman" w:cs="Times New Roman"/>
        </w:rPr>
        <w:t>;</w:t>
      </w:r>
    </w:p>
    <w:p w14:paraId="39354C91" w14:textId="4A61E51D" w:rsidR="006A1FDF" w:rsidRDefault="006A1FDF" w:rsidP="006A1FDF">
      <w:pPr>
        <w:pStyle w:val="ListParagraph"/>
        <w:numPr>
          <w:ilvl w:val="0"/>
          <w:numId w:val="4"/>
        </w:numPr>
        <w:spacing w:line="360" w:lineRule="auto"/>
        <w:jc w:val="both"/>
        <w:rPr>
          <w:rFonts w:ascii="Times New Roman" w:hAnsi="Times New Roman" w:cs="Times New Roman"/>
        </w:rPr>
      </w:pPr>
      <w:r w:rsidRPr="006A1FDF">
        <w:rPr>
          <w:rFonts w:ascii="Times New Roman" w:hAnsi="Times New Roman" w:cs="Times New Roman"/>
        </w:rPr>
        <w:t>Aquaculture is a diverse enterprise with many species and rearing systems, allowing for seafood to be produced closer to consumers</w:t>
      </w:r>
      <w:r w:rsidR="00D86615">
        <w:rPr>
          <w:rFonts w:ascii="Times New Roman" w:hAnsi="Times New Roman" w:cs="Times New Roman"/>
        </w:rPr>
        <w:fldChar w:fldCharType="begin"/>
      </w:r>
      <w:r w:rsidR="00095097">
        <w:rPr>
          <w:rFonts w:ascii="Times New Roman" w:hAnsi="Times New Roman" w:cs="Times New Roman"/>
        </w:rPr>
        <w:instrText xml:space="preserve"> ADDIN ZOTERO_ITEM CSL_CITATION {"citationID":"a2ahnubmjni","properties":{"formattedCitation":"\\super 3\\nosupersub{}","plainCitation":"3","noteIndex":0},"citationItems":[{"id":1692,"uris":["http://zotero.org/users/9431846/items/A6LFH96A"],"itemData":{"id":1692,"type":"book","ISBN":"978-92-5-136367-6","language":"en","note":"DOI: 10.4060/cc0463en","publisher":"FAO","source":"DOI.org (Crossref)","title":"In Brief to The State of World Fisheries and Aquaculture 2022","URL":"http://www.fao.org/documents/card/en/c/cc0463en","accessed":{"date-parts":[["2022",8,27]]},"issued":{"date-parts":[["2022",6,28]]}}}],"schema":"https://github.com/citation-style-language/schema/raw/master/csl-citation.json"} </w:instrText>
      </w:r>
      <w:r w:rsidR="00D86615">
        <w:rPr>
          <w:rFonts w:ascii="Times New Roman" w:hAnsi="Times New Roman" w:cs="Times New Roman"/>
        </w:rPr>
        <w:fldChar w:fldCharType="separate"/>
      </w:r>
      <w:r w:rsidR="00095097" w:rsidRPr="00095097">
        <w:rPr>
          <w:rFonts w:ascii="Times New Roman" w:hAnsi="Times New Roman" w:cs="Times New Roman"/>
          <w:szCs w:val="24"/>
          <w:vertAlign w:val="superscript"/>
        </w:rPr>
        <w:t>3</w:t>
      </w:r>
      <w:r w:rsidR="00D86615">
        <w:rPr>
          <w:rFonts w:ascii="Times New Roman" w:hAnsi="Times New Roman" w:cs="Times New Roman"/>
        </w:rPr>
        <w:fldChar w:fldCharType="end"/>
      </w:r>
      <w:r w:rsidR="00D86615">
        <w:rPr>
          <w:rFonts w:ascii="Times New Roman" w:hAnsi="Times New Roman" w:cs="Times New Roman"/>
        </w:rPr>
        <w:t>;</w:t>
      </w:r>
    </w:p>
    <w:p w14:paraId="2D5F61DF" w14:textId="5A7221E8" w:rsidR="00D94EC7" w:rsidRPr="006A1FDF" w:rsidRDefault="006A1FDF" w:rsidP="006A1FDF">
      <w:pPr>
        <w:pStyle w:val="ListParagraph"/>
        <w:numPr>
          <w:ilvl w:val="0"/>
          <w:numId w:val="4"/>
        </w:numPr>
        <w:spacing w:line="360" w:lineRule="auto"/>
        <w:jc w:val="both"/>
        <w:rPr>
          <w:rFonts w:ascii="Times New Roman" w:hAnsi="Times New Roman" w:cs="Times New Roman"/>
        </w:rPr>
      </w:pPr>
      <w:r w:rsidRPr="006A1FDF">
        <w:rPr>
          <w:rFonts w:ascii="Times New Roman" w:hAnsi="Times New Roman" w:cs="Times New Roman"/>
        </w:rPr>
        <w:t>Aquatic livestock are substantially more efficient than terrestrial livestock and can be raised with fewer feed inputs, less freshwater use, and a smaller carbon footprint</w:t>
      </w:r>
      <w:r w:rsidR="00517428">
        <w:rPr>
          <w:rFonts w:ascii="Times New Roman" w:hAnsi="Times New Roman" w:cs="Times New Roman"/>
        </w:rPr>
        <w:fldChar w:fldCharType="begin"/>
      </w:r>
      <w:r w:rsidR="00874FB2">
        <w:rPr>
          <w:rFonts w:ascii="Times New Roman" w:hAnsi="Times New Roman" w:cs="Times New Roman"/>
        </w:rPr>
        <w:instrText xml:space="preserve"> ADDIN ZOTERO_ITEM CSL_CITATION {"citationID":"a1er2i97cnp","properties":{"formattedCitation":"\\super 4\\nosupersub{}","plainCitation":"4","noteIndex":0},"citationItems":[{"id":234,"uris":["http://zotero.org/users/9431846/items/Y3522PFU"],"itemData":{"id":234,"type":"article-journal","abstract":"Fish and other aquatic foods (blue foods) present an opportunity for more sustainable diets1,2. Yet comprehensive comparison has been limited due to sparse inclusion of blue foods in environmental impact studies3,4 relative to the vast diversity of production5. Here we provide standardized estimates of greenhouse gas, nitrogen, phosphorus, freshwater and land stressors for species groups covering nearly three quarters of global production. We find that across all blue foods, farmed bivalves and seaweeds generate the lowest stressors. Capture fisheries predominantly generate greenhouse gas emissions, with small pelagic fishes generating lower emissions than all fed aquaculture, but flatfish and crustaceans generating the highest. Among farmed finfish and crustaceans, silver and bighead carps have the lowest greenhouse gas, nitrogen and phosphorus emissions, but highest water use, while farmed salmon and trout use the least land and water. Finally, we model intervention scenarios and find improving feed conversion ratios reduces stressors across all fed groups, increasing fish yield reduces land and water use by up to half, and optimizing gears reduces capture fishery emissions by more than half for some groups. Collectively, our analysis identifies high-performing blue foods, highlights opportunities to improve environmental performance, advances data-poor environmental assessments, and informs sustainable diets.","container-title":"Nature","DOI":"10.1038/s41586-021-03889-2","ISSN":"1476-4687","issue":"7876","language":"en","license":"2021 The Author(s), under exclusive licence to Springer Nature Limited","note":"number: 7876\npublisher: Nature Publishing Group","page":"360-365","source":"www.nature.com","title":"Environmental performance of blue foods","volume":"597","author":[{"family":"Gephart","given":"Jessica A."},{"family":"Henriksson","given":"Patrik J. G."},{"family":"Parker","given":"Robert W. R."},{"family":"Shepon","given":"Alon"},{"family":"Gorospe","given":"Kelvin D."},{"family":"Bergman","given":"Kristina"},{"family":"Eshel","given":"Gidon"},{"family":"Golden","given":"Christopher D."},{"family":"Halpern","given":"Benjamin S."},{"family":"Hornborg","given":"Sara"},{"family":"Jonell","given":"Malin"},{"family":"Metian","given":"Marc"},{"family":"Mifflin","given":"Kathleen"},{"family":"Newton","given":"Richard"},{"family":"Tyedmers","given":"Peter"},{"family":"Zhang","given":"Wenbo"},{"family":"Ziegler","given":"Friederike"},{"family":"Troell","given":"Max"}],"issued":{"date-parts":[["2021",9]]}}}],"schema":"https://github.com/citation-style-language/schema/raw/master/csl-citation.json"} </w:instrText>
      </w:r>
      <w:r w:rsidR="00517428">
        <w:rPr>
          <w:rFonts w:ascii="Times New Roman" w:hAnsi="Times New Roman" w:cs="Times New Roman"/>
        </w:rPr>
        <w:fldChar w:fldCharType="separate"/>
      </w:r>
      <w:r w:rsidR="00874FB2" w:rsidRPr="00874FB2">
        <w:rPr>
          <w:rFonts w:ascii="Times New Roman" w:hAnsi="Times New Roman" w:cs="Times New Roman"/>
          <w:szCs w:val="24"/>
          <w:vertAlign w:val="superscript"/>
        </w:rPr>
        <w:t>4</w:t>
      </w:r>
      <w:r w:rsidR="00517428">
        <w:rPr>
          <w:rFonts w:ascii="Times New Roman" w:hAnsi="Times New Roman" w:cs="Times New Roman"/>
        </w:rPr>
        <w:fldChar w:fldCharType="end"/>
      </w:r>
      <w:r w:rsidRPr="006A1FDF">
        <w:rPr>
          <w:rFonts w:ascii="Times New Roman" w:hAnsi="Times New Roman" w:cs="Times New Roman"/>
        </w:rPr>
        <w:t xml:space="preserve">.  </w:t>
      </w:r>
    </w:p>
    <w:p w14:paraId="0C457023" w14:textId="3CD7C609" w:rsidR="00D17F1B" w:rsidRPr="0074276B" w:rsidRDefault="002A567E" w:rsidP="00461BFC">
      <w:pPr>
        <w:spacing w:line="360" w:lineRule="auto"/>
        <w:ind w:firstLine="720"/>
        <w:contextualSpacing/>
        <w:jc w:val="both"/>
        <w:rPr>
          <w:rFonts w:ascii="Times New Roman" w:hAnsi="Times New Roman" w:cs="Times New Roman"/>
        </w:rPr>
      </w:pPr>
      <w:r>
        <w:rPr>
          <w:rFonts w:ascii="Times New Roman" w:hAnsi="Times New Roman" w:cs="Times New Roman"/>
        </w:rPr>
        <w:t xml:space="preserve">Among </w:t>
      </w:r>
      <w:r w:rsidR="00D86601">
        <w:rPr>
          <w:rFonts w:ascii="Times New Roman" w:hAnsi="Times New Roman" w:cs="Times New Roman"/>
        </w:rPr>
        <w:t xml:space="preserve">the blue foods, </w:t>
      </w:r>
      <w:r w:rsidR="00AA2FFC">
        <w:rPr>
          <w:rFonts w:ascii="Times New Roman" w:hAnsi="Times New Roman" w:cs="Times New Roman"/>
        </w:rPr>
        <w:t>aquaculture of fed farmed fish represents the majority</w:t>
      </w:r>
      <w:r w:rsidR="009267F2">
        <w:rPr>
          <w:rFonts w:ascii="Times New Roman" w:hAnsi="Times New Roman" w:cs="Times New Roman"/>
        </w:rPr>
        <w:fldChar w:fldCharType="begin"/>
      </w:r>
      <w:r w:rsidR="00A95868">
        <w:rPr>
          <w:rFonts w:ascii="Times New Roman" w:hAnsi="Times New Roman" w:cs="Times New Roman"/>
        </w:rPr>
        <w:instrText xml:space="preserve"> ADDIN ZOTERO_ITEM CSL_CITATION {"citationID":"a2s575eomk","properties":{"formattedCitation":"\\super 2\\nosupersub{}","plainCitation":"2","noteIndex":0},"citationItems":[{"id":44,"uris":["http://zotero.org/users/9431846/items/5I24RHNS"],"itemData":{"id":44,"type":"webpage","title":"FAO Fisheries &amp; Aquaculture","URL":"https://www.fao.org/fishery/en/global-search?q=statistics%20global-aquaculture-production%20en&amp;lang=en","accessed":{"date-parts":[["2022",4,24]]},"issued":{"date-parts":[["2022",4,24]]}}}],"schema":"https://github.com/citation-style-language/schema/raw/master/csl-citation.json"} </w:instrText>
      </w:r>
      <w:r w:rsidR="009267F2">
        <w:rPr>
          <w:rFonts w:ascii="Times New Roman" w:hAnsi="Times New Roman" w:cs="Times New Roman"/>
        </w:rPr>
        <w:fldChar w:fldCharType="separate"/>
      </w:r>
      <w:r w:rsidR="00174432" w:rsidRPr="00174432">
        <w:rPr>
          <w:rFonts w:ascii="Times New Roman" w:hAnsi="Times New Roman" w:cs="Times New Roman"/>
          <w:szCs w:val="24"/>
          <w:vertAlign w:val="superscript"/>
        </w:rPr>
        <w:t>2</w:t>
      </w:r>
      <w:r w:rsidR="009267F2">
        <w:rPr>
          <w:rFonts w:ascii="Times New Roman" w:hAnsi="Times New Roman" w:cs="Times New Roman"/>
        </w:rPr>
        <w:fldChar w:fldCharType="end"/>
      </w:r>
      <w:r w:rsidR="009267F2">
        <w:rPr>
          <w:rFonts w:ascii="Times New Roman" w:hAnsi="Times New Roman" w:cs="Times New Roman"/>
        </w:rPr>
        <w:t>, and thus is the focus of this review.</w:t>
      </w:r>
      <w:r w:rsidR="00AA2FFC">
        <w:rPr>
          <w:rFonts w:ascii="Times New Roman" w:hAnsi="Times New Roman" w:cs="Times New Roman"/>
        </w:rPr>
        <w:t xml:space="preserve"> </w:t>
      </w:r>
      <w:r w:rsidR="007771B7">
        <w:rPr>
          <w:rFonts w:ascii="Times New Roman" w:hAnsi="Times New Roman" w:cs="Times New Roman"/>
        </w:rPr>
        <w:t>Despite the relevance of aquaculture and other blue foods to improving the security and climate resilience of the global food system, s</w:t>
      </w:r>
      <w:r w:rsidR="007771B7" w:rsidRPr="00DC0D09">
        <w:rPr>
          <w:rFonts w:ascii="Times New Roman" w:hAnsi="Times New Roman" w:cs="Times New Roman"/>
        </w:rPr>
        <w:t>eafood is one of the most perishable and widely traded commodities in the world</w:t>
      </w:r>
      <w:r w:rsidR="007771B7" w:rsidRPr="00401A94">
        <w:rPr>
          <w:rFonts w:ascii="Times New Roman" w:hAnsi="Times New Roman" w:cs="Times New Roman"/>
          <w:vertAlign w:val="superscript"/>
        </w:rPr>
        <w:t>3</w:t>
      </w:r>
      <w:r w:rsidR="007771B7" w:rsidRPr="00DC0D09">
        <w:rPr>
          <w:rFonts w:ascii="Times New Roman" w:hAnsi="Times New Roman" w:cs="Times New Roman"/>
        </w:rPr>
        <w:t>, therefore the distribution network is energy-intensive and vulnerable to supply chain disruptions</w:t>
      </w:r>
      <w:r w:rsidR="007771B7">
        <w:rPr>
          <w:rFonts w:ascii="Times New Roman" w:hAnsi="Times New Roman" w:cs="Times New Roman"/>
        </w:rPr>
        <w:t xml:space="preserve">.  Thus, for aquaculture to fully realize its potential as a means of doing more with less in food production, one must consider both the associated opportunities and threats. </w:t>
      </w:r>
      <w:r w:rsidR="008816C2" w:rsidRPr="0074276B">
        <w:rPr>
          <w:rFonts w:ascii="Times New Roman" w:hAnsi="Times New Roman" w:cs="Times New Roman"/>
        </w:rPr>
        <w:t>As aquaculture continues to grow, so does the requirement for environmentally sustainable and cost-effective aquafeed</w:t>
      </w:r>
      <w:r w:rsidR="001013B0">
        <w:rPr>
          <w:rFonts w:ascii="Times New Roman" w:hAnsi="Times New Roman" w:cs="Times New Roman"/>
        </w:rPr>
        <w:t>s</w:t>
      </w:r>
      <w:r w:rsidR="00A733F3">
        <w:rPr>
          <w:rFonts w:ascii="Times New Roman" w:hAnsi="Times New Roman" w:cs="Times New Roman"/>
        </w:rPr>
        <w:t xml:space="preserve"> a</w:t>
      </w:r>
      <w:r w:rsidR="00004C00">
        <w:rPr>
          <w:rFonts w:ascii="Times New Roman" w:hAnsi="Times New Roman" w:cs="Times New Roman"/>
        </w:rPr>
        <w:t>s</w:t>
      </w:r>
      <w:r w:rsidR="00A733F3">
        <w:rPr>
          <w:rFonts w:ascii="Times New Roman" w:hAnsi="Times New Roman" w:cs="Times New Roman"/>
        </w:rPr>
        <w:t xml:space="preserve"> demand is expected to increase to</w:t>
      </w:r>
      <w:r w:rsidR="008816C2" w:rsidRPr="0074276B">
        <w:rPr>
          <w:rFonts w:ascii="Times New Roman" w:hAnsi="Times New Roman" w:cs="Times New Roman"/>
        </w:rPr>
        <w:t xml:space="preserve"> ~87 million tonnes by 2025</w:t>
      </w:r>
      <w:r w:rsidR="00C862B3">
        <w:rPr>
          <w:rFonts w:ascii="Times New Roman" w:hAnsi="Times New Roman" w:cs="Times New Roman"/>
        </w:rPr>
        <w:t xml:space="preserve"> </w:t>
      </w:r>
      <w:r w:rsidR="009B0329">
        <w:rPr>
          <w:rFonts w:ascii="Times New Roman" w:hAnsi="Times New Roman" w:cs="Times New Roman"/>
        </w:rPr>
        <w:fldChar w:fldCharType="begin"/>
      </w:r>
      <w:r w:rsidR="0012222E">
        <w:rPr>
          <w:rFonts w:ascii="Times New Roman" w:hAnsi="Times New Roman" w:cs="Times New Roman"/>
        </w:rPr>
        <w:instrText xml:space="preserve"> ADDIN ZOTERO_ITEM CSL_CITATION {"citationID":"pGc3CGiM","properties":{"formattedCitation":"\\super 5\\nosupersub{}","plainCitation":"5","noteIndex":0},"citationItems":[{"id":1011,"uris":["http://zotero.org/groups/4669668/items/RQUTRZM4"],"itemData":{"id":1011,"type":"article-journal","abstract":"The rise of aquaculture has attracted a great deal of attention and this has increased since the sector is now providing more fish and crustaceans than capture fisheries. This global prominence has been partly facilitated by the availability and on-farm provision of feed inputs within the major aquaculture producing countries. More than 70% of the total global aquaculture production is dependent upon the supply of external feed inputs. For the aquaculture sector to maintain its current growth rate, the supply of nutrient and feed inputs will have to grow at a similar rate, while aquatic ingredients production remains static and other sectors compete for same feed resources. This paper attempts to make a global analysis of aquaculture growth, its role in global food production, and to update the estimates of compound feed dependent fish and crustacean species.","container-title":"Reviews in Fisheries Science &amp; Aquaculture","DOI":"10.1080/23308249.2014.987209","ISSN":"2330-8249","issue":"1","note":"number: 1\npublisher: Taylor &amp; Francis\n_eprint: https://doi.org/10.1080/23308249.2014.987209","page":"1-10","source":"Taylor and Francis+NEJM","title":"Feed matters: satisfying the feed demand of aquaculture","title-short":"Feed matters","volume":"23","author":[{"family":"Tacon","given":"Albert G. J."},{"family":"Metian","given":"Marc"}],"issued":{"date-parts":[["2015",1,2]]}}}],"schema":"https://github.com/citation-style-language/schema/raw/master/csl-citation.json"} </w:instrText>
      </w:r>
      <w:r w:rsidR="009B0329">
        <w:rPr>
          <w:rFonts w:ascii="Times New Roman" w:hAnsi="Times New Roman" w:cs="Times New Roman"/>
        </w:rPr>
        <w:fldChar w:fldCharType="separate"/>
      </w:r>
      <w:r w:rsidR="0012222E" w:rsidRPr="0012222E">
        <w:rPr>
          <w:rFonts w:ascii="Times New Roman" w:hAnsi="Times New Roman" w:cs="Times New Roman"/>
          <w:szCs w:val="24"/>
          <w:vertAlign w:val="superscript"/>
        </w:rPr>
        <w:t>5</w:t>
      </w:r>
      <w:r w:rsidR="009B0329">
        <w:rPr>
          <w:rFonts w:ascii="Times New Roman" w:hAnsi="Times New Roman" w:cs="Times New Roman"/>
        </w:rPr>
        <w:fldChar w:fldCharType="end"/>
      </w:r>
      <w:r w:rsidR="0011790E">
        <w:rPr>
          <w:rFonts w:ascii="Times New Roman" w:hAnsi="Times New Roman" w:cs="Times New Roman"/>
        </w:rPr>
        <w:t>. I</w:t>
      </w:r>
      <w:r w:rsidR="008816C2" w:rsidRPr="0074276B">
        <w:rPr>
          <w:rFonts w:ascii="Times New Roman" w:hAnsi="Times New Roman" w:cs="Times New Roman"/>
        </w:rPr>
        <w:t xml:space="preserve">t is </w:t>
      </w:r>
      <w:r w:rsidR="00626E7C">
        <w:rPr>
          <w:rFonts w:ascii="Times New Roman" w:hAnsi="Times New Roman" w:cs="Times New Roman"/>
        </w:rPr>
        <w:t>imperative</w:t>
      </w:r>
      <w:r w:rsidR="008816C2" w:rsidRPr="0074276B">
        <w:rPr>
          <w:rFonts w:ascii="Times New Roman" w:hAnsi="Times New Roman" w:cs="Times New Roman"/>
        </w:rPr>
        <w:t xml:space="preserve"> to </w:t>
      </w:r>
      <w:r w:rsidR="0011790E">
        <w:rPr>
          <w:rFonts w:ascii="Times New Roman" w:hAnsi="Times New Roman" w:cs="Times New Roman"/>
        </w:rPr>
        <w:t xml:space="preserve">rethink uses of commonly used ingredients and actively develop new raw materials for use in aquafeeds. </w:t>
      </w:r>
      <w:proofErr w:type="gramStart"/>
      <w:r w:rsidR="0011790E">
        <w:rPr>
          <w:rFonts w:ascii="Times New Roman" w:hAnsi="Times New Roman" w:cs="Times New Roman"/>
        </w:rPr>
        <w:t>In doing so, there</w:t>
      </w:r>
      <w:proofErr w:type="gramEnd"/>
      <w:r w:rsidR="0011790E">
        <w:rPr>
          <w:rFonts w:ascii="Times New Roman" w:hAnsi="Times New Roman" w:cs="Times New Roman"/>
        </w:rPr>
        <w:t xml:space="preserve"> must be consideration for (over)reliance </w:t>
      </w:r>
      <w:r w:rsidR="00F85F2F">
        <w:rPr>
          <w:rFonts w:ascii="Times New Roman" w:hAnsi="Times New Roman" w:cs="Times New Roman"/>
        </w:rPr>
        <w:t xml:space="preserve">on </w:t>
      </w:r>
      <w:r w:rsidR="001013B0">
        <w:rPr>
          <w:rFonts w:ascii="Times New Roman" w:hAnsi="Times New Roman" w:cs="Times New Roman"/>
        </w:rPr>
        <w:t xml:space="preserve">finite </w:t>
      </w:r>
      <w:r w:rsidR="008816C2" w:rsidRPr="0074276B">
        <w:rPr>
          <w:rFonts w:ascii="Times New Roman" w:hAnsi="Times New Roman" w:cs="Times New Roman"/>
        </w:rPr>
        <w:t>natural resources</w:t>
      </w:r>
      <w:r w:rsidR="00F85F2F">
        <w:rPr>
          <w:rFonts w:ascii="Times New Roman" w:hAnsi="Times New Roman" w:cs="Times New Roman"/>
        </w:rPr>
        <w:t>, effects on ecosystem functionality and continued provision of ecosystem services, and the potential for countering climate change or mitigating its effects</w:t>
      </w:r>
      <w:r w:rsidR="00ED51D2">
        <w:rPr>
          <w:rFonts w:ascii="Times New Roman" w:hAnsi="Times New Roman" w:cs="Times New Roman"/>
        </w:rPr>
        <w:t xml:space="preserve">. </w:t>
      </w:r>
      <w:r w:rsidR="008816C2" w:rsidRPr="0074276B">
        <w:rPr>
          <w:rFonts w:ascii="Times New Roman" w:hAnsi="Times New Roman" w:cs="Times New Roman"/>
        </w:rPr>
        <w:t xml:space="preserve">Aquaculture has become the largest consumer of global fishmeal (FM) and fish oil (FO) </w:t>
      </w:r>
      <w:r w:rsidR="004A31F5">
        <w:rPr>
          <w:rFonts w:ascii="Times New Roman" w:hAnsi="Times New Roman" w:cs="Times New Roman"/>
        </w:rPr>
        <w:t>supplies</w:t>
      </w:r>
      <w:r w:rsidR="008816C2" w:rsidRPr="0074276B">
        <w:rPr>
          <w:rFonts w:ascii="Times New Roman" w:hAnsi="Times New Roman" w:cs="Times New Roman"/>
        </w:rPr>
        <w:t>, accounting for 68% and 89%</w:t>
      </w:r>
      <w:r w:rsidR="00400589">
        <w:rPr>
          <w:rFonts w:ascii="Times New Roman" w:hAnsi="Times New Roman" w:cs="Times New Roman"/>
        </w:rPr>
        <w:t xml:space="preserve"> of annual production</w:t>
      </w:r>
      <w:r w:rsidR="008816C2" w:rsidRPr="0074276B">
        <w:rPr>
          <w:rFonts w:ascii="Times New Roman" w:hAnsi="Times New Roman" w:cs="Times New Roman"/>
        </w:rPr>
        <w:t>, respectivel</w:t>
      </w:r>
      <w:r w:rsidR="00EE1F7D">
        <w:rPr>
          <w:rFonts w:ascii="Times New Roman" w:hAnsi="Times New Roman" w:cs="Times New Roman"/>
        </w:rPr>
        <w:t>y</w:t>
      </w:r>
      <w:r w:rsidR="00015F85">
        <w:rPr>
          <w:rFonts w:ascii="Times New Roman" w:hAnsi="Times New Roman" w:cs="Times New Roman"/>
        </w:rPr>
        <w:t xml:space="preserve"> </w:t>
      </w:r>
      <w:r w:rsidR="00015F85" w:rsidRPr="00015F85">
        <w:rPr>
          <w:rFonts w:ascii="Times New Roman" w:hAnsi="Times New Roman" w:cs="Times New Roman"/>
        </w:rPr>
        <w:fldChar w:fldCharType="begin"/>
      </w:r>
      <w:r w:rsidR="003339D3">
        <w:rPr>
          <w:rFonts w:ascii="Times New Roman" w:hAnsi="Times New Roman" w:cs="Times New Roman"/>
        </w:rPr>
        <w:instrText xml:space="preserve"> ADDIN ZOTERO_ITEM CSL_CITATION {"citationID":"ae1keu202g","properties":{"formattedCitation":"\\super 6\\nosupersub{}","plainCitation":"6","noteIndex":0},"citationItems":[{"id":1044,"uris":["http://zotero.org/groups/4669668/items/YHGZC8N6"],"itemData":{"id":1044,"type":"article-journal","abstract":"Approximately 70% of the aquatic-based production of animals is fed aquaculture, whereby animals are provided with high-protein aquafeeds. Currently, aquafeeds are reliant on fish meal and fish oil sourced from wild-captured forage fish. However, increasing use of forage fish is unsustainable and, because an additional 37.4 million tons of aquafeeds will be required by 2025, alternative protein sources are needed. Beyond plant-based ingredients, fishery and aquaculture byproducts and insect meals have the greatest potential to supply the protein required by aquafeeds over the next 10–20 years. Food waste also has potential through the biotransformation and/or bioconversion of raw waste materials, whereas microbial and macroalgal biomass have limitations regarding their scalability and protein content, respectively. In this review, we describe the considerable scope for improved efficiency in fed aquaculture and discuss the development and optimization of alternative protein sources for aquafeeds to ensure a socially and environmentally sustainable future for the aquaculture industry.","container-title":"One Earth","DOI":"10.1016/j.oneear.2019.10.018","ISSN":"2590-3322","issue":"3","journalAbbreviation":"One Earth","language":"en","note":"number: 3","page":"316-329","source":"ScienceDirect","title":"The future of aquatic protein: implications for protein sources in aquaculture diets","title-short":"The future of aquatic protein","volume":"1","author":[{"family":"Hua","given":"Katheline"},{"family":"Cobcroft","given":"Jennifer M."},{"family":"Cole","given":"Andrew"},{"family":"Condon","given":"Kelly"},{"family":"Jerry","given":"Dean R."},{"family":"Mangott","given":"Arnold"},{"family":"Praeger","given":"Christina"},{"family":"Vucko","given":"Matthew J."},{"family":"Zeng","given":"Chaoshu"},{"family":"Zenger","given":"Kyall"},{"family":"Strugnell","given":"Jan M."}],"issued":{"date-parts":[["2019",11,22]]}}}],"schema":"https://github.com/citation-style-language/schema/raw/master/csl-citation.json"} </w:instrText>
      </w:r>
      <w:r w:rsidR="00015F85" w:rsidRPr="00015F85">
        <w:rPr>
          <w:rFonts w:ascii="Times New Roman" w:hAnsi="Times New Roman" w:cs="Times New Roman"/>
        </w:rPr>
        <w:fldChar w:fldCharType="separate"/>
      </w:r>
      <w:r w:rsidR="003339D3" w:rsidRPr="003339D3">
        <w:rPr>
          <w:rFonts w:ascii="Times New Roman" w:hAnsi="Times New Roman" w:cs="Times New Roman"/>
          <w:szCs w:val="24"/>
          <w:vertAlign w:val="superscript"/>
        </w:rPr>
        <w:t>6</w:t>
      </w:r>
      <w:r w:rsidR="00015F85" w:rsidRPr="00015F85">
        <w:rPr>
          <w:rFonts w:ascii="Times New Roman" w:hAnsi="Times New Roman" w:cs="Times New Roman"/>
        </w:rPr>
        <w:fldChar w:fldCharType="end"/>
      </w:r>
      <w:r w:rsidR="00400589">
        <w:rPr>
          <w:rFonts w:ascii="Times New Roman" w:hAnsi="Times New Roman" w:cs="Times New Roman"/>
        </w:rPr>
        <w:t>. In response to economic and sustainability concerns, over the past 20 years</w:t>
      </w:r>
      <w:r w:rsidR="00D5133E">
        <w:rPr>
          <w:rFonts w:ascii="Times New Roman" w:hAnsi="Times New Roman" w:cs="Times New Roman"/>
        </w:rPr>
        <w:t xml:space="preserve"> the </w:t>
      </w:r>
      <w:r w:rsidR="00031E04" w:rsidRPr="00031E04">
        <w:rPr>
          <w:rFonts w:ascii="Times New Roman" w:hAnsi="Times New Roman" w:cs="Times New Roman"/>
        </w:rPr>
        <w:t xml:space="preserve">aquaculture sector has made considerable progress in </w:t>
      </w:r>
      <w:r w:rsidR="007E677A">
        <w:rPr>
          <w:rFonts w:ascii="Times New Roman" w:hAnsi="Times New Roman" w:cs="Times New Roman"/>
        </w:rPr>
        <w:t>reducing FM and FO inclusion rates and using marine resources more judiciously</w:t>
      </w:r>
      <w:r w:rsidR="007B2BB7">
        <w:rPr>
          <w:rFonts w:ascii="Times New Roman" w:hAnsi="Times New Roman" w:cs="Times New Roman"/>
        </w:rPr>
        <w:fldChar w:fldCharType="begin"/>
      </w:r>
      <w:r w:rsidR="00AD79E3">
        <w:rPr>
          <w:rFonts w:ascii="Times New Roman" w:hAnsi="Times New Roman" w:cs="Times New Roman"/>
        </w:rPr>
        <w:instrText xml:space="preserve"> ADDIN ZOTERO_ITEM CSL_CITATION {"citationID":"a2dn36reh4r","properties":{"formattedCitation":"\\super 7\\nosupersub{}","plainCitation":"7","noteIndex":0},"citationItems":[{"id":838,"uris":["http://zotero.org/groups/4669668/items/J6BPY283"],"itemData":{"id":838,"type":"article-journal","abstract":"The sustainability of aquaculture has been debated intensely since 2000, when a review on the net contribution of aquaculture to world fish supplies was published in Nature. This paper reviews the developments in global aquaculture from 1997 to 2017, incorporating all industry sub-sectors and highlighting the integration of aquaculture in the global food system. Inland aquaculture—especially in Asia—has contributed the most to global production volumes and food security. Major gains have also occurred in aquaculture feed efficiency and fish nutrition, lowering the fish-in–fish-out ratio for all fed species, although the dependence on marine ingredients persists and reliance on terrestrial ingredients has increased. The culture of both molluscs and seaweed is increasingly recognized for its ecosystem services; however, the quantification, valuation, and market development of these services remain rare. The potential for molluscs and seaweed to support global nutritional security is underexploited. Management of pathogens, parasites, and pests remains a sustainability challenge industry-wide, and the effects of climate change on aquaculture remain uncertain and difficult to validate. Pressure on the aquaculture industry to embrace comprehensive sustainability measures during this 20-year period have improved the governance, technology, siting, and management in many cases.","container-title":"Nature","DOI":"10.1038/s41586-021-03308-6","ISSN":"1476-4687","issue":"7851","language":"en","license":"2021 Springer Nature Limited","note":"number: 7851\npublisher: Nature Publishing Group","page":"551-563","source":"www.nature.com","title":"A 20-year retrospective review of global aquaculture","volume":"591","author":[{"family":"Naylor","given":"Rosamond L."},{"family":"Hardy","given":"Ronald W."},{"family":"Buschmann","given":"Alejandro H."},{"family":"Bush","given":"Simon R."},{"family":"Cao","given":"Ling"},{"family":"Klinger","given":"Dane H."},{"family":"Little","given":"David C."},{"family":"Lubchenco","given":"Jane"},{"family":"Shumway","given":"Sandra E."},{"family":"Troell","given":"Max"}],"issued":{"date-parts":[["2021",3]]}}}],"schema":"https://github.com/citation-style-language/schema/raw/master/csl-citation.json"} </w:instrText>
      </w:r>
      <w:r w:rsidR="007B2BB7">
        <w:rPr>
          <w:rFonts w:ascii="Times New Roman" w:hAnsi="Times New Roman" w:cs="Times New Roman"/>
        </w:rPr>
        <w:fldChar w:fldCharType="separate"/>
      </w:r>
      <w:r w:rsidR="00AD79E3" w:rsidRPr="00AD79E3">
        <w:rPr>
          <w:rFonts w:ascii="Times New Roman" w:hAnsi="Times New Roman" w:cs="Times New Roman"/>
          <w:szCs w:val="24"/>
          <w:vertAlign w:val="superscript"/>
        </w:rPr>
        <w:t>7</w:t>
      </w:r>
      <w:r w:rsidR="007B2BB7">
        <w:rPr>
          <w:rFonts w:ascii="Times New Roman" w:hAnsi="Times New Roman" w:cs="Times New Roman"/>
        </w:rPr>
        <w:fldChar w:fldCharType="end"/>
      </w:r>
      <w:r w:rsidR="00031E04" w:rsidRPr="00031E04">
        <w:rPr>
          <w:rFonts w:ascii="Times New Roman" w:hAnsi="Times New Roman" w:cs="Times New Roman"/>
        </w:rPr>
        <w:t xml:space="preserve">. </w:t>
      </w:r>
      <w:r w:rsidR="003C6F15">
        <w:rPr>
          <w:rFonts w:ascii="Times New Roman" w:hAnsi="Times New Roman" w:cs="Times New Roman"/>
        </w:rPr>
        <w:t>A</w:t>
      </w:r>
      <w:r w:rsidR="002222ED">
        <w:rPr>
          <w:rFonts w:ascii="Times New Roman" w:hAnsi="Times New Roman" w:cs="Times New Roman"/>
        </w:rPr>
        <w:t>s a result</w:t>
      </w:r>
      <w:r w:rsidR="003C6F15">
        <w:rPr>
          <w:rFonts w:ascii="Times New Roman" w:hAnsi="Times New Roman" w:cs="Times New Roman"/>
        </w:rPr>
        <w:t>, m</w:t>
      </w:r>
      <w:r w:rsidR="008816C2" w:rsidRPr="0074276B">
        <w:rPr>
          <w:rFonts w:ascii="Times New Roman" w:hAnsi="Times New Roman" w:cs="Times New Roman"/>
        </w:rPr>
        <w:t xml:space="preserve">ost modern </w:t>
      </w:r>
      <w:r w:rsidR="006C003C">
        <w:rPr>
          <w:rFonts w:ascii="Times New Roman" w:hAnsi="Times New Roman" w:cs="Times New Roman"/>
        </w:rPr>
        <w:t xml:space="preserve">commercial </w:t>
      </w:r>
      <w:r w:rsidR="008816C2" w:rsidRPr="0074276B">
        <w:rPr>
          <w:rFonts w:ascii="Times New Roman" w:hAnsi="Times New Roman" w:cs="Times New Roman"/>
        </w:rPr>
        <w:t>aquafeed</w:t>
      </w:r>
      <w:r w:rsidR="006C003C">
        <w:rPr>
          <w:rFonts w:ascii="Times New Roman" w:hAnsi="Times New Roman" w:cs="Times New Roman"/>
        </w:rPr>
        <w:t>s</w:t>
      </w:r>
      <w:r w:rsidR="008816C2" w:rsidRPr="0074276B">
        <w:rPr>
          <w:rFonts w:ascii="Times New Roman" w:hAnsi="Times New Roman" w:cs="Times New Roman"/>
        </w:rPr>
        <w:t xml:space="preserve"> are now predominantly composed of terrestrial plant materials and animal by-product</w:t>
      </w:r>
      <w:r w:rsidR="00EE1F7D">
        <w:rPr>
          <w:rFonts w:ascii="Times New Roman" w:hAnsi="Times New Roman" w:cs="Times New Roman"/>
        </w:rPr>
        <w:t>s</w:t>
      </w:r>
      <w:r w:rsidR="00A74F31">
        <w:rPr>
          <w:rFonts w:ascii="Times New Roman" w:hAnsi="Times New Roman" w:cs="Times New Roman"/>
        </w:rPr>
        <w:t xml:space="preserve"> </w:t>
      </w:r>
      <w:r w:rsidR="00461BFC" w:rsidRPr="005F03E1">
        <w:rPr>
          <w:rFonts w:ascii="Times New Roman" w:hAnsi="Times New Roman" w:cs="Times New Roman"/>
        </w:rPr>
        <w:fldChar w:fldCharType="begin"/>
      </w:r>
      <w:r w:rsidR="00AE720B">
        <w:rPr>
          <w:rFonts w:ascii="Times New Roman" w:hAnsi="Times New Roman" w:cs="Times New Roman"/>
        </w:rPr>
        <w:instrText xml:space="preserve"> ADDIN ZOTERO_ITEM CSL_CITATION {"citationID":"a8l08c9r4e","properties":{"formattedCitation":"\\super 8\\nosupersub{}","plainCitation":"8","noteIndex":0},"citationItems":[{"id":866,"uris":["http://zotero.org/groups/4669668/items/BWK56QNC"],"itemData":{"id":866,"type":"chapter","abstract":"Most marine cultured fishes are carnivores and for this reason manufactured feeds have historically incorporated fish meal and fish oil to meet nutritional requirements, particularly dietary amino acid, fatty acid, and micronutrient requirements. While this generally results in rapid growth and high feed efficiency, it also makes aquaculture reliant on capture fisheries of forage species for rendering into feed ingredients. This approach is expensive, energetically inefficient, and often harmful to the environment. As a result, there is great interest in partial or even complete replacement of marine-based feed ingredients with plant-derived proteins and lipids, but such feeds can be less digestible and result in nutritional deficiencies in aquatic carnivores. This chapter will outline the physiological impacts of feeding plant-based diets to carnivorous fish and the progress that has been made in formulating such diets to meet the nutritional requirement of aquaculture species.","collection-title":"Aquaculture","container-title":"Fish Physiology","language":"en","note":"DOI: 10.1016/bs.fp.2020.09.002","page":"53-82","publisher":"Academic Press","source":"ScienceDirect","title":"Chapter 2 - Physiological considerations in shifting carnivorous fishes to plant-based diets","URL":"https://www.sciencedirect.com/science/article/pii/S1546509820300029","volume":"38","author":[{"family":"Colombo","given":"Stefanie M."}],"editor":[{"family":"Benfey","given":"Tillmann J."},{"family":"Farrell","given":"Anthony P."},{"family":"Brauner","given":"Colin J."}],"accessed":{"date-parts":[["2022",4,22]]},"issued":{"date-parts":[["2020",1,1]]}}}],"schema":"https://github.com/citation-style-language/schema/raw/master/csl-citation.json"} </w:instrText>
      </w:r>
      <w:r w:rsidR="00461BFC" w:rsidRPr="005F03E1">
        <w:rPr>
          <w:rFonts w:ascii="Times New Roman" w:hAnsi="Times New Roman" w:cs="Times New Roman"/>
        </w:rPr>
        <w:fldChar w:fldCharType="separate"/>
      </w:r>
      <w:r w:rsidR="00AE720B" w:rsidRPr="00AE720B">
        <w:rPr>
          <w:rFonts w:ascii="Times New Roman" w:hAnsi="Times New Roman" w:cs="Times New Roman"/>
          <w:szCs w:val="24"/>
          <w:vertAlign w:val="superscript"/>
        </w:rPr>
        <w:t>8</w:t>
      </w:r>
      <w:r w:rsidR="00461BFC" w:rsidRPr="005F03E1">
        <w:rPr>
          <w:rFonts w:ascii="Times New Roman" w:hAnsi="Times New Roman" w:cs="Times New Roman"/>
        </w:rPr>
        <w:fldChar w:fldCharType="end"/>
      </w:r>
      <w:r w:rsidR="008816C2" w:rsidRPr="0074276B">
        <w:rPr>
          <w:rFonts w:ascii="Times New Roman" w:hAnsi="Times New Roman" w:cs="Times New Roman"/>
        </w:rPr>
        <w:t xml:space="preserve">. </w:t>
      </w:r>
      <w:r w:rsidR="002222ED">
        <w:rPr>
          <w:rFonts w:ascii="Times New Roman" w:hAnsi="Times New Roman" w:cs="Times New Roman"/>
        </w:rPr>
        <w:t xml:space="preserve">The industry’s reliance on marine-origin raw materials has shifted to terrestrial feedstuffs, and </w:t>
      </w:r>
      <w:r w:rsidR="002222ED">
        <w:rPr>
          <w:rFonts w:ascii="Times New Roman" w:hAnsi="Times New Roman" w:cs="Times New Roman"/>
        </w:rPr>
        <w:lastRenderedPageBreak/>
        <w:t xml:space="preserve">aquaculture now indirectly assumes many of the inputs and externalities associated with terrestrial agriculture, </w:t>
      </w:r>
      <w:r w:rsidR="008816C2" w:rsidRPr="0074276B">
        <w:rPr>
          <w:rFonts w:ascii="Times New Roman" w:hAnsi="Times New Roman" w:cs="Times New Roman"/>
        </w:rPr>
        <w:t>such as freshwater use, deforestation</w:t>
      </w:r>
      <w:r w:rsidR="00E66E12">
        <w:rPr>
          <w:rFonts w:ascii="Times New Roman" w:hAnsi="Times New Roman" w:cs="Times New Roman"/>
        </w:rPr>
        <w:t xml:space="preserve"> and other types of habitat modification</w:t>
      </w:r>
      <w:r w:rsidR="008816C2" w:rsidRPr="0074276B">
        <w:rPr>
          <w:rFonts w:ascii="Times New Roman" w:hAnsi="Times New Roman" w:cs="Times New Roman"/>
        </w:rPr>
        <w:t xml:space="preserve">, areal footprint, pesticide and fertilizer use, irrigation, and </w:t>
      </w:r>
      <w:r w:rsidR="00411C57">
        <w:rPr>
          <w:rFonts w:ascii="Times New Roman" w:hAnsi="Times New Roman" w:cs="Times New Roman"/>
        </w:rPr>
        <w:t>nutrient</w:t>
      </w:r>
      <w:r w:rsidR="008816C2" w:rsidRPr="0074276B">
        <w:rPr>
          <w:rFonts w:ascii="Times New Roman" w:hAnsi="Times New Roman" w:cs="Times New Roman"/>
        </w:rPr>
        <w:t xml:space="preserve"> run-off</w:t>
      </w:r>
      <w:r w:rsidR="00411C57">
        <w:rPr>
          <w:rFonts w:ascii="Times New Roman" w:hAnsi="Times New Roman" w:cs="Times New Roman"/>
        </w:rPr>
        <w:t xml:space="preserve"> leading to aquatic </w:t>
      </w:r>
      <w:r w:rsidR="00411C57" w:rsidRPr="00F52E88">
        <w:rPr>
          <w:rFonts w:ascii="Times New Roman" w:hAnsi="Times New Roman" w:cs="Times New Roman"/>
        </w:rPr>
        <w:t>pollutio</w:t>
      </w:r>
      <w:r w:rsidR="00EE1F7D" w:rsidRPr="00F52E88">
        <w:rPr>
          <w:rFonts w:ascii="Times New Roman" w:hAnsi="Times New Roman" w:cs="Times New Roman"/>
        </w:rPr>
        <w:t xml:space="preserve">n </w:t>
      </w:r>
      <w:r w:rsidR="005F03E1" w:rsidRPr="00F52E88">
        <w:rPr>
          <w:rFonts w:ascii="Times New Roman" w:hAnsi="Times New Roman" w:cs="Times New Roman"/>
        </w:rPr>
        <w:fldChar w:fldCharType="begin"/>
      </w:r>
      <w:r w:rsidR="003B15F7">
        <w:rPr>
          <w:rFonts w:ascii="Times New Roman" w:hAnsi="Times New Roman" w:cs="Times New Roman"/>
        </w:rPr>
        <w:instrText xml:space="preserve"> ADDIN ZOTERO_ITEM CSL_CITATION {"citationID":"a1jukrit7o7","properties":{"formattedCitation":"\\super 9,10\\nosupersub{}","plainCitation":"9,10","noteIndex":0},"citationItems":[{"id":864,"uris":["http://zotero.org/groups/4669668/items/3LEQCQBM"],"itemData":{"id":864,"type":"article-journal","abstract":"Half of the seafood consumed globally now comes from aquaculture, or farmed seafood. Aquaculture therefore plays an increasingly important role in the global food system, the environment, and human health. Traditionally, aquaculture feed has contained high levels of wild fish, which is unsustainable for ocean ecosystems as demand grows. The aquaculture industry is shifting to crop-based feed ingredients, such as soy, to replace wild fish as a feed source and allow for continued industry growth. This shift fundamentally links seafood production to terrestrial agriculture, and multidisciplinary research is needed to understand the ecological and environmental health implications. We provide basic estimates of the agricultural resource use associated with producing the top five crops used in commercial aquaculture feed. Aquaculture's environmental footprint may now include nutrient and pesticide runoff from industrial crop production, and depending on where and how feed crops are produced, could be indirectly linked to associated negative health outcomes. We summarize key environmental health research on health effects associated with exposure to air, water, and soil contaminated by industrial crop production. Our review also finds that changes in the nutritional content of farmed seafood products due to altered feed composition could impact human nutrition. Based on our literature reviews and estimates of resource use, we present a conceptual framework describing the potential links between increasing use of crop-based ingredients in aquaculture and human health. Additional data and geographic sourcing information for crop-based ingredients are needed to fully assess the environmental health implications of this trend. This is especially critical in the context of a food system that is using both aquatic and terrestrial resources at unsustainable rates.","container-title":"Environment International","DOI":"10.1016/j.envint.2016.02.022","ISSN":"0160-4120","journalAbbreviation":"Environment International","language":"en","page":"201-214","source":"ScienceDirect","title":"Environmental health impacts of feeding crops to farmed fish","volume":"91","author":[{"family":"Fry","given":"Jillian P."},{"family":"Love","given":"David C."},{"family":"MacDonald","given":"Graham K."},{"family":"West","given":"Paul C."},{"family":"Engstrom","given":"Peder M."},{"family":"Nachman","given":"Keeve E."},{"family":"Lawrence","given":"Robert S."}],"issued":{"date-parts":[["2016",5,1]]}}},{"id":865,"uris":["http://zotero.org/groups/4669668/items/KR49EGLK"],"itemData":{"id":865,"type":"article-journal","abstract":"As aquaculture becomes more important for feeding the growing world population, so too do the required natural resources needed to produce aquaculture feed. While there is potential to replace fish meal and fish oil with terrestrial feed ingredients, it is important to understand both the positive and negative implications of such a development. The use of feed with a large proportion of terrestrial feed may reduce the pressure on fisheries to provide feed for fish, but at the same time it may significantly increase the pressure on freshwater resources, due to water consumption and pollution in crop production for aquafeed. Here the green, blue and gray water footprint of cultured fish and crustaceans related to the production of commercial feed for the year 2008 has been determined for the major farmed species, representing 88% of total fed production. The green, blue and gray production-weighted average feed water footprints of fish and crustaceans fed commercial aquafeed are estimated at 1629m3/t, 179m3/t and 166m3/t, respectively. The estimated global total water footprint of commercial aquafeed was 31–35km3 in 2008. The top five contributors to the total water footprint of commercial feed are Nile tilapia, Grass carp, Whiteleg shrimp, Common carp and Atlantic salmon, which together have a water footprint of 18.2km3. An analysis of alternative diets revealed that the replacement of fish meal and fish oil with terrestrial feed ingredients may further increase pressure on freshwater resources. At the same time economic consumptive water productivity may be reduced, especially for carnivorous species. The results of the present study show that, for the aquaculture sector to grow sustainably, freshwater consumption and pollution due to aquafeed need to be taken into account.","container-title":"Science of The Total Environment","DOI":"10.1016/j.scitotenv.2015.07.124","ISSN":"0048-9697","journalAbbreviation":"Science of The Total Environment","language":"en","page":"847-857","source":"ScienceDirect","title":"Increasing pressure on freshwater resources due to terrestrial feed ingredients for aquaculture production","volume":"536","author":[{"family":"Pahlow","given":"M."},{"family":"Oel","given":"P. R.","non-dropping-particle":"van"},{"family":"Mekonnen","given":"M. M."},{"family":"Hoekstra","given":"A. Y."}],"issued":{"date-parts":[["2015",12,1]]}}}],"schema":"https://github.com/citation-style-language/schema/raw/master/csl-citation.json"} </w:instrText>
      </w:r>
      <w:r w:rsidR="005F03E1" w:rsidRPr="00F52E88">
        <w:rPr>
          <w:rFonts w:ascii="Times New Roman" w:hAnsi="Times New Roman" w:cs="Times New Roman"/>
        </w:rPr>
        <w:fldChar w:fldCharType="separate"/>
      </w:r>
      <w:r w:rsidR="003B15F7" w:rsidRPr="003B15F7">
        <w:rPr>
          <w:rFonts w:ascii="Times New Roman" w:hAnsi="Times New Roman" w:cs="Times New Roman"/>
          <w:szCs w:val="24"/>
          <w:vertAlign w:val="superscript"/>
        </w:rPr>
        <w:t>9,10</w:t>
      </w:r>
      <w:r w:rsidR="005F03E1" w:rsidRPr="00F52E88">
        <w:rPr>
          <w:rFonts w:ascii="Times New Roman" w:hAnsi="Times New Roman" w:cs="Times New Roman"/>
        </w:rPr>
        <w:fldChar w:fldCharType="end"/>
      </w:r>
      <w:r w:rsidR="008816C2" w:rsidRPr="00F52E88">
        <w:rPr>
          <w:rFonts w:ascii="Times New Roman" w:hAnsi="Times New Roman" w:cs="Times New Roman"/>
        </w:rPr>
        <w:t xml:space="preserve">. </w:t>
      </w:r>
      <w:r w:rsidR="00E25E1E">
        <w:rPr>
          <w:rFonts w:ascii="Times New Roman" w:hAnsi="Times New Roman" w:cs="Times New Roman"/>
        </w:rPr>
        <w:t>Without mindful</w:t>
      </w:r>
      <w:r w:rsidR="005F6FCF">
        <w:rPr>
          <w:rFonts w:ascii="Times New Roman" w:hAnsi="Times New Roman" w:cs="Times New Roman"/>
        </w:rPr>
        <w:t>,</w:t>
      </w:r>
      <w:r w:rsidR="00E25E1E">
        <w:rPr>
          <w:rFonts w:ascii="Times New Roman" w:hAnsi="Times New Roman" w:cs="Times New Roman"/>
        </w:rPr>
        <w:t xml:space="preserve"> comprehensive consideration of a feed formulation’s total environmental cost, one risks trading the ecological consequences of one ingredient type for another with equal or greater impacts, thereby</w:t>
      </w:r>
      <w:r w:rsidR="000A34D9">
        <w:rPr>
          <w:rFonts w:ascii="Times New Roman" w:hAnsi="Times New Roman" w:cs="Times New Roman"/>
        </w:rPr>
        <w:t xml:space="preserve"> diminishing aquaculture’s ability to </w:t>
      </w:r>
      <w:r w:rsidR="001E2200" w:rsidRPr="001E2200">
        <w:rPr>
          <w:rFonts w:ascii="Times New Roman" w:hAnsi="Times New Roman" w:cs="Times New Roman"/>
        </w:rPr>
        <w:t>add resilience</w:t>
      </w:r>
      <w:r w:rsidR="001E2200">
        <w:rPr>
          <w:rFonts w:ascii="Times New Roman" w:hAnsi="Times New Roman" w:cs="Times New Roman"/>
        </w:rPr>
        <w:t xml:space="preserve"> to the global food system</w:t>
      </w:r>
      <w:r w:rsidR="00534078">
        <w:rPr>
          <w:rFonts w:ascii="Times New Roman" w:hAnsi="Times New Roman" w:cs="Times New Roman"/>
        </w:rPr>
        <w:fldChar w:fldCharType="begin"/>
      </w:r>
      <w:r w:rsidR="00E257E2">
        <w:rPr>
          <w:rFonts w:ascii="Times New Roman" w:hAnsi="Times New Roman" w:cs="Times New Roman"/>
        </w:rPr>
        <w:instrText xml:space="preserve"> ADDIN ZOTERO_ITEM CSL_CITATION {"citationID":"ahkbvdn0lo","properties":{"formattedCitation":"\\super 11\\nosupersub{}","plainCitation":"11","noteIndex":0},"citationItems":[{"id":3,"uris":["http://zotero.org/users/9431846/items/8RW82MQY"],"itemData":{"id":3,"type":"article-journal","abstract":"Aquaculture is the fastest growing food sector and continues to expand alongside terrestrial crop and livestock production. Using portfolio theory as a conceptual framework, we explore how current interconnections between the aquaculture, crop, livestock, and fisheries sectors act as an impediment to, or an opportunity for, enhanced resilience in the global food system given increased resource scarcity and climate change. Aquaculture can potentially enhance resilience through improved resource use efficiencies and increased diversification of farmed species, locales of production, and feeding strategies. However, aquaculture’s reliance on terrestrial crops and wild fish for feeds, its dependence on freshwater and land for culture sites, and its broad array of environmental impacts diminishes its ability to add resilience. Feeds for livestock and farmed fish that are fed rely largely on the same crops, although the fraction destined for aquaculture is presently small (</w:instrText>
      </w:r>
      <w:r w:rsidR="00E257E2">
        <w:rPr>
          <w:rFonts w:ascii="Cambria Math" w:hAnsi="Cambria Math" w:cs="Cambria Math"/>
        </w:rPr>
        <w:instrText>∼</w:instrText>
      </w:r>
      <w:r w:rsidR="00E257E2">
        <w:rPr>
          <w:rFonts w:ascii="Times New Roman" w:hAnsi="Times New Roman" w:cs="Times New Roman"/>
        </w:rPr>
        <w:instrText xml:space="preserve">4%). As demand for high-value fed aquaculture products grows, competition for these crops will also rise, as will the demand for wild fish as feed inputs. Many of these crops and forage fish are also consumed directly by humans and provide essential nutrition for low-income households. Their rising use in aquafeeds has the potential to increase price levels and volatility, worsening food insecurity among the most vulnerable populations. Although the diversification of global food production systems that includes aquaculture offers promise for enhanced resilience, such promise will not be realized if government policies fail to provide adequate incentives for resource efficiency, equity, and environmental protection.","container-title":"Proceedings of the National Academy of Sciences","DOI":"10.1073/pnas.1404067111","ISSN":"0027-8424, 1091-6490","issue":"37","journalAbbreviation":"Proc. Natl. Acad. Sci. U.S.A.","language":"en","page":"13257-13263","source":"DOI.org (Crossref)","title":"Does aquaculture add resilience to the global food system?","volume":"111","author":[{"family":"Troell","given":"Max"},{"family":"Naylor","given":"Rosamond L."},{"family":"Metian","given":"Marc"},{"family":"Beveridge","given":"Malcolm"},{"family":"Tyedmers","given":"Peter H."},{"family":"Folke","given":"Carl"},{"family":"Arrow","given":"Kenneth J."},{"family":"Barrett","given":"Scott"},{"family":"Crépin","given":"Anne-Sophie"},{"family":"Ehrlich","given":"Paul R."},{"family":"Gren","given":"Åsa"},{"family":"Kautsky","given":"Nils"},{"family":"Levin","given":"Simon A."},{"family":"Nyborg","given":"Karine"},{"family":"Österblom","given":"Henrik"},{"family":"Polasky","given":"Stephen"},{"family":"Scheffer","given":"Marten"},{"family":"Walker","given":"Brian H."},{"family":"Xepapadeas","given":"Tasos"},{"family":"Zeeuw","given":"Aart","non-dropping-particle":"de"}],"issued":{"date-parts":[["2014",9,16]]}}}],"schema":"https://github.com/citation-style-language/schema/raw/master/csl-citation.json"} </w:instrText>
      </w:r>
      <w:r w:rsidR="00534078">
        <w:rPr>
          <w:rFonts w:ascii="Times New Roman" w:hAnsi="Times New Roman" w:cs="Times New Roman"/>
        </w:rPr>
        <w:fldChar w:fldCharType="separate"/>
      </w:r>
      <w:r w:rsidR="00E257E2" w:rsidRPr="00E257E2">
        <w:rPr>
          <w:rFonts w:ascii="Times New Roman" w:hAnsi="Times New Roman" w:cs="Times New Roman"/>
          <w:szCs w:val="24"/>
          <w:vertAlign w:val="superscript"/>
        </w:rPr>
        <w:t>11</w:t>
      </w:r>
      <w:r w:rsidR="00534078">
        <w:rPr>
          <w:rFonts w:ascii="Times New Roman" w:hAnsi="Times New Roman" w:cs="Times New Roman"/>
        </w:rPr>
        <w:fldChar w:fldCharType="end"/>
      </w:r>
      <w:r w:rsidR="001E2200">
        <w:rPr>
          <w:rFonts w:ascii="Times New Roman" w:hAnsi="Times New Roman" w:cs="Times New Roman"/>
        </w:rPr>
        <w:t>.</w:t>
      </w:r>
    </w:p>
    <w:p w14:paraId="1671227E" w14:textId="62611FF5" w:rsidR="008816C2" w:rsidRPr="00097782" w:rsidRDefault="008816C2" w:rsidP="00BE0D2F">
      <w:pPr>
        <w:spacing w:line="360" w:lineRule="auto"/>
        <w:ind w:firstLine="720"/>
        <w:contextualSpacing/>
        <w:jc w:val="both"/>
        <w:rPr>
          <w:rFonts w:ascii="Times New Roman" w:hAnsi="Times New Roman" w:cs="Times New Roman"/>
        </w:rPr>
      </w:pPr>
      <w:r w:rsidRPr="00097782">
        <w:rPr>
          <w:rFonts w:ascii="Times New Roman" w:hAnsi="Times New Roman" w:cs="Times New Roman"/>
        </w:rPr>
        <w:t>Besides</w:t>
      </w:r>
      <w:r w:rsidR="00666FEA">
        <w:rPr>
          <w:rFonts w:ascii="Times New Roman" w:hAnsi="Times New Roman" w:cs="Times New Roman"/>
        </w:rPr>
        <w:t xml:space="preserve"> these </w:t>
      </w:r>
      <w:r w:rsidR="005B7D1E">
        <w:rPr>
          <w:rFonts w:ascii="Times New Roman" w:hAnsi="Times New Roman" w:cs="Times New Roman"/>
        </w:rPr>
        <w:t>concerns</w:t>
      </w:r>
      <w:r w:rsidRPr="00097782">
        <w:rPr>
          <w:rFonts w:ascii="Times New Roman" w:hAnsi="Times New Roman" w:cs="Times New Roman"/>
        </w:rPr>
        <w:t>, many of the terrestrial plant ingredients present certain nutritional challenges for farmed aquatic specie</w:t>
      </w:r>
      <w:r w:rsidR="00EE1F7D" w:rsidRPr="00097782">
        <w:rPr>
          <w:rFonts w:ascii="Times New Roman" w:hAnsi="Times New Roman" w:cs="Times New Roman"/>
        </w:rPr>
        <w:t xml:space="preserve">s </w:t>
      </w:r>
      <w:r w:rsidR="00F52E88" w:rsidRPr="00097782">
        <w:rPr>
          <w:rFonts w:ascii="Times New Roman" w:hAnsi="Times New Roman" w:cs="Times New Roman"/>
        </w:rPr>
        <w:fldChar w:fldCharType="begin"/>
      </w:r>
      <w:r w:rsidR="00790190">
        <w:rPr>
          <w:rFonts w:ascii="Times New Roman" w:hAnsi="Times New Roman" w:cs="Times New Roman"/>
        </w:rPr>
        <w:instrText xml:space="preserve"> ADDIN ZOTERO_ITEM CSL_CITATION {"citationID":"akvsofqb2h","properties":{"formattedCitation":"\\super 8\\nosupersub{}","plainCitation":"8","noteIndex":0},"citationItems":[{"id":866,"uris":["http://zotero.org/groups/4669668/items/BWK56QNC"],"itemData":{"id":866,"type":"chapter","abstract":"Most marine cultured fishes are carnivores and for this reason manufactured feeds have historically incorporated fish meal and fish oil to meet nutritional requirements, particularly dietary amino acid, fatty acid, and micronutrient requirements. While this generally results in rapid growth and high feed efficiency, it also makes aquaculture reliant on capture fisheries of forage species for rendering into feed ingredients. This approach is expensive, energetically inefficient, and often harmful to the environment. As a result, there is great interest in partial or even complete replacement of marine-based feed ingredients with plant-derived proteins and lipids, but such feeds can be less digestible and result in nutritional deficiencies in aquatic carnivores. This chapter will outline the physiological impacts of feeding plant-based diets to carnivorous fish and the progress that has been made in formulating such diets to meet the nutritional requirement of aquaculture species.","collection-title":"Aquaculture","container-title":"Fish Physiology","language":"en","note":"DOI: 10.1016/bs.fp.2020.09.002","page":"53-82","publisher":"Academic Press","source":"ScienceDirect","title":"Chapter 2 - Physiological considerations in shifting carnivorous fishes to plant-based diets","URL":"https://www.sciencedirect.com/science/article/pii/S1546509820300029","volume":"38","author":[{"family":"Colombo","given":"Stefanie M."}],"editor":[{"family":"Benfey","given":"Tillmann J."},{"family":"Farrell","given":"Anthony P."},{"family":"Brauner","given":"Colin J."}],"accessed":{"date-parts":[["2022",4,22]]},"issued":{"date-parts":[["2020",1,1]]}}}],"schema":"https://github.com/citation-style-language/schema/raw/master/csl-citation.json"} </w:instrText>
      </w:r>
      <w:r w:rsidR="00F52E88" w:rsidRPr="00097782">
        <w:rPr>
          <w:rFonts w:ascii="Times New Roman" w:hAnsi="Times New Roman" w:cs="Times New Roman"/>
        </w:rPr>
        <w:fldChar w:fldCharType="separate"/>
      </w:r>
      <w:r w:rsidR="00790190" w:rsidRPr="00790190">
        <w:rPr>
          <w:rFonts w:ascii="Times New Roman" w:hAnsi="Times New Roman" w:cs="Times New Roman"/>
          <w:szCs w:val="24"/>
          <w:vertAlign w:val="superscript"/>
        </w:rPr>
        <w:t>8</w:t>
      </w:r>
      <w:r w:rsidR="00F52E88" w:rsidRPr="00097782">
        <w:rPr>
          <w:rFonts w:ascii="Times New Roman" w:hAnsi="Times New Roman" w:cs="Times New Roman"/>
        </w:rPr>
        <w:fldChar w:fldCharType="end"/>
      </w:r>
      <w:r w:rsidRPr="00097782">
        <w:rPr>
          <w:rFonts w:ascii="Times New Roman" w:hAnsi="Times New Roman" w:cs="Times New Roman"/>
        </w:rPr>
        <w:t xml:space="preserve">. Plant-based diet compositions tend to be higher in carbohydrates, lower in protein, low </w:t>
      </w:r>
      <w:r w:rsidR="00070BC9" w:rsidRPr="00097782">
        <w:rPr>
          <w:rFonts w:ascii="Times New Roman" w:hAnsi="Times New Roman" w:cs="Times New Roman"/>
        </w:rPr>
        <w:t xml:space="preserve">(if any) </w:t>
      </w:r>
      <w:r w:rsidRPr="00097782">
        <w:rPr>
          <w:rFonts w:ascii="Times New Roman" w:hAnsi="Times New Roman" w:cs="Times New Roman"/>
        </w:rPr>
        <w:t>omega-3 (n-3) long</w:t>
      </w:r>
      <w:r w:rsidR="00972646" w:rsidRPr="00097782">
        <w:rPr>
          <w:rFonts w:ascii="Times New Roman" w:hAnsi="Times New Roman" w:cs="Times New Roman"/>
        </w:rPr>
        <w:t xml:space="preserve"> </w:t>
      </w:r>
      <w:r w:rsidRPr="00097782">
        <w:rPr>
          <w:rFonts w:ascii="Times New Roman" w:hAnsi="Times New Roman" w:cs="Times New Roman"/>
        </w:rPr>
        <w:t>chain polyunsaturated fatty acids (LC-PUFA)</w:t>
      </w:r>
      <w:r w:rsidR="0074276B" w:rsidRPr="00097782">
        <w:rPr>
          <w:rFonts w:ascii="Times New Roman" w:hAnsi="Times New Roman" w:cs="Times New Roman"/>
        </w:rPr>
        <w:t xml:space="preserve"> </w:t>
      </w:r>
      <w:r w:rsidR="009E398D" w:rsidRPr="00097782">
        <w:rPr>
          <w:rFonts w:ascii="Times New Roman" w:hAnsi="Times New Roman" w:cs="Times New Roman"/>
        </w:rPr>
        <w:t xml:space="preserve">and </w:t>
      </w:r>
      <w:r w:rsidRPr="00097782">
        <w:rPr>
          <w:rFonts w:ascii="Times New Roman" w:hAnsi="Times New Roman" w:cs="Times New Roman"/>
        </w:rPr>
        <w:t>contain antinutritional factors</w:t>
      </w:r>
      <w:r w:rsidR="00DB5CFD" w:rsidRPr="00097782">
        <w:rPr>
          <w:rFonts w:ascii="Times New Roman" w:hAnsi="Times New Roman" w:cs="Times New Roman"/>
        </w:rPr>
        <w:t xml:space="preserve"> (ANFs)</w:t>
      </w:r>
      <w:r w:rsidRPr="00097782">
        <w:rPr>
          <w:rFonts w:ascii="Times New Roman" w:hAnsi="Times New Roman" w:cs="Times New Roman"/>
        </w:rPr>
        <w:t>. Carnivorous fish are evolutionarily and metabolically adapted for high protein</w:t>
      </w:r>
      <w:r w:rsidR="000A3368" w:rsidRPr="00097782">
        <w:rPr>
          <w:rFonts w:ascii="Times New Roman" w:hAnsi="Times New Roman" w:cs="Times New Roman"/>
        </w:rPr>
        <w:t xml:space="preserve"> (&gt;40%)</w:t>
      </w:r>
      <w:r w:rsidRPr="00097782">
        <w:rPr>
          <w:rFonts w:ascii="Times New Roman" w:hAnsi="Times New Roman" w:cs="Times New Roman"/>
        </w:rPr>
        <w:t xml:space="preserve"> and</w:t>
      </w:r>
      <w:r w:rsidR="009E398D" w:rsidRPr="00097782">
        <w:rPr>
          <w:rFonts w:ascii="Times New Roman" w:hAnsi="Times New Roman" w:cs="Times New Roman"/>
        </w:rPr>
        <w:t xml:space="preserve"> </w:t>
      </w:r>
      <w:r w:rsidR="000A3368" w:rsidRPr="00097782">
        <w:rPr>
          <w:rFonts w:ascii="Times New Roman" w:hAnsi="Times New Roman" w:cs="Times New Roman"/>
        </w:rPr>
        <w:t>high</w:t>
      </w:r>
      <w:r w:rsidR="00DB5CFD" w:rsidRPr="00097782">
        <w:rPr>
          <w:rFonts w:ascii="Times New Roman" w:hAnsi="Times New Roman" w:cs="Times New Roman"/>
        </w:rPr>
        <w:t>-</w:t>
      </w:r>
      <w:r w:rsidRPr="00097782">
        <w:rPr>
          <w:rFonts w:ascii="Times New Roman" w:hAnsi="Times New Roman" w:cs="Times New Roman"/>
        </w:rPr>
        <w:t>fat diets</w:t>
      </w:r>
      <w:r w:rsidR="000A3368" w:rsidRPr="00097782">
        <w:rPr>
          <w:rFonts w:ascii="Times New Roman" w:hAnsi="Times New Roman" w:cs="Times New Roman"/>
        </w:rPr>
        <w:t xml:space="preserve"> (&gt;15%)</w:t>
      </w:r>
      <w:r w:rsidRPr="00097782">
        <w:rPr>
          <w:rFonts w:ascii="Times New Roman" w:hAnsi="Times New Roman" w:cs="Times New Roman"/>
        </w:rPr>
        <w:t xml:space="preserve">, </w:t>
      </w:r>
      <w:r w:rsidR="009E398D" w:rsidRPr="00097782">
        <w:rPr>
          <w:rFonts w:ascii="Times New Roman" w:hAnsi="Times New Roman" w:cs="Times New Roman"/>
        </w:rPr>
        <w:t xml:space="preserve">with </w:t>
      </w:r>
      <w:r w:rsidRPr="00097782">
        <w:rPr>
          <w:rFonts w:ascii="Times New Roman" w:hAnsi="Times New Roman" w:cs="Times New Roman"/>
        </w:rPr>
        <w:t>low carbohydrate</w:t>
      </w:r>
      <w:r w:rsidR="00935696" w:rsidRPr="00097782">
        <w:rPr>
          <w:rFonts w:ascii="Times New Roman" w:hAnsi="Times New Roman" w:cs="Times New Roman"/>
        </w:rPr>
        <w:t xml:space="preserve"> tolerance</w:t>
      </w:r>
      <w:r w:rsidRPr="00097782">
        <w:rPr>
          <w:rFonts w:ascii="Times New Roman" w:hAnsi="Times New Roman" w:cs="Times New Roman"/>
        </w:rPr>
        <w:t xml:space="preserve">. </w:t>
      </w:r>
      <w:r w:rsidR="00F42D87" w:rsidRPr="00097782">
        <w:rPr>
          <w:rFonts w:ascii="Times New Roman" w:hAnsi="Times New Roman" w:cs="Times New Roman"/>
        </w:rPr>
        <w:t xml:space="preserve">Aquafeeds </w:t>
      </w:r>
      <w:r w:rsidR="00A83AB8">
        <w:rPr>
          <w:rFonts w:ascii="Times New Roman" w:hAnsi="Times New Roman" w:cs="Times New Roman"/>
        </w:rPr>
        <w:t xml:space="preserve">generally contain more protein and lipid than terrestrial animal feeds and are much lower in carbohydrates; these differences are accentuated for the very nutrient-dense feeds </w:t>
      </w:r>
      <w:r w:rsidR="00DF79F8">
        <w:rPr>
          <w:rFonts w:ascii="Times New Roman" w:hAnsi="Times New Roman" w:cs="Times New Roman"/>
        </w:rPr>
        <w:t xml:space="preserve">produced </w:t>
      </w:r>
      <w:r w:rsidR="000E59B3" w:rsidRPr="00097782">
        <w:rPr>
          <w:rFonts w:ascii="Times New Roman" w:hAnsi="Times New Roman" w:cs="Times New Roman"/>
        </w:rPr>
        <w:t xml:space="preserve">for carnivorous </w:t>
      </w:r>
      <w:r w:rsidR="00F42D87" w:rsidRPr="00097782">
        <w:rPr>
          <w:rFonts w:ascii="Times New Roman" w:hAnsi="Times New Roman" w:cs="Times New Roman"/>
        </w:rPr>
        <w:t>fish</w:t>
      </w:r>
      <w:r w:rsidR="000E59B3" w:rsidRPr="00097782">
        <w:rPr>
          <w:rFonts w:ascii="Times New Roman" w:hAnsi="Times New Roman" w:cs="Times New Roman"/>
        </w:rPr>
        <w:t xml:space="preserve"> species. </w:t>
      </w:r>
      <w:r w:rsidRPr="00097782">
        <w:rPr>
          <w:rFonts w:ascii="Times New Roman" w:hAnsi="Times New Roman" w:cs="Times New Roman"/>
        </w:rPr>
        <w:t>Diets with greater than 20% digestible carbohydrates tend to reduce growth</w:t>
      </w:r>
      <w:r w:rsidR="00E428AB" w:rsidRPr="00097782">
        <w:rPr>
          <w:rFonts w:ascii="Times New Roman" w:hAnsi="Times New Roman" w:cs="Times New Roman"/>
        </w:rPr>
        <w:t xml:space="preserve"> in the animal</w:t>
      </w:r>
      <w:r w:rsidRPr="00097782">
        <w:rPr>
          <w:rFonts w:ascii="Times New Roman" w:hAnsi="Times New Roman" w:cs="Times New Roman"/>
        </w:rPr>
        <w:t>, as well as show hyperglycemia after intake of a carbohydrate-enriched meal; therefore, in general, carnivorous fish are considered glucose-intoleran</w:t>
      </w:r>
      <w:r w:rsidR="00962353" w:rsidRPr="00097782">
        <w:rPr>
          <w:rFonts w:ascii="Times New Roman" w:hAnsi="Times New Roman" w:cs="Times New Roman"/>
        </w:rPr>
        <w:t xml:space="preserve">t </w:t>
      </w:r>
      <w:r w:rsidR="00807257" w:rsidRPr="00097782">
        <w:rPr>
          <w:rFonts w:ascii="Times New Roman" w:hAnsi="Times New Roman" w:cs="Times New Roman"/>
        </w:rPr>
        <w:fldChar w:fldCharType="begin"/>
      </w:r>
      <w:r w:rsidR="0089752C">
        <w:rPr>
          <w:rFonts w:ascii="Times New Roman" w:hAnsi="Times New Roman" w:cs="Times New Roman"/>
        </w:rPr>
        <w:instrText xml:space="preserve"> ADDIN ZOTERO_ITEM CSL_CITATION {"citationID":"afn9a1q2q5","properties":{"formattedCitation":"\\super 12\\nosupersub{}","plainCitation":"12","noteIndex":0},"citationItems":[{"id":1023,"uris":["http://zotero.org/groups/4669668/items/QR6L3H4E"],"itemData":{"id":1023,"type":"article-journal","abstract":"The rapid development of aquaculture production throughout the world over the past few decades has led to the emergence of new scientific challenges to improve fish nutrition. The diet formulations used for farmed fish have been largely modified in the past few years. However, bottlenecks still exist in being able to suppress totally marine resources (fish meal and fish oil) in diets without negatively affecting growth performance and flesh quality. A better understanding of fish metabolism and its regulation by nutrients is thus mandatory. In this review, we discuss four fields of research that are highly important for improving fish nutrition in the future: (a) fish genome complexity and subsequent consequences for metabolism, (b) microRNAs (miRNAs) as new actors in regulation of fish metabolism, (c) the role of autophagy in regulation of fish metabolism, and (d) the nutritional programming of metabolism linked to the early life of fish.","container-title":"Annual Review of Animal Biosciences","DOI":"10.1146/annurev-animal-020518-115250","ISSN":"2165-8102","issue":"1","journalAbbreviation":"Annu. Rev. Anim. Biosci.","note":"number: 1\npublisher: Annual Reviews","page":"195-220","title":"New insights on intermediary metabolism for a better understanding of nutrition in teleosts","volume":"7","author":[{"family":"Panserat","given":"S."},{"family":"Marandel","given":"L."},{"family":"Seiliez","given":"I."},{"family":"Skiba-Cassy","given":"S."}],"issued":{"date-parts":[["2019",2,15]]}}}],"schema":"https://github.com/citation-style-language/schema/raw/master/csl-citation.json"} </w:instrText>
      </w:r>
      <w:r w:rsidR="00807257" w:rsidRPr="00097782">
        <w:rPr>
          <w:rFonts w:ascii="Times New Roman" w:hAnsi="Times New Roman" w:cs="Times New Roman"/>
        </w:rPr>
        <w:fldChar w:fldCharType="separate"/>
      </w:r>
      <w:r w:rsidR="0089752C" w:rsidRPr="0089752C">
        <w:rPr>
          <w:rFonts w:ascii="Times New Roman" w:hAnsi="Times New Roman" w:cs="Times New Roman"/>
          <w:szCs w:val="24"/>
          <w:vertAlign w:val="superscript"/>
        </w:rPr>
        <w:t>12</w:t>
      </w:r>
      <w:r w:rsidR="00807257" w:rsidRPr="00097782">
        <w:rPr>
          <w:rFonts w:ascii="Times New Roman" w:hAnsi="Times New Roman" w:cs="Times New Roman"/>
        </w:rPr>
        <w:fldChar w:fldCharType="end"/>
      </w:r>
      <w:r w:rsidRPr="00097782">
        <w:rPr>
          <w:rFonts w:ascii="Times New Roman" w:hAnsi="Times New Roman" w:cs="Times New Roman"/>
        </w:rPr>
        <w:t xml:space="preserve">. </w:t>
      </w:r>
      <w:r w:rsidR="00E81934" w:rsidRPr="00097782">
        <w:rPr>
          <w:rFonts w:ascii="Times New Roman" w:hAnsi="Times New Roman" w:cs="Times New Roman"/>
        </w:rPr>
        <w:t>Furthermore, m</w:t>
      </w:r>
      <w:r w:rsidRPr="00097782">
        <w:rPr>
          <w:rFonts w:ascii="Times New Roman" w:hAnsi="Times New Roman" w:cs="Times New Roman"/>
        </w:rPr>
        <w:t xml:space="preserve">ost plant oils are </w:t>
      </w:r>
      <w:r w:rsidR="008C51FC">
        <w:rPr>
          <w:rFonts w:ascii="Times New Roman" w:hAnsi="Times New Roman" w:cs="Times New Roman"/>
        </w:rPr>
        <w:t xml:space="preserve">somewhat </w:t>
      </w:r>
      <w:r w:rsidRPr="00097782">
        <w:rPr>
          <w:rFonts w:ascii="Times New Roman" w:hAnsi="Times New Roman" w:cs="Times New Roman"/>
        </w:rPr>
        <w:t>limited in their ability to replace FO in diets for fish</w:t>
      </w:r>
      <w:r w:rsidR="00977134">
        <w:rPr>
          <w:rFonts w:ascii="Times New Roman" w:hAnsi="Times New Roman" w:cs="Times New Roman"/>
        </w:rPr>
        <w:t xml:space="preserve"> that require LC-PUFA</w:t>
      </w:r>
      <w:r w:rsidRPr="00097782">
        <w:rPr>
          <w:rFonts w:ascii="Times New Roman" w:hAnsi="Times New Roman" w:cs="Times New Roman"/>
        </w:rPr>
        <w:t>, as they completely lack n-3 LC-PUF</w:t>
      </w:r>
      <w:r w:rsidR="00962353" w:rsidRPr="00097782">
        <w:rPr>
          <w:rFonts w:ascii="Times New Roman" w:hAnsi="Times New Roman" w:cs="Times New Roman"/>
        </w:rPr>
        <w:t>A</w:t>
      </w:r>
      <w:r w:rsidR="000F724B" w:rsidRPr="00097782">
        <w:rPr>
          <w:rFonts w:ascii="Times New Roman" w:hAnsi="Times New Roman" w:cs="Times New Roman"/>
        </w:rPr>
        <w:t xml:space="preserve"> </w:t>
      </w:r>
      <w:r w:rsidR="000F724B" w:rsidRPr="00097782">
        <w:rPr>
          <w:rFonts w:ascii="Times New Roman" w:hAnsi="Times New Roman" w:cs="Times New Roman"/>
        </w:rPr>
        <w:fldChar w:fldCharType="begin"/>
      </w:r>
      <w:r w:rsidR="00F34DCB">
        <w:rPr>
          <w:rFonts w:ascii="Times New Roman" w:hAnsi="Times New Roman" w:cs="Times New Roman"/>
        </w:rPr>
        <w:instrText xml:space="preserve"> ADDIN ZOTERO_ITEM CSL_CITATION {"citationID":"a29j5l9psl5","properties":{"formattedCitation":"\\super 13\\nosupersub{}","plainCitation":"13","noteIndex":0},"citationItems":[{"id":1068,"uris":["http://zotero.org/groups/4669668/items/U96PVABA"],"itemData":{"id":1068,"type":"chapter","abstract":"Aquaculture is the fastest growing food production sector and is expected to provide over 60% of the world's seafood by 2030. Lipids represent the major energy contribution in aquaculture nutrition, and as such, reach high inclusion levels in energy–dense aquafeeds. Lipids are a prominently studied nutrient in aquaculture, since they supply energy and essential fatty acids and because of the unique abundance of the ω3 long-chain polyunsaturated fatty acids that are found in fish. Lipids from fish are well known to have positive impacts on human health, and as such, the transfer of lipids from the diet to fish to consumer is of great importance. Therefore, the fats and oils that are supplied for the health, growth, and development of aquaculture fish must be of good quality and sourced sustainably for the future of aquaculture production. This article describes the role of fats and oils in aquafeeds. In order to understand how the fats and oils are utilized, this article reviews the lipid and fatty acid requirements, lipid digestibility, and lipid synthesis of aquaculture fish. It also describes the most common fats and oils that are used in aquafeed formulations, as well as novel, innovative lipid sources, and new methods of formulating fatty acids in aquafeeds. The different lipid and fatty acid compositions of these fat and oil sources in the diet can directly impact the nutritional and product quality of farmed fish. The practical consideration for using high levels of dietary lipid in aquafeeds is the feed quality, particularly considering lipid oxidation.","container-title":"Bailey's Industrial Oil and Fat Products","ISBN":"978-0-471-67849-6","language":"en","note":"_eprint: https://onlinelibrary.wiley.com/doi/pdf/10.1002/047167849X.bio095\nDOI: 10.1002/047167849X.bio095","page":"1-28","publisher":"John Wiley &amp; Sons, Ltd","source":"Wiley Online Library","title":"Fats and oils in aquafeed formulations","URL":"https://onlinelibrary.wiley.com/doi/abs/10.1002/047167849X.bio095","author":[{"family":"Colombo","given":"Stefanie M."},{"family":"Foroutani","given":"Maryam B."},{"family":"Parrish","given":"Christopher C."}],"accessed":{"date-parts":[["2022",4,22]]},"issued":{"date-parts":[["2020"]]}}}],"schema":"https://github.com/citation-style-language/schema/raw/master/csl-citation.json"} </w:instrText>
      </w:r>
      <w:r w:rsidR="000F724B" w:rsidRPr="00097782">
        <w:rPr>
          <w:rFonts w:ascii="Times New Roman" w:hAnsi="Times New Roman" w:cs="Times New Roman"/>
        </w:rPr>
        <w:fldChar w:fldCharType="separate"/>
      </w:r>
      <w:r w:rsidR="00F34DCB" w:rsidRPr="00F34DCB">
        <w:rPr>
          <w:rFonts w:ascii="Times New Roman" w:hAnsi="Times New Roman" w:cs="Times New Roman"/>
          <w:szCs w:val="24"/>
          <w:vertAlign w:val="superscript"/>
        </w:rPr>
        <w:t>13</w:t>
      </w:r>
      <w:r w:rsidR="000F724B" w:rsidRPr="00097782">
        <w:rPr>
          <w:rFonts w:ascii="Times New Roman" w:hAnsi="Times New Roman" w:cs="Times New Roman"/>
        </w:rPr>
        <w:fldChar w:fldCharType="end"/>
      </w:r>
      <w:r w:rsidRPr="00097782">
        <w:rPr>
          <w:rFonts w:ascii="Times New Roman" w:hAnsi="Times New Roman" w:cs="Times New Roman"/>
        </w:rPr>
        <w:t xml:space="preserve">. Typically, they are rich sources of n-6 and n-9 </w:t>
      </w:r>
      <w:r w:rsidR="002E447E" w:rsidRPr="00097782">
        <w:rPr>
          <w:rFonts w:ascii="Times New Roman" w:hAnsi="Times New Roman" w:cs="Times New Roman"/>
        </w:rPr>
        <w:t>FA</w:t>
      </w:r>
      <w:r w:rsidRPr="00097782">
        <w:rPr>
          <w:rFonts w:ascii="Times New Roman" w:hAnsi="Times New Roman" w:cs="Times New Roman"/>
        </w:rPr>
        <w:t xml:space="preserve">, mainly 18:2n-6 and 18:1n-9, </w:t>
      </w:r>
      <w:r w:rsidR="003B3C9C" w:rsidRPr="00097782">
        <w:rPr>
          <w:rFonts w:ascii="Times New Roman" w:hAnsi="Times New Roman" w:cs="Times New Roman"/>
        </w:rPr>
        <w:t>except for</w:t>
      </w:r>
      <w:r w:rsidRPr="00097782">
        <w:rPr>
          <w:rFonts w:ascii="Times New Roman" w:hAnsi="Times New Roman" w:cs="Times New Roman"/>
        </w:rPr>
        <w:t xml:space="preserve"> some oilseeds</w:t>
      </w:r>
      <w:r w:rsidR="00F47588" w:rsidRPr="00097782">
        <w:rPr>
          <w:rFonts w:ascii="Times New Roman" w:hAnsi="Times New Roman" w:cs="Times New Roman"/>
        </w:rPr>
        <w:t xml:space="preserve"> that may contain significant levels of 18:3n-3</w:t>
      </w:r>
      <w:r w:rsidRPr="00097782">
        <w:rPr>
          <w:rFonts w:ascii="Times New Roman" w:hAnsi="Times New Roman" w:cs="Times New Roman"/>
        </w:rPr>
        <w:t xml:space="preserve">. Although considered excellent </w:t>
      </w:r>
      <w:r w:rsidR="00F47588" w:rsidRPr="00097782">
        <w:rPr>
          <w:rFonts w:ascii="Times New Roman" w:hAnsi="Times New Roman" w:cs="Times New Roman"/>
        </w:rPr>
        <w:t xml:space="preserve">sources of digestible </w:t>
      </w:r>
      <w:r w:rsidRPr="00097782">
        <w:rPr>
          <w:rFonts w:ascii="Times New Roman" w:hAnsi="Times New Roman" w:cs="Times New Roman"/>
        </w:rPr>
        <w:t xml:space="preserve">energy, feeding terrestrial plant oils inevitably lowers levels of the n-3 LC-PUFA in the diet. Another challenging aspect of including plant products in fish diets </w:t>
      </w:r>
      <w:r w:rsidR="00351FD9" w:rsidRPr="00097782">
        <w:rPr>
          <w:rFonts w:ascii="Times New Roman" w:hAnsi="Times New Roman" w:cs="Times New Roman"/>
        </w:rPr>
        <w:t>is</w:t>
      </w:r>
      <w:r w:rsidRPr="00097782">
        <w:rPr>
          <w:rFonts w:ascii="Times New Roman" w:hAnsi="Times New Roman" w:cs="Times New Roman"/>
        </w:rPr>
        <w:t xml:space="preserve"> </w:t>
      </w:r>
      <w:r w:rsidR="00A56A6E" w:rsidRPr="00097782">
        <w:rPr>
          <w:rFonts w:ascii="Times New Roman" w:hAnsi="Times New Roman" w:cs="Times New Roman"/>
        </w:rPr>
        <w:t>ANFs</w:t>
      </w:r>
      <w:r w:rsidRPr="00097782">
        <w:rPr>
          <w:rFonts w:ascii="Times New Roman" w:hAnsi="Times New Roman" w:cs="Times New Roman"/>
        </w:rPr>
        <w:t xml:space="preserve">, which can cause adverse effects </w:t>
      </w:r>
      <w:r w:rsidR="00F47588" w:rsidRPr="00097782">
        <w:rPr>
          <w:rFonts w:ascii="Times New Roman" w:hAnsi="Times New Roman" w:cs="Times New Roman"/>
        </w:rPr>
        <w:t>o</w:t>
      </w:r>
      <w:r w:rsidRPr="00097782">
        <w:rPr>
          <w:rFonts w:ascii="Times New Roman" w:hAnsi="Times New Roman" w:cs="Times New Roman"/>
        </w:rPr>
        <w:t>n digestion, absorption, and decreased ability to utilize macronutrient</w:t>
      </w:r>
      <w:r w:rsidR="00962353" w:rsidRPr="00097782">
        <w:rPr>
          <w:rFonts w:ascii="Times New Roman" w:hAnsi="Times New Roman" w:cs="Times New Roman"/>
        </w:rPr>
        <w:t xml:space="preserve">s </w:t>
      </w:r>
      <w:r w:rsidR="000F724B" w:rsidRPr="00097782">
        <w:rPr>
          <w:rFonts w:ascii="Times New Roman" w:hAnsi="Times New Roman" w:cs="Times New Roman"/>
        </w:rPr>
        <w:fldChar w:fldCharType="begin"/>
      </w:r>
      <w:r w:rsidR="00690B40">
        <w:rPr>
          <w:rFonts w:ascii="Times New Roman" w:hAnsi="Times New Roman" w:cs="Times New Roman"/>
        </w:rPr>
        <w:instrText xml:space="preserve"> ADDIN ZOTERO_ITEM CSL_CITATION {"citationID":"a1gm65d77ds","properties":{"formattedCitation":"\\super 14\\nosupersub{}","plainCitation":"14","noteIndex":0},"citationItems":[{"id":863,"uris":["http://zotero.org/groups/4669668/items/SU5VPJYA"],"itemData":{"id":863,"type":"article-journal","abstract":"The use of plant-derived materials such as legume seeds, different types of oilseed cake, leaf meals, leaf protein concentrates, and root tuber meals as fish feed ingredients is limited by the presence of a wide variety of antinutritional substances. Important among these are protease inhibitors, phytates, glucosinolates, saponins tannins, lectins, oligosaccharides and non-starch polysaccharides, phytoestrogens, alkaloids, antigenic compounds, gossypols, cyanogens, mimosine, cyclopropenoid fatty acids, canavanine, antivitamins, and phorbol esters. The effects of these substances on finfish are reviewed. Evidently, little unanimity exists between the results of different studies as to the specific effects of antinutrients, since most studies have been conducted using an ingredient rich in one particular factor and the observed effects have been attributed to this factor without considering other antinutrients present in the ingredient, or interactions between them. Tentatively, protease inhibitors, phytates, antigenic compounds, and alkaloids, at levels usually present in fish diets containing commercially available plant-derived protein sources, are unlikely to affect fish growth performance. In contrast, glucosinolates, saponins, tannins, soluble non-starch polysaccharides, gossypol, and phorbol esters, are more important from a practical point of view. The effectiveness of common processing techniques such as dry and wet heating, solvent extraction and enzyme treatment in removing the deleterious effects of antinutrients from feed materials is discussed. More insights into the nutritional, physiological and ecological effects of antinutrients on fish need to be accumulated through studies using purified individual antinutrients and their mixtures in proportions similar to those in alternative nutritional sources in fish feeds. Such studies would provide data useful for designing optimum inclusion levels of plant-derived materials and treatment methods that would neutralise the negative effects of the antinutritional factors.","container-title":"Aquaculture","DOI":"10.1016/S0044-8486(01)00526-9","ISSN":"0044-8486","issue":"3","journalAbbreviation":"Aquaculture","language":"en","note":"number: 3","page":"197-227","source":"ScienceDirect","title":"Antinutritional factors present in plant-derived alternate fish feed ingredients and their effects in fish","volume":"199","author":[{"family":"Francis","given":"George"},{"family":"Makkar","given":"Harinder P. S"},{"family":"Becker","given":"Klaus"}],"issued":{"date-parts":[["2001",8,1]]}}}],"schema":"https://github.com/citation-style-language/schema/raw/master/csl-citation.json"} </w:instrText>
      </w:r>
      <w:r w:rsidR="000F724B" w:rsidRPr="00097782">
        <w:rPr>
          <w:rFonts w:ascii="Times New Roman" w:hAnsi="Times New Roman" w:cs="Times New Roman"/>
        </w:rPr>
        <w:fldChar w:fldCharType="separate"/>
      </w:r>
      <w:r w:rsidR="00690B40" w:rsidRPr="00690B40">
        <w:rPr>
          <w:rFonts w:ascii="Times New Roman" w:hAnsi="Times New Roman" w:cs="Times New Roman"/>
          <w:szCs w:val="24"/>
          <w:vertAlign w:val="superscript"/>
        </w:rPr>
        <w:t>14</w:t>
      </w:r>
      <w:r w:rsidR="000F724B" w:rsidRPr="00097782">
        <w:rPr>
          <w:rFonts w:ascii="Times New Roman" w:hAnsi="Times New Roman" w:cs="Times New Roman"/>
        </w:rPr>
        <w:fldChar w:fldCharType="end"/>
      </w:r>
      <w:r w:rsidRPr="00097782">
        <w:rPr>
          <w:rFonts w:ascii="Times New Roman" w:hAnsi="Times New Roman" w:cs="Times New Roman"/>
        </w:rPr>
        <w:t>. Several ANFs have been identified and associated with detrimental effects on growth performance and health when using vegetable-based diets in aquafeed</w:t>
      </w:r>
      <w:r w:rsidR="00C63E6A" w:rsidRPr="00097782">
        <w:rPr>
          <w:rFonts w:ascii="Times New Roman" w:hAnsi="Times New Roman" w:cs="Times New Roman"/>
        </w:rPr>
        <w:t xml:space="preserve">s </w:t>
      </w:r>
      <w:r w:rsidR="00244262" w:rsidRPr="00097782">
        <w:rPr>
          <w:rFonts w:ascii="Times New Roman" w:hAnsi="Times New Roman" w:cs="Times New Roman"/>
        </w:rPr>
        <w:fldChar w:fldCharType="begin"/>
      </w:r>
      <w:r w:rsidR="00F60246">
        <w:rPr>
          <w:rFonts w:ascii="Times New Roman" w:hAnsi="Times New Roman" w:cs="Times New Roman"/>
        </w:rPr>
        <w:instrText xml:space="preserve"> ADDIN ZOTERO_ITEM CSL_CITATION {"citationID":"a28feunph95","properties":{"formattedCitation":"\\super 15\\nosupersub{}","plainCitation":"15","noteIndex":0},"citationItems":[{"id":1005,"uris":["http://zotero.org/groups/4669668/items/EJJ2EUSB"],"itemData":{"id":1005,"type":"article-journal","abstract":"Continued growth and intensification of aquaculture production depends upon the development of sustainable protein sources to replace fish meal in aquafeeds. This document reviews various plant feedstuffs, which currently are or potentially may be incorporated into aquafeeds to support the sustainable production of various fish species in aquaculture. The plant feedstuffs considered include oilseeds, legumes and cereal grains, which traditionally have been used as protein or energy concentrates as well as novel products developed through various processing technologies. The nutritional composition of these various feedstuffs are considered along with the presence of any bioactive compounds that may positively or negatively affect the target organism. Lipid composition of these feedstuffs is not specifically considered although it is recognized that incorporating lipid supplements in aquafeeds to achieve proper fatty acid profiles to meet the metabolic requirements of fish and maximize human health benefits are important aspects. Specific strategies and techniques to optimize the nutritional composition of plant feedstuffs and limit potentially adverse effects of bioactive compounds are also described. Such information will provide a foundation for developing strategic research plans for increasing the use of plant feedstuffs in aquaculture to reduce dependence of animal feedstuffs and thereby enhance the sustainability of aquaculture.","container-title":"Aquaculture Research","DOI":"10.1111/j.1365-2109.2007.01704.x","ISSN":"1365-2109","issue":"6","language":"en","note":"number: 6\n_eprint: https://onlinelibrary.wiley.com/doi/pdf/10.1111/j.1365-2109.2007.01704.x","page":"551-579","source":"Wiley Online Library","title":"Expanding the utilization of sustainable plant products in aquafeeds: a review","title-short":"Expanding the utilization of sustainable plant products in aquafeeds","volume":"38","author":[{"family":"Gatlin","given":"Delbert M."},{"family":"Barrows","given":"Frederic T"},{"family":"Brown","given":"Paul"},{"family":"Dabrowski","given":"Konrad"},{"family":"Gaylord","given":"T Gibson"},{"family":"Hardy","given":"Ronald W"},{"family":"Herman","given":"Eliot"},{"family":"Hu","given":"Gongshe"},{"family":"Krogdahl","given":"Åshild"},{"family":"Nelson","given":"Richard"},{"family":"Overturf","given":"Kenneth"},{"family":"Rust","given":"Michael"},{"family":"Sealey","given":"Wendy"},{"family":"Skonberg","given":"Denise"},{"family":"J Souza","given":"Edward"},{"family":"Stone","given":"David"},{"family":"Wilson","given":"Rich"},{"family":"Wurtele","given":"Eve"}],"issued":{"date-parts":[["2007"]]}}}],"schema":"https://github.com/citation-style-language/schema/raw/master/csl-citation.json"} </w:instrText>
      </w:r>
      <w:r w:rsidR="00244262" w:rsidRPr="00097782">
        <w:rPr>
          <w:rFonts w:ascii="Times New Roman" w:hAnsi="Times New Roman" w:cs="Times New Roman"/>
        </w:rPr>
        <w:fldChar w:fldCharType="separate"/>
      </w:r>
      <w:r w:rsidR="00F60246" w:rsidRPr="00F60246">
        <w:rPr>
          <w:rFonts w:ascii="Times New Roman" w:hAnsi="Times New Roman" w:cs="Times New Roman"/>
          <w:szCs w:val="24"/>
          <w:vertAlign w:val="superscript"/>
        </w:rPr>
        <w:t>15</w:t>
      </w:r>
      <w:r w:rsidR="00244262" w:rsidRPr="00097782">
        <w:rPr>
          <w:rFonts w:ascii="Times New Roman" w:hAnsi="Times New Roman" w:cs="Times New Roman"/>
        </w:rPr>
        <w:fldChar w:fldCharType="end"/>
      </w:r>
      <w:r w:rsidRPr="00097782">
        <w:rPr>
          <w:rFonts w:ascii="Times New Roman" w:hAnsi="Times New Roman" w:cs="Times New Roman"/>
        </w:rPr>
        <w:t xml:space="preserve">. As a result, feeds that are primarily terrestrial plant-based (especially for carnivorous fish) can have physiological impacts on digestibility and nutrient utilization, growth, intestinal </w:t>
      </w:r>
      <w:r w:rsidR="00023F35" w:rsidRPr="00097782">
        <w:rPr>
          <w:rFonts w:ascii="Times New Roman" w:hAnsi="Times New Roman" w:cs="Times New Roman"/>
        </w:rPr>
        <w:t>integrity</w:t>
      </w:r>
      <w:r w:rsidR="002D0468">
        <w:rPr>
          <w:rFonts w:ascii="Times New Roman" w:hAnsi="Times New Roman" w:cs="Times New Roman"/>
        </w:rPr>
        <w:t>, gut enteritis</w:t>
      </w:r>
      <w:r w:rsidRPr="00097782">
        <w:rPr>
          <w:rFonts w:ascii="Times New Roman" w:hAnsi="Times New Roman" w:cs="Times New Roman"/>
        </w:rPr>
        <w:t xml:space="preserve"> and health, immune response to stress and pathogens, reproductive success, and early ontogeny surv</w:t>
      </w:r>
      <w:r w:rsidR="00C63E6A" w:rsidRPr="00097782">
        <w:rPr>
          <w:rFonts w:ascii="Times New Roman" w:hAnsi="Times New Roman" w:cs="Times New Roman"/>
        </w:rPr>
        <w:t xml:space="preserve">ival </w:t>
      </w:r>
      <w:r w:rsidR="002739FE" w:rsidRPr="00097782">
        <w:rPr>
          <w:rFonts w:ascii="Times New Roman" w:hAnsi="Times New Roman" w:cs="Times New Roman"/>
        </w:rPr>
        <w:fldChar w:fldCharType="begin"/>
      </w:r>
      <w:r w:rsidR="00804C96">
        <w:rPr>
          <w:rFonts w:ascii="Times New Roman" w:hAnsi="Times New Roman" w:cs="Times New Roman"/>
        </w:rPr>
        <w:instrText xml:space="preserve"> ADDIN ZOTERO_ITEM CSL_CITATION {"citationID":"a1ners9veh2","properties":{"formattedCitation":"\\super 8\\nosupersub{}","plainCitation":"8","noteIndex":0},"citationItems":[{"id":866,"uris":["http://zotero.org/groups/4669668/items/BWK56QNC"],"itemData":{"id":866,"type":"chapter","abstract":"Most marine cultured fishes are carnivores and for this reason manufactured feeds have historically incorporated fish meal and fish oil to meet nutritional requirements, particularly dietary amino acid, fatty acid, and micronutrient requirements. While this generally results in rapid growth and high feed efficiency, it also makes aquaculture reliant on capture fisheries of forage species for rendering into feed ingredients. This approach is expensive, energetically inefficient, and often harmful to the environment. As a result, there is great interest in partial or even complete replacement of marine-based feed ingredients with plant-derived proteins and lipids, but such feeds can be less digestible and result in nutritional deficiencies in aquatic carnivores. This chapter will outline the physiological impacts of feeding plant-based diets to carnivorous fish and the progress that has been made in formulating such diets to meet the nutritional requirement of aquaculture species.","collection-title":"Aquaculture","container-title":"Fish Physiology","language":"en","note":"DOI: 10.1016/bs.fp.2020.09.002","page":"53-82","publisher":"Academic Press","source":"ScienceDirect","title":"Chapter 2 - Physiological considerations in shifting carnivorous fishes to plant-based diets","URL":"https://www.sciencedirect.com/science/article/pii/S1546509820300029","volume":"38","author":[{"family":"Colombo","given":"Stefanie M."}],"editor":[{"family":"Benfey","given":"Tillmann J."},{"family":"Farrell","given":"Anthony P."},{"family":"Brauner","given":"Colin J."}],"accessed":{"date-parts":[["2022",4,22]]},"issued":{"date-parts":[["2020",1,1]]}}}],"schema":"https://github.com/citation-style-language/schema/raw/master/csl-citation.json"} </w:instrText>
      </w:r>
      <w:r w:rsidR="002739FE" w:rsidRPr="00097782">
        <w:rPr>
          <w:rFonts w:ascii="Times New Roman" w:hAnsi="Times New Roman" w:cs="Times New Roman"/>
        </w:rPr>
        <w:fldChar w:fldCharType="separate"/>
      </w:r>
      <w:r w:rsidR="00804C96" w:rsidRPr="00804C96">
        <w:rPr>
          <w:rFonts w:ascii="Times New Roman" w:hAnsi="Times New Roman" w:cs="Times New Roman"/>
          <w:szCs w:val="24"/>
          <w:vertAlign w:val="superscript"/>
        </w:rPr>
        <w:t>8</w:t>
      </w:r>
      <w:r w:rsidR="002739FE" w:rsidRPr="00097782">
        <w:rPr>
          <w:rFonts w:ascii="Times New Roman" w:hAnsi="Times New Roman" w:cs="Times New Roman"/>
        </w:rPr>
        <w:fldChar w:fldCharType="end"/>
      </w:r>
      <w:r w:rsidRPr="00097782">
        <w:rPr>
          <w:rFonts w:ascii="Times New Roman" w:hAnsi="Times New Roman" w:cs="Times New Roman"/>
        </w:rPr>
        <w:t xml:space="preserve">.  </w:t>
      </w:r>
      <w:r w:rsidR="00D632BB">
        <w:rPr>
          <w:rFonts w:ascii="Times New Roman" w:hAnsi="Times New Roman" w:cs="Times New Roman"/>
        </w:rPr>
        <w:t>In summary, there is a n</w:t>
      </w:r>
      <w:r w:rsidR="00D632BB" w:rsidRPr="00D632BB">
        <w:rPr>
          <w:rFonts w:ascii="Times New Roman" w:hAnsi="Times New Roman" w:cs="Times New Roman"/>
        </w:rPr>
        <w:t xml:space="preserve">eed to prohibit the use of </w:t>
      </w:r>
      <w:r w:rsidR="00F239E1" w:rsidRPr="00F239E1">
        <w:rPr>
          <w:rFonts w:ascii="Times New Roman" w:hAnsi="Times New Roman" w:cs="Times New Roman"/>
        </w:rPr>
        <w:t>non-sustain</w:t>
      </w:r>
      <w:r w:rsidR="00F239E1">
        <w:rPr>
          <w:rFonts w:ascii="Times New Roman" w:hAnsi="Times New Roman" w:cs="Times New Roman"/>
        </w:rPr>
        <w:t>a</w:t>
      </w:r>
      <w:r w:rsidR="00F239E1" w:rsidRPr="00F239E1">
        <w:rPr>
          <w:rFonts w:ascii="Times New Roman" w:hAnsi="Times New Roman" w:cs="Times New Roman"/>
        </w:rPr>
        <w:t>ble marine</w:t>
      </w:r>
      <w:r w:rsidR="00F239E1">
        <w:rPr>
          <w:rFonts w:ascii="Times New Roman" w:hAnsi="Times New Roman" w:cs="Times New Roman"/>
        </w:rPr>
        <w:t xml:space="preserve"> </w:t>
      </w:r>
      <w:r w:rsidR="00F239E1" w:rsidRPr="00F239E1">
        <w:rPr>
          <w:rFonts w:ascii="Times New Roman" w:hAnsi="Times New Roman" w:cs="Times New Roman"/>
        </w:rPr>
        <w:t>feed ingredient sources</w:t>
      </w:r>
      <w:r w:rsidR="004A4C28">
        <w:rPr>
          <w:rFonts w:ascii="Times New Roman" w:hAnsi="Times New Roman" w:cs="Times New Roman"/>
        </w:rPr>
        <w:t xml:space="preserve"> (e.g., </w:t>
      </w:r>
      <w:r w:rsidR="004A4C28" w:rsidRPr="004A4C28">
        <w:rPr>
          <w:rFonts w:ascii="Times New Roman" w:hAnsi="Times New Roman" w:cs="Times New Roman"/>
        </w:rPr>
        <w:t>derived from over exploited and/or non-sustainably managed wild-caught marine fish,</w:t>
      </w:r>
      <w:r w:rsidR="004A4C28">
        <w:rPr>
          <w:rFonts w:ascii="Times New Roman" w:hAnsi="Times New Roman" w:cs="Times New Roman"/>
        </w:rPr>
        <w:t xml:space="preserve"> </w:t>
      </w:r>
      <w:r w:rsidR="004A4C28" w:rsidRPr="004A4C28">
        <w:rPr>
          <w:rFonts w:ascii="Times New Roman" w:hAnsi="Times New Roman" w:cs="Times New Roman"/>
        </w:rPr>
        <w:t>crustaceans, mollusks, and aquatic plant species</w:t>
      </w:r>
      <w:r w:rsidR="004A4C28">
        <w:rPr>
          <w:rFonts w:ascii="Times New Roman" w:hAnsi="Times New Roman" w:cs="Times New Roman"/>
        </w:rPr>
        <w:t>)</w:t>
      </w:r>
      <w:r w:rsidR="00421B39">
        <w:rPr>
          <w:rFonts w:ascii="Times New Roman" w:hAnsi="Times New Roman" w:cs="Times New Roman"/>
        </w:rPr>
        <w:t xml:space="preserve"> and</w:t>
      </w:r>
      <w:r w:rsidR="00F239E1" w:rsidRPr="00F239E1">
        <w:rPr>
          <w:rFonts w:ascii="Times New Roman" w:hAnsi="Times New Roman" w:cs="Times New Roman"/>
        </w:rPr>
        <w:t xml:space="preserve"> </w:t>
      </w:r>
      <w:r w:rsidR="00D632BB" w:rsidRPr="00D632BB">
        <w:rPr>
          <w:rFonts w:ascii="Times New Roman" w:hAnsi="Times New Roman" w:cs="Times New Roman"/>
        </w:rPr>
        <w:t>non-sustain</w:t>
      </w:r>
      <w:r w:rsidR="00F239E1">
        <w:rPr>
          <w:rFonts w:ascii="Times New Roman" w:hAnsi="Times New Roman" w:cs="Times New Roman"/>
        </w:rPr>
        <w:t>a</w:t>
      </w:r>
      <w:r w:rsidR="00D632BB" w:rsidRPr="00D632BB">
        <w:rPr>
          <w:rFonts w:ascii="Times New Roman" w:hAnsi="Times New Roman" w:cs="Times New Roman"/>
        </w:rPr>
        <w:t>ble terrestrial feed ingredient sources</w:t>
      </w:r>
      <w:r w:rsidR="001E73AF">
        <w:rPr>
          <w:rFonts w:ascii="Times New Roman" w:hAnsi="Times New Roman" w:cs="Times New Roman"/>
        </w:rPr>
        <w:t xml:space="preserve"> (particularly </w:t>
      </w:r>
      <w:r w:rsidR="001E73AF" w:rsidRPr="001E73AF">
        <w:rPr>
          <w:rFonts w:ascii="Times New Roman" w:hAnsi="Times New Roman" w:cs="Times New Roman"/>
        </w:rPr>
        <w:t xml:space="preserve">the use of </w:t>
      </w:r>
      <w:r w:rsidR="004A4C28" w:rsidRPr="001E73AF">
        <w:rPr>
          <w:rFonts w:ascii="Times New Roman" w:hAnsi="Times New Roman" w:cs="Times New Roman"/>
        </w:rPr>
        <w:t>non-deforestation</w:t>
      </w:r>
      <w:r w:rsidR="001E73AF" w:rsidRPr="001E73AF">
        <w:rPr>
          <w:rFonts w:ascii="Times New Roman" w:hAnsi="Times New Roman" w:cs="Times New Roman"/>
        </w:rPr>
        <w:t>/</w:t>
      </w:r>
      <w:r w:rsidR="001E73AF">
        <w:rPr>
          <w:rFonts w:ascii="Times New Roman" w:hAnsi="Times New Roman" w:cs="Times New Roman"/>
        </w:rPr>
        <w:t xml:space="preserve"> </w:t>
      </w:r>
      <w:r w:rsidR="001E73AF" w:rsidRPr="001E73AF">
        <w:rPr>
          <w:rFonts w:ascii="Times New Roman" w:hAnsi="Times New Roman" w:cs="Times New Roman"/>
        </w:rPr>
        <w:t xml:space="preserve">conversion-free feed ingredients, </w:t>
      </w:r>
      <w:r w:rsidR="00BE0D2F">
        <w:rPr>
          <w:rFonts w:ascii="Times New Roman" w:hAnsi="Times New Roman" w:cs="Times New Roman"/>
        </w:rPr>
        <w:t>as well as</w:t>
      </w:r>
      <w:r w:rsidR="001E73AF">
        <w:rPr>
          <w:rFonts w:ascii="Times New Roman" w:hAnsi="Times New Roman" w:cs="Times New Roman"/>
        </w:rPr>
        <w:t xml:space="preserve"> </w:t>
      </w:r>
      <w:r w:rsidR="001E73AF" w:rsidRPr="001E73AF">
        <w:rPr>
          <w:rFonts w:ascii="Times New Roman" w:hAnsi="Times New Roman" w:cs="Times New Roman"/>
        </w:rPr>
        <w:t>highly subsidized imported feed ingredient sources</w:t>
      </w:r>
      <w:r w:rsidR="00BE0D2F">
        <w:rPr>
          <w:rFonts w:ascii="Times New Roman" w:hAnsi="Times New Roman" w:cs="Times New Roman"/>
        </w:rPr>
        <w:t>)</w:t>
      </w:r>
      <w:r w:rsidR="000E1051">
        <w:rPr>
          <w:rFonts w:ascii="Times New Roman" w:hAnsi="Times New Roman" w:cs="Times New Roman"/>
        </w:rPr>
        <w:fldChar w:fldCharType="begin"/>
      </w:r>
      <w:r w:rsidR="007B5C18">
        <w:rPr>
          <w:rFonts w:ascii="Times New Roman" w:hAnsi="Times New Roman" w:cs="Times New Roman"/>
        </w:rPr>
        <w:instrText xml:space="preserve"> ADDIN ZOTERO_ITEM CSL_CITATION {"citationID":"akf4kggs3g","properties":{"formattedCitation":"\\super 16\\nosupersub{}","plainCitation":"16","noteIndex":0},"citationItems":[{"id":1694,"uris":["http://zotero.org/users/9431846/items/5UHFQQ46"],"itemData":{"id":1694,"type":"article-journal","container-title":"Reviews in Fisheries Science &amp; Aquaculture","DOI":"10.1080/23308249.2020.1860474","ISSN":"2330-8249, 2330-8257","issue":"2","journalAbbreviation":"Reviews in Fisheries Science &amp; Aquaculture","language":"en","page":"135-142","source":"DOI.org (Crossref)","title":"Future Feeds: Suggested Guidelines for Sustainable Development","title-short":"Future Feeds","volume":"30","author":[{"family":"Tacon","given":"Albert G. J."},{"family":"Metian","given":"Marc"},{"family":"McNevin","given":"Aaron A."}],"issued":{"date-parts":[["2022",4,3]]}}}],"schema":"https://github.com/citation-style-language/schema/raw/master/csl-citation.json"} </w:instrText>
      </w:r>
      <w:r w:rsidR="000E1051">
        <w:rPr>
          <w:rFonts w:ascii="Times New Roman" w:hAnsi="Times New Roman" w:cs="Times New Roman"/>
        </w:rPr>
        <w:fldChar w:fldCharType="separate"/>
      </w:r>
      <w:r w:rsidR="007B5C18" w:rsidRPr="007B5C18">
        <w:rPr>
          <w:rFonts w:ascii="Times New Roman" w:hAnsi="Times New Roman" w:cs="Times New Roman"/>
          <w:szCs w:val="24"/>
          <w:vertAlign w:val="superscript"/>
        </w:rPr>
        <w:t>16</w:t>
      </w:r>
      <w:r w:rsidR="000E1051">
        <w:rPr>
          <w:rFonts w:ascii="Times New Roman" w:hAnsi="Times New Roman" w:cs="Times New Roman"/>
        </w:rPr>
        <w:fldChar w:fldCharType="end"/>
      </w:r>
      <w:r w:rsidR="00BE0D2F">
        <w:rPr>
          <w:rFonts w:ascii="Times New Roman" w:hAnsi="Times New Roman" w:cs="Times New Roman"/>
        </w:rPr>
        <w:t>.</w:t>
      </w:r>
    </w:p>
    <w:p w14:paraId="5DC642B5" w14:textId="32FCF585" w:rsidR="00C3763D" w:rsidRPr="00097782" w:rsidRDefault="00C3763D" w:rsidP="00522623">
      <w:pPr>
        <w:spacing w:line="360" w:lineRule="auto"/>
        <w:ind w:firstLine="720"/>
        <w:contextualSpacing/>
        <w:jc w:val="both"/>
        <w:rPr>
          <w:rFonts w:ascii="Times New Roman" w:hAnsi="Times New Roman" w:cs="Times New Roman"/>
        </w:rPr>
      </w:pPr>
      <w:r w:rsidRPr="00097782">
        <w:rPr>
          <w:rFonts w:ascii="Times New Roman" w:hAnsi="Times New Roman" w:cs="Times New Roman"/>
        </w:rPr>
        <w:t xml:space="preserve">Climate change and other constraints will undoubtedly challenge </w:t>
      </w:r>
      <w:r w:rsidR="00023F35" w:rsidRPr="00097782">
        <w:rPr>
          <w:rFonts w:ascii="Times New Roman" w:hAnsi="Times New Roman" w:cs="Times New Roman"/>
        </w:rPr>
        <w:t xml:space="preserve">the </w:t>
      </w:r>
      <w:r w:rsidRPr="00097782">
        <w:rPr>
          <w:rFonts w:ascii="Times New Roman" w:hAnsi="Times New Roman" w:cs="Times New Roman"/>
        </w:rPr>
        <w:t xml:space="preserve">future growth of marine aquaculture </w:t>
      </w:r>
      <w:r w:rsidR="00E96BE3" w:rsidRPr="00097782">
        <w:rPr>
          <w:rFonts w:ascii="Times New Roman" w:hAnsi="Times New Roman" w:cs="Times New Roman"/>
        </w:rPr>
        <w:fldChar w:fldCharType="begin"/>
      </w:r>
      <w:r w:rsidR="00A33266">
        <w:rPr>
          <w:rFonts w:ascii="Times New Roman" w:hAnsi="Times New Roman" w:cs="Times New Roman"/>
        </w:rPr>
        <w:instrText xml:space="preserve"> ADDIN ZOTERO_ITEM CSL_CITATION {"citationID":"a3sgfsdbsv","properties":{"formattedCitation":"\\super 17,18\\nosupersub{}","plainCitation":"17,18","noteIndex":0},"citationItems":[{"id":859,"uris":["http://zotero.org/groups/4669668/items/A3ZIGSYY"],"itemData":{"id":859,"type":"article-journal","abstract":"Climate change is an immediate and future threat to food security globally. The consequences for fisheries and agriculture production potential are well studied, yet the possible outcomes for aquaculture (that is, aquatic farming)—one of the fastest growing food sectors on the planet—remain a major gap in scientific understanding. With over one-third of aquaculture produced in marine waters and this proportion increasing, it is critical to anticipate new opportunities and challenges in marine production under climate change. Here, we model and map the effect of warming ocean conditions (Representative Concentration Pathway scenario 8.5) on marine aquaculture production potential over the next century, based on thermal tolerance and growth data of 180 cultured finfish and bivalve species. We find heterogeneous patterns of gains and losses, but an overall greater probability of declines worldwide. Accounting for multiple drivers of species growth, including shifts in temperature, chlorophyll and ocean acidification, reveals potentially greater declines in bivalve aquaculture compared with finfish production. This study addresses a missing component in food security research and sustainable development planning by identifying regions that will face potentially greater climate change challenges and resilience with regards to marine aquaculture in the coming decades. Understanding the scale and magnitude of future increases and reductions in aquaculture potential is critical for designing effective and efficient use and protection of the oceans, and ultimately for feeding the planet sustainably.","container-title":"Nature Ecology &amp; Evolution","DOI":"10.1038/s41559-018-0669-1","ISSN":"2397-334X","issue":"11","journalAbbreviation":"Nat Ecol Evol","language":"en","license":"2018 The Author(s), under exclusive licence to Springer Nature Limited","note":"number: 11\npublisher: Nature Publishing Group","page":"1745-1750","source":"www.nature.com","title":"Global change in marine aquaculture production potential under climate change","volume":"2","author":[{"family":"Froehlich","given":"Halley E."},{"family":"Gentry","given":"Rebecca R."},{"family":"Halpern","given":"Benjamin S."}],"issued":{"date-parts":[["2018",11]]}}},{"id":861,"uris":["http://zotero.org/groups/4669668/items/47JSJQRU"],"itemData":{"id":861,"type":"article-journal","abstract":"Aquaculture now produces more seafood than wild capture fisheries and this production is expected to at least double by 2050. Representing almost half of global production, marine aquaculture will contribute to sustainably feeding the growing humanity. However, climate change will undoubtedly challenge the future growth of marine aquaculture. Temperature and sea-level rise, shifts in precipitation, freshening from glacier melt, changing ocean productivity, and circulation patterns, increasing occurrence of extreme climatic events, eutrophication, and ocean acidification are all stressors that will influence marine aquaculture. The objective of this themed article set was to bring together contributions on the broad theme of the potential impacts, adaptation, and mitigation strategies of marine aquaculture to climate change. Here we present 14 papers covering a diverse set of approaches including experimentation, modelling, meta-analysis and review, and disciplines like biology, ecology, economics, and engineering. These articles focus on the impacts of climate change-related stressors on the aquaculture potential itself and on the resulting ecological interactions (e.g. parasitism and predation), on phenotypic plasticity and adaptation potential of species, and on measures to mitigate the effects of climate change on aquaculture and vice versa. Considering this, adaptation of the aquaculture sector relies on anticipating the biogeographical changes in the distribution of species, determining their potential for adaptation and selective breeding for resistance or tolerance to climate-induced stressors, and fostering ecosystem resilience by means of conservation, restoration, or remediation. By will or by force, aquaculture will contribute to the low carbon economy of tomorrow. Aquaculture must move towards a new paradigm where the carbon footprint and the analysis of the life cycle of products are at least as important as economic profitability.","container-title":"ICES Journal of Marine Science","DOI":"10.1093/icesjms/fsaa248","ISSN":"1054-3139","issue":"1","journalAbbreviation":"ICES Journal of Marine Science","note":"number: 1","page":"315-322","source":"Silverchair","title":"The future is now: marine aquaculture in the anthropocene","title-short":"The future is now","volume":"78","author":[{"family":"Pernet","given":"Fabrice"},{"family":"Browman","given":"Howard I"}],"issued":{"date-parts":[["2021",2,1]]}}}],"schema":"https://github.com/citation-style-language/schema/raw/master/csl-citation.json"} </w:instrText>
      </w:r>
      <w:r w:rsidR="00E96BE3" w:rsidRPr="00097782">
        <w:rPr>
          <w:rFonts w:ascii="Times New Roman" w:hAnsi="Times New Roman" w:cs="Times New Roman"/>
        </w:rPr>
        <w:fldChar w:fldCharType="separate"/>
      </w:r>
      <w:r w:rsidR="00A33266" w:rsidRPr="00A33266">
        <w:rPr>
          <w:rFonts w:ascii="Times New Roman" w:hAnsi="Times New Roman" w:cs="Times New Roman"/>
          <w:szCs w:val="24"/>
          <w:vertAlign w:val="superscript"/>
        </w:rPr>
        <w:t>17,18</w:t>
      </w:r>
      <w:r w:rsidR="00E96BE3" w:rsidRPr="00097782">
        <w:rPr>
          <w:rFonts w:ascii="Times New Roman" w:hAnsi="Times New Roman" w:cs="Times New Roman"/>
        </w:rPr>
        <w:fldChar w:fldCharType="end"/>
      </w:r>
      <w:r w:rsidRPr="00097782">
        <w:rPr>
          <w:rFonts w:ascii="Times New Roman" w:hAnsi="Times New Roman" w:cs="Times New Roman"/>
        </w:rPr>
        <w:t xml:space="preserve">. </w:t>
      </w:r>
      <w:r w:rsidR="00984E8B">
        <w:rPr>
          <w:rFonts w:ascii="Times New Roman" w:hAnsi="Times New Roman" w:cs="Times New Roman"/>
        </w:rPr>
        <w:t>Aspects and consequences of climate change that d</w:t>
      </w:r>
      <w:r w:rsidRPr="00097782">
        <w:rPr>
          <w:rFonts w:ascii="Times New Roman" w:hAnsi="Times New Roman" w:cs="Times New Roman"/>
        </w:rPr>
        <w:t>irect</w:t>
      </w:r>
      <w:r w:rsidR="00984E8B">
        <w:rPr>
          <w:rFonts w:ascii="Times New Roman" w:hAnsi="Times New Roman" w:cs="Times New Roman"/>
        </w:rPr>
        <w:t>ly</w:t>
      </w:r>
      <w:r w:rsidRPr="00097782">
        <w:rPr>
          <w:rFonts w:ascii="Times New Roman" w:hAnsi="Times New Roman" w:cs="Times New Roman"/>
        </w:rPr>
        <w:t xml:space="preserve"> </w:t>
      </w:r>
      <w:r w:rsidR="00984E8B">
        <w:rPr>
          <w:rFonts w:ascii="Times New Roman" w:hAnsi="Times New Roman" w:cs="Times New Roman"/>
        </w:rPr>
        <w:t>affect marine aquaculture</w:t>
      </w:r>
      <w:r w:rsidR="0068737F">
        <w:rPr>
          <w:rFonts w:ascii="Times New Roman" w:hAnsi="Times New Roman" w:cs="Times New Roman"/>
        </w:rPr>
        <w:t xml:space="preserve"> include increasing</w:t>
      </w:r>
      <w:r w:rsidRPr="00097782">
        <w:rPr>
          <w:rFonts w:ascii="Times New Roman" w:hAnsi="Times New Roman" w:cs="Times New Roman"/>
        </w:rPr>
        <w:t xml:space="preserve"> temperature and sea-level rise, shifts in precipitation</w:t>
      </w:r>
      <w:r w:rsidR="0068737F">
        <w:rPr>
          <w:rFonts w:ascii="Times New Roman" w:hAnsi="Times New Roman" w:cs="Times New Roman"/>
        </w:rPr>
        <w:t xml:space="preserve"> patterns</w:t>
      </w:r>
      <w:r w:rsidRPr="00097782">
        <w:rPr>
          <w:rFonts w:ascii="Times New Roman" w:hAnsi="Times New Roman" w:cs="Times New Roman"/>
        </w:rPr>
        <w:t xml:space="preserve">, freshening from glacier melt, </w:t>
      </w:r>
      <w:r w:rsidR="0068737F">
        <w:rPr>
          <w:rFonts w:ascii="Times New Roman" w:hAnsi="Times New Roman" w:cs="Times New Roman"/>
        </w:rPr>
        <w:t>a</w:t>
      </w:r>
      <w:r w:rsidR="00A471B3">
        <w:rPr>
          <w:rFonts w:ascii="Times New Roman" w:hAnsi="Times New Roman" w:cs="Times New Roman"/>
        </w:rPr>
        <w:t xml:space="preserve">cidification, and other changes in </w:t>
      </w:r>
      <w:r w:rsidRPr="00097782">
        <w:rPr>
          <w:rFonts w:ascii="Times New Roman" w:hAnsi="Times New Roman" w:cs="Times New Roman"/>
        </w:rPr>
        <w:t xml:space="preserve">ocean </w:t>
      </w:r>
      <w:r w:rsidR="000965F4">
        <w:rPr>
          <w:rFonts w:ascii="Times New Roman" w:hAnsi="Times New Roman" w:cs="Times New Roman"/>
        </w:rPr>
        <w:t xml:space="preserve">conditions, </w:t>
      </w:r>
      <w:r w:rsidR="00441D2D">
        <w:rPr>
          <w:rFonts w:ascii="Times New Roman" w:hAnsi="Times New Roman" w:cs="Times New Roman"/>
        </w:rPr>
        <w:t>productivity, currents and other cycles;</w:t>
      </w:r>
      <w:r w:rsidRPr="00097782">
        <w:rPr>
          <w:rFonts w:ascii="Times New Roman" w:hAnsi="Times New Roman" w:cs="Times New Roman"/>
        </w:rPr>
        <w:t xml:space="preserve"> </w:t>
      </w:r>
      <w:r w:rsidRPr="00097782">
        <w:rPr>
          <w:rFonts w:ascii="Times New Roman" w:hAnsi="Times New Roman" w:cs="Times New Roman"/>
        </w:rPr>
        <w:lastRenderedPageBreak/>
        <w:t xml:space="preserve">increasing occurrence of extreme </w:t>
      </w:r>
      <w:r w:rsidR="00441D2D">
        <w:rPr>
          <w:rFonts w:ascii="Times New Roman" w:hAnsi="Times New Roman" w:cs="Times New Roman"/>
        </w:rPr>
        <w:t xml:space="preserve">weather </w:t>
      </w:r>
      <w:r w:rsidRPr="00097782">
        <w:rPr>
          <w:rFonts w:ascii="Times New Roman" w:hAnsi="Times New Roman" w:cs="Times New Roman"/>
        </w:rPr>
        <w:t xml:space="preserve">events, eutrophication, </w:t>
      </w:r>
      <w:r w:rsidR="00096747">
        <w:rPr>
          <w:rFonts w:ascii="Times New Roman" w:hAnsi="Times New Roman" w:cs="Times New Roman"/>
        </w:rPr>
        <w:t xml:space="preserve">and changing distributions of pathogens, parasites, and invasive/nuisance species </w:t>
      </w:r>
      <w:r w:rsidR="009A2595" w:rsidRPr="00097782">
        <w:rPr>
          <w:rFonts w:ascii="Times New Roman" w:hAnsi="Times New Roman" w:cs="Times New Roman"/>
        </w:rPr>
        <w:fldChar w:fldCharType="begin"/>
      </w:r>
      <w:r w:rsidR="00F40EF5">
        <w:rPr>
          <w:rFonts w:ascii="Times New Roman" w:hAnsi="Times New Roman" w:cs="Times New Roman"/>
        </w:rPr>
        <w:instrText xml:space="preserve"> ADDIN ZOTERO_ITEM CSL_CITATION {"citationID":"a1kpcg5v7va","properties":{"formattedCitation":"\\super 18\\uc0\\u8211{}20\\nosupersub{}","plainCitation":"18–20","noteIndex":0},"citationItems":[{"id":860,"uris":["http://zotero.org/groups/4669668/items/CYUGANYH"],"itemData":{"id":860,"type":"article-journal","abstract":"The 2015 Paris Climate Agreement recognizes the need for effective and progressive responses to the urgent threat of climate change, through mitigation and adaptation measures, while taking into account the particular vulnerabilities of food production systems. The inclusion of adaptation measures in the fisheries and aquaculture sector is currently hampered by a widespread lack of targeted analyses of the sector’s vulnerabilities to climate change and associated risks, as well as the opportunities and responses available. This report provides the most up-to-date information on the disaggregated impacts of climate change for marine and inland fisheries, and aquaculture, in the context of poverty alleviation and the differential dependency of countries on fish and fishery resources. The work is based on model projections, data analyses, as well as national, regional and basin-scale expert assessments. The results indicate that climate change will lead to significant changes in the availability and trade of fish products, with potentially important geopolitical and economic consequences, especially for those countries most dependent on the sector.","container-title":"FAO Fisheries and Aquaculture Technical Paper (FAO) eng no. 627","ISSN":"2070-7010","language":"English","note":"ISBN: 9789251306079\npublisher: FAO","source":"agris.fao.org","title":"Impacts of climate change on fisheries and aquaculture: synthesis of currrent knowledge, adaptation and mitigation options","title-short":"Impacts of climate change on fisheries and aquaculture","URL":"http://www.fao.org/3/i9705en/I9705EN.pdf","author":[{"family":"Barange","given":"M."},{"family":"Bahri","given":"T."},{"family":"Beveridge","given":"M. C. M."},{"family":"Cochrane","given":"K. L."},{"family":"Funge-Smith","given":"S."},{"family":"Poulain","given":"F."}],"accessed":{"date-parts":[["2022",4,22]]},"issued":{"date-parts":[["2018"]]}}},{"id":861,"uris":["http://zotero.org/groups/4669668/items/47JSJQRU"],"itemData":{"id":861,"type":"article-journal","abstract":"Aquaculture now produces more seafood than wild capture fisheries and this production is expected to at least double by 2050. Representing almost half of global production, marine aquaculture will contribute to sustainably feeding the growing humanity. However, climate change will undoubtedly challenge the future growth of marine aquaculture. Temperature and sea-level rise, shifts in precipitation, freshening from glacier melt, changing ocean productivity, and circulation patterns, increasing occurrence of extreme climatic events, eutrophication, and ocean acidification are all stressors that will influence marine aquaculture. The objective of this themed article set was to bring together contributions on the broad theme of the potential impacts, adaptation, and mitigation strategies of marine aquaculture to climate change. Here we present 14 papers covering a diverse set of approaches including experimentation, modelling, meta-analysis and review, and disciplines like biology, ecology, economics, and engineering. These articles focus on the impacts of climate change-related stressors on the aquaculture potential itself and on the resulting ecological interactions (e.g. parasitism and predation), on phenotypic plasticity and adaptation potential of species, and on measures to mitigate the effects of climate change on aquaculture and vice versa. Considering this, adaptation of the aquaculture sector relies on anticipating the biogeographical changes in the distribution of species, determining their potential for adaptation and selective breeding for resistance or tolerance to climate-induced stressors, and fostering ecosystem resilience by means of conservation, restoration, or remediation. By will or by force, aquaculture will contribute to the low carbon economy of tomorrow. Aquaculture must move towards a new paradigm where the carbon footprint and the analysis of the life cycle of products are at least as important as economic profitability.","container-title":"ICES Journal of Marine Science","DOI":"10.1093/icesjms/fsaa248","ISSN":"1054-3139","issue":"1","journalAbbreviation":"ICES Journal of Marine Science","note":"number: 1","page":"315-322","source":"Silverchair","title":"The future is now: marine aquaculture in the anthropocene","title-short":"The future is now","volume":"78","author":[{"family":"Pernet","given":"Fabrice"},{"family":"Browman","given":"Howard I"}],"issued":{"date-parts":[["2021",2,1]]}}},{"id":995,"uris":["http://zotero.org/groups/4669668/items/TV2W63FM"],"itemData":{"id":995,"type":"article-journal","container-title":"IPCC Special Report on the Ocean and Cryosphere in a Changing Climate","title":"The ocean and cryosphere in a changing climate","author":[{"family":"Pörtner","given":"Hans-Otto"},{"family":"Roberts","given":"Debra C."},{"family":"Masson-Delmotte","given":"Valérie"},{"family":"Zhai","given":"Panmao"},{"family":"Tignor","given":"Melinda"},{"family":"Poloczanska","given":"Elvira"},{"family":"Weyer","given":"N. M."}],"issued":{"date-parts":[["2019"]]}}}],"schema":"https://github.com/citation-style-language/schema/raw/master/csl-citation.json"} </w:instrText>
      </w:r>
      <w:r w:rsidR="009A2595" w:rsidRPr="00097782">
        <w:rPr>
          <w:rFonts w:ascii="Times New Roman" w:hAnsi="Times New Roman" w:cs="Times New Roman"/>
        </w:rPr>
        <w:fldChar w:fldCharType="separate"/>
      </w:r>
      <w:r w:rsidR="00F40EF5" w:rsidRPr="00F40EF5">
        <w:rPr>
          <w:rFonts w:ascii="Times New Roman" w:hAnsi="Times New Roman" w:cs="Times New Roman"/>
          <w:szCs w:val="24"/>
          <w:vertAlign w:val="superscript"/>
        </w:rPr>
        <w:t>18–20</w:t>
      </w:r>
      <w:r w:rsidR="009A2595" w:rsidRPr="00097782">
        <w:rPr>
          <w:rFonts w:ascii="Times New Roman" w:hAnsi="Times New Roman" w:cs="Times New Roman"/>
        </w:rPr>
        <w:fldChar w:fldCharType="end"/>
      </w:r>
      <w:r w:rsidRPr="00097782">
        <w:rPr>
          <w:rFonts w:ascii="Times New Roman" w:hAnsi="Times New Roman" w:cs="Times New Roman"/>
        </w:rPr>
        <w:t xml:space="preserve">. </w:t>
      </w:r>
      <w:r w:rsidR="00C44862">
        <w:rPr>
          <w:rFonts w:ascii="Times New Roman" w:hAnsi="Times New Roman" w:cs="Times New Roman"/>
        </w:rPr>
        <w:t xml:space="preserve">Many of these factors also affect freshwater aquaculture, along with increased competition for freshwater resources. </w:t>
      </w:r>
      <w:r w:rsidRPr="00097782">
        <w:rPr>
          <w:rFonts w:ascii="Times New Roman" w:hAnsi="Times New Roman" w:cs="Times New Roman"/>
        </w:rPr>
        <w:t>Indirectly, climate change can impact aquaculture via aquafeed supplies, for example, hampering the ability to produce crops in extreme and increasingly unpredictable conditions and jeopardiz</w:t>
      </w:r>
      <w:r w:rsidR="009B5509" w:rsidRPr="00097782">
        <w:rPr>
          <w:rFonts w:ascii="Times New Roman" w:hAnsi="Times New Roman" w:cs="Times New Roman"/>
        </w:rPr>
        <w:t>ing</w:t>
      </w:r>
      <w:r w:rsidRPr="00097782">
        <w:rPr>
          <w:rFonts w:ascii="Times New Roman" w:hAnsi="Times New Roman" w:cs="Times New Roman"/>
        </w:rPr>
        <w:t xml:space="preserve"> the long-term sustainability of marine products (i.e., FM and FO) harvesting. Furthermore, significant transformations are needed within terrestrial </w:t>
      </w:r>
      <w:r w:rsidR="00F31150">
        <w:rPr>
          <w:rFonts w:ascii="Times New Roman" w:hAnsi="Times New Roman" w:cs="Times New Roman"/>
        </w:rPr>
        <w:t xml:space="preserve">crop and livestock </w:t>
      </w:r>
      <w:r w:rsidRPr="00097782">
        <w:rPr>
          <w:rFonts w:ascii="Times New Roman" w:hAnsi="Times New Roman" w:cs="Times New Roman"/>
        </w:rPr>
        <w:t xml:space="preserve">agriculture production to reduce </w:t>
      </w:r>
      <w:r w:rsidR="009B5509" w:rsidRPr="00097782">
        <w:rPr>
          <w:rFonts w:ascii="Times New Roman" w:hAnsi="Times New Roman" w:cs="Times New Roman"/>
        </w:rPr>
        <w:t>GHG</w:t>
      </w:r>
      <w:r w:rsidR="00C77ED5" w:rsidRPr="00097782">
        <w:rPr>
          <w:rFonts w:ascii="Times New Roman" w:hAnsi="Times New Roman" w:cs="Times New Roman"/>
        </w:rPr>
        <w:t xml:space="preserve"> </w:t>
      </w:r>
      <w:r w:rsidRPr="00097782">
        <w:rPr>
          <w:rFonts w:ascii="Times New Roman" w:hAnsi="Times New Roman" w:cs="Times New Roman"/>
        </w:rPr>
        <w:t>emissions and shift agriculture from a carbon source to a carbon sink which currently exacerbate</w:t>
      </w:r>
      <w:r w:rsidR="009B5509" w:rsidRPr="00097782">
        <w:rPr>
          <w:rFonts w:ascii="Times New Roman" w:hAnsi="Times New Roman" w:cs="Times New Roman"/>
        </w:rPr>
        <w:t>s</w:t>
      </w:r>
      <w:r w:rsidRPr="00097782">
        <w:rPr>
          <w:rFonts w:ascii="Times New Roman" w:hAnsi="Times New Roman" w:cs="Times New Roman"/>
        </w:rPr>
        <w:t xml:space="preserve"> the climate scenario</w:t>
      </w:r>
      <w:r w:rsidR="001E7B29" w:rsidRPr="00097782">
        <w:rPr>
          <w:rFonts w:ascii="Times New Roman" w:hAnsi="Times New Roman" w:cs="Times New Roman"/>
        </w:rPr>
        <w:t xml:space="preserve"> </w:t>
      </w:r>
      <w:r w:rsidR="00B630A9" w:rsidRPr="00097782">
        <w:rPr>
          <w:rFonts w:ascii="Times New Roman" w:hAnsi="Times New Roman" w:cs="Times New Roman"/>
        </w:rPr>
        <w:fldChar w:fldCharType="begin"/>
      </w:r>
      <w:r w:rsidR="002F1FA7">
        <w:rPr>
          <w:rFonts w:ascii="Times New Roman" w:hAnsi="Times New Roman" w:cs="Times New Roman"/>
        </w:rPr>
        <w:instrText xml:space="preserve"> ADDIN ZOTERO_ITEM CSL_CITATION {"citationID":"a22sll881ka","properties":{"formattedCitation":"\\super 21\\nosupersub{}","plainCitation":"21","noteIndex":0},"citationItems":[{"id":857,"uris":["http://zotero.org/groups/4669668/items/I9EYGT4K"],"itemData":{"id":857,"type":"article-journal","container-title":"The Lancet","DOI":"10.1016/S0140-6736(18)31788-4","ISSN":"0140-6736, 1474-547X","issue":"10170","journalAbbreviation":"The Lancet","language":"English","note":"number: 10170\npublisher: Elsevier\nPMID: 30660336","page":"447-492","source":"www.thelancet.com","title":"Food in the Anthropocene: the EAT–Lancet Commission on healthy diets from sustainable food systems","title-short":"Food in the Anthropocene","volume":"393","author":[{"family":"Willett","given":"Walter"},{"family":"Rockström","given":"Johan"},{"family":"Loken","given":"Brent"},{"family":"Springmann","given":"Marco"},{"family":"Lang","given":"Tim"},{"family":"Vermeulen","given":"Sonja"},{"family":"Garnett","given":"Tara"},{"family":"Tilman","given":"David"},{"family":"DeClerck","given":"Fabrice"},{"family":"Wood","given":"Amanda"},{"family":"Jonell","given":"Malin"},{"family":"Clark","given":"Michael"},{"family":"Gordon","given":"Line J."},{"family":"Fanzo","given":"Jessica"},{"family":"Hawkes","given":"Corinna"},{"family":"Zurayk","given":"Rami"},{"family":"Rivera","given":"Juan A."},{"family":"Vries","given":"Wim De"},{"family":"Sibanda","given":"Lindiwe Majele"},{"family":"Afshin","given":"Ashkan"},{"family":"Chaudhary","given":"Abhishek"},{"family":"Herrero","given":"Mario"},{"family":"Agustina","given":"Rina"},{"family":"Branca","given":"Francesco"},{"family":"Lartey","given":"Anna"},{"family":"Fan","given":"Shenggen"},{"family":"Crona","given":"Beatrice"},{"family":"Fox","given":"Elizabeth"},{"family":"Bignet","given":"Victoria"},{"family":"Troell","given":"Max"},{"family":"Lindahl","given":"Therese"},{"family":"Singh","given":"Sudhvir"},{"family":"Cornell","given":"Sarah E."},{"family":"Reddy","given":"K. Srinath"},{"family":"Narain","given":"Sunita"},{"family":"Nishtar","given":"Sania"},{"family":"Murray","given":"Christopher J. L."}],"issued":{"date-parts":[["2019",2,2]]}}}],"schema":"https://github.com/citation-style-language/schema/raw/master/csl-citation.json"} </w:instrText>
      </w:r>
      <w:r w:rsidR="00B630A9" w:rsidRPr="00097782">
        <w:rPr>
          <w:rFonts w:ascii="Times New Roman" w:hAnsi="Times New Roman" w:cs="Times New Roman"/>
        </w:rPr>
        <w:fldChar w:fldCharType="separate"/>
      </w:r>
      <w:r w:rsidR="002F1FA7" w:rsidRPr="002F1FA7">
        <w:rPr>
          <w:rFonts w:ascii="Times New Roman" w:hAnsi="Times New Roman" w:cs="Times New Roman"/>
          <w:szCs w:val="24"/>
          <w:vertAlign w:val="superscript"/>
        </w:rPr>
        <w:t>21</w:t>
      </w:r>
      <w:r w:rsidR="00B630A9" w:rsidRPr="00097782">
        <w:rPr>
          <w:rFonts w:ascii="Times New Roman" w:hAnsi="Times New Roman" w:cs="Times New Roman"/>
        </w:rPr>
        <w:fldChar w:fldCharType="end"/>
      </w:r>
      <w:r w:rsidR="000B6AAA" w:rsidRPr="00097782">
        <w:rPr>
          <w:rFonts w:ascii="Times New Roman" w:hAnsi="Times New Roman" w:cs="Times New Roman"/>
        </w:rPr>
        <w:t xml:space="preserve">. </w:t>
      </w:r>
      <w:r w:rsidR="00F832D3">
        <w:rPr>
          <w:rFonts w:ascii="Times New Roman" w:hAnsi="Times New Roman" w:cs="Times New Roman"/>
        </w:rPr>
        <w:t>A</w:t>
      </w:r>
      <w:r w:rsidRPr="00097782">
        <w:rPr>
          <w:rFonts w:ascii="Times New Roman" w:hAnsi="Times New Roman" w:cs="Times New Roman"/>
        </w:rPr>
        <w:t>quaculture</w:t>
      </w:r>
      <w:r w:rsidR="00F832D3">
        <w:rPr>
          <w:rFonts w:ascii="Times New Roman" w:hAnsi="Times New Roman" w:cs="Times New Roman"/>
        </w:rPr>
        <w:t xml:space="preserve"> should remain aware of </w:t>
      </w:r>
      <w:r w:rsidR="008D4019">
        <w:rPr>
          <w:rFonts w:ascii="Times New Roman" w:hAnsi="Times New Roman" w:cs="Times New Roman"/>
        </w:rPr>
        <w:t xml:space="preserve">its </w:t>
      </w:r>
      <w:r w:rsidRPr="00097782">
        <w:rPr>
          <w:rFonts w:ascii="Times New Roman" w:hAnsi="Times New Roman" w:cs="Times New Roman"/>
        </w:rPr>
        <w:t>reliance on other primary food production</w:t>
      </w:r>
      <w:r w:rsidR="008D4019">
        <w:rPr>
          <w:rFonts w:ascii="Times New Roman" w:hAnsi="Times New Roman" w:cs="Times New Roman"/>
        </w:rPr>
        <w:t xml:space="preserve">; however, </w:t>
      </w:r>
      <w:r w:rsidR="002C3726" w:rsidRPr="002C3726">
        <w:rPr>
          <w:rFonts w:ascii="Times New Roman" w:hAnsi="Times New Roman" w:cs="Times New Roman"/>
        </w:rPr>
        <w:t xml:space="preserve">aquaculture is also a means of taking existing production and waste products and transforming it into high-quality </w:t>
      </w:r>
      <w:r w:rsidR="002C3726">
        <w:rPr>
          <w:rFonts w:ascii="Times New Roman" w:hAnsi="Times New Roman" w:cs="Times New Roman"/>
        </w:rPr>
        <w:t>food</w:t>
      </w:r>
      <w:r w:rsidR="002C3726" w:rsidRPr="002C3726">
        <w:rPr>
          <w:rFonts w:ascii="Times New Roman" w:hAnsi="Times New Roman" w:cs="Times New Roman"/>
        </w:rPr>
        <w:t xml:space="preserve"> with a lower carbon footprint</w:t>
      </w:r>
      <w:r w:rsidR="005E290A">
        <w:rPr>
          <w:rFonts w:ascii="Times New Roman" w:hAnsi="Times New Roman" w:cs="Times New Roman"/>
        </w:rPr>
        <w:t xml:space="preserve"> compared to other means of food production</w:t>
      </w:r>
      <w:r w:rsidR="00E506D9">
        <w:rPr>
          <w:rFonts w:ascii="Times New Roman" w:hAnsi="Times New Roman" w:cs="Times New Roman"/>
        </w:rPr>
        <w:fldChar w:fldCharType="begin"/>
      </w:r>
      <w:r w:rsidR="00BD508B">
        <w:rPr>
          <w:rFonts w:ascii="Times New Roman" w:hAnsi="Times New Roman" w:cs="Times New Roman"/>
        </w:rPr>
        <w:instrText xml:space="preserve"> ADDIN ZOTERO_ITEM CSL_CITATION {"citationID":"a1e5nui473u","properties":{"formattedCitation":"\\super 4\\nosupersub{}","plainCitation":"4","noteIndex":0},"citationItems":[{"id":234,"uris":["http://zotero.org/users/9431846/items/Y3522PFU"],"itemData":{"id":234,"type":"article-journal","abstract":"Fish and other aquatic foods (blue foods) present an opportunity for more sustainable diets1,2. Yet comprehensive comparison has been limited due to sparse inclusion of blue foods in environmental impact studies3,4 relative to the vast diversity of production5. Here we provide standardized estimates of greenhouse gas, nitrogen, phosphorus, freshwater and land stressors for species groups covering nearly three quarters of global production. We find that across all blue foods, farmed bivalves and seaweeds generate the lowest stressors. Capture fisheries predominantly generate greenhouse gas emissions, with small pelagic fishes generating lower emissions than all fed aquaculture, but flatfish and crustaceans generating the highest. Among farmed finfish and crustaceans, silver and bighead carps have the lowest greenhouse gas, nitrogen and phosphorus emissions, but highest water use, while farmed salmon and trout use the least land and water. Finally, we model intervention scenarios and find improving feed conversion ratios reduces stressors across all fed groups, increasing fish yield reduces land and water use by up to half, and optimizing gears reduces capture fishery emissions by more than half for some groups. Collectively, our analysis identifies high-performing blue foods, highlights opportunities to improve environmental performance, advances data-poor environmental assessments, and informs sustainable diets.","container-title":"Nature","DOI":"10.1038/s41586-021-03889-2","ISSN":"1476-4687","issue":"7876","language":"en","license":"2021 The Author(s), under exclusive licence to Springer Nature Limited","note":"number: 7876\npublisher: Nature Publishing Group","page":"360-365","source":"www.nature.com","title":"Environmental performance of blue foods","volume":"597","author":[{"family":"Gephart","given":"Jessica A."},{"family":"Henriksson","given":"Patrik J. G."},{"family":"Parker","given":"Robert W. R."},{"family":"Shepon","given":"Alon"},{"family":"Gorospe","given":"Kelvin D."},{"family":"Bergman","given":"Kristina"},{"family":"Eshel","given":"Gidon"},{"family":"Golden","given":"Christopher D."},{"family":"Halpern","given":"Benjamin S."},{"family":"Hornborg","given":"Sara"},{"family":"Jonell","given":"Malin"},{"family":"Metian","given":"Marc"},{"family":"Mifflin","given":"Kathleen"},{"family":"Newton","given":"Richard"},{"family":"Tyedmers","given":"Peter"},{"family":"Zhang","given":"Wenbo"},{"family":"Ziegler","given":"Friederike"},{"family":"Troell","given":"Max"}],"issued":{"date-parts":[["2021",9]]}}}],"schema":"https://github.com/citation-style-language/schema/raw/master/csl-citation.json"} </w:instrText>
      </w:r>
      <w:r w:rsidR="00E506D9">
        <w:rPr>
          <w:rFonts w:ascii="Times New Roman" w:hAnsi="Times New Roman" w:cs="Times New Roman"/>
        </w:rPr>
        <w:fldChar w:fldCharType="separate"/>
      </w:r>
      <w:r w:rsidR="00BD508B" w:rsidRPr="00BD508B">
        <w:rPr>
          <w:rFonts w:ascii="Times New Roman" w:hAnsi="Times New Roman" w:cs="Times New Roman"/>
          <w:szCs w:val="24"/>
          <w:vertAlign w:val="superscript"/>
        </w:rPr>
        <w:t>4</w:t>
      </w:r>
      <w:r w:rsidR="00E506D9">
        <w:rPr>
          <w:rFonts w:ascii="Times New Roman" w:hAnsi="Times New Roman" w:cs="Times New Roman"/>
        </w:rPr>
        <w:fldChar w:fldCharType="end"/>
      </w:r>
      <w:r w:rsidRPr="00097782">
        <w:rPr>
          <w:rFonts w:ascii="Times New Roman" w:hAnsi="Times New Roman" w:cs="Times New Roman"/>
        </w:rPr>
        <w:t xml:space="preserve">. </w:t>
      </w:r>
      <w:r w:rsidR="00374D62">
        <w:rPr>
          <w:rFonts w:ascii="Times New Roman" w:hAnsi="Times New Roman" w:cs="Times New Roman"/>
        </w:rPr>
        <w:t>Environmental change and increasing seafood demand and harvest pressure</w:t>
      </w:r>
      <w:r w:rsidRPr="00097782">
        <w:rPr>
          <w:rFonts w:ascii="Times New Roman" w:hAnsi="Times New Roman" w:cs="Times New Roman"/>
        </w:rPr>
        <w:t xml:space="preserve"> jeopardizes the current capacity for marine fisheries to support the food and nutrition security of individual nations </w:t>
      </w:r>
      <w:r w:rsidR="00B526AC" w:rsidRPr="00097782">
        <w:rPr>
          <w:rFonts w:ascii="Times New Roman" w:hAnsi="Times New Roman" w:cs="Times New Roman"/>
        </w:rPr>
        <w:fldChar w:fldCharType="begin"/>
      </w:r>
      <w:r w:rsidR="006A3737">
        <w:rPr>
          <w:rFonts w:ascii="Times New Roman" w:hAnsi="Times New Roman" w:cs="Times New Roman"/>
        </w:rPr>
        <w:instrText xml:space="preserve"> ADDIN ZOTERO_ITEM CSL_CITATION {"citationID":"agu17gr9mr","properties":{"formattedCitation":"\\super 22\\nosupersub{}","plainCitation":"22","noteIndex":0},"citationItems":[{"id":858,"uris":["http://zotero.org/groups/4669668/items/T549EWRQ"],"itemData":{"id":858,"type":"article-journal","abstract":"Fish are rich in bioavailable micronutrients, such as zinc and iron, deficiencies of which are a global food security concern.1,2 Global marine fisheries yields are threatened by climate change and overfishing,3,4 yet understanding of how these stressors affect the nutrients available from fisheries is lacking.5,6 Here, using global assessments of micronutrient content2 and fisheries catch data,7 we investigate how the vulnerability status of marine fish species8,9 may translate into vulnerability of micronutrient availability at scales of both individual species and entire fishery assemblages for 157 countries. We further quantify the micronutrient evenness of catches to identify countries where interventions can optimize micronutrient supply. Our global analysis, including &gt;800 marine fish species, reveals that, at a species level, micronutrient availability and vulnerability to both climate change and overfishing varies greatly, with tropical species displaying a positive co-tolerance, indicating greater persistence to both stressors at a community level.10 Global fisheries catches had relatively low nutritional vulnerability to fishing. Catches with higher species richness tend to be nutrient dense and evenly distributed but are more vulnerable to climate change, with 40% of countries displaying high vulnerability. Countries with high prevalence of inadequate micronutrient intake tend to have the most nutrient-dense catches, but these same fisheries are highly vulnerable to climate change, with relatively lower capacity to adapt.11 Our analysis highlights the need to consolidate fisheries, climate, and food policies to secure the sustainable contribution of fish-derived micronutrients to food and nutrition security.","container-title":"Current Biology","DOI":"10.1016/j.cub.2021.06.067","ISSN":"0960-9822","issue":"18","journalAbbreviation":"Current Biology","language":"en","note":"number: 18","page":"4132-4138.e3","source":"ScienceDirect","title":"Micronutrient supply from global marine fisheries under climate change and overfishing","volume":"31","author":[{"family":"Maire","given":"Eva"},{"family":"Graham","given":"Nicholas A. J."},{"family":"MacNeil","given":"M. Aaron"},{"family":"Lam","given":"Vicky W. Y."},{"family":"Robinson","given":"James P. W."},{"family":"Cheung","given":"William W. L."},{"family":"Hicks","given":"Christina C."}],"issued":{"date-parts":[["2021",9,27]]}}}],"schema":"https://github.com/citation-style-language/schema/raw/master/csl-citation.json"} </w:instrText>
      </w:r>
      <w:r w:rsidR="00B526AC" w:rsidRPr="00097782">
        <w:rPr>
          <w:rFonts w:ascii="Times New Roman" w:hAnsi="Times New Roman" w:cs="Times New Roman"/>
        </w:rPr>
        <w:fldChar w:fldCharType="separate"/>
      </w:r>
      <w:r w:rsidR="006A3737" w:rsidRPr="006A3737">
        <w:rPr>
          <w:rFonts w:ascii="Times New Roman" w:hAnsi="Times New Roman" w:cs="Times New Roman"/>
          <w:szCs w:val="24"/>
          <w:vertAlign w:val="superscript"/>
        </w:rPr>
        <w:t>22</w:t>
      </w:r>
      <w:r w:rsidR="00B526AC" w:rsidRPr="00097782">
        <w:rPr>
          <w:rFonts w:ascii="Times New Roman" w:hAnsi="Times New Roman" w:cs="Times New Roman"/>
        </w:rPr>
        <w:fldChar w:fldCharType="end"/>
      </w:r>
      <w:r w:rsidRPr="00097782">
        <w:rPr>
          <w:rFonts w:ascii="Times New Roman" w:hAnsi="Times New Roman" w:cs="Times New Roman"/>
        </w:rPr>
        <w:t>, thereby</w:t>
      </w:r>
      <w:r w:rsidR="0012636A">
        <w:rPr>
          <w:rFonts w:ascii="Times New Roman" w:hAnsi="Times New Roman" w:cs="Times New Roman"/>
        </w:rPr>
        <w:t xml:space="preserve"> affecting wild-caught fish for human consumption as well as the FM and FO supply.</w:t>
      </w:r>
      <w:r w:rsidRPr="00097782">
        <w:rPr>
          <w:rFonts w:ascii="Times New Roman" w:hAnsi="Times New Roman" w:cs="Times New Roman"/>
        </w:rPr>
        <w:t xml:space="preserve"> </w:t>
      </w:r>
      <w:r w:rsidR="009B5509" w:rsidRPr="00097782">
        <w:rPr>
          <w:rFonts w:ascii="Times New Roman" w:hAnsi="Times New Roman" w:cs="Times New Roman"/>
        </w:rPr>
        <w:t>The c</w:t>
      </w:r>
      <w:r w:rsidRPr="00097782">
        <w:rPr>
          <w:rFonts w:ascii="Times New Roman" w:hAnsi="Times New Roman" w:cs="Times New Roman"/>
        </w:rPr>
        <w:t xml:space="preserve">ontribution </w:t>
      </w:r>
      <w:r w:rsidR="00C77ED5" w:rsidRPr="00097782">
        <w:rPr>
          <w:rFonts w:ascii="Times New Roman" w:hAnsi="Times New Roman" w:cs="Times New Roman"/>
        </w:rPr>
        <w:t xml:space="preserve">from </w:t>
      </w:r>
      <w:r w:rsidRPr="00097782">
        <w:rPr>
          <w:rFonts w:ascii="Times New Roman" w:hAnsi="Times New Roman" w:cs="Times New Roman"/>
        </w:rPr>
        <w:t>aquaculture to climate change and mitigation/remediation strategies (ecological and carbon footprints, life cycle assessment</w:t>
      </w:r>
      <w:r w:rsidR="00251CC9" w:rsidRPr="00097782">
        <w:rPr>
          <w:rFonts w:ascii="Times New Roman" w:hAnsi="Times New Roman" w:cs="Times New Roman"/>
        </w:rPr>
        <w:t xml:space="preserve"> (LCA)</w:t>
      </w:r>
      <w:r w:rsidRPr="00097782">
        <w:rPr>
          <w:rFonts w:ascii="Times New Roman" w:hAnsi="Times New Roman" w:cs="Times New Roman"/>
        </w:rPr>
        <w:t xml:space="preserve">, blue growth initiative) will be critical for blue food production in the future </w:t>
      </w:r>
      <w:r w:rsidR="008F3DAD" w:rsidRPr="00097782">
        <w:rPr>
          <w:rFonts w:ascii="Times New Roman" w:hAnsi="Times New Roman" w:cs="Times New Roman"/>
        </w:rPr>
        <w:fldChar w:fldCharType="begin"/>
      </w:r>
      <w:r w:rsidR="006E6635">
        <w:rPr>
          <w:rFonts w:ascii="Times New Roman" w:hAnsi="Times New Roman" w:cs="Times New Roman"/>
        </w:rPr>
        <w:instrText xml:space="preserve"> ADDIN ZOTERO_ITEM CSL_CITATION {"citationID":"a18nlvbt8nm","properties":{"formattedCitation":"\\super 18\\nosupersub{}","plainCitation":"18","noteIndex":0},"citationItems":[{"id":861,"uris":["http://zotero.org/groups/4669668/items/47JSJQRU"],"itemData":{"id":861,"type":"article-journal","abstract":"Aquaculture now produces more seafood than wild capture fisheries and this production is expected to at least double by 2050. Representing almost half of global production, marine aquaculture will contribute to sustainably feeding the growing humanity. However, climate change will undoubtedly challenge the future growth of marine aquaculture. Temperature and sea-level rise, shifts in precipitation, freshening from glacier melt, changing ocean productivity, and circulation patterns, increasing occurrence of extreme climatic events, eutrophication, and ocean acidification are all stressors that will influence marine aquaculture. The objective of this themed article set was to bring together contributions on the broad theme of the potential impacts, adaptation, and mitigation strategies of marine aquaculture to climate change. Here we present 14 papers covering a diverse set of approaches including experimentation, modelling, meta-analysis and review, and disciplines like biology, ecology, economics, and engineering. These articles focus on the impacts of climate change-related stressors on the aquaculture potential itself and on the resulting ecological interactions (e.g. parasitism and predation), on phenotypic plasticity and adaptation potential of species, and on measures to mitigate the effects of climate change on aquaculture and vice versa. Considering this, adaptation of the aquaculture sector relies on anticipating the biogeographical changes in the distribution of species, determining their potential for adaptation and selective breeding for resistance or tolerance to climate-induced stressors, and fostering ecosystem resilience by means of conservation, restoration, or remediation. By will or by force, aquaculture will contribute to the low carbon economy of tomorrow. Aquaculture must move towards a new paradigm where the carbon footprint and the analysis of the life cycle of products are at least as important as economic profitability.","container-title":"ICES Journal of Marine Science","DOI":"10.1093/icesjms/fsaa248","ISSN":"1054-3139","issue":"1","journalAbbreviation":"ICES Journal of Marine Science","note":"number: 1","page":"315-322","source":"Silverchair","title":"The future is now: marine aquaculture in the anthropocene","title-short":"The future is now","volume":"78","author":[{"family":"Pernet","given":"Fabrice"},{"family":"Browman","given":"Howard I"}],"issued":{"date-parts":[["2021",2,1]]}}}],"schema":"https://github.com/citation-style-language/schema/raw/master/csl-citation.json"} </w:instrText>
      </w:r>
      <w:r w:rsidR="008F3DAD" w:rsidRPr="00097782">
        <w:rPr>
          <w:rFonts w:ascii="Times New Roman" w:hAnsi="Times New Roman" w:cs="Times New Roman"/>
        </w:rPr>
        <w:fldChar w:fldCharType="separate"/>
      </w:r>
      <w:r w:rsidR="006E6635" w:rsidRPr="006E6635">
        <w:rPr>
          <w:rFonts w:ascii="Times New Roman" w:hAnsi="Times New Roman" w:cs="Times New Roman"/>
          <w:szCs w:val="24"/>
          <w:vertAlign w:val="superscript"/>
        </w:rPr>
        <w:t>18</w:t>
      </w:r>
      <w:r w:rsidR="008F3DAD" w:rsidRPr="00097782">
        <w:rPr>
          <w:rFonts w:ascii="Times New Roman" w:hAnsi="Times New Roman" w:cs="Times New Roman"/>
        </w:rPr>
        <w:fldChar w:fldCharType="end"/>
      </w:r>
      <w:r w:rsidR="00D148AA">
        <w:rPr>
          <w:rFonts w:ascii="Times New Roman" w:hAnsi="Times New Roman" w:cs="Times New Roman"/>
        </w:rPr>
        <w:t xml:space="preserve">. </w:t>
      </w:r>
      <w:r w:rsidR="00CB1B09">
        <w:rPr>
          <w:rFonts w:ascii="Times New Roman" w:hAnsi="Times New Roman" w:cs="Times New Roman"/>
        </w:rPr>
        <w:t>Environmental performance assessed in a broad context is</w:t>
      </w:r>
      <w:r w:rsidR="00860135" w:rsidRPr="00860135">
        <w:rPr>
          <w:rFonts w:ascii="Times New Roman" w:hAnsi="Times New Roman" w:cs="Times New Roman"/>
        </w:rPr>
        <w:t xml:space="preserve"> key</w:t>
      </w:r>
      <w:r w:rsidR="000A391E">
        <w:rPr>
          <w:rFonts w:ascii="Times New Roman" w:hAnsi="Times New Roman" w:cs="Times New Roman"/>
        </w:rPr>
        <w:t xml:space="preserve"> for assessment and improvement</w:t>
      </w:r>
      <w:r w:rsidR="00D148AA">
        <w:rPr>
          <w:rFonts w:ascii="Times New Roman" w:hAnsi="Times New Roman" w:cs="Times New Roman"/>
        </w:rPr>
        <w:t>s</w:t>
      </w:r>
      <w:r w:rsidR="00886C8C">
        <w:rPr>
          <w:rFonts w:ascii="Times New Roman" w:hAnsi="Times New Roman" w:cs="Times New Roman"/>
        </w:rPr>
        <w:t xml:space="preserve"> and informing sustainable diets</w:t>
      </w:r>
      <w:r w:rsidR="00886C8C">
        <w:rPr>
          <w:rFonts w:ascii="Times New Roman" w:hAnsi="Times New Roman" w:cs="Times New Roman"/>
        </w:rPr>
        <w:fldChar w:fldCharType="begin"/>
      </w:r>
      <w:r w:rsidR="00EF7BE7">
        <w:rPr>
          <w:rFonts w:ascii="Times New Roman" w:hAnsi="Times New Roman" w:cs="Times New Roman"/>
        </w:rPr>
        <w:instrText xml:space="preserve"> ADDIN ZOTERO_ITEM CSL_CITATION {"citationID":"a23pl057qi1","properties":{"formattedCitation":"\\super 4\\nosupersub{}","plainCitation":"4","noteIndex":0},"citationItems":[{"id":234,"uris":["http://zotero.org/users/9431846/items/Y3522PFU"],"itemData":{"id":234,"type":"article-journal","abstract":"Fish and other aquatic foods (blue foods) present an opportunity for more sustainable diets1,2. Yet comprehensive comparison has been limited due to sparse inclusion of blue foods in environmental impact studies3,4 relative to the vast diversity of production5. Here we provide standardized estimates of greenhouse gas, nitrogen, phosphorus, freshwater and land stressors for species groups covering nearly three quarters of global production. We find that across all blue foods, farmed bivalves and seaweeds generate the lowest stressors. Capture fisheries predominantly generate greenhouse gas emissions, with small pelagic fishes generating lower emissions than all fed aquaculture, but flatfish and crustaceans generating the highest. Among farmed finfish and crustaceans, silver and bighead carps have the lowest greenhouse gas, nitrogen and phosphorus emissions, but highest water use, while farmed salmon and trout use the least land and water. Finally, we model intervention scenarios and find improving feed conversion ratios reduces stressors across all fed groups, increasing fish yield reduces land and water use by up to half, and optimizing gears reduces capture fishery emissions by more than half for some groups. Collectively, our analysis identifies high-performing blue foods, highlights opportunities to improve environmental performance, advances data-poor environmental assessments, and informs sustainable diets.","container-title":"Nature","DOI":"10.1038/s41586-021-03889-2","ISSN":"1476-4687","issue":"7876","language":"en","license":"2021 The Author(s), under exclusive licence to Springer Nature Limited","note":"number: 7876\npublisher: Nature Publishing Group","page":"360-365","source":"www.nature.com","title":"Environmental performance of blue foods","volume":"597","author":[{"family":"Gephart","given":"Jessica A."},{"family":"Henriksson","given":"Patrik J. G."},{"family":"Parker","given":"Robert W. R."},{"family":"Shepon","given":"Alon"},{"family":"Gorospe","given":"Kelvin D."},{"family":"Bergman","given":"Kristina"},{"family":"Eshel","given":"Gidon"},{"family":"Golden","given":"Christopher D."},{"family":"Halpern","given":"Benjamin S."},{"family":"Hornborg","given":"Sara"},{"family":"Jonell","given":"Malin"},{"family":"Metian","given":"Marc"},{"family":"Mifflin","given":"Kathleen"},{"family":"Newton","given":"Richard"},{"family":"Tyedmers","given":"Peter"},{"family":"Zhang","given":"Wenbo"},{"family":"Ziegler","given":"Friederike"},{"family":"Troell","given":"Max"}],"issued":{"date-parts":[["2021",9]]}}}],"schema":"https://github.com/citation-style-language/schema/raw/master/csl-citation.json"} </w:instrText>
      </w:r>
      <w:r w:rsidR="00886C8C">
        <w:rPr>
          <w:rFonts w:ascii="Times New Roman" w:hAnsi="Times New Roman" w:cs="Times New Roman"/>
        </w:rPr>
        <w:fldChar w:fldCharType="separate"/>
      </w:r>
      <w:r w:rsidR="00EF7BE7" w:rsidRPr="00EF7BE7">
        <w:rPr>
          <w:rFonts w:ascii="Times New Roman" w:hAnsi="Times New Roman" w:cs="Times New Roman"/>
          <w:szCs w:val="24"/>
          <w:vertAlign w:val="superscript"/>
        </w:rPr>
        <w:t>4</w:t>
      </w:r>
      <w:r w:rsidR="00886C8C">
        <w:rPr>
          <w:rFonts w:ascii="Times New Roman" w:hAnsi="Times New Roman" w:cs="Times New Roman"/>
        </w:rPr>
        <w:fldChar w:fldCharType="end"/>
      </w:r>
      <w:r w:rsidR="00860135" w:rsidRPr="00860135">
        <w:rPr>
          <w:rFonts w:ascii="Times New Roman" w:hAnsi="Times New Roman" w:cs="Times New Roman"/>
        </w:rPr>
        <w:t>.</w:t>
      </w:r>
    </w:p>
    <w:p w14:paraId="2AB1E3DE" w14:textId="22693C88" w:rsidR="008816C2" w:rsidRPr="00097782" w:rsidRDefault="00C3763D" w:rsidP="00522623">
      <w:pPr>
        <w:spacing w:line="360" w:lineRule="auto"/>
        <w:ind w:firstLine="720"/>
        <w:contextualSpacing/>
        <w:jc w:val="both"/>
        <w:rPr>
          <w:rFonts w:ascii="Times New Roman" w:hAnsi="Times New Roman" w:cs="Times New Roman"/>
        </w:rPr>
      </w:pPr>
      <w:r w:rsidRPr="00097782">
        <w:rPr>
          <w:rFonts w:ascii="Times New Roman" w:hAnsi="Times New Roman" w:cs="Times New Roman"/>
        </w:rPr>
        <w:t xml:space="preserve">Furthermore, </w:t>
      </w:r>
      <w:r w:rsidR="00EC0B35" w:rsidRPr="00097782">
        <w:rPr>
          <w:rFonts w:ascii="Times New Roman" w:hAnsi="Times New Roman" w:cs="Times New Roman"/>
        </w:rPr>
        <w:t xml:space="preserve">the </w:t>
      </w:r>
      <w:r w:rsidRPr="00097782">
        <w:rPr>
          <w:rFonts w:ascii="Times New Roman" w:hAnsi="Times New Roman" w:cs="Times New Roman"/>
        </w:rPr>
        <w:t>resiliency of food production</w:t>
      </w:r>
      <w:r w:rsidR="006652D9" w:rsidRPr="00097782">
        <w:rPr>
          <w:rFonts w:ascii="Times New Roman" w:hAnsi="Times New Roman" w:cs="Times New Roman"/>
        </w:rPr>
        <w:t>,</w:t>
      </w:r>
      <w:r w:rsidRPr="00097782">
        <w:rPr>
          <w:rFonts w:ascii="Times New Roman" w:hAnsi="Times New Roman" w:cs="Times New Roman"/>
        </w:rPr>
        <w:t xml:space="preserve"> in general</w:t>
      </w:r>
      <w:r w:rsidR="006652D9" w:rsidRPr="00097782">
        <w:rPr>
          <w:rFonts w:ascii="Times New Roman" w:hAnsi="Times New Roman" w:cs="Times New Roman"/>
        </w:rPr>
        <w:t>,</w:t>
      </w:r>
      <w:r w:rsidRPr="00097782">
        <w:rPr>
          <w:rFonts w:ascii="Times New Roman" w:hAnsi="Times New Roman" w:cs="Times New Roman"/>
        </w:rPr>
        <w:t xml:space="preserve"> is needed in the face of </w:t>
      </w:r>
      <w:r w:rsidR="003D0B32" w:rsidRPr="00097782">
        <w:rPr>
          <w:rFonts w:ascii="Times New Roman" w:hAnsi="Times New Roman" w:cs="Times New Roman"/>
        </w:rPr>
        <w:t xml:space="preserve">other </w:t>
      </w:r>
      <w:r w:rsidRPr="00097782">
        <w:rPr>
          <w:rFonts w:ascii="Times New Roman" w:hAnsi="Times New Roman" w:cs="Times New Roman"/>
        </w:rPr>
        <w:t xml:space="preserve">global </w:t>
      </w:r>
      <w:r w:rsidR="003D0B32" w:rsidRPr="00097782">
        <w:rPr>
          <w:rFonts w:ascii="Times New Roman" w:hAnsi="Times New Roman" w:cs="Times New Roman"/>
        </w:rPr>
        <w:t>stressors</w:t>
      </w:r>
      <w:r w:rsidRPr="00097782">
        <w:rPr>
          <w:rFonts w:ascii="Times New Roman" w:hAnsi="Times New Roman" w:cs="Times New Roman"/>
        </w:rPr>
        <w:t xml:space="preserve">, such as the </w:t>
      </w:r>
      <w:r w:rsidR="00D10FC5">
        <w:rPr>
          <w:rFonts w:ascii="Times New Roman" w:hAnsi="Times New Roman" w:cs="Times New Roman"/>
        </w:rPr>
        <w:t>COVID</w:t>
      </w:r>
      <w:r w:rsidRPr="00097782">
        <w:rPr>
          <w:rFonts w:ascii="Times New Roman" w:hAnsi="Times New Roman" w:cs="Times New Roman"/>
        </w:rPr>
        <w:t>-19 pandemic</w:t>
      </w:r>
      <w:r w:rsidR="00F22E7F" w:rsidRPr="00097782">
        <w:rPr>
          <w:rFonts w:ascii="Times New Roman" w:hAnsi="Times New Roman" w:cs="Times New Roman"/>
        </w:rPr>
        <w:t xml:space="preserve"> and </w:t>
      </w:r>
      <w:r w:rsidR="00D10F00" w:rsidRPr="00097782">
        <w:rPr>
          <w:rFonts w:ascii="Times New Roman" w:hAnsi="Times New Roman" w:cs="Times New Roman"/>
        </w:rPr>
        <w:t>geo-</w:t>
      </w:r>
      <w:r w:rsidR="00F22E7F" w:rsidRPr="00097782">
        <w:rPr>
          <w:rFonts w:ascii="Times New Roman" w:hAnsi="Times New Roman" w:cs="Times New Roman"/>
        </w:rPr>
        <w:t xml:space="preserve">political </w:t>
      </w:r>
      <w:r w:rsidR="00D10F00" w:rsidRPr="00097782">
        <w:rPr>
          <w:rFonts w:ascii="Times New Roman" w:hAnsi="Times New Roman" w:cs="Times New Roman"/>
        </w:rPr>
        <w:t>instability</w:t>
      </w:r>
      <w:r w:rsidRPr="00097782">
        <w:rPr>
          <w:rFonts w:ascii="Times New Roman" w:hAnsi="Times New Roman" w:cs="Times New Roman"/>
        </w:rPr>
        <w:t xml:space="preserve">. The pandemic has affected </w:t>
      </w:r>
      <w:r w:rsidR="002A380A">
        <w:rPr>
          <w:rFonts w:ascii="Times New Roman" w:hAnsi="Times New Roman" w:cs="Times New Roman"/>
        </w:rPr>
        <w:t>food security, in terms of</w:t>
      </w:r>
      <w:r w:rsidRPr="00097782">
        <w:rPr>
          <w:rFonts w:ascii="Times New Roman" w:hAnsi="Times New Roman" w:cs="Times New Roman"/>
        </w:rPr>
        <w:t xml:space="preserve"> availability, access, utilization, and stability. </w:t>
      </w:r>
      <w:r w:rsidR="009B0ECE" w:rsidRPr="00097782">
        <w:rPr>
          <w:rFonts w:ascii="Times New Roman" w:hAnsi="Times New Roman" w:cs="Times New Roman"/>
        </w:rPr>
        <w:t>The situation</w:t>
      </w:r>
      <w:r w:rsidRPr="00097782">
        <w:rPr>
          <w:rFonts w:ascii="Times New Roman" w:hAnsi="Times New Roman" w:cs="Times New Roman"/>
        </w:rPr>
        <w:t xml:space="preserve"> imposed a serious threat to global food security, such as labor shortages created by restrictions </w:t>
      </w:r>
      <w:r w:rsidR="00C101C1">
        <w:rPr>
          <w:rFonts w:ascii="Times New Roman" w:hAnsi="Times New Roman" w:cs="Times New Roman"/>
        </w:rPr>
        <w:t xml:space="preserve">(e.g., </w:t>
      </w:r>
      <w:r w:rsidRPr="00097782">
        <w:rPr>
          <w:rFonts w:ascii="Times New Roman" w:hAnsi="Times New Roman" w:cs="Times New Roman"/>
        </w:rPr>
        <w:t>movements of people,</w:t>
      </w:r>
      <w:r w:rsidR="0063430D">
        <w:rPr>
          <w:rFonts w:ascii="Times New Roman" w:hAnsi="Times New Roman" w:cs="Times New Roman"/>
        </w:rPr>
        <w:t xml:space="preserve"> quarantine restrictions, </w:t>
      </w:r>
      <w:r w:rsidR="00CE7BEA">
        <w:rPr>
          <w:rFonts w:ascii="Times New Roman" w:hAnsi="Times New Roman" w:cs="Times New Roman"/>
        </w:rPr>
        <w:t>temporary scale backs or shutdowns</w:t>
      </w:r>
      <w:r w:rsidR="00C101C1">
        <w:rPr>
          <w:rFonts w:ascii="Times New Roman" w:hAnsi="Times New Roman" w:cs="Times New Roman"/>
        </w:rPr>
        <w:t>)</w:t>
      </w:r>
      <w:r w:rsidR="00CE7BEA">
        <w:rPr>
          <w:rFonts w:ascii="Times New Roman" w:hAnsi="Times New Roman" w:cs="Times New Roman"/>
        </w:rPr>
        <w:t>,</w:t>
      </w:r>
      <w:r w:rsidRPr="00097782">
        <w:rPr>
          <w:rFonts w:ascii="Times New Roman" w:hAnsi="Times New Roman" w:cs="Times New Roman"/>
        </w:rPr>
        <w:t xml:space="preserve"> shifts in food demand, and export restrictions that have disrupted trade flows for staple food commodities </w:t>
      </w:r>
      <w:r w:rsidR="00F45FC4" w:rsidRPr="00097782">
        <w:rPr>
          <w:rFonts w:ascii="Times New Roman" w:hAnsi="Times New Roman" w:cs="Times New Roman"/>
        </w:rPr>
        <w:fldChar w:fldCharType="begin"/>
      </w:r>
      <w:r w:rsidR="00AD41A6">
        <w:rPr>
          <w:rFonts w:ascii="Times New Roman" w:hAnsi="Times New Roman" w:cs="Times New Roman"/>
        </w:rPr>
        <w:instrText xml:space="preserve"> ADDIN ZOTERO_ITEM CSL_CITATION {"citationID":"a221tcpjejf","properties":{"formattedCitation":"\\super 23\\nosupersub{}","plainCitation":"23","noteIndex":0},"citationItems":[{"id":992,"uris":["http://zotero.org/groups/4669668/items/T24NUE2D"],"itemData":{"id":992,"type":"article-journal","container-title":"Science","issue":"6503","note":"number: 6503\nISBN: 0036-8075\npublisher: American Association for the Advancement of Science","page":"500-502","title":"COVID-19 risks to global food security","volume":"369","author":[{"family":"Laborde","given":"David"},{"family":"Martin","given":"Will"},{"family":"Swinnen","given":"Johan"},{"family":"Vos","given":"Rob"}],"issued":{"date-parts":[["2020"]]}}}],"schema":"https://github.com/citation-style-language/schema/raw/master/csl-citation.json"} </w:instrText>
      </w:r>
      <w:r w:rsidR="00F45FC4" w:rsidRPr="00097782">
        <w:rPr>
          <w:rFonts w:ascii="Times New Roman" w:hAnsi="Times New Roman" w:cs="Times New Roman"/>
        </w:rPr>
        <w:fldChar w:fldCharType="separate"/>
      </w:r>
      <w:r w:rsidR="00AD41A6" w:rsidRPr="00AD41A6">
        <w:rPr>
          <w:rFonts w:ascii="Times New Roman" w:hAnsi="Times New Roman" w:cs="Times New Roman"/>
          <w:szCs w:val="24"/>
          <w:vertAlign w:val="superscript"/>
        </w:rPr>
        <w:t>23</w:t>
      </w:r>
      <w:r w:rsidR="00F45FC4" w:rsidRPr="00097782">
        <w:rPr>
          <w:rFonts w:ascii="Times New Roman" w:hAnsi="Times New Roman" w:cs="Times New Roman"/>
        </w:rPr>
        <w:fldChar w:fldCharType="end"/>
      </w:r>
      <w:r w:rsidRPr="00097782">
        <w:rPr>
          <w:rFonts w:ascii="Times New Roman" w:hAnsi="Times New Roman" w:cs="Times New Roman"/>
        </w:rPr>
        <w:t xml:space="preserve">. </w:t>
      </w:r>
      <w:r w:rsidR="00A85C2F" w:rsidRPr="00A85C2F">
        <w:rPr>
          <w:rFonts w:ascii="Times New Roman" w:hAnsi="Times New Roman" w:cs="Times New Roman"/>
        </w:rPr>
        <w:t>Food price</w:t>
      </w:r>
      <w:r w:rsidR="00036A36">
        <w:rPr>
          <w:rFonts w:ascii="Times New Roman" w:hAnsi="Times New Roman" w:cs="Times New Roman"/>
        </w:rPr>
        <w:t xml:space="preserve"> and</w:t>
      </w:r>
      <w:r w:rsidR="00A85C2F" w:rsidRPr="00A85C2F">
        <w:rPr>
          <w:rFonts w:ascii="Times New Roman" w:hAnsi="Times New Roman" w:cs="Times New Roman"/>
        </w:rPr>
        <w:t xml:space="preserve"> stability is particularly important for food security among the poorest and most marginalized populations</w:t>
      </w:r>
      <w:r w:rsidR="00A43844">
        <w:rPr>
          <w:rFonts w:ascii="Times New Roman" w:hAnsi="Times New Roman" w:cs="Times New Roman"/>
        </w:rPr>
        <w:t>. Therefore,</w:t>
      </w:r>
      <w:r w:rsidR="00B11D12">
        <w:rPr>
          <w:rFonts w:ascii="Times New Roman" w:hAnsi="Times New Roman" w:cs="Times New Roman"/>
        </w:rPr>
        <w:t xml:space="preserve"> </w:t>
      </w:r>
      <w:r w:rsidR="008C0A0D">
        <w:rPr>
          <w:rFonts w:ascii="Times New Roman" w:hAnsi="Times New Roman" w:cs="Times New Roman"/>
        </w:rPr>
        <w:t xml:space="preserve">it is key that aquaculture </w:t>
      </w:r>
      <w:r w:rsidR="00A85C2F" w:rsidRPr="00A85C2F">
        <w:rPr>
          <w:rFonts w:ascii="Times New Roman" w:hAnsi="Times New Roman" w:cs="Times New Roman"/>
        </w:rPr>
        <w:t>contribute</w:t>
      </w:r>
      <w:r w:rsidR="005720D3">
        <w:rPr>
          <w:rFonts w:ascii="Times New Roman" w:hAnsi="Times New Roman" w:cs="Times New Roman"/>
        </w:rPr>
        <w:t>s to high food output</w:t>
      </w:r>
      <w:r w:rsidR="00036B3E">
        <w:rPr>
          <w:rFonts w:ascii="Times New Roman" w:hAnsi="Times New Roman" w:cs="Times New Roman"/>
        </w:rPr>
        <w:t xml:space="preserve"> in order to</w:t>
      </w:r>
      <w:r w:rsidR="006535A5">
        <w:rPr>
          <w:rFonts w:ascii="Times New Roman" w:hAnsi="Times New Roman" w:cs="Times New Roman"/>
        </w:rPr>
        <w:t xml:space="preserve"> make</w:t>
      </w:r>
      <w:r w:rsidR="00A85C2F" w:rsidRPr="00A85C2F">
        <w:rPr>
          <w:rFonts w:ascii="Times New Roman" w:hAnsi="Times New Roman" w:cs="Times New Roman"/>
        </w:rPr>
        <w:t xml:space="preserve"> </w:t>
      </w:r>
      <w:r w:rsidR="00852A8B">
        <w:rPr>
          <w:rFonts w:ascii="Times New Roman" w:hAnsi="Times New Roman" w:cs="Times New Roman"/>
        </w:rPr>
        <w:t xml:space="preserve">the </w:t>
      </w:r>
      <w:r w:rsidR="00A85C2F" w:rsidRPr="00A85C2F">
        <w:rPr>
          <w:rFonts w:ascii="Times New Roman" w:hAnsi="Times New Roman" w:cs="Times New Roman"/>
        </w:rPr>
        <w:t xml:space="preserve">food supply </w:t>
      </w:r>
      <w:r w:rsidR="00B15B4A">
        <w:rPr>
          <w:rFonts w:ascii="Times New Roman" w:hAnsi="Times New Roman" w:cs="Times New Roman"/>
        </w:rPr>
        <w:t>(</w:t>
      </w:r>
      <w:r w:rsidR="00192797">
        <w:rPr>
          <w:rFonts w:ascii="Times New Roman" w:hAnsi="Times New Roman" w:cs="Times New Roman"/>
        </w:rPr>
        <w:t>and cost</w:t>
      </w:r>
      <w:r w:rsidR="00B15B4A">
        <w:rPr>
          <w:rFonts w:ascii="Times New Roman" w:hAnsi="Times New Roman" w:cs="Times New Roman"/>
        </w:rPr>
        <w:t>)</w:t>
      </w:r>
      <w:r w:rsidR="00192797">
        <w:rPr>
          <w:rFonts w:ascii="Times New Roman" w:hAnsi="Times New Roman" w:cs="Times New Roman"/>
        </w:rPr>
        <w:t xml:space="preserve"> </w:t>
      </w:r>
      <w:r w:rsidR="00A85C2F" w:rsidRPr="00A85C2F">
        <w:rPr>
          <w:rFonts w:ascii="Times New Roman" w:hAnsi="Times New Roman" w:cs="Times New Roman"/>
        </w:rPr>
        <w:t>less volatile</w:t>
      </w:r>
      <w:r w:rsidR="00192797">
        <w:rPr>
          <w:rFonts w:ascii="Times New Roman" w:hAnsi="Times New Roman" w:cs="Times New Roman"/>
        </w:rPr>
        <w:fldChar w:fldCharType="begin"/>
      </w:r>
      <w:r w:rsidR="00DC6CB6">
        <w:rPr>
          <w:rFonts w:ascii="Times New Roman" w:hAnsi="Times New Roman" w:cs="Times New Roman"/>
        </w:rPr>
        <w:instrText xml:space="preserve"> ADDIN ZOTERO_ITEM CSL_CITATION {"citationID":"a15jnpsea7","properties":{"formattedCitation":"\\super 11\\nosupersub{}","plainCitation":"11","noteIndex":0},"citationItems":[{"id":3,"uris":["http://zotero.org/users/9431846/items/8RW82MQY"],"itemData":{"id":3,"type":"article-journal","abstract":"Aquaculture is the fastest growing food sector and continues to expand alongside terrestrial crop and livestock production. Using portfolio theory as a conceptual framework, we explore how current interconnections between the aquaculture, crop, livestock, and fisheries sectors act as an impediment to, or an opportunity for, enhanced resilience in the global food system given increased resource scarcity and climate change. Aquaculture can potentially enhance resilience through improved resource use efficiencies and increased diversification of farmed species, locales of production, and feeding strategies. However, aquaculture’s reliance on terrestrial crops and wild fish for feeds, its dependence on freshwater and land for culture sites, and its broad array of environmental impacts diminishes its ability to add resilience. Feeds for livestock and farmed fish that are fed rely largely on the same crops, although the fraction destined for aquaculture is presently small (</w:instrText>
      </w:r>
      <w:r w:rsidR="00DC6CB6">
        <w:rPr>
          <w:rFonts w:ascii="Cambria Math" w:hAnsi="Cambria Math" w:cs="Cambria Math"/>
        </w:rPr>
        <w:instrText>∼</w:instrText>
      </w:r>
      <w:r w:rsidR="00DC6CB6">
        <w:rPr>
          <w:rFonts w:ascii="Times New Roman" w:hAnsi="Times New Roman" w:cs="Times New Roman"/>
        </w:rPr>
        <w:instrText xml:space="preserve">4%). As demand for high-value fed aquaculture products grows, competition for these crops will also rise, as will the demand for wild fish as feed inputs. Many of these crops and forage fish are also consumed directly by humans and provide essential nutrition for low-income households. Their rising use in aquafeeds has the potential to increase price levels and volatility, worsening food insecurity among the most vulnerable populations. Although the diversification of global food production systems that includes aquaculture offers promise for enhanced resilience, such promise will not be realized if government policies fail to provide adequate incentives for resource efficiency, equity, and environmental protection.","container-title":"Proceedings of the National Academy of Sciences","DOI":"10.1073/pnas.1404067111","ISSN":"0027-8424, 1091-6490","issue":"37","journalAbbreviation":"Proc. Natl. Acad. Sci. U.S.A.","language":"en","page":"13257-13263","source":"DOI.org (Crossref)","title":"Does aquaculture add resilience to the global food system?","volume":"111","author":[{"family":"Troell","given":"Max"},{"family":"Naylor","given":"Rosamond L."},{"family":"Metian","given":"Marc"},{"family":"Beveridge","given":"Malcolm"},{"family":"Tyedmers","given":"Peter H."},{"family":"Folke","given":"Carl"},{"family":"Arrow","given":"Kenneth J."},{"family":"Barrett","given":"Scott"},{"family":"Crépin","given":"Anne-Sophie"},{"family":"Ehrlich","given":"Paul R."},{"family":"Gren","given":"Åsa"},{"family":"Kautsky","given":"Nils"},{"family":"Levin","given":"Simon A."},{"family":"Nyborg","given":"Karine"},{"family":"Österblom","given":"Henrik"},{"family":"Polasky","given":"Stephen"},{"family":"Scheffer","given":"Marten"},{"family":"Walker","given":"Brian H."},{"family":"Xepapadeas","given":"Tasos"},{"family":"Zeeuw","given":"Aart","non-dropping-particle":"de"}],"issued":{"date-parts":[["2014",9,16]]}}}],"schema":"https://github.com/citation-style-language/schema/raw/master/csl-citation.json"} </w:instrText>
      </w:r>
      <w:r w:rsidR="00192797">
        <w:rPr>
          <w:rFonts w:ascii="Times New Roman" w:hAnsi="Times New Roman" w:cs="Times New Roman"/>
        </w:rPr>
        <w:fldChar w:fldCharType="separate"/>
      </w:r>
      <w:r w:rsidR="00DC6CB6" w:rsidRPr="00DC6CB6">
        <w:rPr>
          <w:rFonts w:ascii="Times New Roman" w:hAnsi="Times New Roman" w:cs="Times New Roman"/>
          <w:szCs w:val="24"/>
          <w:vertAlign w:val="superscript"/>
        </w:rPr>
        <w:t>11</w:t>
      </w:r>
      <w:r w:rsidR="00192797">
        <w:rPr>
          <w:rFonts w:ascii="Times New Roman" w:hAnsi="Times New Roman" w:cs="Times New Roman"/>
        </w:rPr>
        <w:fldChar w:fldCharType="end"/>
      </w:r>
      <w:r w:rsidR="00A85C2F" w:rsidRPr="00A85C2F">
        <w:rPr>
          <w:rFonts w:ascii="Times New Roman" w:hAnsi="Times New Roman" w:cs="Times New Roman"/>
        </w:rPr>
        <w:t>.</w:t>
      </w:r>
      <w:r w:rsidR="00192797">
        <w:rPr>
          <w:rFonts w:ascii="Times New Roman" w:hAnsi="Times New Roman" w:cs="Times New Roman"/>
        </w:rPr>
        <w:t xml:space="preserve"> </w:t>
      </w:r>
      <w:r w:rsidRPr="00097782">
        <w:rPr>
          <w:rFonts w:ascii="Times New Roman" w:hAnsi="Times New Roman" w:cs="Times New Roman"/>
        </w:rPr>
        <w:t xml:space="preserve">Thus, considering aquaculture within the circular bioeconomy framework is a strategic and resilient way forward for the industry, without exhausting resources that are already subject to </w:t>
      </w:r>
      <w:r w:rsidR="00C02A92">
        <w:rPr>
          <w:rFonts w:ascii="Times New Roman" w:hAnsi="Times New Roman" w:cs="Times New Roman"/>
        </w:rPr>
        <w:t xml:space="preserve">so many </w:t>
      </w:r>
      <w:r w:rsidRPr="00097782">
        <w:rPr>
          <w:rFonts w:ascii="Times New Roman" w:hAnsi="Times New Roman" w:cs="Times New Roman"/>
        </w:rPr>
        <w:t xml:space="preserve">external pressures. </w:t>
      </w:r>
      <w:r w:rsidR="008816C2" w:rsidRPr="00097782">
        <w:rPr>
          <w:rFonts w:ascii="Times New Roman" w:hAnsi="Times New Roman" w:cs="Times New Roman"/>
        </w:rPr>
        <w:t>The supply, cost, environmental sustainability, and social acceptability of raw materials for aquafeed</w:t>
      </w:r>
      <w:r w:rsidR="003D0B32" w:rsidRPr="00097782">
        <w:rPr>
          <w:rFonts w:ascii="Times New Roman" w:hAnsi="Times New Roman" w:cs="Times New Roman"/>
        </w:rPr>
        <w:t>s</w:t>
      </w:r>
      <w:r w:rsidR="008816C2" w:rsidRPr="00097782">
        <w:rPr>
          <w:rFonts w:ascii="Times New Roman" w:hAnsi="Times New Roman" w:cs="Times New Roman"/>
        </w:rPr>
        <w:t xml:space="preserve"> are under </w:t>
      </w:r>
      <w:r w:rsidR="00ED3B39" w:rsidRPr="00097782">
        <w:rPr>
          <w:rFonts w:ascii="Times New Roman" w:hAnsi="Times New Roman" w:cs="Times New Roman"/>
        </w:rPr>
        <w:t xml:space="preserve">significant </w:t>
      </w:r>
      <w:r w:rsidR="00C51B32" w:rsidRPr="00097782">
        <w:rPr>
          <w:rFonts w:ascii="Times New Roman" w:hAnsi="Times New Roman" w:cs="Times New Roman"/>
        </w:rPr>
        <w:t>consideration and scrutiny</w:t>
      </w:r>
      <w:r w:rsidR="008816C2" w:rsidRPr="00097782">
        <w:rPr>
          <w:rFonts w:ascii="Times New Roman" w:hAnsi="Times New Roman" w:cs="Times New Roman"/>
        </w:rPr>
        <w:t xml:space="preserve">. </w:t>
      </w:r>
      <w:r w:rsidR="008479DA" w:rsidRPr="00097782">
        <w:rPr>
          <w:rFonts w:ascii="Times New Roman" w:hAnsi="Times New Roman" w:cs="Times New Roman"/>
        </w:rPr>
        <w:t>This has</w:t>
      </w:r>
      <w:r w:rsidR="008816C2" w:rsidRPr="00097782">
        <w:rPr>
          <w:rFonts w:ascii="Times New Roman" w:hAnsi="Times New Roman" w:cs="Times New Roman"/>
        </w:rPr>
        <w:t xml:space="preserve"> consequences </w:t>
      </w:r>
      <w:r w:rsidR="008479DA" w:rsidRPr="00097782">
        <w:rPr>
          <w:rFonts w:ascii="Times New Roman" w:hAnsi="Times New Roman" w:cs="Times New Roman"/>
        </w:rPr>
        <w:t xml:space="preserve">not only for the outcome of aquafeed production, but also </w:t>
      </w:r>
      <w:r w:rsidR="008816C2" w:rsidRPr="00097782">
        <w:rPr>
          <w:rFonts w:ascii="Times New Roman" w:hAnsi="Times New Roman" w:cs="Times New Roman"/>
        </w:rPr>
        <w:t>for global aquaculture economic viability, environmental sustainability, and social license to operate. As a result, the industry must</w:t>
      </w:r>
      <w:r w:rsidR="0083247E" w:rsidRPr="00097782">
        <w:rPr>
          <w:rFonts w:ascii="Times New Roman" w:hAnsi="Times New Roman" w:cs="Times New Roman"/>
        </w:rPr>
        <w:t xml:space="preserve"> incorporate and/or</w:t>
      </w:r>
      <w:r w:rsidR="008816C2" w:rsidRPr="00097782">
        <w:rPr>
          <w:rFonts w:ascii="Times New Roman" w:hAnsi="Times New Roman" w:cs="Times New Roman"/>
        </w:rPr>
        <w:t xml:space="preserve"> develop innovative practices that involve conservation, restoration, and/or remediation. This presents new opportunities for </w:t>
      </w:r>
      <w:r w:rsidR="00726FB0">
        <w:rPr>
          <w:rFonts w:ascii="Times New Roman" w:hAnsi="Times New Roman" w:cs="Times New Roman"/>
        </w:rPr>
        <w:t xml:space="preserve">the </w:t>
      </w:r>
      <w:proofErr w:type="gramStart"/>
      <w:r w:rsidR="008816C2" w:rsidRPr="00097782">
        <w:rPr>
          <w:rFonts w:ascii="Times New Roman" w:hAnsi="Times New Roman" w:cs="Times New Roman"/>
        </w:rPr>
        <w:t>next-generation</w:t>
      </w:r>
      <w:proofErr w:type="gramEnd"/>
      <w:r w:rsidR="00726FB0">
        <w:rPr>
          <w:rFonts w:ascii="Times New Roman" w:hAnsi="Times New Roman" w:cs="Times New Roman"/>
        </w:rPr>
        <w:t xml:space="preserve"> of</w:t>
      </w:r>
      <w:r w:rsidR="008816C2" w:rsidRPr="00097782">
        <w:rPr>
          <w:rFonts w:ascii="Times New Roman" w:hAnsi="Times New Roman" w:cs="Times New Roman"/>
        </w:rPr>
        <w:t xml:space="preserve"> protein and lipid sources for aquafeed that will be more resilient and consistent</w:t>
      </w:r>
      <w:r w:rsidR="002A35B3">
        <w:rPr>
          <w:rFonts w:ascii="Times New Roman" w:hAnsi="Times New Roman" w:cs="Times New Roman"/>
        </w:rPr>
        <w:t xml:space="preserve"> in production</w:t>
      </w:r>
      <w:r w:rsidR="002A73E3">
        <w:rPr>
          <w:rFonts w:ascii="Times New Roman" w:hAnsi="Times New Roman" w:cs="Times New Roman"/>
        </w:rPr>
        <w:t>, which is important in a changing</w:t>
      </w:r>
      <w:r w:rsidR="008C08A8">
        <w:rPr>
          <w:rFonts w:ascii="Times New Roman" w:hAnsi="Times New Roman" w:cs="Times New Roman"/>
        </w:rPr>
        <w:t xml:space="preserve"> world</w:t>
      </w:r>
      <w:r w:rsidR="002A73E3">
        <w:rPr>
          <w:rFonts w:ascii="Times New Roman" w:hAnsi="Times New Roman" w:cs="Times New Roman"/>
        </w:rPr>
        <w:t xml:space="preserve">, and somewhat unstable </w:t>
      </w:r>
      <w:r w:rsidR="008C08A8">
        <w:rPr>
          <w:rFonts w:ascii="Times New Roman" w:hAnsi="Times New Roman" w:cs="Times New Roman"/>
        </w:rPr>
        <w:t>society.</w:t>
      </w:r>
    </w:p>
    <w:p w14:paraId="057F95CB" w14:textId="443F2DA0" w:rsidR="008816C2" w:rsidRPr="00097782" w:rsidRDefault="00405023" w:rsidP="00522623">
      <w:pPr>
        <w:spacing w:line="360" w:lineRule="auto"/>
        <w:ind w:firstLine="720"/>
        <w:contextualSpacing/>
        <w:jc w:val="both"/>
        <w:rPr>
          <w:rFonts w:ascii="Times New Roman" w:hAnsi="Times New Roman" w:cs="Times New Roman"/>
        </w:rPr>
      </w:pPr>
      <w:r>
        <w:rPr>
          <w:rFonts w:ascii="Times New Roman" w:hAnsi="Times New Roman" w:cs="Times New Roman"/>
        </w:rPr>
        <w:lastRenderedPageBreak/>
        <w:t>The field of fish n</w:t>
      </w:r>
      <w:r w:rsidR="00ED6E99">
        <w:rPr>
          <w:rFonts w:ascii="Times New Roman" w:hAnsi="Times New Roman" w:cs="Times New Roman"/>
        </w:rPr>
        <w:t xml:space="preserve">utrition has been evolving </w:t>
      </w:r>
      <w:r w:rsidR="002474B2">
        <w:rPr>
          <w:rFonts w:ascii="Times New Roman" w:hAnsi="Times New Roman" w:cs="Times New Roman"/>
        </w:rPr>
        <w:t>since at least the early 1900s</w:t>
      </w:r>
      <w:r w:rsidR="00A95868">
        <w:rPr>
          <w:rFonts w:ascii="Times New Roman" w:hAnsi="Times New Roman" w:cs="Times New Roman"/>
        </w:rPr>
        <w:fldChar w:fldCharType="begin"/>
      </w:r>
      <w:r w:rsidR="00657572">
        <w:rPr>
          <w:rFonts w:ascii="Times New Roman" w:hAnsi="Times New Roman" w:cs="Times New Roman"/>
        </w:rPr>
        <w:instrText xml:space="preserve"> ADDIN ZOTERO_ITEM CSL_CITATION {"citationID":"a2h19oi49el","properties":{"formattedCitation":"\\super 24,25\\nosupersub{}","plainCitation":"24,25","noteIndex":0},"citationItems":[{"id":1841,"uris":["http://zotero.org/users/9431846/items/7BVCDM6W"],"itemData":{"id":1841,"type":"article-journal","container-title":"The Progressive Fish-Culturist","DOI":"10.1577/1548-8640(1994)056&lt;0001:HOEDDI&gt;2.3.CO;2","ISSN":"0033-0779, 1548-8640","issue":"1","journalAbbreviation":"The Progressive Fish-Culturist","language":"en","page":"1-6","source":"DOI.org (Crossref)","title":"History of Early Diet Development in Fish Culture, 1000 B.C. to A.D. 1955","volume":"56","author":[{"family":"Rumsey","given":"Gary L."}],"issued":{"date-parts":[["1994",1]]}}},{"id":1842,"uris":["http://zotero.org/users/9431846/items/TVCJWU32"],"itemData":{"id":1842,"type":"book","abstract":"\"Features expansive updates to the previous edition, including a new chapter dedicated to diet analysis and evaluation Addresses the roles of fish nutrition and feeds on sustainability and the environmental impacts of aquaculture Covers basic nutritional biochemistry and applied nutritional topics\"--","edition":"4","event-place":"waltham","ISBN":"978-0-12-819587-1","publisher":"Elsevier","publisher-place":"waltham","source":"Library of Congress ISBN","title":"Fish nutrition","editor":[{"family":"Hardy","given":"Ronald"}],"issued":{"date-parts":[["2021"]]}}}],"schema":"https://github.com/citation-style-language/schema/raw/master/csl-citation.json"} </w:instrText>
      </w:r>
      <w:r w:rsidR="00A95868">
        <w:rPr>
          <w:rFonts w:ascii="Times New Roman" w:hAnsi="Times New Roman" w:cs="Times New Roman"/>
        </w:rPr>
        <w:fldChar w:fldCharType="separate"/>
      </w:r>
      <w:r w:rsidR="00657572" w:rsidRPr="00657572">
        <w:rPr>
          <w:rFonts w:ascii="Times New Roman" w:hAnsi="Times New Roman" w:cs="Times New Roman"/>
          <w:szCs w:val="24"/>
          <w:vertAlign w:val="superscript"/>
        </w:rPr>
        <w:t>24,25</w:t>
      </w:r>
      <w:r w:rsidR="00A95868">
        <w:rPr>
          <w:rFonts w:ascii="Times New Roman" w:hAnsi="Times New Roman" w:cs="Times New Roman"/>
        </w:rPr>
        <w:fldChar w:fldCharType="end"/>
      </w:r>
      <w:r w:rsidR="007F48FD">
        <w:rPr>
          <w:rFonts w:ascii="Times New Roman" w:hAnsi="Times New Roman" w:cs="Times New Roman"/>
        </w:rPr>
        <w:t>.</w:t>
      </w:r>
      <w:r w:rsidR="00ED6E99">
        <w:rPr>
          <w:rFonts w:ascii="Times New Roman" w:hAnsi="Times New Roman" w:cs="Times New Roman"/>
        </w:rPr>
        <w:t xml:space="preserve"> </w:t>
      </w:r>
      <w:r w:rsidR="008816C2" w:rsidRPr="00097782">
        <w:rPr>
          <w:rFonts w:ascii="Times New Roman" w:hAnsi="Times New Roman" w:cs="Times New Roman"/>
        </w:rPr>
        <w:t xml:space="preserve">From their infancy, </w:t>
      </w:r>
      <w:r w:rsidR="007F48FD">
        <w:rPr>
          <w:rFonts w:ascii="Times New Roman" w:hAnsi="Times New Roman" w:cs="Times New Roman"/>
        </w:rPr>
        <w:t>The</w:t>
      </w:r>
      <w:r w:rsidR="007F48FD" w:rsidRPr="00097782">
        <w:rPr>
          <w:rFonts w:ascii="Times New Roman" w:hAnsi="Times New Roman" w:cs="Times New Roman"/>
        </w:rPr>
        <w:t xml:space="preserve"> </w:t>
      </w:r>
      <w:r w:rsidR="008816C2" w:rsidRPr="00097782">
        <w:rPr>
          <w:rFonts w:ascii="Times New Roman" w:hAnsi="Times New Roman" w:cs="Times New Roman"/>
        </w:rPr>
        <w:t xml:space="preserve">evolution of </w:t>
      </w:r>
      <w:r w:rsidR="007F48FD">
        <w:rPr>
          <w:rFonts w:ascii="Times New Roman" w:hAnsi="Times New Roman" w:cs="Times New Roman"/>
        </w:rPr>
        <w:t xml:space="preserve">commercial </w:t>
      </w:r>
      <w:r w:rsidR="008816C2" w:rsidRPr="00097782">
        <w:rPr>
          <w:rFonts w:ascii="Times New Roman" w:hAnsi="Times New Roman" w:cs="Times New Roman"/>
        </w:rPr>
        <w:t xml:space="preserve">aquafeed </w:t>
      </w:r>
      <w:r w:rsidR="007F48FD">
        <w:rPr>
          <w:rFonts w:ascii="Times New Roman" w:hAnsi="Times New Roman" w:cs="Times New Roman"/>
        </w:rPr>
        <w:t xml:space="preserve">raw materials </w:t>
      </w:r>
      <w:r w:rsidR="008816C2" w:rsidRPr="00097782">
        <w:rPr>
          <w:rFonts w:ascii="Times New Roman" w:hAnsi="Times New Roman" w:cs="Times New Roman"/>
        </w:rPr>
        <w:t>from being mostly FM and FO-based, to becom</w:t>
      </w:r>
      <w:r w:rsidR="007A6F02" w:rsidRPr="00097782">
        <w:rPr>
          <w:rFonts w:ascii="Times New Roman" w:hAnsi="Times New Roman" w:cs="Times New Roman"/>
        </w:rPr>
        <w:t xml:space="preserve">ing </w:t>
      </w:r>
      <w:r w:rsidR="008816C2" w:rsidRPr="00097782">
        <w:rPr>
          <w:rFonts w:ascii="Times New Roman" w:hAnsi="Times New Roman" w:cs="Times New Roman"/>
        </w:rPr>
        <w:t xml:space="preserve">primarily terrestrial-based, which </w:t>
      </w:r>
      <w:r w:rsidR="007266BD">
        <w:rPr>
          <w:rFonts w:ascii="Times New Roman" w:hAnsi="Times New Roman" w:cs="Times New Roman"/>
        </w:rPr>
        <w:t>is</w:t>
      </w:r>
      <w:r w:rsidR="008816C2" w:rsidRPr="00097782">
        <w:rPr>
          <w:rFonts w:ascii="Times New Roman" w:hAnsi="Times New Roman" w:cs="Times New Roman"/>
        </w:rPr>
        <w:t xml:space="preserve"> the current aquafeed and could be termed ‘Aquafeed 2.0’, has occurred rapidly; essentially within the last 20 year</w:t>
      </w:r>
      <w:r w:rsidR="00CB20CC" w:rsidRPr="00097782">
        <w:rPr>
          <w:rFonts w:ascii="Times New Roman" w:hAnsi="Times New Roman" w:cs="Times New Roman"/>
        </w:rPr>
        <w:t xml:space="preserve">s </w:t>
      </w:r>
      <w:r w:rsidR="00C75259" w:rsidRPr="00097782">
        <w:rPr>
          <w:rFonts w:ascii="Times New Roman" w:hAnsi="Times New Roman" w:cs="Times New Roman"/>
        </w:rPr>
        <w:fldChar w:fldCharType="begin"/>
      </w:r>
      <w:r w:rsidR="00445154">
        <w:rPr>
          <w:rFonts w:ascii="Times New Roman" w:hAnsi="Times New Roman" w:cs="Times New Roman"/>
        </w:rPr>
        <w:instrText xml:space="preserve"> ADDIN ZOTERO_ITEM CSL_CITATION {"citationID":"a1vkpsmv9ee","properties":{"formattedCitation":"\\super 26\\nosupersub{}","plainCitation":"26","noteIndex":0},"citationItems":[{"id":862,"uris":["http://zotero.org/groups/4669668/items/9K683JS7"],"itemData":{"id":862,"type":"article-journal","abstract":"Aquaculture policy often promotes production of low-trophic level species for sustainable industry growth. Yet, the application of the trophic level concept to aquaculture is complex, and its value for assessing sustainability is further complicated by continual reformulation of feeds. The majority of fed farmed fish and invertebrate species are produced using human-made compound feeds that can differ markedly from the diet of the same species in the wild and continue to change in composition. Using data on aquaculture feeds, we show that technical advances have substantially decreased the mean effective trophic level of farmed species, such as salmon (mean TL = 3.48 to 2.42) and tilapia (2.32 to 2.06), from 1995 to 2015. As farmed species diverge in effective trophic level from their wild counterparts, they are coalescing at a similar effective trophic level due to standardisation of feeds. This pattern blurs the interpretation of trophic level in aquaculture because it can no longer be viewed as a trait of the farmed species, but rather is a dynamic feature of the production system. Guidance based on wild trophic position or historical resource use is therefore misleading. Effective aquaculture policy needs to avoid overly simplistic sustainability indicators such as trophic level. Instead, employing empirically derived metrics based on the specific farmed properties of species groups, management techniques and advances in feed formulation will be crucial for achieving truly sustainable options for farmed seafood.","container-title":"Reviews in Aquaculture","DOI":"10.1111/raq.12535","ISSN":"1753-5131","issue":"3","language":"en","note":"number: 3\n_eprint: https://onlinelibrary.wiley.com/doi/pdf/10.1111/raq.12535","page":"1583-1593","source":"Wiley Online Library","title":"Time to rethink trophic levels in aquaculture policy","volume":"13","author":[{"family":"Cottrell","given":"Richard S."},{"family":"Metian","given":"Marc"},{"family":"Froehlich","given":"Halley E."},{"family":"Blanchard","given":"Julia L."},{"family":"Sand Jacobsen","given":"Nis"},{"family":"McIntyre","given":"Peter B."},{"family":"Nash","given":"Kirsty L."},{"family":"Williams","given":"David R."},{"family":"Bouwman","given":"Lex"},{"family":"Gephart","given":"Jessica A."},{"family":"Kuempel","given":"Caitlin D."},{"family":"Moran","given":"Daniel D."},{"family":"Troell","given":"Max"},{"family":"Halpern","given":"Benjamin S."}],"issued":{"date-parts":[["2021"]]}}}],"schema":"https://github.com/citation-style-language/schema/raw/master/csl-citation.json"} </w:instrText>
      </w:r>
      <w:r w:rsidR="00C75259" w:rsidRPr="00097782">
        <w:rPr>
          <w:rFonts w:ascii="Times New Roman" w:hAnsi="Times New Roman" w:cs="Times New Roman"/>
        </w:rPr>
        <w:fldChar w:fldCharType="separate"/>
      </w:r>
      <w:r w:rsidR="00445154" w:rsidRPr="00445154">
        <w:rPr>
          <w:rFonts w:ascii="Times New Roman" w:hAnsi="Times New Roman" w:cs="Times New Roman"/>
          <w:szCs w:val="24"/>
          <w:vertAlign w:val="superscript"/>
        </w:rPr>
        <w:t>26</w:t>
      </w:r>
      <w:r w:rsidR="00C75259" w:rsidRPr="00097782">
        <w:rPr>
          <w:rFonts w:ascii="Times New Roman" w:hAnsi="Times New Roman" w:cs="Times New Roman"/>
        </w:rPr>
        <w:fldChar w:fldCharType="end"/>
      </w:r>
      <w:r w:rsidR="008816C2" w:rsidRPr="00097782">
        <w:rPr>
          <w:rFonts w:ascii="Times New Roman" w:hAnsi="Times New Roman" w:cs="Times New Roman"/>
        </w:rPr>
        <w:t xml:space="preserve">. It is time now to </w:t>
      </w:r>
      <w:r w:rsidR="00587D27" w:rsidRPr="00097782">
        <w:rPr>
          <w:rFonts w:ascii="Times New Roman" w:hAnsi="Times New Roman" w:cs="Times New Roman"/>
        </w:rPr>
        <w:t>develop and transition to</w:t>
      </w:r>
      <w:r w:rsidR="008816C2" w:rsidRPr="00097782">
        <w:rPr>
          <w:rFonts w:ascii="Times New Roman" w:hAnsi="Times New Roman" w:cs="Times New Roman"/>
        </w:rPr>
        <w:t xml:space="preserve"> ‘Aquafeed 3.0’. Ultimately, the supply, cost, environmental sustainability, and social acceptability of raw materials for aquafeed </w:t>
      </w:r>
      <w:r w:rsidR="000643F7" w:rsidRPr="00097782">
        <w:rPr>
          <w:rFonts w:ascii="Times New Roman" w:hAnsi="Times New Roman" w:cs="Times New Roman"/>
        </w:rPr>
        <w:t>are considered vulnerable</w:t>
      </w:r>
      <w:r w:rsidR="003866E1" w:rsidRPr="00097782">
        <w:rPr>
          <w:rFonts w:ascii="Times New Roman" w:hAnsi="Times New Roman" w:cs="Times New Roman"/>
        </w:rPr>
        <w:t>. This uncertainty in the global supply chain can have</w:t>
      </w:r>
      <w:r w:rsidR="008816C2" w:rsidRPr="00097782">
        <w:rPr>
          <w:rFonts w:ascii="Times New Roman" w:hAnsi="Times New Roman" w:cs="Times New Roman"/>
        </w:rPr>
        <w:t xml:space="preserve"> </w:t>
      </w:r>
      <w:r w:rsidR="000E7150" w:rsidRPr="00097782">
        <w:rPr>
          <w:rFonts w:ascii="Times New Roman" w:hAnsi="Times New Roman" w:cs="Times New Roman"/>
        </w:rPr>
        <w:t xml:space="preserve">a direct impact on </w:t>
      </w:r>
      <w:r w:rsidR="00A02B81" w:rsidRPr="00097782">
        <w:rPr>
          <w:rFonts w:ascii="Times New Roman" w:hAnsi="Times New Roman" w:cs="Times New Roman"/>
        </w:rPr>
        <w:t>aquaculture production and sustainable practices</w:t>
      </w:r>
      <w:r w:rsidR="008816C2" w:rsidRPr="00097782">
        <w:rPr>
          <w:rFonts w:ascii="Times New Roman" w:hAnsi="Times New Roman" w:cs="Times New Roman"/>
        </w:rPr>
        <w:t xml:space="preserve">. </w:t>
      </w:r>
    </w:p>
    <w:p w14:paraId="4DD3FC5C" w14:textId="3A51020C" w:rsidR="00F40347" w:rsidRPr="00607518" w:rsidRDefault="008816C2" w:rsidP="00607518">
      <w:pPr>
        <w:spacing w:line="360" w:lineRule="auto"/>
        <w:ind w:firstLine="720"/>
        <w:contextualSpacing/>
        <w:jc w:val="both"/>
        <w:rPr>
          <w:rFonts w:ascii="Times New Roman" w:hAnsi="Times New Roman" w:cs="Times New Roman"/>
        </w:rPr>
      </w:pPr>
      <w:r w:rsidRPr="00097782">
        <w:rPr>
          <w:rFonts w:ascii="Times New Roman" w:hAnsi="Times New Roman" w:cs="Times New Roman"/>
        </w:rPr>
        <w:t>This review describe</w:t>
      </w:r>
      <w:r w:rsidR="003D0B32" w:rsidRPr="00097782">
        <w:rPr>
          <w:rFonts w:ascii="Times New Roman" w:hAnsi="Times New Roman" w:cs="Times New Roman"/>
        </w:rPr>
        <w:t>s</w:t>
      </w:r>
      <w:r w:rsidRPr="00097782">
        <w:rPr>
          <w:rFonts w:ascii="Times New Roman" w:hAnsi="Times New Roman" w:cs="Times New Roman"/>
        </w:rPr>
        <w:t xml:space="preserve"> the role of aquaculture within a circular bioeconomy, how the framework can help the sustainability and resiliency of aquaculture and summarizes key examples of novel </w:t>
      </w:r>
      <w:r w:rsidR="002445F0">
        <w:rPr>
          <w:rFonts w:ascii="Times New Roman" w:hAnsi="Times New Roman" w:cs="Times New Roman"/>
        </w:rPr>
        <w:t xml:space="preserve">(and existing) </w:t>
      </w:r>
      <w:r w:rsidRPr="00097782">
        <w:rPr>
          <w:rFonts w:ascii="Times New Roman" w:hAnsi="Times New Roman" w:cs="Times New Roman"/>
        </w:rPr>
        <w:t xml:space="preserve">nutrient sources that are on the cusp of defining Aquafeed 3.0. </w:t>
      </w:r>
    </w:p>
    <w:p w14:paraId="5EB11A0A" w14:textId="5D5DC487" w:rsidR="008816C2" w:rsidRPr="00347BB7" w:rsidRDefault="008816C2" w:rsidP="00522623">
      <w:pPr>
        <w:spacing w:line="360" w:lineRule="auto"/>
        <w:contextualSpacing/>
        <w:jc w:val="both"/>
        <w:rPr>
          <w:rFonts w:ascii="Times New Roman" w:hAnsi="Times New Roman" w:cs="Times New Roman"/>
          <w:b/>
          <w:bCs/>
          <w:sz w:val="28"/>
          <w:szCs w:val="28"/>
        </w:rPr>
      </w:pPr>
      <w:r w:rsidRPr="00347BB7">
        <w:rPr>
          <w:rFonts w:ascii="Times New Roman" w:hAnsi="Times New Roman" w:cs="Times New Roman"/>
          <w:b/>
          <w:bCs/>
          <w:sz w:val="28"/>
          <w:szCs w:val="28"/>
        </w:rPr>
        <w:t xml:space="preserve">Circular bioeconomy framework and its relevance </w:t>
      </w:r>
      <w:r w:rsidR="00347BB7">
        <w:rPr>
          <w:rFonts w:ascii="Times New Roman" w:hAnsi="Times New Roman" w:cs="Times New Roman"/>
          <w:b/>
          <w:bCs/>
          <w:sz w:val="28"/>
          <w:szCs w:val="28"/>
        </w:rPr>
        <w:t xml:space="preserve">in </w:t>
      </w:r>
      <w:r w:rsidRPr="00347BB7">
        <w:rPr>
          <w:rFonts w:ascii="Times New Roman" w:hAnsi="Times New Roman" w:cs="Times New Roman"/>
          <w:b/>
          <w:bCs/>
          <w:sz w:val="28"/>
          <w:szCs w:val="28"/>
        </w:rPr>
        <w:t>aquaculture nutrition</w:t>
      </w:r>
    </w:p>
    <w:p w14:paraId="1A344B1A" w14:textId="77777777" w:rsidR="008816C2" w:rsidRPr="00FB7686" w:rsidRDefault="008816C2" w:rsidP="00522623">
      <w:pPr>
        <w:spacing w:line="360" w:lineRule="auto"/>
        <w:contextualSpacing/>
        <w:jc w:val="both"/>
        <w:rPr>
          <w:rFonts w:ascii="Times New Roman" w:hAnsi="Times New Roman" w:cs="Times New Roman"/>
          <w:b/>
          <w:bCs/>
        </w:rPr>
      </w:pPr>
      <w:r w:rsidRPr="00FB7686">
        <w:rPr>
          <w:rFonts w:ascii="Times New Roman" w:hAnsi="Times New Roman" w:cs="Times New Roman"/>
          <w:b/>
          <w:bCs/>
        </w:rPr>
        <w:t>The concept – Circular Bioeconomy Framework (CBF)</w:t>
      </w:r>
    </w:p>
    <w:p w14:paraId="0CCD4C89" w14:textId="3A19F4E8" w:rsidR="008816C2" w:rsidRDefault="00FF1CC7" w:rsidP="002A6E3C">
      <w:pPr>
        <w:spacing w:line="360" w:lineRule="auto"/>
        <w:ind w:firstLine="720"/>
        <w:contextualSpacing/>
        <w:jc w:val="both"/>
        <w:rPr>
          <w:rFonts w:ascii="Times New Roman" w:hAnsi="Times New Roman" w:cs="Times New Roman"/>
        </w:rPr>
      </w:pPr>
      <w:proofErr w:type="gramStart"/>
      <w:r>
        <w:rPr>
          <w:rFonts w:ascii="Times New Roman" w:hAnsi="Times New Roman" w:cs="Times New Roman"/>
        </w:rPr>
        <w:t>By</w:t>
      </w:r>
      <w:r w:rsidR="008816C2" w:rsidRPr="007E66EB">
        <w:rPr>
          <w:rFonts w:ascii="Times New Roman" w:hAnsi="Times New Roman" w:cs="Times New Roman"/>
        </w:rPr>
        <w:t xml:space="preserve"> definition, circularity</w:t>
      </w:r>
      <w:proofErr w:type="gramEnd"/>
      <w:r w:rsidR="008816C2" w:rsidRPr="007E66EB">
        <w:rPr>
          <w:rFonts w:ascii="Times New Roman" w:hAnsi="Times New Roman" w:cs="Times New Roman"/>
        </w:rPr>
        <w:t xml:space="preserve"> means recycling and reusing wastes from one system as input</w:t>
      </w:r>
      <w:r w:rsidR="0072759A" w:rsidRPr="007E66EB">
        <w:rPr>
          <w:rFonts w:ascii="Times New Roman" w:hAnsi="Times New Roman" w:cs="Times New Roman"/>
        </w:rPr>
        <w:t>s</w:t>
      </w:r>
      <w:r w:rsidR="008816C2" w:rsidRPr="007E66EB">
        <w:rPr>
          <w:rFonts w:ascii="Times New Roman" w:hAnsi="Times New Roman" w:cs="Times New Roman"/>
        </w:rPr>
        <w:t xml:space="preserve"> </w:t>
      </w:r>
      <w:r w:rsidR="0072759A" w:rsidRPr="007E66EB">
        <w:rPr>
          <w:rFonts w:ascii="Times New Roman" w:hAnsi="Times New Roman" w:cs="Times New Roman"/>
        </w:rPr>
        <w:t>for</w:t>
      </w:r>
      <w:r w:rsidR="008816C2" w:rsidRPr="007E66EB">
        <w:rPr>
          <w:rFonts w:ascii="Times New Roman" w:hAnsi="Times New Roman" w:cs="Times New Roman"/>
        </w:rPr>
        <w:t xml:space="preserve"> another system. Waste is not </w:t>
      </w:r>
      <w:r w:rsidR="00CA24EC" w:rsidRPr="007E66EB">
        <w:rPr>
          <w:rFonts w:ascii="Times New Roman" w:hAnsi="Times New Roman" w:cs="Times New Roman"/>
        </w:rPr>
        <w:t>trash but</w:t>
      </w:r>
      <w:r w:rsidR="008816C2" w:rsidRPr="007E66EB">
        <w:rPr>
          <w:rFonts w:ascii="Times New Roman" w:hAnsi="Times New Roman" w:cs="Times New Roman"/>
        </w:rPr>
        <w:t xml:space="preserve"> </w:t>
      </w:r>
      <w:r w:rsidR="00336F2C">
        <w:rPr>
          <w:rFonts w:ascii="Times New Roman" w:hAnsi="Times New Roman" w:cs="Times New Roman"/>
        </w:rPr>
        <w:t>can</w:t>
      </w:r>
      <w:r w:rsidR="00FF0749">
        <w:rPr>
          <w:rFonts w:ascii="Times New Roman" w:hAnsi="Times New Roman" w:cs="Times New Roman"/>
        </w:rPr>
        <w:t xml:space="preserve"> often </w:t>
      </w:r>
      <w:r w:rsidR="00433918">
        <w:rPr>
          <w:rFonts w:ascii="Times New Roman" w:hAnsi="Times New Roman" w:cs="Times New Roman"/>
        </w:rPr>
        <w:t xml:space="preserve">be considered </w:t>
      </w:r>
      <w:r w:rsidR="00AD531E">
        <w:rPr>
          <w:rFonts w:ascii="Times New Roman" w:hAnsi="Times New Roman" w:cs="Times New Roman"/>
        </w:rPr>
        <w:t>a</w:t>
      </w:r>
      <w:r w:rsidR="00FF0749">
        <w:rPr>
          <w:rFonts w:ascii="Times New Roman" w:hAnsi="Times New Roman" w:cs="Times New Roman"/>
        </w:rPr>
        <w:t xml:space="preserve"> co-product and </w:t>
      </w:r>
      <w:r w:rsidR="008816C2" w:rsidRPr="007E66EB">
        <w:rPr>
          <w:rFonts w:ascii="Times New Roman" w:hAnsi="Times New Roman" w:cs="Times New Roman"/>
        </w:rPr>
        <w:t xml:space="preserve">a resource in circularity. </w:t>
      </w:r>
      <w:r w:rsidR="00B818D3" w:rsidRPr="005676B3">
        <w:rPr>
          <w:rFonts w:ascii="Times New Roman" w:hAnsi="Times New Roman" w:cs="Times New Roman"/>
        </w:rPr>
        <w:t>‘Bioeconomy’ is a concept coined by the European Commission in 2012 to address the possibilities of the conversion of renewable biological resources into economically viable products and bioenergy</w:t>
      </w:r>
      <w:r w:rsidR="00B818D3">
        <w:rPr>
          <w:rFonts w:ascii="Times New Roman" w:hAnsi="Times New Roman" w:cs="Times New Roman"/>
        </w:rPr>
        <w:fldChar w:fldCharType="begin"/>
      </w:r>
      <w:r w:rsidR="002A5BBE">
        <w:rPr>
          <w:rFonts w:ascii="Times New Roman" w:hAnsi="Times New Roman" w:cs="Times New Roman"/>
        </w:rPr>
        <w:instrText xml:space="preserve"> ADDIN ZOTERO_ITEM CSL_CITATION {"citationID":"a2q4qfp28le","properties":{"formattedCitation":"\\super 27\\nosupersub{}","plainCitation":"27","noteIndex":0},"citationItems":[{"id":1690,"uris":["http://zotero.org/users/9431846/items/MCIV2F43"],"itemData":{"id":1690,"type":"report","title":"EU Bioeconomy Strategy Progress Report","URL":"https://ec.europa.eu/info/sites/default/files/research_and_innovation/research_by_area/documents/ec_rtd_eu-bioeconomy-strategy-progress.pdf","author":[{"family":"European Commission","given":""}],"issued":{"date-parts":[["2022"]]}}}],"schema":"https://github.com/citation-style-language/schema/raw/master/csl-citation.json"} </w:instrText>
      </w:r>
      <w:r w:rsidR="00B818D3">
        <w:rPr>
          <w:rFonts w:ascii="Times New Roman" w:hAnsi="Times New Roman" w:cs="Times New Roman"/>
        </w:rPr>
        <w:fldChar w:fldCharType="separate"/>
      </w:r>
      <w:r w:rsidR="002A5BBE" w:rsidRPr="002A5BBE">
        <w:rPr>
          <w:rFonts w:ascii="Times New Roman" w:hAnsi="Times New Roman" w:cs="Times New Roman"/>
          <w:szCs w:val="24"/>
          <w:vertAlign w:val="superscript"/>
        </w:rPr>
        <w:t>27</w:t>
      </w:r>
      <w:r w:rsidR="00B818D3">
        <w:rPr>
          <w:rFonts w:ascii="Times New Roman" w:hAnsi="Times New Roman" w:cs="Times New Roman"/>
        </w:rPr>
        <w:fldChar w:fldCharType="end"/>
      </w:r>
      <w:r w:rsidR="00B818D3" w:rsidRPr="005676B3">
        <w:rPr>
          <w:rFonts w:ascii="Times New Roman" w:hAnsi="Times New Roman" w:cs="Times New Roman"/>
        </w:rPr>
        <w:t xml:space="preserve">. </w:t>
      </w:r>
      <w:r w:rsidR="001E2543" w:rsidRPr="007E66EB">
        <w:rPr>
          <w:rFonts w:ascii="Times New Roman" w:hAnsi="Times New Roman" w:cs="Times New Roman"/>
        </w:rPr>
        <w:t xml:space="preserve">The circular bioeconomy aims to improve resource use efficiency (RUE), minimize environmental footprint, and avoid losses by design, reuse, recycle, remanufacture, and </w:t>
      </w:r>
      <w:r w:rsidR="00D8050F">
        <w:rPr>
          <w:rFonts w:ascii="Times New Roman" w:hAnsi="Times New Roman" w:cs="Times New Roman"/>
        </w:rPr>
        <w:t>re</w:t>
      </w:r>
      <w:r w:rsidR="001E2543" w:rsidRPr="007E66EB">
        <w:rPr>
          <w:rFonts w:ascii="Times New Roman" w:hAnsi="Times New Roman" w:cs="Times New Roman"/>
        </w:rPr>
        <w:t>integrati</w:t>
      </w:r>
      <w:r w:rsidR="00D8050F">
        <w:rPr>
          <w:rFonts w:ascii="Times New Roman" w:hAnsi="Times New Roman" w:cs="Times New Roman"/>
        </w:rPr>
        <w:t>on of non-food grade</w:t>
      </w:r>
      <w:r w:rsidR="001E2543" w:rsidRPr="007E66EB">
        <w:rPr>
          <w:rFonts w:ascii="Times New Roman" w:hAnsi="Times New Roman" w:cs="Times New Roman"/>
        </w:rPr>
        <w:t xml:space="preserve"> resources as much as possible </w:t>
      </w:r>
      <w:r w:rsidR="001E2543" w:rsidRPr="007E66EB">
        <w:rPr>
          <w:rFonts w:ascii="Times New Roman" w:hAnsi="Times New Roman" w:cs="Times New Roman"/>
        </w:rPr>
        <w:fldChar w:fldCharType="begin"/>
      </w:r>
      <w:r w:rsidR="008E72D1">
        <w:rPr>
          <w:rFonts w:ascii="Times New Roman" w:hAnsi="Times New Roman" w:cs="Times New Roman"/>
        </w:rPr>
        <w:instrText xml:space="preserve"> ADDIN ZOTERO_ITEM CSL_CITATION {"citationID":"a1njqjtck6l","properties":{"formattedCitation":"\\super 28\\uc0\\u8211{}30\\nosupersub{}","plainCitation":"28–30","noteIndex":0},"citationItems":[{"id":849,"uris":["http://zotero.org/groups/4669668/items/8WJAGPVM"],"itemData":{"id":849,"type":"article-journal","container-title":"Reviews in Aquaculture","DOI":"10.1111/raq.12567","ISSN":"1753-5131","issue":"3","language":"en","note":"number: 3\n_eprint: https://onlinelibrary.wiley.com/doi/pdf/10.1111/raq.12567","page":"1156-1158","source":"Wiley Online Library","title":"‘Aquafeed 3.0’: creating a more resilient aquaculture industry with a circular bioeconomy framework","title-short":"‘Aquafeed 3.0’","volume":"13","author":[{"family":"Colombo","given":"Stefanie M."},{"family":"Turchini","given":"Giovanni M."}],"issued":{"date-parts":[["2021"]]}}},{"id":850,"uris":["http://zotero.org/groups/4669668/items/CVIYWXXQ"],"itemData":{"id":850,"type":"report","publisher":"Wageningen University &amp; Research","title":"Circularity in agricultural production","author":[{"family":"Boer","given":"Imke JM","non-dropping-particle":"de"},{"family":"Ittersum","given":"Martin K.","non-dropping-particle":"van"}],"issued":{"date-parts":[["2018"]]}}},{"id":989,"uris":["http://zotero.org/groups/4669668/items/836P5PHM"],"itemData":{"id":989,"type":"webpage","container-title":"Review in Aquaculture","genre":"Wiley Online Library","language":"en","note":"ISSN: 1753-5131\nDOI: 10.1111/(ISSN)1753-5131","title":"Triggering circularity in aquaculture – an introductory virtual special issue","URL":"https://onlinelibrary.wiley.com/page/journal/17535131/homepage/circularity-in-aquaculture-introduction","author":[{"family":"Roy","given":"Koushik"},{"family":"Turkmen","given":"Serhat"},{"family":"Turchini","given":"Giovanni M."}],"accessed":{"date-parts":[["2022",4,23]]},"issued":{"date-parts":[["2021"]]}}}],"schema":"https://github.com/citation-style-language/schema/raw/master/csl-citation.json"} </w:instrText>
      </w:r>
      <w:r w:rsidR="001E2543" w:rsidRPr="007E66EB">
        <w:rPr>
          <w:rFonts w:ascii="Times New Roman" w:hAnsi="Times New Roman" w:cs="Times New Roman"/>
        </w:rPr>
        <w:fldChar w:fldCharType="separate"/>
      </w:r>
      <w:r w:rsidR="008E72D1" w:rsidRPr="008E72D1">
        <w:rPr>
          <w:rFonts w:ascii="Times New Roman" w:hAnsi="Times New Roman" w:cs="Times New Roman"/>
          <w:szCs w:val="24"/>
          <w:vertAlign w:val="superscript"/>
        </w:rPr>
        <w:t>28–30</w:t>
      </w:r>
      <w:r w:rsidR="001E2543" w:rsidRPr="007E66EB">
        <w:rPr>
          <w:rFonts w:ascii="Times New Roman" w:hAnsi="Times New Roman" w:cs="Times New Roman"/>
        </w:rPr>
        <w:fldChar w:fldCharType="end"/>
      </w:r>
      <w:r w:rsidR="001E2543" w:rsidRPr="007E66EB">
        <w:rPr>
          <w:rFonts w:ascii="Times New Roman" w:hAnsi="Times New Roman" w:cs="Times New Roman"/>
        </w:rPr>
        <w:t xml:space="preserve">. </w:t>
      </w:r>
      <w:r w:rsidR="008816C2" w:rsidRPr="007E66EB">
        <w:rPr>
          <w:rFonts w:ascii="Times New Roman" w:hAnsi="Times New Roman" w:cs="Times New Roman"/>
        </w:rPr>
        <w:t>In a circular bioeconomy, the circular part aims to maintain the value of land, products, materials, and resources for as long as possible. The bio-economy part targets renewable biological resources to produce food, materials, and energy</w:t>
      </w:r>
      <w:r w:rsidR="009240EA" w:rsidRPr="007E66EB">
        <w:rPr>
          <w:rFonts w:ascii="Times New Roman" w:hAnsi="Times New Roman" w:cs="Times New Roman"/>
        </w:rPr>
        <w:t xml:space="preserve"> </w:t>
      </w:r>
      <w:r w:rsidR="00DC5A03" w:rsidRPr="007E66EB">
        <w:rPr>
          <w:rFonts w:ascii="Times New Roman" w:hAnsi="Times New Roman" w:cs="Times New Roman"/>
        </w:rPr>
        <w:fldChar w:fldCharType="begin"/>
      </w:r>
      <w:r w:rsidR="00BC10AE">
        <w:rPr>
          <w:rFonts w:ascii="Times New Roman" w:hAnsi="Times New Roman" w:cs="Times New Roman"/>
        </w:rPr>
        <w:instrText xml:space="preserve"> ADDIN ZOTERO_ITEM CSL_CITATION {"citationID":"a1s2ifn5l0a","properties":{"formattedCitation":"\\super 29,31\\nosupersub{}","plainCitation":"29,31","noteIndex":0},"citationItems":[{"id":991,"uris":["http://zotero.org/groups/4669668/items/DYW5HYWV"],"itemData":{"id":991,"type":"webpage","abstract":"What this area covers, aims of funding and intervention areas in Horizon Europe for the food and natural resources cluster of Horizon Europe.","container-title":"European Commission - European Commission","genre":"Text","language":"en","title":"Food, Bioeconomy, Natural Resources, Agriculture and Environment","title-short":"Cluster 6","URL":"https://ec.europa.eu/info/research-and-innovation/funding/funding-opportunities/funding-programmes-and-open-calls/horizon-europe/cluster-6-food-bioeconomy-natural-resources-agriculture-and-environment_en","author":[{"family":"Commission","given":"European"}],"accessed":{"date-parts":[["2022",4,27]]},"issued":{"date-parts":[["2019"]]}}},{"id":850,"uris":["http://zotero.org/groups/4669668/items/CVIYWXXQ"],"itemData":{"id":850,"type":"report","publisher":"Wageningen University &amp; Research","title":"Circularity in agricultural production","author":[{"family":"Boer","given":"Imke JM","non-dropping-particle":"de"},{"family":"Ittersum","given":"Martin K.","non-dropping-particle":"van"}],"issued":{"date-parts":[["2018"]]}}}],"schema":"https://github.com/citation-style-language/schema/raw/master/csl-citation.json"} </w:instrText>
      </w:r>
      <w:r w:rsidR="00DC5A03" w:rsidRPr="007E66EB">
        <w:rPr>
          <w:rFonts w:ascii="Times New Roman" w:hAnsi="Times New Roman" w:cs="Times New Roman"/>
        </w:rPr>
        <w:fldChar w:fldCharType="separate"/>
      </w:r>
      <w:r w:rsidR="00BC10AE" w:rsidRPr="00BC10AE">
        <w:rPr>
          <w:rFonts w:ascii="Times New Roman" w:hAnsi="Times New Roman" w:cs="Times New Roman"/>
          <w:szCs w:val="24"/>
          <w:vertAlign w:val="superscript"/>
        </w:rPr>
        <w:t>29,31</w:t>
      </w:r>
      <w:r w:rsidR="00DC5A03" w:rsidRPr="007E66EB">
        <w:rPr>
          <w:rFonts w:ascii="Times New Roman" w:hAnsi="Times New Roman" w:cs="Times New Roman"/>
        </w:rPr>
        <w:fldChar w:fldCharType="end"/>
      </w:r>
      <w:r w:rsidR="009240EA" w:rsidRPr="007E66EB">
        <w:rPr>
          <w:rFonts w:ascii="Times New Roman" w:hAnsi="Times New Roman" w:cs="Times New Roman"/>
        </w:rPr>
        <w:t xml:space="preserve">. </w:t>
      </w:r>
      <w:r w:rsidR="008816C2" w:rsidRPr="007E66EB">
        <w:rPr>
          <w:rFonts w:ascii="Times New Roman" w:hAnsi="Times New Roman" w:cs="Times New Roman"/>
        </w:rPr>
        <w:t>Circularity demands a paradigm shift in thinking, changing focus from increasing productivity (presently) to increased resource use efficiency (future)</w:t>
      </w:r>
      <w:r w:rsidR="00360369" w:rsidRPr="007E66EB">
        <w:rPr>
          <w:rFonts w:ascii="Times New Roman" w:hAnsi="Times New Roman" w:cs="Times New Roman"/>
        </w:rPr>
        <w:fldChar w:fldCharType="begin"/>
      </w:r>
      <w:r w:rsidR="007B3833">
        <w:rPr>
          <w:rFonts w:ascii="Times New Roman" w:hAnsi="Times New Roman" w:cs="Times New Roman"/>
        </w:rPr>
        <w:instrText xml:space="preserve"> ADDIN ZOTERO_ITEM CSL_CITATION {"citationID":"aickfmeda0","properties":{"formattedCitation":"\\super 32\\nosupersub{}","plainCitation":"32","noteIndex":0},"citationItems":[{"id":1067,"uris":["http://zotero.org/groups/4669668/items/4YYFSWLX"],"itemData":{"id":1067,"type":"book","publisher":"European Union Luxembourg","title":"Food 2030 pathways for action: research and innovation policy as a driver for sustainable, healthy, and inclusive food systems","author":[{"family":"Commission","given":"European"}],"issued":{"date-parts":[["2020"]]}}}],"schema":"https://github.com/citation-style-language/schema/raw/master/csl-citation.json"} </w:instrText>
      </w:r>
      <w:r w:rsidR="00360369" w:rsidRPr="007E66EB">
        <w:rPr>
          <w:rFonts w:ascii="Times New Roman" w:hAnsi="Times New Roman" w:cs="Times New Roman"/>
        </w:rPr>
        <w:fldChar w:fldCharType="separate"/>
      </w:r>
      <w:r w:rsidR="007B3833" w:rsidRPr="007B3833">
        <w:rPr>
          <w:rFonts w:ascii="Times New Roman" w:hAnsi="Times New Roman" w:cs="Times New Roman"/>
          <w:szCs w:val="24"/>
          <w:vertAlign w:val="superscript"/>
        </w:rPr>
        <w:t>32</w:t>
      </w:r>
      <w:r w:rsidR="00360369" w:rsidRPr="007E66EB">
        <w:rPr>
          <w:rFonts w:ascii="Times New Roman" w:hAnsi="Times New Roman" w:cs="Times New Roman"/>
        </w:rPr>
        <w:fldChar w:fldCharType="end"/>
      </w:r>
      <w:r w:rsidR="008816C2" w:rsidRPr="007E66EB">
        <w:rPr>
          <w:rFonts w:ascii="Times New Roman" w:hAnsi="Times New Roman" w:cs="Times New Roman"/>
        </w:rPr>
        <w:t xml:space="preserve">. </w:t>
      </w:r>
      <w:r w:rsidR="00364522" w:rsidRPr="0028496B">
        <w:rPr>
          <w:rFonts w:ascii="Times New Roman" w:hAnsi="Times New Roman" w:cs="Times New Roman"/>
          <w:color w:val="0070C0"/>
        </w:rPr>
        <w:t xml:space="preserve"> </w:t>
      </w:r>
      <w:r w:rsidR="0077794D" w:rsidRPr="00C80DCF">
        <w:rPr>
          <w:rFonts w:ascii="Times New Roman" w:hAnsi="Times New Roman" w:cs="Times New Roman"/>
        </w:rPr>
        <w:t xml:space="preserve">The </w:t>
      </w:r>
      <w:r w:rsidR="00364522" w:rsidRPr="00C80DCF">
        <w:rPr>
          <w:rFonts w:ascii="Times New Roman" w:hAnsi="Times New Roman" w:cs="Times New Roman"/>
        </w:rPr>
        <w:t>application of CBF in food production systems is not only aimed at waste valorization or minimization of losses</w:t>
      </w:r>
      <w:r w:rsidR="00407DE0" w:rsidRPr="00C80DCF">
        <w:rPr>
          <w:rFonts w:ascii="Times New Roman" w:hAnsi="Times New Roman" w:cs="Times New Roman"/>
        </w:rPr>
        <w:t>; it can also include</w:t>
      </w:r>
      <w:r w:rsidR="00364522" w:rsidRPr="00C80DCF">
        <w:rPr>
          <w:rFonts w:ascii="Times New Roman" w:hAnsi="Times New Roman" w:cs="Times New Roman"/>
        </w:rPr>
        <w:t xml:space="preserve">: (a) a reduced food-feed conflict for future generations; (b) upcycling of biomass losses or organic waste streams to </w:t>
      </w:r>
      <w:r w:rsidR="005030FE" w:rsidRPr="00C80DCF">
        <w:rPr>
          <w:rFonts w:ascii="Times New Roman" w:hAnsi="Times New Roman" w:cs="Times New Roman"/>
        </w:rPr>
        <w:t xml:space="preserve">the </w:t>
      </w:r>
      <w:r w:rsidR="00364522" w:rsidRPr="00C80DCF">
        <w:rPr>
          <w:rFonts w:ascii="Times New Roman" w:hAnsi="Times New Roman" w:cs="Times New Roman"/>
        </w:rPr>
        <w:t>human food chain; (c) degrowth strategies and de-prioritizes luxury use; (d) preservation of biodiversity and ecosystem services in local food systems; (e) eco-intensification strategies rather than linear intensification; (f) strong symbiosis or resource use complementarities (exchanges) locally or regionally (“</w:t>
      </w:r>
      <w:proofErr w:type="spellStart"/>
      <w:r w:rsidR="00364522" w:rsidRPr="00C80DCF">
        <w:rPr>
          <w:rFonts w:ascii="Times New Roman" w:hAnsi="Times New Roman" w:cs="Times New Roman"/>
        </w:rPr>
        <w:t>agri</w:t>
      </w:r>
      <w:proofErr w:type="spellEnd"/>
      <w:r w:rsidR="00364522" w:rsidRPr="00C80DCF">
        <w:rPr>
          <w:rFonts w:ascii="Times New Roman" w:hAnsi="Times New Roman" w:cs="Times New Roman"/>
        </w:rPr>
        <w:t>-aqua-food system”); (g) expanding the scope of environmental impact assessments to the greater “</w:t>
      </w:r>
      <w:proofErr w:type="spellStart"/>
      <w:r w:rsidR="00364522" w:rsidRPr="00C80DCF">
        <w:rPr>
          <w:rFonts w:ascii="Times New Roman" w:hAnsi="Times New Roman" w:cs="Times New Roman"/>
        </w:rPr>
        <w:t>agri</w:t>
      </w:r>
      <w:proofErr w:type="spellEnd"/>
      <w:r w:rsidR="00364522" w:rsidRPr="00C80DCF">
        <w:rPr>
          <w:rFonts w:ascii="Times New Roman" w:hAnsi="Times New Roman" w:cs="Times New Roman"/>
        </w:rPr>
        <w:t xml:space="preserve">-aqua-food system” and covering all categories of planetary health boundary framework. A synopsis in this regard can be found in numerous </w:t>
      </w:r>
      <w:r w:rsidR="00B3210B" w:rsidRPr="00C80DCF">
        <w:rPr>
          <w:rFonts w:ascii="Times New Roman" w:hAnsi="Times New Roman" w:cs="Times New Roman"/>
        </w:rPr>
        <w:t>studie</w:t>
      </w:r>
      <w:r w:rsidR="00364522" w:rsidRPr="00C80DCF">
        <w:rPr>
          <w:rFonts w:ascii="Times New Roman" w:hAnsi="Times New Roman" w:cs="Times New Roman"/>
        </w:rPr>
        <w:t>s</w:t>
      </w:r>
      <w:r w:rsidR="00351098" w:rsidRPr="00C80DCF">
        <w:rPr>
          <w:rFonts w:ascii="Times New Roman" w:hAnsi="Times New Roman" w:cs="Times New Roman"/>
        </w:rPr>
        <w:fldChar w:fldCharType="begin"/>
      </w:r>
      <w:r w:rsidR="00D339AE">
        <w:rPr>
          <w:rFonts w:ascii="Times New Roman" w:hAnsi="Times New Roman" w:cs="Times New Roman"/>
        </w:rPr>
        <w:instrText xml:space="preserve"> ADDIN ZOTERO_ITEM CSL_CITATION {"citationID":"a237i6i8l56","properties":{"formattedCitation":"\\super 29,33\\uc0\\u8211{}44\\nosupersub{}","plainCitation":"29,33–44","noteIndex":0},"citationItems":[{"id":850,"uris":["http://zotero.org/groups/4669668/items/CVIYWXXQ"],"itemData":{"id":850,"type":"report","publisher":"Wageningen University &amp; Research","title":"Circularity in agricultural production","author":[{"family":"Boer","given":"Imke JM","non-dropping-particle":"de"},{"family":"Ittersum","given":"Martin K.","non-dropping-particle":"van"}],"issued":{"date-parts":[["2018"]]}}},{"id":1727,"uris":["http://zotero.org/users/9431846/items/E93CAFAT"],"itemData":{"id":1727,"type":"article-journal","container-title":"Resources, Conservation and Recycling","ISSN":"0921-3449","page":"246-264","title":"The circular economy: new or refurbished as CE 3.0?—exploring controversies in the conceptualization of the circular economy through a focus on history and resource value retention options","volume":"135","author":[{"family":"Reike","given":"Denise"},{"family":"Vermeulen","given":"Walter JV"},{"family":"Witjes","given":"Sjors"}],"issued":{"date-parts":[["2018"]]}}},{"id":847,"uris":["http://zotero.org/groups/4669668/items/2RU9NJLR"],"itemData":{"id":847,"type":"article-journal","abstract":"A circular, bio-based economy could provide the pathway to a sustainable future. Here we present five ecological principles to guide biomass use towards a circular bioeconomy: safeguarding and regenerating the health of our (agro)ecosystems; avoiding non-essential products and the waste of essential ones; prioritizing biomass streams for basic human needs; utilizing and recycling by-products of (agro)ecosystems; and using renewable energy while minimizing overall energy use. Implementing these principles calls for a transformation of our current economic system, including fundamental changes to policies, technologies, organizations, social behaviour and markets.","container-title":"Nature Food","DOI":"10.1038/s43016-021-00340-7","ISSN":"2662-1355","issue":"8","journalAbbreviation":"Nat Food","language":"en","license":"2021 Springer Nature Limited","note":"number: 8\npublisher: Nature Publishing Group","page":"561-566","source":"www.nature.com","title":"Principles, drivers and opportunities of a circular bioeconomy","volume":"2","author":[{"family":"Muscat","given":"Abigail"},{"family":"Olde","given":"Evelien M.","non-dropping-particle":"de"},{"family":"Ripoll-Bosch","given":"Raimon"},{"family":"Van Zanten","given":"Hannah H. E."},{"family":"Metze","given":"Tamara A. P."},{"family":"Termeer","given":"Catrien J. A. M."},{"family":"Ittersum","given":"Martin K.","non-dropping-particle":"van"},{"family":"Boer","given":"Imke J. M.","non-dropping-particle":"de"}],"issued":{"date-parts":[["2021",8]]}}},{"id":1782,"uris":["http://zotero.org/users/9431846/items/KHZA6BWH"],"itemData":{"id":1782,"type":"article-journal","container-title":"Food Quality and Preference","ISSN":"0950-3293","page":"15-20","title":"How circular will you eat? The sustainability challenge in food and consumer reaction to either waste-to-value or yet underused novel ingredients in food","volume":"77","author":[{"family":"Aschemann-Witzel","given":"Jessica"},{"family":"Peschel","given":"Anne Odile"}],"issued":{"date-parts":[["2019"]]}}},{"id":1780,"uris":["http://zotero.org/users/9431846/items/7WSCLU8B"],"itemData":{"id":1780,"type":"article-journal","container-title":"Reviews in Aquaculture","ISSN":"1753-5123","issue":"1","page":"149-167","title":"Implementing ecologi</w:instrText>
      </w:r>
      <w:r w:rsidR="00D339AE">
        <w:rPr>
          <w:rFonts w:ascii="Times New Roman" w:hAnsi="Times New Roman" w:cs="Times New Roman" w:hint="eastAsia"/>
        </w:rPr>
        <w:instrText>cal intensification in fish farming: definition and principles from contrasting experiences","volume":"11","author":[{"family":"Aubin","given":"Joël"},{"family":"Callier","given":"Myriam"},{"family":"Rey</w:instrText>
      </w:r>
      <w:r w:rsidR="00D339AE">
        <w:rPr>
          <w:rFonts w:ascii="Times New Roman" w:hAnsi="Times New Roman" w:cs="Times New Roman" w:hint="eastAsia"/>
        </w:rPr>
        <w:instrText>‐</w:instrText>
      </w:r>
      <w:r w:rsidR="00D339AE">
        <w:rPr>
          <w:rFonts w:ascii="Times New Roman" w:hAnsi="Times New Roman" w:cs="Times New Roman" w:hint="eastAsia"/>
        </w:rPr>
        <w:instrText>Valette","given":"Hélène"},{"family":"Mathe","given</w:instrText>
      </w:r>
      <w:r w:rsidR="00D339AE">
        <w:rPr>
          <w:rFonts w:ascii="Times New Roman" w:hAnsi="Times New Roman" w:cs="Times New Roman"/>
        </w:rPr>
        <w:instrText xml:space="preserve">":"Syndhia"},{"family":"Wilfart","given":"Aurélie"},{"family":"Legendre","given":"Marc"},{"family":"Slembrouck","given":"Jacques"},{"family":"Caruso","given":"Domenico"},{"family":"Chia","given":"Eduardo"},{"family":"Masson","given":"Gérard"}],"issued":{"date-parts":[["2019"]]}}},{"id":1773,"uris":["http://zotero.org/users/9431846/items/LNZI4JEK"],"itemData":{"id":1773,"type":"article-journal","container-title":"Nature Food","ISSN":"2662-1355","issue":"5","page":"341-348","title":"Integrating degrowth and efficiency perspectives enables an emission-neutral food system by 2100","volume":"3","author":[{"family":"Bodirsky","given":"Benjamin Leon"},{"family":"Chen","given":"David Meng-Chuen"},{"family":"Weindl","given":"Isabelle"},{"family":"Sörgel","given":"Björn"},{"family":"Beier","given":"Felicitas"},{"family":"Molina Bacca","given":"Edna J."},{"family":"Gaupp","given":"Franziska"},{"family":"Popp","given":"Alexander"},{"family":"Lotze-Campen","given":"Hermann"}],"issued":{"date-parts":[["2022"]]}}},{"id":1771,"uris":["http://zotero.org/users/9431846/items/2549929W"],"itemData":{"id":1771,"type":"article-journal","container-title":"Ecology and Society","issue":"4","title":"Agriculture production as a major driver of the Earth system exceeding planetary boundaries","volume":"22","author":[{"family":"Campbell","given":"Bruce M."},{"family":"Beare","given":"Douglas J."},{"family":"Bennett","given":"Elena M."},{"family":"Hall-Spencer","given":"Jason M."},{"family":"Ingram","given":"John SI"},{"family":"Jaramillo","given":"Fernando"},{"family":"Ortiz","given":"Rodomiro"},{"family":"Ramankutty","given":"Navin"},{"family":"Sayer","given":"Jeffrey A."},{"family":"Shindell","given":"Drew"}],"issued":{"date-parts":[["2017"]]}}},{"id":1758,"uris":["http://zotero.org/users/9431846/items/YX5D5Q5X"],"itemData":{"id":1758,"type":"article-journal","container-title":"The Lancet Planetary Health","ISSN":"2542-5196","issue":"6","page":"e475-e483","title":"The compatibility of circularity and national dietary recommendations for animal products in five European countries: a modelling analysis on nutritional feasibility, climate impact, and land use","volume":"6","author":[{"family":"Frehner","given":"Anita"},{"family":"Cardinaals","given":"Renée PM"},{"family":"Boer","given":"Imke JM","non-dropping-particle":"de"},{"family":"Muller","given":"Adrian"},{"family":"Schader","given":"Christian"},{"family":"Selm","given":"Benjamin","non-dropping-particle":"van"},{"family":"Van Hal","given":"Ollie"},{"family":"Pestoni","given":"Giulia"},{"family":"Rohrmann","given":"Sabine"},{"family":"Herrero","given":"Mario"}],"issued":{"date-parts":[["2022"]]}}},{"id":1756,"uris":["http://zotero.org/users/9431846/items/RM97USHW"],"itemData":{"id":1756,"type":"article-journal","container-title":"Nature sustainability","ISSN":"2398-9629","issue":"3","page":"200-208","title":"Feeding ten billion people is possible within four terrestrial planetary boundaries","volume":"3","author":[{"family":"Gerten","given":"Dieter"},{"family":"Heck","given":"Vera"},{"family":"Jägermeyr","given":"Jonas"},{"family":"Bodirsky","given":"Benjamin Leon"},{"family":"Fetzer","given":"Ingo"},{"family":"Jalava","given":"Mika"},{"family":"Kummu","given":"Matti"},{"family":"Lucht","given":"Wolfgang"},{"family":"Rockström","given":"Johan"},{"family":"Schaphoff","given":"Sibyll"}],"issued":{"date-parts":[["2020"]]}}},{"id":1759,"uris":["http://zotero.org/users/9431846/items/A3ZGNATV"],"itemData":{"id":1759,"type":"article-journal","abstract":"The global challenge of feeding an ever-increasing world population is leading scientists’ attention towards nutritious and sustainable foods whose production should have low impacts on environment, economy and society. In case the input feedstock can be waste nutrients, the label of such productions becomes even greener. Nutrients circularity is nowadays an important circular economy practice. This mini-review focuses on the valorisation of food waste as precious biomass to grow new food and feed. In particular, three functional edibles are discussed in the present paper: mushrooms, microalgae and insects. These foods are part of people diets since ages in certain areas of the world and the original aspect of their cultivation and breeding found on waste nutrients recovery is here reviewed. Proofs of such food waste biorefinery viability are already given by several researches featuring the main traits of a suitable growing medium: optimal pool of nutrients and optimal pH. However, lot of work still needs to be done in order to assess the optimal growth and cultivation conditions and the health security of the harvested/bred edibles. A SWOT factors analysis was performed.","container-title":"Waste Management &amp; Research","DOI":"10.1177/0734242x211038189","issue":"1","page":"47-53","title":"Food waste bioconversion into new food: A mini-review on nutrients circularity in the production of mushrooms, microalgae and insects","volume":"40","author":[{"family":"Girotto","given":"Francesca"},{"family":"Piazza","given":"Laura"}],"issued":{"date-parts":[["2022"]]}}},{"id":988,"uris":["http://zotero.org/groups/4669668/items/DB3UWVRM"],"itemData":{"id":988,"type":"article-journal","abstract":"EU aquaculture produces only a small fraction of the internal demand of aquatic foods, but boosting this activity must be done in compliance with high standards of environmental protection and social benefits, as fostered by the policies on circular economy recently launched by the EU. Nevertheless, the assessment of the environmental sustainability of aquaculture and other food production systems is complex, due to the different tools and approaches available. Moreover, the current EU regulatory framework may be restricting the options to implement some circular solutions. This paper examines the controversies related to the assessment of environmental impacts of aquaculture processes and the different available circular solutions, with a focus on the best options to valorize aquaculture side streams and how current regulatory burdens and gaps should be solved.","container-title":"Journal of Industrial Ecology","DOI":"10.1111/jiec.13188","ISSN":"1530-9290","issue":"n/a","journalAbbreviation":"J of Industrial Ecology","language":"en","license":"© 2021 by Yale University","note":"number: n/a\n_eprint: https://onlinelibrary.wiley.com/doi/pdf/10.1111/jiec.13188","source":"Wiley Online Library","title":"Opportunities and limitations for the introduction of circular economy principles in EU aquaculture based on the regulatory framework","URL":"https://onlinelibrary.wiley.com/doi/abs/10.1111/jiec.13188","volume":"n/a","author":[{"family":"Regueiro","given":"Leticia"},{"family":"Newton","given":"Richard"},{"family":"Soula","given":"Mohamed"},{"family":"Méndez","given":"Diego"},{"family":"Kok","given":"Björn"},{"family":"Little","given":"David C."},{"family":"Pastres","given":"Roberto"},{"family":"Johansen","given":"Johan"},{"family":"Ferreira","given":"Martiña"}],"accessed":{"date-parts":[["2022",4,23]]},"issued":{"date-parts":[["2021"]]}}},{"id":1708,"uris":["http://zotero.org/users/9431846/items/MW8PN727"],"itemData":{"id":1708,"type":"article-journal","container-title":"Nature Food","ISSN":"2662-1355","issue":"1","page":"66-73","title":"Circularity in animal production requires a change in the EAT-Lancet diet in Europe","volume":"3","author":[{"family":"Van Selm","given":"Benjamin"},{"family":"Frehner","given":"Anita"},{"family":"De Boer","given":"Imke JM"},{"family":"Van Hal","given":"Ollie"},{"family":"Hijbeek","given":"Renske"},{"family":"Van Ittersum","given":"Martin K."},{"family":"Talsma","given":"Elise F."},{"family":"Lesschen","given":"Jan Peter"},{"family":"Hendriks","given":"Chantal MJ"},{"family":"Herrero","given":"Mario"}],"issued":{"date-parts":[["2022"]]}}},{"id":1700,"uris":["http://zotero.org/users/9431846/items/LHWEN5AL"],"itemData":{"id":1700,"type":"report","event-place":"Berlin (Germany)","page":"72","publisher-place":"Berlin (Germany)","title":"Halving Food Loss and Waste in the EU by 2030: the major steps needed to accelerate progress","author":[{"family":"WWF-WRAP","given":""}],"issued":{"date-parts":[["2020"]]}}}],"schema":"https://github.com/citation-style-language/schema/raw/master/csl-citation.json"} </w:instrText>
      </w:r>
      <w:r w:rsidR="00351098" w:rsidRPr="00C80DCF">
        <w:rPr>
          <w:rFonts w:ascii="Times New Roman" w:hAnsi="Times New Roman" w:cs="Times New Roman"/>
        </w:rPr>
        <w:fldChar w:fldCharType="separate"/>
      </w:r>
      <w:r w:rsidR="00D339AE" w:rsidRPr="00D339AE">
        <w:rPr>
          <w:rFonts w:ascii="Times New Roman" w:hAnsi="Times New Roman" w:cs="Times New Roman"/>
          <w:szCs w:val="24"/>
          <w:vertAlign w:val="superscript"/>
        </w:rPr>
        <w:t>29,33–44</w:t>
      </w:r>
      <w:r w:rsidR="00351098" w:rsidRPr="00C80DCF">
        <w:rPr>
          <w:rFonts w:ascii="Times New Roman" w:hAnsi="Times New Roman" w:cs="Times New Roman"/>
        </w:rPr>
        <w:fldChar w:fldCharType="end"/>
      </w:r>
      <w:r w:rsidR="00364522" w:rsidRPr="00C80DCF">
        <w:rPr>
          <w:rFonts w:ascii="Times New Roman" w:hAnsi="Times New Roman" w:cs="Times New Roman"/>
        </w:rPr>
        <w:t xml:space="preserve">. </w:t>
      </w:r>
      <w:r w:rsidR="0014673F" w:rsidRPr="00C80DCF">
        <w:rPr>
          <w:rFonts w:ascii="Times New Roman" w:hAnsi="Times New Roman" w:cs="Times New Roman"/>
        </w:rPr>
        <w:t>A case example</w:t>
      </w:r>
      <w:r w:rsidR="00B3210B" w:rsidRPr="00C80DCF">
        <w:rPr>
          <w:rFonts w:ascii="Times New Roman" w:hAnsi="Times New Roman" w:cs="Times New Roman"/>
        </w:rPr>
        <w:t xml:space="preserve"> of</w:t>
      </w:r>
      <w:r w:rsidR="0014673F" w:rsidRPr="00C80DCF">
        <w:rPr>
          <w:rFonts w:ascii="Times New Roman" w:hAnsi="Times New Roman" w:cs="Times New Roman"/>
        </w:rPr>
        <w:t xml:space="preserve"> </w:t>
      </w:r>
      <w:proofErr w:type="spellStart"/>
      <w:r w:rsidR="0014673F" w:rsidRPr="00C80DCF">
        <w:rPr>
          <w:rFonts w:ascii="Times New Roman" w:hAnsi="Times New Roman" w:cs="Times New Roman"/>
        </w:rPr>
        <w:t>agri</w:t>
      </w:r>
      <w:proofErr w:type="spellEnd"/>
      <w:r w:rsidR="0014673F" w:rsidRPr="00C80DCF">
        <w:rPr>
          <w:rFonts w:ascii="Times New Roman" w:hAnsi="Times New Roman" w:cs="Times New Roman"/>
        </w:rPr>
        <w:t>-aqua-food system symbiosis (</w:t>
      </w:r>
      <w:r w:rsidR="0014673F" w:rsidRPr="00C80DCF">
        <w:rPr>
          <w:rFonts w:ascii="Times New Roman" w:hAnsi="Times New Roman" w:cs="Times New Roman"/>
          <w:i/>
          <w:iCs/>
        </w:rPr>
        <w:t>i.e.,</w:t>
      </w:r>
      <w:r w:rsidR="0014673F" w:rsidRPr="00C80DCF">
        <w:rPr>
          <w:rFonts w:ascii="Times New Roman" w:hAnsi="Times New Roman" w:cs="Times New Roman"/>
        </w:rPr>
        <w:t xml:space="preserve"> CBF in aquaculture) is depicted in Fig 1.</w:t>
      </w:r>
      <w:r w:rsidR="0014673F" w:rsidRPr="00167E51">
        <w:rPr>
          <w:rFonts w:ascii="Times New Roman" w:hAnsi="Times New Roman" w:cs="Times New Roman"/>
          <w:color w:val="0070C0"/>
        </w:rPr>
        <w:t xml:space="preserve"> </w:t>
      </w:r>
      <w:r w:rsidR="00D5482E">
        <w:rPr>
          <w:rFonts w:ascii="Times New Roman" w:hAnsi="Times New Roman" w:cs="Times New Roman"/>
        </w:rPr>
        <w:t>Therefore, a</w:t>
      </w:r>
      <w:r w:rsidR="008816C2" w:rsidRPr="007E66EB">
        <w:rPr>
          <w:rFonts w:ascii="Times New Roman" w:hAnsi="Times New Roman" w:cs="Times New Roman"/>
        </w:rPr>
        <w:t xml:space="preserve">doption of this approach is expected to </w:t>
      </w:r>
      <w:r w:rsidR="000761CD" w:rsidRPr="007E66EB">
        <w:rPr>
          <w:rFonts w:ascii="Times New Roman" w:hAnsi="Times New Roman" w:cs="Times New Roman"/>
        </w:rPr>
        <w:t xml:space="preserve">simultaneously </w:t>
      </w:r>
      <w:r w:rsidR="008816C2" w:rsidRPr="007E66EB">
        <w:rPr>
          <w:rFonts w:ascii="Times New Roman" w:hAnsi="Times New Roman" w:cs="Times New Roman"/>
        </w:rPr>
        <w:t>address multiple issues at once: food security, managing natural resources sustainably, reducing dependencies on non-renewable resources, mitigating climate change, and creating jobs</w:t>
      </w:r>
      <w:r w:rsidR="00C5087A" w:rsidRPr="007E66EB">
        <w:rPr>
          <w:rFonts w:ascii="Times New Roman" w:hAnsi="Times New Roman" w:cs="Times New Roman"/>
        </w:rPr>
        <w:t xml:space="preserve"> </w:t>
      </w:r>
      <w:r w:rsidR="00C5087A" w:rsidRPr="007E66EB">
        <w:rPr>
          <w:rFonts w:ascii="Times New Roman" w:hAnsi="Times New Roman" w:cs="Times New Roman"/>
        </w:rPr>
        <w:fldChar w:fldCharType="begin"/>
      </w:r>
      <w:r w:rsidR="00686272">
        <w:rPr>
          <w:rFonts w:ascii="Times New Roman" w:hAnsi="Times New Roman" w:cs="Times New Roman"/>
        </w:rPr>
        <w:instrText xml:space="preserve"> ADDIN ZOTERO_ITEM CSL_CITATION {"citationID":"a2kjhmib916","properties":{"formattedCitation":"\\super 31,32\\nosupersub{}","plainCitation":"31,32","noteIndex":0},"citationItems":[{"id":991,"uris":["http://zotero.org/groups/4669668/items/DYW5HYWV"],"itemData":{"id":991,"type":"webpage","abstract":"What this area covers, aims of funding and intervention areas in Horizon Europe for the food and natural resources cluster of Horizon Europe.","container-title":"European Commission - European Commission","genre":"Text","language":"en","title":"Food, Bioeconomy, Natural Resources, Agriculture and Environment","title-short":"Cluster 6","URL":"https://ec.europa.eu/info/research-and-innovation/funding/funding-opportunities/funding-programmes-and-open-calls/horizon-europe/cluster-6-food-bioeconomy-natural-resources-agriculture-and-environment_en","author":[{"family":"Commission","given":"European"}],"accessed":{"date-parts":[["2022",4,27]]},"issued":{"date-parts":[["2019"]]}}},{"id":1067,"uris":["http://zotero.org/groups/4669668/items/4YYFSWLX"],"itemData":{"id":1067,"type":"book","publisher":"European Union Luxembourg","title":"Food 2030 pathways for action: research and innovation policy as a driver for sustainable, healthy, and inclusive food systems","author":[{"family":"Commission","given":"European"}],"issued":{"date-parts":[["2020"]]}}}],"schema":"https://github.com/citation-style-language/schema/raw/master/csl-citation.json"} </w:instrText>
      </w:r>
      <w:r w:rsidR="00C5087A" w:rsidRPr="007E66EB">
        <w:rPr>
          <w:rFonts w:ascii="Times New Roman" w:hAnsi="Times New Roman" w:cs="Times New Roman"/>
        </w:rPr>
        <w:fldChar w:fldCharType="separate"/>
      </w:r>
      <w:r w:rsidR="00686272" w:rsidRPr="00686272">
        <w:rPr>
          <w:rFonts w:ascii="Times New Roman" w:hAnsi="Times New Roman" w:cs="Times New Roman"/>
          <w:szCs w:val="24"/>
          <w:vertAlign w:val="superscript"/>
        </w:rPr>
        <w:t>31,32</w:t>
      </w:r>
      <w:r w:rsidR="00C5087A" w:rsidRPr="007E66EB">
        <w:rPr>
          <w:rFonts w:ascii="Times New Roman" w:hAnsi="Times New Roman" w:cs="Times New Roman"/>
        </w:rPr>
        <w:fldChar w:fldCharType="end"/>
      </w:r>
      <w:r w:rsidR="008816C2" w:rsidRPr="007E66EB">
        <w:rPr>
          <w:rFonts w:ascii="Times New Roman" w:hAnsi="Times New Roman" w:cs="Times New Roman"/>
        </w:rPr>
        <w:t xml:space="preserve">. </w:t>
      </w:r>
      <w:r w:rsidR="008816C2" w:rsidRPr="00156AA4">
        <w:rPr>
          <w:rFonts w:ascii="Times New Roman" w:hAnsi="Times New Roman" w:cs="Times New Roman"/>
        </w:rPr>
        <w:t xml:space="preserve">The definition </w:t>
      </w:r>
      <w:r w:rsidR="005010E4">
        <w:rPr>
          <w:rFonts w:ascii="Times New Roman" w:hAnsi="Times New Roman" w:cs="Times New Roman"/>
        </w:rPr>
        <w:t xml:space="preserve">and practice </w:t>
      </w:r>
      <w:r w:rsidR="008816C2" w:rsidRPr="00156AA4">
        <w:rPr>
          <w:rFonts w:ascii="Times New Roman" w:hAnsi="Times New Roman" w:cs="Times New Roman"/>
        </w:rPr>
        <w:t>of</w:t>
      </w:r>
      <w:r w:rsidR="005010E4">
        <w:rPr>
          <w:rFonts w:ascii="Times New Roman" w:hAnsi="Times New Roman" w:cs="Times New Roman"/>
        </w:rPr>
        <w:t xml:space="preserve"> the</w:t>
      </w:r>
      <w:r w:rsidR="008816C2" w:rsidRPr="00156AA4">
        <w:rPr>
          <w:rFonts w:ascii="Times New Roman" w:hAnsi="Times New Roman" w:cs="Times New Roman"/>
        </w:rPr>
        <w:t xml:space="preserve"> CBF is still evolving</w:t>
      </w:r>
      <w:r w:rsidR="007C0ED2" w:rsidRPr="00156AA4">
        <w:rPr>
          <w:rFonts w:ascii="Times New Roman" w:hAnsi="Times New Roman" w:cs="Times New Roman"/>
        </w:rPr>
        <w:t xml:space="preserve"> </w:t>
      </w:r>
      <w:r w:rsidR="00C5087A" w:rsidRPr="00156AA4">
        <w:rPr>
          <w:rFonts w:ascii="Times New Roman" w:hAnsi="Times New Roman" w:cs="Times New Roman"/>
        </w:rPr>
        <w:fldChar w:fldCharType="begin"/>
      </w:r>
      <w:r w:rsidR="00320474">
        <w:rPr>
          <w:rFonts w:ascii="Times New Roman" w:hAnsi="Times New Roman" w:cs="Times New Roman"/>
        </w:rPr>
        <w:instrText xml:space="preserve"> ADDIN ZOTERO_ITEM CSL_CITATION {"citationID":"a24rn4lp0oc","properties":{"formattedCitation":"\\super 30,34,45\\nosupersub{}","plainCitation":"30,34,45","noteIndex":0},"citationItems":[{"id":848,"uris":["http://zotero.org/groups/4669668/items/PRHNZHBG"],"itemData":{"id":848,"type":"article-journal","abstract":"Although it is not clear yet what a full-grown circular economy (CE) is going to look like, it is clear that the challenges of transitioning to a CE are both impressive and urgent. The Dutch government has expressed the ambition to establish a CE in the Netherlands in 2050. In the wake of this, the Dutch Ministry of Agriculture, Nature and Food Quality laid down a vision on circular agriculture (CA). A key question with respect to both CE and CA is if and to what extent this means business as unusual: How distinct is circular business from normal business operations? The ways in which the notions of CE and circular business models (CBMs) are often introduced suggest a big difference. However, closer scrutiny also reveals that in practice the impact of circularity is less obvious. Against the backdrop of such opposite observations, this paper examines how Dutch farmers perceive circularity and what implications this has for their production practices. Interviews (n = 13) with Dutch farmers show that circular business is adapted in normal business management by some and regarded as a genuine alternative to the conventional food system by others. By taking Dutch farmers as an example, this paper aims to contribute to our understanding of how CE is interpreted in small and medium enterprises (SMEs).","container-title":"Sustainability","DOI":"10.3390/su13031282","ISSN":"2071-1050","issue":"3","language":"en","license":"http://creativecommons.org/licenses/by/3.0/","note":"number: 3\npublisher: Multidisciplinary Digital Publishing Institute","page":"1282","source":"www.mdpi.com","title":"Circular Business Models and Circular Agriculture: Perceptions and Practices of Dutch Farmers","title-short":"Circular Business Models and Circular Agriculture","volume":"13","author":[{"family":"Dagevos","given":"Hans"},{"family":"Lauwere","given":"Carolien","dropping-particle":"de"}],"issued":{"date-parts":[["2021",1]]}}},{"id":847,"uris":["http://zotero.org/groups/4669668/items/2RU9NJLR"],"itemData":{"id":847,"type":"article-journal","abstract":"A circular, bio-based economy could provide the pathway to a sustainable future. Here we present five ecological principles to guide biomass use towards a circular bioeconomy: safeguarding and regenerating the health of our (agro)ecosystems; avoiding non-essential products and the waste of essential ones; prioritizing biomass streams for basic human needs; utilizing and recycling by-products of (agro)ecosystems; and using renewable energy while minimizing overall energy use. Implementing these principles calls for a transformation of our current economic system, including fundamental changes to policies, technologies, organizations, social behaviour and markets.","container-title":"Nature Food","DOI":"10.1038/s43016-021-00340-7","ISSN":"2662-1355","issue":"8","journalAbbreviation":"Nat Food","language":"en","license":"2021 Springer Nature Limited","note":"number: 8\npublisher: Nature Publishing Group","page":"561-566","source":"www.nature.com","title":"Principles, drivers and opportunities of a circular bioeconomy","volume":"2","author":[{"family":"Muscat","given":"Abigail"},{"family":"Olde","given":"Evelien M.","non-dropping-particle":"de"},{"family":"Ripoll-Bosch","given":"Raimon"},{"family":"Van Zanten","given":"Hannah H. E."},{"family":"Metze","given":"Tamara A. P."},{"family":"Termeer","given":"Catrien J. A. M."},{"family":"Ittersum","given":"Martin K.","non-dropping-particle":"van"},{"family":"Boer","given":"Imke J. M.","non-dropping-particle":"de"}],"issued":{"date-parts":[["2021",8]]}}},{"id":989,"uris":["http://zotero.org/groups/4669668/items/836P5PHM"],"itemData":{"id":989,"type":"webpage","container-title":"Review in Aquaculture","genre":"Wiley Online Library","language":"en","note":"ISSN: 1753-5131\nDOI: 10.1111/(ISSN)1753-5131","title":"Triggering circularity in aquaculture – an introductory virtual special issue","URL":"https://onlinelibrary.wiley.com/page/journal/17535131/homepage/circularity-in-aquaculture-introduction","author":[{"family":"Roy","given":"Koushik"},{"family":"Turkmen","given":"Serhat"},{"family":"Turchini","given":"Giovanni M."}],"accessed":{"date-parts":[["2022",4,23]]},"issued":{"date-parts":[["2021"]]}}}],"schema":"https://github.com/citation-style-language/schema/raw/master/csl-citation.json"} </w:instrText>
      </w:r>
      <w:r w:rsidR="00C5087A" w:rsidRPr="00156AA4">
        <w:rPr>
          <w:rFonts w:ascii="Times New Roman" w:hAnsi="Times New Roman" w:cs="Times New Roman"/>
        </w:rPr>
        <w:fldChar w:fldCharType="separate"/>
      </w:r>
      <w:r w:rsidR="00320474" w:rsidRPr="00320474">
        <w:rPr>
          <w:rFonts w:ascii="Times New Roman" w:hAnsi="Times New Roman" w:cs="Times New Roman"/>
          <w:szCs w:val="24"/>
          <w:vertAlign w:val="superscript"/>
        </w:rPr>
        <w:t>30,34,45</w:t>
      </w:r>
      <w:r w:rsidR="00C5087A" w:rsidRPr="00156AA4">
        <w:rPr>
          <w:rFonts w:ascii="Times New Roman" w:hAnsi="Times New Roman" w:cs="Times New Roman"/>
        </w:rPr>
        <w:fldChar w:fldCharType="end"/>
      </w:r>
      <w:r w:rsidR="008816C2" w:rsidRPr="00156AA4">
        <w:rPr>
          <w:rFonts w:ascii="Times New Roman" w:hAnsi="Times New Roman" w:cs="Times New Roman"/>
        </w:rPr>
        <w:t xml:space="preserve">. </w:t>
      </w:r>
    </w:p>
    <w:p w14:paraId="0F7AA6F1" w14:textId="7E9291E1" w:rsidR="00AF6135" w:rsidRPr="00465EBA" w:rsidRDefault="00822903" w:rsidP="00822903">
      <w:pPr>
        <w:spacing w:line="360" w:lineRule="auto"/>
        <w:contextualSpacing/>
        <w:jc w:val="both"/>
        <w:rPr>
          <w:rFonts w:ascii="Times New Roman" w:hAnsi="Times New Roman" w:cs="Times New Roman"/>
          <w:b/>
          <w:bCs/>
        </w:rPr>
      </w:pPr>
      <w:r w:rsidRPr="00465EBA">
        <w:rPr>
          <w:rFonts w:ascii="Times New Roman" w:hAnsi="Times New Roman" w:cs="Times New Roman"/>
          <w:b/>
          <w:bCs/>
        </w:rPr>
        <w:lastRenderedPageBreak/>
        <w:t>History of circularity in aquafeeds</w:t>
      </w:r>
    </w:p>
    <w:p w14:paraId="6A029C14" w14:textId="25A67BD8" w:rsidR="004E5448" w:rsidRPr="00C80DCF" w:rsidRDefault="00457DE4" w:rsidP="004E5448">
      <w:pPr>
        <w:spacing w:line="360" w:lineRule="auto"/>
        <w:ind w:firstLine="720"/>
        <w:contextualSpacing/>
        <w:jc w:val="both"/>
        <w:rPr>
          <w:rFonts w:ascii="Times New Roman" w:hAnsi="Times New Roman" w:cs="Times New Roman"/>
          <w:lang w:val="en-GB"/>
        </w:rPr>
      </w:pPr>
      <w:r w:rsidRPr="00C80DCF">
        <w:rPr>
          <w:rFonts w:ascii="Times New Roman" w:hAnsi="Times New Roman" w:cs="Times New Roman"/>
        </w:rPr>
        <w:t>The idea of circularity in aquafeeds has been practiced for decades</w:t>
      </w:r>
      <w:r w:rsidR="00CD13BE" w:rsidRPr="00C80DCF">
        <w:rPr>
          <w:rFonts w:ascii="Times New Roman" w:hAnsi="Times New Roman" w:cs="Times New Roman"/>
        </w:rPr>
        <w:t>,</w:t>
      </w:r>
      <w:r w:rsidRPr="00C80DCF">
        <w:rPr>
          <w:rFonts w:ascii="Times New Roman" w:hAnsi="Times New Roman" w:cs="Times New Roman"/>
        </w:rPr>
        <w:t xml:space="preserve"> with using by-products or non-consumed (by human) biomasses of animal and plant origin</w:t>
      </w:r>
      <w:r w:rsidR="00BD40D6" w:rsidRPr="00C80DCF">
        <w:rPr>
          <w:rFonts w:ascii="Times New Roman" w:hAnsi="Times New Roman" w:cs="Times New Roman"/>
        </w:rPr>
        <w:fldChar w:fldCharType="begin"/>
      </w:r>
      <w:r w:rsidR="00A03A0B">
        <w:rPr>
          <w:rFonts w:ascii="Times New Roman" w:hAnsi="Times New Roman" w:cs="Times New Roman"/>
        </w:rPr>
        <w:instrText xml:space="preserve"> ADDIN ZOTERO_ITEM CSL_CITATION {"citationID":"a2svevnqkg","properties":{"formattedCitation":"\\super 46,47\\nosupersub{}","plainCitation":"46,47","noteIndex":0},"citationItems":[{"id":1770,"uris":["http://zotero.org/users/9431846/items/3N6K74MQ"],"itemData":{"id":1770,"type":"article-journal","container-title":"Aquafeed: Advances in Processing &amp; Formulation","issue":"2","page":"39-43","title":"Development of aquafeeds: Reflections and future perspectives I. The foundational years: 1940-1979","volume":"14","author":[{"family":"D'Abramo","given":"Louis R."},{"family":"Zeigler","given":"Thomas R."}],"issued":{"date-parts":[["2022"]]}}},{"id":839,"uris":["http://zotero.org/groups/4669668/items/ZJI3F7PK"],"itemData":{"id":839,"type":"article-journal","abstract":"Global production of farmed fish and shellfish has more than doubled in the past 15 years. Many people believe that such growth relieves pressure on ocean fisheries, but the opposite is true for some types of aquaculture. Farming carnivorous species requires large inputs of wild fish for feed. Some aquaculture systems also reduce wild fish supplies through habitat modification, wild seedstock collection and other ecological impacts. On balance, global aquaculture production still adds to world fish supplies; however, if the growing aquaculture industry is to sustain its contribution to world fish supplies, it must reduce wild fish inputs in feed and adopt more ecologically sound management practices.","container-title":"Nature","DOI":"10.1038/35016500","ISSN":"1476-4687","issue":"6790","language":"en","license":"2000 Macmillan Magazines Ltd.","note":"number: 6790\npublisher: Nature Publishing Group","page":"1017-1024","source":"www.nature.com","title":"Effect of aquaculture on world fish supplies","volume":"405","author":[{"family":"Naylor","given":"Rosamond L."},{"family":"Goldburg","given":"Rebecca J."},{"family":"Primavera","given":"Jurgenne H."},{"family":"Kautsky","given":"Nils"},{"family":"Beveridge","given":"Malcolm C. M."},{"family":"Clay","given":"Jason"},{"family":"Folke","given":"Carl"},{"family":"Lubchenco","given":"Jane"},{"family":"Mooney","given":"Harold"},{"family":"Troell","given":"Max"}],"issued":{"date-parts":[["2000",6]]}}}],"schema":"https://github.com/citation-style-language/schema/raw/master/csl-citation.json"} </w:instrText>
      </w:r>
      <w:r w:rsidR="00BD40D6" w:rsidRPr="00C80DCF">
        <w:rPr>
          <w:rFonts w:ascii="Times New Roman" w:hAnsi="Times New Roman" w:cs="Times New Roman"/>
        </w:rPr>
        <w:fldChar w:fldCharType="separate"/>
      </w:r>
      <w:r w:rsidR="00A03A0B" w:rsidRPr="00A03A0B">
        <w:rPr>
          <w:rFonts w:ascii="Times New Roman" w:hAnsi="Times New Roman" w:cs="Times New Roman"/>
          <w:szCs w:val="24"/>
          <w:vertAlign w:val="superscript"/>
        </w:rPr>
        <w:t>46,47</w:t>
      </w:r>
      <w:r w:rsidR="00BD40D6" w:rsidRPr="00C80DCF">
        <w:rPr>
          <w:rFonts w:ascii="Times New Roman" w:hAnsi="Times New Roman" w:cs="Times New Roman"/>
        </w:rPr>
        <w:fldChar w:fldCharType="end"/>
      </w:r>
      <w:r w:rsidRPr="00C80DCF">
        <w:rPr>
          <w:rFonts w:ascii="Times New Roman" w:hAnsi="Times New Roman" w:cs="Times New Roman"/>
        </w:rPr>
        <w:t>.</w:t>
      </w:r>
      <w:r w:rsidR="00CD13BE" w:rsidRPr="00C80DCF">
        <w:rPr>
          <w:rFonts w:ascii="Times New Roman" w:hAnsi="Times New Roman" w:cs="Times New Roman"/>
        </w:rPr>
        <w:t xml:space="preserve"> </w:t>
      </w:r>
      <w:r w:rsidR="00016950" w:rsidRPr="00C80DCF">
        <w:rPr>
          <w:rFonts w:ascii="Times New Roman" w:hAnsi="Times New Roman" w:cs="Times New Roman"/>
        </w:rPr>
        <w:t>As animal production</w:t>
      </w:r>
      <w:r w:rsidR="005010E4" w:rsidRPr="00C80DCF">
        <w:rPr>
          <w:rFonts w:ascii="Times New Roman" w:hAnsi="Times New Roman" w:cs="Times New Roman"/>
        </w:rPr>
        <w:t>,</w:t>
      </w:r>
      <w:r w:rsidR="00016950" w:rsidRPr="00C80DCF">
        <w:rPr>
          <w:rFonts w:ascii="Times New Roman" w:hAnsi="Times New Roman" w:cs="Times New Roman"/>
        </w:rPr>
        <w:t xml:space="preserve"> including aquaculture</w:t>
      </w:r>
      <w:r w:rsidR="005010E4" w:rsidRPr="00C80DCF">
        <w:rPr>
          <w:rFonts w:ascii="Times New Roman" w:hAnsi="Times New Roman" w:cs="Times New Roman"/>
        </w:rPr>
        <w:t>,</w:t>
      </w:r>
      <w:r w:rsidR="00016950" w:rsidRPr="00C80DCF">
        <w:rPr>
          <w:rFonts w:ascii="Times New Roman" w:hAnsi="Times New Roman" w:cs="Times New Roman"/>
        </w:rPr>
        <w:t xml:space="preserve"> intensified within an equally evolving regulatory system (e.g., legislations of animal welfare, food safety or environmental regulations), many of the by-products became highly competitive (e.g., oilseed cakes) while some by-products were partly restricted (e.g., animal rendering by-products).</w:t>
      </w:r>
      <w:r w:rsidR="00C10E4E" w:rsidRPr="00C80DCF">
        <w:rPr>
          <w:rFonts w:ascii="Times New Roman" w:hAnsi="Times New Roman" w:cs="Times New Roman"/>
        </w:rPr>
        <w:t xml:space="preserve"> </w:t>
      </w:r>
      <w:r w:rsidR="0044384F" w:rsidRPr="00C80DCF">
        <w:rPr>
          <w:rFonts w:ascii="Times New Roman" w:hAnsi="Times New Roman" w:cs="Times New Roman"/>
        </w:rPr>
        <w:t xml:space="preserve">Most by-products are of crude quality, so they must be processed </w:t>
      </w:r>
      <w:r w:rsidR="00ED0852" w:rsidRPr="00C80DCF">
        <w:rPr>
          <w:rFonts w:ascii="Times New Roman" w:hAnsi="Times New Roman" w:cs="Times New Roman"/>
        </w:rPr>
        <w:t xml:space="preserve">and </w:t>
      </w:r>
      <w:r w:rsidR="0044384F" w:rsidRPr="00C80DCF">
        <w:rPr>
          <w:rFonts w:ascii="Times New Roman" w:hAnsi="Times New Roman" w:cs="Times New Roman"/>
        </w:rPr>
        <w:t>refined before inclusion in aquafeed</w:t>
      </w:r>
      <w:r w:rsidR="00ED0852" w:rsidRPr="00C80DCF">
        <w:rPr>
          <w:rFonts w:ascii="Times New Roman" w:hAnsi="Times New Roman" w:cs="Times New Roman"/>
        </w:rPr>
        <w:t>s</w:t>
      </w:r>
      <w:r w:rsidR="0044384F" w:rsidRPr="00C80DCF">
        <w:rPr>
          <w:rFonts w:ascii="Times New Roman" w:hAnsi="Times New Roman" w:cs="Times New Roman"/>
        </w:rPr>
        <w:t xml:space="preserve"> </w:t>
      </w:r>
      <w:proofErr w:type="gramStart"/>
      <w:r w:rsidR="000B02A4" w:rsidRPr="00C80DCF">
        <w:rPr>
          <w:rFonts w:ascii="Times New Roman" w:hAnsi="Times New Roman" w:cs="Times New Roman"/>
        </w:rPr>
        <w:t>For</w:t>
      </w:r>
      <w:proofErr w:type="gramEnd"/>
      <w:r w:rsidR="000B02A4" w:rsidRPr="00C80DCF">
        <w:rPr>
          <w:rFonts w:ascii="Times New Roman" w:hAnsi="Times New Roman" w:cs="Times New Roman"/>
        </w:rPr>
        <w:t xml:space="preserve"> ‘semi-intensive’ pond fish farming at lower trophic levels, less refined circular ingredients of plant-origin </w:t>
      </w:r>
      <w:r w:rsidR="00ED0852" w:rsidRPr="00C80DCF">
        <w:rPr>
          <w:rFonts w:ascii="Times New Roman" w:hAnsi="Times New Roman" w:cs="Times New Roman"/>
        </w:rPr>
        <w:t>can</w:t>
      </w:r>
      <w:r w:rsidR="000B02A4" w:rsidRPr="00C80DCF">
        <w:rPr>
          <w:rFonts w:ascii="Times New Roman" w:hAnsi="Times New Roman" w:cs="Times New Roman"/>
        </w:rPr>
        <w:t xml:space="preserve"> be used directly to complement and supplement natural food </w:t>
      </w:r>
      <w:r w:rsidR="00AE62B1" w:rsidRPr="00C80DCF">
        <w:rPr>
          <w:rFonts w:ascii="Times New Roman" w:hAnsi="Times New Roman" w:cs="Times New Roman"/>
        </w:rPr>
        <w:t>availability</w:t>
      </w:r>
      <w:r w:rsidR="000B02A4" w:rsidRPr="00C80DCF">
        <w:rPr>
          <w:rFonts w:ascii="Times New Roman" w:hAnsi="Times New Roman" w:cs="Times New Roman"/>
        </w:rPr>
        <w:t xml:space="preserve"> </w:t>
      </w:r>
      <w:r w:rsidR="00C10E4E" w:rsidRPr="00C80DCF">
        <w:rPr>
          <w:rFonts w:ascii="Times New Roman" w:hAnsi="Times New Roman" w:cs="Times New Roman"/>
          <w:lang w:val="en-GB"/>
        </w:rPr>
        <w:t xml:space="preserve">(e.g., ponds culturing carp, tilapia, or catfish). Less refined by-products </w:t>
      </w:r>
      <w:r w:rsidR="00AE62B1" w:rsidRPr="00C80DCF">
        <w:rPr>
          <w:rFonts w:ascii="Times New Roman" w:hAnsi="Times New Roman" w:cs="Times New Roman"/>
          <w:lang w:val="en-GB"/>
        </w:rPr>
        <w:t>can</w:t>
      </w:r>
      <w:r w:rsidR="00C10E4E" w:rsidRPr="00C80DCF">
        <w:rPr>
          <w:rFonts w:ascii="Times New Roman" w:hAnsi="Times New Roman" w:cs="Times New Roman"/>
          <w:lang w:val="en-GB"/>
        </w:rPr>
        <w:t xml:space="preserve"> be fed to ponds</w:t>
      </w:r>
      <w:r w:rsidR="00946B4D">
        <w:rPr>
          <w:rFonts w:ascii="Times New Roman" w:hAnsi="Times New Roman" w:cs="Times New Roman"/>
          <w:lang w:val="en-GB"/>
        </w:rPr>
        <w:t>, and</w:t>
      </w:r>
      <w:r w:rsidR="00C10E4E" w:rsidRPr="00C80DCF">
        <w:rPr>
          <w:rFonts w:ascii="Times New Roman" w:hAnsi="Times New Roman" w:cs="Times New Roman"/>
          <w:lang w:val="en-GB"/>
        </w:rPr>
        <w:t xml:space="preserve"> the wasted nutrients or uneaten feed can be upcycled to farmed fish biomass through improved productivity of </w:t>
      </w:r>
      <w:r w:rsidR="00FD7E86">
        <w:rPr>
          <w:rFonts w:ascii="Times New Roman" w:hAnsi="Times New Roman" w:cs="Times New Roman"/>
          <w:lang w:val="en-GB"/>
        </w:rPr>
        <w:t xml:space="preserve">the </w:t>
      </w:r>
      <w:r w:rsidR="00C10E4E" w:rsidRPr="00C80DCF">
        <w:rPr>
          <w:rFonts w:ascii="Times New Roman" w:hAnsi="Times New Roman" w:cs="Times New Roman"/>
          <w:lang w:val="en-GB"/>
        </w:rPr>
        <w:t>pond</w:t>
      </w:r>
      <w:r w:rsidR="00FD7E86">
        <w:rPr>
          <w:rFonts w:ascii="Times New Roman" w:hAnsi="Times New Roman" w:cs="Times New Roman"/>
          <w:lang w:val="en-GB"/>
        </w:rPr>
        <w:t>’s</w:t>
      </w:r>
      <w:r w:rsidR="00C10E4E" w:rsidRPr="00C80DCF">
        <w:rPr>
          <w:rFonts w:ascii="Times New Roman" w:hAnsi="Times New Roman" w:cs="Times New Roman"/>
          <w:lang w:val="en-GB"/>
        </w:rPr>
        <w:t xml:space="preserve"> food web (zooplankton, zoobenthos, algae)</w:t>
      </w:r>
      <w:r w:rsidR="00671A09" w:rsidRPr="00C80DCF">
        <w:rPr>
          <w:rFonts w:ascii="Times New Roman" w:hAnsi="Times New Roman" w:cs="Times New Roman"/>
          <w:lang w:val="en-GB"/>
        </w:rPr>
        <w:fldChar w:fldCharType="begin"/>
      </w:r>
      <w:r w:rsidR="00A41750">
        <w:rPr>
          <w:rFonts w:ascii="Times New Roman" w:hAnsi="Times New Roman" w:cs="Times New Roman"/>
          <w:lang w:val="en-GB"/>
        </w:rPr>
        <w:instrText xml:space="preserve"> ADDIN ZOTERO_ITEM CSL_CITATION {"citationID":"aj2r55orad","properties":{"formattedCitation":"\\super 48,49\\nosupersub{}","plainCitation":"48,49","noteIndex":0},"citationItems":[{"id":1752,"uris":["http://zotero.org/users/9431846/items/UMURAKF4"],"itemData":{"id":1752,"type":"article-journal","container-title":"Aquaculture","ISSN":"0044-8486","page":"235-242","title":"Effect of dietary protein to energy ratio on performance of nile tilapia and food web enhancement in semi-intensive pond aquaculture","volume":"499","author":[{"family":"Kabir","given":"K. A."},{"family":"Schrama","given":"J. W."},{"family":"Verreth","given":"J. A. J."},{"family":"Phillips","given":"M. J."},{"family":"Verdegem","given":"M. C. J."}],"issued":{"date-parts":[["2019"]]}}},{"id":1637,"uris":["http://zotero.org/users/9431846/items/JWC3K5LM"],"itemData":{"id":1637,"type":"article-journal","container-title":"Aquaculture","DOI":"10.1016/j.aquaculture.2020.735506","ISSN":"00448486","journalAbbreviation":"Aquaculture","language":"en","page":"735506","source":"DOI.org (Crossref)","title":"Dietary non-starch polysaccharides influenced natural food web and fish production in semi-intensive pond culture of Nile tilapia","volume":"528","author":[{"family":"Kabir","given":"K.A."},{"family":"Verdegem","given":"M.C.J."},{"family":"Verreth","given":"J.A.J."},{"family":"Phillips","given":"M.J."},{"family":"Schrama","given":"J.W."}],"issued":{"date-parts":[["2020",11]]}}}],"schema":"https://github.com/citation-style-language/schema/raw/master/csl-citation.json"} </w:instrText>
      </w:r>
      <w:r w:rsidR="00671A09" w:rsidRPr="00C80DCF">
        <w:rPr>
          <w:rFonts w:ascii="Times New Roman" w:hAnsi="Times New Roman" w:cs="Times New Roman"/>
          <w:lang w:val="en-GB"/>
        </w:rPr>
        <w:fldChar w:fldCharType="separate"/>
      </w:r>
      <w:r w:rsidR="00A41750" w:rsidRPr="00A41750">
        <w:rPr>
          <w:rFonts w:ascii="Times New Roman" w:hAnsi="Times New Roman" w:cs="Times New Roman"/>
          <w:szCs w:val="24"/>
          <w:vertAlign w:val="superscript"/>
        </w:rPr>
        <w:t>48,49</w:t>
      </w:r>
      <w:r w:rsidR="00671A09" w:rsidRPr="00C80DCF">
        <w:rPr>
          <w:rFonts w:ascii="Times New Roman" w:hAnsi="Times New Roman" w:cs="Times New Roman"/>
          <w:lang w:val="en-GB"/>
        </w:rPr>
        <w:fldChar w:fldCharType="end"/>
      </w:r>
      <w:r w:rsidR="00C10E4E" w:rsidRPr="00C80DCF">
        <w:rPr>
          <w:rFonts w:ascii="Times New Roman" w:hAnsi="Times New Roman" w:cs="Times New Roman"/>
          <w:lang w:val="en-GB"/>
        </w:rPr>
        <w:t xml:space="preserve">. </w:t>
      </w:r>
      <w:r w:rsidR="009F6D4B" w:rsidRPr="00C80DCF">
        <w:rPr>
          <w:rFonts w:ascii="Times New Roman" w:hAnsi="Times New Roman" w:cs="Times New Roman"/>
          <w:lang w:val="en-GB"/>
        </w:rPr>
        <w:t xml:space="preserve">This practice has been </w:t>
      </w:r>
      <w:r w:rsidR="00EF4284">
        <w:rPr>
          <w:rFonts w:ascii="Times New Roman" w:hAnsi="Times New Roman" w:cs="Times New Roman"/>
          <w:lang w:val="en-GB"/>
        </w:rPr>
        <w:t>undertaken</w:t>
      </w:r>
      <w:r w:rsidR="009F6D4B" w:rsidRPr="00C80DCF">
        <w:rPr>
          <w:rFonts w:ascii="Times New Roman" w:hAnsi="Times New Roman" w:cs="Times New Roman"/>
          <w:lang w:val="en-GB"/>
        </w:rPr>
        <w:t xml:space="preserve"> for decades in pond systems. </w:t>
      </w:r>
      <w:r w:rsidR="00C10E4E" w:rsidRPr="00C80DCF">
        <w:rPr>
          <w:rFonts w:ascii="Times New Roman" w:hAnsi="Times New Roman" w:cs="Times New Roman"/>
          <w:lang w:val="en-GB"/>
        </w:rPr>
        <w:t xml:space="preserve">On the other hand, </w:t>
      </w:r>
      <w:r w:rsidR="009F6D4B" w:rsidRPr="00C80DCF">
        <w:rPr>
          <w:rFonts w:ascii="Times New Roman" w:hAnsi="Times New Roman" w:cs="Times New Roman"/>
          <w:lang w:val="en-GB"/>
        </w:rPr>
        <w:t xml:space="preserve">in intensive systems, such as recirculating aquaculture systems, </w:t>
      </w:r>
      <w:r w:rsidR="00C10E4E" w:rsidRPr="00C80DCF">
        <w:rPr>
          <w:rFonts w:ascii="Times New Roman" w:hAnsi="Times New Roman" w:cs="Times New Roman"/>
          <w:lang w:val="en-GB"/>
        </w:rPr>
        <w:t xml:space="preserve">only refined and high-quality by-products, </w:t>
      </w:r>
      <w:r w:rsidR="00E324CF" w:rsidRPr="00C80DCF">
        <w:rPr>
          <w:rFonts w:ascii="Times New Roman" w:hAnsi="Times New Roman" w:cs="Times New Roman"/>
          <w:lang w:val="en-GB"/>
        </w:rPr>
        <w:t xml:space="preserve">often </w:t>
      </w:r>
      <w:r w:rsidR="00C10E4E" w:rsidRPr="00C80DCF">
        <w:rPr>
          <w:rFonts w:ascii="Times New Roman" w:hAnsi="Times New Roman" w:cs="Times New Roman"/>
          <w:lang w:val="en-GB"/>
        </w:rPr>
        <w:t xml:space="preserve">with higher cumulative energy consumption and environmental footprint, can </w:t>
      </w:r>
      <w:r w:rsidR="00965FE4" w:rsidRPr="00C80DCF">
        <w:rPr>
          <w:rFonts w:ascii="Times New Roman" w:hAnsi="Times New Roman" w:cs="Times New Roman"/>
          <w:lang w:val="en-GB"/>
        </w:rPr>
        <w:t>be used</w:t>
      </w:r>
      <w:r w:rsidR="00C10E4E" w:rsidRPr="00C80DCF">
        <w:rPr>
          <w:rFonts w:ascii="Times New Roman" w:hAnsi="Times New Roman" w:cs="Times New Roman"/>
          <w:lang w:val="en-GB"/>
        </w:rPr>
        <w:t>.</w:t>
      </w:r>
      <w:r w:rsidR="004E5448" w:rsidRPr="00C80DCF">
        <w:rPr>
          <w:rFonts w:ascii="Times New Roman" w:hAnsi="Times New Roman" w:cs="Times New Roman"/>
          <w:lang w:val="en-GB"/>
        </w:rPr>
        <w:t xml:space="preserve"> </w:t>
      </w:r>
      <w:r w:rsidR="00965FE4" w:rsidRPr="00C80DCF">
        <w:rPr>
          <w:rFonts w:ascii="Times New Roman" w:hAnsi="Times New Roman" w:cs="Times New Roman"/>
          <w:lang w:val="en-GB"/>
        </w:rPr>
        <w:t>Traditional, yet effectiv</w:t>
      </w:r>
      <w:r w:rsidR="00F96E7C" w:rsidRPr="00C80DCF">
        <w:rPr>
          <w:rFonts w:ascii="Times New Roman" w:hAnsi="Times New Roman" w:cs="Times New Roman"/>
          <w:lang w:val="en-GB"/>
        </w:rPr>
        <w:t>ely</w:t>
      </w:r>
      <w:r w:rsidR="00965FE4" w:rsidRPr="00C80DCF">
        <w:rPr>
          <w:rFonts w:ascii="Times New Roman" w:hAnsi="Times New Roman" w:cs="Times New Roman"/>
          <w:lang w:val="en-GB"/>
        </w:rPr>
        <w:t>, f</w:t>
      </w:r>
      <w:r w:rsidR="004E5448" w:rsidRPr="00C80DCF">
        <w:rPr>
          <w:rFonts w:ascii="Times New Roman" w:hAnsi="Times New Roman" w:cs="Times New Roman"/>
          <w:lang w:val="en-GB"/>
        </w:rPr>
        <w:t>arm</w:t>
      </w:r>
      <w:r w:rsidR="00F96E7C" w:rsidRPr="00C80DCF">
        <w:rPr>
          <w:rFonts w:ascii="Times New Roman" w:hAnsi="Times New Roman" w:cs="Times New Roman"/>
          <w:lang w:val="en-GB"/>
        </w:rPr>
        <w:t>-</w:t>
      </w:r>
      <w:r w:rsidR="004E5448" w:rsidRPr="00C80DCF">
        <w:rPr>
          <w:rFonts w:ascii="Times New Roman" w:hAnsi="Times New Roman" w:cs="Times New Roman"/>
          <w:lang w:val="en-GB"/>
        </w:rPr>
        <w:t xml:space="preserve">made feeds </w:t>
      </w:r>
      <w:r w:rsidR="00E324CF" w:rsidRPr="00C80DCF">
        <w:rPr>
          <w:rFonts w:ascii="Times New Roman" w:hAnsi="Times New Roman" w:cs="Times New Roman"/>
          <w:lang w:val="en-GB"/>
        </w:rPr>
        <w:t>can</w:t>
      </w:r>
      <w:r w:rsidR="00A32183" w:rsidRPr="00C80DCF">
        <w:rPr>
          <w:rFonts w:ascii="Times New Roman" w:hAnsi="Times New Roman" w:cs="Times New Roman"/>
          <w:lang w:val="en-GB"/>
        </w:rPr>
        <w:t xml:space="preserve"> more easily achieve CBF in production in pond systems; however, many </w:t>
      </w:r>
      <w:r w:rsidR="007B1827" w:rsidRPr="00C80DCF">
        <w:rPr>
          <w:rFonts w:ascii="Times New Roman" w:hAnsi="Times New Roman" w:cs="Times New Roman"/>
          <w:lang w:val="en-GB"/>
        </w:rPr>
        <w:t>are not</w:t>
      </w:r>
      <w:r w:rsidR="00A32183" w:rsidRPr="00C80DCF">
        <w:rPr>
          <w:rFonts w:ascii="Times New Roman" w:hAnsi="Times New Roman" w:cs="Times New Roman"/>
          <w:lang w:val="en-GB"/>
        </w:rPr>
        <w:t xml:space="preserve"> as practical in </w:t>
      </w:r>
      <w:r w:rsidR="006F781C" w:rsidRPr="00C80DCF">
        <w:rPr>
          <w:rFonts w:ascii="Times New Roman" w:hAnsi="Times New Roman" w:cs="Times New Roman"/>
          <w:lang w:val="en-GB"/>
        </w:rPr>
        <w:t xml:space="preserve">other systems. </w:t>
      </w:r>
      <w:r w:rsidR="00937BD3" w:rsidRPr="00C80DCF">
        <w:rPr>
          <w:rFonts w:ascii="Times New Roman" w:hAnsi="Times New Roman" w:cs="Times New Roman"/>
          <w:lang w:val="en-GB"/>
        </w:rPr>
        <w:t>Applying the</w:t>
      </w:r>
      <w:r w:rsidR="004E5448" w:rsidRPr="00C80DCF">
        <w:rPr>
          <w:rFonts w:ascii="Times New Roman" w:hAnsi="Times New Roman" w:cs="Times New Roman"/>
          <w:lang w:val="en-GB"/>
        </w:rPr>
        <w:t xml:space="preserve"> CBF in aquafeed</w:t>
      </w:r>
      <w:r w:rsidR="00937BD3" w:rsidRPr="00C80DCF">
        <w:rPr>
          <w:rFonts w:ascii="Times New Roman" w:hAnsi="Times New Roman" w:cs="Times New Roman"/>
          <w:lang w:val="en-GB"/>
        </w:rPr>
        <w:t>s (considering various systems for fed finfish spec</w:t>
      </w:r>
      <w:r w:rsidR="007B1827" w:rsidRPr="00C80DCF">
        <w:rPr>
          <w:rFonts w:ascii="Times New Roman" w:hAnsi="Times New Roman" w:cs="Times New Roman"/>
          <w:lang w:val="en-GB"/>
        </w:rPr>
        <w:t>ies)</w:t>
      </w:r>
      <w:r w:rsidR="00E324CF" w:rsidRPr="00C80DCF">
        <w:rPr>
          <w:rFonts w:ascii="Times New Roman" w:hAnsi="Times New Roman" w:cs="Times New Roman"/>
          <w:lang w:val="en-GB"/>
        </w:rPr>
        <w:t xml:space="preserve"> will</w:t>
      </w:r>
      <w:r w:rsidR="007B1827" w:rsidRPr="00C80DCF">
        <w:rPr>
          <w:rFonts w:ascii="Times New Roman" w:hAnsi="Times New Roman" w:cs="Times New Roman"/>
          <w:lang w:val="en-GB"/>
        </w:rPr>
        <w:t xml:space="preserve"> require </w:t>
      </w:r>
      <w:r w:rsidR="00E324CF" w:rsidRPr="00C80DCF">
        <w:rPr>
          <w:rFonts w:ascii="Times New Roman" w:hAnsi="Times New Roman" w:cs="Times New Roman"/>
          <w:lang w:val="en-GB"/>
        </w:rPr>
        <w:t xml:space="preserve">such </w:t>
      </w:r>
      <w:r w:rsidR="007B1827" w:rsidRPr="00C80DCF">
        <w:rPr>
          <w:rFonts w:ascii="Times New Roman" w:hAnsi="Times New Roman" w:cs="Times New Roman"/>
          <w:lang w:val="en-GB"/>
        </w:rPr>
        <w:t>consideration</w:t>
      </w:r>
      <w:r w:rsidR="00E324CF" w:rsidRPr="00C80DCF">
        <w:rPr>
          <w:rFonts w:ascii="Times New Roman" w:hAnsi="Times New Roman" w:cs="Times New Roman"/>
          <w:lang w:val="en-GB"/>
        </w:rPr>
        <w:t>s</w:t>
      </w:r>
      <w:r w:rsidR="007B1827" w:rsidRPr="00C80DCF">
        <w:rPr>
          <w:rFonts w:ascii="Times New Roman" w:hAnsi="Times New Roman" w:cs="Times New Roman"/>
          <w:lang w:val="en-GB"/>
        </w:rPr>
        <w:t xml:space="preserve">. </w:t>
      </w:r>
    </w:p>
    <w:p w14:paraId="3AFDDDEA" w14:textId="363326AD" w:rsidR="008816C2" w:rsidRPr="00FB7686" w:rsidRDefault="008816C2" w:rsidP="00522623">
      <w:pPr>
        <w:spacing w:line="360" w:lineRule="auto"/>
        <w:contextualSpacing/>
        <w:jc w:val="both"/>
        <w:rPr>
          <w:rFonts w:ascii="Times New Roman" w:hAnsi="Times New Roman" w:cs="Times New Roman"/>
          <w:b/>
          <w:bCs/>
        </w:rPr>
      </w:pPr>
      <w:r w:rsidRPr="00FB7686">
        <w:rPr>
          <w:rFonts w:ascii="Times New Roman" w:hAnsi="Times New Roman" w:cs="Times New Roman"/>
          <w:b/>
          <w:bCs/>
        </w:rPr>
        <w:t xml:space="preserve">Need </w:t>
      </w:r>
      <w:r w:rsidR="003F6F39">
        <w:rPr>
          <w:rFonts w:ascii="Times New Roman" w:hAnsi="Times New Roman" w:cs="Times New Roman"/>
          <w:b/>
          <w:bCs/>
        </w:rPr>
        <w:t>for</w:t>
      </w:r>
      <w:r w:rsidRPr="00FB7686">
        <w:rPr>
          <w:rFonts w:ascii="Times New Roman" w:hAnsi="Times New Roman" w:cs="Times New Roman"/>
          <w:b/>
          <w:bCs/>
        </w:rPr>
        <w:t xml:space="preserve"> CBF in </w:t>
      </w:r>
      <w:r w:rsidR="00AF6135">
        <w:rPr>
          <w:rFonts w:ascii="Times New Roman" w:hAnsi="Times New Roman" w:cs="Times New Roman"/>
          <w:b/>
          <w:bCs/>
        </w:rPr>
        <w:t xml:space="preserve">modern </w:t>
      </w:r>
      <w:r w:rsidR="00701B47">
        <w:rPr>
          <w:rFonts w:ascii="Times New Roman" w:hAnsi="Times New Roman" w:cs="Times New Roman"/>
          <w:b/>
          <w:bCs/>
        </w:rPr>
        <w:t>aquafeeds</w:t>
      </w:r>
      <w:r w:rsidR="00701B47" w:rsidRPr="00FB7686">
        <w:rPr>
          <w:rFonts w:ascii="Times New Roman" w:hAnsi="Times New Roman" w:cs="Times New Roman"/>
          <w:b/>
          <w:bCs/>
        </w:rPr>
        <w:t xml:space="preserve"> </w:t>
      </w:r>
    </w:p>
    <w:p w14:paraId="3837320D" w14:textId="57ED83FF" w:rsidR="008816C2" w:rsidRPr="00CE700E" w:rsidRDefault="008816C2" w:rsidP="00522623">
      <w:pPr>
        <w:spacing w:line="360" w:lineRule="auto"/>
        <w:ind w:firstLine="720"/>
        <w:contextualSpacing/>
        <w:jc w:val="both"/>
        <w:rPr>
          <w:rFonts w:ascii="Times New Roman" w:hAnsi="Times New Roman" w:cs="Times New Roman"/>
        </w:rPr>
      </w:pPr>
      <w:r w:rsidRPr="00CE700E">
        <w:rPr>
          <w:rFonts w:ascii="Times New Roman" w:hAnsi="Times New Roman" w:cs="Times New Roman"/>
        </w:rPr>
        <w:t xml:space="preserve">Conclusions from most </w:t>
      </w:r>
      <w:r w:rsidR="003F6F39" w:rsidRPr="00CE700E">
        <w:rPr>
          <w:rFonts w:ascii="Times New Roman" w:hAnsi="Times New Roman" w:cs="Times New Roman"/>
        </w:rPr>
        <w:t>LCAs</w:t>
      </w:r>
      <w:r w:rsidRPr="00CE700E">
        <w:rPr>
          <w:rFonts w:ascii="Times New Roman" w:hAnsi="Times New Roman" w:cs="Times New Roman"/>
        </w:rPr>
        <w:t xml:space="preserve"> highlight feed and feeding efficiency as fundamental to the environmental impact </w:t>
      </w:r>
      <w:r w:rsidRPr="00C80DCF">
        <w:rPr>
          <w:rFonts w:ascii="Times New Roman" w:hAnsi="Times New Roman" w:cs="Times New Roman"/>
        </w:rPr>
        <w:t>of most aquaculture production systems</w:t>
      </w:r>
      <w:r w:rsidR="003E08A1" w:rsidRPr="00C80DCF">
        <w:rPr>
          <w:rFonts w:ascii="Times New Roman" w:hAnsi="Times New Roman" w:cs="Times New Roman"/>
        </w:rPr>
        <w:t xml:space="preserve"> </w:t>
      </w:r>
      <w:r w:rsidR="00990978" w:rsidRPr="00C80DCF">
        <w:rPr>
          <w:rFonts w:ascii="Times New Roman" w:hAnsi="Times New Roman" w:cs="Times New Roman"/>
        </w:rPr>
        <w:fldChar w:fldCharType="begin"/>
      </w:r>
      <w:r w:rsidR="000E25A2">
        <w:rPr>
          <w:rFonts w:ascii="Times New Roman" w:hAnsi="Times New Roman" w:cs="Times New Roman"/>
        </w:rPr>
        <w:instrText xml:space="preserve"> ADDIN ZOTERO_ITEM CSL_CITATION {"citationID":"a20u7lr25af","properties":{"formattedCitation":"\\super 50\\uc0\\u8211{}54\\nosupersub{}","plainCitation":"50–54","noteIndex":0},"citationItems":[{"id":846,"uris":["http://zotero.org/groups/4669668/items/KWIXM7BA"],"itemData":{"id":846,"type":"article-journal","abstract":"When evaluating the environmental impacts of finfish production systems, both regional impacts (e.g., eutrophication) and global impacts (e.g., climate change) should be taken into account. The life cycle assessment (LCA) method is well suited for this purpose. Three fish farms that represent contrasting intensive production systems were investigated using LCA: rainbow trout (Oncorhynchus mykiss) in freshwater raceways in France, sea-bass (Dicentrarchus labrax) in sea cages in Greece, and turbot (Scophtalmus maximus) in an inland re-circulating system close to the seashore in France. Two main characteristics differentiated the three farm systems: feed use and energy use. Emission of nitrogen and phosphorus accounted for more than 90% of each farm's potential eutrophication impact. In the trout and sea-bass systems, feed production was the major contributor to potential climate change and acidification impacts and net primary production use (NPPU). In these systems, the main source of variation for environmental impacts was the feed conversion ratio. Results from this study indicate that the sea-bass cage system was less efficient than the trout raceway system, with a higher level of potential eutrophication (65% greater) and NPPU (15% greater). The turbot re-circulating system was a high energy-consumer compared to the trout raceway system (four times higher) and the sea-bass cage system (five times higher). Potential climate change and acidification impacts were largely influenced by energy consumption in the turbot re-circulating system. In the turbot re-circulating system 86% of energy use was due to on-site consumption, while in the sea-bass cage farming system 72% of energy use was due to feed production. These results are discussed in relation to regional contexts of production and focus attention on the sensitivity of each aquatic environment and the use of energy carriers.","collection-title":"The Sustainability of Seafood Production and Consumption","container-title":"Journal of Cleaner Production","DOI":"10.1016/j.jclepro.2008.08.008","ISSN":"0959-6526","issue":"3","journalAbbreviation":"Journal of Cleaner Production","language":"en","note":"number: 3","page":"354-361","source":"ScienceDirect","title":"Assessment of the environmental impact of carnivorous finfish production systems using life cycle assessment","volume":"17","author":[{"family":"Aubin","given":"J."},{"family":"Papatryphon","given":"E."},{"family":"Werf","given":"H. M. G.","non-dropping-particle":"van der"},{"family":"Chatzifotis","given":"S."}],"issued":{"date-parts":[["2009",2,1]]}}},{"id":845,"uris":["http://zotero.org/groups/4669668/items/TNWHGTRF"],"itemData":{"id":845,"type":"article-journal","abstract":"The steadily growing aquaculture industry has been blamed for increasing environmental impacts at local and global levels. The greatest increase in production is expected for freshwater fish, such as carp and related species. Decisions on sustainable environmental management strategies in aquaculture should be based on quantitative analyses of their environmental impacts. In this study, Life Cycle Assessment (LCA) methodology was employed to compare the environmental impacts of conventional and organic common carp (Cyprinus carpio L.) raised in traditional pond aquaculture. Data collected in personal interviews with carp farmers in southern Germany was used for inventory analysis. Interviews with farmers showed that in practice, the key difference between organic and conventional production of carp lies in the sourcing of feed grains from certified organic versus conventional origin. The results of the impact analysis showed that conventional carp production has higher indicator values for climate change, ozone depletion as well as ionizing radiation (human health) and uses more water resources. Organic production led to higher acidification and an increase of over 100% in marine and terrestrial eutrophication compared to conventional production. Independent of the production system, feed and pond dredging (i.e., the effort of sludge removal from the pond using machinery) were the main contributors to many of the impact categories, apart from freshwater eutrophication, which was largely dependent on the carp farming stage. Therefore, the environmental superiority of one production method over the other depends on the impact category analyzed. A comparison with previously published LCAs of fish and meat products for the impact category of climate change shows that both, conventional and organic carp, have significantly lower indicator values than products from recirculating aquaculture systems or terrestrial animal products, such as beef. This finding, as well as the retention functions and ecosystem services provided by carp ponds, contribute to the environmental sustainability of both forms of carp aquaculture studied. Further efforts to increase the systems' sustainability should target the key areas of feed type and amount, frequency and method of pond dredging as well as the nutrient retention rate of carp, affecting potential emissions during harvest. Moreover, carp products with organic certification, wanting to uphold their claim of superior environmental friendliness, should address the critical issues uncovered in this LCA. Continuing methodological development, which acknowledges aquaculture specific impacts, will further increase the applicability of LCAs for products from aquaculture.","container-title":"Aquaculture","DOI":"10.1016/j.aquaculture.2018.10.019","ISSN":"0044-8486","journalAbbreviation":"Aquaculture","language":"en","page":"404-415","source":"ScienceDirect","title":"Life cycle assessment of common carp (Cyprinus carpio L.) – A comparison of the environmental impacts of conventional and organic carp aquaculture in Germany","volume":"501","author":[{"family":"Biermann","given":"Gesa"},{"family":"Geist","given":"Juergen"}],"issued":{"date-parts":[["2019",2,25]]}}},{"id":"oBlH5SCH/3tQMZLZB","uris":["http://zotero.org/users/5837360/items/3UVA82RN"],"itemData":{"id":1372,"type":"article-journal","abstract":"In response to growing awareness of climate change, requests to establish product carbon footprints have been increasing. Product carbon footprints are life cycle assessments restricted to just one impact category, global warming. Product carbon footprint studies generate life cycle inventory results, listing the environmental emissions of greenhouse gases from a product’s lifecycle, and characterize these by their global warming potentials, producing product carbon footprints that are commonly communicated as point values. In the present research we show that the uncertainties surrounding these point values necessitate more sophisticated ways of communicating product carbon footprints, using different sizes of catfish (Pangasius spp.) farms in Vietnam as a case study. As most product carbon footprint studies only have a comparative meaning, we used dependent sampling to produce relative results in order to increase the power for identifying environmentally superior products. We therefore argue that product carbon footprints, supported by quantitative uncertainty estimates, should be used to test hypotheses, rather than to provide point value estimates or plain confidence intervals of products’ environmental performance.","container-title":"PLOS ONE","DOI":"10.1371/journal.pone.0121221","ISSN":"1932-6203","issue":"3","journalAbbreviation":"PLOS ONE","language":"en","note":"publisher: Public Library of Science","page":"e0121221","source":"PLoS Journals","title":"Product Carbon Footprints and Their Uncertainties in Comparative Decision Contexts","URL":"https://journals.plos.org/plosone/article?id=10.1371/journal.pone.0121221","volume":"10","author":[{"family":"Henriksson","given":"Patrik J. G."},{"family":"Heijungs","given":"Reinout"},{"family":"Dao","given":"Hai M."},{"family":"Phan","given":"Lam T."},{"family":"Snoo","given":"Geert R.","dropping-particle":"de"},{"family":"Guinée","given":"Jeroen B."}],"accessed":{"date-parts":[["2022",4,23]]},"issued":{"date-parts":[["2015",3,17]]}}},{"id":"oBlH5SCH/XN7WHDeS","uris":["http://zotero.org/users/5837360/items/QU795PD7"],"itemData":{"id":1375,"type":"article-journal","abstract":"Life Cycle Assessment (LCA) was applied to evaluate the potential environmental impacts associated with two-net cage aquaculture systems of common carp (Cyprinus carpio carpio) and tilapia (Oreochromis niloticus) in the Cirata reservoir, Indonesia. The studied system included fingerling production in hatcheries, fish rearing in cages, and transport of fry and feed as well as that of harvested fish to markets. The environmental impact indicators were calculated based on the annual production in 2006–2007 using the CML2 Baseline 2000 method, and expressed per tonne of fresh fish delivered to the market. The rearing performances and the environmental efficiency of the system were highly dependent on the lake water quality. Therefore the location of the cages and associated practices influenced the environmental impacts. Feed was identified as the major contributor to land occupation, primary production use, acidification, climate change, energy use and water dependence. Those impacts were mainly linked to the production of fishmeal followed by the production of crop-based feed materials and the production of electricity for feed processing. Eutrophication was mainly the consequence of the fish growing stage and linked closely to nutrient loading from cages. Better feeding practices to reduce feed conversion ratio (FCR), as well as improvement of feed composition by using less fishmeal and more local plant-based materials along with improving energy efficiency of feed production processing should be implemented to improve the environmental profiles of carp and tilapia production. The reduction of FCR from 2.1 to 1.7 could decrease eutrophication by about 22%. However, it is of first priority to reduce the number of cages in order to improve the water quality of the reservoir. The comparison of Cirata reservoir fish culture to other sources of animal protein revealed that it generated average energy use but high eutrophication level. LCA was demonstrated to be a useful tool for decision-making when targeting improved environmental sustainability of cage aquaculture.","container-title":"Journal of Cleaner Production","DOI":"10.1016/j.jclepro.2013.05.029","ISSN":"0959-6526","journalAbbreviation":"Journal of Cleaner Production","language":"en","page":"249-256","source":"ScienceDirect","title":"Life Cycle Assessment for environmentally sustainable aquaculture management: a case study of combined aquaculture systems for carp and tilapia","title-short":"Life Cycle Assessment for environmentally sustainable aquaculture management","URL":"https://www.sciencedirect.com/science/article/pii/S0959652613003478","volume":"57","author":[{"family":"Mungkung","given":"Rattanawan"},{"family":"Aubin","given":"Joël"},{"family":"Prihadi","given":"Tri Heru"},{"family":"Slembrouck","given":"Jacques"},{"family":"Werf","given":"Hayo M. G.","non-dropping-particle":"van der"},{"family":"Legendre","given":"Marc"}],"accessed":{"date-parts":[["2022",4,23]]},"issued":{"date-parts":[["2013",10,15]]}}},{"id":1004,"uris":["http://zotero.org/groups/4669668/items/Q7PCUWV3"],"itemData":{"id":1004,"type":"report","abstract":"The aim of this study was to evaluate the applicability of the Life Cycle Assessment (LCA)\nmethodology for the comparison of the environmental impacts of individual farms and as a\ntool towards understanding and, therefore, assessing the effects of management\nchoices/decisions at the farm level. Eight trout farms were used to obtain data for the inven-\ntory regarding the process of fish production. Results indicate that there is a significant vari-\nability in the environmental impacts among the farms and that most of the variability can be\nexplained by a detailed analysis of farm parameters. Our results point towards the particular\nimportance of two parameters-metrics, which could be used as indicators of overall environ-\nmental performance: 1) the feed efficiency and 2) the production intensity during the dry sea-\nson, expressed as production per volume of fresh water use. We believe that LCA has good\npotential for the comparison of farming systems at the farm level.","archive":"http://orgprints.org/15519","collection-title":"Life cycle assessment in the agri-food sector","event-place":"Denmark","genre":"DIAS report. Animal Husbandry","language":"English","number":"61","page":"71","publisher":"Danish Institute of Agricultural Sciences","publisher-place":"Denmark","title":"Life cycle assessment of trout farming in france: a farm level approach","author":[{"family":"Papatryphon","given":"E"},{"family":"Petit","given":"J"},{"family":"Van der Werf,","given":"H. M. G."},{"family":"Kaushik","given":"S. J."}],"collection-editor":[{"family":"Halberg","given":"Niels"}],"issued":{"date-parts":[["2004"]]}}}],"schema":"https://github.com/citation-style-language/schema/raw/master/csl-citation.json"} </w:instrText>
      </w:r>
      <w:r w:rsidR="00990978" w:rsidRPr="00C80DCF">
        <w:rPr>
          <w:rFonts w:ascii="Times New Roman" w:hAnsi="Times New Roman" w:cs="Times New Roman"/>
        </w:rPr>
        <w:fldChar w:fldCharType="separate"/>
      </w:r>
      <w:r w:rsidR="000E25A2" w:rsidRPr="000E25A2">
        <w:rPr>
          <w:rFonts w:ascii="Times New Roman" w:hAnsi="Times New Roman" w:cs="Times New Roman"/>
          <w:szCs w:val="24"/>
          <w:vertAlign w:val="superscript"/>
        </w:rPr>
        <w:t>50–54</w:t>
      </w:r>
      <w:r w:rsidR="00990978" w:rsidRPr="00C80DCF">
        <w:rPr>
          <w:rFonts w:ascii="Times New Roman" w:hAnsi="Times New Roman" w:cs="Times New Roman"/>
        </w:rPr>
        <w:fldChar w:fldCharType="end"/>
      </w:r>
      <w:r w:rsidRPr="00C80DCF">
        <w:rPr>
          <w:rFonts w:ascii="Times New Roman" w:hAnsi="Times New Roman" w:cs="Times New Roman"/>
        </w:rPr>
        <w:t xml:space="preserve">. </w:t>
      </w:r>
      <w:r w:rsidR="00BA2C1C" w:rsidRPr="00C80DCF">
        <w:rPr>
          <w:rFonts w:ascii="Times New Roman" w:hAnsi="Times New Roman" w:cs="Times New Roman"/>
        </w:rPr>
        <w:t>In fact, s</w:t>
      </w:r>
      <w:r w:rsidRPr="00C80DCF">
        <w:rPr>
          <w:rFonts w:ascii="Times New Roman" w:hAnsi="Times New Roman" w:cs="Times New Roman"/>
        </w:rPr>
        <w:t xml:space="preserve">everal aquaculture LCAs highlight that feeds ‘solely’ contribute to most LCA impact categories </w:t>
      </w:r>
      <w:r w:rsidR="00990978" w:rsidRPr="00C80DCF">
        <w:rPr>
          <w:rFonts w:ascii="Times New Roman" w:hAnsi="Times New Roman" w:cs="Times New Roman"/>
        </w:rPr>
        <w:fldChar w:fldCharType="begin"/>
      </w:r>
      <w:r w:rsidR="0042408F">
        <w:rPr>
          <w:rFonts w:ascii="Times New Roman" w:hAnsi="Times New Roman" w:cs="Times New Roman"/>
        </w:rPr>
        <w:instrText xml:space="preserve"> ADDIN ZOTERO_ITEM CSL_CITATION {"citationID":"abrib89dj5","properties":{"formattedCitation":"\\super 42,55\\uc0\\u8211{}57\\nosupersub{}","plainCitation":"42,55–57","noteIndex":0},"citationItems":[{"id":844,"uris":["http://zotero.org/groups/4669668/items/WAR8QADK"],"itemData":{"id":844,"type":"article-journal","abstract":"The aquaculture sector is anticipated to be a keystone in food production systems in the coming decades. However, it is associated with potentially important environmental damages caused by its contribution to eutrophication or climate change, for example. To comprehensively quantify those impacts, life cycle assessment (LCA) studies have been conducted on several seafood farming systems for the past 15 years. But, what major findings and common trends can we draw from this pool of studies? What can we learn to provide recommendations to decision and policymakers in the aquaculture sector? To address these questions, we performed a critical review of 65 LCA studies of aquaculture systems from the open literature. We conducted quantitative analyses to explore which impacts can be identified as dominating and to compare different types of aquaculture systems. Our results evidenced that the feed production is a key driver for climate change, acidification, cumulative energy use and net primary production use, while the farming process is a key driver for eutrophication. We also found that different aquaculture systems and technology components may exert considerably different environmental impacts. Based on identified patterns and comparisons, we therefore provided specific recommendations to aquaculture stakeholders for future policy and system development. Overall, the analysis of existing studies demonstrates that important insights can be gained by applying LCA to aquaculture systems, and, to move towards an environmentally sustainable aquaculture sector, we recommend its systematic use in the design of new aquaculture systems or policies, and/or in the evaluation and optimization of existing ones.","container-title":"Reviews in Aquaculture","DOI":"10.1111/raq.12280","ISSN":"1753-5131","issue":"4","language":"en","note":"number: 4\n_eprint: https://onlinelibrary.wiley.com/doi/pdf/10.1111/raq.12280","page":"1061-1079","source":"Wiley Online Library","title":"Life cycle assessments of aquaculture systems: a critical review of reported findings with recommendations for policy and system development","title-short":"Life cycle assessments of aquaculture systems","volume":"11","author":[{"family":"Bohnes","given":"Florence Alexia"},{"family":"Hauschild","given":"Michael Zwicky"},{"family":"Schlundt","given":"Jørgen"},{"family":"Laurent","given":"Alexis"}],"issued":{"date-parts":[["2019"]]}}},{"id":843,"uris":["http://zotero.org/groups/4669668/items/4IRYXFT2"],"itemData":{"id":843,"type":"article-journal","abstract":"The European Union relies on seafood imports to supply growing demand that European production has failed to meet. Politically motivated media reports have denigrated competing imports in favour of local production. While life cycle assessment (LCA) measures global impact of value chains, it often fails to contextualise them. Using LCA, this article takes farmed Scottish Atlantic salmon as a case study of “local” production to identify and map the contributions to global environmental impact.","container-title":"The International Journal of Life Cycle Assessment","DOI":"10.1007/s11367-017-1386-8","ISSN":"1614-7502","issue":"5","journalAbbreviation":"Int J Life Cycle Assess","language":"en","note":"number: 5","page":"1018-1029","source":"Springer Link","title":"Mapping the impacts of farmed Scottish salmon from a life cycle perspective","volume":"23","author":[{"family":"Newton","given":"Richard W."},{"family":"Little","given":"David C."}],"issued":{"date-parts":[["2018",5,1]]}}},{"id":1020,"uris":["http://zotero.org/groups/4669668/items/ZHY4TN84"],"itemData":{"id":1020,"type":"article-journal","abstract":"We present a global-scale life cycle assessment of a major food commodity, farmed salmon. Specifically, we report the cumulative energy use, biotic resource use, and greenhouse gas, acidifying, and eutrophying emissions associated with producing farmed salmon in Norway, the UK, British Columbia (Canada), and Chile, as well as a production-weighted global average. We found marked differences in the nature and quantity of material/energy resource use and associated emissions per unit production across regions. This suggests significant scope for improved environmental performance in the industry as a whole. We identify key leverage points for improving performance, most notably the critical importance of least-environmental cost feed sourcing patterns and continued improvements in feed conversion efficiency. Overall, impacts were lowest for Norwegian production in most impact categories, and highest for UK farmed salmon. Our results are of direct relevance to industry, policy makers, eco-labeling programs, and consumers seeking to further sustainability objectives in salmon aquaculture.","container-title":"Environmental Science &amp; Technology","DOI":"10.1021/es9010114","ISSN":"0013-936X","issue":"23","journalAbbreviation":"Environ. Sci. Technol.","note":"number: 23\npublisher: American Chemical Society","page":"8730-8736","source":"ACS Publications","title":"Not all salmon are created equal: life cycle assessment (LCA) of global salmon farming systems","title-short":"Not all salmon are created equal","volume":"43","author":[{"family":"Pelletier","given":"Nathan"},{"family":"Tyedmers","given":"Peter"},{"family":"Sonesson","given":"Ulf"},{"family":"Scholz","given":"Astrid"},{"family":"Ziegler","given":"Friederike"},{"family":"Flysjo","given":"Anna"},{"family":"Kruse","given":"Sarah"},{"family":"Cancino","given":"Beatriz"},{"family":"Silverman","given":"Howard"}],"issued":{"date-parts":[["2009",12,1]]}}},{"id":988,"uris":["http://zotero.org/groups/4669668/items/DB3UWVRM"],"itemData":{"id":988,"type":"article-journal","abstract":"EU aquaculture produces only a small fraction of the internal demand of aquatic foods, but boosting this activity must be done in compliance with high standards of environmental protection and social benefits, as fostered by the policies on circular economy recently launched by the EU. Nevertheless, the assessment of the environmental sustainability of aquaculture and other food production systems is complex, due to the different tools and approaches available. Moreover, the current EU regulatory framework may be restricting the options to implement some circular solutions. This paper examines the controversies related to the assessment of environmental impacts of aquaculture processes and the different available circular solutions, with a focus on the best options to valorize aquaculture side streams and how current regulatory burdens and gaps should be solved.","container-title":"Journal of Industrial Ecology","DOI":"10.1111/jiec.13188","ISSN":"1530-9290","issue":"n/a","journalAbbreviation":"J of Industrial Ecology","language":"en","license":"© 2021 by Yale University","note":"number: n/a\n_eprint: https://onlinelibrary.wiley.com/doi/pdf/10.1111/jiec.13188","source":"Wiley Online Library","title":"Opportunities and limitations for the introduction of circular economy principles in EU aquaculture based on the regulatory framework","URL":"https://onlinelibrary.wiley.com/doi/abs/10.1111/jiec.13188","volume":"n/a","author":[{"family":"Regueiro","given":"Leticia"},{"family":"Newton","given":"Richard"},{"family":"Soula","given":"Mohamed"},{"family":"Méndez","given":"Diego"},{"family":"Kok","given":"Björn"},{"family":"Little","given":"David C."},{"family":"Pastres","given":"Roberto"},{"family":"Johansen","given":"Johan"},{"family":"Ferreira","given":"Martiña"}],"accessed":{"date-parts":[["2022",4,23]]},"issued":{"date-parts":[["2021"]]}}}],"schema":"https://github.com/citation-style-language/schema/raw/master/csl-citation.json"} </w:instrText>
      </w:r>
      <w:r w:rsidR="00990978" w:rsidRPr="00C80DCF">
        <w:rPr>
          <w:rFonts w:ascii="Times New Roman" w:hAnsi="Times New Roman" w:cs="Times New Roman"/>
        </w:rPr>
        <w:fldChar w:fldCharType="separate"/>
      </w:r>
      <w:r w:rsidR="0042408F" w:rsidRPr="0042408F">
        <w:rPr>
          <w:rFonts w:ascii="Times New Roman" w:hAnsi="Times New Roman" w:cs="Times New Roman"/>
          <w:szCs w:val="24"/>
          <w:vertAlign w:val="superscript"/>
        </w:rPr>
        <w:t>42,55–57</w:t>
      </w:r>
      <w:r w:rsidR="00990978" w:rsidRPr="00C80DCF">
        <w:rPr>
          <w:rFonts w:ascii="Times New Roman" w:hAnsi="Times New Roman" w:cs="Times New Roman"/>
        </w:rPr>
        <w:fldChar w:fldCharType="end"/>
      </w:r>
      <w:r w:rsidRPr="00C80DCF">
        <w:rPr>
          <w:rFonts w:ascii="Times New Roman" w:hAnsi="Times New Roman" w:cs="Times New Roman"/>
        </w:rPr>
        <w:t>. Therefore, applying the principles of CBF</w:t>
      </w:r>
      <w:r w:rsidR="005D4DED" w:rsidRPr="00C80DCF">
        <w:rPr>
          <w:rFonts w:ascii="Times New Roman" w:hAnsi="Times New Roman" w:cs="Times New Roman"/>
        </w:rPr>
        <w:t xml:space="preserve"> to </w:t>
      </w:r>
      <w:r w:rsidR="005A5876" w:rsidRPr="00C80DCF">
        <w:rPr>
          <w:rFonts w:ascii="Times New Roman" w:hAnsi="Times New Roman" w:cs="Times New Roman"/>
        </w:rPr>
        <w:t>aquafeeds</w:t>
      </w:r>
      <w:r w:rsidRPr="00C80DCF">
        <w:rPr>
          <w:rFonts w:ascii="Times New Roman" w:hAnsi="Times New Roman" w:cs="Times New Roman"/>
        </w:rPr>
        <w:t xml:space="preserve"> would have far</w:t>
      </w:r>
      <w:r w:rsidR="003F6F39" w:rsidRPr="00C80DCF">
        <w:rPr>
          <w:rFonts w:ascii="Times New Roman" w:hAnsi="Times New Roman" w:cs="Times New Roman"/>
        </w:rPr>
        <w:t>-</w:t>
      </w:r>
      <w:r w:rsidRPr="00C80DCF">
        <w:rPr>
          <w:rFonts w:ascii="Times New Roman" w:hAnsi="Times New Roman" w:cs="Times New Roman"/>
        </w:rPr>
        <w:t xml:space="preserve">reaching consequences for </w:t>
      </w:r>
      <w:r w:rsidR="00AF72E0" w:rsidRPr="00C80DCF">
        <w:rPr>
          <w:rFonts w:ascii="Times New Roman" w:hAnsi="Times New Roman" w:cs="Times New Roman"/>
        </w:rPr>
        <w:t>farmed blue foods</w:t>
      </w:r>
      <w:r w:rsidR="005D4DED" w:rsidRPr="00C80DCF">
        <w:rPr>
          <w:rFonts w:ascii="Times New Roman" w:hAnsi="Times New Roman" w:cs="Times New Roman"/>
        </w:rPr>
        <w:t>,</w:t>
      </w:r>
      <w:r w:rsidR="00AF72E0" w:rsidRPr="00C80DCF">
        <w:rPr>
          <w:rFonts w:ascii="Times New Roman" w:hAnsi="Times New Roman" w:cs="Times New Roman"/>
        </w:rPr>
        <w:t xml:space="preserve"> making them truly qualified for a proposed</w:t>
      </w:r>
      <w:r w:rsidRPr="00C80DCF">
        <w:rPr>
          <w:rFonts w:ascii="Times New Roman" w:hAnsi="Times New Roman" w:cs="Times New Roman"/>
        </w:rPr>
        <w:t xml:space="preserve"> planetary healthy </w:t>
      </w:r>
      <w:r w:rsidR="00AF72E0" w:rsidRPr="00C80DCF">
        <w:rPr>
          <w:rFonts w:ascii="Times New Roman" w:hAnsi="Times New Roman" w:cs="Times New Roman"/>
        </w:rPr>
        <w:t>diet</w:t>
      </w:r>
      <w:r w:rsidRPr="00C80DCF">
        <w:rPr>
          <w:rFonts w:ascii="Times New Roman" w:hAnsi="Times New Roman" w:cs="Times New Roman"/>
        </w:rPr>
        <w:t xml:space="preserve">. </w:t>
      </w:r>
      <w:r w:rsidR="000600C3" w:rsidRPr="00C80DCF">
        <w:rPr>
          <w:rFonts w:ascii="Times New Roman" w:hAnsi="Times New Roman" w:cs="Times New Roman"/>
        </w:rPr>
        <w:t>Most current aquafeeds have</w:t>
      </w:r>
      <w:r w:rsidR="00366C5F" w:rsidRPr="00C80DCF">
        <w:rPr>
          <w:rFonts w:ascii="Times New Roman" w:hAnsi="Times New Roman" w:cs="Times New Roman"/>
        </w:rPr>
        <w:t xml:space="preserve"> </w:t>
      </w:r>
      <w:r w:rsidR="000600C3" w:rsidRPr="00C80DCF">
        <w:rPr>
          <w:rFonts w:ascii="Times New Roman" w:hAnsi="Times New Roman" w:cs="Times New Roman"/>
        </w:rPr>
        <w:t xml:space="preserve">shifted from primarily using </w:t>
      </w:r>
      <w:r w:rsidR="004D3D36" w:rsidRPr="00C80DCF">
        <w:rPr>
          <w:rFonts w:ascii="Times New Roman" w:hAnsi="Times New Roman" w:cs="Times New Roman"/>
        </w:rPr>
        <w:t>marine-based ingredients</w:t>
      </w:r>
      <w:r w:rsidR="00840A9B" w:rsidRPr="00C80DCF">
        <w:rPr>
          <w:rFonts w:ascii="Times New Roman" w:hAnsi="Times New Roman" w:cs="Times New Roman"/>
        </w:rPr>
        <w:t xml:space="preserve"> </w:t>
      </w:r>
      <w:r w:rsidR="000600C3" w:rsidRPr="00C80DCF">
        <w:rPr>
          <w:rFonts w:ascii="Times New Roman" w:hAnsi="Times New Roman" w:cs="Times New Roman"/>
        </w:rPr>
        <w:t>as the source of p</w:t>
      </w:r>
      <w:r w:rsidR="00840A9B" w:rsidRPr="00C80DCF">
        <w:rPr>
          <w:rFonts w:ascii="Times New Roman" w:hAnsi="Times New Roman" w:cs="Times New Roman"/>
        </w:rPr>
        <w:t>rotein and fat (Aquafeed 1.0)</w:t>
      </w:r>
      <w:r w:rsidR="004D3D36" w:rsidRPr="00C80DCF">
        <w:rPr>
          <w:rFonts w:ascii="Times New Roman" w:hAnsi="Times New Roman" w:cs="Times New Roman"/>
        </w:rPr>
        <w:t xml:space="preserve"> to terrestrial -based ingredients</w:t>
      </w:r>
      <w:r w:rsidR="009C2BE7" w:rsidRPr="00C80DCF">
        <w:rPr>
          <w:rFonts w:ascii="Times New Roman" w:hAnsi="Times New Roman" w:cs="Times New Roman"/>
        </w:rPr>
        <w:t xml:space="preserve"> (Aquafeed 2.0)</w:t>
      </w:r>
      <w:r w:rsidR="00840A9B" w:rsidRPr="00C80DCF">
        <w:rPr>
          <w:rFonts w:ascii="Times New Roman" w:hAnsi="Times New Roman" w:cs="Times New Roman"/>
        </w:rPr>
        <w:t xml:space="preserve"> and is generally</w:t>
      </w:r>
      <w:r w:rsidR="004D3D36" w:rsidRPr="00C80DCF">
        <w:rPr>
          <w:rFonts w:ascii="Times New Roman" w:hAnsi="Times New Roman" w:cs="Times New Roman"/>
        </w:rPr>
        <w:t xml:space="preserve"> </w:t>
      </w:r>
      <w:r w:rsidR="009C2BE7" w:rsidRPr="00C80DCF">
        <w:rPr>
          <w:rFonts w:ascii="Times New Roman" w:hAnsi="Times New Roman" w:cs="Times New Roman"/>
        </w:rPr>
        <w:t>considered as</w:t>
      </w:r>
      <w:r w:rsidR="004D3D36" w:rsidRPr="00C80DCF">
        <w:rPr>
          <w:rFonts w:ascii="Times New Roman" w:hAnsi="Times New Roman" w:cs="Times New Roman"/>
        </w:rPr>
        <w:t xml:space="preserve"> a more sustainable </w:t>
      </w:r>
      <w:r w:rsidR="007A640C" w:rsidRPr="00C80DCF">
        <w:rPr>
          <w:rFonts w:ascii="Times New Roman" w:hAnsi="Times New Roman" w:cs="Times New Roman"/>
        </w:rPr>
        <w:t xml:space="preserve">way forward for aquafeed production. </w:t>
      </w:r>
      <w:r w:rsidR="004D02E2" w:rsidRPr="00C80DCF">
        <w:rPr>
          <w:rFonts w:ascii="Times New Roman" w:hAnsi="Times New Roman" w:cs="Times New Roman"/>
        </w:rPr>
        <w:t>However, t</w:t>
      </w:r>
      <w:r w:rsidRPr="00C80DCF">
        <w:rPr>
          <w:rFonts w:ascii="Times New Roman" w:hAnsi="Times New Roman" w:cs="Times New Roman"/>
        </w:rPr>
        <w:t xml:space="preserve">here </w:t>
      </w:r>
      <w:r w:rsidR="006A7498" w:rsidRPr="00C80DCF">
        <w:rPr>
          <w:rFonts w:ascii="Times New Roman" w:hAnsi="Times New Roman" w:cs="Times New Roman"/>
        </w:rPr>
        <w:t>are other</w:t>
      </w:r>
      <w:r w:rsidRPr="00C80DCF">
        <w:rPr>
          <w:rFonts w:ascii="Times New Roman" w:hAnsi="Times New Roman" w:cs="Times New Roman"/>
        </w:rPr>
        <w:t xml:space="preserve"> issue</w:t>
      </w:r>
      <w:r w:rsidR="006A7498" w:rsidRPr="00C80DCF">
        <w:rPr>
          <w:rFonts w:ascii="Times New Roman" w:hAnsi="Times New Roman" w:cs="Times New Roman"/>
        </w:rPr>
        <w:t>s</w:t>
      </w:r>
      <w:r w:rsidRPr="00C80DCF">
        <w:rPr>
          <w:rFonts w:ascii="Times New Roman" w:hAnsi="Times New Roman" w:cs="Times New Roman"/>
        </w:rPr>
        <w:t xml:space="preserve"> </w:t>
      </w:r>
      <w:r w:rsidR="004D02E2" w:rsidRPr="00C80DCF">
        <w:rPr>
          <w:rFonts w:ascii="Times New Roman" w:hAnsi="Times New Roman" w:cs="Times New Roman"/>
        </w:rPr>
        <w:t xml:space="preserve">regarding </w:t>
      </w:r>
      <w:r w:rsidRPr="00C80DCF">
        <w:rPr>
          <w:rFonts w:ascii="Times New Roman" w:hAnsi="Times New Roman" w:cs="Times New Roman"/>
        </w:rPr>
        <w:t xml:space="preserve">conventional plant-based feedstuffs </w:t>
      </w:r>
      <w:r w:rsidR="002926EF" w:rsidRPr="00C80DCF">
        <w:rPr>
          <w:rFonts w:ascii="Times New Roman" w:hAnsi="Times New Roman" w:cs="Times New Roman"/>
        </w:rPr>
        <w:t xml:space="preserve">which </w:t>
      </w:r>
      <w:r w:rsidRPr="00C80DCF">
        <w:rPr>
          <w:rFonts w:ascii="Times New Roman" w:hAnsi="Times New Roman" w:cs="Times New Roman"/>
        </w:rPr>
        <w:t>may be counter-productive in a future circular bioeconomy framework. Th</w:t>
      </w:r>
      <w:r w:rsidR="00570DF6" w:rsidRPr="00C80DCF">
        <w:rPr>
          <w:rFonts w:ascii="Times New Roman" w:hAnsi="Times New Roman" w:cs="Times New Roman"/>
        </w:rPr>
        <w:t xml:space="preserve">ese issues include </w:t>
      </w:r>
      <w:r w:rsidRPr="00C80DCF">
        <w:rPr>
          <w:rFonts w:ascii="Times New Roman" w:hAnsi="Times New Roman" w:cs="Times New Roman"/>
        </w:rPr>
        <w:t xml:space="preserve">high eutrophication potential (directly linked with digestibility of fed aquatic animals, fertilizers use in land-based cultivation </w:t>
      </w:r>
      <w:r w:rsidRPr="00CE700E">
        <w:rPr>
          <w:rFonts w:ascii="Times New Roman" w:hAnsi="Times New Roman" w:cs="Times New Roman"/>
        </w:rPr>
        <w:t xml:space="preserve">of plant feedstuffs), high land occupation potential (linked with land-based cultivation), and high ecotoxicity potential </w:t>
      </w:r>
      <w:r w:rsidR="00D058FB">
        <w:rPr>
          <w:rFonts w:ascii="Times New Roman" w:hAnsi="Times New Roman" w:cs="Times New Roman"/>
        </w:rPr>
        <w:t>lined with pesticide reliant agricultural practices</w:t>
      </w:r>
      <w:r w:rsidRPr="00CE700E">
        <w:rPr>
          <w:rFonts w:ascii="Times New Roman" w:hAnsi="Times New Roman" w:cs="Times New Roman"/>
        </w:rPr>
        <w:t>) surrounding decisions to switch entirely to ‘presumably sustainable’ plant-based choices in aquafeed</w:t>
      </w:r>
      <w:r w:rsidR="003E08A1">
        <w:rPr>
          <w:rFonts w:ascii="Times New Roman" w:hAnsi="Times New Roman" w:cs="Times New Roman"/>
        </w:rPr>
        <w:t xml:space="preserve"> </w:t>
      </w:r>
      <w:r w:rsidR="00AC7E5B" w:rsidRPr="00CE700E">
        <w:rPr>
          <w:rFonts w:ascii="Times New Roman" w:hAnsi="Times New Roman" w:cs="Times New Roman"/>
        </w:rPr>
        <w:fldChar w:fldCharType="begin"/>
      </w:r>
      <w:r w:rsidR="00E26216">
        <w:rPr>
          <w:rFonts w:ascii="Times New Roman" w:hAnsi="Times New Roman" w:cs="Times New Roman"/>
        </w:rPr>
        <w:instrText xml:space="preserve"> ADDIN ZOTERO_ITEM CSL_CITATION {"citationID":"a1jgc35pjss","properties":{"formattedCitation":"\\super 58\\nosupersub{}","plainCitation":"58","noteIndex":0},"citationItems":[{"id":842,"uris":["http://zotero.org/groups/4669668/items/5E7NX7NJ"],"itemData":{"id":842,"type":"article-journal","abstract":"The environmental consequences of replacing fish meal and fish oil with plant-based sources in salmonid feeds were investigated using Life Cycle Assessment (LCA). Two scenarios of Atlantic salmon (Salmo salar) and rainbow trout (Oncorhynchus mykiss) farming were compared. The first scenario used a Standard Diet (STD) with high levels of fish meal and fish oil, and the second a Low Marine-Fishery-Capture Diet (LFD) in which fish meal and fish oil were replaced by plant protein and oil sources. Environmental impacts assessed were: acidification, eutrophication, climate change, terrestrial ecotoxicity, net primary production use (biotic resource use), water use, land occupation and total cumulative energy demand. The assessment confirmed the substantial contribution of feed to the environmental burdens of fish production and the LFD scenario led to a significant decrease in biotic resource use compared to the STD scenario with the same total energy demand. Environmental impacts of feeds depended highly on the geographic origins of feed ingredients from fishery (e.g., fish oil from Norway or Peru) and from terrestrial agricultural crop species (e.g., palm oil or rapeseed oil). This study demonstrated the importance of a multicriteria method to give stakeholders the most accurate information on the potential consequences of replacing fishery products with plant-based sources in aquafeeds.","container-title":"Aquaculture","DOI":"10.1016/j.aquaculture.2011.08.033","ISSN":"0044-8486","issue":"1","journalAbbreviation":"Aquaculture","language":"en","note":"number: 1","page":"61-70","source":"ScienceDirect","title":"Environmental impacts of plant-based salmonid diets at feed and farm scales","volume":"321","author":[{"family":"Boissy","given":"Joachim"},{"family":"Aubin","given":"Joël"},{"family":"Drissi","given":"Abdeljalil"},{"family":"Werf","given":"Hayo M. G.","non-dropping-particle":"van der"},{"family":"Bell","given":"Gordon J."},{"family":"Kaushik","given":"Sadasivam J."}],"issued":{"date-parts":[["2011",11,16]]}}}],"schema":"https://github.com/citation-style-language/schema/raw/master/csl-citation.json"} </w:instrText>
      </w:r>
      <w:r w:rsidR="00AC7E5B" w:rsidRPr="00CE700E">
        <w:rPr>
          <w:rFonts w:ascii="Times New Roman" w:hAnsi="Times New Roman" w:cs="Times New Roman"/>
        </w:rPr>
        <w:fldChar w:fldCharType="separate"/>
      </w:r>
      <w:r w:rsidR="00E26216" w:rsidRPr="00E26216">
        <w:rPr>
          <w:rFonts w:ascii="Times New Roman" w:hAnsi="Times New Roman" w:cs="Times New Roman"/>
          <w:szCs w:val="24"/>
          <w:vertAlign w:val="superscript"/>
        </w:rPr>
        <w:t>58</w:t>
      </w:r>
      <w:r w:rsidR="00AC7E5B" w:rsidRPr="00CE700E">
        <w:rPr>
          <w:rFonts w:ascii="Times New Roman" w:hAnsi="Times New Roman" w:cs="Times New Roman"/>
        </w:rPr>
        <w:fldChar w:fldCharType="end"/>
      </w:r>
      <w:r w:rsidRPr="00CE700E">
        <w:rPr>
          <w:rFonts w:ascii="Times New Roman" w:hAnsi="Times New Roman" w:cs="Times New Roman"/>
        </w:rPr>
        <w:t xml:space="preserve">. The alternative feedstuffs of plant origin that are presently being </w:t>
      </w:r>
      <w:r w:rsidR="001B25DF">
        <w:rPr>
          <w:rFonts w:ascii="Times New Roman" w:hAnsi="Times New Roman" w:cs="Times New Roman"/>
        </w:rPr>
        <w:t>referred to</w:t>
      </w:r>
      <w:r w:rsidRPr="00CE700E">
        <w:rPr>
          <w:rFonts w:ascii="Times New Roman" w:hAnsi="Times New Roman" w:cs="Times New Roman"/>
        </w:rPr>
        <w:t xml:space="preserve"> as ‘sustainable’ (but may not be so</w:t>
      </w:r>
      <w:r w:rsidR="00F96365">
        <w:rPr>
          <w:rFonts w:ascii="Times New Roman" w:hAnsi="Times New Roman" w:cs="Times New Roman"/>
        </w:rPr>
        <w:fldChar w:fldCharType="begin"/>
      </w:r>
      <w:r w:rsidR="00B52A9F">
        <w:rPr>
          <w:rFonts w:ascii="Times New Roman" w:hAnsi="Times New Roman" w:cs="Times New Roman"/>
        </w:rPr>
        <w:instrText xml:space="preserve"> ADDIN ZOTERO_ITEM CSL_CITATION {"citationID":"ai05sl77dp","properties":{"formattedCitation":"\\super 28\\nosupersub{}","plainCitation":"28","noteIndex":0},"citationItems":[{"id":849,"uris":["http://zotero.org/groups/4669668/items/8WJAGPVM"],"itemData":{"id":849,"type":"article-journal","container-title":"Reviews in Aquaculture","DOI":"10.1111/raq.12567","ISSN":"1753-5131","issue":"3","language":"en","note":"number: 3\n_eprint: https://onlinelibrary.wiley.com/doi/pdf/10.1111/raq.12567","page":"1156-1158","source":"Wiley Online Library","title":"‘Aquafeed 3.0’: creating a more resilient aquaculture industry with a circular bioeconomy framework","title-short":"‘Aquafeed 3.0’","volume":"13","author":[{"family":"Colombo","given":"Stefanie M."},{"family":"Turchini","given":"Giovanni M."}],"issued":{"date-parts":[["2021"]]}}}],"schema":"https://github.com/citation-style-language/schema/raw/master/csl-citation.json"} </w:instrText>
      </w:r>
      <w:r w:rsidR="00F96365">
        <w:rPr>
          <w:rFonts w:ascii="Times New Roman" w:hAnsi="Times New Roman" w:cs="Times New Roman"/>
        </w:rPr>
        <w:fldChar w:fldCharType="separate"/>
      </w:r>
      <w:r w:rsidR="00B52A9F" w:rsidRPr="00B52A9F">
        <w:rPr>
          <w:rFonts w:ascii="Times New Roman" w:hAnsi="Times New Roman" w:cs="Times New Roman"/>
          <w:szCs w:val="24"/>
          <w:vertAlign w:val="superscript"/>
        </w:rPr>
        <w:t>28</w:t>
      </w:r>
      <w:r w:rsidR="00F96365">
        <w:rPr>
          <w:rFonts w:ascii="Times New Roman" w:hAnsi="Times New Roman" w:cs="Times New Roman"/>
        </w:rPr>
        <w:fldChar w:fldCharType="end"/>
      </w:r>
      <w:r w:rsidR="003E08A1">
        <w:rPr>
          <w:rFonts w:ascii="Times New Roman" w:hAnsi="Times New Roman" w:cs="Times New Roman"/>
        </w:rPr>
        <w:t>)</w:t>
      </w:r>
      <w:r w:rsidR="00B17868">
        <w:rPr>
          <w:rFonts w:ascii="Times New Roman" w:hAnsi="Times New Roman" w:cs="Times New Roman"/>
        </w:rPr>
        <w:t xml:space="preserve"> </w:t>
      </w:r>
      <w:r w:rsidRPr="00CE700E">
        <w:rPr>
          <w:rFonts w:ascii="Times New Roman" w:hAnsi="Times New Roman" w:cs="Times New Roman"/>
        </w:rPr>
        <w:t xml:space="preserve">are also known to contain anti-nutritional factors, nutritional imbalances, </w:t>
      </w:r>
      <w:r w:rsidR="00850C52">
        <w:rPr>
          <w:rFonts w:ascii="Times New Roman" w:hAnsi="Times New Roman" w:cs="Times New Roman"/>
        </w:rPr>
        <w:t xml:space="preserve">and </w:t>
      </w:r>
      <w:r w:rsidRPr="00CE700E">
        <w:rPr>
          <w:rFonts w:ascii="Times New Roman" w:hAnsi="Times New Roman" w:cs="Times New Roman"/>
        </w:rPr>
        <w:t>non-bioavailable form(s) of specific nutrients</w:t>
      </w:r>
      <w:r w:rsidR="007338C4">
        <w:rPr>
          <w:rFonts w:ascii="Times New Roman" w:hAnsi="Times New Roman" w:cs="Times New Roman"/>
        </w:rPr>
        <w:t xml:space="preserve">. This </w:t>
      </w:r>
      <w:r w:rsidRPr="00CE700E">
        <w:rPr>
          <w:rFonts w:ascii="Times New Roman" w:hAnsi="Times New Roman" w:cs="Times New Roman"/>
        </w:rPr>
        <w:t xml:space="preserve">may </w:t>
      </w:r>
      <w:r w:rsidR="007338C4">
        <w:rPr>
          <w:rFonts w:ascii="Times New Roman" w:hAnsi="Times New Roman" w:cs="Times New Roman"/>
        </w:rPr>
        <w:lastRenderedPageBreak/>
        <w:t xml:space="preserve">decrease digestibility of the feed and subsequently </w:t>
      </w:r>
      <w:r w:rsidRPr="00CE700E">
        <w:rPr>
          <w:rFonts w:ascii="Times New Roman" w:hAnsi="Times New Roman" w:cs="Times New Roman"/>
        </w:rPr>
        <w:t>increase excretory nutrient loading from fish to the environment</w:t>
      </w:r>
      <w:r w:rsidR="002A4C92" w:rsidRPr="00CE700E">
        <w:rPr>
          <w:rFonts w:ascii="Times New Roman" w:hAnsi="Times New Roman" w:cs="Times New Roman"/>
        </w:rPr>
        <w:t xml:space="preserve"> </w:t>
      </w:r>
      <w:r w:rsidR="00162528" w:rsidRPr="00CE700E">
        <w:rPr>
          <w:rFonts w:ascii="Times New Roman" w:hAnsi="Times New Roman" w:cs="Times New Roman"/>
        </w:rPr>
        <w:fldChar w:fldCharType="begin"/>
      </w:r>
      <w:r w:rsidR="0020153D">
        <w:rPr>
          <w:rFonts w:ascii="Times New Roman" w:hAnsi="Times New Roman" w:cs="Times New Roman"/>
        </w:rPr>
        <w:instrText xml:space="preserve"> ADDIN ZOTERO_ITEM CSL_CITATION {"citationID":"a1ftlkp17p","properties":{"formattedCitation":"\\super 59,60\\nosupersub{}","plainCitation":"59,60","noteIndex":0},"citationItems":[{"id":840,"uris":["http://zotero.org/groups/4669668/items/DAP59SAJ"],"itemData":{"id":840,"type":"article-journal","abstract":"Feed is a common factor influencing both fish growth and waste production in aquaculture. We examined the effect of different feed ingredients on the quantitative and qualitative aspects of faecal waste produced by common carp. Ingredients rich in (i) starch (field peas, PEA); (ii) protein (feather meal, FeM); (iii) insoluble non-starch polysaccharides, NSP (sunflower cake meal, SFM); or (iv) soluble NSP (wheat dried distillers grain with soluble, WDG) were studied. Five experimental diets were produced, a control diet produced from a basal mixture (CON) and four other diets (PEA, FeM, SFM and WDG) were prepared by replacing 30% of the basal mixture in CON with the respective test ingredient (70:30). Common carp juveniles (95 g, 15 fish per tank) were fed (restrictively, 22 g/kg0.8/d) the experimental diets for 7 weeks, in triplicate groups. Growth, body composition, energy and nutrient balances were significantly different; with highest growth recorded in CON and WDG; lowest in the FeM and SFM groups. Apparent digestibility coefficient (ADC) of dry matter, nutrients (protein, fat, carbohydrate, ash and phosphorus) and energy in the diets and ingredients were significantly altered between the groups (p &lt; .001). PEA had the best ADC for macro-nutrients and energy, while ash and phosphorus were highest with WDG; SFM had the lowest ADC values for DM, fat, carbohydrate, energy, and phosphorus. The quantity, proximate composition and recovery percentage of the feaces (collected by settling) was significantly different between treatments (p &lt; .001). Faeces recovery and solid removal efficiency were the highest in WDG, comparable to CON; and lowest in SFM. Physical characteristics of the feaces (stripped) indicated by dry matter content and stability were significantly affected by the ingredients only at day 26 and 29, respectively. However, changes in dry matter and stability over time (days) were significant in SFM and WDG (for DM); and all groups except SFM (stability). Osmolality and viscosity of the stripped faeces was unaffected. In summary, SFM resulted in significantly lower performance, low DM and nutrient digestibility, increased faecal loss, lower stability and removal efficiency. FeM lowered growth, protein and fat digestibility; with altered faecal chemical composition. WDG and PEA performed on par with control, if not better in certain aspects with respect to mineral availability and faecal recovery. Overall, 30% inclusion of the test ingredients not only affected growth, but also the waste production and removal efficiency by altering the physical and chemical characteristics of the faeces in common carp.","container-title":"Aquaculture","DOI":"10.1016/j.aquaculture.2019.734357","ISSN":"0044-8486","journalAbbreviation":"Aquaculture","language":"en","page":"734357","source":"ScienceDirect","title":"Dietary ingredient composition alters faecal characteristics and waste production in common carp reared in recirculation system","volume":"512","author":[{"family":"Antony Jesu Prabhu","given":"P."},{"family":"Fountoulaki","given":"E."},{"family":"Maas","given":"R."},{"family":"Heinsbroek","given":"L. T. N."},{"family":"Eding","given":"E. H."},{"family":"Kaushik","given":"S. J."},{"family":"Schrama","given":"J. W."}],"issued":{"date-parts":[["2019",10,15]]}}},{"id":841,"uris":["http://zotero.org/groups/4669668/items/QEZLRGWL"],"itemData":{"id":841,"type":"article-journal","abstract":"The use of fish meal alternatives in aquafeeds is increasingly becoming a necessity due to declining fisheries stocks. Thus, the dietary formulations and their impacts remain a big challenge for the sustainability of the aquaculture sector. Plant ingredients have been successfully used as a sustainable alternative to fish meal for some aquaculture species. However, the presence of antinutritional factors in most of these ingredients interferes with feed acceptance and animal performance, causing impaired metabolism and digestibility. Besides the increased production costs, other concerns also arise from these impaired effects, such as waste production originating from nutrients not retained in biomass and released in the environment as faecal or non-faecal losses. In this review, we aim to address the impacts of the antinutrient factors, present in commonly used plant ingredients, on waste production, as it may lead to unwanted environmental changes. Reduction of waste outputs can be potentially achieved through the improvement of feed formulation, palatability, digestibility and nutrient retention. Indigestible plant components, such as non-starch polysaccharides present in high concentrations, increase faecal production and alter faecal properties; however, their impact depends highly on the rearing system i.e. open cages, flow-through or recirculating systems. As the study of faecal physical properties is a relatively new area, there is no agreement on the best parameter or method to use for predicting faeces behaviour in a commercial rearing system. Therefore, knowledge of the contribution of each antinutritional factor, and especially of non-starch polysaccharides, on faecal properties and waste production, and the levels that have the least environmental impact, is important and currently lacking.","container-title":"Aquaculture","DOI":"10.1016/j.aquaculture.2018.06.003","ISSN":"0044-8486","journalAbbreviation":"Aquaculture","language":"en","page":"295-310","source":"ScienceDirect","title":"Aquaculture waste production associated with antinutrient presence in common fish feed plant ingredients","volume":"495","author":[{"family":"Kokou","given":"Fotini"},{"family":"Fountoulaki","given":"Eleni"}],"issued":{"date-parts":[["2018",10,1]]}}}],"schema":"https://github.com/citation-style-language/schema/raw/master/csl-citation.json"} </w:instrText>
      </w:r>
      <w:r w:rsidR="00162528" w:rsidRPr="00CE700E">
        <w:rPr>
          <w:rFonts w:ascii="Times New Roman" w:hAnsi="Times New Roman" w:cs="Times New Roman"/>
        </w:rPr>
        <w:fldChar w:fldCharType="separate"/>
      </w:r>
      <w:r w:rsidR="0020153D" w:rsidRPr="0020153D">
        <w:rPr>
          <w:rFonts w:ascii="Times New Roman" w:hAnsi="Times New Roman" w:cs="Times New Roman"/>
          <w:szCs w:val="24"/>
          <w:vertAlign w:val="superscript"/>
        </w:rPr>
        <w:t>59,60</w:t>
      </w:r>
      <w:r w:rsidR="00162528" w:rsidRPr="00CE700E">
        <w:rPr>
          <w:rFonts w:ascii="Times New Roman" w:hAnsi="Times New Roman" w:cs="Times New Roman"/>
        </w:rPr>
        <w:fldChar w:fldCharType="end"/>
      </w:r>
      <w:r w:rsidRPr="00CE700E">
        <w:rPr>
          <w:rFonts w:ascii="Times New Roman" w:hAnsi="Times New Roman" w:cs="Times New Roman"/>
        </w:rPr>
        <w:t xml:space="preserve">. </w:t>
      </w:r>
    </w:p>
    <w:p w14:paraId="3887E09C" w14:textId="71B94488" w:rsidR="008816C2" w:rsidRPr="00CE700E" w:rsidRDefault="00861044" w:rsidP="00522623">
      <w:pPr>
        <w:spacing w:line="360" w:lineRule="auto"/>
        <w:ind w:firstLine="720"/>
        <w:contextualSpacing/>
        <w:jc w:val="both"/>
        <w:rPr>
          <w:rFonts w:ascii="Times New Roman" w:hAnsi="Times New Roman" w:cs="Times New Roman"/>
        </w:rPr>
      </w:pPr>
      <w:r w:rsidRPr="00C80DCF">
        <w:rPr>
          <w:rFonts w:ascii="Times New Roman" w:hAnsi="Times New Roman" w:cs="Times New Roman"/>
        </w:rPr>
        <w:t xml:space="preserve">CBF in aquafeed or circular aquafeed concept (Aquafeed 3.0) is necessary to amend these pitfalls. </w:t>
      </w:r>
      <w:r w:rsidRPr="00CE700E">
        <w:rPr>
          <w:rFonts w:ascii="Times New Roman" w:hAnsi="Times New Roman" w:cs="Times New Roman"/>
        </w:rPr>
        <w:t>In</w:t>
      </w:r>
      <w:r w:rsidR="008816C2" w:rsidRPr="00CE700E">
        <w:rPr>
          <w:rFonts w:ascii="Times New Roman" w:hAnsi="Times New Roman" w:cs="Times New Roman"/>
        </w:rPr>
        <w:t xml:space="preserve"> this context, plant-, algal-, microbial- and insect- feedstuffs </w:t>
      </w:r>
      <w:r w:rsidR="00356AE4" w:rsidRPr="00CE700E">
        <w:rPr>
          <w:rFonts w:ascii="Times New Roman" w:hAnsi="Times New Roman" w:cs="Times New Roman"/>
        </w:rPr>
        <w:t xml:space="preserve">are </w:t>
      </w:r>
      <w:r w:rsidR="008816C2" w:rsidRPr="00CE700E">
        <w:rPr>
          <w:rFonts w:ascii="Times New Roman" w:hAnsi="Times New Roman" w:cs="Times New Roman"/>
        </w:rPr>
        <w:t xml:space="preserve">raised on </w:t>
      </w:r>
      <w:r w:rsidR="00A16361">
        <w:rPr>
          <w:rFonts w:ascii="Times New Roman" w:hAnsi="Times New Roman" w:cs="Times New Roman"/>
        </w:rPr>
        <w:t>byproducts</w:t>
      </w:r>
      <w:r w:rsidR="008816C2" w:rsidRPr="00CE700E">
        <w:rPr>
          <w:rFonts w:ascii="Times New Roman" w:hAnsi="Times New Roman" w:cs="Times New Roman"/>
        </w:rPr>
        <w:t>, integrated with the existing farming systems (</w:t>
      </w:r>
      <w:r w:rsidR="008677AC" w:rsidRPr="00CE700E">
        <w:rPr>
          <w:rFonts w:ascii="Times New Roman" w:hAnsi="Times New Roman" w:cs="Times New Roman"/>
        </w:rPr>
        <w:t xml:space="preserve">such </w:t>
      </w:r>
      <w:r w:rsidR="008816C2" w:rsidRPr="00CE700E">
        <w:rPr>
          <w:rFonts w:ascii="Times New Roman" w:hAnsi="Times New Roman" w:cs="Times New Roman"/>
        </w:rPr>
        <w:t>as bio-based waste recycling, end-of-pipe treatments) and producing biomass that do</w:t>
      </w:r>
      <w:r w:rsidR="00492385" w:rsidRPr="00CE700E">
        <w:rPr>
          <w:rFonts w:ascii="Times New Roman" w:hAnsi="Times New Roman" w:cs="Times New Roman"/>
        </w:rPr>
        <w:t>es</w:t>
      </w:r>
      <w:r w:rsidR="008816C2" w:rsidRPr="00CE700E">
        <w:rPr>
          <w:rFonts w:ascii="Times New Roman" w:hAnsi="Times New Roman" w:cs="Times New Roman"/>
        </w:rPr>
        <w:t xml:space="preserve"> not go for direct human consumption (avoiding food-feed conflict) would be the face of future, circular origin, and sustainable fish nutrition sources in aquaculture. </w:t>
      </w:r>
      <w:r w:rsidR="00AD2D2A" w:rsidRPr="005C361D">
        <w:rPr>
          <w:rFonts w:ascii="Times New Roman" w:hAnsi="Times New Roman" w:cs="Times New Roman"/>
        </w:rPr>
        <w:t xml:space="preserve">The current narrative </w:t>
      </w:r>
      <w:r w:rsidR="00AD2D2A">
        <w:rPr>
          <w:rFonts w:ascii="Times New Roman" w:hAnsi="Times New Roman" w:cs="Times New Roman"/>
        </w:rPr>
        <w:t xml:space="preserve">around FM and FO-use </w:t>
      </w:r>
      <w:r w:rsidR="00AD2D2A" w:rsidRPr="005C361D">
        <w:rPr>
          <w:rFonts w:ascii="Times New Roman" w:hAnsi="Times New Roman" w:cs="Times New Roman"/>
        </w:rPr>
        <w:t xml:space="preserve">may be </w:t>
      </w:r>
      <w:r w:rsidR="009B53CC">
        <w:rPr>
          <w:rFonts w:ascii="Times New Roman" w:hAnsi="Times New Roman" w:cs="Times New Roman"/>
        </w:rPr>
        <w:t>re-considered</w:t>
      </w:r>
      <w:r w:rsidR="00AD2D2A" w:rsidRPr="005C361D">
        <w:rPr>
          <w:rFonts w:ascii="Times New Roman" w:hAnsi="Times New Roman" w:cs="Times New Roman"/>
        </w:rPr>
        <w:t xml:space="preserve"> in terms of ‘net impact’ when a complementary set of feedstuffs are combined</w:t>
      </w:r>
      <w:r w:rsidR="001C05BC">
        <w:rPr>
          <w:rFonts w:ascii="Times New Roman" w:hAnsi="Times New Roman" w:cs="Times New Roman"/>
        </w:rPr>
        <w:t xml:space="preserve"> (which also may include re</w:t>
      </w:r>
      <w:r w:rsidR="009B53CC">
        <w:rPr>
          <w:rFonts w:ascii="Times New Roman" w:hAnsi="Times New Roman" w:cs="Times New Roman"/>
        </w:rPr>
        <w:t xml:space="preserve">covered </w:t>
      </w:r>
      <w:r w:rsidR="001B15C8">
        <w:rPr>
          <w:rFonts w:ascii="Times New Roman" w:hAnsi="Times New Roman" w:cs="Times New Roman"/>
        </w:rPr>
        <w:t>fishery and aquaculture products</w:t>
      </w:r>
      <w:r w:rsidR="001C05BC">
        <w:rPr>
          <w:rFonts w:ascii="Times New Roman" w:hAnsi="Times New Roman" w:cs="Times New Roman"/>
        </w:rPr>
        <w:t>)</w:t>
      </w:r>
      <w:r w:rsidR="00AD2D2A" w:rsidRPr="005C361D">
        <w:rPr>
          <w:rFonts w:ascii="Times New Roman" w:hAnsi="Times New Roman" w:cs="Times New Roman"/>
        </w:rPr>
        <w:t xml:space="preserve">; </w:t>
      </w:r>
      <w:r w:rsidR="00AD2D2A">
        <w:rPr>
          <w:rFonts w:ascii="Times New Roman" w:hAnsi="Times New Roman" w:cs="Times New Roman"/>
        </w:rPr>
        <w:t xml:space="preserve">in many cases, the use of a modest amount of FM/ and/or FO, coupled with other locally sourced, circular origin ingredients may yield a smaller environmental footprint than feeds that are devoid of marine resources. </w:t>
      </w:r>
      <w:r w:rsidR="006E072D">
        <w:rPr>
          <w:rFonts w:ascii="Times New Roman" w:hAnsi="Times New Roman" w:cs="Times New Roman"/>
        </w:rPr>
        <w:t xml:space="preserve">A </w:t>
      </w:r>
      <w:r w:rsidR="002F0A50">
        <w:rPr>
          <w:rFonts w:ascii="Times New Roman" w:hAnsi="Times New Roman" w:cs="Times New Roman"/>
        </w:rPr>
        <w:t>balance i</w:t>
      </w:r>
      <w:r w:rsidR="006E072D">
        <w:rPr>
          <w:rFonts w:ascii="Times New Roman" w:hAnsi="Times New Roman" w:cs="Times New Roman"/>
        </w:rPr>
        <w:t>s</w:t>
      </w:r>
      <w:r w:rsidR="002F0A50">
        <w:rPr>
          <w:rFonts w:ascii="Times New Roman" w:hAnsi="Times New Roman" w:cs="Times New Roman"/>
        </w:rPr>
        <w:t xml:space="preserve"> </w:t>
      </w:r>
      <w:r w:rsidR="006E072D">
        <w:rPr>
          <w:rFonts w:ascii="Times New Roman" w:hAnsi="Times New Roman" w:cs="Times New Roman"/>
        </w:rPr>
        <w:t xml:space="preserve">needed to maximize </w:t>
      </w:r>
      <w:r w:rsidR="00E26D52">
        <w:rPr>
          <w:rFonts w:ascii="Times New Roman" w:hAnsi="Times New Roman" w:cs="Times New Roman"/>
        </w:rPr>
        <w:t xml:space="preserve">fish performance </w:t>
      </w:r>
      <w:r w:rsidR="004F7E4E">
        <w:rPr>
          <w:rFonts w:ascii="Times New Roman" w:hAnsi="Times New Roman" w:cs="Times New Roman"/>
        </w:rPr>
        <w:t xml:space="preserve">and to improve </w:t>
      </w:r>
      <w:r w:rsidR="00E26D52">
        <w:rPr>
          <w:rFonts w:ascii="Times New Roman" w:hAnsi="Times New Roman" w:cs="Times New Roman"/>
        </w:rPr>
        <w:t xml:space="preserve">environmental performance </w:t>
      </w:r>
      <w:r w:rsidR="00F72CBB">
        <w:rPr>
          <w:rFonts w:ascii="Times New Roman" w:hAnsi="Times New Roman" w:cs="Times New Roman"/>
        </w:rPr>
        <w:t xml:space="preserve">for the next evolution of aquafeeds. </w:t>
      </w:r>
    </w:p>
    <w:p w14:paraId="4FC089E0" w14:textId="77777777" w:rsidR="008816C2" w:rsidRPr="00CE700E" w:rsidRDefault="008816C2" w:rsidP="00522623">
      <w:pPr>
        <w:spacing w:line="360" w:lineRule="auto"/>
        <w:contextualSpacing/>
        <w:jc w:val="both"/>
        <w:rPr>
          <w:rFonts w:ascii="Times New Roman" w:hAnsi="Times New Roman" w:cs="Times New Roman"/>
          <w:b/>
          <w:bCs/>
        </w:rPr>
      </w:pPr>
      <w:r w:rsidRPr="00CE700E">
        <w:rPr>
          <w:rFonts w:ascii="Times New Roman" w:hAnsi="Times New Roman" w:cs="Times New Roman"/>
          <w:b/>
          <w:bCs/>
        </w:rPr>
        <w:t>Going from sustainable (present) to circular (future) aquafeed concept</w:t>
      </w:r>
    </w:p>
    <w:p w14:paraId="3033270A" w14:textId="7677A06B" w:rsidR="00A66A35" w:rsidRDefault="00686A71" w:rsidP="00522623">
      <w:pPr>
        <w:spacing w:line="360" w:lineRule="auto"/>
        <w:ind w:firstLine="720"/>
        <w:contextualSpacing/>
        <w:jc w:val="both"/>
        <w:rPr>
          <w:rFonts w:ascii="Times New Roman" w:hAnsi="Times New Roman" w:cs="Times New Roman"/>
          <w:color w:val="7030A0"/>
        </w:rPr>
      </w:pPr>
      <w:r>
        <w:rPr>
          <w:rFonts w:ascii="Times New Roman" w:hAnsi="Times New Roman" w:cs="Times New Roman"/>
        </w:rPr>
        <w:t>The</w:t>
      </w:r>
      <w:r w:rsidR="008816C2" w:rsidRPr="00CE700E">
        <w:rPr>
          <w:rFonts w:ascii="Times New Roman" w:hAnsi="Times New Roman" w:cs="Times New Roman"/>
        </w:rPr>
        <w:t xml:space="preserve"> first </w:t>
      </w:r>
      <w:r>
        <w:rPr>
          <w:rFonts w:ascii="Times New Roman" w:hAnsi="Times New Roman" w:cs="Times New Roman"/>
        </w:rPr>
        <w:t>formulated, extruded</w:t>
      </w:r>
      <w:r w:rsidRPr="00CE700E">
        <w:rPr>
          <w:rFonts w:ascii="Times New Roman" w:hAnsi="Times New Roman" w:cs="Times New Roman"/>
        </w:rPr>
        <w:t xml:space="preserve"> </w:t>
      </w:r>
      <w:r w:rsidR="008816C2" w:rsidRPr="00CE700E">
        <w:rPr>
          <w:rFonts w:ascii="Times New Roman" w:hAnsi="Times New Roman" w:cs="Times New Roman"/>
        </w:rPr>
        <w:t xml:space="preserve">pellets for fish </w:t>
      </w:r>
      <w:r w:rsidR="009A310E">
        <w:rPr>
          <w:rFonts w:ascii="Times New Roman" w:hAnsi="Times New Roman" w:cs="Times New Roman"/>
        </w:rPr>
        <w:t xml:space="preserve">(i.e., Aquafeed 1.0) </w:t>
      </w:r>
      <w:r w:rsidR="008816C2" w:rsidRPr="00CE700E">
        <w:rPr>
          <w:rFonts w:ascii="Times New Roman" w:hAnsi="Times New Roman" w:cs="Times New Roman"/>
        </w:rPr>
        <w:t xml:space="preserve">were </w:t>
      </w:r>
      <w:r w:rsidR="003500F5">
        <w:rPr>
          <w:rFonts w:ascii="Times New Roman" w:hAnsi="Times New Roman" w:cs="Times New Roman"/>
        </w:rPr>
        <w:t>manufactured</w:t>
      </w:r>
      <w:r w:rsidR="008816C2" w:rsidRPr="00CE700E">
        <w:rPr>
          <w:rFonts w:ascii="Times New Roman" w:hAnsi="Times New Roman" w:cs="Times New Roman"/>
        </w:rPr>
        <w:t xml:space="preserve"> mostly with </w:t>
      </w:r>
      <w:r w:rsidR="00492385" w:rsidRPr="00CE700E">
        <w:rPr>
          <w:rFonts w:ascii="Times New Roman" w:hAnsi="Times New Roman" w:cs="Times New Roman"/>
        </w:rPr>
        <w:t>FM and FO</w:t>
      </w:r>
      <w:r w:rsidR="009C2CF8">
        <w:rPr>
          <w:rFonts w:ascii="Times New Roman" w:hAnsi="Times New Roman" w:cs="Times New Roman"/>
        </w:rPr>
        <w:t xml:space="preserve">, which </w:t>
      </w:r>
      <w:r w:rsidR="008816C2" w:rsidRPr="00CE700E">
        <w:rPr>
          <w:rFonts w:ascii="Times New Roman" w:hAnsi="Times New Roman" w:cs="Times New Roman"/>
        </w:rPr>
        <w:t>have long served as ‘gold standards’ for the aquaculture nutrition industry</w:t>
      </w:r>
      <w:r w:rsidR="005F178E">
        <w:rPr>
          <w:rFonts w:ascii="Times New Roman" w:hAnsi="Times New Roman" w:cs="Times New Roman"/>
        </w:rPr>
        <w:fldChar w:fldCharType="begin"/>
      </w:r>
      <w:r w:rsidR="00584228">
        <w:rPr>
          <w:rFonts w:ascii="Times New Roman" w:hAnsi="Times New Roman" w:cs="Times New Roman"/>
        </w:rPr>
        <w:instrText xml:space="preserve"> ADDIN ZOTERO_ITEM CSL_CITATION {"citationID":"ac2n6tkgfd","properties":{"formattedCitation":"\\super 61\\nosupersub{}","plainCitation":"61","noteIndex":0},"citationItems":[{"id":1854,"uris":["http://zotero.org/users/9431846/items/INGK33T3"],"itemData":{"id":1854,"type":"article-journal","container-title":"Reviews in Fisheries Science &amp; Aquaculture","DOI":"10.1080/23308249.2019.1649634","ISSN":"2330-8249, 2330-8257","issue":"1","journalAbbreviation":"Reviews in Fisheries Science &amp; Aquaculture","language":"en","page":"43-56","source":"DOI.org (Crossref)","title":"Trends in Global Aquaculture and Aquafeed Production: 2000–2017","title-short":"Trends in Global Aquaculture and Aquafeed Production","volume":"28","author":[{"family":"Tacon","given":"Albert G. J."}],"issued":{"date-parts":[["2020",1,2]]}}}],"schema":"https://github.com/citation-style-language/schema/raw/master/csl-citation.json"} </w:instrText>
      </w:r>
      <w:r w:rsidR="005F178E">
        <w:rPr>
          <w:rFonts w:ascii="Times New Roman" w:hAnsi="Times New Roman" w:cs="Times New Roman"/>
        </w:rPr>
        <w:fldChar w:fldCharType="separate"/>
      </w:r>
      <w:r w:rsidR="00584228" w:rsidRPr="00584228">
        <w:rPr>
          <w:rFonts w:ascii="Times New Roman" w:hAnsi="Times New Roman" w:cs="Times New Roman"/>
          <w:szCs w:val="24"/>
          <w:vertAlign w:val="superscript"/>
        </w:rPr>
        <w:t>61</w:t>
      </w:r>
      <w:r w:rsidR="005F178E">
        <w:rPr>
          <w:rFonts w:ascii="Times New Roman" w:hAnsi="Times New Roman" w:cs="Times New Roman"/>
        </w:rPr>
        <w:fldChar w:fldCharType="end"/>
      </w:r>
      <w:r w:rsidR="008816C2" w:rsidRPr="008F0ED4">
        <w:rPr>
          <w:rFonts w:ascii="Times New Roman" w:hAnsi="Times New Roman" w:cs="Times New Roman"/>
        </w:rPr>
        <w:t>.</w:t>
      </w:r>
      <w:r w:rsidR="008816C2" w:rsidRPr="00CE700E">
        <w:rPr>
          <w:rFonts w:ascii="Times New Roman" w:hAnsi="Times New Roman" w:cs="Times New Roman"/>
        </w:rPr>
        <w:t xml:space="preserve"> Over the last two decades, </w:t>
      </w:r>
      <w:r w:rsidR="006B5B2F">
        <w:rPr>
          <w:rFonts w:ascii="Times New Roman" w:hAnsi="Times New Roman" w:cs="Times New Roman"/>
        </w:rPr>
        <w:t xml:space="preserve">a major area of research </w:t>
      </w:r>
      <w:r w:rsidR="008816C2" w:rsidRPr="00CE700E">
        <w:rPr>
          <w:rFonts w:ascii="Times New Roman" w:hAnsi="Times New Roman" w:cs="Times New Roman"/>
        </w:rPr>
        <w:t>ha</w:t>
      </w:r>
      <w:r w:rsidR="0079438B">
        <w:rPr>
          <w:rFonts w:ascii="Times New Roman" w:hAnsi="Times New Roman" w:cs="Times New Roman"/>
        </w:rPr>
        <w:t>s</w:t>
      </w:r>
      <w:r w:rsidR="008816C2" w:rsidRPr="00CE700E">
        <w:rPr>
          <w:rFonts w:ascii="Times New Roman" w:hAnsi="Times New Roman" w:cs="Times New Roman"/>
        </w:rPr>
        <w:t xml:space="preserve"> focused </w:t>
      </w:r>
      <w:r w:rsidR="0079438B">
        <w:rPr>
          <w:rFonts w:ascii="Times New Roman" w:hAnsi="Times New Roman" w:cs="Times New Roman"/>
        </w:rPr>
        <w:t>on FM and FO replacements/alternatives</w:t>
      </w:r>
      <w:r w:rsidR="008816C2" w:rsidRPr="00CE700E">
        <w:rPr>
          <w:rFonts w:ascii="Times New Roman" w:hAnsi="Times New Roman" w:cs="Times New Roman"/>
        </w:rPr>
        <w:t>. As a result, from the time of review of 2000</w:t>
      </w:r>
      <w:r w:rsidR="006975B0" w:rsidRPr="00CE700E">
        <w:rPr>
          <w:rFonts w:ascii="Times New Roman" w:hAnsi="Times New Roman" w:cs="Times New Roman"/>
        </w:rPr>
        <w:t xml:space="preserve"> </w:t>
      </w:r>
      <w:r w:rsidR="00E50B06" w:rsidRPr="00CE700E">
        <w:rPr>
          <w:rFonts w:ascii="Times New Roman" w:hAnsi="Times New Roman" w:cs="Times New Roman"/>
        </w:rPr>
        <w:fldChar w:fldCharType="begin"/>
      </w:r>
      <w:r w:rsidR="000F53E6">
        <w:rPr>
          <w:rFonts w:ascii="Times New Roman" w:hAnsi="Times New Roman" w:cs="Times New Roman"/>
        </w:rPr>
        <w:instrText xml:space="preserve"> ADDIN ZOTERO_ITEM CSL_CITATION {"citationID":"at3ba4h6it","properties":{"formattedCitation":"\\super 47\\nosupersub{}","plainCitation":"47","noteIndex":0},"citationItems":[{"id":839,"uris":["http://zotero.org/groups/4669668/items/ZJI3F7PK"],"itemData":{"id":839,"type":"article-journal","abstract":"Global production of farmed fish and shellfish has more than doubled in the past 15 years. Many people believe that such growth relieves pressure on ocean fisheries, but the opposite is true for some types of aquaculture. Farming carnivorous species requires large inputs of wild fish for feed. Some aquaculture systems also reduce wild fish supplies through habitat modification, wild seedstock collection and other ecological impacts. On balance, global aquaculture production still adds to world fish supplies; however, if the growing aquaculture industry is to sustain its contribution to world fish supplies, it must reduce wild fish inputs in feed and adopt more ecologically sound management practices.","container-title":"Nature","DOI":"10.1038/35016500","ISSN":"1476-4687","issue":"6790","language":"en","license":"2000 Macmillan Magazines Ltd.","note":"number: 6790\npublisher: Nature Publishing Group","page":"1017-1024","source":"www.nature.com","title":"Effect of aquaculture on world fish supplies","volume":"405","author":[{"family":"Naylor","given":"Rosamond L."},{"family":"Goldburg","given":"Rebecca J."},{"family":"Primavera","given":"Jurgenne H."},{"family":"Kautsky","given":"Nils"},{"family":"Beveridge","given":"Malcolm C. M."},{"family":"Clay","given":"Jason"},{"family":"Folke","given":"Carl"},{"family":"Lubchenco","given":"Jane"},{"family":"Mooney","given":"Harold"},{"family":"Troell","given":"Max"}],"issued":{"date-parts":[["2000",6]]}}}],"schema":"https://github.com/citation-style-language/schema/raw/master/csl-citation.json"} </w:instrText>
      </w:r>
      <w:r w:rsidR="00E50B06" w:rsidRPr="00CE700E">
        <w:rPr>
          <w:rFonts w:ascii="Times New Roman" w:hAnsi="Times New Roman" w:cs="Times New Roman"/>
        </w:rPr>
        <w:fldChar w:fldCharType="separate"/>
      </w:r>
      <w:r w:rsidR="000F53E6" w:rsidRPr="000F53E6">
        <w:rPr>
          <w:rFonts w:ascii="Times New Roman" w:hAnsi="Times New Roman" w:cs="Times New Roman"/>
          <w:szCs w:val="24"/>
          <w:vertAlign w:val="superscript"/>
        </w:rPr>
        <w:t>47</w:t>
      </w:r>
      <w:r w:rsidR="00E50B06" w:rsidRPr="00CE700E">
        <w:rPr>
          <w:rFonts w:ascii="Times New Roman" w:hAnsi="Times New Roman" w:cs="Times New Roman"/>
        </w:rPr>
        <w:fldChar w:fldCharType="end"/>
      </w:r>
      <w:r w:rsidR="008816C2" w:rsidRPr="00CE700E">
        <w:rPr>
          <w:rFonts w:ascii="Times New Roman" w:hAnsi="Times New Roman" w:cs="Times New Roman"/>
        </w:rPr>
        <w:t xml:space="preserve"> t</w:t>
      </w:r>
      <w:r w:rsidR="004F5132" w:rsidRPr="00CE700E">
        <w:rPr>
          <w:rFonts w:ascii="Times New Roman" w:hAnsi="Times New Roman" w:cs="Times New Roman"/>
        </w:rPr>
        <w:t>o</w:t>
      </w:r>
      <w:r w:rsidR="008816C2" w:rsidRPr="00CE700E">
        <w:rPr>
          <w:rFonts w:ascii="Times New Roman" w:hAnsi="Times New Roman" w:cs="Times New Roman"/>
        </w:rPr>
        <w:t xml:space="preserve"> 2021</w:t>
      </w:r>
      <w:r w:rsidR="009F0D5C" w:rsidRPr="00CE700E">
        <w:rPr>
          <w:rFonts w:ascii="Times New Roman" w:hAnsi="Times New Roman" w:cs="Times New Roman"/>
        </w:rPr>
        <w:t xml:space="preserve"> </w:t>
      </w:r>
      <w:r w:rsidR="006975B0" w:rsidRPr="00CE700E">
        <w:rPr>
          <w:rFonts w:ascii="Times New Roman" w:hAnsi="Times New Roman" w:cs="Times New Roman"/>
        </w:rPr>
        <w:fldChar w:fldCharType="begin"/>
      </w:r>
      <w:r w:rsidR="009D2729">
        <w:rPr>
          <w:rFonts w:ascii="Times New Roman" w:hAnsi="Times New Roman" w:cs="Times New Roman"/>
        </w:rPr>
        <w:instrText xml:space="preserve"> ADDIN ZOTERO_ITEM CSL_CITATION {"citationID":"a5rinl4ho","properties":{"formattedCitation":"\\super 7\\nosupersub{}","plainCitation":"7","noteIndex":0},"citationItems":[{"id":838,"uris":["http://zotero.org/groups/4669668/items/J6BPY283"],"itemData":{"id":838,"type":"article-journal","abstract":"The sustainability of aquaculture has been debated intensely since 2000, when a review on the net contribution of aquaculture to world fish supplies was published in Nature. This paper reviews the developments in global aquaculture from 1997 to 2017, incorporating all industry sub-sectors and highlighting the integration of aquaculture in the global food system. Inland aquaculture—especially in Asia—has contributed the most to global production volumes and food security. Major gains have also occurred in aquaculture feed efficiency and fish nutrition, lowering the fish-in–fish-out ratio for all fed species, although the dependence on marine ingredients persists and reliance on terrestrial ingredients has increased. The culture of both molluscs and seaweed is increasingly recognized for its ecosystem services; however, the quantification, valuation, and market development of these services remain rare. The potential for molluscs and seaweed to support global nutritional security is underexploited. Management of pathogens, parasites, and pests remains a sustainability challenge industry-wide, and the effects of climate change on aquaculture remain uncertain and difficult to validate. Pressure on the aquaculture industry to embrace comprehensive sustainability measures during this 20-year period have improved the governance, technology, siting, and management in many cases.","container-title":"Nature","DOI":"10.1038/s41586-021-03308-6","ISSN":"1476-4687","issue":"7851","language":"en","license":"2021 Springer Nature Limited","note":"number: 7851\npublisher: Nature Publishing Group","page":"551-563","source":"www.nature.com","title":"A 20-year retrospective review of global aquaculture","volume":"591","author":[{"family":"Naylor","given":"Rosamond L."},{"family":"Hardy","given":"Ronald W."},{"family":"Buschmann","given":"Alejandro H."},{"family":"Bush","given":"Simon R."},{"family":"Cao","given":"Ling"},{"family":"Klinger","given":"Dane H."},{"family":"Little","given":"David C."},{"family":"Lubchenco","given":"Jane"},{"family":"Shumway","given":"Sandra E."},{"family":"Troell","given":"Max"}],"issued":{"date-parts":[["2021",3]]}}}],"schema":"https://github.com/citation-style-language/schema/raw/master/csl-citation.json"} </w:instrText>
      </w:r>
      <w:r w:rsidR="006975B0" w:rsidRPr="00CE700E">
        <w:rPr>
          <w:rFonts w:ascii="Times New Roman" w:hAnsi="Times New Roman" w:cs="Times New Roman"/>
        </w:rPr>
        <w:fldChar w:fldCharType="separate"/>
      </w:r>
      <w:r w:rsidR="009D2729" w:rsidRPr="009D2729">
        <w:rPr>
          <w:rFonts w:ascii="Times New Roman" w:hAnsi="Times New Roman" w:cs="Times New Roman"/>
          <w:szCs w:val="24"/>
          <w:vertAlign w:val="superscript"/>
        </w:rPr>
        <w:t>7</w:t>
      </w:r>
      <w:r w:rsidR="006975B0" w:rsidRPr="00CE700E">
        <w:rPr>
          <w:rFonts w:ascii="Times New Roman" w:hAnsi="Times New Roman" w:cs="Times New Roman"/>
        </w:rPr>
        <w:fldChar w:fldCharType="end"/>
      </w:r>
      <w:r w:rsidR="008816C2" w:rsidRPr="00CE700E">
        <w:rPr>
          <w:rFonts w:ascii="Times New Roman" w:hAnsi="Times New Roman" w:cs="Times New Roman"/>
        </w:rPr>
        <w:t xml:space="preserve">, the use of FM and FO </w:t>
      </w:r>
      <w:r w:rsidR="00B8296B" w:rsidRPr="00CE700E">
        <w:rPr>
          <w:rFonts w:ascii="Times New Roman" w:hAnsi="Times New Roman" w:cs="Times New Roman"/>
        </w:rPr>
        <w:t>ha</w:t>
      </w:r>
      <w:r w:rsidR="00B8296B">
        <w:rPr>
          <w:rFonts w:ascii="Times New Roman" w:hAnsi="Times New Roman" w:cs="Times New Roman"/>
        </w:rPr>
        <w:t>s</w:t>
      </w:r>
      <w:r w:rsidR="00B8296B" w:rsidRPr="00CE700E">
        <w:rPr>
          <w:rFonts w:ascii="Times New Roman" w:hAnsi="Times New Roman" w:cs="Times New Roman"/>
        </w:rPr>
        <w:t xml:space="preserve"> </w:t>
      </w:r>
      <w:r w:rsidR="008816C2" w:rsidRPr="00CE700E">
        <w:rPr>
          <w:rFonts w:ascii="Times New Roman" w:hAnsi="Times New Roman" w:cs="Times New Roman"/>
        </w:rPr>
        <w:t xml:space="preserve">considerably decreased in aquafeed </w:t>
      </w:r>
      <w:r w:rsidR="009F0D5C" w:rsidRPr="00CE700E">
        <w:rPr>
          <w:rFonts w:ascii="Times New Roman" w:hAnsi="Times New Roman" w:cs="Times New Roman"/>
        </w:rPr>
        <w:fldChar w:fldCharType="begin"/>
      </w:r>
      <w:r w:rsidR="000110E2">
        <w:rPr>
          <w:rFonts w:ascii="Times New Roman" w:hAnsi="Times New Roman" w:cs="Times New Roman"/>
        </w:rPr>
        <w:instrText xml:space="preserve"> ADDIN ZOTERO_ITEM CSL_CITATION {"citationID":"aeihl6veeo","properties":{"formattedCitation":"\\super 62\\nosupersub{}","plainCitation":"62","noteIndex":0},"citationItems":[{"id":837,"uris":["http://zotero.org/groups/4669668/items/XP6PRTQM"],"itemData":{"id":837,"type":"article-journal","abstract":"Important operational changes that have gradually been assimilated and new approaches that are developing as part of the movement toward sustainable intensive aquaculture production systems are presented via historical, current, and future perspectives. Improved environmental and economic sustainability based on increased efficiency of production continues to be realized. As a result, aquaculture continues to reduce its carbon footprint through reduced greenhouse gas emissions. Reduced use of freshwater and land resources per unit of production, improved feed management practices as well as increased knowledge of nutrient requirements, effective feed ingredients and additives, domestication of species, and new farming practices are now being applied or evaluated. Successful expansion into culture of marine species, both off and on shore, offers the potential of substantial increases in sustainable intensive aquaculture production combined with integrative efforts to increase efficiency will principally contribute to satisfying the increasing global demand for protein and food security needs.","container-title":"Journal of the World Aquaculture Society","DOI":"10.1111/jwas.12714","ISSN":"1749-7345","issue":"3","language":"en","note":"number: 3\n_eprint: https://onlinelibrary.wiley.com/doi/pdf/10.1111/jwas.12714","page":"578-633","source":"Wiley Online Library","title":"Achieving sustainable aquaculture: Historical and current perspectives and future needs and challenges","title-short":"Achieving sustainable aquaculture","volume":"51","author":[{"family":"Boyd","given":"Claude E."},{"family":"D'Abramo","given":"Louis R."},{"family":"Glencross","given":"Brent D."},{"family":"Huyben","given":"David C."},{"family":"Juarez","given":"Lorenzo M."},{"family":"Lockwood","given":"George S."},{"family":"McNevin","given":"Aaron A."},{"family":"Tacon","given":"Albert G. J."},{"family":"Teletchea","given":"Fabrice"},{"family":"Tomasso Jr","given":"Joseph R."},{"family":"Tucker","given":"Craig S."},{"family":"Valenti","given":"Wagner C."}],"issued":{"date-parts":[["2020"]]}}}],"schema":"https://github.com/citation-style-language/schema/raw/master/csl-citation.json"} </w:instrText>
      </w:r>
      <w:r w:rsidR="009F0D5C" w:rsidRPr="00CE700E">
        <w:rPr>
          <w:rFonts w:ascii="Times New Roman" w:hAnsi="Times New Roman" w:cs="Times New Roman"/>
        </w:rPr>
        <w:fldChar w:fldCharType="separate"/>
      </w:r>
      <w:r w:rsidR="000110E2" w:rsidRPr="000110E2">
        <w:rPr>
          <w:rFonts w:ascii="Times New Roman" w:hAnsi="Times New Roman" w:cs="Times New Roman"/>
          <w:szCs w:val="24"/>
          <w:vertAlign w:val="superscript"/>
        </w:rPr>
        <w:t>62</w:t>
      </w:r>
      <w:r w:rsidR="009F0D5C" w:rsidRPr="00CE700E">
        <w:rPr>
          <w:rFonts w:ascii="Times New Roman" w:hAnsi="Times New Roman" w:cs="Times New Roman"/>
        </w:rPr>
        <w:fldChar w:fldCharType="end"/>
      </w:r>
      <w:r w:rsidR="008816C2" w:rsidRPr="00CE700E">
        <w:rPr>
          <w:rFonts w:ascii="Times New Roman" w:hAnsi="Times New Roman" w:cs="Times New Roman"/>
        </w:rPr>
        <w:t>. Modern aquafeed</w:t>
      </w:r>
      <w:r w:rsidR="00492385" w:rsidRPr="00CE700E">
        <w:rPr>
          <w:rFonts w:ascii="Times New Roman" w:hAnsi="Times New Roman" w:cs="Times New Roman"/>
        </w:rPr>
        <w:t>s</w:t>
      </w:r>
      <w:r w:rsidR="008816C2" w:rsidRPr="00CE700E">
        <w:rPr>
          <w:rFonts w:ascii="Times New Roman" w:hAnsi="Times New Roman" w:cs="Times New Roman"/>
        </w:rPr>
        <w:t xml:space="preserve"> are now predominantly composed of terrestrial plant materials and animal by-products; and the use of FM and FO </w:t>
      </w:r>
      <w:r w:rsidR="006B3D11" w:rsidRPr="00CE700E">
        <w:rPr>
          <w:rFonts w:ascii="Times New Roman" w:hAnsi="Times New Roman" w:cs="Times New Roman"/>
        </w:rPr>
        <w:t>has</w:t>
      </w:r>
      <w:r w:rsidR="008816C2" w:rsidRPr="00CE700E">
        <w:rPr>
          <w:rFonts w:ascii="Times New Roman" w:hAnsi="Times New Roman" w:cs="Times New Roman"/>
        </w:rPr>
        <w:t xml:space="preserve"> been </w:t>
      </w:r>
      <w:r w:rsidR="00F12D33" w:rsidRPr="00CE700E">
        <w:rPr>
          <w:rFonts w:ascii="Times New Roman" w:hAnsi="Times New Roman" w:cs="Times New Roman"/>
        </w:rPr>
        <w:t>significantly reduced</w:t>
      </w:r>
      <w:r w:rsidR="008816C2" w:rsidRPr="00CE700E">
        <w:rPr>
          <w:rFonts w:ascii="Times New Roman" w:hAnsi="Times New Roman" w:cs="Times New Roman"/>
        </w:rPr>
        <w:t xml:space="preserve"> to even negligible amounts (≤10%) for omnivorous and herbivorous fish species like </w:t>
      </w:r>
      <w:r w:rsidR="00114E4D">
        <w:rPr>
          <w:rFonts w:ascii="Times New Roman" w:hAnsi="Times New Roman" w:cs="Times New Roman"/>
        </w:rPr>
        <w:t>carp and tilapia</w:t>
      </w:r>
      <w:r w:rsidR="00564912">
        <w:rPr>
          <w:rFonts w:ascii="Times New Roman" w:hAnsi="Times New Roman" w:cs="Times New Roman"/>
        </w:rPr>
        <w:t xml:space="preserve"> </w:t>
      </w:r>
      <w:r w:rsidR="00564912">
        <w:rPr>
          <w:rFonts w:ascii="Times New Roman" w:hAnsi="Times New Roman" w:cs="Times New Roman"/>
        </w:rPr>
        <w:fldChar w:fldCharType="begin"/>
      </w:r>
      <w:r w:rsidR="00A5527B">
        <w:rPr>
          <w:rFonts w:ascii="Times New Roman" w:hAnsi="Times New Roman" w:cs="Times New Roman"/>
        </w:rPr>
        <w:instrText xml:space="preserve"> ADDIN ZOTERO_ITEM CSL_CITATION {"citationID":"a1av1u7cq6j","properties":{"formattedCitation":"\\super 61\\nosupersub{}","plainCitation":"61","noteIndex":0},"citationItems":[{"id":1854,"uris":["http://zotero.org/users/9431846/items/INGK33T3"],"itemData":{"id":1854,"type":"article-journal","container-title":"Reviews in Fisheries Science &amp; Aquaculture","DOI":"10.1080/23308249.2019.1649634","ISSN":"2330-8249, 2330-8257","issue":"1","journalAbbreviation":"Reviews in Fisheries Science &amp; Aquaculture","language":"en","page":"43-56","source":"DOI.org (Crossref)","title":"Trends in Global Aquaculture and Aquafeed Production: 2000–2017","title-short":"Trends in Global Aquaculture and Aquafeed Production","volume":"28","author":[{"family":"Tacon","given":"Albert G. J."}],"issued":{"date-parts":[["2020",1,2]]}}}],"schema":"https://github.com/citation-style-language/schema/raw/master/csl-citation.json"} </w:instrText>
      </w:r>
      <w:r w:rsidR="00564912">
        <w:rPr>
          <w:rFonts w:ascii="Times New Roman" w:hAnsi="Times New Roman" w:cs="Times New Roman"/>
        </w:rPr>
        <w:fldChar w:fldCharType="separate"/>
      </w:r>
      <w:r w:rsidR="00A5527B" w:rsidRPr="00A5527B">
        <w:rPr>
          <w:rFonts w:ascii="Times New Roman" w:hAnsi="Times New Roman" w:cs="Times New Roman"/>
          <w:szCs w:val="24"/>
          <w:vertAlign w:val="superscript"/>
        </w:rPr>
        <w:t>61</w:t>
      </w:r>
      <w:r w:rsidR="00564912">
        <w:rPr>
          <w:rFonts w:ascii="Times New Roman" w:hAnsi="Times New Roman" w:cs="Times New Roman"/>
        </w:rPr>
        <w:fldChar w:fldCharType="end"/>
      </w:r>
      <w:r w:rsidR="008816C2" w:rsidRPr="00CE700E">
        <w:rPr>
          <w:rFonts w:ascii="Times New Roman" w:hAnsi="Times New Roman" w:cs="Times New Roman"/>
        </w:rPr>
        <w:t xml:space="preserve">. </w:t>
      </w:r>
      <w:r w:rsidR="00024317" w:rsidRPr="00024317">
        <w:rPr>
          <w:rFonts w:ascii="Times New Roman" w:hAnsi="Times New Roman" w:cs="Times New Roman"/>
        </w:rPr>
        <w:t>But it must be clarified that despite reduced inclusion rates of FM/ FO, the fed aquaculture production and parallelly production of aquafeed have increased als</w:t>
      </w:r>
      <w:r w:rsidR="00A14F48">
        <w:rPr>
          <w:rFonts w:ascii="Times New Roman" w:hAnsi="Times New Roman" w:cs="Times New Roman"/>
        </w:rPr>
        <w:t xml:space="preserve">o </w:t>
      </w:r>
      <w:r w:rsidR="00A14F48">
        <w:rPr>
          <w:rFonts w:ascii="Times New Roman" w:hAnsi="Times New Roman" w:cs="Times New Roman"/>
        </w:rPr>
        <w:fldChar w:fldCharType="begin"/>
      </w:r>
      <w:r w:rsidR="003918D7">
        <w:rPr>
          <w:rFonts w:ascii="Times New Roman" w:hAnsi="Times New Roman" w:cs="Times New Roman"/>
        </w:rPr>
        <w:instrText xml:space="preserve"> ADDIN ZOTERO_ITEM CSL_CITATION {"citationID":"a1c487fbrk3","properties":{"formattedCitation":"\\super 62\\nosupersub{}","plainCitation":"62","noteIndex":0},"citationItems":[{"id":837,"uris":["http://zotero.org/groups/4669668/items/XP6PRTQM"],"itemData":{"id":837,"type":"article-journal","abstract":"Important operational changes that have gradually been assimilated and new approaches that are developing as part of the movement toward sustainable intensive aquaculture production systems are presented via historical, current, and future perspectives. Improved environmental and economic sustainability based on increased efficiency of production continues to be realized. As a result, aquaculture continues to reduce its carbon footprint through reduced greenhouse gas emissions. Reduced use of freshwater and land resources per unit of production, improved feed management practices as well as increased knowledge of nutrient requirements, effective feed ingredients and additives, domestication of species, and new farming practices are now being applied or evaluated. Successful expansion into culture of marine species, both off and on shore, offers the potential of substantial increases in sustainable intensive aquaculture production combined with integrative efforts to increase efficiency will principally contribute to satisfying the increasing global demand for protein and food security needs.","container-title":"Journal of the World Aquaculture Society","DOI":"10.1111/jwas.12714","ISSN":"1749-7345","issue":"3","language":"en","note":"number: 3\n_eprint: https://onlinelibrary.wiley.com/doi/pdf/10.1111/jwas.12714","page":"578-633","source":"Wiley Online Library","title":"Achieving sustainable aquaculture: Historical and current perspectives and future needs and challenges","title-short":"Achieving sustainable aquaculture","volume":"51","author":[{"family":"Boyd","given":"Claude E."},{"family":"D'Abramo","given":"Louis R."},{"family":"Glencross","given":"Brent D."},{"family":"Huyben","given":"David C."},{"family":"Juarez","given":"Lorenzo M."},{"family":"Lockwood","given":"George S."},{"family":"McNevin","given":"Aaron A."},{"family":"Tacon","given":"Albert G. J."},{"family":"Teletchea","given":"Fabrice"},{"family":"Tomasso Jr","given":"Joseph R."},{"family":"Tucker","given":"Craig S."},{"family":"Valenti","given":"Wagner C."}],"issued":{"date-parts":[["2020"]]}}}],"schema":"https://github.com/citation-style-language/schema/raw/master/csl-citation.json"} </w:instrText>
      </w:r>
      <w:r w:rsidR="00A14F48">
        <w:rPr>
          <w:rFonts w:ascii="Times New Roman" w:hAnsi="Times New Roman" w:cs="Times New Roman"/>
        </w:rPr>
        <w:fldChar w:fldCharType="separate"/>
      </w:r>
      <w:r w:rsidR="003918D7" w:rsidRPr="003918D7">
        <w:rPr>
          <w:rFonts w:ascii="Times New Roman" w:hAnsi="Times New Roman" w:cs="Times New Roman"/>
          <w:szCs w:val="24"/>
          <w:vertAlign w:val="superscript"/>
        </w:rPr>
        <w:t>62</w:t>
      </w:r>
      <w:r w:rsidR="00A14F48">
        <w:rPr>
          <w:rFonts w:ascii="Times New Roman" w:hAnsi="Times New Roman" w:cs="Times New Roman"/>
        </w:rPr>
        <w:fldChar w:fldCharType="end"/>
      </w:r>
      <w:r w:rsidR="00024317" w:rsidRPr="00024317">
        <w:rPr>
          <w:rFonts w:ascii="Times New Roman" w:hAnsi="Times New Roman" w:cs="Times New Roman"/>
        </w:rPr>
        <w:t>. Therefore, the industry-wide use of FM/ FO has stayed the same</w:t>
      </w:r>
      <w:r w:rsidR="00024317">
        <w:rPr>
          <w:rFonts w:ascii="Times New Roman" w:hAnsi="Times New Roman" w:cs="Times New Roman"/>
          <w:color w:val="7030A0"/>
        </w:rPr>
        <w:t xml:space="preserve">. </w:t>
      </w:r>
    </w:p>
    <w:p w14:paraId="5C7C2000" w14:textId="5B366F72" w:rsidR="006500AD" w:rsidRPr="00C80DCF" w:rsidRDefault="008816C2" w:rsidP="00F844B7">
      <w:pPr>
        <w:spacing w:line="360" w:lineRule="auto"/>
        <w:ind w:firstLine="720"/>
        <w:contextualSpacing/>
        <w:jc w:val="both"/>
        <w:rPr>
          <w:rFonts w:ascii="Times New Roman" w:hAnsi="Times New Roman" w:cs="Times New Roman"/>
        </w:rPr>
      </w:pPr>
      <w:r w:rsidRPr="00CE700E">
        <w:rPr>
          <w:rFonts w:ascii="Times New Roman" w:hAnsi="Times New Roman" w:cs="Times New Roman"/>
        </w:rPr>
        <w:t>Some of these alternative feedstuffs to FM and FO are also not without environmental impact and not all of them fit the principles of circularity</w:t>
      </w:r>
      <w:r w:rsidR="00D370B0">
        <w:rPr>
          <w:rFonts w:ascii="Times New Roman" w:hAnsi="Times New Roman" w:cs="Times New Roman"/>
        </w:rPr>
        <w:t>.</w:t>
      </w:r>
      <w:r w:rsidR="008A74A3">
        <w:rPr>
          <w:rFonts w:ascii="Times New Roman" w:hAnsi="Times New Roman" w:cs="Times New Roman"/>
        </w:rPr>
        <w:t xml:space="preserve"> For example, some FM and FO alternatives </w:t>
      </w:r>
      <w:r w:rsidR="007C5046">
        <w:rPr>
          <w:rFonts w:ascii="Times New Roman" w:hAnsi="Times New Roman" w:cs="Times New Roman"/>
        </w:rPr>
        <w:t>add</w:t>
      </w:r>
      <w:r w:rsidRPr="00CE700E">
        <w:rPr>
          <w:rFonts w:ascii="Times New Roman" w:hAnsi="Times New Roman" w:cs="Times New Roman"/>
        </w:rPr>
        <w:t xml:space="preserve"> pressure on land and water resources, </w:t>
      </w:r>
      <w:r w:rsidR="007C5046">
        <w:rPr>
          <w:rFonts w:ascii="Times New Roman" w:hAnsi="Times New Roman" w:cs="Times New Roman"/>
        </w:rPr>
        <w:t xml:space="preserve">have </w:t>
      </w:r>
      <w:r w:rsidRPr="00CE700E">
        <w:rPr>
          <w:rFonts w:ascii="Times New Roman" w:hAnsi="Times New Roman" w:cs="Times New Roman"/>
        </w:rPr>
        <w:t>food-feed conflicts, do not valorize any waste, or hav</w:t>
      </w:r>
      <w:r w:rsidR="007C5046">
        <w:rPr>
          <w:rFonts w:ascii="Times New Roman" w:hAnsi="Times New Roman" w:cs="Times New Roman"/>
        </w:rPr>
        <w:t>e</w:t>
      </w:r>
      <w:r w:rsidRPr="00CE700E">
        <w:rPr>
          <w:rFonts w:ascii="Times New Roman" w:hAnsi="Times New Roman" w:cs="Times New Roman"/>
        </w:rPr>
        <w:t xml:space="preserve"> </w:t>
      </w:r>
      <w:r w:rsidR="007C5046">
        <w:rPr>
          <w:rFonts w:ascii="Times New Roman" w:hAnsi="Times New Roman" w:cs="Times New Roman"/>
        </w:rPr>
        <w:t xml:space="preserve">their own </w:t>
      </w:r>
      <w:r w:rsidRPr="00CE700E">
        <w:rPr>
          <w:rFonts w:ascii="Times New Roman" w:hAnsi="Times New Roman" w:cs="Times New Roman"/>
        </w:rPr>
        <w:t>environmental footprints</w:t>
      </w:r>
      <w:r w:rsidR="006966DD" w:rsidRPr="00CE700E">
        <w:rPr>
          <w:rFonts w:ascii="Times New Roman" w:hAnsi="Times New Roman" w:cs="Times New Roman"/>
        </w:rPr>
        <w:t xml:space="preserve"> </w:t>
      </w:r>
      <w:r w:rsidR="006966DD" w:rsidRPr="00CE700E">
        <w:rPr>
          <w:rFonts w:ascii="Times New Roman" w:hAnsi="Times New Roman" w:cs="Times New Roman"/>
        </w:rPr>
        <w:fldChar w:fldCharType="begin"/>
      </w:r>
      <w:r w:rsidR="00F86FAD">
        <w:rPr>
          <w:rFonts w:ascii="Times New Roman" w:hAnsi="Times New Roman" w:cs="Times New Roman"/>
        </w:rPr>
        <w:instrText xml:space="preserve"> ADDIN ZOTERO_ITEM CSL_CITATION {"citationID":"ao09gh8ol4","properties":{"formattedCitation":"\\super 28,30\\nosupersub{}","plainCitation":"28,30","noteIndex":0},"citationItems":[{"id":849,"uris":["http://zotero.org/groups/4669668/items/8WJAGPVM"],"itemData":{"id":849,"type":"article-journal","container-title":"Reviews in Aquaculture","DOI":"10.1111/raq.12567","ISSN":"1753-5131","issue":"3","language":"en","note":"number: 3\n_eprint: https://onlinelibrary.wiley.com/doi/pdf/10.1111/raq.12567","page":"1156-1158","source":"Wiley Online Library","title":"‘Aquafeed 3.0’: creating a more resilient aquaculture industry with a circular bioeconomy framework","title-short":"‘Aquafeed 3.0’","volume":"13","author":[{"family":"Colombo","given":"Stefanie M."},{"family":"Turchini","given":"Giovanni M."}],"issued":{"date-parts":[["2021"]]}}},{"id":989,"uris":["http://zotero.org/groups/4669668/items/836P5PHM"],"itemData":{"id":989,"type":"webpage","container-title":"Review in Aquaculture","genre":"Wiley Online Library","language":"en","note":"ISSN: 1753-5131\nDOI: 10.1111/(ISSN)1753-5131","title":"Triggering circularity in aquaculture – an introductory virtual special issue","URL":"https://onlinelibrary.wiley.com/page/journal/17535131/homepage/circularity-in-aquaculture-introduction","author":[{"family":"Roy","given":"Koushik"},{"family":"Turkmen","given":"Serhat"},{"family":"Turchini","given":"Giovanni M."}],"accessed":{"date-parts":[["2022",4,23]]},"issued":{"date-parts":[["2021"]]}}}],"schema":"https://github.com/citation-style-language/schema/raw/master/csl-citation.json"} </w:instrText>
      </w:r>
      <w:r w:rsidR="006966DD" w:rsidRPr="00CE700E">
        <w:rPr>
          <w:rFonts w:ascii="Times New Roman" w:hAnsi="Times New Roman" w:cs="Times New Roman"/>
        </w:rPr>
        <w:fldChar w:fldCharType="separate"/>
      </w:r>
      <w:r w:rsidR="00F86FAD" w:rsidRPr="00F86FAD">
        <w:rPr>
          <w:rFonts w:ascii="Times New Roman" w:hAnsi="Times New Roman" w:cs="Times New Roman"/>
          <w:szCs w:val="24"/>
          <w:vertAlign w:val="superscript"/>
        </w:rPr>
        <w:t>28,30</w:t>
      </w:r>
      <w:r w:rsidR="006966DD" w:rsidRPr="00CE700E">
        <w:rPr>
          <w:rFonts w:ascii="Times New Roman" w:hAnsi="Times New Roman" w:cs="Times New Roman"/>
        </w:rPr>
        <w:fldChar w:fldCharType="end"/>
      </w:r>
      <w:r w:rsidRPr="00CE700E">
        <w:rPr>
          <w:rFonts w:ascii="Times New Roman" w:hAnsi="Times New Roman" w:cs="Times New Roman"/>
        </w:rPr>
        <w:t xml:space="preserve">. For example, a heavy reliance on terrestrially derived agriculture products has sustainability issues, </w:t>
      </w:r>
      <w:r w:rsidR="00F53344" w:rsidRPr="00CE700E">
        <w:rPr>
          <w:rFonts w:ascii="Times New Roman" w:hAnsi="Times New Roman" w:cs="Times New Roman"/>
        </w:rPr>
        <w:t>as mentioned in the previous section</w:t>
      </w:r>
      <w:r w:rsidRPr="00CE700E">
        <w:rPr>
          <w:rFonts w:ascii="Times New Roman" w:hAnsi="Times New Roman" w:cs="Times New Roman"/>
        </w:rPr>
        <w:t xml:space="preserve">. Many plant-based aquafeed ingredients, often promoted as sustainable to FM and FO, may also directly compete with human food streams </w:t>
      </w:r>
      <w:r w:rsidR="00BA0612" w:rsidRPr="00CE700E">
        <w:rPr>
          <w:rFonts w:ascii="Times New Roman" w:hAnsi="Times New Roman" w:cs="Times New Roman"/>
        </w:rPr>
        <w:fldChar w:fldCharType="begin"/>
      </w:r>
      <w:r w:rsidR="00207437">
        <w:rPr>
          <w:rFonts w:ascii="Times New Roman" w:hAnsi="Times New Roman" w:cs="Times New Roman"/>
        </w:rPr>
        <w:instrText xml:space="preserve"> ADDIN ZOTERO_ITEM CSL_CITATION {"citationID":"a242ls3kg3h","properties":{"formattedCitation":"\\super 28\\nosupersub{}","plainCitation":"28","noteIndex":0},"citationItems":[{"id":849,"uris":["http://zotero.org/groups/4669668/items/8WJAGPVM"],"itemData":{"id":849,"type":"article-journal","container-title":"Reviews in Aquaculture","DOI":"10.1111/raq.12567","ISSN":"1753-5131","issue":"3","language":"en","note":"number: 3\n_eprint: https://onlinelibrary.wiley.com/doi/pdf/10.1111/raq.12567","page":"1156-1158","source":"Wiley Online Library","title":"‘Aquafeed 3.0’: creating a more resilient aquaculture industry with a circular bioeconomy framework","title-short":"‘Aquafeed 3.0’","volume":"13","author":[{"family":"Colombo","given":"Stefanie M."},{"family":"Turchini","given":"Giovanni M."}],"issued":{"date-parts":[["2021"]]}}}],"schema":"https://github.com/citation-style-language/schema/raw/master/csl-citation.json"} </w:instrText>
      </w:r>
      <w:r w:rsidR="00BA0612" w:rsidRPr="00CE700E">
        <w:rPr>
          <w:rFonts w:ascii="Times New Roman" w:hAnsi="Times New Roman" w:cs="Times New Roman"/>
        </w:rPr>
        <w:fldChar w:fldCharType="separate"/>
      </w:r>
      <w:r w:rsidR="00207437" w:rsidRPr="00207437">
        <w:rPr>
          <w:rFonts w:ascii="Times New Roman" w:hAnsi="Times New Roman" w:cs="Times New Roman"/>
          <w:szCs w:val="24"/>
          <w:vertAlign w:val="superscript"/>
        </w:rPr>
        <w:t>28</w:t>
      </w:r>
      <w:r w:rsidR="00BA0612" w:rsidRPr="00CE700E">
        <w:rPr>
          <w:rFonts w:ascii="Times New Roman" w:hAnsi="Times New Roman" w:cs="Times New Roman"/>
        </w:rPr>
        <w:fldChar w:fldCharType="end"/>
      </w:r>
      <w:r w:rsidRPr="00CE700E">
        <w:rPr>
          <w:rFonts w:ascii="Times New Roman" w:hAnsi="Times New Roman" w:cs="Times New Roman"/>
        </w:rPr>
        <w:t xml:space="preserve">. In circular agriculture or aquaculture, it is referred to as food-feed conflict (from a human perspective) </w:t>
      </w:r>
      <w:r w:rsidR="00E7177C" w:rsidRPr="00CE700E">
        <w:rPr>
          <w:rFonts w:ascii="Times New Roman" w:hAnsi="Times New Roman" w:cs="Times New Roman"/>
        </w:rPr>
        <w:fldChar w:fldCharType="begin"/>
      </w:r>
      <w:r w:rsidR="00383F34">
        <w:rPr>
          <w:rFonts w:ascii="Times New Roman" w:hAnsi="Times New Roman" w:cs="Times New Roman"/>
        </w:rPr>
        <w:instrText xml:space="preserve"> ADDIN ZOTERO_ITEM CSL_CITATION {"citationID":"a2pori06mf8","properties":{"formattedCitation":"\\super 29,63\\nosupersub{}","plainCitation":"29,63","noteIndex":0},"citationItems":[{"id":850,"uris":["http://zotero.org/groups/4669668/items/CVIYWXXQ"],"itemData":{"id":850,"type":"report","publisher":"Wageningen University &amp; Research","title":"Circularity in agricultural production","author":[{"family":"Boer","given":"Imke JM","non-dropping-particle":"de"},{"family":"Ittersum","given":"Martin K.","non-dropping-particle":"van"}],"issued":{"date-parts":[["2018"]]}}},{"id":856,"uris":["http://zotero.org/groups/4669668/items/SC6MTCXC"],"itemData":{"id":856,"type":"article-journal","abstract":"The need for more sustainable production and consumption of animal source food (ASF) is central to the achievement of the sustainable development goals: within this context, wise use of land is a core challenge and concern. A key question in feeding the future world is: how much ASF should we eat? We demonstrate that livestock raised under the circular economy concept could provide a significant, nonnegligible part (9–23 g/per capita) of our daily protein needs ( 50–60 g/per capita). This livestock then would not consume human-edible biomass, such as grains, but mainly convert leftovers from arable land and grass resources into valuable food, implying that production of livestock feed is largely decoupled from arable land. The availability of these biomass streams for livestock then determines the boundaries for livestock production and consumption. Under this concept, the competition for land for feed or food would be minimized and compared to no ASF, including some ASF in the human diet could free up about one quarter of global arable land. Our results also demonstrate that restricted growth in consumption of ASF in Africa and Asia would be feasible under these boundary conditions, while reductions in the rest of the world would be necessary to meet land use sustainability criteria. Managing this expansion and contraction of future consumption of ASF is essential for achieving sustainable nutrition security.","container-title":"Global Change Biology","DOI":"10.1111/gcb.14321","ISSN":"1365-2486","issue":"9","language":"en","note":"number: 9\n_eprint: https://onlinelibrary.wiley.com/doi/pdf/10.1111/gcb.14321","page":"4185-4194","source":"Wiley Online Library","title":"Defining a land boundary for sustainable livestock consumption","volume":"24","author":[{"family":"Van Zanten","given":"Hannah H. E."},{"family":"Herrero","given":"Mario"},{"family":"Van Hal","given":"Ollie"},{"family":"Röös","given":"Elin"},{"family":"Muller","given":"Adrian"},{"family":"Garnett","given":"Tara"},{"family":"Gerber","given":"Pierre J."},{"family":"Schader","given":"Christian"},{"family":"De Boer","given":"Imke J. M."}],"issued":{"date-parts":[["2018"]]}}}],"schema":"https://github.com/citation-style-language/schema/raw/master/csl-citation.json"} </w:instrText>
      </w:r>
      <w:r w:rsidR="00E7177C" w:rsidRPr="00CE700E">
        <w:rPr>
          <w:rFonts w:ascii="Times New Roman" w:hAnsi="Times New Roman" w:cs="Times New Roman"/>
        </w:rPr>
        <w:fldChar w:fldCharType="separate"/>
      </w:r>
      <w:r w:rsidR="00383F34" w:rsidRPr="00383F34">
        <w:rPr>
          <w:rFonts w:ascii="Times New Roman" w:hAnsi="Times New Roman" w:cs="Times New Roman"/>
          <w:szCs w:val="24"/>
          <w:vertAlign w:val="superscript"/>
        </w:rPr>
        <w:t>29,63</w:t>
      </w:r>
      <w:r w:rsidR="00E7177C" w:rsidRPr="00CE700E">
        <w:rPr>
          <w:rFonts w:ascii="Times New Roman" w:hAnsi="Times New Roman" w:cs="Times New Roman"/>
        </w:rPr>
        <w:fldChar w:fldCharType="end"/>
      </w:r>
      <w:r w:rsidRPr="00CE700E">
        <w:rPr>
          <w:rFonts w:ascii="Times New Roman" w:hAnsi="Times New Roman" w:cs="Times New Roman"/>
        </w:rPr>
        <w:t xml:space="preserve">. </w:t>
      </w:r>
      <w:r w:rsidR="00F85415" w:rsidRPr="00C80DCF">
        <w:rPr>
          <w:rFonts w:ascii="Times New Roman" w:hAnsi="Times New Roman" w:cs="Times New Roman"/>
        </w:rPr>
        <w:t>For example, EAT-Lancet commission’s planetary healthy diet guidelines suggest consumption of</w:t>
      </w:r>
      <w:r w:rsidR="00F85415" w:rsidRPr="00C80DCF">
        <w:rPr>
          <w:rFonts w:ascii="Times New Roman" w:hAnsi="Times New Roman" w:cs="Times New Roman"/>
          <w:bCs/>
        </w:rPr>
        <w:t xml:space="preserve"> at least 125 grams of dry beans, lentils, peas, and other nuts or legumes per day; but consuming no more than 98 grams of red meat (pork, beef, or lamb), 203 grams of poultry, and 196 grams of fish per week</w:t>
      </w:r>
      <w:r w:rsidR="00BE76B9" w:rsidRPr="00C80DCF">
        <w:rPr>
          <w:rFonts w:ascii="Times New Roman" w:hAnsi="Times New Roman" w:cs="Times New Roman"/>
          <w:bCs/>
        </w:rPr>
        <w:fldChar w:fldCharType="begin"/>
      </w:r>
      <w:r w:rsidR="0020190D">
        <w:rPr>
          <w:rFonts w:ascii="Times New Roman" w:hAnsi="Times New Roman" w:cs="Times New Roman"/>
          <w:bCs/>
        </w:rPr>
        <w:instrText xml:space="preserve"> ADDIN ZOTERO_ITEM CSL_CITATION {"citationID":"a1flefvfgb3","properties":{"formattedCitation":"\\super 21\\nosupersub{}","plainCitation":"21","noteIndex":0},"citationItems":[{"id":857,"uris":["http://zotero.org/groups/4669668/items/I9EYGT4K"],"itemData":{"id":857,"type":"article-journal","container-title":"The Lancet","DOI":"10.1016/S0140-6736(18)31788-4","ISSN":"0140-6736, 1474-547X","issue":"10170","journalAbbreviation":"The Lancet","language":"English","note":"number: 10170\npublisher: Elsevier\nPMID: 30660336","page":"447-492","source":"www.thelancet.com","title":"Food in the Anthropocene: the EAT–Lancet Commission on healthy diets from sustainable food systems","title-short":"Food in the Anthropocene","volume":"393","author":[{"family":"Willett","given":"Walter"},{"family":"Rockström","given":"Johan"},{"family":"Loken","given":"Brent"},{"family":"Springmann","given":"Marco"},{"family":"Lang","given":"Tim"},{"family":"Vermeulen","given":"Sonja"},{"family":"Garnett","given":"Tara"},{"family":"Tilman","given":"David"},{"family":"DeClerck","given":"Fabrice"},{"family":"Wood","given":"Amanda"},{"family":"Jonell","given":"Malin"},{"family":"Clark","given":"Michael"},{"family":"Gordon","given":"Line J."},{"family":"Fanzo","given":"Jessica"},{"family":"Hawkes","given":"Corinna"},{"family":"Zurayk","given":"Rami"},{"family":"Rivera","given":"Juan A."},{"family":"Vries","given":"Wim De"},{"family":"Sibanda","given":"Lindiwe Majele"},{"family":"Afshin","given":"Ashkan"},{"family":"Chaudhary","given":"Abhishek"},{"family":"Herrero","given":"Mario"},{"family":"Agustina","given":"Rina"},{"family":"Branca","given":"Francesco"},{"family":"Lartey","given":"Anna"},{"family":"Fan","given":"Shenggen"},{"family":"Crona","given":"Beatrice"},{"family":"Fox","given":"Elizabeth"},{"family":"Bignet","given":"Victoria"},{"family":"Troell","given":"Max"},{"family":"Lindahl","given":"Therese"},{"family":"Singh","given":"Sudhvir"},{"family":"Cornell","given":"Sarah E."},{"family":"Reddy","given":"K. Srinath"},{"family":"Narain","given":"Sunita"},{"family":"Nishtar","given":"Sania"},{"family":"Murray","given":"Christopher J. L."}],"issued":{"date-parts":[["2019",2,2]]}}}],"schema":"https://github.com/citation-style-language/schema/raw/master/csl-citation.json"} </w:instrText>
      </w:r>
      <w:r w:rsidR="00BE76B9" w:rsidRPr="00C80DCF">
        <w:rPr>
          <w:rFonts w:ascii="Times New Roman" w:hAnsi="Times New Roman" w:cs="Times New Roman"/>
          <w:bCs/>
        </w:rPr>
        <w:fldChar w:fldCharType="separate"/>
      </w:r>
      <w:r w:rsidR="0020190D" w:rsidRPr="0020190D">
        <w:rPr>
          <w:rFonts w:ascii="Times New Roman" w:hAnsi="Times New Roman" w:cs="Times New Roman"/>
          <w:szCs w:val="24"/>
          <w:vertAlign w:val="superscript"/>
        </w:rPr>
        <w:t>21</w:t>
      </w:r>
      <w:r w:rsidR="00BE76B9" w:rsidRPr="00C80DCF">
        <w:rPr>
          <w:rFonts w:ascii="Times New Roman" w:hAnsi="Times New Roman" w:cs="Times New Roman"/>
          <w:bCs/>
        </w:rPr>
        <w:fldChar w:fldCharType="end"/>
      </w:r>
      <w:r w:rsidR="00F85415" w:rsidRPr="00C80DCF">
        <w:rPr>
          <w:rFonts w:ascii="Times New Roman" w:hAnsi="Times New Roman" w:cs="Times New Roman"/>
          <w:bCs/>
        </w:rPr>
        <w:t xml:space="preserve">. In comparison, global average of unprocessed red meat consumption is 357 grams per week </w:t>
      </w:r>
      <w:r w:rsidR="00F85415" w:rsidRPr="00C80DCF">
        <w:rPr>
          <w:rFonts w:ascii="Times New Roman" w:hAnsi="Times New Roman" w:cs="Times New Roman"/>
          <w:bCs/>
        </w:rPr>
        <w:fldChar w:fldCharType="begin"/>
      </w:r>
      <w:r w:rsidR="00F85415" w:rsidRPr="00C80DCF">
        <w:rPr>
          <w:rFonts w:ascii="Times New Roman" w:hAnsi="Times New Roman" w:cs="Times New Roman"/>
          <w:bCs/>
        </w:rPr>
        <w:instrText xml:space="preserve"> ADDIN EN.CITE &lt;EndNote&gt;&lt;Cite&gt;&lt;Author&gt;Miller&lt;/Author&gt;&lt;Year&gt;2022&lt;/Year&gt;&lt;RecNum&gt;916&lt;/RecNum&gt;&lt;DisplayText&gt;&lt;style face="superscript"&gt;38&lt;/style&gt;&lt;/DisplayText&gt;&lt;record&gt;&lt;rec-number&gt;916&lt;/rec-number&gt;&lt;foreign-keys&gt;&lt;key app="EN" db-id="0r252zs96v5df6ewvd6p95ejp0xwxprvtfxa" timestamp="1652006460" guid="cf78e922-d67c-4cd3-807d-718f2b38abc8"&gt;916&lt;/key&gt;&lt;/foreign-keys&gt;&lt;ref-type name="Journal Article"&gt;17&lt;/ref-type&gt;&lt;contributors&gt;&lt;authors&gt;&lt;author&gt;Miller, Victoria&lt;/author&gt;&lt;author&gt;Reedy, Julia&lt;/author&gt;&lt;author&gt;Cudhea, Frederick&lt;/author&gt;&lt;author&gt;Zhang, Jianyi&lt;/author&gt;&lt;author&gt;Shi, Peilin&lt;/author&gt;&lt;author&gt;Erndt-Marino, Josh&lt;/author&gt;&lt;author&gt;Coates, Jennifer&lt;/author&gt;&lt;author&gt;Micha, Renata&lt;/author&gt;&lt;author&gt;Webb, Patrick&lt;/author&gt;&lt;author&gt;Mozaffarian, Dariush&lt;/author&gt;&lt;/authors&gt;&lt;/contributors&gt;&lt;titles&gt;&lt;title&gt;Global, regional, and national consumption of animal-source foods between 1990 and 2018: findings from the Global Dietary Database&lt;/title&gt;&lt;secondary-title&gt;The Lancet Planetary Health&lt;/secondary-title&gt;&lt;/titles&gt;&lt;periodical&gt;&lt;full-title&gt;The Lancet Planetary Health&lt;/full-title&gt;&lt;/periodical&gt;&lt;pages&gt;e243-e256&lt;/pages&gt;&lt;volume&gt;6&lt;/volume&gt;&lt;number&gt;3&lt;/number&gt;&lt;dates&gt;&lt;year&gt;2022&lt;/year&gt;&lt;/dates&gt;&lt;isbn&gt;2542-5196&lt;/isbn&gt;&lt;urls&gt;&lt;/urls&gt;&lt;/record&gt;&lt;/Cite&gt;&lt;/EndNote&gt;</w:instrText>
      </w:r>
      <w:r w:rsidR="00F85415" w:rsidRPr="00C80DCF">
        <w:rPr>
          <w:rFonts w:ascii="Times New Roman" w:hAnsi="Times New Roman" w:cs="Times New Roman"/>
          <w:bCs/>
        </w:rPr>
        <w:fldChar w:fldCharType="separate"/>
      </w:r>
      <w:r w:rsidR="00F85415" w:rsidRPr="00C80DCF">
        <w:rPr>
          <w:rFonts w:ascii="Times New Roman" w:hAnsi="Times New Roman" w:cs="Times New Roman"/>
          <w:bCs/>
          <w:noProof/>
          <w:vertAlign w:val="superscript"/>
        </w:rPr>
        <w:t>38</w:t>
      </w:r>
      <w:r w:rsidR="00F85415" w:rsidRPr="00C80DCF">
        <w:rPr>
          <w:rFonts w:ascii="Times New Roman" w:hAnsi="Times New Roman" w:cs="Times New Roman"/>
          <w:bCs/>
        </w:rPr>
        <w:fldChar w:fldCharType="end"/>
      </w:r>
      <w:r w:rsidR="00F85415" w:rsidRPr="00C80DCF">
        <w:rPr>
          <w:rFonts w:ascii="Times New Roman" w:hAnsi="Times New Roman" w:cs="Times New Roman"/>
          <w:bCs/>
        </w:rPr>
        <w:t xml:space="preserve">, </w:t>
      </w:r>
      <w:r w:rsidR="00F85415" w:rsidRPr="00C80DCF">
        <w:rPr>
          <w:rFonts w:ascii="Times New Roman" w:hAnsi="Times New Roman" w:cs="Times New Roman"/>
          <w:bCs/>
          <w:i/>
          <w:iCs/>
        </w:rPr>
        <w:t>i.e.,</w:t>
      </w:r>
      <w:r w:rsidR="00F85415" w:rsidRPr="00C80DCF">
        <w:rPr>
          <w:rFonts w:ascii="Times New Roman" w:hAnsi="Times New Roman" w:cs="Times New Roman"/>
          <w:bCs/>
        </w:rPr>
        <w:t xml:space="preserve"> 3.5 times </w:t>
      </w:r>
      <w:r w:rsidR="00F85415" w:rsidRPr="00C80DCF">
        <w:rPr>
          <w:rFonts w:ascii="Times New Roman" w:hAnsi="Times New Roman" w:cs="Times New Roman"/>
          <w:bCs/>
        </w:rPr>
        <w:lastRenderedPageBreak/>
        <w:t>excess. I</w:t>
      </w:r>
      <w:r w:rsidR="00F85415" w:rsidRPr="00C80DCF">
        <w:rPr>
          <w:rFonts w:ascii="Times New Roman" w:hAnsi="Times New Roman" w:cs="Times New Roman"/>
        </w:rPr>
        <w:t xml:space="preserve">f planetary healthy diet recommendations of EAT-Lancet commission are to be strictly followed, many plant protein concentrates should be directly entered </w:t>
      </w:r>
      <w:r w:rsidR="00A84483" w:rsidRPr="00C80DCF">
        <w:rPr>
          <w:rFonts w:ascii="Times New Roman" w:hAnsi="Times New Roman" w:cs="Times New Roman"/>
        </w:rPr>
        <w:t>in</w:t>
      </w:r>
      <w:r w:rsidR="00F85415" w:rsidRPr="00C80DCF">
        <w:rPr>
          <w:rFonts w:ascii="Times New Roman" w:hAnsi="Times New Roman" w:cs="Times New Roman"/>
        </w:rPr>
        <w:t xml:space="preserve">to </w:t>
      </w:r>
      <w:r w:rsidR="00A84483" w:rsidRPr="00C80DCF">
        <w:rPr>
          <w:rFonts w:ascii="Times New Roman" w:hAnsi="Times New Roman" w:cs="Times New Roman"/>
        </w:rPr>
        <w:t xml:space="preserve">the </w:t>
      </w:r>
      <w:r w:rsidR="00F85415" w:rsidRPr="00C80DCF">
        <w:rPr>
          <w:rFonts w:ascii="Times New Roman" w:hAnsi="Times New Roman" w:cs="Times New Roman"/>
        </w:rPr>
        <w:t>human food chain</w:t>
      </w:r>
      <w:r w:rsidR="00AB45D2" w:rsidRPr="00C80DCF">
        <w:rPr>
          <w:rFonts w:ascii="Times New Roman" w:hAnsi="Times New Roman" w:cs="Times New Roman"/>
        </w:rPr>
        <w:t>,</w:t>
      </w:r>
      <w:r w:rsidR="00F85415" w:rsidRPr="00C80DCF">
        <w:rPr>
          <w:rFonts w:ascii="Times New Roman" w:hAnsi="Times New Roman" w:cs="Times New Roman"/>
        </w:rPr>
        <w:t xml:space="preserve"> as the decrease in consumption of animal protein (red meat) </w:t>
      </w:r>
      <w:r w:rsidR="00AB45D2" w:rsidRPr="00C80DCF">
        <w:rPr>
          <w:rFonts w:ascii="Times New Roman" w:hAnsi="Times New Roman" w:cs="Times New Roman"/>
        </w:rPr>
        <w:t>must</w:t>
      </w:r>
      <w:r w:rsidR="00F85415" w:rsidRPr="00C80DCF">
        <w:rPr>
          <w:rFonts w:ascii="Times New Roman" w:hAnsi="Times New Roman" w:cs="Times New Roman"/>
        </w:rPr>
        <w:t xml:space="preserve"> be supplemented by another protein source (plant protein). With the advent of bioengineered or fabricated plant-based foods mimicking meat (</w:t>
      </w:r>
      <w:hyperlink r:id="rId8" w:history="1">
        <w:r w:rsidR="00F85415" w:rsidRPr="00C80DCF">
          <w:rPr>
            <w:rStyle w:val="Hyperlink"/>
            <w:rFonts w:ascii="Times New Roman" w:hAnsi="Times New Roman" w:cs="Times New Roman"/>
            <w:color w:val="auto"/>
          </w:rPr>
          <w:t>e.g., B</w:t>
        </w:r>
        <w:r w:rsidR="005247F2" w:rsidRPr="00C80DCF">
          <w:rPr>
            <w:rStyle w:val="Hyperlink"/>
            <w:rFonts w:ascii="Times New Roman" w:hAnsi="Times New Roman" w:cs="Times New Roman"/>
            <w:color w:val="auto"/>
          </w:rPr>
          <w:t>eyond Meat</w:t>
        </w:r>
        <w:r w:rsidR="00F85415" w:rsidRPr="00C80DCF">
          <w:rPr>
            <w:rStyle w:val="Hyperlink"/>
            <w:rFonts w:ascii="Times New Roman" w:hAnsi="Times New Roman" w:cs="Times New Roman"/>
            <w:color w:val="auto"/>
            <w:vertAlign w:val="superscript"/>
          </w:rPr>
          <w:t>®</w:t>
        </w:r>
      </w:hyperlink>
      <w:r w:rsidR="00F85415" w:rsidRPr="00C80DCF">
        <w:rPr>
          <w:rFonts w:ascii="Times New Roman" w:hAnsi="Times New Roman" w:cs="Times New Roman"/>
        </w:rPr>
        <w:t xml:space="preserve">, </w:t>
      </w:r>
      <w:hyperlink r:id="rId9" w:history="1">
        <w:r w:rsidR="005247F2" w:rsidRPr="00C80DCF">
          <w:rPr>
            <w:rStyle w:val="Hyperlink"/>
            <w:rFonts w:ascii="Times New Roman" w:hAnsi="Times New Roman" w:cs="Times New Roman"/>
            <w:color w:val="auto"/>
          </w:rPr>
          <w:t>Impossible Foods</w:t>
        </w:r>
        <w:r w:rsidR="00F85415" w:rsidRPr="00C80DCF">
          <w:rPr>
            <w:rStyle w:val="Hyperlink"/>
            <w:rFonts w:ascii="Times New Roman" w:hAnsi="Times New Roman" w:cs="Times New Roman"/>
            <w:color w:val="auto"/>
            <w:vertAlign w:val="superscript"/>
          </w:rPr>
          <w:t>®</w:t>
        </w:r>
      </w:hyperlink>
      <w:r w:rsidR="00F85415" w:rsidRPr="00C80DCF">
        <w:rPr>
          <w:rFonts w:ascii="Times New Roman" w:hAnsi="Times New Roman" w:cs="Times New Roman"/>
        </w:rPr>
        <w:t xml:space="preserve">), many of the plant protein concentrates/ isolates presently used in aquafeed (e.g., pea, canola, lupine, </w:t>
      </w:r>
      <w:r w:rsidR="006D6C17" w:rsidRPr="00C80DCF">
        <w:rPr>
          <w:rFonts w:ascii="Times New Roman" w:hAnsi="Times New Roman" w:cs="Times New Roman"/>
        </w:rPr>
        <w:t>fava bean</w:t>
      </w:r>
      <w:r w:rsidR="00F85415" w:rsidRPr="00C80DCF">
        <w:rPr>
          <w:rFonts w:ascii="Times New Roman" w:hAnsi="Times New Roman" w:cs="Times New Roman"/>
        </w:rPr>
        <w:t>, sunflower, cereal gluten, soy proteins, etc.) pose future food-feed conflict. As such, plant protein concentrates</w:t>
      </w:r>
      <w:r w:rsidR="00B872E5" w:rsidRPr="00C80DCF">
        <w:rPr>
          <w:rFonts w:ascii="Times New Roman" w:hAnsi="Times New Roman" w:cs="Times New Roman"/>
        </w:rPr>
        <w:t>,</w:t>
      </w:r>
      <w:r w:rsidR="00F85415" w:rsidRPr="00C80DCF">
        <w:rPr>
          <w:rFonts w:ascii="Times New Roman" w:hAnsi="Times New Roman" w:cs="Times New Roman"/>
        </w:rPr>
        <w:t xml:space="preserve"> even if derived from agricultural by-products (e.g., middling, broken pieces)</w:t>
      </w:r>
      <w:r w:rsidR="00B872E5" w:rsidRPr="00C80DCF">
        <w:rPr>
          <w:rFonts w:ascii="Times New Roman" w:hAnsi="Times New Roman" w:cs="Times New Roman"/>
        </w:rPr>
        <w:t>,</w:t>
      </w:r>
      <w:r w:rsidR="00F85415" w:rsidRPr="00C80DCF">
        <w:rPr>
          <w:rFonts w:ascii="Times New Roman" w:hAnsi="Times New Roman" w:cs="Times New Roman"/>
        </w:rPr>
        <w:t xml:space="preserve"> might be antagonistic to </w:t>
      </w:r>
      <w:r w:rsidR="00883B45" w:rsidRPr="00C80DCF">
        <w:rPr>
          <w:rFonts w:ascii="Times New Roman" w:hAnsi="Times New Roman" w:cs="Times New Roman"/>
        </w:rPr>
        <w:t xml:space="preserve">the </w:t>
      </w:r>
      <w:r w:rsidR="00F85415" w:rsidRPr="00C80DCF">
        <w:rPr>
          <w:rFonts w:ascii="Times New Roman" w:hAnsi="Times New Roman" w:cs="Times New Roman"/>
        </w:rPr>
        <w:t xml:space="preserve">CBF. This is where ‘Aquafeed 2.0’ probably stands today – at a crossroad between </w:t>
      </w:r>
      <w:r w:rsidR="00F85415" w:rsidRPr="00C80DCF">
        <w:rPr>
          <w:rFonts w:ascii="Times New Roman" w:hAnsi="Times New Roman" w:cs="Times New Roman"/>
          <w:i/>
          <w:iCs/>
        </w:rPr>
        <w:t xml:space="preserve">status quo </w:t>
      </w:r>
      <w:r w:rsidR="00F85415" w:rsidRPr="00C80DCF">
        <w:rPr>
          <w:rFonts w:ascii="Times New Roman" w:hAnsi="Times New Roman" w:cs="Times New Roman"/>
        </w:rPr>
        <w:t>(plant-based sustainable) or</w:t>
      </w:r>
      <w:r w:rsidR="00B872E5" w:rsidRPr="00C80DCF">
        <w:rPr>
          <w:rFonts w:ascii="Times New Roman" w:hAnsi="Times New Roman" w:cs="Times New Roman"/>
        </w:rPr>
        <w:t xml:space="preserve"> toward the</w:t>
      </w:r>
      <w:r w:rsidR="00F85415" w:rsidRPr="00C80DCF">
        <w:rPr>
          <w:rFonts w:ascii="Times New Roman" w:hAnsi="Times New Roman" w:cs="Times New Roman"/>
        </w:rPr>
        <w:t xml:space="preserve"> CBF. </w:t>
      </w:r>
      <w:r w:rsidR="006500AD" w:rsidRPr="00C80DCF">
        <w:rPr>
          <w:rFonts w:ascii="Times New Roman" w:hAnsi="Times New Roman" w:cs="Times New Roman"/>
        </w:rPr>
        <w:t xml:space="preserve">In this context, plant-, algal-, microbial- and insect- feedstuffs which are raised on </w:t>
      </w:r>
      <w:proofErr w:type="spellStart"/>
      <w:r w:rsidR="006500AD" w:rsidRPr="00C80DCF">
        <w:rPr>
          <w:rFonts w:ascii="Times New Roman" w:hAnsi="Times New Roman" w:cs="Times New Roman"/>
        </w:rPr>
        <w:t>agri</w:t>
      </w:r>
      <w:proofErr w:type="spellEnd"/>
      <w:r w:rsidR="006500AD" w:rsidRPr="00C80DCF">
        <w:rPr>
          <w:rFonts w:ascii="Times New Roman" w:hAnsi="Times New Roman" w:cs="Times New Roman"/>
        </w:rPr>
        <w:t>-aqua-food system wastes</w:t>
      </w:r>
      <w:r w:rsidR="0088494E" w:rsidRPr="00C80DCF">
        <w:rPr>
          <w:rFonts w:ascii="Times New Roman" w:hAnsi="Times New Roman" w:cs="Times New Roman"/>
        </w:rPr>
        <w:fldChar w:fldCharType="begin"/>
      </w:r>
      <w:r w:rsidR="00EC6FA7">
        <w:rPr>
          <w:rFonts w:ascii="Times New Roman" w:hAnsi="Times New Roman" w:cs="Times New Roman"/>
        </w:rPr>
        <w:instrText xml:space="preserve"> ADDIN ZOTERO_ITEM CSL_CITATION {"citationID":"a28i5decep4","properties":{"formattedCitation":"\\super 41\\nosupersub{}","plainCitation":"41","noteIndex":0},"citationItems":[{"id":1759,"uris":["http://zotero.org/users/9431846/items/A3ZGNATV"],"itemData":{"id":1759,"type":"article-journal","abstract":"The global challenge of feeding an ever-increasing world population is leading scientists’ attention towards nutritious and sustainable foods whose production should have low impacts on environment, economy and society. In case the input feedstock can be waste nutrients, the label of such productions becomes even greener. Nutrients circularity is nowadays an important circular economy practice. This mini-review focuses on the valorisation of food waste as precious biomass to grow new food and feed. In particular, three functional edibles are discussed in the present paper: mushrooms, microalgae and insects. These foods are part of people diets since ages in certain areas of the world and the original aspect of their cultivation and breeding found on waste nutrients recovery is here reviewed. Proofs of such food waste biorefinery viability are already given by several researches featuring the main traits of a suitable growing medium: optimal pool of nutrients and optimal pH. However, lot of work still needs to be done in order to assess the optimal growth and cultivation conditions and the health security of the harvested/bred edibles. A SWOT factors analysis was performed.","container-title":"Waste Management &amp; Research","DOI":"10.1177/0734242x211038189","issue":"1","page":"47-53","title":"Food waste bioconversion into new food: A mini-review on nutrients circularity in the production of mushrooms, microalgae and insects","volume":"40","author":[{"family":"Girotto","given":"Francesca"},{"family":"Piazza","given":"Laura"}],"issued":{"date-parts":[["2022"]]}}}],"schema":"https://github.com/citation-style-language/schema/raw/master/csl-citation.json"} </w:instrText>
      </w:r>
      <w:r w:rsidR="0088494E" w:rsidRPr="00C80DCF">
        <w:rPr>
          <w:rFonts w:ascii="Times New Roman" w:hAnsi="Times New Roman" w:cs="Times New Roman"/>
        </w:rPr>
        <w:fldChar w:fldCharType="separate"/>
      </w:r>
      <w:r w:rsidR="00EC6FA7" w:rsidRPr="00EC6FA7">
        <w:rPr>
          <w:rFonts w:ascii="Times New Roman" w:hAnsi="Times New Roman" w:cs="Times New Roman"/>
          <w:szCs w:val="24"/>
          <w:vertAlign w:val="superscript"/>
        </w:rPr>
        <w:t>41</w:t>
      </w:r>
      <w:r w:rsidR="0088494E" w:rsidRPr="00C80DCF">
        <w:rPr>
          <w:rFonts w:ascii="Times New Roman" w:hAnsi="Times New Roman" w:cs="Times New Roman"/>
        </w:rPr>
        <w:fldChar w:fldCharType="end"/>
      </w:r>
      <w:r w:rsidR="006500AD" w:rsidRPr="00C80DCF">
        <w:rPr>
          <w:rFonts w:ascii="Times New Roman" w:hAnsi="Times New Roman" w:cs="Times New Roman"/>
        </w:rPr>
        <w:t xml:space="preserve">, </w:t>
      </w:r>
      <w:r w:rsidR="00883B45" w:rsidRPr="00C80DCF">
        <w:rPr>
          <w:rFonts w:ascii="Times New Roman" w:hAnsi="Times New Roman" w:cs="Times New Roman"/>
        </w:rPr>
        <w:t xml:space="preserve">and </w:t>
      </w:r>
      <w:r w:rsidR="006500AD" w:rsidRPr="00C80DCF">
        <w:rPr>
          <w:rFonts w:ascii="Times New Roman" w:hAnsi="Times New Roman" w:cs="Times New Roman"/>
        </w:rPr>
        <w:t>rendered animal/ fish by-products that do not go for direct human consumption (avoiding food-feed conflict)</w:t>
      </w:r>
      <w:r w:rsidR="006C617B" w:rsidRPr="00C80DCF">
        <w:rPr>
          <w:rFonts w:ascii="Times New Roman" w:hAnsi="Times New Roman" w:cs="Times New Roman"/>
        </w:rPr>
        <w:fldChar w:fldCharType="begin"/>
      </w:r>
      <w:r w:rsidR="009546BC">
        <w:rPr>
          <w:rFonts w:ascii="Times New Roman" w:hAnsi="Times New Roman" w:cs="Times New Roman"/>
        </w:rPr>
        <w:instrText xml:space="preserve"> ADDIN ZOTERO_ITEM CSL_CITATION {"citationID":"a28ujgsi6lt","properties":{"formattedCitation":"\\super 64,65\\nosupersub{}","plainCitation":"64,65","noteIndex":0},"citationItems":[{"id":1701,"uris":["http://zotero.org/users/9431846/items/636B3Z4C"],"itemData":{"id":1701,"type":"article-journal","container-title":"Reviews in Aquaculture","ISSN":"1753-5123","title":"The utilisation of European processed animal proteins as safe, sustainable and circular ingredients for global aquafeeds","author":[{"family":"Woodgate","given":"Stephen L."},{"family":"Wan","given":"Alex HL"},{"family":"Hartnett","given":"Finnian"},{"family":"Wilkinson","given":"Robert G."},{"family":"Davies","given":"Simon J."}],"issued":{"date-parts":[["2022"]]}}},{"id":1781,"uris":["http://zotero.org/users/9431846/items/6ZEYNSEL"],"itemData":{"id":1781,"type":"article-journal","container-title":"Chemistry and chemical technologies in waste valorization","page":"123-150","title":"Valorization of proteins from co-and by-products from the fish and meat industry","author":[{"family":"Aspevik","given":"Tone"},{"family":"Oterhals","given":"Åge"},{"family":"Rønning","given":"Sissel Beate"},{"family":"Altintzoglou","given":"Themistoklis"},{"family":"Wubshet","given":"Sileshi Gizachew"},{"family":"Gildberg","given":"Asbjørn"},{"family":"Afseth","given":"Nils Kristian"},{"family":"Whitaker","given":"Ragnhild Dragøy"},{"family":"Lindberg","given":"Diana"}],"issued":{"date-parts":[["2017"]]}}}],"schema":"https://github.com/citation-style-language/schema/raw/master/csl-citation.json"} </w:instrText>
      </w:r>
      <w:r w:rsidR="006C617B" w:rsidRPr="00C80DCF">
        <w:rPr>
          <w:rFonts w:ascii="Times New Roman" w:hAnsi="Times New Roman" w:cs="Times New Roman"/>
        </w:rPr>
        <w:fldChar w:fldCharType="separate"/>
      </w:r>
      <w:r w:rsidR="009546BC" w:rsidRPr="009546BC">
        <w:rPr>
          <w:rFonts w:ascii="Times New Roman" w:hAnsi="Times New Roman" w:cs="Times New Roman"/>
          <w:szCs w:val="24"/>
          <w:vertAlign w:val="superscript"/>
        </w:rPr>
        <w:t>64,65</w:t>
      </w:r>
      <w:r w:rsidR="006C617B" w:rsidRPr="00C80DCF">
        <w:rPr>
          <w:rFonts w:ascii="Times New Roman" w:hAnsi="Times New Roman" w:cs="Times New Roman"/>
        </w:rPr>
        <w:fldChar w:fldCharType="end"/>
      </w:r>
      <w:r w:rsidR="006500AD" w:rsidRPr="00C80DCF">
        <w:rPr>
          <w:rFonts w:ascii="Times New Roman" w:hAnsi="Times New Roman" w:cs="Times New Roman"/>
        </w:rPr>
        <w:t xml:space="preserve"> would be ideal future, circular feedstuffs</w:t>
      </w:r>
      <w:r w:rsidR="004C05DF" w:rsidRPr="00C80DCF">
        <w:rPr>
          <w:rFonts w:ascii="Times New Roman" w:hAnsi="Times New Roman" w:cs="Times New Roman"/>
        </w:rPr>
        <w:t xml:space="preserve"> and </w:t>
      </w:r>
      <w:r w:rsidR="00B029F7" w:rsidRPr="00C80DCF">
        <w:rPr>
          <w:rFonts w:ascii="Times New Roman" w:hAnsi="Times New Roman" w:cs="Times New Roman"/>
        </w:rPr>
        <w:t>will likely</w:t>
      </w:r>
      <w:r w:rsidR="004C05DF" w:rsidRPr="00C80DCF">
        <w:rPr>
          <w:rFonts w:ascii="Times New Roman" w:hAnsi="Times New Roman" w:cs="Times New Roman"/>
        </w:rPr>
        <w:t xml:space="preserve"> be part of the evolution from ‘Aquafeed 2.0</w:t>
      </w:r>
      <w:r w:rsidR="002A69E5" w:rsidRPr="00C80DCF">
        <w:rPr>
          <w:rFonts w:ascii="Times New Roman" w:hAnsi="Times New Roman" w:cs="Times New Roman"/>
        </w:rPr>
        <w:t>’ to ‘Aquafeed 3.0’</w:t>
      </w:r>
      <w:r w:rsidR="006500AD" w:rsidRPr="00C80DCF">
        <w:rPr>
          <w:rFonts w:ascii="Times New Roman" w:hAnsi="Times New Roman" w:cs="Times New Roman"/>
        </w:rPr>
        <w:t>. Some opportunities to achieve Aquafeed 3.0 ‘locally’ are given in Table 1.</w:t>
      </w:r>
    </w:p>
    <w:p w14:paraId="1434623E" w14:textId="42D23E94" w:rsidR="003509CC" w:rsidRDefault="003509CC" w:rsidP="003509CC">
      <w:pPr>
        <w:spacing w:line="360" w:lineRule="auto"/>
        <w:ind w:firstLine="720"/>
        <w:contextualSpacing/>
        <w:jc w:val="both"/>
        <w:rPr>
          <w:rFonts w:ascii="Times New Roman" w:hAnsi="Times New Roman" w:cs="Times New Roman"/>
        </w:rPr>
      </w:pPr>
      <w:r w:rsidRPr="00A2562B">
        <w:rPr>
          <w:rFonts w:ascii="Times New Roman" w:hAnsi="Times New Roman" w:cs="Times New Roman"/>
        </w:rPr>
        <w:t xml:space="preserve">However, many of these ingredients remain largely untested in fish. Their current use (even on </w:t>
      </w:r>
      <w:r>
        <w:rPr>
          <w:rFonts w:ascii="Times New Roman" w:hAnsi="Times New Roman" w:cs="Times New Roman"/>
        </w:rPr>
        <w:t xml:space="preserve">the </w:t>
      </w:r>
      <w:r w:rsidRPr="00A2562B">
        <w:rPr>
          <w:rFonts w:ascii="Times New Roman" w:hAnsi="Times New Roman" w:cs="Times New Roman"/>
        </w:rPr>
        <w:t xml:space="preserve">experimental scale) in ruminants and </w:t>
      </w:r>
      <w:r w:rsidR="00FD5BEA">
        <w:rPr>
          <w:rFonts w:ascii="Times New Roman" w:hAnsi="Times New Roman" w:cs="Times New Roman"/>
        </w:rPr>
        <w:t>poultry</w:t>
      </w:r>
      <w:r w:rsidR="00FD5BEA" w:rsidRPr="00A2562B">
        <w:rPr>
          <w:rFonts w:ascii="Times New Roman" w:hAnsi="Times New Roman" w:cs="Times New Roman"/>
        </w:rPr>
        <w:t xml:space="preserve"> </w:t>
      </w:r>
      <w:r w:rsidRPr="00A2562B">
        <w:rPr>
          <w:rFonts w:ascii="Times New Roman" w:hAnsi="Times New Roman" w:cs="Times New Roman"/>
        </w:rPr>
        <w:t xml:space="preserve">may be encouraging, but the benefits to fish may still differ due to different gastrointestinal and nutritional physiology. For example, the crude protein content (as derived from </w:t>
      </w:r>
      <w:proofErr w:type="spellStart"/>
      <w:r w:rsidRPr="00A2562B">
        <w:rPr>
          <w:rFonts w:ascii="Times New Roman" w:hAnsi="Times New Roman" w:cs="Times New Roman"/>
        </w:rPr>
        <w:t>Kjeldahl</w:t>
      </w:r>
      <w:proofErr w:type="spellEnd"/>
      <w:r w:rsidRPr="00A2562B">
        <w:rPr>
          <w:rFonts w:ascii="Times New Roman" w:hAnsi="Times New Roman" w:cs="Times New Roman"/>
        </w:rPr>
        <w:t>-N) of some circular-origin feedstuffs (e.g., grass protein) may be misleading as they contain a relatively high proportion of non-protein nitrogen</w:t>
      </w:r>
      <w:r w:rsidR="007671C5">
        <w:rPr>
          <w:rFonts w:ascii="Times New Roman" w:hAnsi="Times New Roman" w:cs="Times New Roman"/>
        </w:rPr>
        <w:t xml:space="preserve"> (NPN)</w:t>
      </w:r>
      <w:r w:rsidRPr="00A2562B">
        <w:rPr>
          <w:rFonts w:ascii="Times New Roman" w:hAnsi="Times New Roman" w:cs="Times New Roman"/>
        </w:rPr>
        <w:t xml:space="preserve"> </w:t>
      </w:r>
      <w:r w:rsidR="00A11F9A">
        <w:rPr>
          <w:rFonts w:ascii="Times New Roman" w:hAnsi="Times New Roman" w:cs="Times New Roman"/>
        </w:rPr>
        <w:t>relative to</w:t>
      </w:r>
      <w:r w:rsidRPr="00A2562B">
        <w:rPr>
          <w:rFonts w:ascii="Times New Roman" w:hAnsi="Times New Roman" w:cs="Times New Roman"/>
        </w:rPr>
        <w:t xml:space="preserve"> </w:t>
      </w:r>
      <w:r w:rsidR="001A07C2">
        <w:rPr>
          <w:rFonts w:ascii="Times New Roman" w:hAnsi="Times New Roman" w:cs="Times New Roman"/>
        </w:rPr>
        <w:t xml:space="preserve">nitrogen from </w:t>
      </w:r>
      <w:r w:rsidRPr="00A2562B">
        <w:rPr>
          <w:rFonts w:ascii="Times New Roman" w:hAnsi="Times New Roman" w:cs="Times New Roman"/>
        </w:rPr>
        <w:t>amino acids</w:t>
      </w:r>
      <w:r>
        <w:rPr>
          <w:rFonts w:ascii="Times New Roman" w:hAnsi="Times New Roman" w:cs="Times New Roman"/>
        </w:rPr>
        <w:fldChar w:fldCharType="begin"/>
      </w:r>
      <w:r w:rsidR="00FA2802">
        <w:rPr>
          <w:rFonts w:ascii="Times New Roman" w:hAnsi="Times New Roman" w:cs="Times New Roman"/>
        </w:rPr>
        <w:instrText xml:space="preserve"> ADDIN ZOTERO_ITEM CSL_CITATION {"citationID":"a9crqmklae","properties":{"formattedCitation":"\\super 66\\nosupersub{}","plainCitation":"66","noteIndex":0},"citationItems":[{"id":10,"uris":["http://zotero.org/users/9431846/items/96MYCY6D"],"itemData":{"id":10,"type":"article-journal","container-title":"Animal Feed Science and Technology","DOI":"10.1016/j.anifeedsci.2018.08.004","ISSN":"03778401","journalAbbreviation":"Animal Feed Science and Technology","language":"en","page":"93-103","source":"DOI.org (Crossref)","title":"Protein value and degradation characteristics of pulp fibre fractions from screw pressed grass, clover, and lucerne","volume":"244","author":[{"family":"Damborg","given":"V.K."},{"family":"Stødkilde","given":"L."},{"family":"Jensen","given":"S.K."},{"family":"Weisbjerg","given":"M.R."}],"issued":{"date-parts":[["2018",10]]}}}],"schema":"https://github.com/citation-style-language/schema/raw/master/csl-citation.json"} </w:instrText>
      </w:r>
      <w:r>
        <w:rPr>
          <w:rFonts w:ascii="Times New Roman" w:hAnsi="Times New Roman" w:cs="Times New Roman"/>
        </w:rPr>
        <w:fldChar w:fldCharType="separate"/>
      </w:r>
      <w:r w:rsidR="00FA2802" w:rsidRPr="00FA2802">
        <w:rPr>
          <w:rFonts w:ascii="Times New Roman" w:hAnsi="Times New Roman" w:cs="Times New Roman"/>
          <w:szCs w:val="24"/>
          <w:vertAlign w:val="superscript"/>
        </w:rPr>
        <w:t>66</w:t>
      </w:r>
      <w:r>
        <w:rPr>
          <w:rFonts w:ascii="Times New Roman" w:hAnsi="Times New Roman" w:cs="Times New Roman"/>
        </w:rPr>
        <w:fldChar w:fldCharType="end"/>
      </w:r>
      <w:r w:rsidRPr="00A2562B">
        <w:rPr>
          <w:rFonts w:ascii="Times New Roman" w:hAnsi="Times New Roman" w:cs="Times New Roman"/>
        </w:rPr>
        <w:t xml:space="preserve">; only ruminants can use </w:t>
      </w:r>
      <w:r w:rsidR="00B4054B">
        <w:rPr>
          <w:rFonts w:ascii="Times New Roman" w:hAnsi="Times New Roman" w:cs="Times New Roman"/>
        </w:rPr>
        <w:t>NPN</w:t>
      </w:r>
      <w:r w:rsidRPr="00A2562B">
        <w:rPr>
          <w:rFonts w:ascii="Times New Roman" w:hAnsi="Times New Roman" w:cs="Times New Roman"/>
        </w:rPr>
        <w:t xml:space="preserve"> effectively. In pursuit of novel avenues for sourcing circular-origin feedstuffs, there can be some epidemiological and anti-nutritional risks too. Previous global epidemic contagions have originated from within food systems </w:t>
      </w:r>
      <w:r w:rsidRPr="00A2562B">
        <w:rPr>
          <w:rFonts w:ascii="Times New Roman" w:hAnsi="Times New Roman" w:cs="Times New Roman"/>
        </w:rPr>
        <w:fldChar w:fldCharType="begin"/>
      </w:r>
      <w:r w:rsidRPr="00A2562B">
        <w:rPr>
          <w:rFonts w:ascii="Times New Roman" w:hAnsi="Times New Roman" w:cs="Times New Roman"/>
        </w:rPr>
        <w:instrText xml:space="preserve"> ADDIN EN.CITE &lt;EndNote&gt;&lt;Cite&gt;&lt;Author&gt;Aiyar&lt;/Author&gt;&lt;Year&gt;2020&lt;/Year&gt;&lt;RecNum&gt;769&lt;/RecNum&gt;&lt;DisplayText&gt;&lt;style face="superscript"&gt;55,56&lt;/style&gt;&lt;/DisplayText&gt;&lt;record&gt;&lt;rec-number&gt;769&lt;/rec-number&gt;&lt;foreign-keys&gt;&lt;key app="EN" db-id="0r252zs96v5df6ewvd6p95ejp0xwxprvtfxa" timestamp="1633521742" guid="8c098d90-87b9-4b8c-805c-2c285c3c5fe3"&gt;769&lt;/key&gt;&lt;/foreign-keys&gt;&lt;ref-type name="Journal Article"&gt;17&lt;/ref-type&gt;&lt;contributors&gt;&lt;authors&gt;&lt;author&gt;Aiyar, Anaka&lt;/author&gt;&lt;author&gt;Pingali, Prabhu&lt;/author&gt;&lt;/authors&gt;&lt;/contributors&gt;&lt;titles&gt;&lt;title&gt;Pandemics and food systems-towards a proactive food safety approach to disease prevention &amp;amp; management&lt;/title&gt;&lt;secondary-title&gt;Food Security&lt;/secondary-title&gt;&lt;/titles&gt;&lt;periodical&gt;&lt;full-title&gt;Food Security&lt;/full-title&gt;&lt;/periodical&gt;&lt;pages&gt;749-756&lt;/pages&gt;&lt;volume&gt;12&lt;/volume&gt;&lt;number&gt;4&lt;/number&gt;&lt;dates&gt;&lt;year&gt;2020&lt;/year&gt;&lt;/dates&gt;&lt;isbn&gt;1876-4525&lt;/isbn&gt;&lt;urls&gt;&lt;/urls&gt;&lt;/record&gt;&lt;/Cite&gt;&lt;Cite&gt;&lt;Author&gt;Rohr&lt;/Author&gt;&lt;Year&gt;2019&lt;/Year&gt;&lt;RecNum&gt;770&lt;/RecNum&gt;&lt;record&gt;&lt;rec-number&gt;770&lt;/rec-number&gt;&lt;foreign-keys&gt;&lt;key app="EN" db-id="0r252zs96v5df6ewvd6p95ejp0xwxprvtfxa" timestamp="1633521742" guid="bdd7f5ef-03b8-4383-bec8-6f8c1f4743f4"&gt;770&lt;/key&gt;&lt;/foreign-keys&gt;&lt;ref-type name="Journal Article"&gt;17&lt;/ref-type&gt;&lt;contributors&gt;&lt;authors&gt;&lt;author&gt;Rohr, Jason R&lt;/author&gt;&lt;author&gt;Barrett, Christopher B&lt;/author&gt;&lt;author&gt;Civitello, David J&lt;/author&gt;&lt;author&gt;Craft, Meggan E&lt;/author&gt;&lt;author&gt;Delius, Bryan&lt;/author&gt;&lt;author&gt;DeLeo, Giulio A&lt;/author&gt;&lt;author&gt;Hudson, Peter J&lt;/author&gt;&lt;author&gt;Jouanard, Nicolas&lt;/author&gt;&lt;author&gt;Nguyen, Karena H&lt;/author&gt;&lt;author&gt;Ostfeld, Richard S&lt;/author&gt;&lt;/authors&gt;&lt;/contributors&gt;&lt;titles&gt;&lt;title&gt;Emerging human infectious diseases and the links to global food production&lt;/title&gt;&lt;secondary-title&gt;Nature sustainability&lt;/secondary-title&gt;&lt;/titles&gt;&lt;periodical&gt;&lt;full-title&gt;Nature sustainability&lt;/full-title&gt;&lt;/periodical&gt;&lt;pages&gt;445-456&lt;/pages&gt;&lt;volume&gt;2&lt;/volume&gt;&lt;number&gt;6&lt;/number&gt;&lt;dates&gt;&lt;year&gt;2019&lt;/year&gt;&lt;/dates&gt;&lt;isbn&gt;2398-9629&lt;/isbn&gt;&lt;urls&gt;&lt;/urls&gt;&lt;/record&gt;&lt;/Cite&gt;&lt;/EndNote&gt;</w:instrText>
      </w:r>
      <w:r w:rsidRPr="00A2562B">
        <w:rPr>
          <w:rFonts w:ascii="Times New Roman" w:hAnsi="Times New Roman" w:cs="Times New Roman"/>
        </w:rPr>
        <w:fldChar w:fldCharType="separate"/>
      </w:r>
      <w:r w:rsidRPr="00A2562B">
        <w:rPr>
          <w:rFonts w:ascii="Times New Roman" w:hAnsi="Times New Roman" w:cs="Times New Roman"/>
          <w:noProof/>
          <w:vertAlign w:val="superscript"/>
        </w:rPr>
        <w:t>55,56</w:t>
      </w:r>
      <w:r w:rsidRPr="00A2562B">
        <w:rPr>
          <w:rFonts w:ascii="Times New Roman" w:hAnsi="Times New Roman" w:cs="Times New Roman"/>
        </w:rPr>
        <w:fldChar w:fldCharType="end"/>
      </w:r>
      <w:r w:rsidRPr="00A2562B">
        <w:rPr>
          <w:rFonts w:ascii="Times New Roman" w:hAnsi="Times New Roman" w:cs="Times New Roman"/>
        </w:rPr>
        <w:t xml:space="preserve">. Dealing more with circular-origin feedstuffs and </w:t>
      </w:r>
      <w:r w:rsidR="004248D6">
        <w:rPr>
          <w:rFonts w:ascii="Times New Roman" w:hAnsi="Times New Roman" w:cs="Times New Roman"/>
        </w:rPr>
        <w:t>using</w:t>
      </w:r>
      <w:r w:rsidR="004248D6" w:rsidRPr="00A2562B">
        <w:rPr>
          <w:rFonts w:ascii="Times New Roman" w:hAnsi="Times New Roman" w:cs="Times New Roman"/>
        </w:rPr>
        <w:t xml:space="preserve"> </w:t>
      </w:r>
      <w:r w:rsidRPr="00A2562B">
        <w:rPr>
          <w:rFonts w:ascii="Times New Roman" w:hAnsi="Times New Roman" w:cs="Times New Roman"/>
        </w:rPr>
        <w:t xml:space="preserve">them </w:t>
      </w:r>
      <w:r w:rsidR="004248D6">
        <w:rPr>
          <w:rFonts w:ascii="Times New Roman" w:hAnsi="Times New Roman" w:cs="Times New Roman"/>
        </w:rPr>
        <w:t>in aquaculture feeds</w:t>
      </w:r>
      <w:r w:rsidRPr="00A2562B">
        <w:rPr>
          <w:rFonts w:ascii="Times New Roman" w:hAnsi="Times New Roman" w:cs="Times New Roman"/>
        </w:rPr>
        <w:t xml:space="preserve"> might increase such risks. There are obvious health hazards in recycling food system waste streams as feed for aquaculture</w:t>
      </w:r>
      <w:r>
        <w:rPr>
          <w:rFonts w:ascii="Times New Roman" w:hAnsi="Times New Roman" w:cs="Times New Roman"/>
        </w:rPr>
        <w:fldChar w:fldCharType="begin"/>
      </w:r>
      <w:r w:rsidR="00406C8B">
        <w:rPr>
          <w:rFonts w:ascii="Times New Roman" w:hAnsi="Times New Roman" w:cs="Times New Roman"/>
        </w:rPr>
        <w:instrText xml:space="preserve"> ADDIN ZOTERO_ITEM CSL_CITATION {"citationID":"a1pa6je2uii","properties":{"formattedCitation":"\\super 67,68\\nosupersub{}","plainCitation":"67,68","noteIndex":0},"citationItems":[{"id":9,"uris":["http://zotero.org/users/9431846/items/52MSMQF3"],"itemData":{"id":9,"type":"article-journal","abstract":"Abstract\n            Recent large-scale pandemics such as the covid19, H1N1, Swine flu, Ebola and the Nipah virus, which impacted human health and livelihoods, have come about due to inadequate food systems safeguards to detect, trace and eliminate threats arising from zoonotic diseases. Such diseases are transmitted to humans through their interaction with animals in the food value chain including through the consumption of bush meat. Climate change has also facilitated the emergence of new zoonotic diseases. The lack of adequately enforced food-safety standards in managed agricultural production systems creates the necessary conditions for diseases to mutate into highly contagious strains. The lack of food safety measures in handling, packaging and sales of food increases risks of cross-species contamination. Finally, increasing anti-microbial resistance, combined with rapid urbanization and global interconnectedness allows diseases to spread rapidly among humans. Thus, part of the reconstruction efforts, post covid19, should include prioritizing proactive investments in food safety. The key to stave off another such pandemic lies in integrating one-health knowledge on zoonotic diseases along with food safety measures along the food value chain. Refocusing policy priorities from disease control to prevention will improve international coordination efforts in pandemic prevention. Implementing such proactive actions will cost a very small fraction of the reconstruction budgets. However, the expected benefits of the food-safety approach will include preventing global economic losses due to pandemics.","container-title":"Food Security","DOI":"10.1007/s12571-020-01074-3","ISSN":"1876-4517, 1876-4525","issue":"4","journalAbbreviation":"Food Sec.","language":"en","page":"749-756","source":"DOI.org (Crossref)","title":"Pandemics and food systems - towards a proactive food safety approach to disease prevention &amp; management","volume":"12","author":[{"family":"Aiyar","given":"Anaka"},{"family":"Pingali","given":"Prabhu"}],"issued":{"date-parts":[["2020",8]]}}},{"id":8,"uris":["http://zotero.org/users/9431846/items/Q8U8G32K"],"itemData":{"id":8,"type":"article-journal","container-title":"Nature Sustainability","DOI":"10.1038/s41893-019-0293-3","ISSN":"2398-9629","issue":"6","journalAbbreviation":"Nat Sustain","language":"en","page":"445-456","source":"DOI.org (Crossref)","title":"Emerging human infectious diseases and the links to global food production","volume":"2","author":[{"family":"Rohr","given":"Jason R."},{"family":"Barrett","given":"Christopher B."},{"family":"Civitello","given":"David J."},{"family":"Craft","given":"Meggan E."},{"family":"Delius","given":"Bryan"},{"family":"DeLeo","given":"Giulio A."},{"family":"Hudson","given":"Peter J."},{"family":"Jouanard","given":"Nicolas"},{"family":"Nguyen","given":"Karena H."},{"family":"Ostfeld","given":"Richard S."},{"family":"Remais","given":"Justin V."},{"family":"Riveau","given":"Gilles"},{"family":"Sokolow","given":"Susanne H."},{"family":"Tilman","given":"David"}],"issued":{"date-parts":[["2019",6]]}}}],"schema":"https://github.com/citation-style-language/schema/raw/master/csl-citation.json"} </w:instrText>
      </w:r>
      <w:r>
        <w:rPr>
          <w:rFonts w:ascii="Times New Roman" w:hAnsi="Times New Roman" w:cs="Times New Roman"/>
        </w:rPr>
        <w:fldChar w:fldCharType="separate"/>
      </w:r>
      <w:r w:rsidR="00406C8B" w:rsidRPr="00406C8B">
        <w:rPr>
          <w:rFonts w:ascii="Times New Roman" w:hAnsi="Times New Roman" w:cs="Times New Roman"/>
          <w:szCs w:val="24"/>
          <w:vertAlign w:val="superscript"/>
        </w:rPr>
        <w:t>67,68</w:t>
      </w:r>
      <w:r>
        <w:rPr>
          <w:rFonts w:ascii="Times New Roman" w:hAnsi="Times New Roman" w:cs="Times New Roman"/>
        </w:rPr>
        <w:fldChar w:fldCharType="end"/>
      </w:r>
      <w:r w:rsidRPr="00A2562B">
        <w:rPr>
          <w:rFonts w:ascii="Times New Roman" w:hAnsi="Times New Roman" w:cs="Times New Roman"/>
        </w:rPr>
        <w:t xml:space="preserve">. </w:t>
      </w:r>
      <w:r w:rsidRPr="009E14A2">
        <w:rPr>
          <w:rFonts w:ascii="Times New Roman" w:hAnsi="Times New Roman" w:cs="Times New Roman"/>
        </w:rPr>
        <w:t>For ‘semi-intensive’ pond fish farming at lower trophic levels, less refined circular ingredients of plant-origin may be used directly to complement and supplement natural food base fluctuations</w:t>
      </w:r>
      <w:r>
        <w:rPr>
          <w:rFonts w:ascii="Times New Roman" w:hAnsi="Times New Roman" w:cs="Times New Roman"/>
        </w:rPr>
        <w:t xml:space="preserve"> </w:t>
      </w:r>
      <w:r>
        <w:rPr>
          <w:rFonts w:ascii="Times New Roman" w:hAnsi="Times New Roman" w:cs="Times New Roman"/>
        </w:rPr>
        <w:fldChar w:fldCharType="begin"/>
      </w:r>
      <w:r w:rsidR="00D26F24">
        <w:rPr>
          <w:rFonts w:ascii="Times New Roman" w:hAnsi="Times New Roman" w:cs="Times New Roman"/>
        </w:rPr>
        <w:instrText xml:space="preserve"> ADDIN ZOTERO_ITEM CSL_CITATION {"citationID":"a2g50hm539a","properties":{"formattedCitation":"\\super 49\\nosupersub{}","plainCitation":"49","noteIndex":0},"citationItems":[{"id":1637,"uris":["http://zotero.org/users/9431846/items/JWC3K5LM"],"itemData":{"id":1637,"type":"article-journal","container-title":"Aquaculture","DOI":"10.1016/j.aquaculture.2020.735506","ISSN":"00448486","journalAbbreviation":"Aquaculture","language":"en","page":"735506","source":"DOI.org (Crossref)","title":"Dietary non-starch polysaccharides influenced natural food web and fish production in semi-intensive pond culture of Nile tilapia","volume":"528","author":[{"family":"Kabir","given":"K.A."},{"family":"Verdegem","given":"M.C.J."},{"family":"Verreth","given":"J.A.J."},{"family":"Phillips","given":"M.J."},{"family":"Schrama","given":"J.W."}],"issued":{"date-parts":[["2020",11]]}}}],"schema":"https://github.com/citation-style-language/schema/raw/master/csl-citation.json"} </w:instrText>
      </w:r>
      <w:r>
        <w:rPr>
          <w:rFonts w:ascii="Times New Roman" w:hAnsi="Times New Roman" w:cs="Times New Roman"/>
        </w:rPr>
        <w:fldChar w:fldCharType="separate"/>
      </w:r>
      <w:r w:rsidR="00D26F24" w:rsidRPr="00D26F24">
        <w:rPr>
          <w:rFonts w:ascii="Times New Roman" w:hAnsi="Times New Roman" w:cs="Times New Roman"/>
          <w:szCs w:val="24"/>
          <w:vertAlign w:val="superscript"/>
        </w:rPr>
        <w:t>49</w:t>
      </w:r>
      <w:r>
        <w:rPr>
          <w:rFonts w:ascii="Times New Roman" w:hAnsi="Times New Roman" w:cs="Times New Roman"/>
        </w:rPr>
        <w:fldChar w:fldCharType="end"/>
      </w:r>
      <w:r w:rsidRPr="009E14A2">
        <w:rPr>
          <w:rFonts w:ascii="Times New Roman" w:hAnsi="Times New Roman" w:cs="Times New Roman"/>
        </w:rPr>
        <w:t xml:space="preserve">. But for intensive aquaculture, </w:t>
      </w:r>
      <w:r>
        <w:rPr>
          <w:rFonts w:ascii="Times New Roman" w:hAnsi="Times New Roman" w:cs="Times New Roman"/>
        </w:rPr>
        <w:t>some</w:t>
      </w:r>
      <w:r w:rsidRPr="009E14A2">
        <w:rPr>
          <w:rFonts w:ascii="Times New Roman" w:hAnsi="Times New Roman" w:cs="Times New Roman"/>
        </w:rPr>
        <w:t xml:space="preserve"> of the circular-origin feedstuffs </w:t>
      </w:r>
      <w:r>
        <w:rPr>
          <w:rFonts w:ascii="Times New Roman" w:hAnsi="Times New Roman" w:cs="Times New Roman"/>
        </w:rPr>
        <w:t>may</w:t>
      </w:r>
      <w:r w:rsidRPr="009E14A2">
        <w:rPr>
          <w:rFonts w:ascii="Times New Roman" w:hAnsi="Times New Roman" w:cs="Times New Roman"/>
        </w:rPr>
        <w:t xml:space="preserve"> be less-refined (high ash, high fibers on original matter basis)</w:t>
      </w:r>
      <w:r>
        <w:rPr>
          <w:rFonts w:ascii="Times New Roman" w:hAnsi="Times New Roman" w:cs="Times New Roman"/>
        </w:rPr>
        <w:t>, which</w:t>
      </w:r>
      <w:r w:rsidRPr="009E14A2">
        <w:rPr>
          <w:rFonts w:ascii="Times New Roman" w:hAnsi="Times New Roman" w:cs="Times New Roman"/>
        </w:rPr>
        <w:t xml:space="preserve"> require </w:t>
      </w:r>
      <w:r>
        <w:rPr>
          <w:rFonts w:ascii="Times New Roman" w:hAnsi="Times New Roman" w:cs="Times New Roman"/>
        </w:rPr>
        <w:t xml:space="preserve">a </w:t>
      </w:r>
      <w:r w:rsidRPr="009E14A2">
        <w:rPr>
          <w:rFonts w:ascii="Times New Roman" w:hAnsi="Times New Roman" w:cs="Times New Roman"/>
        </w:rPr>
        <w:t>significant degree of processing before use</w:t>
      </w:r>
      <w:r w:rsidRPr="00A2562B">
        <w:rPr>
          <w:rFonts w:ascii="Times New Roman" w:hAnsi="Times New Roman" w:cs="Times New Roman"/>
        </w:rPr>
        <w:t xml:space="preserve"> </w:t>
      </w:r>
      <w:r>
        <w:rPr>
          <w:rFonts w:ascii="Times New Roman" w:hAnsi="Times New Roman" w:cs="Times New Roman"/>
        </w:rPr>
        <w:t xml:space="preserve">to avoid </w:t>
      </w:r>
      <w:r w:rsidRPr="00A2562B">
        <w:rPr>
          <w:rFonts w:ascii="Times New Roman" w:hAnsi="Times New Roman" w:cs="Times New Roman"/>
        </w:rPr>
        <w:t>anti-nutritional factors</w:t>
      </w:r>
      <w:r>
        <w:rPr>
          <w:rFonts w:ascii="Times New Roman" w:hAnsi="Times New Roman" w:cs="Times New Roman"/>
        </w:rPr>
        <w:t xml:space="preserve"> and</w:t>
      </w:r>
      <w:r w:rsidRPr="00A2562B">
        <w:rPr>
          <w:rFonts w:ascii="Times New Roman" w:hAnsi="Times New Roman" w:cs="Times New Roman"/>
        </w:rPr>
        <w:t xml:space="preserve"> </w:t>
      </w:r>
      <w:r>
        <w:rPr>
          <w:rFonts w:ascii="Times New Roman" w:hAnsi="Times New Roman" w:cs="Times New Roman"/>
        </w:rPr>
        <w:t xml:space="preserve">improve bioavailability of certain nutrients. </w:t>
      </w:r>
    </w:p>
    <w:p w14:paraId="38A99E12" w14:textId="0B4E8A13" w:rsidR="003509CC" w:rsidRDefault="000C3DE3" w:rsidP="003509CC">
      <w:pPr>
        <w:spacing w:line="360" w:lineRule="auto"/>
        <w:ind w:firstLine="720"/>
        <w:contextualSpacing/>
        <w:jc w:val="both"/>
        <w:rPr>
          <w:rFonts w:ascii="Times New Roman" w:hAnsi="Times New Roman" w:cs="Times New Roman"/>
        </w:rPr>
      </w:pPr>
      <w:r w:rsidRPr="00C80DCF">
        <w:rPr>
          <w:rFonts w:ascii="Times New Roman" w:hAnsi="Times New Roman" w:cs="Times New Roman"/>
        </w:rPr>
        <w:t>In the CBF, re-focusing resource and material flows from global scales to regional/local scale is necessary.</w:t>
      </w:r>
      <w:r w:rsidR="00A14527" w:rsidRPr="00C80DCF">
        <w:rPr>
          <w:rFonts w:ascii="Times New Roman" w:hAnsi="Times New Roman" w:cs="Times New Roman"/>
        </w:rPr>
        <w:t xml:space="preserve"> </w:t>
      </w:r>
      <w:r w:rsidR="00E96485">
        <w:rPr>
          <w:rFonts w:ascii="Times New Roman" w:hAnsi="Times New Roman" w:cs="Times New Roman"/>
        </w:rPr>
        <w:t>However,</w:t>
      </w:r>
      <w:r w:rsidR="003509CC">
        <w:rPr>
          <w:rFonts w:ascii="Times New Roman" w:hAnsi="Times New Roman" w:cs="Times New Roman"/>
        </w:rPr>
        <w:t xml:space="preserve"> one of the most challenging issues and risks </w:t>
      </w:r>
      <w:r w:rsidR="00A14527">
        <w:rPr>
          <w:rFonts w:ascii="Times New Roman" w:hAnsi="Times New Roman" w:cs="Times New Roman"/>
        </w:rPr>
        <w:t xml:space="preserve">of the CBF </w:t>
      </w:r>
      <w:r w:rsidR="003509CC">
        <w:rPr>
          <w:rFonts w:ascii="Times New Roman" w:hAnsi="Times New Roman" w:cs="Times New Roman"/>
        </w:rPr>
        <w:t>relates to logistics. Even if ingredients sourced through the CBF may help lower the environmental footprint of aquafeeds, shipping feed ingredients around the globe will result in carbon emissions and is expensive, which can tear the sustainability of the CBF</w:t>
      </w:r>
      <w:r w:rsidR="003509CC">
        <w:rPr>
          <w:rFonts w:ascii="Times New Roman" w:hAnsi="Times New Roman" w:cs="Times New Roman"/>
        </w:rPr>
        <w:fldChar w:fldCharType="begin"/>
      </w:r>
      <w:r w:rsidR="006430CB">
        <w:rPr>
          <w:rFonts w:ascii="Times New Roman" w:hAnsi="Times New Roman" w:cs="Times New Roman"/>
        </w:rPr>
        <w:instrText xml:space="preserve"> ADDIN ZOTERO_ITEM CSL_CITATION {"citationID":"a1s148ovp01","properties":{"formattedCitation":"\\super 69\\nosupersub{}","plainCitation":"69","noteIndex":0},"citationItems":[{"id":1691,"uris":["http://zotero.org/users/9431846/items/M9YJKJK5"],"itemData":{"id":1691,"type":"article-journal","container-title":"Journal of Cleaner Production","DOI":"10.1016/j.jclepro.2020.124341","ISSN":"09596526","journalAbbreviation":"Journal of Cleaner Production","language":"en","page":"124341","source":"DOI.org (Crossref)","title":"Key aspects for designing business models for a circular bioeconomy","volume":"278","author":[{"family":"Salvador","given":"Rodrigo"},{"family":"Puglieri","given":"Fabio N."},{"family":"Halog","given":"Anthony"},{"family":"Andrade","given":"Fernanda G.","dropping-particle":"de"},{"family":"Piekarski","given":"Cassiano M."},{"family":"De Francisco","given":"Antonio C."}],"issued":{"date-parts":[["2021",1]]}}}],"schema":"https://github.com/citation-style-language/schema/raw/master/csl-citation.json"} </w:instrText>
      </w:r>
      <w:r w:rsidR="003509CC">
        <w:rPr>
          <w:rFonts w:ascii="Times New Roman" w:hAnsi="Times New Roman" w:cs="Times New Roman"/>
        </w:rPr>
        <w:fldChar w:fldCharType="separate"/>
      </w:r>
      <w:r w:rsidR="006430CB" w:rsidRPr="006430CB">
        <w:rPr>
          <w:rFonts w:ascii="Times New Roman" w:hAnsi="Times New Roman" w:cs="Times New Roman"/>
          <w:szCs w:val="24"/>
          <w:vertAlign w:val="superscript"/>
        </w:rPr>
        <w:t>69</w:t>
      </w:r>
      <w:r w:rsidR="003509CC">
        <w:rPr>
          <w:rFonts w:ascii="Times New Roman" w:hAnsi="Times New Roman" w:cs="Times New Roman"/>
        </w:rPr>
        <w:fldChar w:fldCharType="end"/>
      </w:r>
      <w:r w:rsidR="003509CC">
        <w:rPr>
          <w:rFonts w:ascii="Times New Roman" w:hAnsi="Times New Roman" w:cs="Times New Roman"/>
        </w:rPr>
        <w:t>. Supply issues may result if feed producers rely on ingredients from other parts of the world (even if they are sourced from the CBF). While t</w:t>
      </w:r>
      <w:r w:rsidR="003509CC" w:rsidRPr="00B7456A">
        <w:rPr>
          <w:rFonts w:ascii="Times New Roman" w:hAnsi="Times New Roman" w:cs="Times New Roman"/>
        </w:rPr>
        <w:t>ransportation plays a critical role in virtually all agricultural supply chains</w:t>
      </w:r>
      <w:r w:rsidR="003509CC">
        <w:rPr>
          <w:rFonts w:ascii="Times New Roman" w:hAnsi="Times New Roman" w:cs="Times New Roman"/>
        </w:rPr>
        <w:t>, r</w:t>
      </w:r>
      <w:r w:rsidR="003509CC" w:rsidRPr="000440A0">
        <w:rPr>
          <w:rFonts w:ascii="Times New Roman" w:hAnsi="Times New Roman" w:cs="Times New Roman"/>
        </w:rPr>
        <w:t xml:space="preserve">ecent problems with </w:t>
      </w:r>
      <w:r w:rsidR="003509CC">
        <w:rPr>
          <w:rFonts w:ascii="Times New Roman" w:hAnsi="Times New Roman" w:cs="Times New Roman"/>
        </w:rPr>
        <w:t xml:space="preserve">restriction of </w:t>
      </w:r>
      <w:r w:rsidR="003509CC" w:rsidRPr="000440A0">
        <w:rPr>
          <w:rFonts w:ascii="Times New Roman" w:hAnsi="Times New Roman" w:cs="Times New Roman"/>
        </w:rPr>
        <w:t xml:space="preserve">global movement of containers containing </w:t>
      </w:r>
      <w:r w:rsidR="003509CC" w:rsidRPr="000440A0">
        <w:rPr>
          <w:rFonts w:ascii="Times New Roman" w:hAnsi="Times New Roman" w:cs="Times New Roman"/>
        </w:rPr>
        <w:lastRenderedPageBreak/>
        <w:t xml:space="preserve">consumer goods </w:t>
      </w:r>
      <w:r w:rsidR="003509CC">
        <w:rPr>
          <w:rFonts w:ascii="Times New Roman" w:hAnsi="Times New Roman" w:cs="Times New Roman"/>
        </w:rPr>
        <w:t xml:space="preserve">also </w:t>
      </w:r>
      <w:r w:rsidR="003509CC" w:rsidRPr="000440A0">
        <w:rPr>
          <w:rFonts w:ascii="Times New Roman" w:hAnsi="Times New Roman" w:cs="Times New Roman"/>
        </w:rPr>
        <w:t>illustrate</w:t>
      </w:r>
      <w:r w:rsidR="003509CC">
        <w:rPr>
          <w:rFonts w:ascii="Times New Roman" w:hAnsi="Times New Roman" w:cs="Times New Roman"/>
        </w:rPr>
        <w:t>s</w:t>
      </w:r>
      <w:r w:rsidR="003509CC" w:rsidRPr="000440A0">
        <w:rPr>
          <w:rFonts w:ascii="Times New Roman" w:hAnsi="Times New Roman" w:cs="Times New Roman"/>
        </w:rPr>
        <w:t xml:space="preserve"> the problem</w:t>
      </w:r>
      <w:r w:rsidR="003509CC">
        <w:rPr>
          <w:rFonts w:ascii="Times New Roman" w:hAnsi="Times New Roman" w:cs="Times New Roman"/>
        </w:rPr>
        <w:fldChar w:fldCharType="begin"/>
      </w:r>
      <w:r w:rsidR="000119E8">
        <w:rPr>
          <w:rFonts w:ascii="Times New Roman" w:hAnsi="Times New Roman" w:cs="Times New Roman"/>
        </w:rPr>
        <w:instrText xml:space="preserve"> ADDIN ZOTERO_ITEM CSL_CITATION {"citationID":"a1m17qefbg1","properties":{"formattedCitation":"\\super 70\\nosupersub{}","plainCitation":"70","noteIndex":0},"citationItems":[{"id":1687,"uris":["http://zotero.org/users/9431846/items/AVUPIA5G"],"itemData":{"id":1687,"type":"article-journal","container-title":"Canadian Journal of Agricultural Economics/Revue canadienne d'agroeconomie","DOI":"10.1111/cjag.12280","ISSN":"0008-3976, 1744-7976","issue":"2","journalAbbreviation":"Canadian Journal of Agricultural </w:instrText>
      </w:r>
      <w:r w:rsidR="000119E8">
        <w:rPr>
          <w:rFonts w:ascii="Times New Roman" w:hAnsi="Times New Roman" w:cs="Times New Roman" w:hint="eastAsia"/>
        </w:rPr>
        <w:instrText>Economics/Revue canadienne d'agroeconomie","language":"en","page":"281-289","source":"DOI.org (Crossref)","title":"Update to agriculture, transportation, and the COVID</w:instrText>
      </w:r>
      <w:r w:rsidR="000119E8">
        <w:rPr>
          <w:rFonts w:ascii="Times New Roman" w:hAnsi="Times New Roman" w:cs="Times New Roman" w:hint="eastAsia"/>
        </w:rPr>
        <w:instrText>‐</w:instrText>
      </w:r>
      <w:r w:rsidR="000119E8">
        <w:rPr>
          <w:rFonts w:ascii="Times New Roman" w:hAnsi="Times New Roman" w:cs="Times New Roman" w:hint="eastAsia"/>
        </w:rPr>
        <w:instrText>19 crisis","volume":"69","author":[{"family":"Gray","given":"Richard S"},{"family":"Tor</w:instrText>
      </w:r>
      <w:r w:rsidR="000119E8">
        <w:rPr>
          <w:rFonts w:ascii="Times New Roman" w:hAnsi="Times New Roman" w:cs="Times New Roman"/>
        </w:rPr>
        <w:instrText xml:space="preserve">shizi","given":"Mohammad"}],"issued":{"date-parts":[["2021",6]]}}}],"schema":"https://github.com/citation-style-language/schema/raw/master/csl-citation.json"} </w:instrText>
      </w:r>
      <w:r w:rsidR="003509CC">
        <w:rPr>
          <w:rFonts w:ascii="Times New Roman" w:hAnsi="Times New Roman" w:cs="Times New Roman"/>
        </w:rPr>
        <w:fldChar w:fldCharType="separate"/>
      </w:r>
      <w:r w:rsidR="000119E8" w:rsidRPr="000119E8">
        <w:rPr>
          <w:rFonts w:ascii="Times New Roman" w:hAnsi="Times New Roman" w:cs="Times New Roman"/>
          <w:szCs w:val="24"/>
          <w:vertAlign w:val="superscript"/>
        </w:rPr>
        <w:t>70</w:t>
      </w:r>
      <w:r w:rsidR="003509CC">
        <w:rPr>
          <w:rFonts w:ascii="Times New Roman" w:hAnsi="Times New Roman" w:cs="Times New Roman"/>
        </w:rPr>
        <w:fldChar w:fldCharType="end"/>
      </w:r>
      <w:r w:rsidR="003509CC" w:rsidRPr="000440A0">
        <w:rPr>
          <w:rFonts w:ascii="Times New Roman" w:hAnsi="Times New Roman" w:cs="Times New Roman"/>
        </w:rPr>
        <w:t xml:space="preserve">. Logistics </w:t>
      </w:r>
      <w:r w:rsidR="003509CC">
        <w:rPr>
          <w:rFonts w:ascii="Times New Roman" w:hAnsi="Times New Roman" w:cs="Times New Roman"/>
        </w:rPr>
        <w:t>and infrastructure are</w:t>
      </w:r>
      <w:r w:rsidR="003509CC" w:rsidRPr="000440A0">
        <w:rPr>
          <w:rFonts w:ascii="Times New Roman" w:hAnsi="Times New Roman" w:cs="Times New Roman"/>
        </w:rPr>
        <w:t xml:space="preserve"> also a</w:t>
      </w:r>
      <w:r w:rsidR="003509CC">
        <w:rPr>
          <w:rFonts w:ascii="Times New Roman" w:hAnsi="Times New Roman" w:cs="Times New Roman"/>
        </w:rPr>
        <w:t>n</w:t>
      </w:r>
      <w:r w:rsidR="003509CC" w:rsidRPr="000440A0">
        <w:rPr>
          <w:rFonts w:ascii="Times New Roman" w:hAnsi="Times New Roman" w:cs="Times New Roman"/>
        </w:rPr>
        <w:t xml:space="preserve"> impediment to capture and recovery of </w:t>
      </w:r>
      <w:r w:rsidR="003509CC">
        <w:rPr>
          <w:rFonts w:ascii="Times New Roman" w:hAnsi="Times New Roman" w:cs="Times New Roman"/>
        </w:rPr>
        <w:t>processing fishery</w:t>
      </w:r>
      <w:r w:rsidR="003509CC" w:rsidRPr="000440A0">
        <w:rPr>
          <w:rFonts w:ascii="Times New Roman" w:hAnsi="Times New Roman" w:cs="Times New Roman"/>
        </w:rPr>
        <w:t xml:space="preserve"> byproducts, </w:t>
      </w:r>
      <w:r w:rsidR="003509CC">
        <w:rPr>
          <w:rFonts w:ascii="Times New Roman" w:hAnsi="Times New Roman" w:cs="Times New Roman"/>
        </w:rPr>
        <w:t>and there is usually global shipment involved</w:t>
      </w:r>
      <w:r w:rsidR="003509CC">
        <w:rPr>
          <w:rFonts w:ascii="Times New Roman" w:hAnsi="Times New Roman" w:cs="Times New Roman"/>
        </w:rPr>
        <w:fldChar w:fldCharType="begin"/>
      </w:r>
      <w:r w:rsidR="0092360F">
        <w:rPr>
          <w:rFonts w:ascii="Times New Roman" w:hAnsi="Times New Roman" w:cs="Times New Roman"/>
        </w:rPr>
        <w:instrText xml:space="preserve"> ADDIN ZOTERO_ITEM CSL_CITATION {"citationID":"a2krcecsk6e","properties":{"formattedCitation":"\\super 71\\nosupersub{}","plainCitation":"71","noteIndex":0},"citationItems":[{"id":1688,"uris":["http://zotero.org/users/9431846/items/RI44B7N8"],"itemData":{"id":1688,"type":"article-journal","container-title":"Trends in Food Science &amp; Technology","DOI":"10.1016/j.tifs.2006.07.015","ISSN":"09242244","issue":"1","journalAbbreviation":"Trends in Food Science &amp; Technology","language":"en","page":"29-36","source":"DOI.org (Crossref)","title":"Towards sustainable and efficient use of fishery resources: present and future trends","title-short":"Towards sustainable and efficient use of fishery resources","volume":"18","author":[{"family":"Blanco","given":"M."},{"family":"Sotelo","given":"C.G."},{"family":"Chapela","given":"M.J."},{"family":"Pérez-Martín","given":"R.I."}],"issued":{"date-parts":[["2007",1]]}}}],"schema":"https://github.com/citation-style-language/schema/raw/master/csl-citation.json"} </w:instrText>
      </w:r>
      <w:r w:rsidR="003509CC">
        <w:rPr>
          <w:rFonts w:ascii="Times New Roman" w:hAnsi="Times New Roman" w:cs="Times New Roman"/>
        </w:rPr>
        <w:fldChar w:fldCharType="separate"/>
      </w:r>
      <w:r w:rsidR="0092360F" w:rsidRPr="0092360F">
        <w:rPr>
          <w:rFonts w:ascii="Times New Roman" w:hAnsi="Times New Roman" w:cs="Times New Roman"/>
          <w:szCs w:val="24"/>
          <w:vertAlign w:val="superscript"/>
        </w:rPr>
        <w:t>71</w:t>
      </w:r>
      <w:r w:rsidR="003509CC">
        <w:rPr>
          <w:rFonts w:ascii="Times New Roman" w:hAnsi="Times New Roman" w:cs="Times New Roman"/>
        </w:rPr>
        <w:fldChar w:fldCharType="end"/>
      </w:r>
      <w:r w:rsidR="003509CC" w:rsidRPr="000440A0">
        <w:rPr>
          <w:rFonts w:ascii="Times New Roman" w:hAnsi="Times New Roman" w:cs="Times New Roman"/>
        </w:rPr>
        <w:t>. These</w:t>
      </w:r>
      <w:r w:rsidR="003509CC">
        <w:rPr>
          <w:rFonts w:ascii="Times New Roman" w:hAnsi="Times New Roman" w:cs="Times New Roman"/>
        </w:rPr>
        <w:t xml:space="preserve"> barriers</w:t>
      </w:r>
      <w:r w:rsidR="003509CC" w:rsidRPr="000440A0">
        <w:rPr>
          <w:rFonts w:ascii="Times New Roman" w:hAnsi="Times New Roman" w:cs="Times New Roman"/>
        </w:rPr>
        <w:t xml:space="preserve"> have been </w:t>
      </w:r>
      <w:r w:rsidR="003509CC">
        <w:rPr>
          <w:rFonts w:ascii="Times New Roman" w:hAnsi="Times New Roman" w:cs="Times New Roman"/>
        </w:rPr>
        <w:t>well-</w:t>
      </w:r>
      <w:r w:rsidR="003509CC" w:rsidRPr="000440A0">
        <w:rPr>
          <w:rFonts w:ascii="Times New Roman" w:hAnsi="Times New Roman" w:cs="Times New Roman"/>
        </w:rPr>
        <w:t>studied</w:t>
      </w:r>
      <w:r w:rsidR="003509CC">
        <w:rPr>
          <w:rFonts w:ascii="Times New Roman" w:hAnsi="Times New Roman" w:cs="Times New Roman"/>
        </w:rPr>
        <w:t xml:space="preserve"> with few solutions proposed, however, </w:t>
      </w:r>
      <w:r w:rsidR="003509CC" w:rsidRPr="009E0916">
        <w:rPr>
          <w:rFonts w:ascii="Times New Roman" w:hAnsi="Times New Roman" w:cs="Times New Roman"/>
        </w:rPr>
        <w:t>prioritizing the local economy, both for the acquisition of its feedstock and for the offer of its products</w:t>
      </w:r>
      <w:r w:rsidR="003509CC">
        <w:rPr>
          <w:rFonts w:ascii="Times New Roman" w:hAnsi="Times New Roman" w:cs="Times New Roman"/>
        </w:rPr>
        <w:t>, will help de-risk the CFB</w:t>
      </w:r>
      <w:r w:rsidR="003509CC">
        <w:rPr>
          <w:rFonts w:ascii="Times New Roman" w:hAnsi="Times New Roman" w:cs="Times New Roman"/>
        </w:rPr>
        <w:fldChar w:fldCharType="begin"/>
      </w:r>
      <w:r w:rsidR="004346E2">
        <w:rPr>
          <w:rFonts w:ascii="Times New Roman" w:hAnsi="Times New Roman" w:cs="Times New Roman"/>
        </w:rPr>
        <w:instrText xml:space="preserve"> ADDIN ZOTERO_ITEM CSL_CITATION {"citationID":"a1r1naejlab","properties":{"formattedCitation":"\\super 69\\nosupersub{}","plainCitation":"69","noteIndex":0},"citationItems":[{"id":1691,"uris":["http://zotero.org/users/9431846/items/M9YJKJK5"],"itemData":{"id":1691,"type":"article-journal","container-title":"Journal of Cleaner Production","DOI":"10.1016/j.jclepro.2020.124341","ISSN":"09596526","journalAbbreviation":"Journal of Cleaner Production","language":"en","page":"124341","source":"DOI.org (Crossref)","title":"Key aspects for designing business models for a circular bioeconomy","volume":"278","author":[{"family":"Salvador","given":"Rodrigo"},{"family":"Puglieri","given":"Fabio N."},{"family":"Halog","given":"Anthony"},{"family":"Andrade","given":"Fernanda G.","dropping-particle":"de"},{"family":"Piekarski","given":"Cassiano M."},{"family":"De Francisco","given":"Antonio C."}],"issued":{"date-parts":[["2021",1]]}}}],"schema":"https://github.com/citation-style-language/schema/raw/master/csl-citation.json"} </w:instrText>
      </w:r>
      <w:r w:rsidR="003509CC">
        <w:rPr>
          <w:rFonts w:ascii="Times New Roman" w:hAnsi="Times New Roman" w:cs="Times New Roman"/>
        </w:rPr>
        <w:fldChar w:fldCharType="separate"/>
      </w:r>
      <w:r w:rsidR="004346E2" w:rsidRPr="004346E2">
        <w:rPr>
          <w:rFonts w:ascii="Times New Roman" w:hAnsi="Times New Roman" w:cs="Times New Roman"/>
          <w:szCs w:val="24"/>
          <w:vertAlign w:val="superscript"/>
        </w:rPr>
        <w:t>69</w:t>
      </w:r>
      <w:r w:rsidR="003509CC">
        <w:rPr>
          <w:rFonts w:ascii="Times New Roman" w:hAnsi="Times New Roman" w:cs="Times New Roman"/>
        </w:rPr>
        <w:fldChar w:fldCharType="end"/>
      </w:r>
      <w:r w:rsidR="003509CC" w:rsidRPr="009E0916">
        <w:rPr>
          <w:rFonts w:ascii="Times New Roman" w:hAnsi="Times New Roman" w:cs="Times New Roman"/>
        </w:rPr>
        <w:t>.</w:t>
      </w:r>
      <w:r w:rsidR="003509CC">
        <w:rPr>
          <w:rFonts w:ascii="Times New Roman" w:hAnsi="Times New Roman" w:cs="Times New Roman"/>
        </w:rPr>
        <w:t xml:space="preserve"> Depending on the species, life stage, and system, localizing the CBF may be more realistic and attainable immediately. A good example of this is</w:t>
      </w:r>
      <w:r w:rsidR="003509CC" w:rsidRPr="00624C85">
        <w:rPr>
          <w:rFonts w:ascii="Times New Roman" w:hAnsi="Times New Roman" w:cs="Times New Roman"/>
        </w:rPr>
        <w:t xml:space="preserve"> “farm made feeds” for semi-intensive</w:t>
      </w:r>
      <w:r w:rsidR="003509CC">
        <w:rPr>
          <w:rFonts w:ascii="Times New Roman" w:hAnsi="Times New Roman" w:cs="Times New Roman"/>
        </w:rPr>
        <w:t xml:space="preserve"> pond</w:t>
      </w:r>
      <w:r w:rsidR="003509CC" w:rsidRPr="00624C85">
        <w:rPr>
          <w:rFonts w:ascii="Times New Roman" w:hAnsi="Times New Roman" w:cs="Times New Roman"/>
        </w:rPr>
        <w:t xml:space="preserve"> systems </w:t>
      </w:r>
      <w:r w:rsidR="003509CC">
        <w:rPr>
          <w:rFonts w:ascii="Times New Roman" w:hAnsi="Times New Roman" w:cs="Times New Roman"/>
        </w:rPr>
        <w:t>which often</w:t>
      </w:r>
      <w:r w:rsidR="003509CC" w:rsidRPr="00624C85">
        <w:rPr>
          <w:rFonts w:ascii="Times New Roman" w:hAnsi="Times New Roman" w:cs="Times New Roman"/>
        </w:rPr>
        <w:t xml:space="preserve"> valorizing local circular resources. </w:t>
      </w:r>
      <w:r w:rsidR="003509CC">
        <w:rPr>
          <w:rFonts w:ascii="Times New Roman" w:hAnsi="Times New Roman" w:cs="Times New Roman"/>
        </w:rPr>
        <w:t xml:space="preserve">For </w:t>
      </w:r>
      <w:r w:rsidR="003509CC" w:rsidRPr="00624C85">
        <w:rPr>
          <w:rFonts w:ascii="Times New Roman" w:hAnsi="Times New Roman" w:cs="Times New Roman"/>
        </w:rPr>
        <w:t>decades, Asian carp culture in ponds have practiced and stressed the importance of such approach</w:t>
      </w:r>
      <w:r w:rsidR="00FE3B63">
        <w:rPr>
          <w:rFonts w:ascii="Times New Roman" w:hAnsi="Times New Roman" w:cs="Times New Roman"/>
        </w:rPr>
        <w:fldChar w:fldCharType="begin"/>
      </w:r>
      <w:r w:rsidR="0005798E">
        <w:rPr>
          <w:rFonts w:ascii="Times New Roman" w:hAnsi="Times New Roman" w:cs="Times New Roman"/>
        </w:rPr>
        <w:instrText xml:space="preserve"> ADDIN ZOTERO_ITEM CSL_CITATION {"citationID":"a1dm72gu8jk","properties":{"formattedCitation":"\\super 72\\nosupersub{}","plainCitation":"72","noteIndex":0},"citationItems":[{"id":1725,"uris":["http://zotero.org/users/9431846/items/5LNJDCH8"],"itemData":{"id":1725,"type":"book","call-number":"SH167.C3 R35 2013 SH1 .F2 no.578","collection-number":"578","collection-title":"FAO fisheries and aquaculture technical paper,","event-place":"Rome","ISBN":"9789251074350","number-of-pages":"vii, 90 pages","publisher":"Food and Agriculture Organization of the United Nations","publisher-place":"Rome","title":"Feeding and feed management of Indian major carps in Andhra Pradesh, India","author":[{"family":"Ramakrishna","given":"R."},{"family":"Shipton","given":"Thomas A."},{"family":"Hasan","given":"Mohammad R."},{"family":"Food and Agriculture Organization of the United Nations","given":""}],"issued":{"date-parts":[["2013"]]}}}],"schema":"https://github.com/citation-style-language/schema/raw/master/csl-citation.json"} </w:instrText>
      </w:r>
      <w:r w:rsidR="00FE3B63">
        <w:rPr>
          <w:rFonts w:ascii="Times New Roman" w:hAnsi="Times New Roman" w:cs="Times New Roman"/>
        </w:rPr>
        <w:fldChar w:fldCharType="separate"/>
      </w:r>
      <w:r w:rsidR="0005798E" w:rsidRPr="0005798E">
        <w:rPr>
          <w:rFonts w:ascii="Times New Roman" w:hAnsi="Times New Roman" w:cs="Times New Roman"/>
          <w:szCs w:val="24"/>
          <w:vertAlign w:val="superscript"/>
        </w:rPr>
        <w:t>72</w:t>
      </w:r>
      <w:r w:rsidR="00FE3B63">
        <w:rPr>
          <w:rFonts w:ascii="Times New Roman" w:hAnsi="Times New Roman" w:cs="Times New Roman"/>
        </w:rPr>
        <w:fldChar w:fldCharType="end"/>
      </w:r>
      <w:r w:rsidR="003509CC" w:rsidRPr="00624C85">
        <w:rPr>
          <w:rFonts w:ascii="Times New Roman" w:hAnsi="Times New Roman" w:cs="Times New Roman"/>
        </w:rPr>
        <w:t>.</w:t>
      </w:r>
    </w:p>
    <w:p w14:paraId="6ADDE16A" w14:textId="7C24A9A5" w:rsidR="0037425E" w:rsidRPr="00A2562B" w:rsidRDefault="0037425E" w:rsidP="00A2562B">
      <w:pPr>
        <w:spacing w:line="360" w:lineRule="auto"/>
        <w:contextualSpacing/>
        <w:jc w:val="both"/>
        <w:rPr>
          <w:rFonts w:ascii="Times New Roman" w:hAnsi="Times New Roman" w:cs="Times New Roman"/>
          <w:b/>
          <w:bCs/>
        </w:rPr>
      </w:pPr>
      <w:r>
        <w:rPr>
          <w:rFonts w:ascii="Times New Roman" w:hAnsi="Times New Roman" w:cs="Times New Roman"/>
          <w:b/>
          <w:bCs/>
        </w:rPr>
        <w:t>Scoping of novel and non-traditional sources for Aquafeed 3.0</w:t>
      </w:r>
    </w:p>
    <w:p w14:paraId="0EC3D813" w14:textId="5856336E" w:rsidR="000F0A1E" w:rsidRPr="00607518" w:rsidRDefault="00224D0C" w:rsidP="006A1B2D">
      <w:pPr>
        <w:spacing w:line="360" w:lineRule="auto"/>
        <w:contextualSpacing/>
        <w:jc w:val="both"/>
        <w:rPr>
          <w:rFonts w:ascii="Times New Roman" w:hAnsi="Times New Roman" w:cs="Times New Roman"/>
        </w:rPr>
      </w:pPr>
      <w:r>
        <w:rPr>
          <w:rFonts w:ascii="Times New Roman" w:hAnsi="Times New Roman" w:cs="Times New Roman"/>
          <w:color w:val="0070C0"/>
        </w:rPr>
        <w:tab/>
      </w:r>
      <w:r w:rsidRPr="00EF73BB">
        <w:rPr>
          <w:rFonts w:ascii="Times New Roman" w:hAnsi="Times New Roman" w:cs="Times New Roman"/>
        </w:rPr>
        <w:t xml:space="preserve">There are emerging </w:t>
      </w:r>
      <w:r w:rsidR="00E519F0" w:rsidRPr="00EF73BB">
        <w:rPr>
          <w:rFonts w:ascii="Times New Roman" w:hAnsi="Times New Roman" w:cs="Times New Roman"/>
        </w:rPr>
        <w:t>examples of byproduct</w:t>
      </w:r>
      <w:r w:rsidR="00533F76">
        <w:rPr>
          <w:rFonts w:ascii="Times New Roman" w:hAnsi="Times New Roman" w:cs="Times New Roman"/>
        </w:rPr>
        <w:t>s</w:t>
      </w:r>
      <w:r w:rsidR="00E519F0" w:rsidRPr="00EF73BB">
        <w:rPr>
          <w:rFonts w:ascii="Times New Roman" w:hAnsi="Times New Roman" w:cs="Times New Roman"/>
        </w:rPr>
        <w:t xml:space="preserve"> that could be utilized in the CBF to creat</w:t>
      </w:r>
      <w:r w:rsidR="00D8160E" w:rsidRPr="00EF73BB">
        <w:rPr>
          <w:rFonts w:ascii="Times New Roman" w:hAnsi="Times New Roman" w:cs="Times New Roman"/>
        </w:rPr>
        <w:t xml:space="preserve">e novel aquafeed ingredients. </w:t>
      </w:r>
      <w:r w:rsidR="00820392" w:rsidRPr="00EF73BB">
        <w:rPr>
          <w:rFonts w:ascii="Times New Roman" w:hAnsi="Times New Roman" w:cs="Times New Roman"/>
        </w:rPr>
        <w:t xml:space="preserve">While more work needs to be done to validate these potential resources (particularly regarding </w:t>
      </w:r>
      <w:r w:rsidR="0013643D" w:rsidRPr="00EF73BB">
        <w:rPr>
          <w:rFonts w:ascii="Times New Roman" w:hAnsi="Times New Roman" w:cs="Times New Roman"/>
        </w:rPr>
        <w:t xml:space="preserve">safety and consistency), they could provide a useful source of </w:t>
      </w:r>
      <w:r w:rsidR="000C673B" w:rsidRPr="00EF73BB">
        <w:rPr>
          <w:rFonts w:ascii="Times New Roman" w:hAnsi="Times New Roman" w:cs="Times New Roman"/>
        </w:rPr>
        <w:t xml:space="preserve">nutrients for producing downstream products described in this review, such as insects or single cell organisms. </w:t>
      </w:r>
      <w:r w:rsidR="00AC2C2E" w:rsidRPr="00EF73BB">
        <w:rPr>
          <w:rFonts w:ascii="Times New Roman" w:hAnsi="Times New Roman" w:cs="Times New Roman"/>
        </w:rPr>
        <w:t xml:space="preserve">For example, supermarket or retail chain waste, including fruits and vegetables, bread products, </w:t>
      </w:r>
      <w:r w:rsidR="00D45B36" w:rsidRPr="00EF73BB">
        <w:rPr>
          <w:rFonts w:ascii="Times New Roman" w:hAnsi="Times New Roman" w:cs="Times New Roman"/>
        </w:rPr>
        <w:t>meat,</w:t>
      </w:r>
      <w:r w:rsidR="00AC2C2E" w:rsidRPr="00EF73BB">
        <w:rPr>
          <w:rFonts w:ascii="Times New Roman" w:hAnsi="Times New Roman" w:cs="Times New Roman"/>
        </w:rPr>
        <w:t xml:space="preserve"> and fish</w:t>
      </w:r>
      <w:r w:rsidR="008179AC" w:rsidRPr="00EF73BB">
        <w:rPr>
          <w:rFonts w:ascii="Times New Roman" w:hAnsi="Times New Roman" w:cs="Times New Roman"/>
        </w:rPr>
        <w:t xml:space="preserve">. Many of these waste streams are refined and edible and </w:t>
      </w:r>
      <w:r w:rsidR="00A31A8B" w:rsidRPr="00EF73BB">
        <w:rPr>
          <w:rFonts w:ascii="Times New Roman" w:hAnsi="Times New Roman" w:cs="Times New Roman"/>
        </w:rPr>
        <w:t>some of the biomass of consumable foods can still be used for direct human consumptio</w:t>
      </w:r>
      <w:r w:rsidR="005F0CFD" w:rsidRPr="00EF73BB">
        <w:rPr>
          <w:rFonts w:ascii="Times New Roman" w:hAnsi="Times New Roman" w:cs="Times New Roman"/>
        </w:rPr>
        <w:t>n</w:t>
      </w:r>
      <w:r w:rsidR="005F0CFD" w:rsidRPr="00EF73BB">
        <w:rPr>
          <w:rFonts w:ascii="Times New Roman" w:hAnsi="Times New Roman" w:cs="Times New Roman"/>
        </w:rPr>
        <w:fldChar w:fldCharType="begin"/>
      </w:r>
      <w:r w:rsidR="00767129">
        <w:rPr>
          <w:rFonts w:ascii="Times New Roman" w:hAnsi="Times New Roman" w:cs="Times New Roman"/>
        </w:rPr>
        <w:instrText xml:space="preserve"> ADDIN ZOTERO_ITEM CSL_CITATION {"citationID":"agjp2kjm1e","properties":{"formattedCitation":"\\super 68,72\\nosupersub{}","plainCitation":"68,72","noteIndex":0},"citationItems":[{"id":8,"uris":["http://zotero.org/users/9431846/items/Q8U8G32K"],"itemData":{"id":8,"type":"article-journal","container-title":"Nature Sustainability","DOI":"10.1038/s41893-019-0293-3","ISSN":"2398-9629","issue":"6","journalAbbreviation":"Nat Sustain","language":"en","page":"445-456","source":"DOI.org (Crossref)","title":"Emerging human infectious diseases and the links to global food production","volume":"2","author":[{"family":"Rohr","given":"Jason R."},{"family":"Barrett","given":"Christopher B."},{"family":"Civitello","given":"David J."},{"family":"Craft","given":"Meggan E."},{"family":"Delius","given":"Bryan"},{"family":"DeLeo","given":"Giulio A."},{"family":"Hudson","given":"Peter J."},{"family":"Jouanard","given":"Nicolas"},{"family":"Nguyen","given":"Karena H."},{"family":"Ostfeld","given":"Richard S."},{"family":"Remais","given":"Justin V."},{"family":"Riveau","given":"Gilles"},{"family":"Sokolow","given":"Susanne H."},{"family":"Tilman","given":"David"}],"issued":{"date-parts":[["2019",6]]}}},{"id":1725,"uris":["http://zotero.org/users/9431846/items/5LNJDCH8"],"itemData":{"id":1725,"type":"book","call-number":"SH167.C3 R35 2013 SH1 .F2 no.578","collection-number":"578","collection-title":"FAO fisheries and aquaculture technical paper,","event-place":"Rome","ISBN":"9789251074350","number-of-pages":"vii, 90 pages","publisher":"Food and Agriculture Organization of the United Nations","publisher-place":"Rome","title":"Feeding and feed management of Indian major carps in Andhra Pradesh, India","author":[{"family":"Ramakrishna","given":"R."},{"family":"Shipton","given":"Thomas A."},{"family":"Hasan","given":"Mohammad R."},{"family":"Food and Agriculture Organization of the United Nations","given":""}],"issued":{"date-parts":[["2013"]]}}}],"schema":"https://github.com/citation-style-language/schema/raw/master/csl-citation.json"} </w:instrText>
      </w:r>
      <w:r w:rsidR="005F0CFD" w:rsidRPr="00EF73BB">
        <w:rPr>
          <w:rFonts w:ascii="Times New Roman" w:hAnsi="Times New Roman" w:cs="Times New Roman"/>
        </w:rPr>
        <w:fldChar w:fldCharType="separate"/>
      </w:r>
      <w:r w:rsidR="00767129" w:rsidRPr="00767129">
        <w:rPr>
          <w:rFonts w:ascii="Times New Roman" w:hAnsi="Times New Roman" w:cs="Times New Roman"/>
          <w:szCs w:val="24"/>
          <w:vertAlign w:val="superscript"/>
        </w:rPr>
        <w:t>68,72</w:t>
      </w:r>
      <w:r w:rsidR="005F0CFD" w:rsidRPr="00EF73BB">
        <w:rPr>
          <w:rFonts w:ascii="Times New Roman" w:hAnsi="Times New Roman" w:cs="Times New Roman"/>
        </w:rPr>
        <w:fldChar w:fldCharType="end"/>
      </w:r>
      <w:r w:rsidR="00A31A8B" w:rsidRPr="00EF73BB">
        <w:rPr>
          <w:rFonts w:ascii="Times New Roman" w:hAnsi="Times New Roman" w:cs="Times New Roman"/>
        </w:rPr>
        <w:t xml:space="preserve">. </w:t>
      </w:r>
      <w:r w:rsidR="00CE0B50" w:rsidRPr="00EF73BB">
        <w:rPr>
          <w:rFonts w:ascii="Times New Roman" w:hAnsi="Times New Roman" w:cs="Times New Roman"/>
        </w:rPr>
        <w:t>However, beyond this, some of the waste stream byproducts can be used as a protein</w:t>
      </w:r>
      <w:r w:rsidR="00D45B36" w:rsidRPr="00EF73BB">
        <w:rPr>
          <w:rFonts w:ascii="Times New Roman" w:hAnsi="Times New Roman" w:cs="Times New Roman"/>
        </w:rPr>
        <w:t>, carbohydrate, or fiber source</w:t>
      </w:r>
      <w:r w:rsidR="00CE4842" w:rsidRPr="00EF73BB">
        <w:rPr>
          <w:rFonts w:ascii="Times New Roman" w:hAnsi="Times New Roman" w:cs="Times New Roman"/>
        </w:rPr>
        <w:t>s</w:t>
      </w:r>
      <w:r w:rsidR="00D45B36" w:rsidRPr="00EF73BB">
        <w:rPr>
          <w:rFonts w:ascii="Times New Roman" w:hAnsi="Times New Roman" w:cs="Times New Roman"/>
        </w:rPr>
        <w:t xml:space="preserve"> that could be useful in the CFB</w:t>
      </w:r>
      <w:r w:rsidR="00087D50" w:rsidRPr="00EF73BB">
        <w:rPr>
          <w:rFonts w:ascii="Times New Roman" w:hAnsi="Times New Roman" w:cs="Times New Roman"/>
        </w:rPr>
        <w:fldChar w:fldCharType="begin"/>
      </w:r>
      <w:r w:rsidR="00677B8F">
        <w:rPr>
          <w:rFonts w:ascii="Times New Roman" w:hAnsi="Times New Roman" w:cs="Times New Roman"/>
        </w:rPr>
        <w:instrText xml:space="preserve"> ADDIN ZOTERO_ITEM CSL_CITATION {"citationID":"ahfdq7fhuu","properties":{"formattedCitation":"\\super 73\\uc0\\u8211{}76\\nosupersub{}","plainCitation":"73–76","noteIndex":0},"citationItems":[{"id":1697,"uris":["http://zotero.org/users/9431846/items/ASKPPRZT"],"itemData":{"id":1697,"type":"article-journal","abstract":"The amount of food waste generated from modern societies is increasing, which has imposed a tremendous pressure on its treatment and disposal. Food waste should be treated as a valuable resource rather than waste, and turning it into fish feeds would be a viable alternative. This paper attempts to review the feasibility of using food waste to formulate feed pellets to culture a few freshwater fish species, such as grass carp, grey mullet, and tilapia, under polyculture mode (growing different species in the same pond). These species occupy different ecological niches, with different feeding modes (i.e., herbivorous, filter feeding, etc.), and therefore all the nutrients derived from the food waste could be efficiently recycled within the ecosystem. The problems facing environmental pollution and fish contamination; the past and present situation of inland fish culture (focusing on South China); upgrade of food waste based feed pellets by adding enzymes, vitamin-mineral premix, probiotics (yeast), prebiotics, and Chinese medicinal herbs into feeds; and potential health risks of fish cultivated by food waste based pellets are discussed, citing some local examples. It can be concluded that appropriate portions of different types of food waste could satisfy basic nutritional requirements of lower trophic level fish species such as grass carp and tilapia. Upgrading the fish pellets by adding different supplements mentioned above could further elevated the quality of feeds, leading to higher growth rates, and enhanced immunity of fish. Health risk assessments based on the major environmental contaminants (mercury, PAHs and DDTs) in fish flesh showed that fish fed food waste based pellets are safer for consumption, when compared with those fed commercial feed pellets. (C) 2016 Elsevier Ltd. All rights reserved.","container-title":"Environmental Pollution","DOI":"10.1016/j.envpol.2016.06.035","ISSN":"0269-7491","language":"English","page":"631-638","title":"Recycle food wastes into high quality fish feeds for safe and quality fish production","volume":"219","author":[{"family":"Wong","given":"M. H."},{"family":"Mo","given":"W. Y."},{"family":"Wai-Ming","given":"C."},{"family":"Cheng","given":"Z."},{"family":"Man","given":"Y. B."}],"issued":{"date-parts":[["2016",12]]}}},{"id":1749,"uris":["http://zotero.org/users/9431846/items/QQZ64JDM"],"itemData":{"id":1749,"type":"thesis","publisher":"Aston University","title":"The use of bakery wastes as a nutritional source for fish","author":[{"family":"Jaffa","given":"Martin R."}],"issued":{"date-parts":[["1983"]]}}},{"id":1713,"uris":["http://zotero.org/users/9431846/items/JF33ACNV"],"itemData":{"id":1713,"type":"article-journal","abstract":"This experiment investigated the physical qualities ('Holmen' durability; 'tumbling box' durability; and pellet strength, length and diameter) of extruded fishmeal-based feeds produced using different starch sources, screw configurations, with or without steam injected in the barrel. The starch sources tested were native or pre-gelatinized potato starch (PGS), wheat starch (WS), whole wheat (WW) or a combination of WS and WW. Screw configurations were a polygon element, followed by two left-pitched segments, Polygon_2L; a polygon, followed by one left-pitched and one right-pitched element, Polygon_LR; and no polygon section, alternating left- and right-pitched elements, LRLR. Starch source and screw configuration affected the physical quality the most. Pellets produced with LRLR had the highest 'Holmen' durability (76%), hardness (30 N) and the least diameter (5.3 mm). The lowest durability (37%) and hardness (22 N) were obtained with Polygon_LR. Potato starch yielded higher expansion than cereal starch. The highest 'Holmen' durability was seen for PGS (79%), while WS yielded the lowest value (44%). Injection of steam reduced hardness and 'Holmen' durability, but provided a minor overall contribution to physical quality compared with the starch source and screw configuration. 'Holmen' durability appeared to be suitable to unveil variation (37-79%) in physical quality, while 'Tumbling box' durability (98.4-98.8%) did not prove efficient.","container-title":"Aquaculture Research","DOI":"10.1111/j.1365-2109.2009.02346.x","ISSN":"1355-557x","issue":"3","language":"English","page":"419-432","title":"Starch source, screw configuration and injection of steam into the barrel affect the physical quality of extruded fish feed","volume":"41","author":[{"family":"Sorensen","given":"M."},{"family":"Nguyen","given":"G."},{"family":"Storebakken","given":"T."},{"family":"Overland","given":"M."}],"issued":{"date-parts":[["2010",2,12]]}}},{"id":1735,"uris":["http://zotero.org/users/9431846/items/3ARVQVXW"],"itemData":{"id":1735,"type":"article-journal","abstract":"Six modifications were made on raw potato starch (RS) - starch hydrolysed with acid (AS), starch gelatinized at 70, 100, 120 or 134 degrees C (GS(70), GS(100), GS(120) and GS(134)) and dextrin (Dr). Seven diets containing 20% RS or one of the modifications were formulated. Rainbow trout (initial weights 63 and 115 g for,growth and digestibility trials, respectively) were fed to satiety once daily at a water temperature of 13.5 degrees C, A growth trial was conducted for 50 days.\nAll methods of starch treatment used resulted in some degradation of polysaccharides and/or destruction of starch granules. Both destruction of granules (diet with GS(70) vs diet with RS) and degradation of the polysaccharides (diet with AS vs diet with RS) caused a significant increase in starch digestibility by trout. Joint action of these factors yielded the best results (diets with GS(100), GS(120), GS(134) or Dx). Digestibility of starch increased with increasing low-molecular weight polysaccharide content due to a rise in the temperature of the hydrothermic treatment up to 120 degrees C. Additional degradation of polysaccharides at a higher temperature of 134 degrees C or thermal dextrinization did not increase digestibility of starch. Feed gain ratios decreased progressively with increasing digestibility of starch. Hepatosomatic index and dress out percentage correlated to the degree of starch degradation but not to starch digestibility. (C) 1997 Elsevier Science B.V.","container-title":"Aquaculture","DOI":"Doi 10.1016/S0044-8486(96)01515-3","ISSN":"0044-8486","issue":"1-4","language":"English","page":"235-248","title":"Efficiency of utilization of some potato starch modifications by rainbow trout (Oncorhynchus mykiss)","volume":"152","author":[{"family":"Podoskina","given":"T. A."},{"family":"Podoskin","given":"A. G."},{"family":"Bekina","given":"E. N."}],"issued":{"date-parts":[["1997",6,1]]}}}],"schema":"https://github.com/citation-style-language/schema/raw/master/csl-citation.json"} </w:instrText>
      </w:r>
      <w:r w:rsidR="00087D50" w:rsidRPr="00EF73BB">
        <w:rPr>
          <w:rFonts w:ascii="Times New Roman" w:hAnsi="Times New Roman" w:cs="Times New Roman"/>
        </w:rPr>
        <w:fldChar w:fldCharType="separate"/>
      </w:r>
      <w:r w:rsidR="00677B8F" w:rsidRPr="00677B8F">
        <w:rPr>
          <w:rFonts w:ascii="Times New Roman" w:hAnsi="Times New Roman" w:cs="Times New Roman"/>
          <w:szCs w:val="24"/>
          <w:vertAlign w:val="superscript"/>
        </w:rPr>
        <w:t>73–76</w:t>
      </w:r>
      <w:r w:rsidR="00087D50" w:rsidRPr="00EF73BB">
        <w:rPr>
          <w:rFonts w:ascii="Times New Roman" w:hAnsi="Times New Roman" w:cs="Times New Roman"/>
        </w:rPr>
        <w:fldChar w:fldCharType="end"/>
      </w:r>
      <w:r w:rsidR="004E3DBF" w:rsidRPr="00EF73BB">
        <w:rPr>
          <w:rFonts w:ascii="Times New Roman" w:hAnsi="Times New Roman" w:cs="Times New Roman"/>
        </w:rPr>
        <w:t>.</w:t>
      </w:r>
      <w:r w:rsidR="00D45B36" w:rsidRPr="00EF73BB">
        <w:rPr>
          <w:rFonts w:ascii="Times New Roman" w:hAnsi="Times New Roman" w:cs="Times New Roman"/>
        </w:rPr>
        <w:t xml:space="preserve"> </w:t>
      </w:r>
      <w:r w:rsidR="004E7F2C" w:rsidRPr="00EF73BB">
        <w:rPr>
          <w:rFonts w:ascii="Times New Roman" w:hAnsi="Times New Roman" w:cs="Times New Roman"/>
        </w:rPr>
        <w:t>There are also waste/co-products from food and beverage production</w:t>
      </w:r>
      <w:r w:rsidR="00554013" w:rsidRPr="00EF73BB">
        <w:rPr>
          <w:rFonts w:ascii="Times New Roman" w:hAnsi="Times New Roman" w:cs="Times New Roman"/>
        </w:rPr>
        <w:t xml:space="preserve">, such as from the </w:t>
      </w:r>
      <w:r w:rsidR="00554013" w:rsidRPr="00EF73BB">
        <w:rPr>
          <w:rFonts w:ascii="Times New Roman" w:hAnsi="Times New Roman" w:cs="Times New Roman"/>
          <w:bCs/>
          <w:lang w:val="en-GB"/>
        </w:rPr>
        <w:t>sugar industry by-products (sugar extracted beet-root pulp)</w:t>
      </w:r>
      <w:r w:rsidR="004E3DBF" w:rsidRPr="00EF73BB">
        <w:rPr>
          <w:rFonts w:ascii="Times New Roman" w:hAnsi="Times New Roman" w:cs="Times New Roman"/>
          <w:bCs/>
          <w:lang w:val="en-GB"/>
        </w:rPr>
        <w:fldChar w:fldCharType="begin"/>
      </w:r>
      <w:r w:rsidR="006C749B">
        <w:rPr>
          <w:rFonts w:ascii="Times New Roman" w:hAnsi="Times New Roman" w:cs="Times New Roman"/>
          <w:bCs/>
          <w:lang w:val="en-GB"/>
        </w:rPr>
        <w:instrText xml:space="preserve"> ADDIN ZOTERO_ITEM CSL_CITATION {"citationID":"a2lg5f8gupi","properties":{"formattedCitation":"\\super 77\\nosupersub{}","plainCitation":"77","noteIndex":0},"citationItems":[{"id":1764,"uris":["http://zotero.org/users/9431846/items/JQYQN9AJ"],"itemData":{"id":1764,"type":"article-journal","abstract":"Dairy cows are customarily given grains and highly digestible byproduct ingredients as additions to forage to support milk production. In many parts of the world growing seasons are short, and the grain crops that can be grown may not provide adequate yields. Sugar beets, on the other hand are relatively hardy, and dry matter yields surpass the yields of most grain crops. There are however, perceptions that beets may not be suitable as a feed ingredient due to the fact that the storage form of carbohydrate is sugar rather than starch. With little analytical support, sugar has been rejected in many feeding programs with the view that sugar reduces rumen pH, fiber digestion and microbial yield. This review explores available facts revolving around these concerns. Information regarding the feeding of sugar beets is provided and the use of sugar beets as a partial replacement for grain is proposed.","container-title":"Journal of Animal Science and Biotechnology","DOI":"ARTN 25 10.1186/s40104-017-0154-8","ISSN":"1674-9782","language":"English","title":"Review: Sugar beets as a substitute for grain for lactating dairy cattle","volume":"8","author":[{"family":"Evans","given":"E."},{"family":"Messerschmidt","given":"U."}],"issued":{"date-parts":[["2017",3,1]]}}}],"schema":"https://github.com/citation-style-language/schema/raw/master/csl-citation.json"} </w:instrText>
      </w:r>
      <w:r w:rsidR="004E3DBF" w:rsidRPr="00EF73BB">
        <w:rPr>
          <w:rFonts w:ascii="Times New Roman" w:hAnsi="Times New Roman" w:cs="Times New Roman"/>
          <w:bCs/>
          <w:lang w:val="en-GB"/>
        </w:rPr>
        <w:fldChar w:fldCharType="separate"/>
      </w:r>
      <w:r w:rsidR="006C749B" w:rsidRPr="006C749B">
        <w:rPr>
          <w:rFonts w:ascii="Times New Roman" w:hAnsi="Times New Roman" w:cs="Times New Roman"/>
          <w:szCs w:val="24"/>
          <w:vertAlign w:val="superscript"/>
        </w:rPr>
        <w:t>77</w:t>
      </w:r>
      <w:r w:rsidR="004E3DBF" w:rsidRPr="00EF73BB">
        <w:rPr>
          <w:rFonts w:ascii="Times New Roman" w:hAnsi="Times New Roman" w:cs="Times New Roman"/>
          <w:bCs/>
          <w:lang w:val="en-GB"/>
        </w:rPr>
        <w:fldChar w:fldCharType="end"/>
      </w:r>
      <w:r w:rsidR="00115123" w:rsidRPr="00EF73BB">
        <w:rPr>
          <w:rFonts w:ascii="Times New Roman" w:hAnsi="Times New Roman" w:cs="Times New Roman"/>
          <w:bCs/>
          <w:lang w:val="en-GB"/>
        </w:rPr>
        <w:t xml:space="preserve"> and</w:t>
      </w:r>
      <w:r w:rsidR="004E3DBF" w:rsidRPr="00EF73BB">
        <w:rPr>
          <w:rFonts w:ascii="Times New Roman" w:hAnsi="Times New Roman" w:cs="Times New Roman"/>
          <w:bCs/>
          <w:lang w:val="en-GB"/>
        </w:rPr>
        <w:t xml:space="preserve"> </w:t>
      </w:r>
      <w:r w:rsidR="00554013" w:rsidRPr="00EF73BB">
        <w:rPr>
          <w:rFonts w:ascii="Times New Roman" w:hAnsi="Times New Roman" w:cs="Times New Roman"/>
          <w:bCs/>
          <w:lang w:val="en-GB"/>
        </w:rPr>
        <w:t>spent brewery or distillery wastes (</w:t>
      </w:r>
      <w:r w:rsidR="00F1275D" w:rsidRPr="00EF73BB">
        <w:rPr>
          <w:rFonts w:ascii="Times New Roman" w:hAnsi="Times New Roman" w:cs="Times New Roman"/>
          <w:bCs/>
          <w:lang w:val="en-GB"/>
        </w:rPr>
        <w:t xml:space="preserve">e.g., </w:t>
      </w:r>
      <w:r w:rsidR="00554013" w:rsidRPr="00EF73BB">
        <w:rPr>
          <w:rFonts w:ascii="Times New Roman" w:hAnsi="Times New Roman" w:cs="Times New Roman"/>
          <w:bCs/>
          <w:lang w:val="en-GB"/>
        </w:rPr>
        <w:t>yeast, malt sprouts, spent brewers grains</w:t>
      </w:r>
      <w:r w:rsidR="00F1275D" w:rsidRPr="00EF73BB">
        <w:rPr>
          <w:rFonts w:ascii="Times New Roman" w:hAnsi="Times New Roman" w:cs="Times New Roman"/>
          <w:bCs/>
          <w:lang w:val="en-GB"/>
        </w:rPr>
        <w:t>)</w:t>
      </w:r>
      <w:r w:rsidR="00945512" w:rsidRPr="00EF73BB">
        <w:rPr>
          <w:rFonts w:ascii="Times New Roman" w:hAnsi="Times New Roman" w:cs="Times New Roman"/>
          <w:bCs/>
          <w:lang w:val="en-GB"/>
        </w:rPr>
        <w:fldChar w:fldCharType="begin"/>
      </w:r>
      <w:r w:rsidR="00A46046">
        <w:rPr>
          <w:rFonts w:ascii="Times New Roman" w:hAnsi="Times New Roman" w:cs="Times New Roman"/>
          <w:bCs/>
          <w:lang w:val="en-GB"/>
        </w:rPr>
        <w:instrText xml:space="preserve"> ADDIN ZOTERO_ITEM CSL_CITATION {"citationID":"a2k6b7dn0o8","properties":{"formattedCitation":"\\super 78\\uc0\\u8211{}80\\nosupersub{}","plainCitation":"78–80","noteIndex":0},"citationItems":[{"id":1718,"uris":["http://zotero.org/users/9431846/items/7SU6GQ9P"],"itemData":{"id":1718,"type":"article-journal","abstract":"Aquafeeds are formulated to contain all the essential nutrients that fishes need to keep healthy. They are highly dependent on marine ingredients: fish meal and oil. Hence, alternative ingredients which successfully replace these marine ingredients are required to result in sustainable and economical feeds. In this context, brewers' by-products arise as alternative potential ingredients to fish meal in aquafeed due their availability and nutritional content. However, reducing aquaculture's dependence on marine resources depends not only on developing alternative ingredients but also on improving their nutritional efficiency. In this context, Life Brewery project (LIFE16ENV/ES/000160) proposes an enzymatical hydrolysis step prior to the stabilization process to improve the digestibility of brewers' by-products and, therefore, increases the assimilation of nutrients by fishes. Hence, optimum hydrolysis conditions for both brewers' spent grain and yeast have been defined by comparing different enzymes combination and hydrolysis conditions at laboratory scale. Afterwards, selected enzymes and conditions have been validated at industrial scale. Finally, the digestibility of different experimental diets containing both hydrolysed and non-hydrolysed ingredients from brewers' waste has been determined with positive results. Obtained results showed that the inclusion of brewers' spent yeast and spent grain in aquafeeds for gilt-head sea bream show a good protein digestibility and can be considered as suitable ingredients to successfully replace fish meal in aquafeed diets.\n[GRAPHICS]\n.","container-title":"Waste and Biomass Valorization","DOI":"10.1007/s12649-020-01145-8","ISSN":"1877-2641","issue":"10","language":"English","page":"5307-5320","title":"Brewers' Spent Yeast and Grain Protein Hydrolysates as Second-Generation Feedstuff for Aquaculture Feed","volume":"11","author":[{"family":"San Martin","given":"D."},{"family":"Orive","given":"M."},{"family":"Inarra","given":"B."},{"family":"Castelo","given":"J."},{"family":"Estevez","given":"A."},{"family":"Nazzaro","given":"J."},{"family":"Iloro","given":"I."},{"family":"Elortza","given":"F."},{"family":"Zufia","given":"J."}],"issued":{"date-parts":[["2020",10]]}}},{"id":13,"uris":["http://zotero.org/users/9431846/items/I3M6FYKA"],"itemData":{"id":13,"type":"article-journal","container-title":"Aquaculture, Aquarium, Conservation &amp; Legislation","page":"1174-1188","title":"Protein replacement with dried distiller's grain with solubles (DDGS) in practical diet of common carp (Cyprinus carpio)","volume":"12","author":[{"family":"Revesz","given":"N"},{"family":"Havasi","given":"Mate"},{"family":"Lefler","given":"Katalin Kinga"},{"family":"Hegyi","given":"Arpad"},{"family":"Ardó","given":"László"},{"family":"Sándor","given":"Zsuzsanna J."}],"issued":{"date-parts":[["2019"]]}}},{"id":1760,"uris":["http://zotero.org/users/9431846/items/UTDLRZYP"],"itemData":{"id":1760,"type":"article-journal","abstract":"Two trials were conducted to test the effect of partial replacement of fishmeal by two brewery industry byproducts, yeast and spent grain, included in isoproteic and isolipidic diets for gilthead sea bream (Sparus aurata), having in mind the commercial availability of these by-products. According to the obtained results, the inclusion of up to 30% brewers' spent yeast and 15% spent grain in the feed for gilthead seabream gave similar results in terms of growth, food conversion and fillet final composition to a feed with fish meal as the main protein source and show a protein digestibility of 89-95%. Taking into account that these by-products are produced in large quantities in Europe, they can be a potential source of protein to reduce the use of plant proteins or fish/animal by-products (trimmings) and increase the sustainability of both sectors, brewery industry and aquaculture.","container-title":"Aquaculture","DOI":"ARTN 736921 10.1016/j.aquaculture.2021.736921","ISSN":"0044-8486","language":"English","title":"Brewery by-products (yeast and spent grain) as protein sources in gilthead seabream (Sparus aurata) feeds","volume":"543","author":[{"family":"Estevez","given":"A."},{"family":"Padrell","given":"L."},{"family":"Inarra","given":"B."},{"family":"Orive","given":"M."},{"family":"San Martin","given":"D."}],"issued":{"date-parts":[["2021",10,15]]}}}],"schema":"https://github.com/citation-style-language/schema/raw/master/csl-citation.json"} </w:instrText>
      </w:r>
      <w:r w:rsidR="00945512" w:rsidRPr="00EF73BB">
        <w:rPr>
          <w:rFonts w:ascii="Times New Roman" w:hAnsi="Times New Roman" w:cs="Times New Roman"/>
          <w:bCs/>
          <w:lang w:val="en-GB"/>
        </w:rPr>
        <w:fldChar w:fldCharType="separate"/>
      </w:r>
      <w:r w:rsidR="00A46046" w:rsidRPr="00A46046">
        <w:rPr>
          <w:rFonts w:ascii="Times New Roman" w:hAnsi="Times New Roman" w:cs="Times New Roman"/>
          <w:szCs w:val="24"/>
          <w:vertAlign w:val="superscript"/>
        </w:rPr>
        <w:t>78–80</w:t>
      </w:r>
      <w:r w:rsidR="00945512" w:rsidRPr="00EF73BB">
        <w:rPr>
          <w:rFonts w:ascii="Times New Roman" w:hAnsi="Times New Roman" w:cs="Times New Roman"/>
          <w:bCs/>
          <w:lang w:val="en-GB"/>
        </w:rPr>
        <w:fldChar w:fldCharType="end"/>
      </w:r>
      <w:r w:rsidR="00554013" w:rsidRPr="00EF73BB">
        <w:rPr>
          <w:rFonts w:ascii="Times New Roman" w:hAnsi="Times New Roman" w:cs="Times New Roman"/>
          <w:bCs/>
          <w:lang w:val="en-GB"/>
        </w:rPr>
        <w:t xml:space="preserve">.  Some ingredients which could be circular source of additives </w:t>
      </w:r>
      <w:r w:rsidR="009B061F" w:rsidRPr="00EF73BB">
        <w:rPr>
          <w:rFonts w:ascii="Times New Roman" w:hAnsi="Times New Roman" w:cs="Times New Roman"/>
          <w:bCs/>
          <w:lang w:val="en-GB"/>
        </w:rPr>
        <w:t xml:space="preserve">such as </w:t>
      </w:r>
      <w:r w:rsidR="00554013" w:rsidRPr="00EF73BB">
        <w:rPr>
          <w:rFonts w:ascii="Times New Roman" w:hAnsi="Times New Roman" w:cs="Times New Roman"/>
        </w:rPr>
        <w:t>spent coffee grains, fruit and vegetable</w:t>
      </w:r>
      <w:r w:rsidR="003D5D38" w:rsidRPr="00EF73BB">
        <w:rPr>
          <w:rFonts w:ascii="Times New Roman" w:hAnsi="Times New Roman" w:cs="Times New Roman"/>
        </w:rPr>
        <w:t xml:space="preserve"> byproduct</w:t>
      </w:r>
      <w:r w:rsidR="003D5D38" w:rsidRPr="00EF73BB">
        <w:rPr>
          <w:rFonts w:ascii="Times New Roman" w:hAnsi="Times New Roman" w:cs="Times New Roman"/>
        </w:rPr>
        <w:fldChar w:fldCharType="begin"/>
      </w:r>
      <w:r w:rsidR="00465A92">
        <w:rPr>
          <w:rFonts w:ascii="Times New Roman" w:hAnsi="Times New Roman" w:cs="Times New Roman"/>
        </w:rPr>
        <w:instrText xml:space="preserve"> ADDIN ZOTERO_ITEM CSL_CITATION {"citationID":"a2acla1nfrq","properties":{"formattedCitation":"\\super 73,81\\nosupersub{}","plainCitation":"73,81","noteIndex":0},"citationItems":[{"id":1697,"uris":["http://zotero.org/users/9431846/items/ASKPPRZT"],"itemData":{"id":1697,"type":"article-journal","abstract":"The amount of food waste generated from modern societies is increasing, which has imposed a tremendous pressure on its treatment and disposal. Food waste should be treated as a valuable resource rather than waste, and turning it into fish feeds would be a viable alternative. This paper attempts to review the feasibility of using food waste to formulate feed pellets to culture a few freshwater fish species, such as grass carp, grey mullet, and tilapia, under polyculture mode (growing different species in the same pond). These species occupy different ecological niches, with different feeding modes (i.e., herbivorous, filter feeding, etc.), and therefore all the nutrients derived from the food waste could be efficiently recycled within the ecosystem. The problems facing environmental pollution and fish contamination; the past and present situation of inland fish culture (focusing on South China); upgrade of food waste based feed pellets by adding enzymes, vitamin-mineral premix, probiotics (yeast), prebiotics, and Chinese medicinal herbs into feeds; and potential health risks of fish cultivated by food waste based pellets are discussed, citing some local examples. It can be concluded that appropriate portions of different types of food waste could satisfy basic nutritional requirements of lower trophic level fish species such as grass carp and tilapia. Upgrading the fish pellets by adding different supplements mentioned above could further elevated the quality of feeds, leading to higher growth rates, and enhanced immunity of fish. Health risk assessments based on the major environmental contaminants (mercury, PAHs and DDTs) in fish flesh showed that fish fed food waste based pellets are safer for consumption, when compared with those fed commercial feed pellets. (C) 2016 Elsevier Ltd. All rights reserved.","container-title":"Environmental Pollution","DOI":"10.1016/j.envpol.2016.06.035","ISSN":"0269-7491","language":"English","page":"631-638","title":"Recycle food wastes into high quality fish feeds for safe and quality fish production","volume":"219","author":[{"family":"Wong","given":"M. H."},{"family":"Mo","given":"W. Y."},{"family":"Wai-Ming","given":"C."},{"family":"Cheng","given":"Z."},{"family":"Man","given":"Y. B."}],"issued":{"date-parts":[["2016",12]]}}},{"id":1768,"uris":["http://zotero.org/users/9431846/items/W5EUAX36"],"itemData":{"id":1768,"type":"article-journal","abstract":"The aquaculture sector is steadily growing due to the increasing demand for healthy and cheap animal protein sources. Consequently, the high demand for nutritionally balanced aquafeed increases, but requires sustainable and feasible feed ingredients. However, the high cost of fish and soybean meals opens the door to looking for suitable non-traditional feed ingredients. The processing of fruits results in high amounts of waste and by-products, which are risky for the environment but rich in nutritional value. Recycling fruit waste in aquafeed is successfully applied and results in high growth performance, productivity and well-being of aquatic animals. Fruit by-products are also potential functional feed additives devoted to their high content of polyphenols, flavonoids, vitamins, minerals, polysaccharides and peptides. As functional components, fruit by-products enhance the antioxidative and immune responses of aquatic animals and increase their tolerance for biotic and abiotic stressors. In light of reducing antimicrobial chemicals in aquaculture to mitigate antimicrobial resistance, dietary feed additives extracted from fruit by-products can be used as eco-friendly substances. The investigations involved in evaluating the incorporation of fruit by-products and their derivatives in aquafeeds are explored in this review. An overview of the possibility of using non-traditional plant products in aquaculture as a feasible and sustainable concept is addressed in this review. Academic knowledge with enough information for more development and research to maximise the utilisation of fruit by-products in the aquafeed industry is also enriched.","container-title":"Reviews in Aquaculture","DOI":"10.1111/raq.12680","ISSN":"1753-5123","language":"English","title":"Fruit processing by-products in the aquafeed industry: A feasible strategy for aquaculture sustainability","author":[{"family":"Dawood","given":"M. A. O."},{"family":"Habotta","given":"O. A. E."},{"family":"Elsabagh","given":"M."},{"family":"Azra","given":"M. N."},{"family":"Van Doan","given":"H."},{"family":"Kari","given":"Z. A."},{"family":"Sewilam","given":"H."}],"issued":{"date-parts":[["2022",5,1]]}}}],"schema":"https://github.com/citation-style-language/schema/raw/master/csl-citation.json"} </w:instrText>
      </w:r>
      <w:r w:rsidR="003D5D38" w:rsidRPr="00EF73BB">
        <w:rPr>
          <w:rFonts w:ascii="Times New Roman" w:hAnsi="Times New Roman" w:cs="Times New Roman"/>
        </w:rPr>
        <w:fldChar w:fldCharType="separate"/>
      </w:r>
      <w:r w:rsidR="00465A92" w:rsidRPr="00465A92">
        <w:rPr>
          <w:rFonts w:ascii="Times New Roman" w:hAnsi="Times New Roman" w:cs="Times New Roman"/>
          <w:szCs w:val="24"/>
          <w:vertAlign w:val="superscript"/>
        </w:rPr>
        <w:t>73,81</w:t>
      </w:r>
      <w:r w:rsidR="003D5D38" w:rsidRPr="00EF73BB">
        <w:rPr>
          <w:rFonts w:ascii="Times New Roman" w:hAnsi="Times New Roman" w:cs="Times New Roman"/>
        </w:rPr>
        <w:fldChar w:fldCharType="end"/>
      </w:r>
      <w:r w:rsidR="003D5D38" w:rsidRPr="00EF73BB">
        <w:rPr>
          <w:rFonts w:ascii="Times New Roman" w:hAnsi="Times New Roman" w:cs="Times New Roman"/>
        </w:rPr>
        <w:t xml:space="preserve">. </w:t>
      </w:r>
      <w:r w:rsidR="00D30CBC" w:rsidRPr="00EF73BB">
        <w:rPr>
          <w:rFonts w:ascii="Times New Roman" w:hAnsi="Times New Roman" w:cs="Times New Roman"/>
        </w:rPr>
        <w:t xml:space="preserve">Besides providing nutrients for downstream ingredient production (e.g., insects, single cell organisms), some </w:t>
      </w:r>
      <w:r w:rsidR="00364597">
        <w:rPr>
          <w:rFonts w:ascii="Times New Roman" w:hAnsi="Times New Roman" w:cs="Times New Roman"/>
        </w:rPr>
        <w:t xml:space="preserve">examples </w:t>
      </w:r>
      <w:r w:rsidR="00D30CBC" w:rsidRPr="00EF73BB">
        <w:rPr>
          <w:rFonts w:ascii="Times New Roman" w:hAnsi="Times New Roman" w:cs="Times New Roman"/>
        </w:rPr>
        <w:t>could be used directly as carbohydrates</w:t>
      </w:r>
      <w:r w:rsidR="00364597">
        <w:rPr>
          <w:rFonts w:ascii="Times New Roman" w:hAnsi="Times New Roman" w:cs="Times New Roman"/>
        </w:rPr>
        <w:t>,</w:t>
      </w:r>
      <w:r w:rsidR="00D30CBC" w:rsidRPr="00EF73BB">
        <w:rPr>
          <w:rFonts w:ascii="Times New Roman" w:hAnsi="Times New Roman" w:cs="Times New Roman"/>
        </w:rPr>
        <w:t xml:space="preserve"> </w:t>
      </w:r>
      <w:r w:rsidR="00512FFC" w:rsidRPr="00EF73BB">
        <w:rPr>
          <w:rFonts w:ascii="Times New Roman" w:hAnsi="Times New Roman" w:cs="Times New Roman"/>
        </w:rPr>
        <w:t>which may act as prebiotics, binders, and improve pellet quality. Finally, forest co-products</w:t>
      </w:r>
      <w:r w:rsidR="007B0F3D" w:rsidRPr="00EF73BB">
        <w:rPr>
          <w:rFonts w:ascii="Times New Roman" w:hAnsi="Times New Roman" w:cs="Times New Roman"/>
        </w:rPr>
        <w:t xml:space="preserve"> </w:t>
      </w:r>
      <w:r w:rsidR="003336F9">
        <w:rPr>
          <w:rFonts w:ascii="Times New Roman" w:hAnsi="Times New Roman" w:cs="Times New Roman"/>
        </w:rPr>
        <w:t>(</w:t>
      </w:r>
      <w:r w:rsidR="007B0F3D" w:rsidRPr="00EF73BB">
        <w:rPr>
          <w:rFonts w:ascii="Times New Roman" w:hAnsi="Times New Roman" w:cs="Times New Roman"/>
        </w:rPr>
        <w:t>such as wood residue, sawdust, etc.</w:t>
      </w:r>
      <w:r w:rsidR="003336F9">
        <w:rPr>
          <w:rFonts w:ascii="Times New Roman" w:hAnsi="Times New Roman" w:cs="Times New Roman"/>
        </w:rPr>
        <w:t>)</w:t>
      </w:r>
      <w:r w:rsidR="007B0F3D" w:rsidRPr="00EF73BB">
        <w:rPr>
          <w:rFonts w:ascii="Times New Roman" w:hAnsi="Times New Roman" w:cs="Times New Roman"/>
        </w:rPr>
        <w:t xml:space="preserve"> </w:t>
      </w:r>
      <w:r w:rsidR="00834E0A" w:rsidRPr="00EF73BB">
        <w:rPr>
          <w:rFonts w:ascii="Times New Roman" w:hAnsi="Times New Roman" w:cs="Times New Roman"/>
        </w:rPr>
        <w:t xml:space="preserve">can be used to grow yeast </w:t>
      </w:r>
      <w:r w:rsidR="00C41F7C">
        <w:rPr>
          <w:rFonts w:ascii="Times New Roman" w:hAnsi="Times New Roman" w:cs="Times New Roman"/>
        </w:rPr>
        <w:t xml:space="preserve">and mycoproteins </w:t>
      </w:r>
      <w:r w:rsidR="00834E0A" w:rsidRPr="00EF73BB">
        <w:rPr>
          <w:rFonts w:ascii="Times New Roman" w:hAnsi="Times New Roman" w:cs="Times New Roman"/>
        </w:rPr>
        <w:t>as an aquafeed protein source</w:t>
      </w:r>
      <w:r w:rsidR="005C6443" w:rsidRPr="00EF73BB">
        <w:rPr>
          <w:rFonts w:ascii="Times New Roman" w:hAnsi="Times New Roman" w:cs="Times New Roman"/>
        </w:rPr>
        <w:fldChar w:fldCharType="begin"/>
      </w:r>
      <w:r w:rsidR="007E7716">
        <w:rPr>
          <w:rFonts w:ascii="Times New Roman" w:hAnsi="Times New Roman" w:cs="Times New Roman"/>
        </w:rPr>
        <w:instrText xml:space="preserve"> ADDIN ZOTERO_ITEM CSL_CITATION {"citationID":"a2c3b2q5ps3","properties":{"formattedCitation":"\\super 82\\nosupersub{}","plainCitation":"82","noteIndex":0},"citationItems":[{"id":954,"uris":["http://zotero.org/groups/4669668/items/YBXVIEB4"],"itemData":{"id":954,"type":"article-journal","abstract":"Sustainability concerns associated with protein sources and currently used fishmeal and plant-based meal have necessitated the quests for novel sustainable ingredients for use in aquafeeds. Yeasts have been proposed as sustainable ingredients particularly because of their potential to valorise non-food lignocellulosic biomass into valuable protein resources. Prior to now, extensive studies exist on the role of yeast cell wall components in modulating health responses of fish. However, research on its use as a major protein source in fish diets is still in its infancy. The current review collates, synthesises and discusses the prospects of five major yeast species as future protein ingredients with respect to their nutritional adequacy in fish. Nutritional quality of Saccharomyces cerevisiae, Cyberlindnera jadinii, Kluyveromyces marxianus, Blastobotrys adeninivorans and Wickerhamomyces anomalus and their use as replacement for fishmeal and soy protein in the diets of Atlantic salmon and rainbow trout are discussed based on three protein quality indices: chemical score, essential amino acid index and ideal protein concept based on the first limiting amino acids, methionine. The crude protein contents of yeast (40–55%) are lower than that of fishmeal, but comparable with soya bean meal. Compared to fishmeal, the different yeast species have favourable amino acid profiles, except for methionine, lysine, arginine and phenylalanine which are the frequently limiting essential amino acids in Atlantic salmon and rainbow trout. This review also presents future area of research and emphasise the need for large-scale production of yeast at competitive price to constitute a feasible replacement for fishmeal and soy protein in aquaculture.","container-title":"Reviews in Aquaculture","DOI":"10.1111/raq.12507","ISSN":"1753-5131","issue":"2","language":"en","note":"number: 2\n_eprint: https://onlinelibrary.wiley.com/doi/pdf/10.1111/raq.12507","page":"949-970","source":"Wiley Online Library","title":"Yeast as major protein-rich ingredient in aquafeeds: a review of the implications for aquaculture production","title-short":"Yeast as major protein-rich ingredient in aquafeeds","volume":"13","author":[{"family":"Agboola","given":"Jeleel Opeyemi"},{"family":"Øverland","given":"Margareth"},{"family":"Skrede","given":"Anders"},{"family":"Hansen","given":"Jon Øvrum"}],"issued":{"date-parts":[["2021"]]}}}],"schema":"https://github.com/citation-style-language/schema/raw/master/csl-citation.json"} </w:instrText>
      </w:r>
      <w:r w:rsidR="005C6443" w:rsidRPr="00EF73BB">
        <w:rPr>
          <w:rFonts w:ascii="Times New Roman" w:hAnsi="Times New Roman" w:cs="Times New Roman"/>
        </w:rPr>
        <w:fldChar w:fldCharType="separate"/>
      </w:r>
      <w:r w:rsidR="007E7716" w:rsidRPr="007E7716">
        <w:rPr>
          <w:rFonts w:ascii="Times New Roman" w:hAnsi="Times New Roman" w:cs="Times New Roman"/>
          <w:szCs w:val="24"/>
          <w:vertAlign w:val="superscript"/>
        </w:rPr>
        <w:t>82</w:t>
      </w:r>
      <w:r w:rsidR="005C6443" w:rsidRPr="00EF73BB">
        <w:rPr>
          <w:rFonts w:ascii="Times New Roman" w:hAnsi="Times New Roman" w:cs="Times New Roman"/>
        </w:rPr>
        <w:fldChar w:fldCharType="end"/>
      </w:r>
      <w:r w:rsidR="00834E0A" w:rsidRPr="00EF73BB">
        <w:rPr>
          <w:rFonts w:ascii="Times New Roman" w:hAnsi="Times New Roman" w:cs="Times New Roman"/>
        </w:rPr>
        <w:t xml:space="preserve">, or </w:t>
      </w:r>
      <w:r w:rsidR="003E69A4">
        <w:rPr>
          <w:rFonts w:ascii="Times New Roman" w:hAnsi="Times New Roman" w:cs="Times New Roman"/>
        </w:rPr>
        <w:t xml:space="preserve">used as </w:t>
      </w:r>
      <w:r w:rsidR="005719BD" w:rsidRPr="00EF73BB">
        <w:rPr>
          <w:rFonts w:ascii="Times New Roman" w:hAnsi="Times New Roman" w:cs="Times New Roman"/>
        </w:rPr>
        <w:t>functional additives</w:t>
      </w:r>
      <w:r w:rsidR="003E69A4">
        <w:rPr>
          <w:rFonts w:ascii="Times New Roman" w:hAnsi="Times New Roman" w:cs="Times New Roman"/>
        </w:rPr>
        <w:t xml:space="preserve"> (</w:t>
      </w:r>
      <w:r w:rsidR="005719BD" w:rsidRPr="00EF73BB">
        <w:rPr>
          <w:rFonts w:ascii="Times New Roman" w:hAnsi="Times New Roman" w:cs="Times New Roman"/>
        </w:rPr>
        <w:t>such as lignin</w:t>
      </w:r>
      <w:r w:rsidR="003E69A4">
        <w:rPr>
          <w:rFonts w:ascii="Times New Roman" w:hAnsi="Times New Roman" w:cs="Times New Roman"/>
        </w:rPr>
        <w:t>)</w:t>
      </w:r>
      <w:r w:rsidR="005719BD" w:rsidRPr="00EF73BB">
        <w:rPr>
          <w:rFonts w:ascii="Times New Roman" w:hAnsi="Times New Roman" w:cs="Times New Roman"/>
        </w:rPr>
        <w:t>, that can improve gut microbiota and growth</w:t>
      </w:r>
      <w:r w:rsidR="003E69A4">
        <w:rPr>
          <w:rFonts w:ascii="Times New Roman" w:hAnsi="Times New Roman" w:cs="Times New Roman"/>
        </w:rPr>
        <w:t>,</w:t>
      </w:r>
      <w:r w:rsidR="005719BD" w:rsidRPr="00EF73BB">
        <w:rPr>
          <w:rFonts w:ascii="Times New Roman" w:hAnsi="Times New Roman" w:cs="Times New Roman"/>
        </w:rPr>
        <w:t xml:space="preserve"> as well as pellet quality</w:t>
      </w:r>
      <w:r w:rsidR="00186D44" w:rsidRPr="00EF73BB">
        <w:rPr>
          <w:rFonts w:ascii="Times New Roman" w:hAnsi="Times New Roman" w:cs="Times New Roman"/>
        </w:rPr>
        <w:fldChar w:fldCharType="begin"/>
      </w:r>
      <w:r w:rsidR="00413720">
        <w:rPr>
          <w:rFonts w:ascii="Times New Roman" w:hAnsi="Times New Roman" w:cs="Times New Roman"/>
        </w:rPr>
        <w:instrText xml:space="preserve"> ADDIN ZOTERO_ITEM CSL_CITATION {"citationID":"a20jogq9djf","properties":{"formattedCitation":"\\super 83,84\\nosupersub{}","plainCitation":"83,84","noteIndex":0},"citationItems":[{"id":1837,"uris":["http://zotero.org/users/9431846/items/HPETD4H7"],"itemData":{"id":1837,"type":"article-journal","container-title":"Aquaculture Nutrition","DOI":"10.1111/anu.13092","ISSN":"1353-5773, 1365-2095","issue":"4","journalAbbreviation":"Aquacult Nutr","language":"en","page":"1353-1368","source":"DOI.org (Crossref)","title":"Hydrolysis lignin as a multifunctional additive in Atlantic salmon feed improves fish growth performance and pellet quality and shifts gut microbiome","volume":"26","author":[{"family":"Colombo","given":"Stefanie M."},{"family":"Zhang","given":"Zeyu"},{"family":"Wong","given":"David F."},{"family":"Yuan","given":"Zhirun"}],"issued":{"date-parts":[["2020",8]]}}},{"id":1838,"uris":["http://zotero.org/users/9431846/items/MVEX8BL8"],"itemData":{"id":1838,"type":"article-journal","container-title":"Journal of Applied Aquaculture","DOI":"10.1080/10454438.2018.1439795","ISSN":"1045-4438, 1545-0805","issue":"3","journalAbbreviation":"Journal of Applied Aquaculture","language":"en","page":"256-271","source":"DOI.org (Crossref)","title":"Preliminary evaluation of purified lignin and hemicellulose as prebiotics candidates for Atlantic Salmon, &lt;i&gt;Salmo salar&lt;/i&gt; L.","volume":"30","author":[{"family":"Yossa","given":"Rodrigue"},{"family":"Levesque","given":"Sylvie"},{"family":"Groman","given":"David B."},{"family":"Lora","given":"Jairo H."}],"issued":{"date-parts":[["2018",7,3]]}}}],"schema":"https://github.com/citation-style-language/schema/raw/master/csl-citation.json"} </w:instrText>
      </w:r>
      <w:r w:rsidR="00186D44" w:rsidRPr="00EF73BB">
        <w:rPr>
          <w:rFonts w:ascii="Times New Roman" w:hAnsi="Times New Roman" w:cs="Times New Roman"/>
        </w:rPr>
        <w:fldChar w:fldCharType="separate"/>
      </w:r>
      <w:r w:rsidR="00413720" w:rsidRPr="00413720">
        <w:rPr>
          <w:rFonts w:ascii="Times New Roman" w:hAnsi="Times New Roman" w:cs="Times New Roman"/>
          <w:szCs w:val="24"/>
          <w:vertAlign w:val="superscript"/>
        </w:rPr>
        <w:t>83,84</w:t>
      </w:r>
      <w:r w:rsidR="00186D44" w:rsidRPr="00EF73BB">
        <w:rPr>
          <w:rFonts w:ascii="Times New Roman" w:hAnsi="Times New Roman" w:cs="Times New Roman"/>
        </w:rPr>
        <w:fldChar w:fldCharType="end"/>
      </w:r>
      <w:r w:rsidR="005719BD" w:rsidRPr="00EF73BB">
        <w:rPr>
          <w:rFonts w:ascii="Times New Roman" w:hAnsi="Times New Roman" w:cs="Times New Roman"/>
        </w:rPr>
        <w:t xml:space="preserve">. </w:t>
      </w:r>
    </w:p>
    <w:p w14:paraId="4DEFF43B" w14:textId="77777777" w:rsidR="00B242AA" w:rsidRPr="005F26A1" w:rsidRDefault="00B242AA" w:rsidP="00522623">
      <w:pPr>
        <w:spacing w:line="360" w:lineRule="auto"/>
        <w:contextualSpacing/>
        <w:jc w:val="both"/>
        <w:rPr>
          <w:rFonts w:ascii="Times New Roman" w:hAnsi="Times New Roman" w:cs="Times New Roman"/>
          <w:b/>
          <w:bCs/>
          <w:sz w:val="28"/>
          <w:szCs w:val="28"/>
        </w:rPr>
      </w:pPr>
      <w:r w:rsidRPr="005F26A1">
        <w:rPr>
          <w:rFonts w:ascii="Times New Roman" w:hAnsi="Times New Roman" w:cs="Times New Roman"/>
          <w:b/>
          <w:bCs/>
          <w:sz w:val="28"/>
          <w:szCs w:val="28"/>
        </w:rPr>
        <w:t xml:space="preserve">Linking ‘Aquafeed 3.0’ with scavenger ecology concept </w:t>
      </w:r>
    </w:p>
    <w:p w14:paraId="4640CBC7" w14:textId="42354C3D" w:rsidR="0010786B" w:rsidRDefault="005C6443" w:rsidP="00522623">
      <w:pPr>
        <w:spacing w:line="360" w:lineRule="auto"/>
        <w:ind w:firstLine="720"/>
        <w:contextualSpacing/>
        <w:jc w:val="both"/>
        <w:rPr>
          <w:rFonts w:ascii="Times New Roman" w:hAnsi="Times New Roman" w:cs="Times New Roman"/>
        </w:rPr>
      </w:pPr>
      <w:r w:rsidRPr="002773AC">
        <w:rPr>
          <w:rFonts w:ascii="Times New Roman" w:hAnsi="Times New Roman" w:cs="Times New Roman"/>
        </w:rPr>
        <w:t>The</w:t>
      </w:r>
      <w:r>
        <w:rPr>
          <w:rFonts w:ascii="Times New Roman" w:hAnsi="Times New Roman" w:cs="Times New Roman"/>
          <w:color w:val="0070C0"/>
        </w:rPr>
        <w:t xml:space="preserve"> </w:t>
      </w:r>
      <w:r w:rsidR="007D1699" w:rsidRPr="002773AC">
        <w:rPr>
          <w:rFonts w:ascii="Times New Roman" w:hAnsi="Times New Roman" w:cs="Times New Roman"/>
        </w:rPr>
        <w:t>CBF is inspired from nature-based solutions</w:t>
      </w:r>
      <w:r w:rsidR="00C17DA6" w:rsidRPr="002773AC">
        <w:rPr>
          <w:rFonts w:ascii="Times New Roman" w:hAnsi="Times New Roman" w:cs="Times New Roman"/>
        </w:rPr>
        <w:fldChar w:fldCharType="begin"/>
      </w:r>
      <w:r w:rsidR="00923095">
        <w:rPr>
          <w:rFonts w:ascii="Times New Roman" w:hAnsi="Times New Roman" w:cs="Times New Roman"/>
        </w:rPr>
        <w:instrText xml:space="preserve"> ADDIN ZOTERO_ITEM CSL_CITATION {"citationID":"a1jsido9b7o","properties":{"formattedCitation":"\\super 29\\nosupersub{}","plainCitation":"29","noteIndex":0},"citationItems":[{"id":850,"uris":["http://zotero.org/groups/4669668/items/CVIYWXXQ"],"itemData":{"id":850,"type":"report","publisher":"Wageningen University &amp; Research","title":"Circularity in agricultural production","author":[{"family":"Boer","given":"Imke JM","non-dropping-particle":"de"},{"family":"Ittersum","given":"Martin K.","non-dropping-particle":"van"}],"issued":{"date-parts":[["2018"]]}}}],"schema":"https://github.com/citation-style-language/schema/raw/master/csl-citation.json"} </w:instrText>
      </w:r>
      <w:r w:rsidR="00C17DA6" w:rsidRPr="002773AC">
        <w:rPr>
          <w:rFonts w:ascii="Times New Roman" w:hAnsi="Times New Roman" w:cs="Times New Roman"/>
        </w:rPr>
        <w:fldChar w:fldCharType="separate"/>
      </w:r>
      <w:r w:rsidR="00923095" w:rsidRPr="00923095">
        <w:rPr>
          <w:rFonts w:ascii="Times New Roman" w:hAnsi="Times New Roman" w:cs="Times New Roman"/>
          <w:szCs w:val="24"/>
          <w:vertAlign w:val="superscript"/>
        </w:rPr>
        <w:t>29</w:t>
      </w:r>
      <w:r w:rsidR="00C17DA6" w:rsidRPr="002773AC">
        <w:rPr>
          <w:rFonts w:ascii="Times New Roman" w:hAnsi="Times New Roman" w:cs="Times New Roman"/>
        </w:rPr>
        <w:fldChar w:fldCharType="end"/>
      </w:r>
      <w:r w:rsidR="007D1699" w:rsidRPr="002773AC">
        <w:rPr>
          <w:rFonts w:ascii="Times New Roman" w:hAnsi="Times New Roman" w:cs="Times New Roman"/>
        </w:rPr>
        <w:t xml:space="preserve">. </w:t>
      </w:r>
      <w:r w:rsidR="00EE30AD">
        <w:rPr>
          <w:rFonts w:ascii="Times New Roman" w:hAnsi="Times New Roman" w:cs="Times New Roman"/>
        </w:rPr>
        <w:t>T</w:t>
      </w:r>
      <w:r w:rsidR="00015D99">
        <w:rPr>
          <w:rFonts w:ascii="Times New Roman" w:hAnsi="Times New Roman" w:cs="Times New Roman"/>
        </w:rPr>
        <w:t>he demands and tolerances of some aquaculture species</w:t>
      </w:r>
      <w:r w:rsidR="005F68A1">
        <w:rPr>
          <w:rFonts w:ascii="Times New Roman" w:hAnsi="Times New Roman" w:cs="Times New Roman"/>
        </w:rPr>
        <w:t>, particularly carnivores,</w:t>
      </w:r>
      <w:r w:rsidR="00015D99">
        <w:rPr>
          <w:rFonts w:ascii="Times New Roman" w:hAnsi="Times New Roman" w:cs="Times New Roman"/>
        </w:rPr>
        <w:t xml:space="preserve"> </w:t>
      </w:r>
      <w:r w:rsidR="005F68A1">
        <w:rPr>
          <w:rFonts w:ascii="Times New Roman" w:hAnsi="Times New Roman" w:cs="Times New Roman"/>
        </w:rPr>
        <w:t xml:space="preserve">make their nutrition and feeding more </w:t>
      </w:r>
      <w:r w:rsidR="000D3C47">
        <w:rPr>
          <w:rFonts w:ascii="Times New Roman" w:hAnsi="Times New Roman" w:cs="Times New Roman"/>
        </w:rPr>
        <w:t xml:space="preserve">challenging than </w:t>
      </w:r>
      <w:r w:rsidR="00EE30AD">
        <w:rPr>
          <w:rFonts w:ascii="Times New Roman" w:hAnsi="Times New Roman" w:cs="Times New Roman"/>
        </w:rPr>
        <w:t xml:space="preserve">for </w:t>
      </w:r>
      <w:r w:rsidR="000D3C47">
        <w:rPr>
          <w:rFonts w:ascii="Times New Roman" w:hAnsi="Times New Roman" w:cs="Times New Roman"/>
        </w:rPr>
        <w:t>other livestock</w:t>
      </w:r>
      <w:r w:rsidR="009D62B7">
        <w:rPr>
          <w:rFonts w:ascii="Times New Roman" w:hAnsi="Times New Roman" w:cs="Times New Roman"/>
        </w:rPr>
        <w:t xml:space="preserve">—ecologically speaking, they are specialists with </w:t>
      </w:r>
      <w:r w:rsidR="00CD13C2">
        <w:rPr>
          <w:rFonts w:ascii="Times New Roman" w:hAnsi="Times New Roman" w:cs="Times New Roman"/>
        </w:rPr>
        <w:t>relatively narrow trophic roles</w:t>
      </w:r>
      <w:r w:rsidR="00BD2249">
        <w:rPr>
          <w:rFonts w:ascii="Times New Roman" w:hAnsi="Times New Roman" w:cs="Times New Roman"/>
        </w:rPr>
        <w:t xml:space="preserve"> in nature</w:t>
      </w:r>
      <w:r w:rsidR="00EE30AD">
        <w:rPr>
          <w:rFonts w:ascii="Times New Roman" w:hAnsi="Times New Roman" w:cs="Times New Roman"/>
        </w:rPr>
        <w:t xml:space="preserve">.  </w:t>
      </w:r>
      <w:r w:rsidR="005E38B5">
        <w:rPr>
          <w:rFonts w:ascii="Times New Roman" w:hAnsi="Times New Roman" w:cs="Times New Roman"/>
        </w:rPr>
        <w:t>T</w:t>
      </w:r>
      <w:r w:rsidR="00124F23">
        <w:rPr>
          <w:rFonts w:ascii="Times New Roman" w:hAnsi="Times New Roman" w:cs="Times New Roman"/>
        </w:rPr>
        <w:t xml:space="preserve">here is limited opportunity to modify the nutritional physiology of cultured fish (e.g., selective breeding programs can improve tolerance of plant-based ingredients among carnivorous fish, but the selected fish remain carnivorous in a behavioral, anatomical, and more-or-less physiological sense), one can carefully process plant-based ingredients and formulate </w:t>
      </w:r>
      <w:r w:rsidR="00946DDD">
        <w:rPr>
          <w:rFonts w:ascii="Times New Roman" w:hAnsi="Times New Roman" w:cs="Times New Roman"/>
        </w:rPr>
        <w:t xml:space="preserve">largely </w:t>
      </w:r>
      <w:r w:rsidR="00124F23">
        <w:rPr>
          <w:rFonts w:ascii="Times New Roman" w:hAnsi="Times New Roman" w:cs="Times New Roman"/>
        </w:rPr>
        <w:t xml:space="preserve">vegetarian feeds to </w:t>
      </w:r>
      <w:r w:rsidR="005E38B5">
        <w:rPr>
          <w:rFonts w:ascii="Times New Roman" w:hAnsi="Times New Roman" w:cs="Times New Roman"/>
        </w:rPr>
        <w:t>fit within the</w:t>
      </w:r>
      <w:r w:rsidR="00124F23">
        <w:rPr>
          <w:rFonts w:ascii="Times New Roman" w:hAnsi="Times New Roman" w:cs="Times New Roman"/>
        </w:rPr>
        <w:t xml:space="preserve"> </w:t>
      </w:r>
      <w:r w:rsidR="00946DDD">
        <w:rPr>
          <w:rFonts w:ascii="Times New Roman" w:hAnsi="Times New Roman" w:cs="Times New Roman"/>
        </w:rPr>
        <w:t xml:space="preserve">nutritional </w:t>
      </w:r>
      <w:r w:rsidR="009666B7">
        <w:rPr>
          <w:rFonts w:ascii="Times New Roman" w:hAnsi="Times New Roman" w:cs="Times New Roman"/>
        </w:rPr>
        <w:t>tolerances</w:t>
      </w:r>
      <w:r w:rsidR="00124F23">
        <w:rPr>
          <w:rFonts w:ascii="Times New Roman" w:hAnsi="Times New Roman" w:cs="Times New Roman"/>
        </w:rPr>
        <w:t xml:space="preserve"> of carnivorous species. </w:t>
      </w:r>
      <w:r w:rsidR="009666B7">
        <w:rPr>
          <w:rFonts w:ascii="Times New Roman" w:hAnsi="Times New Roman" w:cs="Times New Roman"/>
        </w:rPr>
        <w:t xml:space="preserve">  Indeed, d</w:t>
      </w:r>
      <w:r w:rsidR="00E5398D">
        <w:rPr>
          <w:rFonts w:ascii="Times New Roman" w:hAnsi="Times New Roman" w:cs="Times New Roman"/>
        </w:rPr>
        <w:t xml:space="preserve">ecades </w:t>
      </w:r>
      <w:r w:rsidR="009666B7">
        <w:rPr>
          <w:rFonts w:ascii="Times New Roman" w:hAnsi="Times New Roman" w:cs="Times New Roman"/>
        </w:rPr>
        <w:t xml:space="preserve">of research and on-farm application </w:t>
      </w:r>
      <w:r w:rsidR="00E5398D">
        <w:rPr>
          <w:rFonts w:ascii="Times New Roman" w:hAnsi="Times New Roman" w:cs="Times New Roman"/>
        </w:rPr>
        <w:t xml:space="preserve">have demonstrated that </w:t>
      </w:r>
      <w:r w:rsidR="00E5398D">
        <w:rPr>
          <w:rFonts w:ascii="Times New Roman" w:hAnsi="Times New Roman" w:cs="Times New Roman"/>
        </w:rPr>
        <w:lastRenderedPageBreak/>
        <w:t>carnivorous fish do not require animal-based feed</w:t>
      </w:r>
      <w:r w:rsidR="00BD2249">
        <w:rPr>
          <w:rFonts w:ascii="Times New Roman" w:hAnsi="Times New Roman" w:cs="Times New Roman"/>
        </w:rPr>
        <w:t>s</w:t>
      </w:r>
      <w:r w:rsidR="009666B7">
        <w:rPr>
          <w:rFonts w:ascii="Times New Roman" w:hAnsi="Times New Roman" w:cs="Times New Roman"/>
        </w:rPr>
        <w:t xml:space="preserve"> and can be </w:t>
      </w:r>
      <w:r w:rsidR="006728F7">
        <w:rPr>
          <w:rFonts w:ascii="Times New Roman" w:hAnsi="Times New Roman" w:cs="Times New Roman"/>
        </w:rPr>
        <w:t>raised on diets that reflect a much more cosmopolitan diet than would be observed in nature</w:t>
      </w:r>
      <w:r w:rsidR="00E5398D">
        <w:rPr>
          <w:rFonts w:ascii="Times New Roman" w:hAnsi="Times New Roman" w:cs="Times New Roman"/>
        </w:rPr>
        <w:t xml:space="preserve">.  </w:t>
      </w:r>
      <w:r w:rsidR="00124F23">
        <w:rPr>
          <w:rFonts w:ascii="Times New Roman" w:hAnsi="Times New Roman" w:cs="Times New Roman"/>
        </w:rPr>
        <w:t>Further</w:t>
      </w:r>
      <w:r w:rsidR="00752756">
        <w:rPr>
          <w:rFonts w:ascii="Times New Roman" w:hAnsi="Times New Roman" w:cs="Times New Roman"/>
        </w:rPr>
        <w:t>, if one considers the diversity of aquaculture species</w:t>
      </w:r>
      <w:r w:rsidR="002C747B">
        <w:rPr>
          <w:rFonts w:ascii="Times New Roman" w:hAnsi="Times New Roman" w:cs="Times New Roman"/>
        </w:rPr>
        <w:t xml:space="preserve"> together</w:t>
      </w:r>
      <w:r w:rsidR="004D7FDF">
        <w:rPr>
          <w:rFonts w:ascii="Times New Roman" w:hAnsi="Times New Roman" w:cs="Times New Roman"/>
        </w:rPr>
        <w:t>—</w:t>
      </w:r>
      <w:r w:rsidR="00E63F15">
        <w:rPr>
          <w:rFonts w:ascii="Times New Roman" w:hAnsi="Times New Roman" w:cs="Times New Roman"/>
        </w:rPr>
        <w:t xml:space="preserve"> </w:t>
      </w:r>
      <w:r w:rsidR="004D7FDF">
        <w:rPr>
          <w:rFonts w:ascii="Times New Roman" w:hAnsi="Times New Roman" w:cs="Times New Roman"/>
        </w:rPr>
        <w:t xml:space="preserve">thinking of the industry </w:t>
      </w:r>
      <w:r w:rsidR="00CD13C2">
        <w:rPr>
          <w:rFonts w:ascii="Times New Roman" w:hAnsi="Times New Roman" w:cs="Times New Roman"/>
        </w:rPr>
        <w:t xml:space="preserve">collectively </w:t>
      </w:r>
      <w:r w:rsidR="004D7FDF">
        <w:rPr>
          <w:rFonts w:ascii="Times New Roman" w:hAnsi="Times New Roman" w:cs="Times New Roman"/>
        </w:rPr>
        <w:t xml:space="preserve">as a single ‘organism’ in the </w:t>
      </w:r>
      <w:r w:rsidR="00DD3D15">
        <w:rPr>
          <w:rFonts w:ascii="Times New Roman" w:hAnsi="Times New Roman" w:cs="Times New Roman"/>
        </w:rPr>
        <w:t>‘ecosystem’ of global food production, one can envision aquaculture as a</w:t>
      </w:r>
      <w:r w:rsidR="008D62D2">
        <w:rPr>
          <w:rFonts w:ascii="Times New Roman" w:hAnsi="Times New Roman" w:cs="Times New Roman"/>
        </w:rPr>
        <w:t xml:space="preserve"> generalist </w:t>
      </w:r>
      <w:r w:rsidR="00DD3D15">
        <w:rPr>
          <w:rFonts w:ascii="Times New Roman" w:hAnsi="Times New Roman" w:cs="Times New Roman"/>
        </w:rPr>
        <w:t>‘scavenger’ able</w:t>
      </w:r>
      <w:r w:rsidR="000764E5">
        <w:rPr>
          <w:rFonts w:ascii="Times New Roman" w:hAnsi="Times New Roman" w:cs="Times New Roman"/>
        </w:rPr>
        <w:t xml:space="preserve"> to</w:t>
      </w:r>
      <w:r w:rsidR="000F1DCB">
        <w:rPr>
          <w:rFonts w:ascii="Times New Roman" w:hAnsi="Times New Roman" w:cs="Times New Roman"/>
        </w:rPr>
        <w:t xml:space="preserve"> shift among niches and to utilize feed resources opportunistically.</w:t>
      </w:r>
      <w:r w:rsidR="002C747B">
        <w:rPr>
          <w:rFonts w:ascii="Times New Roman" w:hAnsi="Times New Roman" w:cs="Times New Roman"/>
        </w:rPr>
        <w:t xml:space="preserve"> </w:t>
      </w:r>
      <w:r w:rsidR="005F68A1">
        <w:rPr>
          <w:rFonts w:ascii="Times New Roman" w:hAnsi="Times New Roman" w:cs="Times New Roman"/>
        </w:rPr>
        <w:t xml:space="preserve"> </w:t>
      </w:r>
      <w:r w:rsidR="00124F23">
        <w:rPr>
          <w:rFonts w:ascii="Times New Roman" w:hAnsi="Times New Roman" w:cs="Times New Roman"/>
        </w:rPr>
        <w:t xml:space="preserve">Thus, there is </w:t>
      </w:r>
      <w:r w:rsidR="006728F7">
        <w:rPr>
          <w:rFonts w:ascii="Times New Roman" w:hAnsi="Times New Roman" w:cs="Times New Roman"/>
        </w:rPr>
        <w:t xml:space="preserve">both intraspecific and interspecific </w:t>
      </w:r>
      <w:r w:rsidR="00381EC2">
        <w:rPr>
          <w:rFonts w:ascii="Times New Roman" w:hAnsi="Times New Roman" w:cs="Times New Roman"/>
        </w:rPr>
        <w:t xml:space="preserve">flexibility that can be exploited to increase circularity in </w:t>
      </w:r>
      <w:r w:rsidR="006452C8">
        <w:rPr>
          <w:rFonts w:ascii="Times New Roman" w:hAnsi="Times New Roman" w:cs="Times New Roman"/>
        </w:rPr>
        <w:t xml:space="preserve">raw material sourcing and aquaculture nutrition.  </w:t>
      </w:r>
      <w:r w:rsidR="007D1699" w:rsidRPr="002773AC">
        <w:rPr>
          <w:rFonts w:ascii="Times New Roman" w:hAnsi="Times New Roman" w:cs="Times New Roman"/>
        </w:rPr>
        <w:t xml:space="preserve">If aquaculture must be </w:t>
      </w:r>
      <w:r w:rsidR="00602001">
        <w:rPr>
          <w:rFonts w:ascii="Times New Roman" w:hAnsi="Times New Roman" w:cs="Times New Roman"/>
        </w:rPr>
        <w:t xml:space="preserve">a </w:t>
      </w:r>
      <w:r w:rsidR="007D1699" w:rsidRPr="002773AC">
        <w:rPr>
          <w:rFonts w:ascii="Times New Roman" w:hAnsi="Times New Roman" w:cs="Times New Roman"/>
        </w:rPr>
        <w:t>scavenger of terrestrial food system waste streams, some inspirations and knowledge from nature are prudent to discuss</w:t>
      </w:r>
      <w:r w:rsidR="002B552F">
        <w:rPr>
          <w:rFonts w:ascii="Times New Roman" w:hAnsi="Times New Roman" w:cs="Times New Roman"/>
        </w:rPr>
        <w:t>. This</w:t>
      </w:r>
      <w:r w:rsidR="00106982" w:rsidRPr="002773AC">
        <w:rPr>
          <w:rFonts w:ascii="Times New Roman" w:hAnsi="Times New Roman" w:cs="Times New Roman"/>
        </w:rPr>
        <w:t xml:space="preserve"> links together </w:t>
      </w:r>
      <w:r w:rsidR="00BB0F1F" w:rsidRPr="002773AC">
        <w:rPr>
          <w:rFonts w:ascii="Times New Roman" w:hAnsi="Times New Roman" w:cs="Times New Roman"/>
        </w:rPr>
        <w:t>the concept of scavenger ecology and Aquafeed 3.0</w:t>
      </w:r>
      <w:r w:rsidR="007D1699" w:rsidRPr="002773AC">
        <w:rPr>
          <w:rFonts w:ascii="Times New Roman" w:hAnsi="Times New Roman" w:cs="Times New Roman"/>
        </w:rPr>
        <w:t xml:space="preserve">. </w:t>
      </w:r>
      <w:r w:rsidR="00CA3F6C" w:rsidRPr="005F26A1">
        <w:rPr>
          <w:rFonts w:ascii="Times New Roman" w:hAnsi="Times New Roman" w:cs="Times New Roman"/>
        </w:rPr>
        <w:t xml:space="preserve">Within the biosphere, humans </w:t>
      </w:r>
      <w:r w:rsidR="00D87614">
        <w:rPr>
          <w:rFonts w:ascii="Times New Roman" w:hAnsi="Times New Roman" w:cs="Times New Roman"/>
        </w:rPr>
        <w:t xml:space="preserve">may </w:t>
      </w:r>
      <w:r w:rsidR="00CA3F6C" w:rsidRPr="005F26A1">
        <w:rPr>
          <w:rFonts w:ascii="Times New Roman" w:hAnsi="Times New Roman" w:cs="Times New Roman"/>
        </w:rPr>
        <w:t xml:space="preserve">appear to be the only species often relying on finite resources, in their utopian attempt to step aside from the boundaries of the circular essence of nature itself. </w:t>
      </w:r>
      <w:r w:rsidR="00C57F63">
        <w:rPr>
          <w:rFonts w:ascii="Times New Roman" w:hAnsi="Times New Roman" w:cs="Times New Roman"/>
        </w:rPr>
        <w:t>M</w:t>
      </w:r>
      <w:r w:rsidR="00C57F63" w:rsidRPr="00C57F63">
        <w:rPr>
          <w:rFonts w:ascii="Times New Roman" w:hAnsi="Times New Roman" w:cs="Times New Roman"/>
        </w:rPr>
        <w:t>ost contemporary food production systems have not differed significantly</w:t>
      </w:r>
      <w:r w:rsidR="00CA3F6C" w:rsidRPr="005F26A1">
        <w:rPr>
          <w:rFonts w:ascii="Times New Roman" w:hAnsi="Times New Roman" w:cs="Times New Roman"/>
        </w:rPr>
        <w:t xml:space="preserve"> during their expansion phases but </w:t>
      </w:r>
      <w:r w:rsidR="002D135D">
        <w:rPr>
          <w:rFonts w:ascii="Times New Roman" w:hAnsi="Times New Roman" w:cs="Times New Roman"/>
        </w:rPr>
        <w:t xml:space="preserve">are </w:t>
      </w:r>
      <w:r w:rsidR="00CA3F6C" w:rsidRPr="005F26A1">
        <w:rPr>
          <w:rFonts w:ascii="Times New Roman" w:hAnsi="Times New Roman" w:cs="Times New Roman"/>
        </w:rPr>
        <w:t xml:space="preserve">now facing the need </w:t>
      </w:r>
      <w:r w:rsidR="00012880">
        <w:rPr>
          <w:rFonts w:ascii="Times New Roman" w:hAnsi="Times New Roman" w:cs="Times New Roman"/>
        </w:rPr>
        <w:t>to</w:t>
      </w:r>
      <w:r w:rsidR="00CA3F6C" w:rsidRPr="005F26A1">
        <w:rPr>
          <w:rFonts w:ascii="Times New Roman" w:hAnsi="Times New Roman" w:cs="Times New Roman"/>
        </w:rPr>
        <w:t xml:space="preserve"> consider circularity </w:t>
      </w:r>
      <w:r w:rsidR="008633B2">
        <w:rPr>
          <w:rFonts w:ascii="Times New Roman" w:hAnsi="Times New Roman" w:cs="Times New Roman"/>
        </w:rPr>
        <w:fldChar w:fldCharType="begin"/>
      </w:r>
      <w:r w:rsidR="00680273">
        <w:rPr>
          <w:rFonts w:ascii="Times New Roman" w:hAnsi="Times New Roman" w:cs="Times New Roman"/>
        </w:rPr>
        <w:instrText xml:space="preserve"> ADDIN ZOTERO_ITEM CSL_CITATION {"citationID":"ajag2ukipr","properties":{"formattedCitation":"\\super 85\\nosupersub{}","plainCitation":"85","noteIndex":0},"citationItems":[{"id":964,"uris":["http://zotero.org/groups/4669668/items/CC9DGNP3"],"itemData":{"id":964,"type":"article-journal","abstract":"The circular economy concept is applied in agro-industrial systems to reduce the losses, wastes and avoidable environmental impacts of food supply chains. Especially, precision agriculture provides a stable supply of the appropriate quality agro-product. The precision agriculture is further enhancing the circularity of food systems. Industry 4.0 tools such as artificial intelligent needs to be integrated into precision agriculture to optimize productivity and resource efficiency. Hence, study on multi-functional computer models is needed to enable monitoring, simulation, forecasting, and optimization for decision-making. Such tools must take into account social and cultural aspects of human behavior in order to be effective.","container-title":"Resources, Conservation and Recycling","DOI":"10.1016/j.resconrec.2019.01.015","ISSN":"0921-3449","journalAbbreviation":"Resources, Conservation and Recycling","language":"en","page":"236-237","source":"ScienceDirect","title":"Pathways and barriers to circularity in food systems","volume":"143","author":[{"family":"Tseng","given":"Ming-Lang"},{"family":"Chiu","given":"Anthony S. F."},{"family":"Chien","given":"Chen-Fu"},{"family":"Tan","given":"Raymond R."}],"issued":{"date-parts":[["2019",4,1]]}}}],"schema":"https://github.com/citation-style-language/schema/raw/master/csl-citation.json"} </w:instrText>
      </w:r>
      <w:r w:rsidR="008633B2">
        <w:rPr>
          <w:rFonts w:ascii="Times New Roman" w:hAnsi="Times New Roman" w:cs="Times New Roman"/>
        </w:rPr>
        <w:fldChar w:fldCharType="separate"/>
      </w:r>
      <w:r w:rsidR="00680273" w:rsidRPr="00680273">
        <w:rPr>
          <w:rFonts w:ascii="Times New Roman" w:hAnsi="Times New Roman" w:cs="Times New Roman"/>
          <w:szCs w:val="24"/>
          <w:vertAlign w:val="superscript"/>
        </w:rPr>
        <w:t>85</w:t>
      </w:r>
      <w:r w:rsidR="008633B2">
        <w:rPr>
          <w:rFonts w:ascii="Times New Roman" w:hAnsi="Times New Roman" w:cs="Times New Roman"/>
        </w:rPr>
        <w:fldChar w:fldCharType="end"/>
      </w:r>
      <w:r w:rsidR="00CA3F6C" w:rsidRPr="005F26A1">
        <w:rPr>
          <w:rFonts w:ascii="Times New Roman" w:hAnsi="Times New Roman" w:cs="Times New Roman"/>
        </w:rPr>
        <w:t xml:space="preserve">. </w:t>
      </w:r>
      <w:r w:rsidR="00D75CF4">
        <w:rPr>
          <w:rFonts w:ascii="Times New Roman" w:hAnsi="Times New Roman" w:cs="Times New Roman"/>
        </w:rPr>
        <w:t>F</w:t>
      </w:r>
      <w:r w:rsidR="0084635C">
        <w:rPr>
          <w:rFonts w:ascii="Times New Roman" w:hAnsi="Times New Roman" w:cs="Times New Roman"/>
        </w:rPr>
        <w:t>or many f</w:t>
      </w:r>
      <w:r w:rsidR="00D75CF4">
        <w:rPr>
          <w:rFonts w:ascii="Times New Roman" w:hAnsi="Times New Roman" w:cs="Times New Roman"/>
        </w:rPr>
        <w:t>ed-a</w:t>
      </w:r>
      <w:r w:rsidR="00CA3F6C" w:rsidRPr="005F26A1">
        <w:rPr>
          <w:rFonts w:ascii="Times New Roman" w:hAnsi="Times New Roman" w:cs="Times New Roman"/>
        </w:rPr>
        <w:t xml:space="preserve">quaculture </w:t>
      </w:r>
      <w:r w:rsidR="0084635C">
        <w:rPr>
          <w:rFonts w:ascii="Times New Roman" w:hAnsi="Times New Roman" w:cs="Times New Roman"/>
        </w:rPr>
        <w:t xml:space="preserve">species, </w:t>
      </w:r>
      <w:r w:rsidR="00CA3F6C" w:rsidRPr="005F26A1">
        <w:rPr>
          <w:rFonts w:ascii="Times New Roman" w:hAnsi="Times New Roman" w:cs="Times New Roman"/>
        </w:rPr>
        <w:t xml:space="preserve">the primary sources of nutrients used </w:t>
      </w:r>
      <w:r w:rsidR="002825CF">
        <w:rPr>
          <w:rFonts w:ascii="Times New Roman" w:hAnsi="Times New Roman" w:cs="Times New Roman"/>
        </w:rPr>
        <w:t xml:space="preserve">in their feeds </w:t>
      </w:r>
      <w:r w:rsidR="00A25533">
        <w:rPr>
          <w:rFonts w:ascii="Times New Roman" w:hAnsi="Times New Roman" w:cs="Times New Roman"/>
        </w:rPr>
        <w:t>are</w:t>
      </w:r>
      <w:r w:rsidR="00CA3F6C" w:rsidRPr="005F26A1">
        <w:rPr>
          <w:rFonts w:ascii="Times New Roman" w:hAnsi="Times New Roman" w:cs="Times New Roman"/>
        </w:rPr>
        <w:t xml:space="preserve"> wild</w:t>
      </w:r>
      <w:r w:rsidR="00A25533">
        <w:rPr>
          <w:rFonts w:ascii="Times New Roman" w:hAnsi="Times New Roman" w:cs="Times New Roman"/>
        </w:rPr>
        <w:t>-</w:t>
      </w:r>
      <w:r w:rsidR="00CA3F6C" w:rsidRPr="005F26A1">
        <w:rPr>
          <w:rFonts w:ascii="Times New Roman" w:hAnsi="Times New Roman" w:cs="Times New Roman"/>
        </w:rPr>
        <w:t xml:space="preserve">caught fish </w:t>
      </w:r>
      <w:r w:rsidR="000B45BB">
        <w:rPr>
          <w:rFonts w:ascii="Times New Roman" w:hAnsi="Times New Roman" w:cs="Times New Roman"/>
        </w:rPr>
        <w:fldChar w:fldCharType="begin"/>
      </w:r>
      <w:r w:rsidR="002579D9">
        <w:rPr>
          <w:rFonts w:ascii="Times New Roman" w:hAnsi="Times New Roman" w:cs="Times New Roman"/>
        </w:rPr>
        <w:instrText xml:space="preserve"> ADDIN ZOTERO_ITEM CSL_CITATION {"citationID":"a1eksp8ve28","properties":{"formattedCitation":"\\super 86\\nosupersub{}","plainCitation":"86","noteIndex":0},"citationItems":[{"id":1007,"uris":["http://zotero.org/groups/4669668/items/JRUCVNF7"],"itemData":{"id":1007,"type":"article-journal","abstract":"In recent decades, aquaculture nutrition research has made major strides in identifying alternatives to the use of traditional marine-origin resources. Feed manufacturers worldwide have used this information to replace increasing amounts of fish meal and fish oil in aquafeeds. However, reliance on marine resources remains an ongoing constraint, and the progress yielded by continued unidimensional research into alternative raw materials is becoming increasingly marginal. Feed formulation is not an exercise in identifying “substitutes” or “alternatives” but rather is a process of identifying different combinations of “complementary” raw materials—including fish meal, fish oil, and others—that collectively meet established nutrient requirements and other criteria for the aquafeed in question. Nutrient-based formulation is the day-to-day reality of formulating industrially compounded aquafeeds, but this approach is less formally and explicitly addressed in aquaculture research and training programs. Here, we (re)introduce these topics and explore the reasons that marine-origin ingredients have long been considered the “gold standards” of aquafeed formulation. We highlight a number of ways in which this approach is flawed and constrains innovation before delving into the need to assess raw materials based on their influence on aquafeed manufacturing techniques. We conclude with a brief commentary regarding the future funding and research landscape. Incremental progress may continue through the accumulation of small insights, but a more holistic research strategy—aligned with industry needs and focused on nutrient composition and ingredient complementarity—is what will spur future advancement in aquaculture nutrition.","container-title":"North American Journal of Aquaculture","DOI":"10.1002/naaq.10067","ISSN":"1548-8454","issue":"1","language":"en","note":"number: 1\n_eprint: https://onlinelibrary.wiley.com/doi/pdf/10.1002/naaq.10067","page":"13-39","source":"Wiley Online Library","title":"Thoughts for the future of aquaculture nutrition: realigning perspectives to reflect contemporary issues related to judicious use of marine resources in aquafeeds","title-short":"Thoughts for the future of aquaculture nutrition","volume":"81","author":[{"family":"Turchini","given":"Giovanni M."},{"family":"Trushenski","given":"Jesse T."},{"family":"Glencross","given":"Brett D."}],"issued":{"date-parts":[["2019"]]}}}],"schema":"https://github.com/citation-style-language/schema/raw/master/csl-citation.json"} </w:instrText>
      </w:r>
      <w:r w:rsidR="000B45BB">
        <w:rPr>
          <w:rFonts w:ascii="Times New Roman" w:hAnsi="Times New Roman" w:cs="Times New Roman"/>
        </w:rPr>
        <w:fldChar w:fldCharType="separate"/>
      </w:r>
      <w:r w:rsidR="002579D9" w:rsidRPr="002579D9">
        <w:rPr>
          <w:rFonts w:ascii="Times New Roman" w:hAnsi="Times New Roman" w:cs="Times New Roman"/>
          <w:szCs w:val="24"/>
          <w:vertAlign w:val="superscript"/>
        </w:rPr>
        <w:t>86</w:t>
      </w:r>
      <w:r w:rsidR="000B45BB">
        <w:rPr>
          <w:rFonts w:ascii="Times New Roman" w:hAnsi="Times New Roman" w:cs="Times New Roman"/>
        </w:rPr>
        <w:fldChar w:fldCharType="end"/>
      </w:r>
      <w:r w:rsidR="00CA3F6C" w:rsidRPr="005F26A1">
        <w:rPr>
          <w:rFonts w:ascii="Times New Roman" w:hAnsi="Times New Roman" w:cs="Times New Roman"/>
        </w:rPr>
        <w:t>. However, when reali</w:t>
      </w:r>
      <w:r w:rsidR="008A7CB0">
        <w:rPr>
          <w:rFonts w:ascii="Times New Roman" w:hAnsi="Times New Roman" w:cs="Times New Roman"/>
        </w:rPr>
        <w:t>z</w:t>
      </w:r>
      <w:r w:rsidR="00CA3F6C" w:rsidRPr="005F26A1">
        <w:rPr>
          <w:rFonts w:ascii="Times New Roman" w:hAnsi="Times New Roman" w:cs="Times New Roman"/>
        </w:rPr>
        <w:t xml:space="preserve">ing the finite nature of such resources, aquaculture has evolved towards the use of </w:t>
      </w:r>
      <w:r w:rsidR="00A25533">
        <w:rPr>
          <w:rFonts w:ascii="Times New Roman" w:hAnsi="Times New Roman" w:cs="Times New Roman"/>
        </w:rPr>
        <w:t>plant-based</w:t>
      </w:r>
      <w:r w:rsidR="00CA3F6C" w:rsidRPr="005F26A1">
        <w:rPr>
          <w:rFonts w:ascii="Times New Roman" w:hAnsi="Times New Roman" w:cs="Times New Roman"/>
        </w:rPr>
        <w:t xml:space="preserve"> nutrient sources</w:t>
      </w:r>
      <w:r w:rsidR="00A25533">
        <w:rPr>
          <w:rFonts w:ascii="Times New Roman" w:hAnsi="Times New Roman" w:cs="Times New Roman"/>
        </w:rPr>
        <w:t>. Consequently</w:t>
      </w:r>
      <w:r w:rsidR="00DB23E0">
        <w:rPr>
          <w:rFonts w:ascii="Times New Roman" w:hAnsi="Times New Roman" w:cs="Times New Roman"/>
        </w:rPr>
        <w:t>, this has</w:t>
      </w:r>
      <w:r w:rsidR="00CA3F6C" w:rsidRPr="005F26A1">
        <w:rPr>
          <w:rFonts w:ascii="Times New Roman" w:hAnsi="Times New Roman" w:cs="Times New Roman"/>
        </w:rPr>
        <w:t xml:space="preserve"> significant</w:t>
      </w:r>
      <w:r w:rsidR="00DB23E0">
        <w:rPr>
          <w:rFonts w:ascii="Times New Roman" w:hAnsi="Times New Roman" w:cs="Times New Roman"/>
        </w:rPr>
        <w:t>ly</w:t>
      </w:r>
      <w:r w:rsidR="00CA3F6C" w:rsidRPr="005F26A1">
        <w:rPr>
          <w:rFonts w:ascii="Times New Roman" w:hAnsi="Times New Roman" w:cs="Times New Roman"/>
        </w:rPr>
        <w:t xml:space="preserve"> shift</w:t>
      </w:r>
      <w:r w:rsidR="00DB23E0">
        <w:rPr>
          <w:rFonts w:ascii="Times New Roman" w:hAnsi="Times New Roman" w:cs="Times New Roman"/>
        </w:rPr>
        <w:t>ed</w:t>
      </w:r>
      <w:r w:rsidR="00CA3F6C" w:rsidRPr="005F26A1">
        <w:rPr>
          <w:rFonts w:ascii="Times New Roman" w:hAnsi="Times New Roman" w:cs="Times New Roman"/>
        </w:rPr>
        <w:t xml:space="preserve"> </w:t>
      </w:r>
      <w:r w:rsidR="00643DF0">
        <w:rPr>
          <w:rFonts w:ascii="Times New Roman" w:hAnsi="Times New Roman" w:cs="Times New Roman"/>
        </w:rPr>
        <w:t>the effective</w:t>
      </w:r>
      <w:r w:rsidR="00CA3F6C" w:rsidRPr="005F26A1">
        <w:rPr>
          <w:rFonts w:ascii="Times New Roman" w:hAnsi="Times New Roman" w:cs="Times New Roman"/>
        </w:rPr>
        <w:t xml:space="preserve"> trophic level</w:t>
      </w:r>
      <w:r w:rsidR="009A3499">
        <w:rPr>
          <w:rFonts w:ascii="Times New Roman" w:hAnsi="Times New Roman" w:cs="Times New Roman"/>
        </w:rPr>
        <w:t xml:space="preserve"> of the industry and the culture species themselves</w:t>
      </w:r>
      <w:r w:rsidR="00CA3F6C" w:rsidRPr="005F26A1">
        <w:rPr>
          <w:rFonts w:ascii="Times New Roman" w:hAnsi="Times New Roman" w:cs="Times New Roman"/>
        </w:rPr>
        <w:t xml:space="preserve"> </w:t>
      </w:r>
      <w:r w:rsidR="00D13D8C">
        <w:rPr>
          <w:rFonts w:ascii="Times New Roman" w:hAnsi="Times New Roman" w:cs="Times New Roman"/>
        </w:rPr>
        <w:fldChar w:fldCharType="begin"/>
      </w:r>
      <w:r w:rsidR="00D36B58">
        <w:rPr>
          <w:rFonts w:ascii="Times New Roman" w:hAnsi="Times New Roman" w:cs="Times New Roman"/>
        </w:rPr>
        <w:instrText xml:space="preserve"> ADDIN ZOTERO_ITEM CSL_CITATION {"citationID":"ad9cv37mu4","properties":{"formattedCitation":"\\super 26\\nosupersub{}","plainCitation":"26","noteIndex":0},"citationItems":[{"id":862,"uris":["http://zotero.org/groups/4669668/items/9K683JS7"],"itemData":{"id":862,"type":"article-journal","abstract":"Aquaculture policy often promotes production of low-trophic level species for sustainable industry growth. Yet, the application of the trophic level concept to aquaculture is complex, and its value for assessing sustainability is further complicated by continual reformulation of feeds. The majority of fed farmed fish and invertebrate species are produced using human-made compound feeds that can differ markedly from the diet of the same species in the wild and continue to change in composition. Using data on aquaculture feeds, we show that technical advances have substantially decreased the mean effective trophic level of farmed species, such as salmon (mean TL = 3.48 to 2.42) and tilapia (2.32 to 2.06), from 1995 to 2015. As farmed species diverge in effective trophic level from their wild counterparts, they are coalescing at a similar effective trophic level due to standardisation of feeds. This pattern blurs the interpretation of trophic level in aquaculture because it can no longer be viewed as a trait of the farmed species, but rather is a dynamic feature of the production system. Guidance based on wild trophic position or historical resource use is therefore misleading. Effective aquaculture policy needs to avoid overly simplistic sustainability indicators such as trophic level. Instead, employing empirically derived metrics based on the specific farmed properties of species groups, management techniques and advances in feed formulation will be crucial for achieving truly sustainable options for farmed seafood.","container-title":"Reviews in Aquaculture","DOI":"10.1111/raq.12535","ISSN":"1753-5131","issue":"3","language":"en","note":"number: 3\n_eprint: https://onlinelibrary.wiley.com/doi/pdf/10.1111/raq.12535","page":"1583-1593","source":"Wiley Online Library","title":"Time to rethink trophic levels in aquaculture policy","volume":"13","author":[{"family":"Cottrell","given":"Richard S."},{"family":"Metian","given":"Marc"},{"family":"Froehlich","given":"Halley E."},{"family":"Blanchard","given":"Julia L."},{"family":"Sand Jacobsen","given":"Nis"},{"family":"McIntyre","given":"Peter B."},{"family":"Nash","given":"Kirsty L."},{"family":"Williams","given":"David R."},{"family":"Bouwman","given":"Lex"},{"family":"Gephart","given":"Jessica A."},{"family":"Kuempel","given":"Caitlin D."},{"family":"Moran","given":"Daniel D."},{"family":"Troell","given":"Max"},{"family":"Halpern","given":"Benjamin S."}],"issued":{"date-parts":[["2021"]]}}}],"schema":"https://github.com/citation-style-language/schema/raw/master/csl-citation.json"} </w:instrText>
      </w:r>
      <w:r w:rsidR="00D13D8C">
        <w:rPr>
          <w:rFonts w:ascii="Times New Roman" w:hAnsi="Times New Roman" w:cs="Times New Roman"/>
        </w:rPr>
        <w:fldChar w:fldCharType="separate"/>
      </w:r>
      <w:r w:rsidR="00D36B58" w:rsidRPr="00D36B58">
        <w:rPr>
          <w:rFonts w:ascii="Times New Roman" w:hAnsi="Times New Roman" w:cs="Times New Roman"/>
          <w:szCs w:val="24"/>
          <w:vertAlign w:val="superscript"/>
        </w:rPr>
        <w:t>26</w:t>
      </w:r>
      <w:r w:rsidR="00D13D8C">
        <w:rPr>
          <w:rFonts w:ascii="Times New Roman" w:hAnsi="Times New Roman" w:cs="Times New Roman"/>
        </w:rPr>
        <w:fldChar w:fldCharType="end"/>
      </w:r>
      <w:r w:rsidR="00CA3F6C" w:rsidRPr="005F26A1">
        <w:rPr>
          <w:rFonts w:ascii="Times New Roman" w:hAnsi="Times New Roman" w:cs="Times New Roman"/>
        </w:rPr>
        <w:t xml:space="preserve">. </w:t>
      </w:r>
    </w:p>
    <w:p w14:paraId="42211922" w14:textId="542541EB" w:rsidR="00CA3F6C" w:rsidRPr="005F26A1" w:rsidRDefault="0010786B" w:rsidP="00522623">
      <w:pPr>
        <w:spacing w:line="360" w:lineRule="auto"/>
        <w:ind w:firstLine="720"/>
        <w:contextualSpacing/>
        <w:jc w:val="both"/>
        <w:rPr>
          <w:rFonts w:ascii="Times New Roman" w:hAnsi="Times New Roman" w:cs="Times New Roman"/>
        </w:rPr>
      </w:pPr>
      <w:r w:rsidRPr="0010786B">
        <w:rPr>
          <w:rFonts w:ascii="Times New Roman" w:hAnsi="Times New Roman" w:cs="Times New Roman"/>
        </w:rPr>
        <w:t>This observation prompted us to make a reflection on aquaculture evolution based on an analogy in which we could compare aquaculture, and its role within the global food systems, to a hypothetical carnivorous species and its role within its ecosystem. When this given hypothetical species (aquaculture) had been facing a limited availability of preys (fish meal and fish oil), it had to modify its feeding behavior towards other available resources (terrestrial agricultural products).</w:t>
      </w:r>
      <w:r w:rsidR="006B5645">
        <w:rPr>
          <w:rFonts w:ascii="Times New Roman" w:hAnsi="Times New Roman" w:cs="Times New Roman"/>
        </w:rPr>
        <w:t xml:space="preserve"> </w:t>
      </w:r>
      <w:r w:rsidR="00CA3F6C" w:rsidRPr="005F26A1">
        <w:rPr>
          <w:rFonts w:ascii="Times New Roman" w:hAnsi="Times New Roman" w:cs="Times New Roman"/>
        </w:rPr>
        <w:t xml:space="preserve">However, in </w:t>
      </w:r>
      <w:r w:rsidR="006B5645">
        <w:rPr>
          <w:rFonts w:ascii="Times New Roman" w:hAnsi="Times New Roman" w:cs="Times New Roman"/>
        </w:rPr>
        <w:t>this</w:t>
      </w:r>
      <w:r w:rsidR="006B5645" w:rsidRPr="005F26A1">
        <w:rPr>
          <w:rFonts w:ascii="Times New Roman" w:hAnsi="Times New Roman" w:cs="Times New Roman"/>
        </w:rPr>
        <w:t xml:space="preserve"> </w:t>
      </w:r>
      <w:r w:rsidR="00CA3F6C" w:rsidRPr="005F26A1">
        <w:rPr>
          <w:rFonts w:ascii="Times New Roman" w:hAnsi="Times New Roman" w:cs="Times New Roman"/>
        </w:rPr>
        <w:t xml:space="preserve">rapid </w:t>
      </w:r>
      <w:r w:rsidR="006B5645">
        <w:rPr>
          <w:rFonts w:ascii="Times New Roman" w:hAnsi="Times New Roman" w:cs="Times New Roman"/>
        </w:rPr>
        <w:t xml:space="preserve">(and forced) </w:t>
      </w:r>
      <w:r w:rsidR="00CA3F6C" w:rsidRPr="005F26A1">
        <w:rPr>
          <w:rFonts w:ascii="Times New Roman" w:hAnsi="Times New Roman" w:cs="Times New Roman"/>
        </w:rPr>
        <w:t>evolution</w:t>
      </w:r>
      <w:r w:rsidR="001C4314">
        <w:rPr>
          <w:rFonts w:ascii="Times New Roman" w:hAnsi="Times New Roman" w:cs="Times New Roman"/>
        </w:rPr>
        <w:t xml:space="preserve">, triggered by </w:t>
      </w:r>
      <w:r w:rsidR="006B5645">
        <w:rPr>
          <w:rFonts w:ascii="Times New Roman" w:hAnsi="Times New Roman" w:cs="Times New Roman"/>
        </w:rPr>
        <w:t xml:space="preserve">limited </w:t>
      </w:r>
      <w:r w:rsidR="001C4314">
        <w:rPr>
          <w:rFonts w:ascii="Times New Roman" w:hAnsi="Times New Roman" w:cs="Times New Roman"/>
        </w:rPr>
        <w:t>resource availability,</w:t>
      </w:r>
      <w:r w:rsidR="00CA3F6C" w:rsidRPr="005F26A1">
        <w:rPr>
          <w:rFonts w:ascii="Times New Roman" w:hAnsi="Times New Roman" w:cs="Times New Roman"/>
        </w:rPr>
        <w:t xml:space="preserve"> from a carnivorous to an omnivorous, almost herbivor</w:t>
      </w:r>
      <w:r w:rsidR="00AA536A">
        <w:rPr>
          <w:rFonts w:ascii="Times New Roman" w:hAnsi="Times New Roman" w:cs="Times New Roman"/>
        </w:rPr>
        <w:t>ous</w:t>
      </w:r>
      <w:r w:rsidR="00CA3F6C" w:rsidRPr="005F26A1">
        <w:rPr>
          <w:rFonts w:ascii="Times New Roman" w:hAnsi="Times New Roman" w:cs="Times New Roman"/>
        </w:rPr>
        <w:t xml:space="preserve"> status, aquaculture appears to have skipped the first, and most logical and effective step implemented by carnivorous animals in the wild when facing food shortages: adapting to a scavenger feeding pattern. Accordingly, </w:t>
      </w:r>
      <w:r w:rsidR="00686464">
        <w:rPr>
          <w:rFonts w:ascii="Times New Roman" w:hAnsi="Times New Roman" w:cs="Times New Roman"/>
        </w:rPr>
        <w:t xml:space="preserve">continuing to draw on this analogy, </w:t>
      </w:r>
      <w:r w:rsidR="00CA3F6C" w:rsidRPr="005F26A1">
        <w:rPr>
          <w:rFonts w:ascii="Times New Roman" w:hAnsi="Times New Roman" w:cs="Times New Roman"/>
        </w:rPr>
        <w:t>we believe there is merit in exploring the basic principles of scavenger ecology and their role in healthy ecosystems, so that this could be mimicked by aquaculture within contemporary food</w:t>
      </w:r>
      <w:r w:rsidR="00DB23E0">
        <w:rPr>
          <w:rFonts w:ascii="Times New Roman" w:hAnsi="Times New Roman" w:cs="Times New Roman"/>
        </w:rPr>
        <w:t xml:space="preserve"> production</w:t>
      </w:r>
      <w:r w:rsidR="00CA3F6C" w:rsidRPr="005F26A1">
        <w:rPr>
          <w:rFonts w:ascii="Times New Roman" w:hAnsi="Times New Roman" w:cs="Times New Roman"/>
        </w:rPr>
        <w:t xml:space="preserve"> systems.</w:t>
      </w:r>
      <w:r w:rsidR="00860E93">
        <w:rPr>
          <w:rFonts w:ascii="Times New Roman" w:hAnsi="Times New Roman" w:cs="Times New Roman"/>
        </w:rPr>
        <w:t xml:space="preserve"> </w:t>
      </w:r>
    </w:p>
    <w:p w14:paraId="1EEDBDD8" w14:textId="7A0B6A5C" w:rsidR="00CA3F6C" w:rsidRPr="005F26A1" w:rsidRDefault="00CA3F6C" w:rsidP="00EB5CC6">
      <w:pPr>
        <w:spacing w:line="360" w:lineRule="auto"/>
        <w:ind w:firstLine="720"/>
        <w:contextualSpacing/>
        <w:jc w:val="both"/>
        <w:rPr>
          <w:rFonts w:ascii="Times New Roman" w:hAnsi="Times New Roman" w:cs="Times New Roman"/>
        </w:rPr>
      </w:pPr>
      <w:r w:rsidRPr="005F26A1">
        <w:rPr>
          <w:rFonts w:ascii="Times New Roman" w:hAnsi="Times New Roman" w:cs="Times New Roman"/>
        </w:rPr>
        <w:t xml:space="preserve">In nature, scavengers are organisms that feed on </w:t>
      </w:r>
      <w:r w:rsidR="000C303B">
        <w:rPr>
          <w:rFonts w:ascii="Times New Roman" w:hAnsi="Times New Roman" w:cs="Times New Roman"/>
        </w:rPr>
        <w:t>decompos</w:t>
      </w:r>
      <w:r w:rsidRPr="005F26A1">
        <w:rPr>
          <w:rFonts w:ascii="Times New Roman" w:hAnsi="Times New Roman" w:cs="Times New Roman"/>
        </w:rPr>
        <w:t>ing organic matter</w:t>
      </w:r>
      <w:r w:rsidR="000C303B">
        <w:rPr>
          <w:rFonts w:ascii="Times New Roman" w:hAnsi="Times New Roman" w:cs="Times New Roman"/>
        </w:rPr>
        <w:t>, including dead or dying</w:t>
      </w:r>
      <w:r w:rsidRPr="005F26A1">
        <w:rPr>
          <w:rFonts w:ascii="Times New Roman" w:hAnsi="Times New Roman" w:cs="Times New Roman"/>
        </w:rPr>
        <w:t xml:space="preserve"> plants </w:t>
      </w:r>
      <w:r w:rsidR="000C303B">
        <w:rPr>
          <w:rFonts w:ascii="Times New Roman" w:hAnsi="Times New Roman" w:cs="Times New Roman"/>
        </w:rPr>
        <w:t>and</w:t>
      </w:r>
      <w:r w:rsidRPr="005F26A1">
        <w:rPr>
          <w:rFonts w:ascii="Times New Roman" w:hAnsi="Times New Roman" w:cs="Times New Roman"/>
        </w:rPr>
        <w:t xml:space="preserve"> animal carcasses. They include a suite of vertebrate and invertebrate species, and comprise an important, but often forgotten functional group in terrestrial and aquatic ecosystems</w:t>
      </w:r>
      <w:r w:rsidR="00300F24">
        <w:rPr>
          <w:rFonts w:ascii="Times New Roman" w:hAnsi="Times New Roman" w:cs="Times New Roman"/>
        </w:rPr>
        <w:t xml:space="preserve"> </w:t>
      </w:r>
      <w:r w:rsidR="00300F24">
        <w:rPr>
          <w:rFonts w:ascii="Times New Roman" w:hAnsi="Times New Roman" w:cs="Times New Roman"/>
        </w:rPr>
        <w:fldChar w:fldCharType="begin"/>
      </w:r>
      <w:r w:rsidR="00724221">
        <w:rPr>
          <w:rFonts w:ascii="Times New Roman" w:hAnsi="Times New Roman" w:cs="Times New Roman"/>
        </w:rPr>
        <w:instrText xml:space="preserve"> ADDIN ZOTERO_ITEM CSL_CITATION {"citationID":"a1qgt27lsuv","properties":{"formattedCitation":"\\super 87,88\\nosupersub{}","plainCitation":"87,88","noteIndex":0},"citationItems":[{"id":834,"uris":["http://zotero.org/groups/4669668/items/D3DDF34Z"],"itemData":{"id":834,"type":"article-journal","abstract":"1. Ecological processes are maintained in different environments by different species performing similar functional roles. Yet, little is known about the role of the environment in shaping insect biodiversity associated with a process that is ephemeral and patchy. 2. In this study, the mass loss of carrion in response to contrasting habitat types (grassland or tree) was quantified experimentally, as well as the presence, diversity and composition of insect assemblages. Differences in insect assemblages between these two habitats were also examined. 3. It was found that the presence of insects led to a doubling in mass loss, but that grassland or tree habitat type had no effect on this process. By contrast, habitat type had a significant effect on the composition of generalist ant and beetle assemblages, but not on specialist fly assemblages. Given the colonisation of insects, carrion mass loss was negatively associated with increasing evenness of fly assemblages and increasing ant abundance. Variation in fly assemblage composition was also found to correlate with variation in carrion mass loss. 4. This study highlights the major role of habitat type in shaping the composition of generalist insects at carrion, but the minor role in affecting specialist and highly vagile insects. This complements the authors' findings that insect colonisation of carrion was critical to accelerated mass loss, and that fly assemblages were responsible for variation in this process, regardless of habitat. The present study sheds new light on the contribution of insect biodiversity to decomposition in variable environments, with consequences for carrion food webs and nutrient cycling.","container-title":"Ecological Entomology","DOI":"10.1111/een.12395","ISSN":"1365-2311","issue":"3","language":"en","note":"number: 3\n_eprint: https://onlinelibrary.wiley.com/doi/pdf/10.1111/een.12395","page":"364-374","source":"Wiley Online Library","title":"Insect biodiversity meets ecosystem function: differential effects of habitat and insects on carrion decomposition","title-short":"Insect biodiversity meets ecosystem function","volume":"42","author":[{"family":"Barton","given":"Philip S."},{"family":"Evans","given":"Maldwyn J."}],"issued":{"date-parts":[["2017"]]}}},{"id":962,"uris":["http://zotero.org/groups/4669668/items/7V2MLULG"],"itemData":{"id":962,"type":"article-journal","abstract":"Recent advances in the ecology of food webs underscore the importance of detritus and indirect predator–prey effects. However, most research considers detritus as an invariable pool and predation as the only interaction between carnivores and prey. Carrion consumption, scavenging, is a type of detrital feeding that should have widespread consequences for the structure and stability of food webs. Providing access to high-quality resources, facultative scavenging is a ubiquitous and phylogenetically widespread strategy. In this review, we argue that scavenging is underestimated by 16-fold in food-web research, producing inflated predation rates and underestimated indirect effects. Furthermore, more energy is generally transferred per link via scavenging than predation. Thus, future food-web research should consider scavenging, especially in light of how major global changes can affect scavengers.","container-title":"Trends in Ecology &amp; Evolution","DOI":"10.1016/j.tree.2010.12.011","ISSN":"0169-5347","issue":"3","journalAbbreviation":"Trends in Ecology &amp; Evolution","language":"en","note":"number: 3","page":"129-135","source":"ScienceDirect","title":"Scavenging: how carnivores and carrion structure communities","title-short":"Scavenging","volume":"26","author":[{"family":"Wilson","given":"Erin E."},{"family":"Wolkovich","given":"Elizabeth M."}],"issued":{"date-parts":[["2011",3,1]]}}}],"schema":"https://github.com/citation-style-language/schema/raw/master/csl-citation.json"} </w:instrText>
      </w:r>
      <w:r w:rsidR="00300F24">
        <w:rPr>
          <w:rFonts w:ascii="Times New Roman" w:hAnsi="Times New Roman" w:cs="Times New Roman"/>
        </w:rPr>
        <w:fldChar w:fldCharType="separate"/>
      </w:r>
      <w:r w:rsidR="00724221" w:rsidRPr="00724221">
        <w:rPr>
          <w:rFonts w:ascii="Times New Roman" w:hAnsi="Times New Roman" w:cs="Times New Roman"/>
          <w:szCs w:val="24"/>
          <w:vertAlign w:val="superscript"/>
        </w:rPr>
        <w:t>87,88</w:t>
      </w:r>
      <w:r w:rsidR="00300F24">
        <w:rPr>
          <w:rFonts w:ascii="Times New Roman" w:hAnsi="Times New Roman" w:cs="Times New Roman"/>
        </w:rPr>
        <w:fldChar w:fldCharType="end"/>
      </w:r>
      <w:r w:rsidRPr="005F26A1">
        <w:rPr>
          <w:rFonts w:ascii="Times New Roman" w:hAnsi="Times New Roman" w:cs="Times New Roman"/>
        </w:rPr>
        <w:t xml:space="preserve">. Scavengers play a key role in intact ecosystems as “waste removalists”. Exclusion studies (whereby scavengers are prevented access to carcasses) have demonstrated that both vertebrate and insect scavenging can dramatically reduce carcasses persistence time in the environment </w:t>
      </w:r>
      <w:r w:rsidR="00300F24">
        <w:rPr>
          <w:rFonts w:ascii="Times New Roman" w:hAnsi="Times New Roman" w:cs="Times New Roman"/>
        </w:rPr>
        <w:fldChar w:fldCharType="begin"/>
      </w:r>
      <w:r w:rsidR="006A51D8">
        <w:rPr>
          <w:rFonts w:ascii="Times New Roman" w:hAnsi="Times New Roman" w:cs="Times New Roman"/>
        </w:rPr>
        <w:instrText xml:space="preserve"> ADDIN ZOTERO_ITEM CSL_CITATION {"citationID":"a2qlsdj329l","properties":{"formattedCitation":"\\super 87,89\\nosupersub{}","plainCitation":"87,89","noteIndex":0},"citationItems":[{"id":834,"uris":["http://zotero.org/groups/4669668/items/D3DDF34Z"],"itemData":{"id":834,"type":"article-journal","abstract":"1. Ecological processes are maintained in different environments by different species performing similar functional roles. Yet, little is known about the role of the environment in shaping insect biodiversity associated with a process that is ephemeral and patchy. 2. In this study, the mass loss of carrion in response to contrasting habitat types (grassland or tree) was quantified experimentally, as well as the presence, diversity and composition of insect assemblages. Differences in insect assemblages between these two habitats were also examined. 3. It was found that the presence of insects led to a doubling in mass loss, but that grassland or tree habitat type had no effect on this process. By contrast, habitat type had a significant effect on the composition of generalist ant and beetle assemblages, but not on specialist fly assemblages. Given the colonisation of insects, carrion mass loss was negatively associated with increasing evenness of fly assemblages and increasing ant abundance. Variation in fly assemblage composition was also found to correlate with variation in carrion mass loss. 4. This study highlights the major role of habitat type in shaping the composition of generalist insects at carrion, but the minor role in affecting specialist and highly vagile insects. This complements the authors' findings that insect colonisation of carrion was critical to accelerated mass loss, and that fly assemblages were responsible for variation in this process, regardless of habitat. The present study sheds new light on the contribution of insect biodiversity to decomposition in variable environments, with consequences for carrion food webs and nutrient cycling.","container-title":"Ecological Entomology","DOI":"10.1111/een.12395","ISSN":"1365-2311","issue":"3","language":"en","note":"number: 3\n_eprint: https://onlinelibrary.wiley.com/doi/pdf/10.1111/een.12395","page":"364-374","source":"Wiley Online Library","title":"Insect biodiversity meets ecosystem function: differential effects of habitat and insects on carrion decomposition","title-short":"Insect biodiversity meets ecosystem function","volume":"42","author":[{"family":"Barton","given":"Philip S."},{"family":"Evans","given":"Maldwyn J."}],"issued":{"date-parts":[["2017"]]}}},{"id":828,"uris":["http://zotero.org/groups/4669668/items/LUURQV7U"],"itemData":{"id":828,"type":"article-journal","abstract":"Vultures provide an essential ecosystem service through removal of carrion, but globally, many populations are collapsing and several species are threatened with extinction. Widespread declines in vulture populations could increase the availability of carrion to other organisms, but the ways facultative scavengers might respond to this increase have not been thoroughly explored. We aimed to determine whether facultative scavengers increase carrion consumption in the absence of vulture competition and whether they are capable of functionally replacing vultures in the removal of carrion biomass from the landscape. We experimentally excluded 65 rabbit carcasses from vultures during daylight hours and placed an additional 65 carcasses that were accessible to vultures in forested habitat in South Carolina, USA during summer (June–August). We used motion-activated cameras to compare carrion use by facultative scavenging species between the experimental and control carcasses. Scavenging by facultative scavengers did not increase in the absence of competition with vultures. We found no difference in scavenger presence between control carcasses and those from which vultures were excluded. Eighty percent of carcasses from which vultures were excluded were not scavenged by vertebrates, compared to 5% of carcasses that were accessible to vultures. At the end of the 7-day trials, there was a 10.1-fold increase in the number of experimental carcasses that were not fully scavenged compared to controls. Facultative scavengers did not functionally replace vultures during summer in our study. This finding may have been influenced by the time of the year in which the study took place, the duration of the trials, and the spacing of carcass sites. Our results suggest that under the warm and humid conditions of our study, facultative scavengers would not compensate for loss of vultures. Carcasses would persist longer in the environment and consumption of carrion would likely shift from vertebrates to decomposers. Such changes could have substantial implications for disease transmission, nutrient cycling, and ecosystem functioning.","container-title":"Ecology and Evolution","DOI":"10.1002/ece3.3840","ISSN":"2045-7758","issue":"5","language":"en","note":"number: 5\n_eprint: https://onlinelibrary.wiley.com/doi/pdf/10.1002/ece3.3840","page":"2518-2526","source":"Wiley Online Library","title":"Effects of vulture exclusion on carrion consumption by facultative scavengers","volume":"8","author":[{"family":"Hill","given":"Jacob E."},{"family":"DeVault","given":"Travis L."},{"family":"Beasley","given":"James C."},{"family":"Rhodes Jr","given":"Olin E."},{"family":"Belant","given":"Jerrold L."}],"issued":{"date-parts":[["2018"]]}}}],"schema":"https://github.com/citation-style-language/schema/raw/master/csl-citation.json"} </w:instrText>
      </w:r>
      <w:r w:rsidR="00300F24">
        <w:rPr>
          <w:rFonts w:ascii="Times New Roman" w:hAnsi="Times New Roman" w:cs="Times New Roman"/>
        </w:rPr>
        <w:fldChar w:fldCharType="separate"/>
      </w:r>
      <w:r w:rsidR="006A51D8" w:rsidRPr="006A51D8">
        <w:rPr>
          <w:rFonts w:ascii="Times New Roman" w:hAnsi="Times New Roman" w:cs="Times New Roman"/>
          <w:szCs w:val="24"/>
          <w:vertAlign w:val="superscript"/>
        </w:rPr>
        <w:t>87,89</w:t>
      </w:r>
      <w:r w:rsidR="00300F24">
        <w:rPr>
          <w:rFonts w:ascii="Times New Roman" w:hAnsi="Times New Roman" w:cs="Times New Roman"/>
        </w:rPr>
        <w:fldChar w:fldCharType="end"/>
      </w:r>
      <w:r w:rsidRPr="005F26A1">
        <w:rPr>
          <w:rFonts w:ascii="Times New Roman" w:hAnsi="Times New Roman" w:cs="Times New Roman"/>
        </w:rPr>
        <w:t xml:space="preserve">. By removing </w:t>
      </w:r>
      <w:r w:rsidR="000C303B">
        <w:rPr>
          <w:rFonts w:ascii="Times New Roman" w:hAnsi="Times New Roman" w:cs="Times New Roman"/>
        </w:rPr>
        <w:t>decompos</w:t>
      </w:r>
      <w:r w:rsidRPr="005F26A1">
        <w:rPr>
          <w:rFonts w:ascii="Times New Roman" w:hAnsi="Times New Roman" w:cs="Times New Roman"/>
        </w:rPr>
        <w:t xml:space="preserve">ing organic matter scavengers fulfil an important ecosystem function, reducing disease spread that can result from microorganisms associated with decomposition </w:t>
      </w:r>
      <w:r w:rsidR="00F54086">
        <w:rPr>
          <w:rFonts w:ascii="Times New Roman" w:hAnsi="Times New Roman" w:cs="Times New Roman"/>
        </w:rPr>
        <w:fldChar w:fldCharType="begin"/>
      </w:r>
      <w:r w:rsidR="00367C10">
        <w:rPr>
          <w:rFonts w:ascii="Times New Roman" w:hAnsi="Times New Roman" w:cs="Times New Roman"/>
        </w:rPr>
        <w:instrText xml:space="preserve"> ADDIN ZOTERO_ITEM CSL_CITATION {"citationID":"ad619sgsa6","properties":{"formattedCitation":"\\super 90\\nosupersub{}","plainCitation":"90","noteIndex":0},"citationItems":[{"id":987,"uris":["http://zotero.org/groups/4669668/items/BUIQT7TQ"],"itemData":{"id":987,"type":"chapter","abstract":"There is increasing concern over the exposure of scavenger communities to disease, the effects of disease on scavengers, and the epidemiological role that scavenging plays in disease dynamics. With some exceptions, research does not reliably conclude the role of different species of scavengers, carrion and the environment in the maintenance and transmission of diseases and, consequently, proactive and reactive management actions are taken without solid background. Here, we identify important themes that are central in current and future research on the topic. (1) Exploring the exposure of scavenger communities to disease will subsequently guide specific research on the potential role of scavenging in the spread of disease. (2) In order to clarify the relevance of scavenging for pathogens to spread and persist, we need to assess whether scavenging is limiting disease spread or contrary, i.e. knowing if each species or functional group of scavengers act as a vector or reservoir facilitating disease spread. (3) Do human related factors result in increased risk for disease transmission through scavenging? (4) Determining how management of scavenging could impact pathogen transmission and which specific disposal regimes are most beneficial to scavengers. This management should guarantee the food supply to scavengers, while reducing the exposure of susceptible animals to potentially infectious material. This chapter exemplifies that scavenging of potentially infectious material may pose a confounding duality between the removal of infectious materials by consumption and potential dispersion of infectious material in the environment. Assessing this challenge requires changes in human activities and close collaboration among wildlife ecologists, veterinarians and public health professionals.","collection-title":"Wildlife Research Monographs","container-title":"Carrion Ecology and Management","event-place":"Cham","ISBN":"978-3-030-16501-7","language":"en","note":"DOI: 10.1007/978-3-030-16501-7_7","number-of-volumes":"2","page":"161-182","publisher":"Springer International Publishing","publisher-place":"Cham","source":"Springer Link","title":"The Role of Scavenging in Disease Dynamics","URL":"https://doi.org/10.1007/978-3-030-16501-7_7","author":[{"family":"Vicente","given":"Joaquín"},{"family":"VerCauteren","given":"Kurt"}],"editor":[{"family":"Olea","given":"Pedro P."},{"family":"Mateo-Tomás","given":"Patricia"},{"family":"Sánchez-Zapata","given":"José Antonio"}],"accessed":{"date-parts":[["2022",4,23]]},"issued":{"date-parts":[["2019"]]}}}],"schema":"https://github.com/citation-style-language/schema/raw/master/csl-citation.json"} </w:instrText>
      </w:r>
      <w:r w:rsidR="00F54086">
        <w:rPr>
          <w:rFonts w:ascii="Times New Roman" w:hAnsi="Times New Roman" w:cs="Times New Roman"/>
        </w:rPr>
        <w:fldChar w:fldCharType="separate"/>
      </w:r>
      <w:r w:rsidR="00367C10" w:rsidRPr="00367C10">
        <w:rPr>
          <w:rFonts w:ascii="Times New Roman" w:hAnsi="Times New Roman" w:cs="Times New Roman"/>
          <w:szCs w:val="24"/>
          <w:vertAlign w:val="superscript"/>
        </w:rPr>
        <w:t>90</w:t>
      </w:r>
      <w:r w:rsidR="00F54086">
        <w:rPr>
          <w:rFonts w:ascii="Times New Roman" w:hAnsi="Times New Roman" w:cs="Times New Roman"/>
        </w:rPr>
        <w:fldChar w:fldCharType="end"/>
      </w:r>
      <w:r w:rsidRPr="005F26A1">
        <w:rPr>
          <w:rFonts w:ascii="Times New Roman" w:hAnsi="Times New Roman" w:cs="Times New Roman"/>
        </w:rPr>
        <w:t xml:space="preserve">. Scavenging also contributes to energy dispersal and </w:t>
      </w:r>
      <w:r w:rsidRPr="005F26A1">
        <w:rPr>
          <w:rFonts w:ascii="Times New Roman" w:hAnsi="Times New Roman" w:cs="Times New Roman"/>
        </w:rPr>
        <w:lastRenderedPageBreak/>
        <w:t>accelerated nutrient cycling throughout environments (e.g.</w:t>
      </w:r>
      <w:r w:rsidR="00570D3A">
        <w:rPr>
          <w:rFonts w:ascii="Times New Roman" w:hAnsi="Times New Roman" w:cs="Times New Roman"/>
        </w:rPr>
        <w:t>,</w:t>
      </w:r>
      <w:r w:rsidRPr="005F26A1">
        <w:rPr>
          <w:rFonts w:ascii="Times New Roman" w:hAnsi="Times New Roman" w:cs="Times New Roman"/>
        </w:rPr>
        <w:t xml:space="preserve"> through their feces;</w:t>
      </w:r>
      <w:r w:rsidR="008D2D38">
        <w:rPr>
          <w:rFonts w:ascii="Times New Roman" w:hAnsi="Times New Roman" w:cs="Times New Roman"/>
        </w:rPr>
        <w:t xml:space="preserve"> </w:t>
      </w:r>
      <w:r w:rsidR="008D2D38">
        <w:rPr>
          <w:rFonts w:ascii="Times New Roman" w:hAnsi="Times New Roman" w:cs="Times New Roman"/>
        </w:rPr>
        <w:fldChar w:fldCharType="begin"/>
      </w:r>
      <w:r w:rsidR="00400F31">
        <w:rPr>
          <w:rFonts w:ascii="Times New Roman" w:hAnsi="Times New Roman" w:cs="Times New Roman"/>
        </w:rPr>
        <w:instrText xml:space="preserve"> ADDIN ZOTERO_ITEM CSL_CITATION {"citationID":"abbh4hualk","properties":{"formattedCitation":"\\super 91\\nosupersub{}","plainCitation":"91","noteIndex":0},"citationItems":[{"id":966,"uris":["http://zotero.org/groups/4669668/items/6Q5HD6DM"],"itemData":{"id":966,"type":"article-journal","abstract":"The extent to which vertebrate carnivores shift facultatively between predation and scavenging has recently been emphasized. Potentially, all carnivores have to do is wait until animals succumb to the debilitating effects of advancing age. However, this may be insufficient because of intense competition among other scavengers and decomposers for food. Moreover, the availability of carcasses of animals dying from causes other than predation varies seasonally, so carnivores must be adapted to exploit various sources of food through the seasonal cycle. We explore how mammalian carnivores cope with seasonality in carrion supply and in prey vulnerability to predation. We focus mainly on large carnivores and ungulates, and compare especially ecological communities in northern temperate and African savanna ecosystems. When carrion is scarce, carnivores can (i) take advantage of temporarily vulnerable segments of prey populations, such as newborn young, heavily pregnant females and males distracted or debilitated by reproduction, (ii) switch to carcass remains left by or stolen from other carnivores, or (iii) exploit small animals and non-animal food sources. Relationships between carnivores tending towards predation or scavenging can be both competitive and facilitative. Top carnivores may provide a supply of carcasses throughout the year, which subsidizes scavengers when carrion availability from other sources is low. Alterations of seasonal patterns due to anthropogenic environmental change may enhance the role of top carnivores as buffers of anthropogenic perturbations of natural processes. Megaherbivores, which are not normally regarded as prey but can provide huge carrion subsidies, may strongly influence interspecific interactions between carnivores and the proportion of food flowing towards scavenging relative to predation. Relationships among carnivores based on hunting vs. scavenging strategies are flexible and subject to changes in response to circumstances. Their functional complexity is relevant for assessing the effects of global change on ecosystem function.","container-title":"Mammal Review","DOI":"10.1111/mam.12005","ISSN":"1365-2907","issue":"1","language":"en","note":"number: 1\n_eprint: https://onlinelibrary.wiley.com/doi/pdf/10.1111/mam.12005","page":"44-55","source":"Wiley Online Library","title":"Facultative predation and scavenging by mammalian carnivores: seasonal, regional and intra-guild comparisons","title-short":"Facultative predation and scavenging by mammalian carnivores","volume":"44","author":[{"family":"Pereira","given":"Laura M."},{"family":"Owen-Smith","given":"Norman"},{"family":"Moleón","given":"Marcos"}],"issued":{"date-parts":[["2014"]]}}}],"schema":"https://github.com/citation-style-language/schema/raw/master/csl-citation.json"} </w:instrText>
      </w:r>
      <w:r w:rsidR="008D2D38">
        <w:rPr>
          <w:rFonts w:ascii="Times New Roman" w:hAnsi="Times New Roman" w:cs="Times New Roman"/>
        </w:rPr>
        <w:fldChar w:fldCharType="separate"/>
      </w:r>
      <w:r w:rsidR="00400F31" w:rsidRPr="00400F31">
        <w:rPr>
          <w:rFonts w:ascii="Times New Roman" w:hAnsi="Times New Roman" w:cs="Times New Roman"/>
          <w:szCs w:val="24"/>
          <w:vertAlign w:val="superscript"/>
        </w:rPr>
        <w:t>91</w:t>
      </w:r>
      <w:r w:rsidR="008D2D38">
        <w:rPr>
          <w:rFonts w:ascii="Times New Roman" w:hAnsi="Times New Roman" w:cs="Times New Roman"/>
        </w:rPr>
        <w:fldChar w:fldCharType="end"/>
      </w:r>
      <w:r w:rsidRPr="005F26A1">
        <w:rPr>
          <w:rFonts w:ascii="Times New Roman" w:hAnsi="Times New Roman" w:cs="Times New Roman"/>
        </w:rPr>
        <w:t xml:space="preserve">). By dispersing nutrients across multiple trophic levels, scavengers help to </w:t>
      </w:r>
      <w:r w:rsidR="00570D3A" w:rsidRPr="005F26A1">
        <w:rPr>
          <w:rFonts w:ascii="Times New Roman" w:hAnsi="Times New Roman" w:cs="Times New Roman"/>
        </w:rPr>
        <w:t>stabilize</w:t>
      </w:r>
      <w:r w:rsidRPr="005F26A1">
        <w:rPr>
          <w:rFonts w:ascii="Times New Roman" w:hAnsi="Times New Roman" w:cs="Times New Roman"/>
        </w:rPr>
        <w:t xml:space="preserve"> food</w:t>
      </w:r>
      <w:r w:rsidR="00C53F91">
        <w:rPr>
          <w:rFonts w:ascii="Times New Roman" w:hAnsi="Times New Roman" w:cs="Times New Roman"/>
        </w:rPr>
        <w:t xml:space="preserve"> </w:t>
      </w:r>
      <w:r w:rsidRPr="005F26A1">
        <w:rPr>
          <w:rFonts w:ascii="Times New Roman" w:hAnsi="Times New Roman" w:cs="Times New Roman"/>
        </w:rPr>
        <w:t xml:space="preserve">webs, sometimes </w:t>
      </w:r>
      <w:r w:rsidR="00ED7FAD">
        <w:rPr>
          <w:rFonts w:ascii="Times New Roman" w:hAnsi="Times New Roman" w:cs="Times New Roman"/>
        </w:rPr>
        <w:t xml:space="preserve">to a greater extent </w:t>
      </w:r>
      <w:proofErr w:type="spellStart"/>
      <w:r w:rsidR="00ED7FAD">
        <w:rPr>
          <w:rFonts w:ascii="Times New Roman" w:hAnsi="Times New Roman" w:cs="Times New Roman"/>
        </w:rPr>
        <w:t>than</w:t>
      </w:r>
      <w:r w:rsidRPr="005F26A1">
        <w:rPr>
          <w:rFonts w:ascii="Times New Roman" w:hAnsi="Times New Roman" w:cs="Times New Roman"/>
        </w:rPr>
        <w:t>that</w:t>
      </w:r>
      <w:proofErr w:type="spellEnd"/>
      <w:r w:rsidRPr="005F26A1">
        <w:rPr>
          <w:rFonts w:ascii="Times New Roman" w:hAnsi="Times New Roman" w:cs="Times New Roman"/>
        </w:rPr>
        <w:t xml:space="preserve"> of predators </w:t>
      </w:r>
      <w:r w:rsidR="008F027F">
        <w:rPr>
          <w:rFonts w:ascii="Times New Roman" w:hAnsi="Times New Roman" w:cs="Times New Roman"/>
        </w:rPr>
        <w:fldChar w:fldCharType="begin"/>
      </w:r>
      <w:r w:rsidR="0028591A">
        <w:rPr>
          <w:rFonts w:ascii="Times New Roman" w:hAnsi="Times New Roman" w:cs="Times New Roman"/>
        </w:rPr>
        <w:instrText xml:space="preserve"> ADDIN ZOTERO_ITEM CSL_CITATION {"citationID":"a2elarorgo7","properties":{"formattedCitation":"\\super 88\\nosupersub{}","plainCitation":"88","noteIndex":0},"citationItems":[{"id":962,"uris":["http://zotero.org/groups/4669668/items/7V2MLULG"],"itemData":{"id":962,"type":"article-journal","abstract":"Recent advances in the ecology of food webs underscore the importance of detritus and indirect predator–prey effects. However, most research considers detritus as an invariable pool and predation as the only interaction between carnivores and prey. Carrion consumption, scavenging, is a type of detrital feeding that should have widespread consequences for the structure and stability of food webs. Providing access to high-quality resources, facultative scavenging is a ubiquitous and phylogenetically widespread strategy. In this review, we argue that scavenging is underestimated by 16-fold in food-web research, producing inflated predation rates and underestimated indirect effects. Furthermore, more energy is generally transferred per link via scavenging than predation. Thus, future food-web research should consider scavenging, especially in light of how major global changes can affect scavengers.","container-title":"Trends in Ecology &amp; Evolution","DOI":"10.1016/j.tree.2010.12.011","ISSN":"0169-5347","issue":"3","journalAbbreviation":"Trends in Ecology &amp; Evolution","language":"en","note":"number: 3","page":"129-135","source":"ScienceDirect","title":"Scavenging: how carnivores and carrion structure communities","title-short":"Scavenging","volume":"26","author":[{"family":"Wilson","given":"Erin E."},{"family":"Wolkovich","given":"Elizabeth M."}],"issued":{"date-parts":[["2011",3,1]]}}}],"schema":"https://github.com/citation-style-language/schema/raw/master/csl-citation.json"} </w:instrText>
      </w:r>
      <w:r w:rsidR="008F027F">
        <w:rPr>
          <w:rFonts w:ascii="Times New Roman" w:hAnsi="Times New Roman" w:cs="Times New Roman"/>
        </w:rPr>
        <w:fldChar w:fldCharType="separate"/>
      </w:r>
      <w:r w:rsidR="0028591A" w:rsidRPr="0028591A">
        <w:rPr>
          <w:rFonts w:ascii="Times New Roman" w:hAnsi="Times New Roman" w:cs="Times New Roman"/>
          <w:szCs w:val="24"/>
          <w:vertAlign w:val="superscript"/>
        </w:rPr>
        <w:t>88</w:t>
      </w:r>
      <w:r w:rsidR="008F027F">
        <w:rPr>
          <w:rFonts w:ascii="Times New Roman" w:hAnsi="Times New Roman" w:cs="Times New Roman"/>
        </w:rPr>
        <w:fldChar w:fldCharType="end"/>
      </w:r>
      <w:r w:rsidRPr="005F26A1">
        <w:rPr>
          <w:rFonts w:ascii="Times New Roman" w:hAnsi="Times New Roman" w:cs="Times New Roman"/>
        </w:rPr>
        <w:t xml:space="preserve">. Despite the apparent functional importance, however, scavenging has been overlooked in many conventional food webs, and studies have downplayed or failed to consider the dietary importance of </w:t>
      </w:r>
      <w:r w:rsidR="000C303B">
        <w:rPr>
          <w:rFonts w:ascii="Times New Roman" w:hAnsi="Times New Roman" w:cs="Times New Roman"/>
        </w:rPr>
        <w:t>decompos</w:t>
      </w:r>
      <w:r w:rsidRPr="005F26A1">
        <w:rPr>
          <w:rFonts w:ascii="Times New Roman" w:hAnsi="Times New Roman" w:cs="Times New Roman"/>
        </w:rPr>
        <w:t xml:space="preserve">ing organic matter for many species. </w:t>
      </w:r>
    </w:p>
    <w:p w14:paraId="2198C237" w14:textId="132047B7" w:rsidR="00CA3F6C" w:rsidRPr="003E08A1" w:rsidRDefault="00CA3F6C" w:rsidP="00522623">
      <w:pPr>
        <w:spacing w:line="360" w:lineRule="auto"/>
        <w:ind w:firstLine="720"/>
        <w:contextualSpacing/>
        <w:jc w:val="both"/>
        <w:rPr>
          <w:rFonts w:ascii="Times New Roman" w:hAnsi="Times New Roman" w:cs="Times New Roman"/>
        </w:rPr>
      </w:pPr>
      <w:r w:rsidRPr="003E08A1">
        <w:rPr>
          <w:rFonts w:ascii="Times New Roman" w:hAnsi="Times New Roman" w:cs="Times New Roman"/>
        </w:rPr>
        <w:t xml:space="preserve">While some animals have evolved as “obligate scavengers” that rely entirely on </w:t>
      </w:r>
      <w:r w:rsidR="000C303B">
        <w:rPr>
          <w:rFonts w:ascii="Times New Roman" w:hAnsi="Times New Roman" w:cs="Times New Roman"/>
        </w:rPr>
        <w:t>decompos</w:t>
      </w:r>
      <w:r w:rsidRPr="003E08A1">
        <w:rPr>
          <w:rFonts w:ascii="Times New Roman" w:hAnsi="Times New Roman" w:cs="Times New Roman"/>
        </w:rPr>
        <w:t xml:space="preserve">ing organic matter, such as old and new world vultures (Families: Cathartidae and Accipitridae) and burying beetles (Sub-family: </w:t>
      </w:r>
      <w:proofErr w:type="spellStart"/>
      <w:r w:rsidRPr="003E08A1">
        <w:rPr>
          <w:rFonts w:ascii="Times New Roman" w:hAnsi="Times New Roman" w:cs="Times New Roman"/>
        </w:rPr>
        <w:t>Nicrophorinae</w:t>
      </w:r>
      <w:proofErr w:type="spellEnd"/>
      <w:r w:rsidRPr="003E08A1">
        <w:rPr>
          <w:rFonts w:ascii="Times New Roman" w:hAnsi="Times New Roman" w:cs="Times New Roman"/>
        </w:rPr>
        <w:t xml:space="preserve">), almost all carnivorous and many omnivorous organisms engage in </w:t>
      </w:r>
      <w:r w:rsidR="009222A4">
        <w:rPr>
          <w:rFonts w:ascii="Times New Roman" w:hAnsi="Times New Roman" w:cs="Times New Roman"/>
        </w:rPr>
        <w:t xml:space="preserve">opportunistic </w:t>
      </w:r>
      <w:r w:rsidRPr="003E08A1">
        <w:rPr>
          <w:rFonts w:ascii="Times New Roman" w:hAnsi="Times New Roman" w:cs="Times New Roman"/>
        </w:rPr>
        <w:t xml:space="preserve">scavenging </w:t>
      </w:r>
      <w:proofErr w:type="spellStart"/>
      <w:r w:rsidRPr="003E08A1">
        <w:rPr>
          <w:rFonts w:ascii="Times New Roman" w:hAnsi="Times New Roman" w:cs="Times New Roman"/>
        </w:rPr>
        <w:t>behaviour</w:t>
      </w:r>
      <w:proofErr w:type="spellEnd"/>
      <w:r w:rsidRPr="003E08A1">
        <w:rPr>
          <w:rFonts w:ascii="Times New Roman" w:hAnsi="Times New Roman" w:cs="Times New Roman"/>
        </w:rPr>
        <w:t xml:space="preserve"> </w:t>
      </w:r>
      <w:r w:rsidR="00291EFF" w:rsidRPr="003E08A1">
        <w:rPr>
          <w:rFonts w:ascii="Times New Roman" w:hAnsi="Times New Roman" w:cs="Times New Roman"/>
        </w:rPr>
        <w:fldChar w:fldCharType="begin"/>
      </w:r>
      <w:r w:rsidR="00A14FB7">
        <w:rPr>
          <w:rFonts w:ascii="Times New Roman" w:hAnsi="Times New Roman" w:cs="Times New Roman"/>
        </w:rPr>
        <w:instrText xml:space="preserve"> ADDIN ZOTERO_ITEM CSL_CITATION {"citationID":"a1rjntv7lcd","properties":{"formattedCitation":"\\super 92\\nosupersub{}","plainCitation":"92","noteIndex":0},"citationItems":[{"id":830,"uris":["http://zotero.org/groups/4669668/items/T25DT8ML"],"itemData":{"id":830,"type":"article-journal","container-title":"Oikos","issue":"2","note":"number: 2\nISBN: 0030-1299\npublisher: Wiley Online Library","page":"225-234","title":"Scavenging by vertebrates: behavioral, ecological, and evolutionary perspectives on an important energy transfer pathway in terrestrial ecosystems","volume":"102","author":[{"family":"DeVault","given":"Travis L."},{"family":"Rhodes","given":"Jr"},{"family":"Shivik","given":"John A."}],"issued":{"date-parts":[["2003"]]}}}],"schema":"https://github.com/citation-style-language/schema/raw/master/csl-citation.json"} </w:instrText>
      </w:r>
      <w:r w:rsidR="00291EFF" w:rsidRPr="003E08A1">
        <w:rPr>
          <w:rFonts w:ascii="Times New Roman" w:hAnsi="Times New Roman" w:cs="Times New Roman"/>
        </w:rPr>
        <w:fldChar w:fldCharType="separate"/>
      </w:r>
      <w:r w:rsidR="00A14FB7" w:rsidRPr="00A14FB7">
        <w:rPr>
          <w:rFonts w:ascii="Times New Roman" w:hAnsi="Times New Roman" w:cs="Times New Roman"/>
          <w:szCs w:val="24"/>
          <w:vertAlign w:val="superscript"/>
        </w:rPr>
        <w:t>92</w:t>
      </w:r>
      <w:r w:rsidR="00291EFF" w:rsidRPr="003E08A1">
        <w:rPr>
          <w:rFonts w:ascii="Times New Roman" w:hAnsi="Times New Roman" w:cs="Times New Roman"/>
        </w:rPr>
        <w:fldChar w:fldCharType="end"/>
      </w:r>
      <w:r w:rsidR="00291EFF" w:rsidRPr="003E08A1">
        <w:rPr>
          <w:rFonts w:ascii="Times New Roman" w:hAnsi="Times New Roman" w:cs="Times New Roman"/>
        </w:rPr>
        <w:t>.</w:t>
      </w:r>
      <w:r w:rsidRPr="003E08A1">
        <w:rPr>
          <w:rFonts w:ascii="Times New Roman" w:hAnsi="Times New Roman" w:cs="Times New Roman"/>
        </w:rPr>
        <w:t xml:space="preserve"> These species, known as “facultative scavengers”, differ in terms of what and how often they scavenge. Their </w:t>
      </w:r>
      <w:r w:rsidR="006B74A9" w:rsidRPr="003E08A1">
        <w:rPr>
          <w:rFonts w:ascii="Times New Roman" w:hAnsi="Times New Roman" w:cs="Times New Roman"/>
        </w:rPr>
        <w:t xml:space="preserve">tendency </w:t>
      </w:r>
      <w:r w:rsidRPr="003E08A1">
        <w:rPr>
          <w:rFonts w:ascii="Times New Roman" w:hAnsi="Times New Roman" w:cs="Times New Roman"/>
        </w:rPr>
        <w:t>to scavenge also differs across varying environments and conditions. For example, scavenging propensity may be increased by elevated carcass availability following mass mortality events</w:t>
      </w:r>
      <w:r w:rsidR="007A06F8" w:rsidRPr="003E08A1">
        <w:rPr>
          <w:rFonts w:ascii="Times New Roman" w:hAnsi="Times New Roman" w:cs="Times New Roman"/>
        </w:rPr>
        <w:t xml:space="preserve">, such as after </w:t>
      </w:r>
      <w:r w:rsidRPr="003E08A1">
        <w:rPr>
          <w:rFonts w:ascii="Times New Roman" w:hAnsi="Times New Roman" w:cs="Times New Roman"/>
        </w:rPr>
        <w:t>wildebeest and salmon migration</w:t>
      </w:r>
      <w:r w:rsidR="007A06F8" w:rsidRPr="003E08A1">
        <w:rPr>
          <w:rFonts w:ascii="Times New Roman" w:hAnsi="Times New Roman" w:cs="Times New Roman"/>
        </w:rPr>
        <w:t xml:space="preserve"> events</w:t>
      </w:r>
      <w:r w:rsidRPr="003E08A1">
        <w:rPr>
          <w:rFonts w:ascii="Times New Roman" w:hAnsi="Times New Roman" w:cs="Times New Roman"/>
        </w:rPr>
        <w:t xml:space="preserve"> </w:t>
      </w:r>
      <w:r w:rsidR="00677712" w:rsidRPr="003E08A1">
        <w:rPr>
          <w:rFonts w:ascii="Times New Roman" w:hAnsi="Times New Roman" w:cs="Times New Roman"/>
        </w:rPr>
        <w:fldChar w:fldCharType="begin"/>
      </w:r>
      <w:r w:rsidR="001D28CE">
        <w:rPr>
          <w:rFonts w:ascii="Times New Roman" w:hAnsi="Times New Roman" w:cs="Times New Roman"/>
        </w:rPr>
        <w:instrText xml:space="preserve"> ADDIN ZOTERO_ITEM CSL_CITATION {"citationID":"a1349onfma5","properties":{"formattedCitation":"\\super 93,94\\nosupersub{}","plainCitation":"93,94","noteIndex":0},"citationItems":[{"id":833,"uris":["http://zotero.org/groups/4669668/items/4RWXMMSA"],"itemData":{"id":833,"type":"article-journal","container-title":"Canadian Journal of Zoology","DOI":"10.1139/z97-102","ISSN":"0008-4301","issue":"5","journalAbbreviation":"Can. J. Zool.","note":"number: 5\npublisher: NRC Research Press","page":"803-811","source":"cdnsciencepub.com (Atypon)","title":"Seasonal changes in diets of coastal and riverine mink: the role of spawning Pacific salmon","title-short":"Seasonal changes in diets of coastal and riverine mink","volume":"75","author":[{"family":"Ben-David","given":"M."},{"family":"Hanley","given":"T. A."},{"family":"Klein","given":"D. R."},{"family":"Schell","given":"D. M."}],"issued":{"date-parts":[["1997",5]]}}},{"id":829,"uris":["http://zotero.org/groups/4669668/items/A5R4IMIU"],"itemData":{"id":829,"type":"article-journal","abstract":"Scavengers play an important role in nutrient recycling and disease control, and this role may be particularly critical after mass mortality events, such as those caused by epidemics, culling, or natural disasters. Current work on scavenger ecology has focused on use of single carcasses, but behaviors are likely to be different at mass mortality events, in which high resource abundance can prolong the spatial and temporal availability of carcasses. Little is currently known about how scavengers respond to large die-offs and understanding scavenger use and succession patterns at mass mortality events has important implications for disease ecology. We used photographic time series and river-side surveys of scavengers using carcasses to investigate scavenger use and succession on wildebeest carcasses that resulted from annual mass drownings in the Mara River, Kenya. In addition, we used telemetry data for tagged avian scavengers to assess individual use of mass drownings. Density of avian scavengers per carcass was almost two orders of magnitude lower at mass drownings than has been documented previously for single carcasses on land. Scavengers demonstrated patterns of temporal resource partitioning, with large-bodied avian scavengers more common initially, followed by small-bodied avian scavengers, and then by insectivorous birds and non-avian scavengers. Avian scavengers also differed in daily activity patterns, with marabou storks more common in the morning and late afternoon and white-backed and Rüppell’s vultures more common mid-day. Telemetry data indicated that approximately half of tagged vultures used mass drowning events but only spent a small proportion of their time there, suggesting that competition still plays an important role in scavenger dynamics at mass mortality events and that the rewards of such abundant resources may be offset by the risk of foraging in the river. Further research on scavenger behavior during mass mortality events is needed to better understand the role of scavengers in decomposition of carcasses and disease control during these events.","container-title":"Ecosphere","DOI":"10.1002/ecs2.3326","ISSN":"2150-8925","issue":"1","language":"en","note":"number: 1\n_eprint: https://onlinelibrary.wiley.com/doi/pdf/10.1002/ecs2.3326","page":"e03326","source":"Wiley Online Library","title":"Temporal resource partitioning of wildebeest carcasses by scavengers after riverine mass mortality events","volume":"12","author":[{"family":"Handler","given":"Katherine S."},{"family":"Subalusky","given":"Amanda L."},{"family":"Kendall","given":"Corinne J."},{"family":"Dutton","given":"Christopher L."},{"family":"Rosi","given":"Emma J."},{"family":"Post","given":"David M."}],"issued":{"date-parts":[["2021"]]}}}],"schema":"https://github.com/citation-style-language/schema/raw/master/csl-citation.json"} </w:instrText>
      </w:r>
      <w:r w:rsidR="00677712" w:rsidRPr="003E08A1">
        <w:rPr>
          <w:rFonts w:ascii="Times New Roman" w:hAnsi="Times New Roman" w:cs="Times New Roman"/>
        </w:rPr>
        <w:fldChar w:fldCharType="separate"/>
      </w:r>
      <w:r w:rsidR="001D28CE" w:rsidRPr="001D28CE">
        <w:rPr>
          <w:rFonts w:ascii="Times New Roman" w:hAnsi="Times New Roman" w:cs="Times New Roman"/>
          <w:szCs w:val="24"/>
          <w:vertAlign w:val="superscript"/>
        </w:rPr>
        <w:t>93,94</w:t>
      </w:r>
      <w:r w:rsidR="00677712" w:rsidRPr="003E08A1">
        <w:rPr>
          <w:rFonts w:ascii="Times New Roman" w:hAnsi="Times New Roman" w:cs="Times New Roman"/>
        </w:rPr>
        <w:fldChar w:fldCharType="end"/>
      </w:r>
      <w:r w:rsidRPr="003E08A1">
        <w:rPr>
          <w:rFonts w:ascii="Times New Roman" w:hAnsi="Times New Roman" w:cs="Times New Roman"/>
        </w:rPr>
        <w:t xml:space="preserve">, or due to widespread anthropogenic hunting </w:t>
      </w:r>
      <w:r w:rsidRPr="001D73B1">
        <w:rPr>
          <w:rFonts w:ascii="Times New Roman" w:hAnsi="Times New Roman" w:cs="Times New Roman"/>
        </w:rPr>
        <w:t xml:space="preserve">practices </w:t>
      </w:r>
      <w:r w:rsidR="002E38BF" w:rsidRPr="001D73B1">
        <w:rPr>
          <w:rFonts w:ascii="Times New Roman" w:hAnsi="Times New Roman" w:cs="Times New Roman"/>
        </w:rPr>
        <w:fldChar w:fldCharType="begin"/>
      </w:r>
      <w:r w:rsidR="00E2450F">
        <w:rPr>
          <w:rFonts w:ascii="Times New Roman" w:hAnsi="Times New Roman" w:cs="Times New Roman"/>
        </w:rPr>
        <w:instrText xml:space="preserve"> ADDIN ZOTERO_ITEM CSL_CITATION {"citationID":"a1pn5h4h8b9","properties":{"formattedCitation":"\\super 95\\nosupersub{}","plainCitation":"95","noteIndex":0},"citationItems":[{"id":827,"uris":["http://zotero.org/groups/4669668/items/CGU47GEQ"],"itemData":{"id":827,"type":"article-journal","abstract":"Aim Anthropogenic food subsidies are increasingly present in ecosystems, but their impacts remain poorly understood. Big game hunting is a growing activity that annually subsidizes ecosystems with tonnes of carrion world-wide. By feeding on carrion, scavengers support key ecosystem functions and services, becoming key vectors to transfer the impacts of human-mediated food subsidies across ecosystems. We characterize and compare the structure of vertebrate communities feeding on these subsidies, namely big game hunting remains, at a global scale. Location Global. Methods We collected data from a countrywide field study in Spain and broadened it up to nine regions in four continents by reviewing scientific literature. We analysed the structure of the scavenger communities considering species composition, richness and scavenging frequency. Results Seventy-nine vertebrate species, 19% globally threatened, scavenged food subsidies from big game hunting world-wide. Scavenger richness (2.0–11.0% of vertebrates/region) positively correlated with total vertebrate richness. Although scavenger communities at hunting remains varied among regions, we describe a general structural pattern. Birds and mammals dominate consumption, with birds scavenging twice more frequently than mammals – but more mammal species scavenge compared to birds. Generalists dominate scavenging globally, especially where the presence of obligate scavengers (vultures) and apex predators (e.g. wolves, hyenas, eagles) is low. Main conclusions Anthropogenic food from hunting subsidizes many vertebrate species from different trophic levels and conservation status and thus is expected to affect from populations to ecosystems. Obligate scavengers and apex predators seem to play a key role structuring the scavenger community through top-down mechanisms. The general structure of scavenger communities we describe here provides a benchmark for comparisons of subsidized and non-subsidized communities. More data on the spatio-temporal availability of anthropogenic food subsidies and their consumption by scavengers world-wide are needed to efficiently preserve biodiversity, and the associated ecological functions and services, in increasingly subsidized ecosystems.","container-title":"Diversity and Distributions","DOI":"10.1111/ddi.12330","ISSN":"1472-4642","issue":"8","language":"en","note":"number: 8\n_eprint: https://onlinelibrary.wiley.com/doi/pdf/10.1111/ddi.12330","page":"913-924","source":"Wiley Online Library","title":"From regional to global patterns in vertebrate scavenger communities subsidized by big game hunting","volume":"21","author":[{"family":"Mateo-Tomás","given":"Patricia"},{"family":"Olea","given":"Pedro P."},{"family":"Moleón","given":"Marcos"},{"family":"Vicente","given":"Joaquín"},{"family":"Botella","given":"Francisco"},{"family":"Selva","given":"Nuria"},{"family":"Viñuela","given":"Javier"},{"family":"Sánchez-Zapata","given":"José Antonio"}],"issued":{"date-parts":[["2015"]]}}}],"schema":"https://github.com/citation-style-language/schema/raw/master/csl-citation.json"} </w:instrText>
      </w:r>
      <w:r w:rsidR="002E38BF" w:rsidRPr="001D73B1">
        <w:rPr>
          <w:rFonts w:ascii="Times New Roman" w:hAnsi="Times New Roman" w:cs="Times New Roman"/>
        </w:rPr>
        <w:fldChar w:fldCharType="separate"/>
      </w:r>
      <w:r w:rsidR="00E2450F" w:rsidRPr="00E2450F">
        <w:rPr>
          <w:rFonts w:ascii="Times New Roman" w:hAnsi="Times New Roman" w:cs="Times New Roman"/>
          <w:szCs w:val="24"/>
          <w:vertAlign w:val="superscript"/>
        </w:rPr>
        <w:t>95</w:t>
      </w:r>
      <w:r w:rsidR="002E38BF" w:rsidRPr="001D73B1">
        <w:rPr>
          <w:rFonts w:ascii="Times New Roman" w:hAnsi="Times New Roman" w:cs="Times New Roman"/>
        </w:rPr>
        <w:fldChar w:fldCharType="end"/>
      </w:r>
      <w:r w:rsidRPr="003E08A1">
        <w:rPr>
          <w:rFonts w:ascii="Times New Roman" w:hAnsi="Times New Roman" w:cs="Times New Roman"/>
        </w:rPr>
        <w:t>. Animals may also place greater reliance on scavenging when alternative resources are low</w:t>
      </w:r>
      <w:r w:rsidR="009327A0" w:rsidRPr="003E08A1">
        <w:rPr>
          <w:rFonts w:ascii="Times New Roman" w:hAnsi="Times New Roman" w:cs="Times New Roman"/>
        </w:rPr>
        <w:t xml:space="preserve"> in availability</w:t>
      </w:r>
      <w:r w:rsidRPr="003E08A1">
        <w:rPr>
          <w:rFonts w:ascii="Times New Roman" w:hAnsi="Times New Roman" w:cs="Times New Roman"/>
        </w:rPr>
        <w:t xml:space="preserve">, </w:t>
      </w:r>
      <w:r w:rsidR="009327A0" w:rsidRPr="003E08A1">
        <w:rPr>
          <w:rFonts w:ascii="Times New Roman" w:hAnsi="Times New Roman" w:cs="Times New Roman"/>
        </w:rPr>
        <w:t>e.g.,</w:t>
      </w:r>
      <w:r w:rsidRPr="003E08A1">
        <w:rPr>
          <w:rFonts w:ascii="Times New Roman" w:hAnsi="Times New Roman" w:cs="Times New Roman"/>
        </w:rPr>
        <w:t xml:space="preserve"> during severe winters when small mammal numbers decline </w:t>
      </w:r>
      <w:r w:rsidR="00B8652C" w:rsidRPr="003E08A1">
        <w:rPr>
          <w:rFonts w:ascii="Times New Roman" w:hAnsi="Times New Roman" w:cs="Times New Roman"/>
        </w:rPr>
        <w:fldChar w:fldCharType="begin"/>
      </w:r>
      <w:r w:rsidR="007A5902">
        <w:rPr>
          <w:rFonts w:ascii="Times New Roman" w:hAnsi="Times New Roman" w:cs="Times New Roman"/>
        </w:rPr>
        <w:instrText xml:space="preserve"> ADDIN ZOTERO_ITEM CSL_CITATION {"citationID":"a4d81gbml","properties":{"formattedCitation":"\\super 96\\nosupersub{}","plainCitation":"96","noteIndex":0},"citationItems":[{"id":986,"uris":["http://zotero.org/groups/4669668/items/Z7B8KMYJ"],"itemData":{"id":986,"type":"article-journal","abstract":"Feeding ecology of red fox Vulpes vulpes was studied by scat analysis and snow-tracking m primeval temperate forest and adjacent meadows during four years (1985/86-1988/89) Winters varied from mild to unusually severe Main food resources for foxes were rodents of open meadows and river valleys (root vole Microtus oeconomus). forest rodents (bank vole Clethrionomys glareolus and yellow-necked mouse Apodemus flavicollis), hare Lepus europaetis and carcasses of wild boar Sus scrofa and red deer Cervus elaphus either killed by wolves and lynx or that had died from inanition Composition of fox diet m four cold seasons (autumn-winter) was compared to the abundance of main food resources Prolonged, sharp decline of Microtus was followed by only a twofold decrease of its share in fox diet Foxes continued to prey on declining Microlus The changes in the proportions of forest rodents and hare in fox diet clearly followed the fluctuations in numbers of these two prey Carcasses were alternative, buffer food to foxes and were taken considerably when Microlus and other prey were in low numbers or poorly accessible The depth of snow was the most important factor restricting foxes access to rodents Snow-tracking revealed that foxes dwelling in the forest widely used adjacent open areas In open meadows foxes mainly hunted for rodents, while in the forest the most significant foraging activity was scavenging Seasonal analysis of fox diet revealed that consumption of Microlus by foxes was stable throughout the year (37-47% of biomass consumed) Bank vole significantly contributed to fox diet in autumn, and hare in summer only Scavenging was most pronounced in winter and spring when carcasses made up 30% of biomass taken","container-title":"Ecography","DOI":"10.1111/j.1600-0587.1992.tb00027.x","ISSN":"1600-0587","issue":"2","language":"en","note":"number: 2\n_eprint: https://onlinelibrary.wiley.com/doi/pdf/10.1111/j.1600-0587.1992.tb00027.x","page":"212-220","source":"Wiley Online Library","title":"Foraging and diet of the red fox Vulpes vulpes in relation to variable food resources in Biatowieza National Park, Poland","volume":"15","author":[{"family":"Jędrzejewski","given":"Wlodzimierz"},{"family":"Jędrzejewska","given":"Bogumila"}],"issued":{"date-parts":[["1992"]]}}}],"schema":"https://github.com/citation-style-language/schema/raw/master/csl-citation.json"} </w:instrText>
      </w:r>
      <w:r w:rsidR="00B8652C" w:rsidRPr="003E08A1">
        <w:rPr>
          <w:rFonts w:ascii="Times New Roman" w:hAnsi="Times New Roman" w:cs="Times New Roman"/>
        </w:rPr>
        <w:fldChar w:fldCharType="separate"/>
      </w:r>
      <w:r w:rsidR="007A5902" w:rsidRPr="007A5902">
        <w:rPr>
          <w:rFonts w:ascii="Times New Roman" w:hAnsi="Times New Roman" w:cs="Times New Roman"/>
          <w:szCs w:val="24"/>
          <w:vertAlign w:val="superscript"/>
        </w:rPr>
        <w:t>96</w:t>
      </w:r>
      <w:r w:rsidR="00B8652C" w:rsidRPr="003E08A1">
        <w:rPr>
          <w:rFonts w:ascii="Times New Roman" w:hAnsi="Times New Roman" w:cs="Times New Roman"/>
        </w:rPr>
        <w:fldChar w:fldCharType="end"/>
      </w:r>
      <w:r w:rsidRPr="003E08A1">
        <w:rPr>
          <w:rFonts w:ascii="Times New Roman" w:hAnsi="Times New Roman" w:cs="Times New Roman"/>
        </w:rPr>
        <w:t xml:space="preserve">. Periods of low food resources can even encourage scavenging </w:t>
      </w:r>
      <w:proofErr w:type="spellStart"/>
      <w:r w:rsidRPr="003E08A1">
        <w:rPr>
          <w:rFonts w:ascii="Times New Roman" w:hAnsi="Times New Roman" w:cs="Times New Roman"/>
        </w:rPr>
        <w:t>behaviour</w:t>
      </w:r>
      <w:proofErr w:type="spellEnd"/>
      <w:r w:rsidRPr="003E08A1">
        <w:rPr>
          <w:rFonts w:ascii="Times New Roman" w:hAnsi="Times New Roman" w:cs="Times New Roman"/>
        </w:rPr>
        <w:t xml:space="preserve"> by </w:t>
      </w:r>
      <w:r w:rsidR="00254857">
        <w:rPr>
          <w:rFonts w:ascii="Times New Roman" w:hAnsi="Times New Roman" w:cs="Times New Roman"/>
        </w:rPr>
        <w:t xml:space="preserve">otherwise </w:t>
      </w:r>
      <w:r w:rsidRPr="003E08A1">
        <w:rPr>
          <w:rFonts w:ascii="Times New Roman" w:hAnsi="Times New Roman" w:cs="Times New Roman"/>
        </w:rPr>
        <w:t>herbivorous animals like the snowshoe hare (</w:t>
      </w:r>
      <w:r w:rsidRPr="008D58D0">
        <w:rPr>
          <w:rFonts w:ascii="Times New Roman" w:hAnsi="Times New Roman" w:cs="Times New Roman"/>
          <w:i/>
          <w:iCs/>
        </w:rPr>
        <w:t>Lepus americanus</w:t>
      </w:r>
      <w:r w:rsidRPr="003E08A1">
        <w:rPr>
          <w:rFonts w:ascii="Times New Roman" w:hAnsi="Times New Roman" w:cs="Times New Roman"/>
        </w:rPr>
        <w:t xml:space="preserve">) </w:t>
      </w:r>
      <w:r w:rsidR="009E19C2" w:rsidRPr="003E08A1">
        <w:rPr>
          <w:rFonts w:ascii="Times New Roman" w:hAnsi="Times New Roman" w:cs="Times New Roman"/>
        </w:rPr>
        <w:fldChar w:fldCharType="begin"/>
      </w:r>
      <w:r w:rsidR="00FD020A">
        <w:rPr>
          <w:rFonts w:ascii="Times New Roman" w:hAnsi="Times New Roman" w:cs="Times New Roman"/>
        </w:rPr>
        <w:instrText xml:space="preserve"> ADDIN ZOTERO_ITEM CSL_CITATION {"citationID":"a16ttthkq9s","properties":{"formattedCitation":"\\super 97\\nosupersub{}","plainCitation":"97","noteIndex":0},"citationItems":[{"id":1021,"uris":["http://zotero.org/groups/4669668/items/2D3MZXZ6"],"itemData":{"id":1021,"type":"article-journal","abstract":"Carrion consumption by herbivores is increasingly being observed in nature, however, we lack detailed analyses of its occurrence for numerous species. Here, we quantify incidences of scavenging by Snowshoe Hares (Lepus americanus) in Yukon, Canada between January 2015 and July 2017. Hares scavenged 12.4% of carcasses deployed and were more likely to scavenge during the winter. Hares consumed meat from a variety of different species, including Canada Lynx (Lynx canadensis), as well as the carcasses of hares. On one occasion, an individual repeatedly ingested feathers from a Spruce Grouse (Falcipennis canadensis) carcass. Scavenging by hares may result from food or nutrient limitations during winter months and appears relatively common when compared to other lagomorph species.","container-title":"Northwestern Naturalist","ISSN":"1051-1733","issue":"3","note":"number: 3\npublisher: Society for Northwestern Vertebrate Biology","page":"232-235","source":"JSTOR","title":"Scavenging by Snowshoe hares (Lepus americanus) in Yukon, Canada","volume":"99","author":[{"family":"Peers","given":"Michael JL"},{"family":"Majchrzak","given":"Yasmine N"},{"family":"Konkolics","given":"Sean M"},{"family":"Boonstra","given":"Rudy"},{"family":"Boutin","given":"Stan"}],"issued":{"date-parts":[["2018"]]}}}],"schema":"https://github.com/citation-style-language/schema/raw/master/csl-citation.json"} </w:instrText>
      </w:r>
      <w:r w:rsidR="009E19C2" w:rsidRPr="003E08A1">
        <w:rPr>
          <w:rFonts w:ascii="Times New Roman" w:hAnsi="Times New Roman" w:cs="Times New Roman"/>
        </w:rPr>
        <w:fldChar w:fldCharType="separate"/>
      </w:r>
      <w:r w:rsidR="00FD020A" w:rsidRPr="00FD020A">
        <w:rPr>
          <w:rFonts w:ascii="Times New Roman" w:hAnsi="Times New Roman" w:cs="Times New Roman"/>
          <w:szCs w:val="24"/>
          <w:vertAlign w:val="superscript"/>
        </w:rPr>
        <w:t>97</w:t>
      </w:r>
      <w:r w:rsidR="009E19C2" w:rsidRPr="003E08A1">
        <w:rPr>
          <w:rFonts w:ascii="Times New Roman" w:hAnsi="Times New Roman" w:cs="Times New Roman"/>
        </w:rPr>
        <w:fldChar w:fldCharType="end"/>
      </w:r>
      <w:r w:rsidRPr="003E08A1">
        <w:rPr>
          <w:rFonts w:ascii="Times New Roman" w:hAnsi="Times New Roman" w:cs="Times New Roman"/>
        </w:rPr>
        <w:t>.</w:t>
      </w:r>
    </w:p>
    <w:p w14:paraId="2180846B" w14:textId="481E5D89" w:rsidR="00CE1229" w:rsidRPr="00CE1229" w:rsidRDefault="000C303B" w:rsidP="006A5929">
      <w:pPr>
        <w:spacing w:line="360" w:lineRule="auto"/>
        <w:ind w:firstLine="720"/>
        <w:contextualSpacing/>
        <w:jc w:val="both"/>
        <w:rPr>
          <w:rFonts w:ascii="Times New Roman" w:hAnsi="Times New Roman" w:cs="Times New Roman"/>
        </w:rPr>
      </w:pPr>
      <w:r>
        <w:rPr>
          <w:rFonts w:ascii="Times New Roman" w:hAnsi="Times New Roman" w:cs="Times New Roman"/>
        </w:rPr>
        <w:t>Scavengers serve an important role, linking otherwise disconnected food webs and helping to maintain nutrient and energy cycles in functioning ecosystems.  Aquaculture could serve a similar role in the food production ‘ecosystem’,</w:t>
      </w:r>
      <w:r w:rsidR="00C2313E">
        <w:rPr>
          <w:rFonts w:ascii="Times New Roman" w:hAnsi="Times New Roman" w:cs="Times New Roman"/>
        </w:rPr>
        <w:t xml:space="preserve"> opportunistically ‘scavenging’ raw materials from various agricultural and food processing sectors and reintegrating non-food grade resources into the production of </w:t>
      </w:r>
      <w:proofErr w:type="gramStart"/>
      <w:r w:rsidR="00C2313E">
        <w:rPr>
          <w:rFonts w:ascii="Times New Roman" w:hAnsi="Times New Roman" w:cs="Times New Roman"/>
        </w:rPr>
        <w:t>high quality</w:t>
      </w:r>
      <w:proofErr w:type="gramEnd"/>
      <w:r w:rsidR="00C2313E">
        <w:rPr>
          <w:rFonts w:ascii="Times New Roman" w:hAnsi="Times New Roman" w:cs="Times New Roman"/>
        </w:rPr>
        <w:t xml:space="preserve"> human foods.  T</w:t>
      </w:r>
      <w:r>
        <w:rPr>
          <w:rFonts w:ascii="Times New Roman" w:hAnsi="Times New Roman" w:cs="Times New Roman"/>
        </w:rPr>
        <w:t>hus</w:t>
      </w:r>
      <w:r w:rsidR="00584A81">
        <w:rPr>
          <w:rFonts w:ascii="Times New Roman" w:hAnsi="Times New Roman" w:cs="Times New Roman"/>
        </w:rPr>
        <w:t>,</w:t>
      </w:r>
      <w:r>
        <w:rPr>
          <w:rFonts w:ascii="Times New Roman" w:hAnsi="Times New Roman" w:cs="Times New Roman"/>
        </w:rPr>
        <w:t xml:space="preserve"> applying what is known about scavengers and similarly </w:t>
      </w:r>
      <w:r w:rsidR="00E92270">
        <w:rPr>
          <w:rFonts w:ascii="Times New Roman" w:hAnsi="Times New Roman" w:cs="Times New Roman"/>
        </w:rPr>
        <w:t>opportunistic</w:t>
      </w:r>
      <w:r>
        <w:rPr>
          <w:rFonts w:ascii="Times New Roman" w:hAnsi="Times New Roman" w:cs="Times New Roman"/>
        </w:rPr>
        <w:t xml:space="preserve"> species might provide insight </w:t>
      </w:r>
      <w:proofErr w:type="gramStart"/>
      <w:r>
        <w:rPr>
          <w:rFonts w:ascii="Times New Roman" w:hAnsi="Times New Roman" w:cs="Times New Roman"/>
        </w:rPr>
        <w:t>in to</w:t>
      </w:r>
      <w:proofErr w:type="gramEnd"/>
      <w:r>
        <w:rPr>
          <w:rFonts w:ascii="Times New Roman" w:hAnsi="Times New Roman" w:cs="Times New Roman"/>
        </w:rPr>
        <w:t xml:space="preserve"> how aquaculture might be best-positioned to improve the circularity of global food systems.  </w:t>
      </w:r>
      <w:r w:rsidR="007958DC" w:rsidRPr="003E08A1">
        <w:rPr>
          <w:rFonts w:ascii="Times New Roman" w:hAnsi="Times New Roman" w:cs="Times New Roman"/>
        </w:rPr>
        <w:t>Embracing the principal of</w:t>
      </w:r>
      <w:r w:rsidR="00254857">
        <w:rPr>
          <w:rFonts w:ascii="Times New Roman" w:hAnsi="Times New Roman" w:cs="Times New Roman"/>
        </w:rPr>
        <w:t xml:space="preserve"> opportunistic</w:t>
      </w:r>
      <w:r w:rsidR="007958DC" w:rsidRPr="003E08A1">
        <w:rPr>
          <w:rFonts w:ascii="Times New Roman" w:hAnsi="Times New Roman" w:cs="Times New Roman"/>
        </w:rPr>
        <w:t xml:space="preserve"> scavenging by utilization of </w:t>
      </w:r>
      <w:r w:rsidR="00D8050F">
        <w:rPr>
          <w:rFonts w:ascii="Times New Roman" w:hAnsi="Times New Roman" w:cs="Times New Roman"/>
        </w:rPr>
        <w:t>non-food grade and otherwise underutilized</w:t>
      </w:r>
      <w:r w:rsidR="00D8050F" w:rsidRPr="003E08A1">
        <w:rPr>
          <w:rFonts w:ascii="Times New Roman" w:hAnsi="Times New Roman" w:cs="Times New Roman"/>
        </w:rPr>
        <w:t xml:space="preserve"> </w:t>
      </w:r>
      <w:r w:rsidR="007958DC" w:rsidRPr="003E08A1">
        <w:rPr>
          <w:rFonts w:ascii="Times New Roman" w:hAnsi="Times New Roman" w:cs="Times New Roman"/>
        </w:rPr>
        <w:t xml:space="preserve">products </w:t>
      </w:r>
      <w:r w:rsidR="001A669E">
        <w:rPr>
          <w:rFonts w:ascii="Times New Roman" w:hAnsi="Times New Roman" w:cs="Times New Roman"/>
        </w:rPr>
        <w:t xml:space="preserve">and </w:t>
      </w:r>
      <w:r w:rsidR="007958DC" w:rsidRPr="003E08A1">
        <w:rPr>
          <w:rFonts w:ascii="Times New Roman" w:hAnsi="Times New Roman" w:cs="Times New Roman"/>
        </w:rPr>
        <w:t>acting as ‘waste removalists’ would serve well since most high value aquaculture species are carnivores. The sourcing of raw materials possessing superior nutritional qualities compared to plants and co-products would have more efficacy in the food chain.</w:t>
      </w:r>
      <w:r w:rsidR="00554D06" w:rsidRPr="00554D06">
        <w:t xml:space="preserve"> </w:t>
      </w:r>
      <w:r w:rsidR="00CE6476" w:rsidRPr="00CE1229">
        <w:rPr>
          <w:rFonts w:ascii="Times New Roman" w:hAnsi="Times New Roman" w:cs="Times New Roman"/>
        </w:rPr>
        <w:t xml:space="preserve">However, this will open to important considerations with respect to what </w:t>
      </w:r>
      <w:r w:rsidR="00D8050F">
        <w:rPr>
          <w:rFonts w:ascii="Times New Roman" w:hAnsi="Times New Roman" w:cs="Times New Roman"/>
        </w:rPr>
        <w:t>feed</w:t>
      </w:r>
      <w:r w:rsidR="00D8050F" w:rsidRPr="00CE1229">
        <w:rPr>
          <w:rFonts w:ascii="Times New Roman" w:hAnsi="Times New Roman" w:cs="Times New Roman"/>
        </w:rPr>
        <w:t xml:space="preserve"> </w:t>
      </w:r>
      <w:r w:rsidR="00CE6476" w:rsidRPr="00CE1229">
        <w:rPr>
          <w:rFonts w:ascii="Times New Roman" w:hAnsi="Times New Roman" w:cs="Times New Roman"/>
        </w:rPr>
        <w:t>can be used and how.</w:t>
      </w:r>
      <w:r w:rsidR="006A5929">
        <w:rPr>
          <w:rFonts w:ascii="Times New Roman" w:hAnsi="Times New Roman" w:cs="Times New Roman"/>
        </w:rPr>
        <w:t xml:space="preserve"> </w:t>
      </w:r>
      <w:r w:rsidR="00554D06" w:rsidRPr="00554D06">
        <w:rPr>
          <w:rFonts w:ascii="Times New Roman" w:hAnsi="Times New Roman" w:cs="Times New Roman"/>
        </w:rPr>
        <w:t xml:space="preserve">Learning from the knowledge of scavenger ecology, we know that the quality of the </w:t>
      </w:r>
      <w:r>
        <w:rPr>
          <w:rFonts w:ascii="Times New Roman" w:hAnsi="Times New Roman" w:cs="Times New Roman"/>
        </w:rPr>
        <w:t>decompos</w:t>
      </w:r>
      <w:r w:rsidR="00554D06" w:rsidRPr="00554D06">
        <w:rPr>
          <w:rFonts w:ascii="Times New Roman" w:hAnsi="Times New Roman" w:cs="Times New Roman"/>
        </w:rPr>
        <w:t>ing organic matter will further dictate whether organisms feed preferentially on it. Nutrient composition, as well as size and condition</w:t>
      </w:r>
      <w:r w:rsidR="007E16CF">
        <w:rPr>
          <w:rFonts w:ascii="Times New Roman" w:hAnsi="Times New Roman" w:cs="Times New Roman"/>
        </w:rPr>
        <w:t>,</w:t>
      </w:r>
      <w:r w:rsidR="00554D06" w:rsidRPr="00554D06">
        <w:rPr>
          <w:rFonts w:ascii="Times New Roman" w:hAnsi="Times New Roman" w:cs="Times New Roman"/>
        </w:rPr>
        <w:t xml:space="preserve"> are important factors dictating scavenger community structure and scavenging activity</w:t>
      </w:r>
      <w:r w:rsidR="00033BE6">
        <w:rPr>
          <w:rFonts w:ascii="Times New Roman" w:hAnsi="Times New Roman" w:cs="Times New Roman"/>
        </w:rPr>
        <w:t xml:space="preserve"> </w:t>
      </w:r>
      <w:r w:rsidR="00033BE6">
        <w:rPr>
          <w:rFonts w:ascii="Times New Roman" w:hAnsi="Times New Roman" w:cs="Times New Roman"/>
        </w:rPr>
        <w:fldChar w:fldCharType="begin"/>
      </w:r>
      <w:r w:rsidR="0065234A">
        <w:rPr>
          <w:rFonts w:ascii="Times New Roman" w:hAnsi="Times New Roman" w:cs="Times New Roman"/>
        </w:rPr>
        <w:instrText xml:space="preserve"> ADDIN ZOTERO_ITEM CSL_CITATION {"citationID":"a1kii6fuvai","properties":{"formattedCitation":"\\super 98,99\\nosupersub{}","plainCitation":"98,99","noteIndex":0},"citationItems":[{"id":832,"uris":["http://zotero.org/groups/4669668/items/SLXRLVGS"],"itemData":{"id":832,"type":"article-journal","abstract":"A dead mammal (i.e. cadaver) is a high quality resource (narrow carbon:nitrogen ratio, high water content) that releases an intense, localised pulse of carbon and nutrients into the soil upon decomposition. Despite the fact that as much as 5,000 kg of cadaver can be introduced to a square kilometre of terrestrial ecosystem each year, cadaver decomposition remains a neglected microsere. Here we review the processes associated with the introduction of cadaver-derived carbon and nutrients into soil from forensic and ecological settings to show that cadaver decomposition can have a greater, albeit localised, effect on belowground ecology than plant and faecal resources. Cadaveric materials are rapidly introduced to belowground floral and faunal communities, which results in the formation of a highly concentrated island of fertility, or cadaver decomposition island (CDI). CDIs are associated with increased soil microbial biomass, microbial activity (C mineralisation) and nematode abundance. Each CDI is an ephemeral natural disturbance that, in addition to releasing energy and nutrients to the wider ecosystem, acts as a hub by receiving these materials in the form of dead insects, exuvia and puparia, faecal matter (from scavengers, grazers and predators) and feathers (from avian scavengers and predators). As such, CDIs contribute to landscape heterogeneity. Furthermore, CDIs are a specialised habitat for a number of flies, beetles and pioneer vegetation, which enhances biodiversity in terrestrial ecosystems.","container-title":"Naturwissenschaften","DOI":"10.1007/s00114-006-0159-1","ISSN":"1432-1904","issue":"1","journalAbbreviation":"Naturwissenschaften","language":"en","note":"number: 1","page":"12-24","source":"Springer Link","title":"Cadaver decomposition in terrestrial ecosystems","volume":"94","author":[{"family":"Carter","given":"David O."},{"family":"Yellowlees","given":"David"},{"family":"Tibbett","given":"Mark"}],"issued":{"date-parts":[["2007",1,1]]}}},{"id":198,"uris":["http://zotero.org/users/9431846/items/IME8MGM9"],"itemData":{"id":198,"type":"article-journal","abstract":"The particle size of the food resource strongly determines the structure and dynamics of food webs. However, the ecological implications of carcass size variation for scavenging networks structure and functioning have been largely overlooked. Here we investigate differences in scavenging patterns due to carcass size in a complex vertebrate scavenger community, Hluhluwe-iMfolozi Park, South Africa, while taking into account seasonality. We monitored the consumption of three types of experimental carcasses: ‘small’ (&lt; 10 kg), ‘medium’ (10–100 kg) and ‘large’ (&gt; 100 kg). We employed general lineal models to explore the influence of carcass size on 1) scavenging network structure (scavenger species richness per carcass) and 2) functioning (carcass detection time, consumption time, consumption rate and percentage of carrion consumed). We also tested whether the structure of the scavenging network of each carcass size was nested, i.e. whether the scavenging assemblage in species-poor carcasses was a subset of the assemblage consuming species-rich carcasses. We found strong evidence indicating that carcass size is a major factor governing the associated scavenger assemblage. Scavenger species richness per carcass and carcass consumption time and rate increased with carcass size, while carcass detection time and percentage of carrion biomass consumed were negatively related to carcass size. Strikingly, most of the carrion biomass was consumed by facultative scavengers, represented by large mammalian carnivores, rather than by obligate scavengers (i.e. vultures). Scavenging network nestedness tended to be higher at larger carcasses, and nestedness was sensitive to the removal of the most connected species in the network (spotted hyena) rather than vultures. When comparing scavenging and predation assemblages, crucial size-dependent differences emerge. Also, we identified a traditionally ignored mechanism by which hunting large prey could be relatively less profitable for predators, namely the costs associated with competition from scavengers and decomposers.","container-title":"Oikos","DOI":"10.1111/oik.02222","ISSN":"1600-0706","issue":"10","language":"en","note":"_eprint: https://onlinelibrary.wiley.com/doi/pdf/10.1111/oik.02222","page":"1391-1403","source":"Wiley Online Library","title":"Carcass size shapes the structure and functioning of an African scavenging assemblage","volume":"124","author":[{"family":"Moleón","given":"Marcos"},{"family":"Sánchez-Zapata","given":"José A."},{"family":"Sebastián-González","given":"Esther"},{"family":"Owen-Smith","given":"Norman"}],"issued":{"date-parts":[["2015"]]}}}],"schema":"https://github.com/citation-style-language/schema/raw/master/csl-citation.json"} </w:instrText>
      </w:r>
      <w:r w:rsidR="00033BE6">
        <w:rPr>
          <w:rFonts w:ascii="Times New Roman" w:hAnsi="Times New Roman" w:cs="Times New Roman"/>
        </w:rPr>
        <w:fldChar w:fldCharType="separate"/>
      </w:r>
      <w:r w:rsidR="0065234A" w:rsidRPr="0065234A">
        <w:rPr>
          <w:rFonts w:ascii="Times New Roman" w:hAnsi="Times New Roman" w:cs="Times New Roman"/>
          <w:szCs w:val="24"/>
          <w:vertAlign w:val="superscript"/>
        </w:rPr>
        <w:t>98,99</w:t>
      </w:r>
      <w:r w:rsidR="00033BE6">
        <w:rPr>
          <w:rFonts w:ascii="Times New Roman" w:hAnsi="Times New Roman" w:cs="Times New Roman"/>
        </w:rPr>
        <w:fldChar w:fldCharType="end"/>
      </w:r>
      <w:r w:rsidR="00554D06" w:rsidRPr="00554D06">
        <w:rPr>
          <w:rFonts w:ascii="Times New Roman" w:hAnsi="Times New Roman" w:cs="Times New Roman"/>
        </w:rPr>
        <w:t xml:space="preserve">. </w:t>
      </w:r>
      <w:r w:rsidR="00E92270">
        <w:rPr>
          <w:rFonts w:ascii="Times New Roman" w:hAnsi="Times New Roman" w:cs="Times New Roman"/>
        </w:rPr>
        <w:t>F</w:t>
      </w:r>
      <w:r w:rsidR="00554D06" w:rsidRPr="00554D06">
        <w:rPr>
          <w:rFonts w:ascii="Times New Roman" w:hAnsi="Times New Roman" w:cs="Times New Roman"/>
        </w:rPr>
        <w:t xml:space="preserve">or aquaculture, the quality of the organic biomass available will dictate whether it could be </w:t>
      </w:r>
      <w:proofErr w:type="spellStart"/>
      <w:r w:rsidR="00554D06" w:rsidRPr="00554D06">
        <w:rPr>
          <w:rFonts w:ascii="Times New Roman" w:hAnsi="Times New Roman" w:cs="Times New Roman"/>
        </w:rPr>
        <w:t>utilised</w:t>
      </w:r>
      <w:proofErr w:type="spellEnd"/>
      <w:r w:rsidR="00554D06" w:rsidRPr="00554D06">
        <w:rPr>
          <w:rFonts w:ascii="Times New Roman" w:hAnsi="Times New Roman" w:cs="Times New Roman"/>
        </w:rPr>
        <w:t xml:space="preserve"> in aquafeed, as is</w:t>
      </w:r>
      <w:r w:rsidR="00E92270">
        <w:rPr>
          <w:rFonts w:ascii="Times New Roman" w:hAnsi="Times New Roman" w:cs="Times New Roman"/>
        </w:rPr>
        <w:t xml:space="preserve"> or</w:t>
      </w:r>
      <w:r w:rsidR="00554D06" w:rsidRPr="00554D06">
        <w:rPr>
          <w:rFonts w:ascii="Times New Roman" w:hAnsi="Times New Roman" w:cs="Times New Roman"/>
        </w:rPr>
        <w:t xml:space="preserve"> after some form of processing.</w:t>
      </w:r>
      <w:r w:rsidR="00706AB1">
        <w:rPr>
          <w:rFonts w:ascii="Times New Roman" w:hAnsi="Times New Roman" w:cs="Times New Roman"/>
        </w:rPr>
        <w:t xml:space="preserve"> </w:t>
      </w:r>
      <w:r w:rsidR="00CE1229" w:rsidRPr="00CE1229">
        <w:rPr>
          <w:rFonts w:ascii="Times New Roman" w:hAnsi="Times New Roman" w:cs="Times New Roman"/>
        </w:rPr>
        <w:t xml:space="preserve">Further, continuing the observation of knowledge from scavenger ecology, it is known that certain species may scavenge exclusively during earlier or later decomposition stages, or avoid particular types of </w:t>
      </w:r>
      <w:r>
        <w:rPr>
          <w:rFonts w:ascii="Times New Roman" w:hAnsi="Times New Roman" w:cs="Times New Roman"/>
        </w:rPr>
        <w:t>decompos</w:t>
      </w:r>
      <w:r w:rsidR="00CE1229" w:rsidRPr="00CE1229">
        <w:rPr>
          <w:rFonts w:ascii="Times New Roman" w:hAnsi="Times New Roman" w:cs="Times New Roman"/>
        </w:rPr>
        <w:t>ing organic matter, such as the carcasses of carnivorous species</w:t>
      </w:r>
      <w:r w:rsidR="00EA1CC7">
        <w:rPr>
          <w:rFonts w:ascii="Times New Roman" w:hAnsi="Times New Roman" w:cs="Times New Roman"/>
        </w:rPr>
        <w:t xml:space="preserve"> </w:t>
      </w:r>
      <w:r w:rsidR="008B10B9">
        <w:rPr>
          <w:rFonts w:ascii="Times New Roman" w:hAnsi="Times New Roman" w:cs="Times New Roman"/>
        </w:rPr>
        <w:fldChar w:fldCharType="begin"/>
      </w:r>
      <w:r w:rsidR="006B6DB9">
        <w:rPr>
          <w:rFonts w:ascii="Times New Roman" w:hAnsi="Times New Roman" w:cs="Times New Roman"/>
        </w:rPr>
        <w:instrText xml:space="preserve"> ADDIN ZOTERO_ITEM CSL_CITATION {"citationID":"a1oh7t06h5d","properties":{"formattedCitation":"\\super 100\\nosupersub{}","plainCitation":"100","noteIndex":0},"citationItems":[{"id":826,"uris":["http://zotero.org/groups/4669668/items/9XM84PA5"],"itemData":{"id":826,"type":"article-journal","abstract":"Ecologists have traditionally focused on herbivore carcasses as study models in scavenging research. However, some observations of scavengers avoiding feeding on carnivore carrion suggest that different types of carrion may lead to differential pressures. Untested assumptions about carrion produced at different trophic levels could therefore lead ecologists to overlook important evolutionary processes and their ecological consequences. Our general goal was to investigate the use of mammalian carnivore carrion by vertebrate scavengers. In particular, we aimed to test the hypothesis that carnivore carcasses are avoided by other carnivores, especially at the intraspecific level, most likely to reduce exposure to parasitism. We take a three-pronged approach to study this principle by: (i) providing data from field experiments, (ii) carrying out evolutionary simulations of carnivore scavenging strategies under risks of parasitic infection, and (iii) conducting a literature-review to test two predictions regarding parasite life-history strategies. First, our field experiments showed that the mean number of species observed feeding at carcasses and the percentage of consumed carrion biomass were substantially higher at herbivore carcasses than at carnivore carcasses. This occurred even though the number of scavenger species visiting carcasses and the time needed by scavengers to detect carcasses were similar between both types of carcasses. In addition, we did not observe cannibalism. Second, our evolutionary simulations demonstrated that a risk of parasite transmission leads to the evolution of scavengers with generally low cannibalistic tendencies, and that the emergence of cannibalism-avoidance behaviour depends strongly on assumptions about parasite-based mortality rates. Third, our literature review indicated that parasite species potentially able to follow a carnivore–carnivore indirect cycle, as well as those transmitted via meat consumption, are rare in our study system. Our findings support the existence of a novel coevolutionary relation between carnivores and their parasites, and suggest that carnivore and herbivore carcasses play very different roles in food webs and ecosystems.","container-title":"Journal of Animal Ecology","DOI":"10.1111/1365-2656.12714","ISSN":"1365-2656","issue":"5","language":"en","note":"number: 5\n_eprint: https://onlinelibrary.wiley.com/doi/pdf/10.1111/1365-2656.12714","page":"1179-1191","source":"Wiley Online Library","title":"Carnivore carcasses are avoided by carnivores","volume":"86","author":[{"family":"Moleón","given":"Marcos"},{"family":"Martínez-Carrasco","given":"Carlos"},{"family":"Muellerklein","given":"Oliver C."},{"family":"Getz","given":"Wayne M."},{"family":"Muñoz-Lozano","given":"Carlos"},{"family":"Sánchez-Zapata","given":"José A."}],"issued":{"date-parts":[["2017"]]}}}],"schema":"https://github.com/citation-style-language/schema/raw/master/csl-citation.json"} </w:instrText>
      </w:r>
      <w:r w:rsidR="008B10B9">
        <w:rPr>
          <w:rFonts w:ascii="Times New Roman" w:hAnsi="Times New Roman" w:cs="Times New Roman"/>
        </w:rPr>
        <w:fldChar w:fldCharType="separate"/>
      </w:r>
      <w:r w:rsidR="006B6DB9" w:rsidRPr="006B6DB9">
        <w:rPr>
          <w:rFonts w:ascii="Times New Roman" w:hAnsi="Times New Roman" w:cs="Times New Roman"/>
          <w:szCs w:val="24"/>
          <w:vertAlign w:val="superscript"/>
        </w:rPr>
        <w:t>100</w:t>
      </w:r>
      <w:r w:rsidR="008B10B9">
        <w:rPr>
          <w:rFonts w:ascii="Times New Roman" w:hAnsi="Times New Roman" w:cs="Times New Roman"/>
        </w:rPr>
        <w:fldChar w:fldCharType="end"/>
      </w:r>
      <w:r w:rsidR="00CE1229" w:rsidRPr="00CE1229">
        <w:rPr>
          <w:rFonts w:ascii="Times New Roman" w:hAnsi="Times New Roman" w:cs="Times New Roman"/>
        </w:rPr>
        <w:t xml:space="preserve">. </w:t>
      </w:r>
    </w:p>
    <w:p w14:paraId="5A64B5E4" w14:textId="4D94472C" w:rsidR="00CE1229" w:rsidRPr="00CE1229" w:rsidRDefault="00CE1229" w:rsidP="00CE1229">
      <w:pPr>
        <w:spacing w:line="360" w:lineRule="auto"/>
        <w:ind w:firstLine="720"/>
        <w:contextualSpacing/>
        <w:jc w:val="both"/>
        <w:rPr>
          <w:rFonts w:ascii="Times New Roman" w:hAnsi="Times New Roman" w:cs="Times New Roman"/>
        </w:rPr>
      </w:pPr>
      <w:r w:rsidRPr="00CE1229">
        <w:rPr>
          <w:rFonts w:ascii="Times New Roman" w:hAnsi="Times New Roman" w:cs="Times New Roman"/>
        </w:rPr>
        <w:lastRenderedPageBreak/>
        <w:t>Facultative scavengers that do</w:t>
      </w:r>
      <w:r w:rsidR="006A5929">
        <w:rPr>
          <w:rFonts w:ascii="Times New Roman" w:hAnsi="Times New Roman" w:cs="Times New Roman"/>
        </w:rPr>
        <w:t xml:space="preserve"> not</w:t>
      </w:r>
      <w:r w:rsidRPr="00CE1229">
        <w:rPr>
          <w:rFonts w:ascii="Times New Roman" w:hAnsi="Times New Roman" w:cs="Times New Roman"/>
        </w:rPr>
        <w:t xml:space="preserve"> rely solely on </w:t>
      </w:r>
      <w:r w:rsidR="000C303B">
        <w:rPr>
          <w:rFonts w:ascii="Times New Roman" w:hAnsi="Times New Roman" w:cs="Times New Roman"/>
        </w:rPr>
        <w:t>decompos</w:t>
      </w:r>
      <w:r w:rsidRPr="00CE1229">
        <w:rPr>
          <w:rFonts w:ascii="Times New Roman" w:hAnsi="Times New Roman" w:cs="Times New Roman"/>
        </w:rPr>
        <w:t>ing organic matter for nutrients do not typically share the same high efficiency in detection and consumption of this food resource as obligate scavengers. They are, however, generally more ubiquitous in the landscape and in some systems and continents, such as Australia, and may be the only scavenging organisms present in certain taxonomic groups (e.g., vertebrates</w:t>
      </w:r>
      <w:proofErr w:type="gramStart"/>
      <w:r w:rsidRPr="00CE1229">
        <w:rPr>
          <w:rFonts w:ascii="Times New Roman" w:hAnsi="Times New Roman" w:cs="Times New Roman"/>
        </w:rPr>
        <w:t>).</w:t>
      </w:r>
      <w:r w:rsidR="00E92270">
        <w:rPr>
          <w:rFonts w:ascii="Times New Roman" w:hAnsi="Times New Roman" w:cs="Times New Roman"/>
        </w:rPr>
        <w:t>I</w:t>
      </w:r>
      <w:r w:rsidRPr="00CE1229">
        <w:rPr>
          <w:rFonts w:ascii="Times New Roman" w:hAnsi="Times New Roman" w:cs="Times New Roman"/>
        </w:rPr>
        <w:t>n</w:t>
      </w:r>
      <w:proofErr w:type="gramEnd"/>
      <w:r w:rsidRPr="00CE1229">
        <w:rPr>
          <w:rFonts w:ascii="Times New Roman" w:hAnsi="Times New Roman" w:cs="Times New Roman"/>
        </w:rPr>
        <w:t xml:space="preserve"> aquaculture, not all biomasses can be used at any time, and risks associated with vectoring pathogens or contaminants should be cautiously considered</w:t>
      </w:r>
      <w:r w:rsidR="00E92270">
        <w:rPr>
          <w:rFonts w:ascii="Times New Roman" w:hAnsi="Times New Roman" w:cs="Times New Roman"/>
        </w:rPr>
        <w:t>.  A</w:t>
      </w:r>
      <w:r w:rsidRPr="00CE1229">
        <w:rPr>
          <w:rFonts w:ascii="Times New Roman" w:hAnsi="Times New Roman" w:cs="Times New Roman"/>
        </w:rPr>
        <w:t xml:space="preserve">t the same time, not all cultured aquatic species will likely be able to use the same biomass in their feed as some are more frugal and able to adapt to a variety of food items, such as some freshwater, tropical lower-trophic species </w:t>
      </w:r>
      <w:r w:rsidR="00251B8E">
        <w:rPr>
          <w:rFonts w:ascii="Times New Roman" w:hAnsi="Times New Roman" w:cs="Times New Roman"/>
        </w:rPr>
        <w:t>like</w:t>
      </w:r>
      <w:r w:rsidRPr="00CE1229">
        <w:rPr>
          <w:rFonts w:ascii="Times New Roman" w:hAnsi="Times New Roman" w:cs="Times New Roman"/>
        </w:rPr>
        <w:t xml:space="preserve"> tilapias</w:t>
      </w:r>
      <w:r w:rsidR="00726AA8">
        <w:rPr>
          <w:rFonts w:ascii="Times New Roman" w:hAnsi="Times New Roman" w:cs="Times New Roman"/>
        </w:rPr>
        <w:fldChar w:fldCharType="begin"/>
      </w:r>
      <w:r w:rsidR="000F0408">
        <w:rPr>
          <w:rFonts w:ascii="Times New Roman" w:hAnsi="Times New Roman" w:cs="Times New Roman"/>
        </w:rPr>
        <w:instrText xml:space="preserve"> ADDIN ZOTERO_ITEM CSL_CITATION {"citationID":"a12ng40uiu3","properties":{"formattedCitation":"\\super 101\\nosupersub{}","plainCitation":"101","noteIndex":0},"citationItems":[{"id":1661,"uris":["http://zotero.org/users/9431846/items/Z9IY8C2H"],"itemData":{"id":1661,"type":"book","call-number":"SH167.T54 E42 2020","edition":"Second edition","event-place":"London ; San Diego, CA","ISBN":"978-0-12-816509-6","number-of-pages":"348","publisher":"Elsevier/Academic Press","publisher-place":"London ; San Diego, CA","source":"Library of Congress ISBN","title":"Tilapia culture","author":[{"family":"El-Sayed","given":"Abdel-Fattah M."}],"issued":{"date-parts":[["2020"]]}}}],"schema":"https://github.com/citation-style-language/schema/raw/master/csl-citation.json"} </w:instrText>
      </w:r>
      <w:r w:rsidR="00726AA8">
        <w:rPr>
          <w:rFonts w:ascii="Times New Roman" w:hAnsi="Times New Roman" w:cs="Times New Roman"/>
        </w:rPr>
        <w:fldChar w:fldCharType="separate"/>
      </w:r>
      <w:r w:rsidR="000F0408" w:rsidRPr="000F0408">
        <w:rPr>
          <w:rFonts w:ascii="Times New Roman" w:hAnsi="Times New Roman" w:cs="Times New Roman"/>
          <w:szCs w:val="24"/>
          <w:vertAlign w:val="superscript"/>
        </w:rPr>
        <w:t>101</w:t>
      </w:r>
      <w:r w:rsidR="00726AA8">
        <w:rPr>
          <w:rFonts w:ascii="Times New Roman" w:hAnsi="Times New Roman" w:cs="Times New Roman"/>
        </w:rPr>
        <w:fldChar w:fldCharType="end"/>
      </w:r>
      <w:r w:rsidRPr="00CE1229">
        <w:rPr>
          <w:rFonts w:ascii="Times New Roman" w:hAnsi="Times New Roman" w:cs="Times New Roman"/>
        </w:rPr>
        <w:t xml:space="preserve">, whilst others have a reduced </w:t>
      </w:r>
      <w:r w:rsidR="00EE6722" w:rsidRPr="00EE6722">
        <w:rPr>
          <w:rFonts w:ascii="Times New Roman" w:hAnsi="Times New Roman" w:cs="Times New Roman"/>
        </w:rPr>
        <w:t>ability to accept feed containing different raw materials</w:t>
      </w:r>
      <w:r w:rsidRPr="00CE1229">
        <w:rPr>
          <w:rFonts w:ascii="Times New Roman" w:hAnsi="Times New Roman" w:cs="Times New Roman"/>
        </w:rPr>
        <w:t>, such as some marine top-order predator finfishes</w:t>
      </w:r>
      <w:r w:rsidR="00EE6722">
        <w:rPr>
          <w:rFonts w:ascii="Times New Roman" w:hAnsi="Times New Roman" w:cs="Times New Roman"/>
        </w:rPr>
        <w:t>, like yellow tail kingfish</w:t>
      </w:r>
      <w:r w:rsidR="00066C22">
        <w:rPr>
          <w:rFonts w:ascii="Times New Roman" w:hAnsi="Times New Roman" w:cs="Times New Roman"/>
        </w:rPr>
        <w:fldChar w:fldCharType="begin"/>
      </w:r>
      <w:r w:rsidR="00E71250">
        <w:rPr>
          <w:rFonts w:ascii="Times New Roman" w:hAnsi="Times New Roman" w:cs="Times New Roman"/>
        </w:rPr>
        <w:instrText xml:space="preserve"> ADDIN ZOTERO_ITEM CSL_CITATION {"citationID":"a1acatlbo5o","properties":{"formattedCitation":"\\super 102\\nosupersub{}","plainCitation":"102","noteIndex":0},"citationItems":[{"id":1660,"uris":["http://zotero.org/users/9431846/items/J5FWFT7T"],"itemData":{"id":1660,"type":"article-journal","container-title":"Aquaculture","DOI":"10.1016/j.aquaculture.2019.734233","ISSN":"00448486","journalAbbreviation":"Aquaculture","language":"en","page":"734233","source":"DOI.org (Crossref)","title":"Apparent digestibility of raw materials by yellowtail kingfish (Seriola lalandi)","volume":"511","author":[{"family":"Dam","given":"Chinh T.M."},{"family":"Elizur","given":"Abigail"},{"family":"Ventura","given":"Tomer"},{"family":"Salini","given":"Michael"},{"family":"Smullen","given":"Richard"},{"family":"Pirozzi","given":"Igor"},{"family":"Booth","given":"Mark"}],"issued":{"date-parts":[["2019",9]]}}}],"schema":"https://github.com/citation-style-language/schema/raw/master/csl-citation.json"} </w:instrText>
      </w:r>
      <w:r w:rsidR="00066C22">
        <w:rPr>
          <w:rFonts w:ascii="Times New Roman" w:hAnsi="Times New Roman" w:cs="Times New Roman"/>
        </w:rPr>
        <w:fldChar w:fldCharType="separate"/>
      </w:r>
      <w:r w:rsidR="00E71250" w:rsidRPr="00E71250">
        <w:rPr>
          <w:rFonts w:ascii="Times New Roman" w:hAnsi="Times New Roman" w:cs="Times New Roman"/>
          <w:szCs w:val="24"/>
          <w:vertAlign w:val="superscript"/>
        </w:rPr>
        <w:t>102</w:t>
      </w:r>
      <w:r w:rsidR="00066C22">
        <w:rPr>
          <w:rFonts w:ascii="Times New Roman" w:hAnsi="Times New Roman" w:cs="Times New Roman"/>
        </w:rPr>
        <w:fldChar w:fldCharType="end"/>
      </w:r>
      <w:r w:rsidRPr="00CE1229">
        <w:rPr>
          <w:rFonts w:ascii="Times New Roman" w:hAnsi="Times New Roman" w:cs="Times New Roman"/>
        </w:rPr>
        <w:t>.</w:t>
      </w:r>
    </w:p>
    <w:p w14:paraId="12FF5146" w14:textId="26BBEE1E" w:rsidR="00706AB1" w:rsidRDefault="00CE1229" w:rsidP="00CE1229">
      <w:pPr>
        <w:spacing w:line="360" w:lineRule="auto"/>
        <w:ind w:firstLine="720"/>
        <w:contextualSpacing/>
        <w:jc w:val="both"/>
        <w:rPr>
          <w:rFonts w:ascii="Times New Roman" w:hAnsi="Times New Roman" w:cs="Times New Roman"/>
        </w:rPr>
      </w:pPr>
      <w:r w:rsidRPr="00CE1229">
        <w:rPr>
          <w:rFonts w:ascii="Times New Roman" w:hAnsi="Times New Roman" w:cs="Times New Roman"/>
        </w:rPr>
        <w:t xml:space="preserve">Last, and still learning from scavenger ecology knowledge, </w:t>
      </w:r>
      <w:r w:rsidR="00002D0F">
        <w:rPr>
          <w:rFonts w:ascii="Times New Roman" w:hAnsi="Times New Roman" w:cs="Times New Roman"/>
        </w:rPr>
        <w:t>the reliance that scavengers have</w:t>
      </w:r>
      <w:r w:rsidRPr="00CE1229">
        <w:rPr>
          <w:rFonts w:ascii="Times New Roman" w:hAnsi="Times New Roman" w:cs="Times New Roman"/>
        </w:rPr>
        <w:t xml:space="preserve"> on </w:t>
      </w:r>
      <w:r w:rsidR="000C303B">
        <w:rPr>
          <w:rFonts w:ascii="Times New Roman" w:hAnsi="Times New Roman" w:cs="Times New Roman"/>
        </w:rPr>
        <w:t>decompos</w:t>
      </w:r>
      <w:r w:rsidRPr="00CE1229">
        <w:rPr>
          <w:rFonts w:ascii="Times New Roman" w:hAnsi="Times New Roman" w:cs="Times New Roman"/>
        </w:rPr>
        <w:t>ing organic matter as an alternative resource during food shortages or difficult environmental conditions may have a considerable effect on their population dynamics</w:t>
      </w:r>
      <w:r w:rsidR="00D51C27">
        <w:rPr>
          <w:rFonts w:ascii="Times New Roman" w:hAnsi="Times New Roman" w:cs="Times New Roman"/>
        </w:rPr>
        <w:t xml:space="preserve"> </w:t>
      </w:r>
      <w:r w:rsidR="00D51C27">
        <w:rPr>
          <w:rFonts w:ascii="Times New Roman" w:hAnsi="Times New Roman" w:cs="Times New Roman"/>
        </w:rPr>
        <w:fldChar w:fldCharType="begin"/>
      </w:r>
      <w:r w:rsidR="000D35D1">
        <w:rPr>
          <w:rFonts w:ascii="Times New Roman" w:hAnsi="Times New Roman" w:cs="Times New Roman"/>
        </w:rPr>
        <w:instrText xml:space="preserve"> ADDIN ZOTERO_ITEM CSL_CITATION {"citationID":"af5tv9bkgr","properties":{"formattedCitation":"\\super 103,104\\nosupersub{}","plainCitation":"103,104","noteIndex":0},"citationItems":[{"id":199,"uris":["http://zotero.org/users/9431846/items/KQNXAREV"],"itemData":{"id":199,"type":"article-journal","container-title":"Ecoscience","issue":"3","note":"ISBN: 1195-6860\npublisher: Taylor &amp; Francis","page":"303-311","title":"Scavenging on European bison carcasses in Bialowieza primeval forest (eastern Poland)","volume":"10","author":[{"family":"Selva","given":"Nuria"},{"family":"Jedrzejewska","given":"Bogumila"},{"family":"Jedrzejewski","given":"Wlodzimierz"},{"family":"Wajrak","given":"Adam"}],"issued":{"date-parts":[["2003"]]}}},{"id":963,"uris":["http://zotero.org/groups/4669668/items/FZSVNZKH"],"itemData":{"id":963,"type":"article-journal","abstract":"The Greater Yellowstone Ecosystem in the northern Rocky Mountains provides the context for a natural experiment to investigate the response of consumers to resources with differing spatial and temporal dispersion regimes. Grey wolves (Canis lupus) and human hunters both provide resource subsidies to scavengers by provisioning them with the remains of their kills. Carrion from hunter kills is highly aggregated in time and space whereas carrion from wolf kills is more dispersed in both time and space. We estimated the total amount of carrion consumed by each scavenger species at both wolf and hunter kills over 4 years. Species with large feeding radii [bald eagles (Haliaeetus leucocephalus) and ravens (Corvus corax)], defined as the area over which a consumer can efficiently locate and integrate resources, dominated consumption at the highly aggregated hunter kills whereas competitively dominant species [coyotes (Canis latrans)] dominated at the more dispersed wolf kills. In addition, species diversity and the evenness of carrion consumption between scavengers was greater at wolf kills than at hunter kills while the total number of scavengers at hunter kills exceeded those at wolf kills. From a community perspective, the top–down effect of predation is likely to be stronger in the vicinity of highly aggregated resource pulses as species with large feeding radii switch to feeding on alternative prey once the resource pulse subsides.","container-title":"Ecology Letters","DOI":"10.1046/j.1461-0248.2003.00522.x","ISSN":"1461-0248","issue":"11","language":"en","note":"number: 11\n_eprint: https://onlinelibrary.wiley.com/doi/pdf/10.1046/j.1461-0248.2003.00522.x","page":"996-1003","source":"Wiley Online Library","title":"Resource dispersion and consumer dominance: scavenging at wolf- and hunter-killed carcasses in Greater Yellowstone, USA","title-short":"Resource dispersion and consumer dominance","volume":"6","author":[{"family":"Wilmers","given":"Christopher C."},{"family":"Stahler","given":"Daniel R."},{"family":"Crabtree","given":"Robert L."},{"family":"Smith","given":"Douglas W."},{"family":"Getz","given":"Wayne M."}],"issued":{"date-parts":[["2003"]]}}}],"schema":"https://github.com/citation-style-language/schema/raw/master/csl-citation.json"} </w:instrText>
      </w:r>
      <w:r w:rsidR="00D51C27">
        <w:rPr>
          <w:rFonts w:ascii="Times New Roman" w:hAnsi="Times New Roman" w:cs="Times New Roman"/>
        </w:rPr>
        <w:fldChar w:fldCharType="separate"/>
      </w:r>
      <w:r w:rsidR="000D35D1" w:rsidRPr="000D35D1">
        <w:rPr>
          <w:rFonts w:ascii="Times New Roman" w:hAnsi="Times New Roman" w:cs="Times New Roman"/>
          <w:szCs w:val="24"/>
          <w:vertAlign w:val="superscript"/>
        </w:rPr>
        <w:t>103,104</w:t>
      </w:r>
      <w:r w:rsidR="00D51C27">
        <w:rPr>
          <w:rFonts w:ascii="Times New Roman" w:hAnsi="Times New Roman" w:cs="Times New Roman"/>
        </w:rPr>
        <w:fldChar w:fldCharType="end"/>
      </w:r>
      <w:r w:rsidRPr="00CE1229">
        <w:rPr>
          <w:rFonts w:ascii="Times New Roman" w:hAnsi="Times New Roman" w:cs="Times New Roman"/>
        </w:rPr>
        <w:t xml:space="preserve">. </w:t>
      </w:r>
      <w:r w:rsidR="005721F0">
        <w:rPr>
          <w:rFonts w:ascii="Times New Roman" w:hAnsi="Times New Roman" w:cs="Times New Roman"/>
        </w:rPr>
        <w:t>In turn, this</w:t>
      </w:r>
      <w:r w:rsidRPr="00CE1229">
        <w:rPr>
          <w:rFonts w:ascii="Times New Roman" w:hAnsi="Times New Roman" w:cs="Times New Roman"/>
        </w:rPr>
        <w:t xml:space="preserve"> may also influence the interactions that they have with other species in the surrounding environment, such as their prey (if they also act as predators; </w:t>
      </w:r>
      <w:r w:rsidR="008B241F">
        <w:rPr>
          <w:rFonts w:ascii="Times New Roman" w:hAnsi="Times New Roman" w:cs="Times New Roman"/>
        </w:rPr>
        <w:fldChar w:fldCharType="begin"/>
      </w:r>
      <w:r w:rsidR="00D85CC7">
        <w:rPr>
          <w:rFonts w:ascii="Times New Roman" w:hAnsi="Times New Roman" w:cs="Times New Roman"/>
        </w:rPr>
        <w:instrText xml:space="preserve"> ADDIN ZOTERO_ITEM CSL_CITATION {"citationID":"a453todqq6","properties":{"formattedCitation":"\\super 105\\nosupersub{}","plainCitation":"105","noteIndex":0},"citationItems":[{"id":831,"uris":["http://zotero.org/groups/4669668/items/A2TCP8DU"],"itemData":{"id":831,"type":"article-journal","abstract":"Carcasses of large herbivores are pulsed resources whose impact on animal communities and ecological processes is poorly understood. In temperate forests, long-lasting ungulate carcasses are a prime resource for many species of birds and mammals during winter. Facultative carrion-eaters also consume live prey, thus potentially leading to unexpected secondary effects on populations of species not directly linked to carcass exploitation. By snow-tracking and direct observations we investigated in Białowieża Forest (E. Poland) whether large ungulate carcasses elicit spatial responses in facultative scavengers and their prey. We found that in the vicinity of carcass sites the probability of the presence of common ravens Corvus corax, jays Garrulus glandarius and red foxes Vulpes vulpes increased significantly. Indeed, large groups of the two bird species were exclusively found in those places. Because of these aggregations, the probability of predator–prey encounters (red foxes and brown hares Lepus europaeus) was significantly higher near carcass sites. Accordingly, the abundance of hares and other live prey such as red squirrels Sciurus vulgaris decreased at their vicinities, probably as a consequence of direct killing and/or predator avoidance. This study provides the first evidence of carrion pulses permeating into apparently distant trophic levels, such as herbivores, via facultative scavengers, thus highlighting some unnoticed but relevant effects of carrion resources on community structure.\nZusammenfassung\nDie Kadaver von großen Herbivoren sind kurzfristige Ressourcen, deren Auswirkungen auf Tiergemeinschaften und ökologische Prozesse nur wenig verstanden sind. In gemäßigten Wäldern sind während des Winters sich lange haltende Kadaver von Huftieren eine primäre Ressource für viele Arten von Vögeln und Säugetieren. Fakultative Aasfresser fressen auch lebende Beute und es kann daher zu unerwarteten sekundären Effekten auf Populationen von Arten kommen, die nicht direkt mit der Aasnutzung verbunden sind. Über Fährtensuche im Schnee und direkte Beobachtungen im Wald von Białowieża (Ostpolen) untersuchten wir, ob die Kadaver von groβen Huftieren räumliche Reaktionen bei fakultativen Aasfressern und ihren Beutetieren auslösten. Wir fanden, dass in der Nachbarschaft von Kadavern Kolkraben Corvus corax, Eichelhäher Garrulus glandarius und Rotfüchse Vulpes vulpes mit signifikant größerer Wahrscheinlichkeit anwesend waren. Tatsächlich wurden große Ansammlungen der beiden Vogelarten ausschließlich in der Nähe dieser Plätze gefunden. Aufgrund dieser Aggregationen war die Wahrscheinlichkeit für die Begegnung von Räuber und Beute (Rotfuchs und Hase Lepus europaeus) in der Nähe von Kadavern signifikant höher. Als Folge nahm die Häufigkeit von Hasen und anderer lebender Beute wie dem Eichhörnchen Sciurus vulgaris in der Nachbarschaft ab, entweder aufgrund von Tötungen oder Räubervermeidung. Diese Untersuchung liefert den ersten Beweis dafür, dass sich ein Impuls durch einen Kadaver in offensichtlich entfernte trophische Ebenen, wie z. B. Herbivore, durch fakultative Aasfresser fortsetzt, und zeigt so einige wenig beachtete aber wichtige Auswirkungen einer Aasressource auf die Gemeinschaftsstrukur.","container-title":"Basic and Applied Ecology","DOI":"10.1016/j.baae.2008.03.009","ISSN":"1439-1791","issue":"3","journalAbbreviation":"Basic and Applied Ecology","language":"en","note":"number: 3","page":"265-272","source":"ScienceDirect","title":"Effects of carrion resources on herbivore spatial distribution are mediated by facultative scavengers","volume":"10","author":[{"family":"Cortés-Avizanda","given":"Ainara"},{"family":"Selva","given":"Nuria"},{"family":"Carrete","given":"Martina"},{"family":"Donázar","given":"José A."}],"issued":{"date-parts":[["2009",5,1]]}}}],"schema":"https://github.com/citation-style-language/schema/raw/master/csl-citation.json"} </w:instrText>
      </w:r>
      <w:r w:rsidR="008B241F">
        <w:rPr>
          <w:rFonts w:ascii="Times New Roman" w:hAnsi="Times New Roman" w:cs="Times New Roman"/>
        </w:rPr>
        <w:fldChar w:fldCharType="separate"/>
      </w:r>
      <w:r w:rsidR="00D85CC7" w:rsidRPr="00D85CC7">
        <w:rPr>
          <w:rFonts w:ascii="Times New Roman" w:hAnsi="Times New Roman" w:cs="Times New Roman"/>
          <w:szCs w:val="24"/>
          <w:vertAlign w:val="superscript"/>
        </w:rPr>
        <w:t>105</w:t>
      </w:r>
      <w:r w:rsidR="008B241F">
        <w:rPr>
          <w:rFonts w:ascii="Times New Roman" w:hAnsi="Times New Roman" w:cs="Times New Roman"/>
        </w:rPr>
        <w:fldChar w:fldCharType="end"/>
      </w:r>
      <w:r w:rsidRPr="00CE1229">
        <w:rPr>
          <w:rFonts w:ascii="Times New Roman" w:hAnsi="Times New Roman" w:cs="Times New Roman"/>
        </w:rPr>
        <w:t>) or their predators (if they are the prey of other animals</w:t>
      </w:r>
      <w:r w:rsidR="008B241F">
        <w:rPr>
          <w:rFonts w:ascii="Times New Roman" w:hAnsi="Times New Roman" w:cs="Times New Roman"/>
        </w:rPr>
        <w:t xml:space="preserve"> </w:t>
      </w:r>
      <w:r w:rsidR="008B241F">
        <w:rPr>
          <w:rFonts w:ascii="Times New Roman" w:hAnsi="Times New Roman" w:cs="Times New Roman"/>
        </w:rPr>
        <w:fldChar w:fldCharType="begin"/>
      </w:r>
      <w:r w:rsidR="00423645">
        <w:rPr>
          <w:rFonts w:ascii="Times New Roman" w:hAnsi="Times New Roman" w:cs="Times New Roman"/>
        </w:rPr>
        <w:instrText xml:space="preserve"> ADDIN ZOTERO_ITEM CSL_CITATION {"citationID":"a1tcq2c5p7g","properties":{"formattedCitation":"\\super 91\\nosupersub{}","plainCitation":"91","noteIndex":0},"citationItems":[{"id":966,"uris":["http://zotero.org/groups/4669668/items/6Q5HD6DM"],"itemData":{"id":966,"type":"article-journal","abstract":"The extent to which vertebrate carnivores shift facultatively between predation and scavenging has recently been emphasized. Potentially, all carnivores have to do is wait until animals succumb to the debilitating effects of advancing age. However, this may be insufficient because of intense competition among other scavengers and decomposers for food. Moreover, the availability of carcasses of animals dying from causes other than predation varies seasonally, so carnivores must be adapted to exploit various sources of food through the seasonal cycle. We explore how mammalian carnivores cope with seasonality in carrion supply and in prey vulnerability to predation. We focus mainly on large carnivores and ungulates, and compare especially ecological communities in northern temperate and African savanna ecosystems. When carrion is scarce, carnivores can (i) take advantage of temporarily vulnerable segments of prey populations, such as newborn young, heavily pregnant females and males distracted or debilitated by reproduction, (ii) switch to carcass remains left by or stolen from other carnivores, or (iii) exploit small animals and non-animal food sources. Relationships between carnivores tending towards predation or scavenging can be both competitive and facilitative. Top carnivores may provide a supply of carcasses throughout the year, which subsidizes scavengers when carrion availability from other sources is low. Alterations of seasonal patterns due to anthropogenic environmental change may enhance the role of top carnivores as buffers of anthropogenic perturbations of natural processes. Megaherbivores, which are not normally regarded as prey but can provide huge carrion subsidies, may strongly influence interspecific interactions between carnivores and the proportion of food flowing towards scavenging relative to predation. Relationships among carnivores based on hunting vs. scavenging strategies are flexible and subject to changes in response to circumstances. Their functional complexity is relevant for assessing the effects of global change on ecosystem function.","container-title":"Mammal Review","DOI":"10.1111/mam.12005","ISSN":"1365-2907","issue":"1","language":"en","note":"number: 1\n_eprint: https://onlinelibrary.wiley.com/doi/pdf/10.1111/mam.12005","page":"44-55","source":"Wiley Online Library","title":"Facultative predation and scavenging by mammalian carnivores: seasonal, regional and intra-guild comparisons","title-short":"Facultative predation and scavenging by mammalian carnivores","volume":"44","author":[{"family":"Pereira","given":"Laura M."},{"family":"Owen-Smith","given":"Norman"},{"family":"Moleón","given":"Marcos"}],"issued":{"date-parts":[["2014"]]}}}],"schema":"https://github.com/citation-style-language/schema/raw/master/csl-citation.json"} </w:instrText>
      </w:r>
      <w:r w:rsidR="008B241F">
        <w:rPr>
          <w:rFonts w:ascii="Times New Roman" w:hAnsi="Times New Roman" w:cs="Times New Roman"/>
        </w:rPr>
        <w:fldChar w:fldCharType="separate"/>
      </w:r>
      <w:r w:rsidR="00423645" w:rsidRPr="00423645">
        <w:rPr>
          <w:rFonts w:ascii="Times New Roman" w:hAnsi="Times New Roman" w:cs="Times New Roman"/>
          <w:szCs w:val="24"/>
          <w:vertAlign w:val="superscript"/>
        </w:rPr>
        <w:t>91</w:t>
      </w:r>
      <w:r w:rsidR="008B241F">
        <w:rPr>
          <w:rFonts w:ascii="Times New Roman" w:hAnsi="Times New Roman" w:cs="Times New Roman"/>
        </w:rPr>
        <w:fldChar w:fldCharType="end"/>
      </w:r>
      <w:r w:rsidR="008B241F">
        <w:rPr>
          <w:rFonts w:ascii="Times New Roman" w:hAnsi="Times New Roman" w:cs="Times New Roman"/>
        </w:rPr>
        <w:t>)</w:t>
      </w:r>
      <w:r w:rsidRPr="00CE1229">
        <w:rPr>
          <w:rFonts w:ascii="Times New Roman" w:hAnsi="Times New Roman" w:cs="Times New Roman"/>
        </w:rPr>
        <w:t>. Consistently, considering aquaculture within the border food systems, the availability and the cost-effectiveness of biomasses might fluctuate overtime relative to variable trends in primary production due to markets or environmental changes, but also affected by other competitor users, for example</w:t>
      </w:r>
      <w:r w:rsidR="0062464E">
        <w:rPr>
          <w:rFonts w:ascii="Times New Roman" w:hAnsi="Times New Roman" w:cs="Times New Roman"/>
        </w:rPr>
        <w:t>,</w:t>
      </w:r>
      <w:r w:rsidRPr="00CE1229">
        <w:rPr>
          <w:rFonts w:ascii="Times New Roman" w:hAnsi="Times New Roman" w:cs="Times New Roman"/>
        </w:rPr>
        <w:t xml:space="preserve"> biofuels and the pet food industry. These macro-dynamics will of course affect the availability of such nutritional resources for the aquaculture sector, which would benefit by increasing its nutritional flexibility towards increased resilience and improved adaptability.</w:t>
      </w:r>
    </w:p>
    <w:p w14:paraId="56197243" w14:textId="77777777" w:rsidR="001840F7" w:rsidRDefault="001840F7" w:rsidP="001840F7">
      <w:pPr>
        <w:spacing w:line="360" w:lineRule="auto"/>
        <w:ind w:firstLine="720"/>
        <w:contextualSpacing/>
        <w:jc w:val="both"/>
        <w:rPr>
          <w:rFonts w:ascii="Times New Roman" w:hAnsi="Times New Roman" w:cs="Times New Roman"/>
        </w:rPr>
      </w:pPr>
      <w:r>
        <w:rPr>
          <w:rFonts w:ascii="Times New Roman" w:hAnsi="Times New Roman" w:cs="Times New Roman"/>
        </w:rPr>
        <w:t xml:space="preserve">Concluding this analogy, as much as scavengers are essential in healthy and sustainable ecosystems, when aiming at healthy and sustainable global food systems, there is a need for a sector to play this scavenger role. Accordingly, we believe that aquaculture has such potential, which can be achieved by embracing circularity in the origin and supply of raw materials used in aquafeed. </w:t>
      </w:r>
    </w:p>
    <w:p w14:paraId="047CAA2D" w14:textId="77777777" w:rsidR="001840F7" w:rsidRPr="001B2895" w:rsidRDefault="001840F7" w:rsidP="00CE1229">
      <w:pPr>
        <w:spacing w:line="360" w:lineRule="auto"/>
        <w:ind w:firstLine="720"/>
        <w:contextualSpacing/>
        <w:jc w:val="both"/>
        <w:rPr>
          <w:rFonts w:ascii="Times New Roman" w:hAnsi="Times New Roman" w:cs="Times New Roman"/>
        </w:rPr>
      </w:pPr>
    </w:p>
    <w:p w14:paraId="6F13E8B1" w14:textId="3FA24B9E" w:rsidR="00E22B08" w:rsidRPr="007127B3" w:rsidRDefault="003421C3" w:rsidP="00E22B08">
      <w:pPr>
        <w:spacing w:line="360" w:lineRule="auto"/>
        <w:contextualSpacing/>
        <w:jc w:val="both"/>
        <w:rPr>
          <w:rFonts w:ascii="Times New Roman" w:hAnsi="Times New Roman" w:cs="Times New Roman"/>
          <w:color w:val="0070C0"/>
          <w:sz w:val="28"/>
          <w:szCs w:val="28"/>
        </w:rPr>
      </w:pPr>
      <w:r>
        <w:rPr>
          <w:rFonts w:ascii="Times New Roman" w:hAnsi="Times New Roman" w:cs="Times New Roman"/>
          <w:b/>
          <w:bCs/>
          <w:sz w:val="28"/>
          <w:szCs w:val="28"/>
        </w:rPr>
        <w:t>Recovery of protein and oil from seafood waste</w:t>
      </w:r>
    </w:p>
    <w:p w14:paraId="69D2BAA5" w14:textId="69BBF7E3" w:rsidR="00E22B08" w:rsidRPr="000D1105" w:rsidRDefault="00E22B08" w:rsidP="00284960">
      <w:pPr>
        <w:spacing w:line="360" w:lineRule="auto"/>
        <w:ind w:firstLine="720"/>
        <w:contextualSpacing/>
        <w:jc w:val="both"/>
        <w:rPr>
          <w:rFonts w:ascii="Times New Roman" w:hAnsi="Times New Roman" w:cs="Times New Roman"/>
        </w:rPr>
      </w:pPr>
      <w:r w:rsidRPr="000D1105">
        <w:rPr>
          <w:rFonts w:ascii="Times New Roman" w:hAnsi="Times New Roman" w:cs="Times New Roman"/>
        </w:rPr>
        <w:t xml:space="preserve">The use of FM and FO derived from capture fisheries has allowed aquaculture to grow annually at </w:t>
      </w:r>
      <w:r w:rsidR="00FA3502">
        <w:rPr>
          <w:rFonts w:ascii="Times New Roman" w:hAnsi="Times New Roman" w:cs="Times New Roman"/>
        </w:rPr>
        <w:t xml:space="preserve">a </w:t>
      </w:r>
      <w:r w:rsidRPr="000D1105">
        <w:rPr>
          <w:rFonts w:ascii="Times New Roman" w:hAnsi="Times New Roman" w:cs="Times New Roman"/>
        </w:rPr>
        <w:t xml:space="preserve">rate of 6.9 % attaining 114.5 million </w:t>
      </w:r>
      <w:r w:rsidR="00F21783">
        <w:rPr>
          <w:rFonts w:ascii="Times New Roman" w:hAnsi="Times New Roman" w:cs="Times New Roman"/>
        </w:rPr>
        <w:t xml:space="preserve">tonnes in 2018 </w:t>
      </w:r>
      <w:r w:rsidR="00F21783">
        <w:rPr>
          <w:rFonts w:ascii="Times New Roman" w:hAnsi="Times New Roman" w:cs="Times New Roman"/>
        </w:rPr>
        <w:fldChar w:fldCharType="begin"/>
      </w:r>
      <w:r w:rsidR="00297A91">
        <w:rPr>
          <w:rFonts w:ascii="Times New Roman" w:hAnsi="Times New Roman" w:cs="Times New Roman"/>
        </w:rPr>
        <w:instrText xml:space="preserve"> ADDIN ZOTERO_ITEM CSL_CITATION {"citationID":"a254l24plbu","properties":{"formattedCitation":"\\super 106\\nosupersub{}","plainCitation":"106","noteIndex":0},"citationItems":[{"id":851,"uris":["http://zotero.org/groups/4669668/items/AVU3I6Q7"],"itemData":{"id":851,"type":"article-journal","container-title":"Rome","title":"The state of world fisheries and aquaculture 2020. Sustainability in action","author":[{"family":"FAO","given":"Fisheries"}],"issued":{"date-parts":[["2020"]]}}}],"schema":"https://github.com/citation-style-language/schema/raw/master/csl-citation.json"} </w:instrText>
      </w:r>
      <w:r w:rsidR="00F21783">
        <w:rPr>
          <w:rFonts w:ascii="Times New Roman" w:hAnsi="Times New Roman" w:cs="Times New Roman"/>
        </w:rPr>
        <w:fldChar w:fldCharType="separate"/>
      </w:r>
      <w:r w:rsidR="00297A91" w:rsidRPr="00297A91">
        <w:rPr>
          <w:rFonts w:ascii="Times New Roman" w:hAnsi="Times New Roman" w:cs="Times New Roman"/>
          <w:szCs w:val="24"/>
          <w:vertAlign w:val="superscript"/>
        </w:rPr>
        <w:t>106</w:t>
      </w:r>
      <w:r w:rsidR="00F21783">
        <w:rPr>
          <w:rFonts w:ascii="Times New Roman" w:hAnsi="Times New Roman" w:cs="Times New Roman"/>
        </w:rPr>
        <w:fldChar w:fldCharType="end"/>
      </w:r>
      <w:r w:rsidR="00F21783">
        <w:rPr>
          <w:rFonts w:ascii="Times New Roman" w:hAnsi="Times New Roman" w:cs="Times New Roman"/>
        </w:rPr>
        <w:t xml:space="preserve">. </w:t>
      </w:r>
      <w:r w:rsidRPr="000D1105">
        <w:rPr>
          <w:rFonts w:ascii="Times New Roman" w:hAnsi="Times New Roman" w:cs="Times New Roman"/>
        </w:rPr>
        <w:t xml:space="preserve">However, the use of recovered marine proteins and oils from </w:t>
      </w:r>
      <w:r w:rsidR="00D569F6">
        <w:rPr>
          <w:rFonts w:ascii="Times New Roman" w:hAnsi="Times New Roman" w:cs="Times New Roman"/>
        </w:rPr>
        <w:t xml:space="preserve">seafood waste streams in </w:t>
      </w:r>
      <w:r w:rsidRPr="000D1105">
        <w:rPr>
          <w:rFonts w:ascii="Times New Roman" w:hAnsi="Times New Roman" w:cs="Times New Roman"/>
        </w:rPr>
        <w:t xml:space="preserve">wild capture fisheries and aquaculture is somewhat an under-appreciated resource. </w:t>
      </w:r>
      <w:r w:rsidR="00E45EA6">
        <w:rPr>
          <w:rFonts w:ascii="Times New Roman" w:hAnsi="Times New Roman" w:cs="Times New Roman"/>
        </w:rPr>
        <w:t xml:space="preserve">These can include parts of the fish and shellfish that are not </w:t>
      </w:r>
      <w:r w:rsidR="00D90B90">
        <w:rPr>
          <w:rFonts w:ascii="Times New Roman" w:hAnsi="Times New Roman" w:cs="Times New Roman"/>
        </w:rPr>
        <w:t>directed</w:t>
      </w:r>
      <w:r w:rsidR="00E45EA6">
        <w:rPr>
          <w:rFonts w:ascii="Times New Roman" w:hAnsi="Times New Roman" w:cs="Times New Roman"/>
        </w:rPr>
        <w:t xml:space="preserve"> into the human food chain or unintentionally caught species</w:t>
      </w:r>
      <w:r w:rsidR="00E45EA6" w:rsidRPr="000D1105">
        <w:rPr>
          <w:rFonts w:ascii="Times New Roman" w:hAnsi="Times New Roman" w:cs="Times New Roman"/>
        </w:rPr>
        <w:t xml:space="preserve">. </w:t>
      </w:r>
      <w:r w:rsidRPr="000D1105">
        <w:rPr>
          <w:rFonts w:ascii="Times New Roman" w:hAnsi="Times New Roman" w:cs="Times New Roman"/>
        </w:rPr>
        <w:t xml:space="preserve">This could form an integral part of the circular seafood production system. This can particularly be advantageous as these ingredients can deliver the essential </w:t>
      </w:r>
      <w:r w:rsidRPr="000D1105">
        <w:rPr>
          <w:rFonts w:ascii="Times New Roman" w:hAnsi="Times New Roman" w:cs="Times New Roman"/>
        </w:rPr>
        <w:lastRenderedPageBreak/>
        <w:t xml:space="preserve">nutrients (e.g., specific AAs, FAs, vitamins, pigments, and trace elements) that other regenerated ingredients and other traditionally used non-marine ingredients may lack, such as plant by-products. </w:t>
      </w:r>
    </w:p>
    <w:p w14:paraId="7F2F0FDF" w14:textId="135D7404" w:rsidR="00E22B08" w:rsidRPr="000D1105" w:rsidRDefault="00E22B08" w:rsidP="0011134F">
      <w:pPr>
        <w:spacing w:line="360" w:lineRule="auto"/>
        <w:ind w:firstLine="720"/>
        <w:contextualSpacing/>
        <w:jc w:val="both"/>
        <w:rPr>
          <w:rFonts w:ascii="Times New Roman" w:hAnsi="Times New Roman" w:cs="Times New Roman"/>
        </w:rPr>
      </w:pPr>
      <w:r w:rsidRPr="000D1105">
        <w:rPr>
          <w:rFonts w:ascii="Times New Roman" w:hAnsi="Times New Roman" w:cs="Times New Roman"/>
        </w:rPr>
        <w:t>There are many different sources of fisheries and aquaculture waste streams that could be recovered for aquafeed use</w:t>
      </w:r>
      <w:r w:rsidR="0002427D">
        <w:rPr>
          <w:rFonts w:ascii="Times New Roman" w:hAnsi="Times New Roman" w:cs="Times New Roman"/>
        </w:rPr>
        <w:t xml:space="preserve"> and form part of the circular </w:t>
      </w:r>
      <w:r w:rsidR="0011134F">
        <w:rPr>
          <w:rFonts w:ascii="Times New Roman" w:hAnsi="Times New Roman" w:cs="Times New Roman"/>
        </w:rPr>
        <w:t>aquafeed concept</w:t>
      </w:r>
      <w:r w:rsidRPr="000D1105">
        <w:rPr>
          <w:rFonts w:ascii="Times New Roman" w:hAnsi="Times New Roman" w:cs="Times New Roman"/>
        </w:rPr>
        <w:t xml:space="preserve">. For instance, within Europe, the Landing Obligation was introduced as part of the Common Fishery Policy (Regulation (EU) No 1380/2013) to address the issue of bycatch. This is also known as discards, where undersized individuals, low value, or unintentional fish and shellfish species are caught while fishing for targeted species. The landing obligation is set out to prevent the catch from being disposed into the sea. While, within the United States, it has been estimated that 1.93 million tonnes of fish and invertebrates were discarded from 2010 to 2015 </w:t>
      </w:r>
      <w:r w:rsidRPr="000D1105">
        <w:rPr>
          <w:rFonts w:ascii="Times New Roman" w:hAnsi="Times New Roman" w:cs="Times New Roman"/>
        </w:rPr>
        <w:fldChar w:fldCharType="begin"/>
      </w:r>
      <w:r w:rsidR="00924F7F">
        <w:rPr>
          <w:rFonts w:ascii="Times New Roman" w:hAnsi="Times New Roman" w:cs="Times New Roman"/>
        </w:rPr>
        <w:instrText xml:space="preserve"> ADDIN ZOTERO_ITEM CSL_CITATION {"citationID":"a1i7kkm4157","properties":{"formattedCitation":"\\super 107\\nosupersub{}","plainCitation":"107","noteIndex":0},"citationItems":[{"id":1086,"uris":["http://zotero.org/groups/4669668/items/5QRFSMTF"],"itemData":{"id":1086,"type":"article-journal","abstract":"Wild-capture fisheries help provide food security to billions of people, yet bycatch of non-target species threatens ecosystem health and fishery sustainability. Appropriate monitoring and fisheries management can mitigate bycatch but require standardized bycatch data to be robustly recorded and effectively disseminated. Here we integrated and analysed 30,473 species-specific bycatch records from 95 US fisheries in 2010–2015. We examined patterns in fish and invertebrate, marine mammal, seabird and sea turtle bycatch and developed a standardized scoring system, the relative bycatch index, to assess bycatch performance of each fishery. The estimated amount of fish and invertebrate discards totalled 1.93 million tonnes (4.26 billion pounds) over the 6-year period. We found that the national discard rate is 10.5%, considerably lower than past estimates. Results from our relative bycatch index analysis can be used to facilitate management intervention strategies for particular fisheries or gear types, such as shrimp and otter trawls and several pelagic longline and gillnet fisheries, which had the poorest bycatch performance. These findings underscore the need for continued, high-quality, easily accessible bycatch information to better support fisheries management in the United States and globally.","container-title":"Nature Sustainability","DOI":"10.1038/s41893-020-0506-9","ISSN":"2398-9629","issue":"6","journalAbbreviation":"Nat Sustain","language":"en","license":"2020 The Author(s), under exclusive licence to Springer Nature Limited","note":"number: 6\npublisher: Nature Publishing Group","page":"472-480","source":"www.nature.com","title":"Comprehensive bycatch assessment in US fisheries for prioritizing management","volume":"3","author":[{"family":"Savoca","given":"Matthew S."},{"family":"Brodie","given":"Stephanie"},{"family":"Welch","given":"Heather"},{"family":"Hoover","given":"Aimee"},{"family":"Benaka","given":"Lee R."},{"family":"Bograd","given":"Steven J."},{"family":"Hazen","given":"Elliott L."}],"issued":{"date-parts":[["2020",6]]}}}],"schema":"https://github.com/citation-style-language/schema/raw/master/csl-citation.json"} </w:instrText>
      </w:r>
      <w:r w:rsidRPr="000D1105">
        <w:rPr>
          <w:rFonts w:ascii="Times New Roman" w:hAnsi="Times New Roman" w:cs="Times New Roman"/>
        </w:rPr>
        <w:fldChar w:fldCharType="separate"/>
      </w:r>
      <w:r w:rsidR="00924F7F" w:rsidRPr="00924F7F">
        <w:rPr>
          <w:rFonts w:ascii="Times New Roman" w:hAnsi="Times New Roman" w:cs="Times New Roman"/>
          <w:szCs w:val="24"/>
          <w:vertAlign w:val="superscript"/>
        </w:rPr>
        <w:t>107</w:t>
      </w:r>
      <w:r w:rsidRPr="000D1105">
        <w:rPr>
          <w:rFonts w:ascii="Times New Roman" w:hAnsi="Times New Roman" w:cs="Times New Roman"/>
        </w:rPr>
        <w:fldChar w:fldCharType="end"/>
      </w:r>
      <w:r w:rsidRPr="000D1105">
        <w:rPr>
          <w:rFonts w:ascii="Times New Roman" w:hAnsi="Times New Roman" w:cs="Times New Roman"/>
        </w:rPr>
        <w:t xml:space="preserve">. As such, there </w:t>
      </w:r>
      <w:r w:rsidR="007F3D8A">
        <w:rPr>
          <w:rFonts w:ascii="Times New Roman" w:hAnsi="Times New Roman" w:cs="Times New Roman"/>
        </w:rPr>
        <w:t xml:space="preserve">are </w:t>
      </w:r>
      <w:proofErr w:type="gramStart"/>
      <w:r w:rsidR="007F3D8A">
        <w:rPr>
          <w:rFonts w:ascii="Times New Roman" w:hAnsi="Times New Roman" w:cs="Times New Roman"/>
        </w:rPr>
        <w:t>sufficient quantities of</w:t>
      </w:r>
      <w:proofErr w:type="gramEnd"/>
      <w:r w:rsidR="007F3D8A">
        <w:rPr>
          <w:rFonts w:ascii="Times New Roman" w:hAnsi="Times New Roman" w:cs="Times New Roman"/>
        </w:rPr>
        <w:t xml:space="preserve"> seafood waste that would make the </w:t>
      </w:r>
      <w:proofErr w:type="spellStart"/>
      <w:r w:rsidR="007F3D8A">
        <w:rPr>
          <w:rFonts w:ascii="Times New Roman" w:hAnsi="Times New Roman" w:cs="Times New Roman"/>
        </w:rPr>
        <w:t>valorisation</w:t>
      </w:r>
      <w:proofErr w:type="spellEnd"/>
      <w:r w:rsidR="007F3D8A">
        <w:rPr>
          <w:rFonts w:ascii="Times New Roman" w:hAnsi="Times New Roman" w:cs="Times New Roman"/>
        </w:rPr>
        <w:t xml:space="preserve"> process a commercially viable operation. </w:t>
      </w:r>
    </w:p>
    <w:p w14:paraId="4B80DA2B" w14:textId="7BFE7DAD" w:rsidR="00E22B08" w:rsidRPr="000D1105" w:rsidRDefault="00E22B08" w:rsidP="00E22B08">
      <w:pPr>
        <w:spacing w:line="360" w:lineRule="auto"/>
        <w:contextualSpacing/>
        <w:jc w:val="both"/>
        <w:rPr>
          <w:rFonts w:ascii="Times New Roman" w:hAnsi="Times New Roman" w:cs="Times New Roman"/>
        </w:rPr>
      </w:pPr>
      <w:r w:rsidRPr="000D1105">
        <w:rPr>
          <w:rFonts w:ascii="Times New Roman" w:hAnsi="Times New Roman" w:cs="Times New Roman"/>
        </w:rPr>
        <w:t xml:space="preserve"> </w:t>
      </w:r>
      <w:r w:rsidRPr="000D1105">
        <w:rPr>
          <w:rFonts w:ascii="Times New Roman" w:hAnsi="Times New Roman" w:cs="Times New Roman"/>
        </w:rPr>
        <w:tab/>
        <w:t xml:space="preserve">Furthermore, the production of trimmings/waste (e.g., viscera, fatty trims, heads, skin, tail, and blood) from fish processing </w:t>
      </w:r>
      <w:r w:rsidR="007D17C8">
        <w:rPr>
          <w:rFonts w:ascii="Times New Roman" w:hAnsi="Times New Roman" w:cs="Times New Roman"/>
        </w:rPr>
        <w:t xml:space="preserve"> can have a financial burden on processors</w:t>
      </w:r>
      <w:r w:rsidRPr="000D1105">
        <w:rPr>
          <w:rFonts w:ascii="Times New Roman" w:hAnsi="Times New Roman" w:cs="Times New Roman"/>
        </w:rPr>
        <w:t xml:space="preserve"> </w:t>
      </w:r>
      <w:r w:rsidR="005B6E7B">
        <w:rPr>
          <w:rFonts w:ascii="Times New Roman" w:hAnsi="Times New Roman" w:cs="Times New Roman"/>
        </w:rPr>
        <w:t xml:space="preserve">due </w:t>
      </w:r>
      <w:r w:rsidRPr="000D1105">
        <w:rPr>
          <w:rFonts w:ascii="Times New Roman" w:hAnsi="Times New Roman" w:cs="Times New Roman"/>
        </w:rPr>
        <w:t xml:space="preserve">to the need for </w:t>
      </w:r>
      <w:r w:rsidR="005B6E7B">
        <w:rPr>
          <w:rFonts w:ascii="Times New Roman" w:hAnsi="Times New Roman" w:cs="Times New Roman"/>
        </w:rPr>
        <w:t xml:space="preserve"> compliant </w:t>
      </w:r>
      <w:r w:rsidRPr="000D1105">
        <w:rPr>
          <w:rFonts w:ascii="Times New Roman" w:hAnsi="Times New Roman" w:cs="Times New Roman"/>
        </w:rPr>
        <w:t xml:space="preserve">waste disposal </w:t>
      </w:r>
      <w:r w:rsidR="005B6E7B">
        <w:rPr>
          <w:rFonts w:ascii="Times New Roman" w:hAnsi="Times New Roman" w:cs="Times New Roman"/>
        </w:rPr>
        <w:t>methods</w:t>
      </w:r>
      <w:r w:rsidR="00124FFB">
        <w:rPr>
          <w:rFonts w:ascii="Times New Roman" w:hAnsi="Times New Roman" w:cs="Times New Roman"/>
        </w:rPr>
        <w:t>, e.g., dedicated treatment plants or within the EU category 2 and 3 compl</w:t>
      </w:r>
      <w:r w:rsidR="00284960">
        <w:rPr>
          <w:rFonts w:ascii="Times New Roman" w:hAnsi="Times New Roman" w:cs="Times New Roman"/>
        </w:rPr>
        <w:t>iant</w:t>
      </w:r>
      <w:r w:rsidR="00124FFB">
        <w:rPr>
          <w:rFonts w:ascii="Times New Roman" w:hAnsi="Times New Roman" w:cs="Times New Roman"/>
        </w:rPr>
        <w:t xml:space="preserve"> animal byproduct renderers</w:t>
      </w:r>
      <w:r w:rsidR="005B6E7B" w:rsidRPr="000D1105">
        <w:rPr>
          <w:rFonts w:ascii="Times New Roman" w:hAnsi="Times New Roman" w:cs="Times New Roman"/>
        </w:rPr>
        <w:t xml:space="preserve"> </w:t>
      </w:r>
      <w:r w:rsidRPr="000D1105">
        <w:rPr>
          <w:rFonts w:ascii="Times New Roman" w:hAnsi="Times New Roman" w:cs="Times New Roman"/>
        </w:rPr>
        <w:fldChar w:fldCharType="begin"/>
      </w:r>
      <w:r w:rsidR="00464EC6">
        <w:rPr>
          <w:rFonts w:ascii="Times New Roman" w:hAnsi="Times New Roman" w:cs="Times New Roman"/>
        </w:rPr>
        <w:instrText xml:space="preserve"> ADDIN ZOTERO_ITEM CSL_CITATION {"citationID":"a2r9fvjmaa","properties":{"formattedCitation":"\\super 108\\nosupersub{}","plainCitation":"108","noteIndex":0},"citationItems":[{"id":1084,"uris":["http://zotero.org/groups/4669668/items/YRCXCY9Z"],"itemData":{"id":1084,"type":"article-journal","abstract":"Since 2000, the use of wild fish inputs in the production of farm raised fish outputs, also known as the Fish In: Fish Out (FI:FO) ratio, has been a primary concern of the sustainability dialogue surrounding aquaculture production. Far less attention has been placed on the sustainability of downstream processing, including how by-products are managed. This paper contributes new information on the current utilisation of aquaculture by-products in a case study on the Scottish Atlantic salmon industry. The findings show that there is considerable potential to increase the sustainability of the industry through maximising human edible yield by strategically managing by-products. Supporting the movement towards the full utilisation of by-products, this paper goes a step further by emphasising the need to maximise their use in human consumption and select animal feeds, highlighting the economic, food security, and environmental benefits of doing so. Through exploratory scenarios based on the case study, the paper identifies that Scotland could increase food production from fish farming by over 60%, increase by-product revenue by 803%, and increase the industry bottom-line by over 5%, all without having to put any new cages in the water, or use any more marine resources. As the aquaculture industry moves into a new era of production and processing, where a diverse range of products can be produced from a single species, sustainability will be sought throughout the value chain. It is hoped that the ideas raised within this paper will encourage further discussion and collaboration on this topic going forward.","container-title":"Marine Policy","DOI":"10.1016/j.marpol.2017.12.027","ISSN":"0308-597X","journalAbbreviation":"Marine Policy","language":"en","page":"115-124","source":"ScienceDirect","title":"The rise of aquaculture by-products: Increasing food production, value, and sustainability through strategic utilisation","title-short":"The rise of aquaculture by-products","volume":"90","author":[{"family":"Stevens","given":"Julien R."},{"family":"Newton","given":"Richard W."},{"family":"Tlusty","given":"Michael"},{"family":"Little","given":"David C."}],"issued":{"date-parts":[["2018",4,1]]}}}],"schema":"https://github.com/citation-style-language/schema/raw/master/csl-citation.json"} </w:instrText>
      </w:r>
      <w:r w:rsidRPr="000D1105">
        <w:rPr>
          <w:rFonts w:ascii="Times New Roman" w:hAnsi="Times New Roman" w:cs="Times New Roman"/>
        </w:rPr>
        <w:fldChar w:fldCharType="separate"/>
      </w:r>
      <w:r w:rsidR="00464EC6" w:rsidRPr="00464EC6">
        <w:rPr>
          <w:rFonts w:ascii="Times New Roman" w:hAnsi="Times New Roman" w:cs="Times New Roman"/>
          <w:szCs w:val="24"/>
          <w:vertAlign w:val="superscript"/>
        </w:rPr>
        <w:t>108</w:t>
      </w:r>
      <w:r w:rsidRPr="000D1105">
        <w:rPr>
          <w:rFonts w:ascii="Times New Roman" w:hAnsi="Times New Roman" w:cs="Times New Roman"/>
        </w:rPr>
        <w:fldChar w:fldCharType="end"/>
      </w:r>
      <w:r w:rsidRPr="000D1105">
        <w:rPr>
          <w:rFonts w:ascii="Times New Roman" w:hAnsi="Times New Roman" w:cs="Times New Roman"/>
        </w:rPr>
        <w:t xml:space="preserve">. For example, Atlantic cod produces 50% trimming waste plus the associated processing water and can cost £60 per </w:t>
      </w:r>
      <w:proofErr w:type="spellStart"/>
      <w:r w:rsidRPr="000D1105">
        <w:rPr>
          <w:rFonts w:ascii="Times New Roman" w:hAnsi="Times New Roman" w:cs="Times New Roman"/>
        </w:rPr>
        <w:t>tonne</w:t>
      </w:r>
      <w:proofErr w:type="spellEnd"/>
      <w:r w:rsidRPr="000D1105">
        <w:rPr>
          <w:rFonts w:ascii="Times New Roman" w:hAnsi="Times New Roman" w:cs="Times New Roman"/>
        </w:rPr>
        <w:t xml:space="preserve"> for its disposal </w:t>
      </w:r>
      <w:r w:rsidRPr="000D1105">
        <w:rPr>
          <w:rFonts w:ascii="Times New Roman" w:hAnsi="Times New Roman" w:cs="Times New Roman"/>
          <w:highlight w:val="yellow"/>
        </w:rPr>
        <w:fldChar w:fldCharType="begin"/>
      </w:r>
      <w:r w:rsidR="00AB4E4D">
        <w:rPr>
          <w:rFonts w:ascii="Times New Roman" w:hAnsi="Times New Roman" w:cs="Times New Roman"/>
          <w:highlight w:val="yellow"/>
        </w:rPr>
        <w:instrText xml:space="preserve"> ADDIN ZOTERO_ITEM CSL_CITATION {"citationID":"a14h09k48lo","properties":{"formattedCitation":"\\super 109\\nosupersub{}","plainCitation":"109","noteIndex":0},"citationItems":[{"id":996,"uris":["http://zotero.org/groups/4669668/items/VANTUSDU"],"itemData":{"id":996,"type":"report","note":"ISBN – 0903941 18 x","number":"SR574","publisher":"The Sea Fish Industry Authority (Seafish)","title":"Strategic framework for seafood waste management","author":[{"family":"Archer","given":"M."},{"family":"Watson","given":"R."},{"family":"Garret","given":"A."},{"family":"Large","given":"M."}],"issued":{"date-parts":[["2005"]]}}}],"schema":"https://github.com/citation-style-language/schema/raw/master/csl-citation.json"} </w:instrText>
      </w:r>
      <w:r w:rsidRPr="000D1105">
        <w:rPr>
          <w:rFonts w:ascii="Times New Roman" w:hAnsi="Times New Roman" w:cs="Times New Roman"/>
          <w:highlight w:val="yellow"/>
        </w:rPr>
        <w:fldChar w:fldCharType="separate"/>
      </w:r>
      <w:r w:rsidR="00AB4E4D" w:rsidRPr="00AB4E4D">
        <w:rPr>
          <w:rFonts w:ascii="Times New Roman" w:hAnsi="Times New Roman" w:cs="Times New Roman"/>
          <w:szCs w:val="24"/>
          <w:vertAlign w:val="superscript"/>
        </w:rPr>
        <w:t>109</w:t>
      </w:r>
      <w:r w:rsidRPr="000D1105">
        <w:rPr>
          <w:rFonts w:ascii="Times New Roman" w:hAnsi="Times New Roman" w:cs="Times New Roman"/>
          <w:highlight w:val="yellow"/>
        </w:rPr>
        <w:fldChar w:fldCharType="end"/>
      </w:r>
      <w:r w:rsidRPr="000D1105">
        <w:rPr>
          <w:rFonts w:ascii="Times New Roman" w:hAnsi="Times New Roman" w:cs="Times New Roman"/>
        </w:rPr>
        <w:t xml:space="preserve">. Or the disposal cost of lobster by-products can cost AUD $150 per ton </w:t>
      </w:r>
      <w:r w:rsidRPr="000D1105">
        <w:rPr>
          <w:rFonts w:ascii="Times New Roman" w:hAnsi="Times New Roman" w:cs="Times New Roman"/>
        </w:rPr>
        <w:fldChar w:fldCharType="begin"/>
      </w:r>
      <w:r w:rsidR="007C6228">
        <w:rPr>
          <w:rFonts w:ascii="Times New Roman" w:hAnsi="Times New Roman" w:cs="Times New Roman"/>
        </w:rPr>
        <w:instrText xml:space="preserve"> ADDIN ZOTERO_ITEM CSL_CITATION {"citationID":"a2nsd5b77vp","properties":{"formattedCitation":"\\super 110\\nosupersub{}","plainCitation":"110","noteIndex":0},"citationItems":[{"id":1027,"uris":["http://zotero.org/groups/4669668/items/CEMSXN5Y"],"itemData":{"id":1027,"type":"article-journal","abstract":"Enzymatic deproteinization of lobster shells is an important step in developing a novel biorefinery process for the recovery of both protein and chitin. This study aimed to develop an efficient enzymatic deproteinization of lobster shells for protein recovery while providing the residual fraction suitable for further chitin recovery. In comparison with conventional incubation, the microwave-intensified enzymatic deproteinization (MIED) of Australian rock lobster shells significantly improved the deproteinization degree from 58 to 85.8 % and reduced the residual protein content from 96.4 to 65.4 mg/g, respectively. The protein hydrolysate produced by MIED had excellent functionality (solubility 91.7 %, water absorption 32 %, oil absorption 2.3 mL/g, foaming 51.3 %, emulsification 91.3 %) and high nutritional quality (34 % essential amino acids, 45.4 mg/g arginine, lysine/arginine ratio 0.69) with potential applications for food industry. With the considerably low residual protein, the MIEDs are suitable for further chitin recovery.","container-title":"Food and Bioprocess Technology","DOI":"10.1007/s11947-015-1657-y","ISSN":"1935-5149","issue":"4","journalAbbreviation":"Food Bioprocess Technol","language":"en","note":"number: 4","page":"628-636","source":"Springer Link","title":"Microwave-intensified enzymatic deproteinization of Australian rock lobster shells (Jasus edwardsii) for the efficient recovery of protein hydrolysate as food functional nutrients","volume":"9","author":[{"family":"Nguyen","given":"Trung T."},{"family":"Zhang","given":"Wei"},{"family":"Barber","given":"Andrew R."},{"family":"Su","given":"Peng"},{"family":"He","given":"Shan"}],"issued":{"date-parts":[["2016",4,1]]}}}],"schema":"https://github.com/citation-style-language/schema/raw/master/csl-citation.json"} </w:instrText>
      </w:r>
      <w:r w:rsidRPr="000D1105">
        <w:rPr>
          <w:rFonts w:ascii="Times New Roman" w:hAnsi="Times New Roman" w:cs="Times New Roman"/>
        </w:rPr>
        <w:fldChar w:fldCharType="separate"/>
      </w:r>
      <w:r w:rsidR="007C6228" w:rsidRPr="007C6228">
        <w:rPr>
          <w:rFonts w:ascii="Times New Roman" w:hAnsi="Times New Roman" w:cs="Times New Roman"/>
          <w:szCs w:val="24"/>
          <w:vertAlign w:val="superscript"/>
        </w:rPr>
        <w:t>110</w:t>
      </w:r>
      <w:r w:rsidRPr="000D1105">
        <w:rPr>
          <w:rFonts w:ascii="Times New Roman" w:hAnsi="Times New Roman" w:cs="Times New Roman"/>
        </w:rPr>
        <w:fldChar w:fldCharType="end"/>
      </w:r>
      <w:r w:rsidRPr="000D1105">
        <w:rPr>
          <w:rFonts w:ascii="Times New Roman" w:hAnsi="Times New Roman" w:cs="Times New Roman"/>
        </w:rPr>
        <w:t>. For crustaceans, the processing of whole animals yields waste streams such as the shell, gonads, gills, and digestive tract. Furthermore, the processing of crustaceans to extract the meat out (i.e., deshelling) can typically leave residue proteins and oils in the extremities. While the amounts are low from each animal being processed, the quantity of protein that could be recovered could be substantial when the industry is taken as a whole, or the number of crustaceans being processed within a processing plant. For example, it has been estimated that around 18,000 tonnes of Argentine red shrimp (</w:t>
      </w:r>
      <w:proofErr w:type="spellStart"/>
      <w:r w:rsidRPr="000D1105">
        <w:rPr>
          <w:rFonts w:ascii="Times New Roman" w:hAnsi="Times New Roman" w:cs="Times New Roman"/>
          <w:i/>
          <w:iCs/>
        </w:rPr>
        <w:t>Pleoticus</w:t>
      </w:r>
      <w:proofErr w:type="spellEnd"/>
      <w:r w:rsidRPr="000D1105">
        <w:rPr>
          <w:rFonts w:ascii="Times New Roman" w:hAnsi="Times New Roman" w:cs="Times New Roman"/>
          <w:i/>
          <w:iCs/>
        </w:rPr>
        <w:t xml:space="preserve"> </w:t>
      </w:r>
      <w:proofErr w:type="spellStart"/>
      <w:r w:rsidRPr="000D1105">
        <w:rPr>
          <w:rFonts w:ascii="Times New Roman" w:hAnsi="Times New Roman" w:cs="Times New Roman"/>
          <w:i/>
          <w:iCs/>
        </w:rPr>
        <w:t>muelleri</w:t>
      </w:r>
      <w:proofErr w:type="spellEnd"/>
      <w:r w:rsidRPr="000D1105">
        <w:rPr>
          <w:rFonts w:ascii="Times New Roman" w:hAnsi="Times New Roman" w:cs="Times New Roman"/>
        </w:rPr>
        <w:t xml:space="preserve">) processed waste were discarded annually in Patagonia, </w:t>
      </w:r>
      <w:r w:rsidR="00E0347B">
        <w:rPr>
          <w:rFonts w:ascii="Times New Roman" w:hAnsi="Times New Roman" w:cs="Times New Roman"/>
        </w:rPr>
        <w:t xml:space="preserve">of </w:t>
      </w:r>
      <w:r w:rsidRPr="000D1105">
        <w:rPr>
          <w:rFonts w:ascii="Times New Roman" w:hAnsi="Times New Roman" w:cs="Times New Roman"/>
        </w:rPr>
        <w:t xml:space="preserve">which 1,950 tonnes of proteins and 93 tonnes of n-3 LC-PUFA could be recovered </w:t>
      </w:r>
      <w:r w:rsidRPr="000D1105">
        <w:rPr>
          <w:rFonts w:ascii="Times New Roman" w:hAnsi="Times New Roman" w:cs="Times New Roman"/>
        </w:rPr>
        <w:fldChar w:fldCharType="begin"/>
      </w:r>
      <w:r w:rsidR="00EB60E7">
        <w:rPr>
          <w:rFonts w:ascii="Times New Roman" w:hAnsi="Times New Roman" w:cs="Times New Roman"/>
        </w:rPr>
        <w:instrText xml:space="preserve"> ADDIN ZOTERO_ITEM CSL_CITATION {"citationID":"a2c9f8p5f04","properties":{"formattedCitation":"\\super 111\\nosupersub{}","plainCitation":"111","noteIndex":0},"citationItems":[{"id":1065,"uris":["http://zotero.org/groups/4669668/items/8VK5VZDB"],"itemData":{"id":1065,"type":"article-journal","abstract":"In central Patagonia, the most important crustaceans caught are the Argentine red shrimp (ARS) (Pleoticus muelleri) and the southern king crab (SKC) (Lithodes santolla). Their industrial processing generates large amounts of waste, which cause environmental pollution and ecological imbalances. The recovery of valuable compounds from this waste could bring economic benefits to the region. Comparative dry-basis proximal analysis of shells of ARS and SKC showed similar values of chitin (19 and 20%, respectively), slight but significant differences in proteins and ashes (18 and 48% for SKC and 26 and 55% for ARS), and 8 times higher content of lipids in ARS (4%) than in SKC (0.5%) shells. Nowadays, the waste generated by the processing of ARS (18000 t/year) is almost 180 times higher than that of SKC (100 t/year) and comprises not only shells but also heads (S + H). Nevertheless, taking into account that the amount of waste of SKC could increase in the future, the information about its chemical composition becomes relevant and is thus also reported in this work. The analysis of S + H of ARS showed the highest lipid content (11%), and the wet basis analysis of its fatty acids and carotenoids at different catch times showed a constant high level of the omega-3 polyunsaturated fatty acids (n-3 PUFAs) eicosapentaenoic and docosahexaenoic (5.0 g kg−1) and statistically significant variation in the carotenoid content, which can reach up to 158.8 mg kg−1. The results suggest potentials for recovering valuable n-3-PUFAs and carotenoids from ARS waste.","container-title":"Waste and Biomass Valorization","DOI":"10.1007/s12649-020-01162-7","ISSN":"1877-265X","issue":"5","journalAbbreviation":"Waste Biomass Valor","language":"en","note":"number: 5","page":"2311-2319","source":"Springer Link","title":"Lipid fraction from industrial crustacean waste and its potential as a supplement for the feed industry: a case study in argentine patagonia","title-short":"Lipid fraction from industrial crustacean waste and its potential as a supplement for the feed industry","volume":"12","author":[{"family":"Cretton","given":"M."},{"family":"Malanga","given":"G."},{"family":"Mazzuca Sobczuk","given":"T."},{"family":"Mazzuca","given":"M."}],"issued":{"date-parts":[["2021",5,1]]}}}],"schema":"https://github.com/citation-style-language/schema/raw/master/csl-citation.json"} </w:instrText>
      </w:r>
      <w:r w:rsidRPr="000D1105">
        <w:rPr>
          <w:rFonts w:ascii="Times New Roman" w:hAnsi="Times New Roman" w:cs="Times New Roman"/>
        </w:rPr>
        <w:fldChar w:fldCharType="separate"/>
      </w:r>
      <w:r w:rsidR="00EB60E7" w:rsidRPr="00EB60E7">
        <w:rPr>
          <w:rFonts w:ascii="Times New Roman" w:hAnsi="Times New Roman" w:cs="Times New Roman"/>
          <w:szCs w:val="24"/>
          <w:vertAlign w:val="superscript"/>
        </w:rPr>
        <w:t>111</w:t>
      </w:r>
      <w:r w:rsidRPr="000D1105">
        <w:rPr>
          <w:rFonts w:ascii="Times New Roman" w:hAnsi="Times New Roman" w:cs="Times New Roman"/>
        </w:rPr>
        <w:fldChar w:fldCharType="end"/>
      </w:r>
      <w:r w:rsidRPr="000D1105">
        <w:rPr>
          <w:rFonts w:ascii="Times New Roman" w:hAnsi="Times New Roman" w:cs="Times New Roman"/>
        </w:rPr>
        <w:t xml:space="preserve">. </w:t>
      </w:r>
    </w:p>
    <w:p w14:paraId="293E7CB6" w14:textId="7C72AFEB" w:rsidR="00E22B08" w:rsidRPr="000D1105" w:rsidRDefault="00E22B08" w:rsidP="00E22B08">
      <w:pPr>
        <w:spacing w:line="360" w:lineRule="auto"/>
        <w:contextualSpacing/>
        <w:jc w:val="both"/>
        <w:rPr>
          <w:rFonts w:ascii="Times New Roman" w:hAnsi="Times New Roman" w:cs="Times New Roman"/>
        </w:rPr>
      </w:pPr>
      <w:r w:rsidRPr="000D1105">
        <w:rPr>
          <w:rFonts w:ascii="Times New Roman" w:hAnsi="Times New Roman" w:cs="Times New Roman"/>
        </w:rPr>
        <w:t xml:space="preserve"> </w:t>
      </w:r>
      <w:r w:rsidRPr="000D1105">
        <w:rPr>
          <w:rFonts w:ascii="Times New Roman" w:hAnsi="Times New Roman" w:cs="Times New Roman"/>
        </w:rPr>
        <w:tab/>
        <w:t xml:space="preserve">In certain incidences, these processing waste streams can go onto rendering plants that are subsequently cooked, de-oiled, and dried to produce fish protein meals for pet foods, terrestrial animal feeds, and aquafeeds </w:t>
      </w:r>
      <w:r w:rsidRPr="000D1105">
        <w:rPr>
          <w:rFonts w:ascii="Times New Roman" w:hAnsi="Times New Roman" w:cs="Times New Roman"/>
        </w:rPr>
        <w:fldChar w:fldCharType="begin"/>
      </w:r>
      <w:r w:rsidR="00D46997">
        <w:rPr>
          <w:rFonts w:ascii="Times New Roman" w:hAnsi="Times New Roman" w:cs="Times New Roman"/>
        </w:rPr>
        <w:instrText xml:space="preserve"> ADDIN ZOTERO_ITEM CSL_CITATION {"citationID":"argiioc5pa","properties":{"formattedCitation":"\\super 108\\nosupersub{}","plainCitation":"108","noteIndex":0},"citationItems":[{"id":1084,"uris":["http://zotero.org/groups/4669668/items/YRCXCY9Z"],"itemData":{"id":1084,"type":"article-journal","abstract":"Since 2000, the use of wild fish inputs in the production of farm raised fish outputs, also known as the Fish In: Fish Out (FI:FO) ratio, has been a primary concern of the sustainability dialogue surrounding aquaculture production. Far less attention has been placed on the sustainability of downstream processing, including how by-products are managed. This paper contributes new information on the current utilisation of aquaculture by-products in a case study on the Scottish Atlantic salmon industry. The findings show that there is considerable potential to increase the sustainability of the industry through maximising human edible yield by strategically managing by-products. Supporting the movement towards the full utilisation of by-products, this paper goes a step further by emphasising the need to maximise their use in human consumption and select animal feeds, highlighting the economic, food security, and environmental benefits of doing so. Through exploratory scenarios based on the case study, the paper identifies that Scotland could increase food production from fish farming by over 60%, increase by-product revenue by 803%, and increase the industry bottom-line by over 5%, all without having to put any new cages in the water, or use any more marine resources. As the aquaculture industry moves into a new era of production and processing, where a diverse range of products can be produced from a single species, sustainability will be sought throughout the value chain. It is hoped that the ideas raised within this paper will encourage further discussion and collaboration on this topic going forward.","container-title":"Marine Policy","DOI":"10.1016/j.marpol.2017.12.027","ISSN":"0308-597X","journalAbbreviation":"Marine Policy","language":"en","page":"115-124","source":"ScienceDirect","title":"The rise of aquaculture by-products: Increasing food production, value, and sustainability through strategic utilisation","title-short":"The rise of aquaculture by-products","volume":"90","author":[{"family":"Stevens","given":"Julien R."},{"family":"Newton","given":"Richard W."},{"family":"Tlusty","given":"Michael"},{"family":"Little","given":"David C."}],"issued":{"date-parts":[["2018",4,1]]}}}],"schema":"https://github.com/citation-style-language/schema/raw/master/csl-citation.json"} </w:instrText>
      </w:r>
      <w:r w:rsidRPr="000D1105">
        <w:rPr>
          <w:rFonts w:ascii="Times New Roman" w:hAnsi="Times New Roman" w:cs="Times New Roman"/>
        </w:rPr>
        <w:fldChar w:fldCharType="separate"/>
      </w:r>
      <w:r w:rsidR="00D46997" w:rsidRPr="00D46997">
        <w:rPr>
          <w:rFonts w:ascii="Times New Roman" w:hAnsi="Times New Roman" w:cs="Times New Roman"/>
          <w:szCs w:val="24"/>
          <w:vertAlign w:val="superscript"/>
        </w:rPr>
        <w:t>108</w:t>
      </w:r>
      <w:r w:rsidRPr="000D1105">
        <w:rPr>
          <w:rFonts w:ascii="Times New Roman" w:hAnsi="Times New Roman" w:cs="Times New Roman"/>
        </w:rPr>
        <w:fldChar w:fldCharType="end"/>
      </w:r>
      <w:r w:rsidRPr="000D1105">
        <w:rPr>
          <w:rFonts w:ascii="Times New Roman" w:hAnsi="Times New Roman" w:cs="Times New Roman"/>
        </w:rPr>
        <w:t xml:space="preserve">. In comparison, the regeneration of trimmings from farmed fish into FM and FO is also carried out. However, the differences are that the latter waste stream is often prohibited in its use in organic status aquafeeds (e.g., EU Commission Regulation (EC) 710/2009) or being fed back to the same farmed species over the concerns of disease transfer, e.g., salmon waste fed back to salmon </w:t>
      </w:r>
      <w:r w:rsidRPr="000D1105">
        <w:rPr>
          <w:rFonts w:ascii="Times New Roman" w:hAnsi="Times New Roman" w:cs="Times New Roman"/>
        </w:rPr>
        <w:fldChar w:fldCharType="begin"/>
      </w:r>
      <w:r w:rsidR="00207A9A">
        <w:rPr>
          <w:rFonts w:ascii="Times New Roman" w:hAnsi="Times New Roman" w:cs="Times New Roman"/>
        </w:rPr>
        <w:instrText xml:space="preserve"> ADDIN ZOTERO_ITEM CSL_CITATION {"citationID":"au8cegc43l","properties":{"formattedCitation":"\\super 112\\nosupersub{}","plainCitation":"112","noteIndex":0},"citationItems":[{"id":1089,"uris":["http://zotero.org/groups/4669668/items/TPQBT2VR"],"itemData":{"id":1089,"type":"article-journal","abstract":"China's aquaculture industry is growing dramatically in recent years and now accounts for 60.5% of global aquaculture production. Fish protein is expected to play an important role in China's food security. Formulated feed has become the main diet of farmed fish. The species farmed have been diversified, and a large amount of ‘trash fish’ is directly used as feed or is processed into fishmeal for fish feed. The use of locally available food waste as an alternative protein source for producing fish feed has been suggested as a means of tackling the problem of sourcing safe and sustainable feed. This paper reviews the feasibility of using locally available waste materials, including fish waste, okara and food waste. Although the fishmeal derived from fish waste, okara or food waste is less nutritious than fishmeal from whole fish or soybean meal, most fish species farmed in China, such as tilapia and various Chinese carp, grow well on diets with minimal amounts of fishmeal and 40% digestible carbohydrate. It can be concluded that food waste is suitable as a component of the diet of farmed fish. However, it will be necessary to revise regulations on feed and feed ingredients to facilitate the use of food waste in the manufacture of fish feed.","container-title":"Science of The Total Environment","DOI":"10.1016/j.scitotenv.2017.08.321","ISSN":"0048-9697","journalAbbreviation":"Science of The Total Environment","language":"en","page":"635-643","source":"ScienceDirect","title":"Use of food waste, fish waste and food processing waste for China's aquaculture industry: Needs and challenge","title-short":"Use of food waste, fish waste and food processing waste for China's aquaculture industry","volume":"613-614","author":[{"family":"Mo","given":"Wing Yin"},{"family":"Man","given":"Yu Bon"},{"family":"Wong","given":"Ming Hung"}],"issued":{"date-parts":[["2018",2,1]]}}}],"schema":"https://github.com/citation-style-language/schema/raw/master/csl-citation.json"} </w:instrText>
      </w:r>
      <w:r w:rsidRPr="000D1105">
        <w:rPr>
          <w:rFonts w:ascii="Times New Roman" w:hAnsi="Times New Roman" w:cs="Times New Roman"/>
        </w:rPr>
        <w:fldChar w:fldCharType="separate"/>
      </w:r>
      <w:r w:rsidR="00207A9A" w:rsidRPr="00207A9A">
        <w:rPr>
          <w:rFonts w:ascii="Times New Roman" w:hAnsi="Times New Roman" w:cs="Times New Roman"/>
          <w:szCs w:val="24"/>
          <w:vertAlign w:val="superscript"/>
        </w:rPr>
        <w:t>112</w:t>
      </w:r>
      <w:r w:rsidRPr="000D1105">
        <w:rPr>
          <w:rFonts w:ascii="Times New Roman" w:hAnsi="Times New Roman" w:cs="Times New Roman"/>
        </w:rPr>
        <w:fldChar w:fldCharType="end"/>
      </w:r>
      <w:r w:rsidRPr="000D1105">
        <w:rPr>
          <w:rFonts w:ascii="Times New Roman" w:hAnsi="Times New Roman" w:cs="Times New Roman"/>
        </w:rPr>
        <w:t xml:space="preserve">. </w:t>
      </w:r>
      <w:r w:rsidR="005F68C7">
        <w:rPr>
          <w:rFonts w:ascii="Times New Roman" w:hAnsi="Times New Roman" w:cs="Times New Roman"/>
        </w:rPr>
        <w:t>The</w:t>
      </w:r>
      <w:r w:rsidR="005F68C7" w:rsidRPr="000D1105">
        <w:rPr>
          <w:rFonts w:ascii="Times New Roman" w:hAnsi="Times New Roman" w:cs="Times New Roman"/>
        </w:rPr>
        <w:t xml:space="preserve"> </w:t>
      </w:r>
      <w:r w:rsidRPr="000D1105">
        <w:rPr>
          <w:rFonts w:ascii="Times New Roman" w:hAnsi="Times New Roman" w:cs="Times New Roman"/>
        </w:rPr>
        <w:t>quantity of protein and oil that can be recovered can be substantial</w:t>
      </w:r>
      <w:r w:rsidR="005F68C7">
        <w:rPr>
          <w:rFonts w:ascii="Times New Roman" w:hAnsi="Times New Roman" w:cs="Times New Roman"/>
        </w:rPr>
        <w:t>, however,</w:t>
      </w:r>
      <w:r w:rsidR="00582F1D">
        <w:rPr>
          <w:rFonts w:ascii="Times New Roman" w:hAnsi="Times New Roman" w:cs="Times New Roman"/>
        </w:rPr>
        <w:t xml:space="preserve"> for </w:t>
      </w:r>
      <w:r w:rsidRPr="000D1105">
        <w:rPr>
          <w:rFonts w:ascii="Times New Roman" w:hAnsi="Times New Roman" w:cs="Times New Roman"/>
        </w:rPr>
        <w:t xml:space="preserve">example, 35-41.5% of the harvested Atlantic salmon can go to waste post-trimming </w:t>
      </w:r>
      <w:r w:rsidRPr="000D1105">
        <w:rPr>
          <w:rFonts w:ascii="Times New Roman" w:hAnsi="Times New Roman" w:cs="Times New Roman"/>
        </w:rPr>
        <w:fldChar w:fldCharType="begin"/>
      </w:r>
      <w:r w:rsidR="00BD1F3F">
        <w:rPr>
          <w:rFonts w:ascii="Times New Roman" w:hAnsi="Times New Roman" w:cs="Times New Roman"/>
        </w:rPr>
        <w:instrText xml:space="preserve"> ADDIN ZOTERO_ITEM CSL_CITATION {"citationID":"a125ioge99b","properties":{"formattedCitation":"\\super 108,113\\nosupersub{}","plainCitation":"108,113","noteIndex":0},"citationItems":[{"id":1095,"uris":["http://zotero.org/groups/4669668/items/78KL87JV"],"itemData":{"id":1095,"type":"article-journal","abstract":"The utilization of feed resources in Norwegian salmon farming in 2010 and 2012 has been reported previously. The present study is an update for 2016, along with data on whole body composition of slaughter sized salmon. In 2016, in total 1,252,573 tonnes of salmon were produced. Fillet production was estimated to 814,172 tonnes. Given ‘as is’, 1,627,478 tonnes of feed ingredients were used (1,520,358 tonnes on dry matter basis). Marine ingredients constituted 405,921 tonnes (25%), 1,156,135 tonnes (71%) were of plant origin and 65,422 tonnes (4%) were other ingredients. The estimated retention of energy, protein, lipid, DHA + EPA and phosphorus was 41.3%, 36.6%, 49.4%, 37.3% and 18.5%, respectively, in whole salmon. In fillet, the corresponding retention values were 23.0%, 26.1%, 24.6%, 21.8% and 9.5%, respectively. Whole body of slaughter sized salmon (mean body weight 5276 g) contained 12.71 MJ/kg energy, 16.9% crude protein, 21.5% total lipids (0.44% EPA, 0.72% DHA) and 1.8% ash (0.31% phosphorus). The salmon production and use of feed ingredients in 2016 were of similar volumes as in 2012, but the use of marine protein sources was further reduced and replaced by plant ingredients.","container-title":"Aquaculture Reports","DOI":"10.1016/j.aqrep.2019.100216","ISSN":"2352-5134","journalAbbreviation":"Aquaculture Reports","language":"en","page":"100216","source":"ScienceDirect","title":"Utilization of feed resources in the production of Atlantic salmon (Salmo salar) in Norway: An update for 2016","title-short":"Utilization of feed resources in the production of Atlantic salmon (Salmo salar) in Norway","volume":"15","author":[{"family":"Aas","given":"Turid Synnøve"},{"family":"Ytrestøyl","given":"Trine"},{"family":"Åsgård","given":"Torbjørn"}],"issued":{"date-parts":[["2019",11,1]]}}},{"id":1084,"uris":["http://zotero.org/groups/4669668/items/YRCXCY9Z"],"itemData":{"id":1084,"type":"article-journal","abstract":"Since 2000, the use of wild fish inputs in the production of farm raised fish outputs, also known as the Fish In: Fish Out (FI:FO) ratio, has been a primary concern of the sustainability dialogue surrounding aquaculture production. Far less attention has been placed on the sustainability of downstream processing, including how by-products are managed. This paper contributes new information on the current utilisation of aquaculture by-products in a case study on the Scottish Atlantic salmon industry. The findings show that there is considerable potential to increase the sustainability of the industry through maximising human edible yield by strategically managing by-products. Supporting the movement towards the full utilisation of by-products, this paper goes a step further by emphasising the need to maximise their use in human consumption and select animal feeds, highlighting the economic, food security, and environmental benefits of doing so. Through exploratory scenarios based on the case study, the paper identifies that Scotland could increase food production from fish farming by over 60%, increase by-product revenue by 803%, and increase the industry bottom-line by over 5%, all without having to put any new cages in the water, or use any more marine resources. As the aquaculture industry moves into a new era of production and processing, where a diverse range of products can be produced from a single species, sustainability will be sought throughout the value chain. It is hoped that the ideas raised within this paper will encourage further discussion and collaboration on this topic going forward.","container-title":"Marine Policy","DOI":"10.1016/j.marpol.2017.12.027","ISSN":"0308-597X","journalAbbreviation":"Marine Policy","language":"en","page":"115-124","source":"ScienceDirect","title":"The rise of aquaculture by-products: Increasing food production, value, and sustainability through strategic utilisation","title-short":"The rise of aquaculture by-products","volume":"90","author":[{"family":"Stevens","given":"Julien R."},{"family":"Newton","given":"Richard W."},{"family":"Tlusty","given":"Michael"},{"family":"Little","given":"David C."}],"issued":{"date-parts":[["2018",4,1]]}}}],"schema":"https://github.com/citation-style-language/schema/raw/master/csl-citation.json"} </w:instrText>
      </w:r>
      <w:r w:rsidRPr="000D1105">
        <w:rPr>
          <w:rFonts w:ascii="Times New Roman" w:hAnsi="Times New Roman" w:cs="Times New Roman"/>
        </w:rPr>
        <w:fldChar w:fldCharType="separate"/>
      </w:r>
      <w:r w:rsidR="00BD1F3F" w:rsidRPr="00BD1F3F">
        <w:rPr>
          <w:rFonts w:ascii="Times New Roman" w:hAnsi="Times New Roman" w:cs="Times New Roman"/>
          <w:szCs w:val="24"/>
          <w:vertAlign w:val="superscript"/>
        </w:rPr>
        <w:t>108,113</w:t>
      </w:r>
      <w:r w:rsidRPr="000D1105">
        <w:rPr>
          <w:rFonts w:ascii="Times New Roman" w:hAnsi="Times New Roman" w:cs="Times New Roman"/>
        </w:rPr>
        <w:fldChar w:fldCharType="end"/>
      </w:r>
      <w:r w:rsidRPr="000D1105">
        <w:rPr>
          <w:rFonts w:ascii="Times New Roman" w:hAnsi="Times New Roman" w:cs="Times New Roman"/>
        </w:rPr>
        <w:t xml:space="preserve">. </w:t>
      </w:r>
      <w:r w:rsidR="007971EB">
        <w:rPr>
          <w:rFonts w:ascii="Times New Roman" w:hAnsi="Times New Roman" w:cs="Times New Roman"/>
        </w:rPr>
        <w:t>In</w:t>
      </w:r>
      <w:r w:rsidRPr="000D1105">
        <w:rPr>
          <w:rFonts w:ascii="Times New Roman" w:hAnsi="Times New Roman" w:cs="Times New Roman"/>
        </w:rPr>
        <w:t xml:space="preserve"> 2019, it has been estimated that 2,586,890 tonnes of farmed salmon were harvested globally</w:t>
      </w:r>
      <w:r w:rsidR="00F12A09">
        <w:rPr>
          <w:rFonts w:ascii="Times New Roman" w:hAnsi="Times New Roman" w:cs="Times New Roman"/>
        </w:rPr>
        <w:t xml:space="preserve"> </w:t>
      </w:r>
      <w:r w:rsidR="00F12A09">
        <w:rPr>
          <w:rFonts w:ascii="Times New Roman" w:hAnsi="Times New Roman" w:cs="Times New Roman"/>
        </w:rPr>
        <w:fldChar w:fldCharType="begin"/>
      </w:r>
      <w:r w:rsidR="00BB5C1A">
        <w:rPr>
          <w:rFonts w:ascii="Times New Roman" w:hAnsi="Times New Roman" w:cs="Times New Roman"/>
        </w:rPr>
        <w:instrText xml:space="preserve"> ADDIN ZOTERO_ITEM CSL_CITATION {"citationID":"a1udl80ah0s","properties":{"formattedCitation":"\\super 106\\nosupersub{}","plainCitation":"106","noteIndex":0},"citationItems":[{"id":851,"uris":["http://zotero.org/groups/4669668/items/AVU3I6Q7"],"itemData":{"id":851,"type":"article-journal","container-title":"Rome","title":"The state of world fisheries and aquaculture 2020. Sustainability in action","author":[{"family":"FAO","given":"Fisheries"}],"issued":{"date-parts":[["2020"]]}}}],"schema":"https://github.com/citation-style-language/schema/raw/master/csl-citation.json"} </w:instrText>
      </w:r>
      <w:r w:rsidR="00F12A09">
        <w:rPr>
          <w:rFonts w:ascii="Times New Roman" w:hAnsi="Times New Roman" w:cs="Times New Roman"/>
        </w:rPr>
        <w:fldChar w:fldCharType="separate"/>
      </w:r>
      <w:r w:rsidR="00BB5C1A" w:rsidRPr="00BB5C1A">
        <w:rPr>
          <w:rFonts w:ascii="Times New Roman" w:hAnsi="Times New Roman" w:cs="Times New Roman"/>
          <w:szCs w:val="24"/>
          <w:vertAlign w:val="superscript"/>
        </w:rPr>
        <w:t>106</w:t>
      </w:r>
      <w:r w:rsidR="00F12A09">
        <w:rPr>
          <w:rFonts w:ascii="Times New Roman" w:hAnsi="Times New Roman" w:cs="Times New Roman"/>
        </w:rPr>
        <w:fldChar w:fldCharType="end"/>
      </w:r>
      <w:r w:rsidRPr="000D1105">
        <w:rPr>
          <w:rFonts w:ascii="Times New Roman" w:hAnsi="Times New Roman" w:cs="Times New Roman"/>
        </w:rPr>
        <w:t xml:space="preserve">. Therefore, taking a conservative approach could lead to a potential figure of 905,411 tonnes (wet weight) of salmon waste being produced annually (i.e., 2,586,890 </w:t>
      </w:r>
      <w:r w:rsidRPr="000D1105">
        <w:rPr>
          <w:rFonts w:ascii="Times New Roman" w:hAnsi="Times New Roman" w:cs="Times New Roman"/>
        </w:rPr>
        <w:lastRenderedPageBreak/>
        <w:t xml:space="preserve">x 0.35), with the possibility of being regenerated as FM and FO for non-salmonid aquafeeds and terrestrial animal feeds. The interest in exploiting these waste products has broadened to other industries including the production of bioplastics and biopolymers </w:t>
      </w:r>
      <w:r w:rsidRPr="000D1105">
        <w:rPr>
          <w:rFonts w:ascii="Times New Roman" w:hAnsi="Times New Roman" w:cs="Times New Roman"/>
        </w:rPr>
        <w:fldChar w:fldCharType="begin"/>
      </w:r>
      <w:r w:rsidR="00FB27B3">
        <w:rPr>
          <w:rFonts w:ascii="Times New Roman" w:hAnsi="Times New Roman" w:cs="Times New Roman"/>
        </w:rPr>
        <w:instrText xml:space="preserve"> ADDIN ZOTERO_ITEM CSL_CITATION {"citationID":"a282856p9tu","properties":{"formattedCitation":"\\super 114\\nosupersub{}","plainCitation":"114","noteIndex":0},"citationItems":[{"id":1035,"uris":["http://zotero.org/groups/4669668/items/JUD792RG"],"itemData":{"id":1035,"type":"article-journal","abstract":"Fish waste is attracting growing interest as a new raw material for biopolymer production in different application fields, mainly in food packaging, with significant economic and environmental advantages. This review paper summarizes the recent advances in the valorization of fish waste for the preparation of biopolymers for food packaging applications. The issues related to fishery industry waste and fish by-catch and the potential for re-using these by-products in a circular economy approach have been presented in detail. Then, all the biopolymer typologies derived from fish waste with potential applications in food packaging, such as muscle proteins, collagen, gelatin, chitin/chitosan, have been described. For each of them, the recent applications in food packaging, in the last five years, have been overviewed with an emphasis on smart packaging applications. Despite the huge industrial potential of fish industry by-products, most of the reviewed applications are still at lab-scale. Therefore, the technological challenges for a reliable exploitation and recovery of several potentially valuable molecules and the strategies to improve the barrier, mechanical and thermal performance of each kind of biopolymer have been analyzed.","container-title":"Polymers","DOI":"10.3390/polym13142337","ISSN":"2073-4360","issue":"14","language":"en","license":"http://creativecommons.org/licenses/by/3.0/","note":"number: 14\npublisher: Multidisciplinary Digital Publishing Institute","page":"2337","source":"www.mdpi.com","title":"Recent applications of biopolymers derived from fish industry waste in food packaging","volume":"13","author":[{"family":"Lionetto","given":"Francesca"},{"family":"Esposito Corcione","given":"Carola"}],"issued":{"date-parts":[["2021",1]]}}}],"schema":"https://github.com/citation-style-language/schema/raw/master/csl-citation.json"} </w:instrText>
      </w:r>
      <w:r w:rsidRPr="000D1105">
        <w:rPr>
          <w:rFonts w:ascii="Times New Roman" w:hAnsi="Times New Roman" w:cs="Times New Roman"/>
        </w:rPr>
        <w:fldChar w:fldCharType="separate"/>
      </w:r>
      <w:r w:rsidR="00FB27B3" w:rsidRPr="00FB27B3">
        <w:rPr>
          <w:rFonts w:ascii="Times New Roman" w:hAnsi="Times New Roman" w:cs="Times New Roman"/>
          <w:szCs w:val="24"/>
          <w:vertAlign w:val="superscript"/>
        </w:rPr>
        <w:t>114</w:t>
      </w:r>
      <w:r w:rsidRPr="000D1105">
        <w:rPr>
          <w:rFonts w:ascii="Times New Roman" w:hAnsi="Times New Roman" w:cs="Times New Roman"/>
        </w:rPr>
        <w:fldChar w:fldCharType="end"/>
      </w:r>
      <w:r w:rsidRPr="000D1105">
        <w:rPr>
          <w:rFonts w:ascii="Times New Roman" w:hAnsi="Times New Roman" w:cs="Times New Roman"/>
        </w:rPr>
        <w:t xml:space="preserve"> and biogas production </w:t>
      </w:r>
      <w:r w:rsidRPr="000D1105">
        <w:rPr>
          <w:rFonts w:ascii="Times New Roman" w:hAnsi="Times New Roman" w:cs="Times New Roman"/>
        </w:rPr>
        <w:fldChar w:fldCharType="begin"/>
      </w:r>
      <w:r w:rsidR="000F73E0">
        <w:rPr>
          <w:rFonts w:ascii="Times New Roman" w:hAnsi="Times New Roman" w:cs="Times New Roman"/>
        </w:rPr>
        <w:instrText xml:space="preserve"> ADDIN ZOTERO_ITEM CSL_CITATION {"citationID":"a1cqqkl2va9","properties":{"formattedCitation":"\\super 115\\nosupersub{}","plainCitation":"115","noteIndex":0},"citationItems":[{"id":1022,"uris":["http://zotero.org/groups/4669668/items/8NIKDEGB"],"itemData":{"id":1022,"type":"article-journal","abstract":"Anchovies are among the largest fish catch worldwide. The anchovy fillet industry generates a huge amount of biowaste (e.g., fish heads, bones, tails) that can be used for the extraction of several potentially valuable bioproducts including omega-3 lipids. Following the extraction of valued fish oil rich in omega-3, vitamin D3 and zeaxanthin from anchovy fillet leftovers using biobased limonene in a fully circular process, the solid residue (anchovy sludge) was used as starting substrate for the production of biogas by anaerobic digestion. In spite of the unbalanced carbon to nitrogen (C/N) ratio, typical of marine biowaste, the anchovy sludge showed a good methane yield (about 280 mLCH4·gVS−1), proving to be an ideal substrate for co-digestion along with other carbon rich wastes and residues. Furthermore, the presence of residual limonene, used as a renewable, not-toxic and edible extraction solvent, does not affect the microbial methanogenesis. The results reported in this study demonstrate that anchovy leftovers after the fish oil extraction process can be efficiently used as a starting co-substrate for the production of biogas in a modern biorefinery.","container-title":"Sustainability","DOI":"10.3390/su13052428","ISSN":"2071-1050","issue":"5","language":"en","license":"http://creativecommons.org/licenses/by/3.0/","note":"number: 5\npublisher: Multidisciplinary Digital Publishing Institute","page":"2428","source":"www.mdpi.com","title":"Towards the anchovy biorefinery: biogas production from anchovy processing waste after fish oil extraction with biobased limonene","title-short":"Towards the anchovy biorefinery","volume":"13","author":[{"family":"Paone","given":"Emilia"},{"family":"Fazzino","given":"Filippo"},{"family":"Pizzone","given":"Daniela Maria"},{"family":"Scurria","given":"Antonino"},{"family":"Pagliaro","given":"Mario"},{"family":"Ciriminna","given":"Rosaria"},{"family":"Calabrò","given":"Paolo Salvatore"}],"issued":{"date-parts":[["2021",1]]}}}],"schema":"https://github.com/citation-style-language/schema/raw/master/csl-citation.json"} </w:instrText>
      </w:r>
      <w:r w:rsidRPr="000D1105">
        <w:rPr>
          <w:rFonts w:ascii="Times New Roman" w:hAnsi="Times New Roman" w:cs="Times New Roman"/>
        </w:rPr>
        <w:fldChar w:fldCharType="separate"/>
      </w:r>
      <w:r w:rsidR="000F73E0" w:rsidRPr="000F73E0">
        <w:rPr>
          <w:rFonts w:ascii="Times New Roman" w:hAnsi="Times New Roman" w:cs="Times New Roman"/>
          <w:szCs w:val="24"/>
          <w:vertAlign w:val="superscript"/>
        </w:rPr>
        <w:t>115</w:t>
      </w:r>
      <w:r w:rsidRPr="000D1105">
        <w:rPr>
          <w:rFonts w:ascii="Times New Roman" w:hAnsi="Times New Roman" w:cs="Times New Roman"/>
        </w:rPr>
        <w:fldChar w:fldCharType="end"/>
      </w:r>
      <w:r w:rsidR="00B9267A">
        <w:rPr>
          <w:rFonts w:ascii="Times New Roman" w:hAnsi="Times New Roman" w:cs="Times New Roman"/>
        </w:rPr>
        <w:t>, which might pose as a competitor for the waste stream in the near future</w:t>
      </w:r>
      <w:r w:rsidRPr="000D1105">
        <w:rPr>
          <w:rFonts w:ascii="Times New Roman" w:hAnsi="Times New Roman" w:cs="Times New Roman"/>
        </w:rPr>
        <w:t xml:space="preserve">. </w:t>
      </w:r>
    </w:p>
    <w:p w14:paraId="5D432AD5" w14:textId="41627AC0" w:rsidR="00E22B08" w:rsidRPr="000D1105" w:rsidRDefault="00E22B08" w:rsidP="00E22B08">
      <w:pPr>
        <w:spacing w:line="360" w:lineRule="auto"/>
        <w:ind w:firstLine="720"/>
        <w:contextualSpacing/>
        <w:jc w:val="both"/>
        <w:rPr>
          <w:rFonts w:ascii="Times New Roman" w:hAnsi="Times New Roman" w:cs="Times New Roman"/>
        </w:rPr>
      </w:pPr>
      <w:r w:rsidRPr="000D1105">
        <w:rPr>
          <w:rFonts w:ascii="Times New Roman" w:hAnsi="Times New Roman" w:cs="Times New Roman"/>
        </w:rPr>
        <w:t xml:space="preserve">The canning industry can also offer another substantial and underexploited protein and oil resource for aquafeed production. For example, the sardine and mackerel canning industry generates large amounts of protein and oil-rich wastewaters: cook water and </w:t>
      </w:r>
      <w:proofErr w:type="spellStart"/>
      <w:r w:rsidRPr="000D1105">
        <w:rPr>
          <w:rFonts w:ascii="Times New Roman" w:hAnsi="Times New Roman" w:cs="Times New Roman"/>
        </w:rPr>
        <w:t>stickwater</w:t>
      </w:r>
      <w:proofErr w:type="spellEnd"/>
      <w:r w:rsidRPr="000D1105">
        <w:rPr>
          <w:rFonts w:ascii="Times New Roman" w:hAnsi="Times New Roman" w:cs="Times New Roman"/>
        </w:rPr>
        <w:t xml:space="preserve"> from the cooking, handling, canning, and can washing processes. </w:t>
      </w:r>
      <w:r w:rsidR="00403C29">
        <w:rPr>
          <w:rFonts w:ascii="Times New Roman" w:hAnsi="Times New Roman" w:cs="Times New Roman"/>
        </w:rPr>
        <w:t xml:space="preserve">It </w:t>
      </w:r>
      <w:r w:rsidRPr="000D1105">
        <w:rPr>
          <w:rFonts w:ascii="Times New Roman" w:hAnsi="Times New Roman" w:cs="Times New Roman"/>
        </w:rPr>
        <w:t xml:space="preserve">has been estimated that the tuna canning industry suffers from a 45 % or higher in waste during the processing, cooking, and canning stages </w:t>
      </w:r>
      <w:r w:rsidRPr="000D1105">
        <w:rPr>
          <w:rFonts w:ascii="Times New Roman" w:hAnsi="Times New Roman" w:cs="Times New Roman"/>
        </w:rPr>
        <w:fldChar w:fldCharType="begin"/>
      </w:r>
      <w:r w:rsidR="00C7117E">
        <w:rPr>
          <w:rFonts w:ascii="Times New Roman" w:hAnsi="Times New Roman" w:cs="Times New Roman"/>
        </w:rPr>
        <w:instrText xml:space="preserve"> ADDIN ZOTERO_ITEM CSL_CITATION {"citationID":"a1hehb69ojr","properties":{"formattedCitation":"\\super 116\\nosupersub{}","plainCitation":"116","noteIndex":0},"citationItems":[{"id":1093,"uris":["http://zotero.org/groups/4669668/items/R2TAEP9B"],"itemData":{"id":1093,"type":"article-journal","abstract":"The fractionation in an industrial-scale continuous process of a protein hydrolysate obtained from tuna wastes has been proposed. A model based on membrane transport equations, mass balances and economic equations to calculate the main costs of the process was developed. This model was applied to the evaluation of the main technical, environmental and economic aspects of the process and their optimization. The basic cascade configuration resulted better than alternative options like the linear or dual cascades. The freshwater consumption was minimized to improve the environmental and economic performance of the process. Indeed, the implementation of a water recovery and reuse system was the most effective solution. This system was based on the installation of an additional tight nanofiltration stage that reduced the environmental impact of the process (avoiding the need of auxiliary freshwater streams) and increased its economic competitiveness.","container-title":"Separation and Purification Technology","DOI":"10.1016/j.seppur.2017.12.057","ISSN":"1383-5866","journalAbbreviation":"Separation and Purification Technology","language":"en","page":"137-146","source":"ScienceDirect","title":"Optimal design of industrial scale continuous process for fractionation by membrane technologies of protein hydrolysate derived from fish wastes","volume":"197","author":[{"family":"Abejón","given":"R."},{"family":"Belleville","given":"M. P."},{"family":"Sanchez-Marcano","given":"J."},{"family":"Garea","given":"A."},{"family":"Irabien","given":"A."}],"issued":{"date-parts":[["2018",5,31]]}}}],"schema":"https://github.com/citation-style-language/schema/raw/master/csl-citation.json"} </w:instrText>
      </w:r>
      <w:r w:rsidRPr="000D1105">
        <w:rPr>
          <w:rFonts w:ascii="Times New Roman" w:hAnsi="Times New Roman" w:cs="Times New Roman"/>
        </w:rPr>
        <w:fldChar w:fldCharType="separate"/>
      </w:r>
      <w:r w:rsidR="00C7117E" w:rsidRPr="00C7117E">
        <w:rPr>
          <w:rFonts w:ascii="Times New Roman" w:hAnsi="Times New Roman" w:cs="Times New Roman"/>
          <w:szCs w:val="24"/>
          <w:vertAlign w:val="superscript"/>
        </w:rPr>
        <w:t>116</w:t>
      </w:r>
      <w:r w:rsidRPr="000D1105">
        <w:rPr>
          <w:rFonts w:ascii="Times New Roman" w:hAnsi="Times New Roman" w:cs="Times New Roman"/>
        </w:rPr>
        <w:fldChar w:fldCharType="end"/>
      </w:r>
      <w:r w:rsidRPr="000D1105">
        <w:rPr>
          <w:rFonts w:ascii="Times New Roman" w:hAnsi="Times New Roman" w:cs="Times New Roman"/>
        </w:rPr>
        <w:t xml:space="preserve">. These waste streams have the potential to be dewatered through heating or </w:t>
      </w:r>
      <w:proofErr w:type="spellStart"/>
      <w:r w:rsidRPr="000D1105">
        <w:rPr>
          <w:rFonts w:ascii="Times New Roman" w:hAnsi="Times New Roman" w:cs="Times New Roman"/>
        </w:rPr>
        <w:t>utilising</w:t>
      </w:r>
      <w:proofErr w:type="spellEnd"/>
      <w:r w:rsidRPr="000D1105">
        <w:rPr>
          <w:rFonts w:ascii="Times New Roman" w:hAnsi="Times New Roman" w:cs="Times New Roman"/>
        </w:rPr>
        <w:t xml:space="preserve"> newer technologies such as reverse osmosis, nano-filtration, or spray drying to create a highly digestible proteinaceous feed ingredient containing soluble proteins, peptides, and free AAs and preserving heat</w:t>
      </w:r>
      <w:r w:rsidR="00D04B09">
        <w:rPr>
          <w:rFonts w:ascii="Times New Roman" w:hAnsi="Times New Roman" w:cs="Times New Roman"/>
        </w:rPr>
        <w:t>-</w:t>
      </w:r>
      <w:r w:rsidRPr="000D1105">
        <w:rPr>
          <w:rFonts w:ascii="Times New Roman" w:hAnsi="Times New Roman" w:cs="Times New Roman"/>
        </w:rPr>
        <w:t xml:space="preserve">liable compounds, e.g., antioxidants </w:t>
      </w:r>
      <w:r w:rsidRPr="000D1105">
        <w:rPr>
          <w:rFonts w:ascii="Times New Roman" w:hAnsi="Times New Roman" w:cs="Times New Roman"/>
        </w:rPr>
        <w:fldChar w:fldCharType="begin"/>
      </w:r>
      <w:r w:rsidR="00486664">
        <w:rPr>
          <w:rFonts w:ascii="Times New Roman" w:hAnsi="Times New Roman" w:cs="Times New Roman"/>
        </w:rPr>
        <w:instrText xml:space="preserve"> ADDIN ZOTERO_ITEM CSL_CITATION {"citationID":"a2bgdfe5kki","properties":{"formattedCitation":"\\super 117\\nosupersub{}","plainCitation":"117","noteIndex":0},"citationItems":[{"id":1091,"uris":["http://zotero.org/groups/4669668/items/SCML8JUU"],"itemData":{"id":1091,"type":"article-journal","abstract":"Different valuable compounds, which can be employed in medicine or in other industries (i.e. food, agrochemical, pharmaceutical) can be recovered from by-products and waste from the fish canning industries. They include lipids, proteins, bio-polymers, minerals, amino acids and enzymes; they can be extracted from wastewaters and/or from solid residues (head, viscera, skin, tails and flesh) generated along the canning process, through the filleting, cooking, salting or smoking stages. In this review, the opportunities for the extraction and the valorisation of bioactive compounds from sardine, sardine-type fish and mackerel canning residues are examined and discussed. These are amongst the most consumed fishes in the Mediterranean area; moreover, canning is one of the most important and common methods of preservation. The large quantities of by-products generated have great potentials for the extraction of biologically desirable high added value compounds.","container-title":"Materials Science and Engineering: C","DOI":"10.1016/j.msec.2013.04.003","ISSN":"0928-4931","issue":"6","journalAbbreviation":"Materials Science and Engineering: C","language":"en","note":"number: 6","page":"3111-3120","source":"ScienceDirect","title":"Extraction of high added value biological compounds from sardine, sardine-type fish and mackerel canning residues — A review","volume":"33","author":[{"family":"Ferraro","given":"Vincenza"},{"family":"Carvalho","given":"Ana P."},{"family":"Piccirillo","given":"Clara"},{"family":"Santos","given":"Manuela M."},{"family":"L. Castro","given":"Paula M."},{"family":"E. Pintado","given":"Manuela"}],"issued":{"date-parts":[["2013",8,1]]}}}],"schema":"https://github.com/citation-style-language/schema/raw/master/csl-citation.json"} </w:instrText>
      </w:r>
      <w:r w:rsidRPr="000D1105">
        <w:rPr>
          <w:rFonts w:ascii="Times New Roman" w:hAnsi="Times New Roman" w:cs="Times New Roman"/>
        </w:rPr>
        <w:fldChar w:fldCharType="separate"/>
      </w:r>
      <w:r w:rsidR="00486664" w:rsidRPr="00486664">
        <w:rPr>
          <w:rFonts w:ascii="Times New Roman" w:hAnsi="Times New Roman" w:cs="Times New Roman"/>
          <w:szCs w:val="24"/>
          <w:vertAlign w:val="superscript"/>
        </w:rPr>
        <w:t>117</w:t>
      </w:r>
      <w:r w:rsidRPr="000D1105">
        <w:rPr>
          <w:rFonts w:ascii="Times New Roman" w:hAnsi="Times New Roman" w:cs="Times New Roman"/>
        </w:rPr>
        <w:fldChar w:fldCharType="end"/>
      </w:r>
      <w:r w:rsidRPr="000D1105">
        <w:rPr>
          <w:rFonts w:ascii="Times New Roman" w:hAnsi="Times New Roman" w:cs="Times New Roman"/>
        </w:rPr>
        <w:t xml:space="preserve">. For the recovery of oil, there are several methods that have been proposed for separating and refining the oil from the wastewater including centrifuging and pH shifting to the newer methods in supercritical extraction </w:t>
      </w:r>
      <w:r w:rsidRPr="000D1105">
        <w:rPr>
          <w:rFonts w:ascii="Times New Roman" w:hAnsi="Times New Roman" w:cs="Times New Roman"/>
        </w:rPr>
        <w:fldChar w:fldCharType="begin"/>
      </w:r>
      <w:r w:rsidR="00C55D8B">
        <w:rPr>
          <w:rFonts w:ascii="Times New Roman" w:hAnsi="Times New Roman" w:cs="Times New Roman"/>
        </w:rPr>
        <w:instrText xml:space="preserve"> ADDIN ZOTERO_ITEM CSL_CITATION {"citationID":"a1tc6gpkn13","properties":{"formattedCitation":"\\super 118\\nosupersub{}","plainCitation":"118","noteIndex":0},"citationItems":[{"id":1025,"uris":["http://zotero.org/groups/4669668/items/2REC222L"],"itemData":{"id":1025,"type":"article-journal","abstract":"A new oil extraction method involving pH adjustment was developed and compared with the traditional heat extraction method. Sardine oil was obtained by adjusting the pH to the isoelectric point (pI) of sardine muscle (pH 5.5) using HCl or food-grade organic acids [with/without calcium (Ca)] followed by centrifugation. Oil extracted with citric acid plus Ca showed the best quality, along with good recovery, the lowest haze value, and the highest n-3 polyunsaturated fatty acid content. All oils extracted by pH adjustment exhibited high stability against oxidation supported by low conjugated dienes and thiobarbituric acid reactive substance level with fewer impurities compared to the heat process. There was a significant beneficial effect of Ca addition prior to pH adjustment in terms of lipid oxidation stability and color of the final products. The pH adjustment method is a novel process for oil extraction and a promising method that can be utilized for high-oil pelagic species such as Pacific sardines. Keywords: Pacific sardines; oil extraction; isoelectric point; n-3 PUFA; oxidation","container-title":"Journal of Agricultural and Food Chemistry","DOI":"10.1021/jf062942e","ISSN":"0021-8561","issue":"5","journalAbbreviation":"J. Agric. Food Chem.","note":"number: 5\npublisher: American Chemical Society","page":"1808-1813","source":"ACS Publications","title":"Recovery and characterization of sardine oil extracted by pH adjustment","volume":"55","author":[{"family":"Okada","given":"Tomoko"},{"family":"Morrissey","given":"Michael T."}],"issued":{"date-parts":[["2007",3,1]]}}}],"schema":"https://github.com/citation-style-language/schema/raw/master/csl-citation.json"} </w:instrText>
      </w:r>
      <w:r w:rsidRPr="000D1105">
        <w:rPr>
          <w:rFonts w:ascii="Times New Roman" w:hAnsi="Times New Roman" w:cs="Times New Roman"/>
        </w:rPr>
        <w:fldChar w:fldCharType="separate"/>
      </w:r>
      <w:r w:rsidR="00C55D8B" w:rsidRPr="00C55D8B">
        <w:rPr>
          <w:rFonts w:ascii="Times New Roman" w:hAnsi="Times New Roman" w:cs="Times New Roman"/>
          <w:szCs w:val="24"/>
          <w:vertAlign w:val="superscript"/>
        </w:rPr>
        <w:t>118</w:t>
      </w:r>
      <w:r w:rsidRPr="000D1105">
        <w:rPr>
          <w:rFonts w:ascii="Times New Roman" w:hAnsi="Times New Roman" w:cs="Times New Roman"/>
        </w:rPr>
        <w:fldChar w:fldCharType="end"/>
      </w:r>
      <w:r w:rsidRPr="000D1105">
        <w:rPr>
          <w:rFonts w:ascii="Times New Roman" w:hAnsi="Times New Roman" w:cs="Times New Roman"/>
        </w:rPr>
        <w:t xml:space="preserve">. </w:t>
      </w:r>
    </w:p>
    <w:p w14:paraId="74CF099D" w14:textId="4596C9B9" w:rsidR="00E22B08" w:rsidRPr="000D1105" w:rsidRDefault="00E22B08" w:rsidP="00E22B08">
      <w:pPr>
        <w:spacing w:line="360" w:lineRule="auto"/>
        <w:ind w:firstLine="720"/>
        <w:contextualSpacing/>
        <w:jc w:val="both"/>
        <w:rPr>
          <w:rFonts w:ascii="Times New Roman" w:hAnsi="Times New Roman" w:cs="Times New Roman"/>
        </w:rPr>
      </w:pPr>
      <w:r w:rsidRPr="000D1105">
        <w:rPr>
          <w:rFonts w:ascii="Times New Roman" w:hAnsi="Times New Roman" w:cs="Times New Roman"/>
        </w:rPr>
        <w:t xml:space="preserve">The </w:t>
      </w:r>
      <w:proofErr w:type="spellStart"/>
      <w:r w:rsidRPr="000D1105">
        <w:rPr>
          <w:rFonts w:ascii="Times New Roman" w:hAnsi="Times New Roman" w:cs="Times New Roman"/>
        </w:rPr>
        <w:t>hydrolysing</w:t>
      </w:r>
      <w:proofErr w:type="spellEnd"/>
      <w:r w:rsidRPr="000D1105">
        <w:rPr>
          <w:rFonts w:ascii="Times New Roman" w:hAnsi="Times New Roman" w:cs="Times New Roman"/>
        </w:rPr>
        <w:t xml:space="preserve"> of whole fish and shellfish is widely used to create both human foods (e.g., soup bases, stocks, and meat fillers) and health supplements (e.g., muscle building and protein replacement). Commercial-scale hydrolysis typically uses an enzymatic approach (exogenous or autolytic) such as protease to give a high degree of control over the quality of the final products: oil, solid mineral (from bones), oil-protein emulsion, soluble protein hydrolysate, and partially soluble protein hydrolysate </w:t>
      </w:r>
      <w:r w:rsidRPr="000D1105">
        <w:rPr>
          <w:rFonts w:ascii="Times New Roman" w:hAnsi="Times New Roman" w:cs="Times New Roman"/>
        </w:rPr>
        <w:fldChar w:fldCharType="begin"/>
      </w:r>
      <w:r w:rsidR="00EA73AC">
        <w:rPr>
          <w:rFonts w:ascii="Times New Roman" w:hAnsi="Times New Roman" w:cs="Times New Roman"/>
        </w:rPr>
        <w:instrText xml:space="preserve"> ADDIN ZOTERO_ITEM CSL_CITATION {"citationID":"aecro2op28","properties":{"formattedCitation":"\\super 119\\nosupersub{}","plainCitation":"119","noteIndex":0},"citationItems":[{"id":1092,"uris":["http://zotero.org/groups/4669668/items/6CGCZX3V"],"itemData":{"id":1092,"type":"article-journal","abstract":"The effects of feeding an 80% plant protein diet, with and without fish protein hydrolysate (FPH) supplementation, on the growth and gut health of Atlantic salmon were investigated. Fish were fed either (A) a control diet containing 35% fishmeal, (B) an 80% plant protein diet with 15% fishmeal, (C) an 80% plant protein diet with 5% fishmeal and 10% partly hydrolysed protein, or (D) an 80% plant protein diet with 5% fishmeal and 10% soluble protein hydrolysate. Fish on the 80% plant- 15% fishmeal diet were significantly smaller than fish in the other dietary groups. However, partly-hydrolysed protein supplementation allowed fish to grow as well as fish fed the control 35% fishmeal diet. Fish fed the FPH diets (diets C and D) had significantly higher levels of amino acids in their blood, including 48% and 27% more branched chain amino acids compared to fish on the 35% fishmeal diet, respectively. Plant protein significantly altered gut microbial composition, significantly decreasing α-diversity. Spirochaetes and the families Moritellaceae, Psychromonadaceae, Helicobacteraceae and Bacteroidaceae were all found at significantly lower abundances in the groups fed 80% plant protein diets compared to the control fishmeal diet.","container-title":"Scientific Reports","DOI":"10.1038/s41598-020-60325-7","ISSN":"2045-2322","issue":"1","journalAbbreviation":"Sci Rep","language":"en","license":"2020 The Author(s)","note":"number: 1\npublisher: Nature Publishing Group","page":"4194","source":"www.nature.com","title":"Replacing fishmeal with plant protein in Atlantic salmon (Salmo salar) diets by supplementation with fish protein hydrolysate","volume":"10","author":[{"family":"Egerton","given":"S."},{"family":"Wan","given":"A."},{"family":"Murphy","given":"K."},{"family":"Collins","given":"F."},{"family":"Ahern","given":"G."},{"family":"Sugrue","given":"I."},{"family":"Busca","given":"K."},{"family":"Egan","given":"F."},{"family":"Muller","given":"N."},{"family":"Whooley","given":"J."},{"family":"McGinnity","given":"P."},{"family":"Culloty","given":"S."},{"family":"Ross","given":"R. P."},{"family":"Stanton","given":"C."}],"issued":{"date-parts":[["2020",3,6]]}}}],"schema":"https://github.com/citation-style-language/schema/raw/master/csl-citation.json"} </w:instrText>
      </w:r>
      <w:r w:rsidRPr="000D1105">
        <w:rPr>
          <w:rFonts w:ascii="Times New Roman" w:hAnsi="Times New Roman" w:cs="Times New Roman"/>
        </w:rPr>
        <w:fldChar w:fldCharType="separate"/>
      </w:r>
      <w:r w:rsidR="00EA73AC" w:rsidRPr="00EA73AC">
        <w:rPr>
          <w:rFonts w:ascii="Times New Roman" w:hAnsi="Times New Roman" w:cs="Times New Roman"/>
          <w:szCs w:val="24"/>
          <w:vertAlign w:val="superscript"/>
        </w:rPr>
        <w:t>119</w:t>
      </w:r>
      <w:r w:rsidRPr="000D1105">
        <w:rPr>
          <w:rFonts w:ascii="Times New Roman" w:hAnsi="Times New Roman" w:cs="Times New Roman"/>
        </w:rPr>
        <w:fldChar w:fldCharType="end"/>
      </w:r>
      <w:r w:rsidRPr="000D1105">
        <w:rPr>
          <w:rFonts w:ascii="Times New Roman" w:hAnsi="Times New Roman" w:cs="Times New Roman"/>
        </w:rPr>
        <w:t xml:space="preserve">. Depending on the extent of the hydrolysis process, the yield of each fraction can vary but also create hydrolysate products that have functionality and bioactivity. The latter attributes can add value to the aquafeed, for example, fish protein hydrolysates are known to possess antioxidative properties that can play a role in </w:t>
      </w:r>
      <w:proofErr w:type="spellStart"/>
      <w:r w:rsidRPr="000D1105">
        <w:rPr>
          <w:rFonts w:ascii="Times New Roman" w:hAnsi="Times New Roman" w:cs="Times New Roman"/>
        </w:rPr>
        <w:t>stabilising</w:t>
      </w:r>
      <w:proofErr w:type="spellEnd"/>
      <w:r w:rsidRPr="000D1105">
        <w:rPr>
          <w:rFonts w:ascii="Times New Roman" w:hAnsi="Times New Roman" w:cs="Times New Roman"/>
        </w:rPr>
        <w:t xml:space="preserve"> the finished diet. Or the smaller peptides (e.g., di- and tri- peptides) found in the hydrolysates can be employed for specific feed </w:t>
      </w:r>
      <w:proofErr w:type="spellStart"/>
      <w:r w:rsidRPr="000D1105">
        <w:rPr>
          <w:rFonts w:ascii="Times New Roman" w:hAnsi="Times New Roman" w:cs="Times New Roman"/>
        </w:rPr>
        <w:t>utilisation</w:t>
      </w:r>
      <w:proofErr w:type="spellEnd"/>
      <w:r w:rsidRPr="000D1105">
        <w:rPr>
          <w:rFonts w:ascii="Times New Roman" w:hAnsi="Times New Roman" w:cs="Times New Roman"/>
        </w:rPr>
        <w:t xml:space="preserve"> properties such as palatability, growth performance enhancers, and immune promotion </w:t>
      </w:r>
      <w:r w:rsidRPr="000D1105">
        <w:rPr>
          <w:rFonts w:ascii="Times New Roman" w:hAnsi="Times New Roman" w:cs="Times New Roman"/>
        </w:rPr>
        <w:fldChar w:fldCharType="begin"/>
      </w:r>
      <w:r w:rsidR="008D4927">
        <w:rPr>
          <w:rFonts w:ascii="Times New Roman" w:hAnsi="Times New Roman" w:cs="Times New Roman"/>
        </w:rPr>
        <w:instrText xml:space="preserve"> ADDIN ZOTERO_ITEM CSL_CITATION {"citationID":"a8rvmfu35","properties":{"formattedCitation":"\\super 120\\nosupersub{}","plainCitation":"120","noteIndex":0},"citationItems":[{"id":1085,"uris":["http://zotero.org/groups/4669668/items/GL2RIFHF"],"itemData":{"id":1085,"type":"article-journal","abstract":"In intensive farming systems, fish are held at high densities, which may increase stress, leading to susceptibility to diseases that result in economic losses. Therefore, effective feeding practices incorporating health-promoting compounds such as proteins, hydrolysates and bioactive peptides that can stimulate the defence mechanisms of fish and achieve better growth are some of the priorities for sustainable aquaculture development. Globally, the fish processing industries generate and discard a large volume of waste every year, estimated at up to 60% of the harvested biomass. This waste can be converted to value-added products such as fish protein hydrolysate (FPH) with the addition of various proteolytic enzymes. FPH from fish processing waste including skin, heads, muscle, viscera, liver and bones is a good source of protein, amino acids, peptides and antioxidants and has been found to possess desirable functional and bioactive peptides. A moderate inclusion of FPH in aquafeeds has the potential to improve growth, feed utilization, immune functions and disease resistance of fish. Production of FPH, targeted to more precise molecular weight ranges, has superior functionalities that are in high demand. With interest in FPH as an aquafeed supplement, this review aimed to summarize the source, production processes and functional properties of FPH and the reported impact of FPH in aquafeed supplement on fish growth, survival, feed utilization, immune response and disease resistance. Possible limitations of using FPH and future research potential as an opportunity for the use of processing fish waste are also discussed.","container-title":"Reviews in Aquaculture","DOI":"10.1111/raq.12481","ISSN":"1753-5131","issue":"1","language":"en","note":"number: 1\n_eprint: https://onlinelibrary.wiley.com/doi/pdf/10.1111/raq.12481","page":"406-430","source":"Wiley Online Library","title":"Enzymatic fish protein hydrolysates in finfish aquaculture: a review","title-short":"Enzymatic fish protein hydrolysates in finfish aquaculture","volume":"13","author":[{"family":"Siddik","given":"Muhammad A.B."},{"family":"Howieson","given":"Janet"},{"family":"Fotedar","given":"Ravi"},{"family":"Partridge","given":"Gavin J."}],"issued":{"date-parts":[["2021"]]}}}],"schema":"https://github.com/citation-style-language/schema/raw/master/csl-citation.json"} </w:instrText>
      </w:r>
      <w:r w:rsidRPr="000D1105">
        <w:rPr>
          <w:rFonts w:ascii="Times New Roman" w:hAnsi="Times New Roman" w:cs="Times New Roman"/>
        </w:rPr>
        <w:fldChar w:fldCharType="separate"/>
      </w:r>
      <w:r w:rsidR="008D4927" w:rsidRPr="008D4927">
        <w:rPr>
          <w:rFonts w:ascii="Times New Roman" w:hAnsi="Times New Roman" w:cs="Times New Roman"/>
          <w:szCs w:val="24"/>
          <w:vertAlign w:val="superscript"/>
        </w:rPr>
        <w:t>120</w:t>
      </w:r>
      <w:r w:rsidRPr="000D1105">
        <w:rPr>
          <w:rFonts w:ascii="Times New Roman" w:hAnsi="Times New Roman" w:cs="Times New Roman"/>
        </w:rPr>
        <w:fldChar w:fldCharType="end"/>
      </w:r>
      <w:r w:rsidRPr="000D1105">
        <w:rPr>
          <w:rFonts w:ascii="Times New Roman" w:hAnsi="Times New Roman" w:cs="Times New Roman"/>
        </w:rPr>
        <w:t xml:space="preserve">. The application of hydrolysis technology can allow a more effective recovery in proteins and oils from fisheries and aquaculture waste streams when compared to traditional FM and FO production methods, i.e., mincing, cooking, and separating. The </w:t>
      </w:r>
      <w:proofErr w:type="spellStart"/>
      <w:r w:rsidRPr="000D1105">
        <w:rPr>
          <w:rFonts w:ascii="Times New Roman" w:hAnsi="Times New Roman" w:cs="Times New Roman"/>
        </w:rPr>
        <w:t>hydrolysation</w:t>
      </w:r>
      <w:proofErr w:type="spellEnd"/>
      <w:r w:rsidRPr="000D1105">
        <w:rPr>
          <w:rFonts w:ascii="Times New Roman" w:hAnsi="Times New Roman" w:cs="Times New Roman"/>
        </w:rPr>
        <w:t xml:space="preserve"> process can break down indigestible fibrous proteins such as keratin, collagen, and </w:t>
      </w:r>
      <w:proofErr w:type="spellStart"/>
      <w:r w:rsidRPr="000D1105">
        <w:rPr>
          <w:rFonts w:ascii="Times New Roman" w:hAnsi="Times New Roman" w:cs="Times New Roman"/>
        </w:rPr>
        <w:t>chondrin</w:t>
      </w:r>
      <w:proofErr w:type="spellEnd"/>
      <w:r w:rsidRPr="000D1105">
        <w:rPr>
          <w:rFonts w:ascii="Times New Roman" w:hAnsi="Times New Roman" w:cs="Times New Roman"/>
        </w:rPr>
        <w:t xml:space="preserve"> that are found prevalent in scales, skin, cartilage frames, and gills waste streams. Secondly, the processing can liberate proteins that would otherwise be bound to the bones in fish and chitin in crustaceans</w:t>
      </w:r>
      <w:r w:rsidR="0020622A">
        <w:rPr>
          <w:rFonts w:ascii="Times New Roman" w:hAnsi="Times New Roman" w:cs="Times New Roman"/>
        </w:rPr>
        <w:t xml:space="preserve"> </w:t>
      </w:r>
      <w:r w:rsidR="002D646E">
        <w:rPr>
          <w:rFonts w:ascii="Times New Roman" w:hAnsi="Times New Roman" w:cs="Times New Roman"/>
        </w:rPr>
        <w:fldChar w:fldCharType="begin"/>
      </w:r>
      <w:r w:rsidR="008C4F73">
        <w:rPr>
          <w:rFonts w:ascii="Times New Roman" w:hAnsi="Times New Roman" w:cs="Times New Roman"/>
        </w:rPr>
        <w:instrText xml:space="preserve"> ADDIN ZOTERO_ITEM CSL_CITATION {"citationID":"agluujdhur","properties":{"formattedCitation":"\\super 110\\nosupersub{}","plainCitation":"110","noteIndex":0},"citationItems":[{"id":1027,"uris":["http://zotero.org/groups/4669668/items/CEMSXN5Y"],"itemData":{"id":1027,"type":"article-journal","abstract":"Enzymatic deproteinization of lobster shells is an important step in developing a novel biorefinery process for the recovery of both protein and chitin. This study aimed to develop an efficient enzymatic deproteinization of lobster shells for protein recovery while providing the residual fraction suitable for further chitin recovery. In comparison with conventional incubation, the microwave-intensified enzymatic deproteinization (MIED) of Australian rock lobster shells significantly improved the deproteinization degree from 58 to 85.8 % and reduced the residual protein content from 96.4 to 65.4 mg/g, respectively. The protein hydrolysate produced by MIED had excellent functionality (solubility 91.7 %, water absorption 32 %, oil absorption 2.3 mL/g, foaming 51.3 %, emulsification 91.3 %) and high nutritional quality (34 % essential amino acids, 45.4 mg/g arginine, lysine/arginine ratio 0.69) with potential applications for food industry. With the considerably low residual protein, the MIEDs are suitable for further chitin recovery.","container-title":"Food and Bioprocess Technology","DOI":"10.1007/s11947-015-1657-y","ISSN":"1935-5149","issue":"4","journalAbbreviation":"Food Bioprocess Technol","language":"en","note":"number: 4","page":"628-636","source":"Springer Link","title":"Microwave-intensified enzymatic deproteinization of Australian rock lobster shells (Jasus edwardsii) for the efficient recovery of protein hydrolysate as food functional nutrients","volume":"9","author":[{"family":"Nguyen","given":"Trung T."},{"family":"Zhang","given":"Wei"},{"family":"Barber","given":"Andrew R."},{"family":"Su","given":"Peng"},{"family":"He","given":"Shan"}],"issued":{"date-parts":[["2016",4,1]]}}}],"schema":"https://github.com/citation-style-language/schema/raw/master/csl-citation.json"} </w:instrText>
      </w:r>
      <w:r w:rsidR="002D646E">
        <w:rPr>
          <w:rFonts w:ascii="Times New Roman" w:hAnsi="Times New Roman" w:cs="Times New Roman"/>
        </w:rPr>
        <w:fldChar w:fldCharType="separate"/>
      </w:r>
      <w:r w:rsidR="008C4F73" w:rsidRPr="008C4F73">
        <w:rPr>
          <w:rFonts w:ascii="Times New Roman" w:hAnsi="Times New Roman" w:cs="Times New Roman"/>
          <w:szCs w:val="24"/>
          <w:vertAlign w:val="superscript"/>
        </w:rPr>
        <w:t>110</w:t>
      </w:r>
      <w:r w:rsidR="002D646E">
        <w:rPr>
          <w:rFonts w:ascii="Times New Roman" w:hAnsi="Times New Roman" w:cs="Times New Roman"/>
        </w:rPr>
        <w:fldChar w:fldCharType="end"/>
      </w:r>
      <w:r w:rsidRPr="000D1105">
        <w:rPr>
          <w:rFonts w:ascii="Times New Roman" w:hAnsi="Times New Roman" w:cs="Times New Roman"/>
        </w:rPr>
        <w:t xml:space="preserve">. Together with the increasing biotechnological know-how and economically viability of using exogenous enzymes, protein hydrolysis is now becoming more prevalent in the recovery of nutrients from fisheries and aquaculture. </w:t>
      </w:r>
    </w:p>
    <w:p w14:paraId="45B0BCE1" w14:textId="7F7A2748" w:rsidR="00E22B08" w:rsidRPr="000D1105" w:rsidRDefault="00E22B08" w:rsidP="00E22B08">
      <w:pPr>
        <w:spacing w:line="360" w:lineRule="auto"/>
        <w:ind w:firstLine="720"/>
        <w:contextualSpacing/>
        <w:jc w:val="both"/>
        <w:rPr>
          <w:rFonts w:ascii="Times New Roman" w:hAnsi="Times New Roman" w:cs="Times New Roman"/>
        </w:rPr>
      </w:pPr>
      <w:r w:rsidRPr="000D1105">
        <w:rPr>
          <w:rFonts w:ascii="Times New Roman" w:hAnsi="Times New Roman" w:cs="Times New Roman"/>
        </w:rPr>
        <w:t xml:space="preserve">Besides protein and oil recovery from fisheries and aquaculture processing waste, crustaceans (i.e., shells) can also be exploited to produce glucosamine, </w:t>
      </w:r>
      <w:proofErr w:type="gramStart"/>
      <w:r w:rsidRPr="000D1105">
        <w:rPr>
          <w:rFonts w:ascii="Times New Roman" w:hAnsi="Times New Roman" w:cs="Times New Roman"/>
        </w:rPr>
        <w:t>chitin</w:t>
      </w:r>
      <w:proofErr w:type="gramEnd"/>
      <w:r w:rsidRPr="000D1105">
        <w:rPr>
          <w:rFonts w:ascii="Times New Roman" w:hAnsi="Times New Roman" w:cs="Times New Roman"/>
        </w:rPr>
        <w:t xml:space="preserve"> and chitosan derivative products. These </w:t>
      </w:r>
      <w:r w:rsidRPr="000D1105">
        <w:rPr>
          <w:rFonts w:ascii="Times New Roman" w:hAnsi="Times New Roman" w:cs="Times New Roman"/>
        </w:rPr>
        <w:lastRenderedPageBreak/>
        <w:t xml:space="preserve">functional ingredients have many positive attributes which are well studied in farmed animals for their ability to induce antimicrobial, growth-promoting, antioxidant activity, leaner meat quality, prebiotic, and immune-stimulatory effects </w:t>
      </w:r>
      <w:r w:rsidRPr="000D1105">
        <w:rPr>
          <w:rFonts w:ascii="Times New Roman" w:hAnsi="Times New Roman" w:cs="Times New Roman"/>
        </w:rPr>
        <w:fldChar w:fldCharType="begin"/>
      </w:r>
      <w:r w:rsidR="00143326">
        <w:rPr>
          <w:rFonts w:ascii="Times New Roman" w:hAnsi="Times New Roman" w:cs="Times New Roman"/>
        </w:rPr>
        <w:instrText xml:space="preserve"> ADDIN ZOTERO_ITEM CSL_CITATION {"citationID":"a11uad8m88d","properties":{"formattedCitation":"\\super 121\\nosupersub{}","plainCitation":"121","noteIndex":0},"citationItems":[{"id":1094,"uris":["http://zotero.org/groups/4669668/items/8X6ASSUU"],"itemData":{"id":1094,"type":"article-journal","abstract":"Chitosan is a cationic polysaccharide that is primarily derived from chitin, a natural polymer of N-acetyl glucosamine mainly found in crustacean, insect exoskeletons and fungal cell walls, by exhaustive alkaline deacetylation to varying degrees. Chitosan has been found to have many favourable biological properties including biosafety, biodegradability and biocompatibility. These advantages make it a very promising material for diverse applications. For terrestrial animals, chitosan has been widely used as a feed additive because of its low side effects, enhancing the growth performance, improving immune functions, inhibition intestinal microbial pathogens and lowering cholesterol. Recently, it has been used as a feed additive in fish diets. Moreover, chitosan has gained an attention as an effective agent in aquaculture water treatment. A number of studies have been conducted on the effectiveness of the use of chitosan in aquaculture. Thus, the present review explored the current state of knowledge on the effects of dietary chitosan on farmed aquatic animals including antimicrobial, growth promoting, antioxidant activity and immunostimulation effects, with a particular emphasis on the optimal dose of chitosan. As well as, this review pointed out the possibility of using chitosan in aquaculture water treatment. According to the studies that were discussed in this review, chitosan is considered as a promising material with a massive potential of applications in aquaculture.","container-title":"Reviews in Aquaculture","DOI":"10.1111/raq.12326","ISSN":"1753-5131","issue":"1","language":"en","note":"number: 1\n_eprint: https://onlinelibrary.wiley.com/doi/pdf/10.1111/raq.12326","page":"438-452","source":"Wiley Online Library","title":"Effects of dietary chitosan supplementation on farmed fish; a review","volume":"12","author":[{"family":"Abdel-Ghany","given":"Heba M."},{"family":"Salem","given":"Mohamed El-S."}],"issued":{"date-parts":[["2020"]]}}}],"schema":"https://github.com/citation-style-language/schema/raw/master/csl-citation.json"} </w:instrText>
      </w:r>
      <w:r w:rsidRPr="000D1105">
        <w:rPr>
          <w:rFonts w:ascii="Times New Roman" w:hAnsi="Times New Roman" w:cs="Times New Roman"/>
        </w:rPr>
        <w:fldChar w:fldCharType="separate"/>
      </w:r>
      <w:r w:rsidR="00143326" w:rsidRPr="00143326">
        <w:rPr>
          <w:rFonts w:ascii="Times New Roman" w:hAnsi="Times New Roman" w:cs="Times New Roman"/>
          <w:szCs w:val="24"/>
          <w:vertAlign w:val="superscript"/>
        </w:rPr>
        <w:t>121</w:t>
      </w:r>
      <w:r w:rsidRPr="000D1105">
        <w:rPr>
          <w:rFonts w:ascii="Times New Roman" w:hAnsi="Times New Roman" w:cs="Times New Roman"/>
        </w:rPr>
        <w:fldChar w:fldCharType="end"/>
      </w:r>
      <w:r w:rsidRPr="000D1105">
        <w:rPr>
          <w:rFonts w:ascii="Times New Roman" w:hAnsi="Times New Roman" w:cs="Times New Roman"/>
        </w:rPr>
        <w:t xml:space="preserve">. Similarly, the waste shells could be extracted for the bound astaxanthin and other important marine carotenoids, as high-value feed additives used in aquafeeds for the pigmentation of skin and flesh in salmonids, tilapia, crustaceans, and ornamental fish species. An array of processing technologies has been tested and validated to achieve a viable quantity of astaxanthin including solvent extraction, supercritical fluid extraction, fermentation, and enzyme hydrolysis </w:t>
      </w:r>
      <w:r w:rsidRPr="000D1105">
        <w:rPr>
          <w:rFonts w:ascii="Times New Roman" w:hAnsi="Times New Roman" w:cs="Times New Roman"/>
        </w:rPr>
        <w:fldChar w:fldCharType="begin"/>
      </w:r>
      <w:r w:rsidR="004C57B8">
        <w:rPr>
          <w:rFonts w:ascii="Times New Roman" w:hAnsi="Times New Roman" w:cs="Times New Roman"/>
        </w:rPr>
        <w:instrText xml:space="preserve"> ADDIN ZOTERO_ITEM CSL_CITATION {"citationID":"aukg3fugh8","properties":{"formattedCitation":"\\super 122\\nosupersub{}","plainCitation":"122","noteIndex":0},"citationItems":[{"id":1087,"uris":["http://zotero.org/groups/4669668/items/ZXE8TFW2"],"itemData":{"id":1087,"type":"article-journal","abstract":"Globally, the amount of food processing waste has become a major concern for environmental sustainability. The valorization of these waste materials can solve the problems of its disposal. Notably, the tomato pomace and crustacean processing waste presents enormous opportunities for the extraction of commercially vital carotenoids, lycopene, and astaxanthin, which have diverse applications in the food, feed, pharmaceuticals, and cosmetic industries. Moreover, such waste can generate surplus revenue which can significantly improve the economics of food production and processing. Considering these aspects, many reports have been published on the efficient use of tomato and crustacean processing waste to recover lycopene and astaxanthin. The current review provides up-to-date information available on the chemistry of lycopene and astaxanthin, their extraction methods that use environmentally friendly green solvents to minimize the impact of toxic chemical solvents on health and environment. Future research challenges in this context are also identified.","container-title":"Food Research International","DOI":"10.1016/j.foodres.2018.04.003","ISSN":"0963-9969","journalAbbreviation":"Food Research International","language":"en","page":"516-529","source":"ScienceDirect","title":"An updated review on use of tomato pomace and crustacean processing waste to recover commercially vital carotenoids","volume":"108","author":[{"family":"Saini","given":"Ramesh Kumar"},{"family":"Moon","given":"So Hyun"},{"family":"Keum","given":"Young-Soo"}],"issued":{"date-parts":[["2018",6,1]]}}}],"schema":"https://github.com/citation-style-language/schema/raw/master/csl-citation.json"} </w:instrText>
      </w:r>
      <w:r w:rsidRPr="000D1105">
        <w:rPr>
          <w:rFonts w:ascii="Times New Roman" w:hAnsi="Times New Roman" w:cs="Times New Roman"/>
        </w:rPr>
        <w:fldChar w:fldCharType="separate"/>
      </w:r>
      <w:r w:rsidR="004C57B8" w:rsidRPr="004C57B8">
        <w:rPr>
          <w:rFonts w:ascii="Times New Roman" w:hAnsi="Times New Roman" w:cs="Times New Roman"/>
          <w:szCs w:val="24"/>
          <w:vertAlign w:val="superscript"/>
        </w:rPr>
        <w:t>122</w:t>
      </w:r>
      <w:r w:rsidRPr="000D1105">
        <w:rPr>
          <w:rFonts w:ascii="Times New Roman" w:hAnsi="Times New Roman" w:cs="Times New Roman"/>
        </w:rPr>
        <w:fldChar w:fldCharType="end"/>
      </w:r>
      <w:r w:rsidRPr="000D1105">
        <w:rPr>
          <w:rFonts w:ascii="Times New Roman" w:hAnsi="Times New Roman" w:cs="Times New Roman"/>
        </w:rPr>
        <w:t xml:space="preserve">. However, a commercially feasible method of extraction will have to be economically competitive with current market products that are produced either synthetically, or from krill, microalgae, and terrestrial plants </w:t>
      </w:r>
      <w:r w:rsidRPr="000D1105">
        <w:rPr>
          <w:rFonts w:ascii="Times New Roman" w:hAnsi="Times New Roman" w:cs="Times New Roman"/>
        </w:rPr>
        <w:fldChar w:fldCharType="begin"/>
      </w:r>
      <w:r w:rsidR="008B3B23">
        <w:rPr>
          <w:rFonts w:ascii="Times New Roman" w:hAnsi="Times New Roman" w:cs="Times New Roman"/>
        </w:rPr>
        <w:instrText xml:space="preserve"> ADDIN ZOTERO_ITEM CSL_CITATION {"citationID":"asr3ungggk","properties":{"formattedCitation":"\\super 123\\nosupersub{}","plainCitation":"123","noteIndex":0},"citationItems":[{"id":1083,"uris":["http://zotero.org/groups/4669668/items/KN3YGSCR"],"itemData":{"id":1083,"type":"article-journal","abstract":"Microorganisms (microalgae and fungi) are currently the main sources of astaxanthin; however, this carotenoid also accumulates in crustaceans, salmonids, and birds. Seafood (derived from marine animals) processing wastes are significant sources of astaxanthin and can be employed as feed and for nutraceutical applications, where shrimp wastes are the most exploited seafood industry waste employed for astaxanthin extraction. This review discusses different sources, efficient environment-friendly extraction methods employed for astaxanthin extraction, biorefinery approaches for efficient extraction and future aspects of the application of these waste sources for commercial preparation of astaxanthin complexes. It also includes a brief overview of the advantages, disadvantages, and challenges for obtaining astaxanthin from various sources and various case scenarios integrating different biorefinery approaches.","container-title":"Critical Reviews in Biotechnology","DOI":"10.1080/07388551.2019.1573798","ISSN":"0738-8551","issue":"4","note":"number: 4\npublisher: Taylor &amp; Francis\n_eprint: https://doi.org/10.1080/07388551.2019.1573798\nPMID: 30939937","page":"469-488","source":"Taylor and Francis+NEJM","title":"Biorefinery approach and environment-friendly extraction for sustainable production of astaxanthin from marine wastes","volume":"39","author":[{"family":"Routray","given":"Winny"},{"family":"Dave","given":"Deepika"},{"family":"Cheema","given":"Sukhinder K."},{"family":"Ramakrishnan","given":"Vegneshwaran V."},{"family":"Pohling","given":"Julia"}],"issued":{"date-parts":[["2019",5,19]]}}}],"schema":"https://github.com/citation-style-language/schema/raw/master/csl-citation.json"} </w:instrText>
      </w:r>
      <w:r w:rsidRPr="000D1105">
        <w:rPr>
          <w:rFonts w:ascii="Times New Roman" w:hAnsi="Times New Roman" w:cs="Times New Roman"/>
        </w:rPr>
        <w:fldChar w:fldCharType="separate"/>
      </w:r>
      <w:r w:rsidR="008B3B23" w:rsidRPr="008B3B23">
        <w:rPr>
          <w:rFonts w:ascii="Times New Roman" w:hAnsi="Times New Roman" w:cs="Times New Roman"/>
          <w:szCs w:val="24"/>
          <w:vertAlign w:val="superscript"/>
        </w:rPr>
        <w:t>123</w:t>
      </w:r>
      <w:r w:rsidRPr="000D1105">
        <w:rPr>
          <w:rFonts w:ascii="Times New Roman" w:hAnsi="Times New Roman" w:cs="Times New Roman"/>
        </w:rPr>
        <w:fldChar w:fldCharType="end"/>
      </w:r>
      <w:r w:rsidRPr="000D1105">
        <w:rPr>
          <w:rFonts w:ascii="Times New Roman" w:hAnsi="Times New Roman" w:cs="Times New Roman"/>
        </w:rPr>
        <w:t xml:space="preserve">. The recovery of calcium can also be achieved from the bone of fish </w:t>
      </w:r>
      <w:r w:rsidRPr="000D1105">
        <w:rPr>
          <w:rFonts w:ascii="Times New Roman" w:hAnsi="Times New Roman" w:cs="Times New Roman"/>
        </w:rPr>
        <w:fldChar w:fldCharType="begin"/>
      </w:r>
      <w:r w:rsidR="00E831B2">
        <w:rPr>
          <w:rFonts w:ascii="Times New Roman" w:hAnsi="Times New Roman" w:cs="Times New Roman"/>
        </w:rPr>
        <w:instrText xml:space="preserve"> ADDIN ZOTERO_ITEM CSL_CITATION {"citationID":"a25m32t291m","properties":{"formattedCitation":"\\super 120\\nosupersub{}","plainCitation":"120","noteIndex":0},"citationItems":[{"id":1085,"uris":["http://zotero.org/groups/4669668/items/GL2RIFHF"],"itemData":{"id":1085,"type":"article-journal","abstract":"In intensive farming systems, fish are held at high densities, which may increase stress, leading to susceptibility to diseases that result in economic losses. Therefore, effective feeding practices incorporating health-promoting compounds such as proteins, hydrolysates and bioactive peptides that can stimulate the defence mechanisms of fish and achieve better growth are some of the priorities for sustainable aquaculture development. Globally, the fish processing industries generate and discard a large volume of waste every year, estimated at up to 60% of the harvested biomass. This waste can be converted to value-added products such as fish protein hydrolysate (FPH) with the addition of various proteolytic enzymes. FPH from fish processing waste including skin, heads, muscle, viscera, liver and bones is a good source of protein, amino acids, peptides and antioxidants and has been found to possess desirable functional and bioactive peptides. A moderate inclusion of FPH in aquafeeds has the potential to improve growth, feed utilization, immune functions and disease resistance of fish. Production of FPH, targeted to more precise molecular weight ranges, has superior functionalities that are in high demand. With interest in FPH as an aquafeed supplement, this review aimed to summarize the source, production processes and functional properties of FPH and the reported impact of FPH in aquafeed supplement on fish growth, survival, feed utilization, immune response and disease resistance. Possible limitations of using FPH and future research potential as an opportunity for the use of processing fish waste are also discussed.","container-title":"Reviews in Aquaculture","DOI":"10.1111/raq.12481","ISSN":"1753-5131","issue":"1","language":"en","note":"number: 1\n_eprint: https://onlinelibrary.wiley.com/doi/pdf/10.1111/raq.12481","page":"406-430","source":"Wiley Online Library","title":"Enzymatic fish protein hydrolysates in finfish aquaculture: a review","title-short":"Enzymatic fish protein hydrolysates in finfish aquaculture","volume":"13","author":[{"family":"Siddik","given":"Muhammad A.B."},{"family":"Howieson","given":"Janet"},{"family":"Fotedar","given":"Ravi"},{"family":"Partridge","given":"Gavin J."}],"issued":{"date-parts":[["2021"]]}}}],"schema":"https://github.com/citation-style-language/schema/raw/master/csl-citation.json"} </w:instrText>
      </w:r>
      <w:r w:rsidRPr="000D1105">
        <w:rPr>
          <w:rFonts w:ascii="Times New Roman" w:hAnsi="Times New Roman" w:cs="Times New Roman"/>
        </w:rPr>
        <w:fldChar w:fldCharType="separate"/>
      </w:r>
      <w:r w:rsidR="00E831B2" w:rsidRPr="00E831B2">
        <w:rPr>
          <w:rFonts w:ascii="Times New Roman" w:hAnsi="Times New Roman" w:cs="Times New Roman"/>
          <w:szCs w:val="24"/>
          <w:vertAlign w:val="superscript"/>
        </w:rPr>
        <w:t>120</w:t>
      </w:r>
      <w:r w:rsidRPr="000D1105">
        <w:rPr>
          <w:rFonts w:ascii="Times New Roman" w:hAnsi="Times New Roman" w:cs="Times New Roman"/>
        </w:rPr>
        <w:fldChar w:fldCharType="end"/>
      </w:r>
      <w:r w:rsidRPr="000D1105">
        <w:rPr>
          <w:rFonts w:ascii="Times New Roman" w:hAnsi="Times New Roman" w:cs="Times New Roman"/>
        </w:rPr>
        <w:t xml:space="preserve">, and </w:t>
      </w:r>
      <w:proofErr w:type="spellStart"/>
      <w:r w:rsidRPr="000D1105">
        <w:rPr>
          <w:rFonts w:ascii="Times New Roman" w:hAnsi="Times New Roman" w:cs="Times New Roman"/>
        </w:rPr>
        <w:t>mollusc</w:t>
      </w:r>
      <w:proofErr w:type="spellEnd"/>
      <w:r w:rsidRPr="000D1105">
        <w:rPr>
          <w:rFonts w:ascii="Times New Roman" w:hAnsi="Times New Roman" w:cs="Times New Roman"/>
        </w:rPr>
        <w:t xml:space="preserve"> shell waste that can be used as an aquafeed additive </w:t>
      </w:r>
      <w:r w:rsidRPr="000D1105">
        <w:rPr>
          <w:rFonts w:ascii="Times New Roman" w:hAnsi="Times New Roman" w:cs="Times New Roman"/>
        </w:rPr>
        <w:fldChar w:fldCharType="begin"/>
      </w:r>
      <w:r w:rsidR="00A15E6A">
        <w:rPr>
          <w:rFonts w:ascii="Times New Roman" w:hAnsi="Times New Roman" w:cs="Times New Roman"/>
        </w:rPr>
        <w:instrText xml:space="preserve"> ADDIN ZOTERO_ITEM CSL_CITATION {"citationID":"agtfa75fro","properties":{"formattedCitation":"\\super 124\\nosupersub{}","plainCitation":"124","noteIndex":0},"citationItems":[{"id":1090,"uris":["http://zotero.org/groups/4669668/items/IM2XBH4U"],"itemData":{"id":1090,"type":"article-journal","container-title":"JOURNAL OF CHEMICAL ENGINEERING OF JAPAN","issue":"Supplement.","note":"number: Supplement.\nISBN: 0021-9592\npublisher: The Society of Chemical Engineers, Japan","page":"s43-s49","title":"Recycling of shellfish wastes with a combined process of carbonate production and methane fermentation","volume":"42","author":[{"family":"Iizuka","given":"Atsushi"},{"family":"Kuji","given":"Yusuke"},{"family":"Kitajima","given":"Yoji"},{"family":"Kumagai","given":"Kazukiyo"},{"family":"Yamasaki","given":"Akihiro"},{"family":"Yanagisawa","given":"Yukio"}],"issued":{"date-parts":[["2009"]]}}}],"schema":"https://github.com/citation-style-language/schema/raw/master/csl-citation.json"} </w:instrText>
      </w:r>
      <w:r w:rsidRPr="000D1105">
        <w:rPr>
          <w:rFonts w:ascii="Times New Roman" w:hAnsi="Times New Roman" w:cs="Times New Roman"/>
        </w:rPr>
        <w:fldChar w:fldCharType="separate"/>
      </w:r>
      <w:r w:rsidR="00A15E6A" w:rsidRPr="00A15E6A">
        <w:rPr>
          <w:rFonts w:ascii="Times New Roman" w:hAnsi="Times New Roman" w:cs="Times New Roman"/>
          <w:szCs w:val="24"/>
          <w:vertAlign w:val="superscript"/>
        </w:rPr>
        <w:t>124</w:t>
      </w:r>
      <w:r w:rsidRPr="000D1105">
        <w:rPr>
          <w:rFonts w:ascii="Times New Roman" w:hAnsi="Times New Roman" w:cs="Times New Roman"/>
        </w:rPr>
        <w:fldChar w:fldCharType="end"/>
      </w:r>
      <w:r w:rsidRPr="000D1105">
        <w:rPr>
          <w:rFonts w:ascii="Times New Roman" w:hAnsi="Times New Roman" w:cs="Times New Roman"/>
        </w:rPr>
        <w:t>.</w:t>
      </w:r>
    </w:p>
    <w:p w14:paraId="284ACC7F" w14:textId="1428C371" w:rsidR="00E22B08" w:rsidRPr="007820B7" w:rsidRDefault="00E22B08" w:rsidP="00E22B08">
      <w:pPr>
        <w:spacing w:line="360" w:lineRule="auto"/>
        <w:ind w:firstLine="720"/>
        <w:contextualSpacing/>
        <w:jc w:val="both"/>
        <w:rPr>
          <w:rFonts w:ascii="Times New Roman" w:hAnsi="Times New Roman" w:cs="Times New Roman"/>
        </w:rPr>
      </w:pPr>
      <w:r w:rsidRPr="007820B7">
        <w:rPr>
          <w:rFonts w:ascii="Times New Roman" w:hAnsi="Times New Roman" w:cs="Times New Roman"/>
        </w:rPr>
        <w:t>The use of fisheries and aquaculture waste streams is not new to aquafeed with low</w:t>
      </w:r>
      <w:r>
        <w:rPr>
          <w:rFonts w:ascii="Times New Roman" w:hAnsi="Times New Roman" w:cs="Times New Roman"/>
        </w:rPr>
        <w:t xml:space="preserve"> </w:t>
      </w:r>
      <w:r w:rsidRPr="007820B7">
        <w:rPr>
          <w:rFonts w:ascii="Times New Roman" w:hAnsi="Times New Roman" w:cs="Times New Roman"/>
        </w:rPr>
        <w:t xml:space="preserve">value </w:t>
      </w:r>
      <w:r>
        <w:rPr>
          <w:rFonts w:ascii="Times New Roman" w:hAnsi="Times New Roman" w:cs="Times New Roman"/>
        </w:rPr>
        <w:t>FM and blended FO</w:t>
      </w:r>
      <w:r w:rsidRPr="007820B7">
        <w:rPr>
          <w:rFonts w:ascii="Times New Roman" w:hAnsi="Times New Roman" w:cs="Times New Roman"/>
        </w:rPr>
        <w:t xml:space="preserve"> being extensively exploited for many commercial farmed species. However, </w:t>
      </w:r>
      <w:r>
        <w:rPr>
          <w:rFonts w:ascii="Times New Roman" w:hAnsi="Times New Roman" w:cs="Times New Roman"/>
        </w:rPr>
        <w:t>many</w:t>
      </w:r>
      <w:r w:rsidRPr="007820B7">
        <w:rPr>
          <w:rFonts w:ascii="Times New Roman" w:hAnsi="Times New Roman" w:cs="Times New Roman"/>
        </w:rPr>
        <w:t xml:space="preserve"> of these end products are at the lower end of the market, and the opportunities and potentials are not fully realized. The application of state-of-the-art biorefinery processing such as hydrolysis, and fermentation can do more than just enhance nutrient bioavailability</w:t>
      </w:r>
      <w:r w:rsidR="006B17BF">
        <w:rPr>
          <w:rFonts w:ascii="Times New Roman" w:hAnsi="Times New Roman" w:cs="Times New Roman"/>
        </w:rPr>
        <w:t>.</w:t>
      </w:r>
      <w:r w:rsidRPr="007820B7">
        <w:rPr>
          <w:rFonts w:ascii="Times New Roman" w:hAnsi="Times New Roman" w:cs="Times New Roman"/>
        </w:rPr>
        <w:t xml:space="preserve"> </w:t>
      </w:r>
      <w:r w:rsidR="006B17BF">
        <w:rPr>
          <w:rFonts w:ascii="Times New Roman" w:hAnsi="Times New Roman" w:cs="Times New Roman"/>
        </w:rPr>
        <w:t>It</w:t>
      </w:r>
      <w:r w:rsidRPr="007820B7">
        <w:rPr>
          <w:rFonts w:ascii="Times New Roman" w:hAnsi="Times New Roman" w:cs="Times New Roman"/>
        </w:rPr>
        <w:t xml:space="preserve"> can produce new functional properties to the fisheries and aquaculture waste stream offering higher added value.</w:t>
      </w:r>
      <w:r w:rsidR="006B17BF">
        <w:rPr>
          <w:rFonts w:ascii="Times New Roman" w:hAnsi="Times New Roman" w:cs="Times New Roman"/>
        </w:rPr>
        <w:t xml:space="preserve"> More importantly, to fully exploit seafood waste as a circular aquafeed ingredient</w:t>
      </w:r>
      <w:r w:rsidR="007C3F65">
        <w:rPr>
          <w:rFonts w:ascii="Times New Roman" w:hAnsi="Times New Roman" w:cs="Times New Roman"/>
        </w:rPr>
        <w:t xml:space="preserve">, </w:t>
      </w:r>
      <w:r w:rsidR="006B17BF">
        <w:rPr>
          <w:rFonts w:ascii="Times New Roman" w:hAnsi="Times New Roman" w:cs="Times New Roman"/>
        </w:rPr>
        <w:t>logistical and economical barriers</w:t>
      </w:r>
      <w:r w:rsidR="00F1449E">
        <w:rPr>
          <w:rFonts w:ascii="Times New Roman" w:hAnsi="Times New Roman" w:cs="Times New Roman"/>
        </w:rPr>
        <w:t xml:space="preserve"> must be overcome</w:t>
      </w:r>
      <w:r w:rsidR="006B17BF">
        <w:rPr>
          <w:rFonts w:ascii="Times New Roman" w:hAnsi="Times New Roman" w:cs="Times New Roman"/>
        </w:rPr>
        <w:t>. Th</w:t>
      </w:r>
      <w:r w:rsidR="00F1449E">
        <w:rPr>
          <w:rFonts w:ascii="Times New Roman" w:hAnsi="Times New Roman" w:cs="Times New Roman"/>
        </w:rPr>
        <w:t xml:space="preserve">is can </w:t>
      </w:r>
      <w:r w:rsidR="006B17BF">
        <w:rPr>
          <w:rFonts w:ascii="Times New Roman" w:hAnsi="Times New Roman" w:cs="Times New Roman"/>
        </w:rPr>
        <w:t xml:space="preserve">relate to the issue of transporting highwater content and highly perishable seafood waste to a centralized render/processor, which can incur significant transport costs. </w:t>
      </w:r>
      <w:r w:rsidR="00B41ADC">
        <w:rPr>
          <w:rFonts w:ascii="Times New Roman" w:hAnsi="Times New Roman" w:cs="Times New Roman"/>
        </w:rPr>
        <w:t>Some</w:t>
      </w:r>
      <w:r w:rsidR="006B17BF">
        <w:rPr>
          <w:rFonts w:ascii="Times New Roman" w:hAnsi="Times New Roman" w:cs="Times New Roman"/>
        </w:rPr>
        <w:t xml:space="preserve"> processors produce seafood waste </w:t>
      </w:r>
      <w:r w:rsidR="00B41ADC">
        <w:rPr>
          <w:rFonts w:ascii="Times New Roman" w:hAnsi="Times New Roman" w:cs="Times New Roman"/>
        </w:rPr>
        <w:t>in low quantities</w:t>
      </w:r>
      <w:r w:rsidR="006B17BF">
        <w:rPr>
          <w:rFonts w:ascii="Times New Roman" w:hAnsi="Times New Roman" w:cs="Times New Roman"/>
        </w:rPr>
        <w:t xml:space="preserve"> or </w:t>
      </w:r>
      <w:r w:rsidR="00C0496D">
        <w:rPr>
          <w:rFonts w:ascii="Times New Roman" w:hAnsi="Times New Roman" w:cs="Times New Roman"/>
        </w:rPr>
        <w:t xml:space="preserve">produced </w:t>
      </w:r>
      <w:r w:rsidR="006B17BF">
        <w:rPr>
          <w:rFonts w:ascii="Times New Roman" w:hAnsi="Times New Roman" w:cs="Times New Roman"/>
        </w:rPr>
        <w:t xml:space="preserve">infrequently </w:t>
      </w:r>
      <w:r w:rsidR="00C0496D">
        <w:rPr>
          <w:rFonts w:ascii="Times New Roman" w:hAnsi="Times New Roman" w:cs="Times New Roman"/>
        </w:rPr>
        <w:t>which is not enough to be</w:t>
      </w:r>
      <w:r w:rsidR="006B17BF">
        <w:rPr>
          <w:rFonts w:ascii="Times New Roman" w:hAnsi="Times New Roman" w:cs="Times New Roman"/>
        </w:rPr>
        <w:t xml:space="preserve"> economically viable for collection and processing, e.g., fishmongers. A coordinated and incentivized approach is required to capture and utilize these waste streams, e.g., sustainability certification (ecolabeling) for circular economy aquafeed ingredients, and life cycle analysis to show environmental impact reduction</w:t>
      </w:r>
      <w:r w:rsidR="004C0F3B">
        <w:rPr>
          <w:rFonts w:ascii="Times New Roman" w:hAnsi="Times New Roman" w:cs="Times New Roman"/>
        </w:rPr>
        <w:fldChar w:fldCharType="begin"/>
      </w:r>
      <w:r w:rsidR="00566D6A">
        <w:rPr>
          <w:rFonts w:ascii="Times New Roman" w:hAnsi="Times New Roman" w:cs="Times New Roman"/>
        </w:rPr>
        <w:instrText xml:space="preserve"> ADDIN ZOTERO_ITEM CSL_CITATION {"citationID":"a1dnfo70j61","properties":{"formattedCitation":"\\super 125\\nosupersub{}","plainCitation":"125","noteIndex":0},"citationItems":[{"id":1843,"uris":["http://zotero.org/users/9431846/items/HKZB3GSA"],"itemData":{"id":1843,"type":"article-journal","abstract":"Fisheries and aquaculture are becoming a focus of societal concern driven by globalization and increasing environmental degradation, mainly caused by climate change and marine litter. In response to this problem, the European Atlantic Area NEPTUNUS project aims to support and inform about the sustainability of the seafood sector, boosting the transition towards a circular economy through defining eco-innovation approaches and a steady methodology for eco-labelling products. This timely trans-regional European project proposes key corrective actions for positively influencing resource efficiency by addressing a life cycle thinking and involving all stakeholders in decision-making processes, harnessing the water-energy-seafood nexus. This paper presents inter-related objectives, methodologies and cues to action that will potentially meet these challenges that are aligned with many of the United Nations Sustainable Development Goals and European policy frameworks (e.g., Farm to Fork, European Green Deal).","container-title":"Sustainability","DOI":"10.3390/su14053054","ISSN":"2071-1050","issue":"5","journalAbbreviation":"Sustainability","language":"en","page":"3054","source":"DOI.org (Crossref)","title":"Achieving Sustainability of the Seafood Sector in the European Atlantic Area by Addressing Eco-Social Challenges: The NEPTUNUS Project","title-short":"Achieving Sustainability of the Seafood Sector in the European Atlantic Area by Addressing Eco-Social Challenges","volume":"14","author":[{"family":"Laso","given":"Jara"},{"family":"Ruiz-Salmón","given":"Israel"},{"family":"Margallo","given":"María"},{"family":"Villanueva-Rey","given":"Pedro"},{"family":"Poceiro","given":"Lucía"},{"family":"Quinteiro","given":"Paula"},{"family":"Dias","given":"Ana Cláudia"},{"family":"Almeida","given":"Cheila"},{"family":"Marques","given":"António"},{"family":"Entrena-Barbero","given":"Eduardo"},{"family":"Moreira","given":"María Teresa"},{"family":"Feijoo","given":"Gumersindo"},{"family":"Loubet","given":"Philippe"},{"family":"Sonnemann","given":"Guido"},{"family":"Cooney","given":"Ronan"},{"family":"Clifford","given":"Eoghan"},{"family":"Regueiro","given":"Leticia"},{"family":"Sousa","given":"David Alonso Baptista","dropping-particle":"de"},{"family":"Jacob","given":"Céline"},{"family":"Noirot","given":"Christelle"},{"family":"Martin","given":"Jean-Christophe"},{"family":"Raffray","given":"Morgan"},{"family":"Rowan","given":"Neil"},{"family":"Mellett","given":"Sinead"},{"family":"Aldaco","given":"Rubén"}],"issued":{"date-parts":[["2022",3,5]]}}}],"schema":"https://github.com/citation-style-language/schema/raw/master/csl-citation.json"} </w:instrText>
      </w:r>
      <w:r w:rsidR="004C0F3B">
        <w:rPr>
          <w:rFonts w:ascii="Times New Roman" w:hAnsi="Times New Roman" w:cs="Times New Roman"/>
        </w:rPr>
        <w:fldChar w:fldCharType="separate"/>
      </w:r>
      <w:r w:rsidR="00566D6A" w:rsidRPr="00566D6A">
        <w:rPr>
          <w:rFonts w:ascii="Times New Roman" w:hAnsi="Times New Roman" w:cs="Times New Roman"/>
          <w:szCs w:val="24"/>
          <w:vertAlign w:val="superscript"/>
        </w:rPr>
        <w:t>125</w:t>
      </w:r>
      <w:r w:rsidR="004C0F3B">
        <w:rPr>
          <w:rFonts w:ascii="Times New Roman" w:hAnsi="Times New Roman" w:cs="Times New Roman"/>
        </w:rPr>
        <w:fldChar w:fldCharType="end"/>
      </w:r>
      <w:r w:rsidR="00D262F2">
        <w:rPr>
          <w:rFonts w:ascii="Times New Roman" w:hAnsi="Times New Roman" w:cs="Times New Roman"/>
        </w:rPr>
        <w:t>.</w:t>
      </w:r>
    </w:p>
    <w:p w14:paraId="744FBF9E" w14:textId="77777777" w:rsidR="00E22B08" w:rsidRPr="00632E3C" w:rsidRDefault="00E22B08" w:rsidP="00E22B08">
      <w:pPr>
        <w:spacing w:line="360" w:lineRule="auto"/>
        <w:contextualSpacing/>
        <w:jc w:val="both"/>
        <w:rPr>
          <w:rFonts w:ascii="Times New Roman" w:hAnsi="Times New Roman" w:cs="Times New Roman"/>
          <w:sz w:val="28"/>
          <w:szCs w:val="28"/>
        </w:rPr>
      </w:pPr>
      <w:r w:rsidRPr="00632E3C">
        <w:rPr>
          <w:rFonts w:ascii="Times New Roman" w:hAnsi="Times New Roman" w:cs="Times New Roman"/>
          <w:b/>
          <w:bCs/>
          <w:sz w:val="28"/>
          <w:szCs w:val="28"/>
        </w:rPr>
        <w:t>Terrestrial animal by-products</w:t>
      </w:r>
    </w:p>
    <w:p w14:paraId="3276F601" w14:textId="64CD3643" w:rsidR="00E22B08" w:rsidRPr="003B0CF9" w:rsidRDefault="00E22B08" w:rsidP="00E22B08">
      <w:pPr>
        <w:spacing w:line="360" w:lineRule="auto"/>
        <w:ind w:firstLine="720"/>
        <w:contextualSpacing/>
        <w:jc w:val="both"/>
        <w:rPr>
          <w:rFonts w:ascii="Times New Roman" w:hAnsi="Times New Roman" w:cs="Times New Roman"/>
        </w:rPr>
      </w:pPr>
      <w:r w:rsidRPr="003B0CF9">
        <w:rPr>
          <w:rFonts w:ascii="Times New Roman" w:hAnsi="Times New Roman" w:cs="Times New Roman"/>
        </w:rPr>
        <w:t xml:space="preserve">Terrestrial animal by-products (ABP) generally consist of animal parts considered unsuitable for human consumption, </w:t>
      </w:r>
      <w:r w:rsidR="002544E2">
        <w:rPr>
          <w:rFonts w:ascii="Times New Roman" w:hAnsi="Times New Roman" w:cs="Times New Roman"/>
        </w:rPr>
        <w:t>and include</w:t>
      </w:r>
      <w:r w:rsidR="002544E2" w:rsidRPr="003B0CF9">
        <w:rPr>
          <w:rFonts w:ascii="Times New Roman" w:hAnsi="Times New Roman" w:cs="Times New Roman"/>
        </w:rPr>
        <w:t xml:space="preserve"> </w:t>
      </w:r>
      <w:r w:rsidRPr="003B0CF9">
        <w:rPr>
          <w:rFonts w:ascii="Times New Roman" w:hAnsi="Times New Roman" w:cs="Times New Roman"/>
        </w:rPr>
        <w:t xml:space="preserve">organs, fat, skin, feet, abdominal and intestinal contents, bone, and blood. In the US and EU alone, more than 40 million tonnes of ABP are produced per annum </w:t>
      </w:r>
      <w:r w:rsidRPr="003B0CF9">
        <w:rPr>
          <w:rFonts w:ascii="Times New Roman" w:hAnsi="Times New Roman" w:cs="Times New Roman"/>
        </w:rPr>
        <w:fldChar w:fldCharType="begin"/>
      </w:r>
      <w:r w:rsidR="00FB0746">
        <w:rPr>
          <w:rFonts w:ascii="Times New Roman" w:hAnsi="Times New Roman" w:cs="Times New Roman"/>
        </w:rPr>
        <w:instrText xml:space="preserve"> ADDIN ZOTERO_ITEM CSL_CITATION {"citationID":"auqeg41jo7","properties":{"formattedCitation":"\\super 126\\nosupersub{}","plainCitation":"126","noteIndex":0},"citationItems":[{"id":1098,"uris":["http://zotero.org/groups/4669668/items/PACMY8XC"],"itemData":{"id":1098,"type":"article-journal","abstract":"Meat industry generates large volumes of by-products like blood, bones, meat trimmings, skin, fatty tissues, horns, hoofs, feet, skull and viscera among others that are costly to be treated and disposed ecologically. These costs can be balanced through innovation to generate added value products that increase its profitability. Rendering results in feed ingredients for livestock, poultry and aquaculture as well as for pet foods. Energy valorization can be obtained through the thermochemical processing of meat and bone meal or the use of waste animal fats for the production of biodiesel. More recently, new applications have been reported like the production of polyhydroxyalkanoates as alternative to plastics produced from petroleum. Other interesting valorization strategies are based on the hydrolysis of by-products to obtain added value products like bioactive peptides with relevant physiological effects as antihypertensive, antioxidant, antidiabetic, antimicrobial, etc. with promising applications in the food, pharmaceutical and cosmetics industry. This paper reports and discusses the latest developments and trends in the use and valorisation of meat industry by-products.","collection-title":"Meat for Global Sustainability: 62nd International Congress of Meat Science and Technology (62nd ICoMST), August 14-19, 2016, Bangkok, Thailand","container-title":"Meat Science","DOI":"10.1016/j.meatsci.2016.04.021","ISSN":"0309-1740","journalAbbreviation":"Meat Science","language":"en","page":"54-59","source":"ScienceDirect","title":"New insights into meat by-product utilization","volume":"120","author":[{"family":"Toldrá","given":"Fidel"},{"family":"Mora","given":"Leticia"},{"family":"Reig","given":"Milagro"}],"issued":{"date-parts":[["2016",10,1]]}}}],"schema":"https://github.com/citation-style-language/schema/raw/master/csl-citation.json"} </w:instrText>
      </w:r>
      <w:r w:rsidRPr="003B0CF9">
        <w:rPr>
          <w:rFonts w:ascii="Times New Roman" w:hAnsi="Times New Roman" w:cs="Times New Roman"/>
        </w:rPr>
        <w:fldChar w:fldCharType="separate"/>
      </w:r>
      <w:r w:rsidR="00FB0746" w:rsidRPr="00FB0746">
        <w:rPr>
          <w:rFonts w:ascii="Times New Roman" w:hAnsi="Times New Roman" w:cs="Times New Roman"/>
          <w:szCs w:val="24"/>
          <w:vertAlign w:val="superscript"/>
        </w:rPr>
        <w:t>126</w:t>
      </w:r>
      <w:r w:rsidRPr="003B0CF9">
        <w:rPr>
          <w:rFonts w:ascii="Times New Roman" w:hAnsi="Times New Roman" w:cs="Times New Roman"/>
        </w:rPr>
        <w:fldChar w:fldCharType="end"/>
      </w:r>
      <w:r w:rsidRPr="003B0CF9">
        <w:rPr>
          <w:rFonts w:ascii="Times New Roman" w:hAnsi="Times New Roman" w:cs="Times New Roman"/>
        </w:rPr>
        <w:t xml:space="preserve">, equating to a range of meal and oil products </w:t>
      </w:r>
      <w:r w:rsidR="00557662">
        <w:rPr>
          <w:rFonts w:ascii="Times New Roman" w:hAnsi="Times New Roman" w:cs="Times New Roman"/>
        </w:rPr>
        <w:t>such as</w:t>
      </w:r>
      <w:r w:rsidR="00557662" w:rsidRPr="003B0CF9">
        <w:rPr>
          <w:rFonts w:ascii="Times New Roman" w:hAnsi="Times New Roman" w:cs="Times New Roman"/>
        </w:rPr>
        <w:t xml:space="preserve"> </w:t>
      </w:r>
      <w:r w:rsidRPr="003B0CF9">
        <w:rPr>
          <w:rFonts w:ascii="Times New Roman" w:hAnsi="Times New Roman" w:cs="Times New Roman"/>
        </w:rPr>
        <w:t xml:space="preserve">meat and bone (M&amp;B) meal, blood meal, poultry offal meal (POM), </w:t>
      </w:r>
      <w:r w:rsidR="00557662">
        <w:rPr>
          <w:rFonts w:ascii="Times New Roman" w:hAnsi="Times New Roman" w:cs="Times New Roman"/>
        </w:rPr>
        <w:t xml:space="preserve">processed animal proteins (PAP, </w:t>
      </w:r>
      <w:r w:rsidRPr="003B0CF9">
        <w:rPr>
          <w:rFonts w:ascii="Times New Roman" w:hAnsi="Times New Roman" w:cs="Times New Roman"/>
        </w:rPr>
        <w:t>poultry by-product oil (</w:t>
      </w:r>
      <w:proofErr w:type="spellStart"/>
      <w:r w:rsidRPr="003B0CF9">
        <w:rPr>
          <w:rFonts w:ascii="Times New Roman" w:hAnsi="Times New Roman" w:cs="Times New Roman"/>
        </w:rPr>
        <w:t>PbO</w:t>
      </w:r>
      <w:proofErr w:type="spellEnd"/>
      <w:r w:rsidRPr="003B0CF9">
        <w:rPr>
          <w:rFonts w:ascii="Times New Roman" w:hAnsi="Times New Roman" w:cs="Times New Roman"/>
        </w:rPr>
        <w:t xml:space="preserve">), and tallow (TAL). The majority of terrestrial ABP originate from lamb, cattle, pig and chicken, with the associated edible </w:t>
      </w:r>
      <w:r w:rsidRPr="000B163D">
        <w:rPr>
          <w:rFonts w:ascii="Times New Roman" w:hAnsi="Times New Roman" w:cs="Times New Roman"/>
        </w:rPr>
        <w:t>(</w:t>
      </w:r>
      <w:r w:rsidR="000B163D" w:rsidRPr="000B163D">
        <w:rPr>
          <w:rFonts w:ascii="Times New Roman" w:hAnsi="Times New Roman" w:cs="Times New Roman"/>
        </w:rPr>
        <w:t xml:space="preserve">for livestock, </w:t>
      </w:r>
      <w:r w:rsidRPr="000B163D">
        <w:rPr>
          <w:rFonts w:ascii="Times New Roman" w:hAnsi="Times New Roman" w:cs="Times New Roman"/>
        </w:rPr>
        <w:t>but not for human consumption)</w:t>
      </w:r>
      <w:r w:rsidRPr="003B0CF9">
        <w:rPr>
          <w:rFonts w:ascii="Times New Roman" w:hAnsi="Times New Roman" w:cs="Times New Roman"/>
        </w:rPr>
        <w:t xml:space="preserve"> by-products representing approximately 17-35% of the live animal weight, respectively </w:t>
      </w:r>
      <w:r w:rsidRPr="003B0CF9">
        <w:rPr>
          <w:rFonts w:ascii="Times New Roman" w:hAnsi="Times New Roman" w:cs="Times New Roman"/>
        </w:rPr>
        <w:fldChar w:fldCharType="begin"/>
      </w:r>
      <w:r w:rsidR="009E7A08">
        <w:rPr>
          <w:rFonts w:ascii="Times New Roman" w:hAnsi="Times New Roman" w:cs="Times New Roman"/>
        </w:rPr>
        <w:instrText xml:space="preserve"> ADDIN ZOTERO_ITEM CSL_CITATION {"citationID":"a9ksgmaeng","properties":{"unsorted":true,"formattedCitation":"\\super 127\\uc0\\u8211{}129\\nosupersub{}","plainCitation":"127–129","noteIndex":0},"citationItems":[{"id":976,"uris":["http://zotero.org/groups/4669668/items/QRJZLXYV"],"itemData":{"id":976,"type":"chapter","container-title":"Pollution prevention and abatement handbook","ISBN":"978-0-8213-3638-0","language":"en","note":"DOI: 10.1596/0-8213-3638-X","page":"337-340","publisher":"The World Bank","source":"DOI.org (Crossref)","title":"Meat processing and rendering","URL":"http://elibrary.worldbank.org/doi/book/10.1596/0-8213-3638-X","author":[{"literal":"World Bank"}],"accessed":{"date-parts":[["2022",4,24]]},"issued":{"date-parts":[["1998"]]}}},{"id":993,"uris":["http://zotero.org/groups/4669668/items/UKS5N5SU"],"itemData":{"id":993,"type":"article-journal","container-title":"Journal of Current Issues in Globalization","issue":"4","note":"ISBN: 1935-3561\npublisher: Nova Science Publishers, Inc.","page":"397","title":"Where's the (not) meat? Byproducts from beef and pork production","volume":"5","author":[{"family":"Marti","given":"Daniel L."},{"family":"Johnson","given":"Rachel J."},{"family":"Mathews Jr","given":"Kenneth H."}],"issued":{"date-parts":[["2011"]]}}},{"id":994,"uris":["http://zotero.org/groups/4669668/items/PR2G4YII"],"itemData":{"id":994,"type":"book","edition":"1","ISBN":"978-1-4020-1527-4","number-of-pages":"573","publisher":"Springer Dordrecht","title":"Handbook on ingredients for aquaculture feeds","URL":"https://doi.org/10.1007/978-94-011-4018-8","author":[{"family":"Hertrampf","given":"Joachim W."},{"family":"Piedad-Pascual","given":"Felicitas"}],"issued":{"date-parts":[["2000"]]}}}],"schema":"https://github.com/citation-style-language/schema/raw/master/csl-citation.json"} </w:instrText>
      </w:r>
      <w:r w:rsidRPr="003B0CF9">
        <w:rPr>
          <w:rFonts w:ascii="Times New Roman" w:hAnsi="Times New Roman" w:cs="Times New Roman"/>
        </w:rPr>
        <w:fldChar w:fldCharType="separate"/>
      </w:r>
      <w:r w:rsidR="009E7A08" w:rsidRPr="009E7A08">
        <w:rPr>
          <w:rFonts w:ascii="Times New Roman" w:hAnsi="Times New Roman" w:cs="Times New Roman"/>
          <w:szCs w:val="24"/>
          <w:vertAlign w:val="superscript"/>
        </w:rPr>
        <w:t>127–129</w:t>
      </w:r>
      <w:r w:rsidRPr="003B0CF9">
        <w:rPr>
          <w:rFonts w:ascii="Times New Roman" w:hAnsi="Times New Roman" w:cs="Times New Roman"/>
        </w:rPr>
        <w:fldChar w:fldCharType="end"/>
      </w:r>
      <w:r w:rsidRPr="003B0CF9">
        <w:rPr>
          <w:rFonts w:ascii="Times New Roman" w:hAnsi="Times New Roman" w:cs="Times New Roman"/>
        </w:rPr>
        <w:t xml:space="preserve">. Although these by-products are considered unfit for direct human consumption, their </w:t>
      </w:r>
      <w:proofErr w:type="spellStart"/>
      <w:r w:rsidRPr="003B0CF9">
        <w:rPr>
          <w:rFonts w:ascii="Times New Roman" w:hAnsi="Times New Roman" w:cs="Times New Roman"/>
        </w:rPr>
        <w:lastRenderedPageBreak/>
        <w:t>utilisation</w:t>
      </w:r>
      <w:proofErr w:type="spellEnd"/>
      <w:r w:rsidRPr="003B0CF9">
        <w:rPr>
          <w:rFonts w:ascii="Times New Roman" w:hAnsi="Times New Roman" w:cs="Times New Roman"/>
        </w:rPr>
        <w:t xml:space="preserve"> as a potential substitute for limited resources within aquafeeds is a viable, circular, and environmentally sustainable option.</w:t>
      </w:r>
    </w:p>
    <w:p w14:paraId="18C84388" w14:textId="78279226" w:rsidR="00E22B08" w:rsidRPr="003B0CF9" w:rsidRDefault="00E22B08" w:rsidP="00E22B08">
      <w:pPr>
        <w:spacing w:line="360" w:lineRule="auto"/>
        <w:ind w:firstLine="720"/>
        <w:contextualSpacing/>
        <w:jc w:val="both"/>
        <w:rPr>
          <w:rFonts w:ascii="Times New Roman" w:hAnsi="Times New Roman" w:cs="Times New Roman"/>
        </w:rPr>
      </w:pPr>
      <w:r w:rsidRPr="003B0CF9">
        <w:rPr>
          <w:rFonts w:ascii="Times New Roman" w:hAnsi="Times New Roman" w:cs="Times New Roman"/>
        </w:rPr>
        <w:t xml:space="preserve">For ABP to enter the feed industry and become part of the circular economy, </w:t>
      </w:r>
      <w:r w:rsidR="00DB4B29">
        <w:rPr>
          <w:rFonts w:ascii="Times New Roman" w:hAnsi="Times New Roman" w:cs="Times New Roman"/>
        </w:rPr>
        <w:t>they must first</w:t>
      </w:r>
      <w:r w:rsidRPr="003B0CF9">
        <w:rPr>
          <w:rFonts w:ascii="Times New Roman" w:hAnsi="Times New Roman" w:cs="Times New Roman"/>
        </w:rPr>
        <w:t xml:space="preserve"> be converted into stable, usable products. Rendering is the combination of heat, time and pressure to </w:t>
      </w:r>
      <w:proofErr w:type="spellStart"/>
      <w:r w:rsidRPr="003B0CF9">
        <w:rPr>
          <w:rFonts w:ascii="Times New Roman" w:hAnsi="Times New Roman" w:cs="Times New Roman"/>
        </w:rPr>
        <w:t>stabilise</w:t>
      </w:r>
      <w:proofErr w:type="spellEnd"/>
      <w:r w:rsidRPr="003B0CF9">
        <w:rPr>
          <w:rFonts w:ascii="Times New Roman" w:hAnsi="Times New Roman" w:cs="Times New Roman"/>
        </w:rPr>
        <w:t xml:space="preserve"> raw materials, evaporate the water content and ensure sterilization </w:t>
      </w:r>
      <w:r w:rsidRPr="003B0CF9">
        <w:rPr>
          <w:rFonts w:ascii="Times New Roman" w:hAnsi="Times New Roman" w:cs="Times New Roman"/>
        </w:rPr>
        <w:fldChar w:fldCharType="begin"/>
      </w:r>
      <w:r w:rsidR="001117E4">
        <w:rPr>
          <w:rFonts w:ascii="Times New Roman" w:hAnsi="Times New Roman" w:cs="Times New Roman"/>
        </w:rPr>
        <w:instrText xml:space="preserve"> ADDIN ZOTERO_ITEM CSL_CITATION {"citationID":"a2mofdtn1u8","properties":{"formattedCitation":"\\super 130,131\\nosupersub{}","plainCitation":"130,131","noteIndex":0},"citationItems":[{"id":1071,"uris":["http://zotero.org/groups/4669668/items/NDKP8L6G"],"itemData":{"id":1071,"type":"article-journal","abstract":"Re-authorization of processed animal proteins (PAPs) in EU, derived from by-products of human food production, could increase manufacturing of proteins for feed ingredients and reduce the need of imported proteins mainly of plant origin. The PAPs production is largely done by the rendering process during which authorized animal by-products are heat treated to extract valuable protein and animal fat, ensuring sterilizing conditions of raw incoming materials. Proteins exposure to certain processing conditions induces two important chemical changes, racemization of amino acids and formation of cross-linked amino acid. These changes are associated with appreciable reduction of protein digestibility and nutritional value. The aim of this study was to verify the effect of heat treatment on amino acid racemization in processed animal proteins of poultry origin and related nutritional implications by evaluation of their in vitro digestibility. The results reported confirm the detection of racemized amino acids in processed animal proteins, especially D-aspartic acid, as realistic indicators of thermal treatments during PAP manufacturing. In our results, the severe (115°C) and prolonged heat treatment (180 minutes) revealed a D-Asp content of 28.1%.Prolongation of temperature treatment (20, 30 and 180 min, at 115°C) significantly (P&lt;0.05) affects in vitro protein digestibility, which decrease from 86.0%, in no-treated sample, to 78.3% and 79.1% after 20 and 30 min, respectively, and to 76.3% after 180 min. The processing conditions applied during PAPs preparations and the racemization of proteins amino acids may reasonably be involved in the loss of protein quality.","container-title":"Italian Journal of Animal Science","DOI":"10.4081/ijas.2015.3770","ISSN":"null","issue":"2","note":"publisher: Taylor &amp; Francis\n_eprint: https://doi.org/10.4081/ijas.2015.3770","page":"3770","source":"Taylor and Francis+NEJM","title":"The impact of processing on amino acid racemization and protein quality in processed animal proteins of poultry origin","volume":"14","author":[{"family":"Bellagamba","given":"Federica"},{"family":"Caprino","given":"Fabio"},{"family":"Mentasti","given":"Tiziana"},{"family":"Vasconi","given":"Mauro"},{"family":"Moretti","given":"Vittorio Maria"}],"issued":{"date-parts":[["2015",1,1]]}}},{"id":1109,"uris":["http://zotero.org/groups/4669668/items/FT8C4CRF"],"itemData":{"id":1109,"type":"article-journal","container-title":"Essential rendering","note":"publisher: National Renderers Association Alexandria (VA)","page":"1-16","title":"An overview of the rendering industry","author":[{"family":"Meeker","given":"David L."},{"family":"Hamilton","given":"C. R."}],"issued":{"date-parts":[["2006"]]}}}],"schema":"https://github.com/citation-style-language/schema/raw/master/csl-citation.json"} </w:instrText>
      </w:r>
      <w:r w:rsidRPr="003B0CF9">
        <w:rPr>
          <w:rFonts w:ascii="Times New Roman" w:hAnsi="Times New Roman" w:cs="Times New Roman"/>
        </w:rPr>
        <w:fldChar w:fldCharType="separate"/>
      </w:r>
      <w:r w:rsidR="001117E4" w:rsidRPr="001117E4">
        <w:rPr>
          <w:rFonts w:ascii="Times New Roman" w:hAnsi="Times New Roman" w:cs="Times New Roman"/>
          <w:szCs w:val="24"/>
          <w:vertAlign w:val="superscript"/>
        </w:rPr>
        <w:t>130,131</w:t>
      </w:r>
      <w:r w:rsidRPr="003B0CF9">
        <w:rPr>
          <w:rFonts w:ascii="Times New Roman" w:hAnsi="Times New Roman" w:cs="Times New Roman"/>
        </w:rPr>
        <w:fldChar w:fldCharType="end"/>
      </w:r>
      <w:r w:rsidRPr="003B0CF9">
        <w:rPr>
          <w:rFonts w:ascii="Times New Roman" w:hAnsi="Times New Roman" w:cs="Times New Roman"/>
        </w:rPr>
        <w:t xml:space="preserve">. ABP can be dry rendered, where raw materials are heated in a steam-jacket vessel, or wet rendered, where steam is injected directly into the rendering tank with the raw materials </w:t>
      </w:r>
      <w:r w:rsidRPr="003B0CF9">
        <w:rPr>
          <w:rFonts w:ascii="Times New Roman" w:hAnsi="Times New Roman" w:cs="Times New Roman"/>
        </w:rPr>
        <w:fldChar w:fldCharType="begin"/>
      </w:r>
      <w:r w:rsidR="007C750A">
        <w:rPr>
          <w:rFonts w:ascii="Times New Roman" w:hAnsi="Times New Roman" w:cs="Times New Roman"/>
        </w:rPr>
        <w:instrText xml:space="preserve"> ADDIN ZOTERO_ITEM CSL_CITATION {"citationID":"a1du4851gsa","properties":{"formattedCitation":"\\super 131,132\\nosupersub{}","plainCitation":"131,132","noteIndex":0},"citationItems":[{"id":998,"uris":["http://zotero.org/groups/4669668/items/LPNXFBPV"],"itemData":{"id":998,"type":"chapter","container-title":"Alternative protein sources in aquaculture diets","ISBN":"978-0-367-38774-7","language":"English","page":"95-116","publisher":"The Haworth Press New York, NY","title":"Use of meatpacking by-products in fish diets","author":[{"family":"Li","given":"M. H"},{"family":"Robinson","given":"E. H"},{"family":"Lim","given":"C. E"}],"editor":[{"family":"Lim","given":"C. E"},{"family":"Webster","given":"C.D"},{"family":"Lee","given":"C.S"}],"issued":{"date-parts":[["2008"]]}}},{"id":1109,"uris":["http://zotero.org/groups/4669668/items/FT8C4CRF"],"itemData":{"id":1109,"type":"article-journal","container-title":"Essential rendering","note":"publisher: National Renderers Association Alexandria (VA)","page":"1-16","title":"An overview of the rendering industry","author":[{"family":"Meeker","given":"David L."},{"family":"Hamilton","given":"C. R."}],"issued":{"date-parts":[["2006"]]}}}],"schema":"https://github.com/citation-style-language/schema/raw/master/csl-citation.json"} </w:instrText>
      </w:r>
      <w:r w:rsidRPr="003B0CF9">
        <w:rPr>
          <w:rFonts w:ascii="Times New Roman" w:hAnsi="Times New Roman" w:cs="Times New Roman"/>
        </w:rPr>
        <w:fldChar w:fldCharType="separate"/>
      </w:r>
      <w:r w:rsidR="007C750A" w:rsidRPr="007C750A">
        <w:rPr>
          <w:rFonts w:ascii="Times New Roman" w:hAnsi="Times New Roman" w:cs="Times New Roman"/>
          <w:szCs w:val="24"/>
          <w:vertAlign w:val="superscript"/>
        </w:rPr>
        <w:t>131,132</w:t>
      </w:r>
      <w:r w:rsidRPr="003B0CF9">
        <w:rPr>
          <w:rFonts w:ascii="Times New Roman" w:hAnsi="Times New Roman" w:cs="Times New Roman"/>
        </w:rPr>
        <w:fldChar w:fldCharType="end"/>
      </w:r>
      <w:r w:rsidRPr="003B0CF9">
        <w:rPr>
          <w:rFonts w:ascii="Times New Roman" w:hAnsi="Times New Roman" w:cs="Times New Roman"/>
        </w:rPr>
        <w:t xml:space="preserve">. During the rendering process, moisture is </w:t>
      </w:r>
      <w:bookmarkStart w:id="0" w:name="OLE_LINK47"/>
      <w:r w:rsidRPr="003B0CF9">
        <w:rPr>
          <w:rFonts w:ascii="Times New Roman" w:hAnsi="Times New Roman" w:cs="Times New Roman"/>
        </w:rPr>
        <w:t xml:space="preserve">removed and fats are released by </w:t>
      </w:r>
      <w:bookmarkEnd w:id="0"/>
      <w:r w:rsidRPr="003B0CF9">
        <w:rPr>
          <w:rFonts w:ascii="Times New Roman" w:hAnsi="Times New Roman" w:cs="Times New Roman"/>
        </w:rPr>
        <w:t xml:space="preserve">draining and pressing for refinement </w:t>
      </w:r>
      <w:r w:rsidRPr="003B0CF9">
        <w:rPr>
          <w:rFonts w:ascii="Times New Roman" w:hAnsi="Times New Roman" w:cs="Times New Roman"/>
        </w:rPr>
        <w:fldChar w:fldCharType="begin"/>
      </w:r>
      <w:r w:rsidR="003E61AD">
        <w:rPr>
          <w:rFonts w:ascii="Times New Roman" w:hAnsi="Times New Roman" w:cs="Times New Roman"/>
        </w:rPr>
        <w:instrText xml:space="preserve"> ADDIN ZOTERO_ITEM CSL_CITATION {"citationID":"a1lm5g3o0em","properties":{"formattedCitation":"\\super 131,132\\nosupersub{}","plainCitation":"131,132","noteIndex":0},"citationItems":[{"id":998,"uris":["http://zotero.org/groups/4669668/items/LPNXFBPV"],"itemData":{"id":998,"type":"chapter","container-title":"Alternative protein sources in aquaculture diets","ISBN":"978-0-367-38774-7","language":"English","page":"95-116","publisher":"The Haworth Press New York, NY","title":"Use of meatpacking by-products in fish diets","author":[{"family":"Li","given":"M. H"},{"family":"Robinson","given":"E. H"},{"family":"Lim","given":"C. E"}],"editor":[{"family":"Lim","given":"C. E"},{"family":"Webster","given":"C.D"},{"family":"Lee","given":"C.S"}],"issued":{"date-parts":[["2008"]]}}},{"id":1109,"uris":["http://zotero.org/groups/4669668/items/FT8C4CRF"],"itemData":{"id":1109,"type":"article-journal","container-title":"Essential rendering","note":"publisher: National Renderers Association Alexandria (VA)","page":"1-16","title":"An overview of the rendering industry","author":[{"family":"Meeker","given":"David L."},{"family":"Hamilton","given":"C. R."}],"issued":{"date-parts":[["2006"]]}}}],"schema":"https://github.com/citation-style-language/schema/raw/master/csl-citation.json"} </w:instrText>
      </w:r>
      <w:r w:rsidRPr="003B0CF9">
        <w:rPr>
          <w:rFonts w:ascii="Times New Roman" w:hAnsi="Times New Roman" w:cs="Times New Roman"/>
        </w:rPr>
        <w:fldChar w:fldCharType="separate"/>
      </w:r>
      <w:r w:rsidR="003E61AD" w:rsidRPr="003E61AD">
        <w:rPr>
          <w:rFonts w:ascii="Times New Roman" w:hAnsi="Times New Roman" w:cs="Times New Roman"/>
          <w:szCs w:val="24"/>
          <w:vertAlign w:val="superscript"/>
        </w:rPr>
        <w:t>131,132</w:t>
      </w:r>
      <w:r w:rsidRPr="003B0CF9">
        <w:rPr>
          <w:rFonts w:ascii="Times New Roman" w:hAnsi="Times New Roman" w:cs="Times New Roman"/>
        </w:rPr>
        <w:fldChar w:fldCharType="end"/>
      </w:r>
      <w:r w:rsidRPr="003B0CF9">
        <w:rPr>
          <w:rFonts w:ascii="Times New Roman" w:hAnsi="Times New Roman" w:cs="Times New Roman"/>
        </w:rPr>
        <w:t>. The remaining material (“</w:t>
      </w:r>
      <w:proofErr w:type="spellStart"/>
      <w:r w:rsidRPr="003B0CF9">
        <w:rPr>
          <w:rFonts w:ascii="Times New Roman" w:hAnsi="Times New Roman" w:cs="Times New Roman"/>
        </w:rPr>
        <w:t>crax</w:t>
      </w:r>
      <w:proofErr w:type="spellEnd"/>
      <w:r w:rsidRPr="003B0CF9">
        <w:rPr>
          <w:rFonts w:ascii="Times New Roman" w:hAnsi="Times New Roman" w:cs="Times New Roman"/>
        </w:rPr>
        <w:t xml:space="preserve">”) is processed into the final meal product </w:t>
      </w:r>
      <w:r w:rsidR="00DB4B29">
        <w:rPr>
          <w:rFonts w:ascii="Times New Roman" w:hAnsi="Times New Roman" w:cs="Times New Roman"/>
        </w:rPr>
        <w:t>following</w:t>
      </w:r>
      <w:r w:rsidR="00DB4B29" w:rsidRPr="003B0CF9">
        <w:rPr>
          <w:rFonts w:ascii="Times New Roman" w:hAnsi="Times New Roman" w:cs="Times New Roman"/>
        </w:rPr>
        <w:t xml:space="preserve"> </w:t>
      </w:r>
      <w:r w:rsidRPr="003B0CF9">
        <w:rPr>
          <w:rFonts w:ascii="Times New Roman" w:hAnsi="Times New Roman" w:cs="Times New Roman"/>
        </w:rPr>
        <w:t xml:space="preserve">additional moisture removal and grinding. POM is generally rendered between 100-125°C and M&amp;B meal </w:t>
      </w:r>
      <w:r w:rsidR="00DB4B29">
        <w:rPr>
          <w:rFonts w:ascii="Times New Roman" w:hAnsi="Times New Roman" w:cs="Times New Roman"/>
        </w:rPr>
        <w:t>is</w:t>
      </w:r>
      <w:r w:rsidR="00DB4B29" w:rsidRPr="003B0CF9">
        <w:rPr>
          <w:rFonts w:ascii="Times New Roman" w:hAnsi="Times New Roman" w:cs="Times New Roman"/>
        </w:rPr>
        <w:t xml:space="preserve"> </w:t>
      </w:r>
      <w:r w:rsidRPr="003B0CF9">
        <w:rPr>
          <w:rFonts w:ascii="Times New Roman" w:hAnsi="Times New Roman" w:cs="Times New Roman"/>
        </w:rPr>
        <w:t xml:space="preserve">rendered at 135-140°C, for approximately 40-90 minutes </w:t>
      </w:r>
      <w:r w:rsidRPr="003B0CF9">
        <w:rPr>
          <w:rFonts w:ascii="Times New Roman" w:hAnsi="Times New Roman" w:cs="Times New Roman"/>
        </w:rPr>
        <w:fldChar w:fldCharType="begin"/>
      </w:r>
      <w:r w:rsidR="009A0AAA">
        <w:rPr>
          <w:rFonts w:ascii="Times New Roman" w:hAnsi="Times New Roman" w:cs="Times New Roman"/>
        </w:rPr>
        <w:instrText xml:space="preserve"> ADDIN ZOTERO_ITEM CSL_CITATION {"citationID":"a2e96j84vqt","properties":{"formattedCitation":"\\super 129,131,132\\nosupersub{}","plainCitation":"129,131,132","noteIndex":0},"citationItems":[{"id":994,"uris":["http://zotero.org/groups/4669668/items/PR2G4YII"],"itemData":{"id":994,"type":"book","edition":"1","ISBN":"978-1-4020-1527-4","number-of-pages":"573","publisher":"Springer Dordrecht","title":"Handbook on ingredients for aquaculture feeds","URL":"https://doi.org/10.1007/978-94-011-4018-8","author":[{"family":"Hertrampf","given":"Joachim W."},{"family":"Piedad-Pascual","given":"Felicitas"}],"issued":{"date-parts":[["2000"]]}}},{"id":998,"uris":["http://zotero.org/groups/4669668/items/LPNXFBPV"],"itemData":{"id":998,"type":"chapter","container-title":"Alternative protein sources in aquaculture diets","ISBN":"978-0-367-38774-7","language":"English","page":"95-116","publisher":"The Haworth Press New York, NY","title":"Use of meatpacking by-products in fish diets","author":[{"family":"Li","given":"M. H"},{"family":"Robinson","given":"E. H"},{"family":"Lim","given":"C. E"}],"editor":[{"family":"Lim","given":"C. E"},{"family":"Webster","given":"C.D"},{"family":"Lee","given":"C.S"}],"issued":{"date-parts":[["2008"]]}}},{"id":1109,"uris":["http://zotero.org/groups/4669668/items/FT8C4CRF"],"itemData":{"id":1109,"type":"article-journal","container-title":"Essential rendering","note":"publisher: National Renderers Association Alexandria (VA)","page":"1-16","title":"An overview of the rendering industry","author":[{"family":"Meeker","given":"David L."},{"family":"Hamilton","given":"C. R."}],"issued":{"date-parts":[["2006"]]}}}],"schema":"https://github.com/citation-style-language/schema/raw/master/csl-citation.json"} </w:instrText>
      </w:r>
      <w:r w:rsidRPr="003B0CF9">
        <w:rPr>
          <w:rFonts w:ascii="Times New Roman" w:hAnsi="Times New Roman" w:cs="Times New Roman"/>
        </w:rPr>
        <w:fldChar w:fldCharType="separate"/>
      </w:r>
      <w:r w:rsidR="009A0AAA" w:rsidRPr="009A0AAA">
        <w:rPr>
          <w:rFonts w:ascii="Times New Roman" w:hAnsi="Times New Roman" w:cs="Times New Roman"/>
          <w:szCs w:val="24"/>
          <w:vertAlign w:val="superscript"/>
        </w:rPr>
        <w:t>129,131,132</w:t>
      </w:r>
      <w:r w:rsidRPr="003B0CF9">
        <w:rPr>
          <w:rFonts w:ascii="Times New Roman" w:hAnsi="Times New Roman" w:cs="Times New Roman"/>
        </w:rPr>
        <w:fldChar w:fldCharType="end"/>
      </w:r>
      <w:r w:rsidRPr="003B0CF9">
        <w:rPr>
          <w:rFonts w:ascii="Times New Roman" w:hAnsi="Times New Roman" w:cs="Times New Roman"/>
        </w:rPr>
        <w:t>. Three types of blood meal exist based on the drying process, however, spray-drying is the most advantageous for blood meal as it is evaporated in a low temperature vacuum (49°C) and sprayed into a hot air stream (316°C</w:t>
      </w:r>
      <w:bookmarkStart w:id="1" w:name="OLE_LINK45"/>
      <w:bookmarkStart w:id="2" w:name="OLE_LINK46"/>
      <w:r w:rsidRPr="003B0CF9">
        <w:rPr>
          <w:rFonts w:ascii="Times New Roman" w:hAnsi="Times New Roman" w:cs="Times New Roman"/>
        </w:rPr>
        <w:t xml:space="preserve">), allowing for minimal impact on proteins </w:t>
      </w:r>
      <w:bookmarkEnd w:id="1"/>
      <w:bookmarkEnd w:id="2"/>
      <w:r w:rsidRPr="003B0CF9">
        <w:rPr>
          <w:rFonts w:ascii="Times New Roman" w:hAnsi="Times New Roman" w:cs="Times New Roman"/>
        </w:rPr>
        <w:t xml:space="preserve">and subsequent digestibility </w:t>
      </w:r>
      <w:r w:rsidRPr="003B0CF9">
        <w:rPr>
          <w:rFonts w:ascii="Times New Roman" w:hAnsi="Times New Roman" w:cs="Times New Roman"/>
        </w:rPr>
        <w:fldChar w:fldCharType="begin"/>
      </w:r>
      <w:r w:rsidR="0045390B">
        <w:rPr>
          <w:rFonts w:ascii="Times New Roman" w:hAnsi="Times New Roman" w:cs="Times New Roman"/>
        </w:rPr>
        <w:instrText xml:space="preserve"> ADDIN ZOTERO_ITEM CSL_CITATION {"citationID":"ahsg58abjd","properties":{"formattedCitation":"\\super 132\\nosupersub{}","plainCitation":"132","noteIndex":0},"citationItems":[{"id":998,"uris":["http://zotero.org/groups/4669668/items/LPNXFBPV"],"itemData":{"id":998,"type":"chapter","container-title":"Alternative protein sources in aquaculture diets","ISBN":"978-0-367-38774-7","language":"English","page":"95-116","publisher":"The Haworth Press New York, NY","title":"Use of meatpacking by-products in fish diets","author":[{"family":"Li","given":"M. H"},{"family":"Robinson","given":"E. H"},{"family":"Lim","given":"C. E"}],"editor":[{"family":"Lim","given":"C. E"},{"family":"Webster","given":"C.D"},{"family":"Lee","given":"C.S"}],"issued":{"date-parts":[["2008"]]}}}],"schema":"https://github.com/citation-style-language/schema/raw/master/csl-citation.json"} </w:instrText>
      </w:r>
      <w:r w:rsidRPr="003B0CF9">
        <w:rPr>
          <w:rFonts w:ascii="Times New Roman" w:hAnsi="Times New Roman" w:cs="Times New Roman"/>
        </w:rPr>
        <w:fldChar w:fldCharType="separate"/>
      </w:r>
      <w:r w:rsidR="0045390B" w:rsidRPr="0045390B">
        <w:rPr>
          <w:rFonts w:ascii="Times New Roman" w:hAnsi="Times New Roman" w:cs="Times New Roman"/>
          <w:szCs w:val="24"/>
          <w:vertAlign w:val="superscript"/>
        </w:rPr>
        <w:t>132</w:t>
      </w:r>
      <w:r w:rsidRPr="003B0CF9">
        <w:rPr>
          <w:rFonts w:ascii="Times New Roman" w:hAnsi="Times New Roman" w:cs="Times New Roman"/>
        </w:rPr>
        <w:fldChar w:fldCharType="end"/>
      </w:r>
      <w:r w:rsidRPr="003B0CF9">
        <w:rPr>
          <w:rFonts w:ascii="Times New Roman" w:hAnsi="Times New Roman" w:cs="Times New Roman"/>
        </w:rPr>
        <w:t>. Once ABP have been rendered, they are a safe and generally nutritious component for animal feeds.</w:t>
      </w:r>
    </w:p>
    <w:p w14:paraId="55D3709A" w14:textId="5464F5BA" w:rsidR="00E22B08" w:rsidRPr="009D417A" w:rsidRDefault="00E22B08" w:rsidP="00E22B08">
      <w:pPr>
        <w:spacing w:line="360" w:lineRule="auto"/>
        <w:ind w:firstLine="720"/>
        <w:contextualSpacing/>
        <w:jc w:val="both"/>
        <w:rPr>
          <w:rFonts w:ascii="Times New Roman" w:hAnsi="Times New Roman" w:cs="Times New Roman"/>
          <w:highlight w:val="green"/>
        </w:rPr>
      </w:pPr>
      <w:r w:rsidRPr="003B0CF9">
        <w:rPr>
          <w:rFonts w:ascii="Times New Roman" w:hAnsi="Times New Roman" w:cs="Times New Roman"/>
        </w:rPr>
        <w:t xml:space="preserve">Given their high nutritional value and comparably low cost, ABP are of significant value to the aquafeed and aquaculture industries </w:t>
      </w:r>
      <w:r w:rsidRPr="003B0CF9">
        <w:rPr>
          <w:rFonts w:ascii="Times New Roman" w:hAnsi="Times New Roman" w:cs="Times New Roman"/>
        </w:rPr>
        <w:fldChar w:fldCharType="begin"/>
      </w:r>
      <w:r w:rsidR="002212AA">
        <w:rPr>
          <w:rFonts w:ascii="Times New Roman" w:hAnsi="Times New Roman" w:cs="Times New Roman"/>
        </w:rPr>
        <w:instrText xml:space="preserve"> ADDIN ZOTERO_ITEM CSL_CITATION {"citationID":"aqq6kmk9r7","properties":{"formattedCitation":"\\super 133\\uc0\\u8211{}135\\nosupersub{}","plainCitation":"133–135","noteIndex":0},"citationItems":[{"id":1054,"uris":["http://zotero.org/groups/4669668/items/X6WNQ9IV"],"itemData":{"id":1054,"type":"chapter","abstract":"Aquaculture currently accounts for approximately 50% of fish consumed by humans. The future development of aquaculture will be greatly constrained by the increasing costs of fishmeal and fish oil. To remedy this situation, scientific research and feed manufacturers have made a significant progress by looking for alternative protein sources for use in fish diets in order to develop feeds that provide adequate nutrition for animals’ growth, while reducing to minimum the use of traditional sources of protein. This chapter aims at critically reviewing recent studies, carried out worldwide, about the effects of the inclusion of new protein sources as insect, poultry by-products, meat and bone meals and other protein sources alternative to fishmeal in aquafeeds. In particular, the impacts of these protein sources in terms of growth, nutrient digestibility, fillet quality traits and sensorial perception in the most important farmed marine and freshwater fish species are evaluated.","collection-title":"SpringerBriefs in Molecular Science","container-title":"Feeds for the Aquaculture Sector: Current Situation and Alternative Sources","event-place":"Cham","ISBN":"978-3-319-77941-6","language":"en","note":"DOI: 10.1007/978-3-319-77941-6_1","page":"1-28","publisher":"Springer International Publishing","publisher-place":"Cham","source":"Springer Link","title":"Fishmeal alternative protein sources for aquaculture feeds","URL":"https://doi.org/10.1007/978-3-319-77941-6_1","author":[{"family":"Gasco","given":"Laura"},{"family":"Gai","given":"Francesco"},{"family":"Maricchiolo","given":"Giulia"},{"family":"Genovese","given":"Lucrezia"},{"family":"Ragonese","given":"Sergio"},{"family":"Bottari","given":"Teresa"},{"family":"Caruso","given":"Gabriella"}],"editor":[{"family":"Gasco","given":"Laura"},{"family":"Gai","given":"Francesco"},{"family":"Maricchiolo","given":"Giulia"},{"family":"Genovese","given":"Lucrezia"},{"family":"Ragonese","given":"Sergio"},{"family":"Bottari","given":"Teresa"},{"family":"Caruso","given":"Gabriella"}],"accessed":{"date-parts":[["2022",4,24]]},"issued":{"date-parts":[["2018"]]}}},{"id":1108,"uris":["http://zotero.org/groups/4669668/items/IHKCLGR2"],"itemData":{"id":1108,"type":"chapter","abstract":"World food fish production has increased significantly during the past decades. As fisheries captures stagnate the additional production of fisheries products needs to be fulfilled by aquaculture production. This puts an enormous pressure on the use of fishmeal (FM) and fish oil (FO) for inclusion in aquafeeds with the consequent increase in price of these commodities with demand. The use of fisheries by-products in aquafeeds is also environmentally unsustainable. Thus, reducing aquafeeds dependency on FM and FO is of the utmost importance and it is a priority for the sustainable development of aquaculture, particularly for carnivorous species. Overall, reducing half of the FM and FO in carnivorous fish diets is relatively simple. However, further reductions are more complicated without affecting growth performance and animal health. Further, FO is nowadays the only commercial source of essential fatty acids for marine fish; thus it is at risk of becoming a bottleneck for the growth of marine fish production. Thus, it is mandatory to pursue efforts to replace FM and FO in aquafeeds and to develop strategies that minimize the impacts of FO reduction in the diet and on fish fillet quality. The alternative aquafeeds (low in FM and FO) must also ensure good fish health and a resultant final product that is nutritionally adequate, safe to eat and well accepted by consumers. This chapter provides a comprehensive review of feedstuffs used in aquafeeds, indicating potential advantages and inconveniences of their use. Overall, there is potential for significant sparing of FM and FO in carnivorous fish diets during the grow-out phase without affecting fish performance. However, more research is required to evaluate the effects of simultaneous replacement of FM and FO in the diet, as well as aspects related to immunological status, oxidative status, and health and disease resistance of animals fed these alternative diets.","collection-title":"Woodhead Publishing Series in Food Science, Technology and Nutrition","container-title":"Feed and Feeding Practices in Aquaculture","event-place":"Oxford","ISBN":"978-0-08-100506-4","language":"en","note":"DOI: 10.1016/B978-0-08-100506-4.00008-8","page":"203-233","publisher":"Woodhead Publishing","publisher-place":"Oxford","source":"ScienceDirect","title":"8 - Replacing fishmeal and fish oil in industrial aquafeeds for carnivorous fish","URL":"https://www.sciencedirect.com/science/article/pii/B9780081005064000088","author":[{"family":"Oliva-Teles","given":"A."},{"family":"Enes","given":"P."},{"family":"Peres","given":"H."}],"editor":[{"family":"Davis","given":"D. Allen"}],"accessed":{"date-parts":[["2022",4,24]]},"issued":{"date-parts":[["2015",1,1]]}}},{"id":1100,"uris":["http://zotero.org/groups/4669668/items/PJDE5SCB"],"itemData":{"id":1100,"type":"article-journal","container-title":"FAO Fisheries and Aquaculture Technical Paper","ISSN":"20707010","issue":"564","language":"English","license":"Copyright Food and Agriculture Organization of the United Nations 2011","note":"number: 564\nnumber-of-pages: 94\npublisher-place: Rome, Italy\npublisher: Food and Agriculture Organization of the United Nations","page":"I,III,IV,VIII,IX,X,XI,XII,1-69,71-87","source":"ProQuest","title":"Demand and supply of feed ingredients for farmed fish and crustaceans: Trends and prospects","title-short":"Demand and supply of feed ingredients for farmed fish and crustaceans","author":[{"family":"Tacon","given":"Albert G. J."},{"family":"Hasan","given":"Mohammad R."},{"family":"Metian","given":"Marc"}],"issued":{"date-parts":[["2011"]]}}}],"schema":"https://github.com/citation-style-language/schema/raw/master/csl-citation.json"} </w:instrText>
      </w:r>
      <w:r w:rsidRPr="003B0CF9">
        <w:rPr>
          <w:rFonts w:ascii="Times New Roman" w:hAnsi="Times New Roman" w:cs="Times New Roman"/>
        </w:rPr>
        <w:fldChar w:fldCharType="separate"/>
      </w:r>
      <w:r w:rsidR="002212AA" w:rsidRPr="002212AA">
        <w:rPr>
          <w:rFonts w:ascii="Times New Roman" w:hAnsi="Times New Roman" w:cs="Times New Roman"/>
          <w:szCs w:val="24"/>
          <w:vertAlign w:val="superscript"/>
        </w:rPr>
        <w:t>133–135</w:t>
      </w:r>
      <w:r w:rsidRPr="003B0CF9">
        <w:rPr>
          <w:rFonts w:ascii="Times New Roman" w:hAnsi="Times New Roman" w:cs="Times New Roman"/>
        </w:rPr>
        <w:fldChar w:fldCharType="end"/>
      </w:r>
      <w:r w:rsidR="00DC61EF">
        <w:rPr>
          <w:rStyle w:val="CommentReference"/>
        </w:rPr>
        <w:t xml:space="preserve"> </w:t>
      </w:r>
      <w:r w:rsidR="005D1696">
        <w:rPr>
          <w:rStyle w:val="CommentReference"/>
        </w:rPr>
        <w:t xml:space="preserve"> </w:t>
      </w:r>
      <w:r w:rsidR="005D1696" w:rsidRPr="005D1696">
        <w:rPr>
          <w:rStyle w:val="CommentReference"/>
          <w:rFonts w:ascii="Times New Roman" w:hAnsi="Times New Roman" w:cs="Times New Roman"/>
          <w:sz w:val="22"/>
          <w:szCs w:val="22"/>
        </w:rPr>
        <w:t xml:space="preserve">and is especially true of </w:t>
      </w:r>
      <w:r w:rsidR="00CD0CB6">
        <w:rPr>
          <w:rStyle w:val="CommentReference"/>
          <w:rFonts w:ascii="Times New Roman" w:hAnsi="Times New Roman" w:cs="Times New Roman"/>
          <w:sz w:val="22"/>
          <w:szCs w:val="22"/>
        </w:rPr>
        <w:t>p</w:t>
      </w:r>
      <w:r w:rsidR="005D1696" w:rsidRPr="005D1696">
        <w:rPr>
          <w:rStyle w:val="CommentReference"/>
          <w:rFonts w:ascii="Times New Roman" w:hAnsi="Times New Roman" w:cs="Times New Roman"/>
          <w:sz w:val="22"/>
          <w:szCs w:val="22"/>
        </w:rPr>
        <w:t xml:space="preserve">oultry </w:t>
      </w:r>
      <w:r w:rsidR="00CD0CB6">
        <w:rPr>
          <w:rStyle w:val="CommentReference"/>
          <w:rFonts w:ascii="Times New Roman" w:hAnsi="Times New Roman" w:cs="Times New Roman"/>
          <w:sz w:val="22"/>
          <w:szCs w:val="22"/>
        </w:rPr>
        <w:t>b</w:t>
      </w:r>
      <w:r w:rsidR="005D1696" w:rsidRPr="005D1696">
        <w:rPr>
          <w:rStyle w:val="CommentReference"/>
          <w:rFonts w:ascii="Times New Roman" w:hAnsi="Times New Roman" w:cs="Times New Roman"/>
          <w:sz w:val="22"/>
          <w:szCs w:val="22"/>
        </w:rPr>
        <w:t xml:space="preserve">yproduct </w:t>
      </w:r>
      <w:r w:rsidR="00D2561F">
        <w:rPr>
          <w:rStyle w:val="CommentReference"/>
          <w:rFonts w:ascii="Times New Roman" w:hAnsi="Times New Roman" w:cs="Times New Roman"/>
          <w:sz w:val="22"/>
          <w:szCs w:val="22"/>
        </w:rPr>
        <w:t>m</w:t>
      </w:r>
      <w:r w:rsidR="005D1696" w:rsidRPr="005D1696">
        <w:rPr>
          <w:rStyle w:val="CommentReference"/>
          <w:rFonts w:ascii="Times New Roman" w:hAnsi="Times New Roman" w:cs="Times New Roman"/>
          <w:sz w:val="22"/>
          <w:szCs w:val="22"/>
        </w:rPr>
        <w:t>eal (PBM) and feather meal that is widely employed. N</w:t>
      </w:r>
      <w:r w:rsidRPr="003B0CF9">
        <w:rPr>
          <w:rFonts w:ascii="Times New Roman" w:hAnsi="Times New Roman" w:cs="Times New Roman"/>
        </w:rPr>
        <w:t>utritionally, in</w:t>
      </w:r>
      <w:r w:rsidRPr="00970310">
        <w:rPr>
          <w:rFonts w:ascii="Times New Roman" w:hAnsi="Times New Roman" w:cs="Times New Roman"/>
        </w:rPr>
        <w:t xml:space="preserve"> comparison to plant-</w:t>
      </w:r>
      <w:r w:rsidRPr="009D417A">
        <w:rPr>
          <w:rFonts w:ascii="Times New Roman" w:hAnsi="Times New Roman" w:cs="Times New Roman"/>
        </w:rPr>
        <w:t xml:space="preserve">based meals </w:t>
      </w:r>
      <w:r w:rsidR="00F52B0C">
        <w:rPr>
          <w:rFonts w:ascii="Times New Roman" w:hAnsi="Times New Roman" w:cs="Times New Roman"/>
        </w:rPr>
        <w:t>ABP are</w:t>
      </w:r>
      <w:r w:rsidRPr="009D417A">
        <w:rPr>
          <w:rFonts w:ascii="Times New Roman" w:hAnsi="Times New Roman" w:cs="Times New Roman"/>
        </w:rPr>
        <w:t xml:space="preserve"> high </w:t>
      </w:r>
      <w:r w:rsidR="00F52B0C">
        <w:rPr>
          <w:rFonts w:ascii="Times New Roman" w:hAnsi="Times New Roman" w:cs="Times New Roman"/>
        </w:rPr>
        <w:t xml:space="preserve">in </w:t>
      </w:r>
      <w:r w:rsidRPr="009D417A">
        <w:rPr>
          <w:rFonts w:ascii="Times New Roman" w:hAnsi="Times New Roman" w:cs="Times New Roman"/>
        </w:rPr>
        <w:t xml:space="preserve">crude protein (50-80%), </w:t>
      </w:r>
      <w:r w:rsidR="00973C28">
        <w:rPr>
          <w:rFonts w:ascii="Times New Roman" w:hAnsi="Times New Roman" w:cs="Times New Roman"/>
        </w:rPr>
        <w:t>have high energetic content</w:t>
      </w:r>
      <w:r w:rsidRPr="009D417A">
        <w:rPr>
          <w:rFonts w:ascii="Times New Roman" w:hAnsi="Times New Roman" w:cs="Times New Roman"/>
        </w:rPr>
        <w:t xml:space="preserve"> (crude lipids), </w:t>
      </w:r>
      <w:r w:rsidR="00973C28">
        <w:rPr>
          <w:rFonts w:ascii="Times New Roman" w:hAnsi="Times New Roman" w:cs="Times New Roman"/>
        </w:rPr>
        <w:t xml:space="preserve">contain a range of </w:t>
      </w:r>
      <w:r w:rsidRPr="009D417A">
        <w:rPr>
          <w:rFonts w:ascii="Times New Roman" w:hAnsi="Times New Roman" w:cs="Times New Roman"/>
        </w:rPr>
        <w:t xml:space="preserve">vitamins and trace </w:t>
      </w:r>
      <w:r w:rsidRPr="00462059">
        <w:rPr>
          <w:rFonts w:ascii="Times New Roman" w:hAnsi="Times New Roman" w:cs="Times New Roman"/>
        </w:rPr>
        <w:t xml:space="preserve">minerals (e.g., B12, iron, cobalt, selenium), and </w:t>
      </w:r>
      <w:r w:rsidR="00973C28">
        <w:rPr>
          <w:rFonts w:ascii="Times New Roman" w:hAnsi="Times New Roman" w:cs="Times New Roman"/>
        </w:rPr>
        <w:t xml:space="preserve">are </w:t>
      </w:r>
      <w:r w:rsidRPr="00462059">
        <w:rPr>
          <w:rFonts w:ascii="Times New Roman" w:hAnsi="Times New Roman" w:cs="Times New Roman"/>
        </w:rPr>
        <w:t xml:space="preserve">generally free from, or low in, anti-nutrients and indigestible complex carbohydrates </w:t>
      </w:r>
      <w:r w:rsidRPr="00462059">
        <w:rPr>
          <w:rFonts w:ascii="Times New Roman" w:hAnsi="Times New Roman" w:cs="Times New Roman"/>
        </w:rPr>
        <w:fldChar w:fldCharType="begin"/>
      </w:r>
      <w:r w:rsidR="00B012B1">
        <w:rPr>
          <w:rFonts w:ascii="Times New Roman" w:hAnsi="Times New Roman" w:cs="Times New Roman"/>
        </w:rPr>
        <w:instrText xml:space="preserve"> ADDIN ZOTERO_ITEM CSL_CITATION {"citationID":"assjc49bcn","properties":{"formattedCitation":"\\super 14,132,136,137\\nosupersub{}","plainCitation":"14,132,136,137","noteIndex":0},"citationItems":[{"id":863,"uris":["http://zotero.org/groups/4669668/items/SU5VPJYA"],"itemData":{"id":863,"type":"article-journal","abstract":"The use of plant-derived materials such as legume seeds, different types of oilseed cake, leaf meals, leaf protein concentrates, and root tuber meals as fish feed ingredients is limited by the presence of a wide variety of antinutritional substances. Important among these are protease inhibitors, phytates, glucosinolates, saponins tannins, lectins, oligosaccharides and non-starch polysaccharides, phytoestrogens, alkaloids, antigenic compounds, gossypols, cyanogens, mimosine, cyclopropenoid fatty acids, canavanine, antivitamins, and phorbol esters. The effects of these substances on finfish are reviewed. Evidently, little unanimity exists between the results of different studies as to the specific effects of antinutrients, since most studies have been conducted using an ingredient rich in one particular factor and the observed effects have been attributed to this factor without considering other antinutrients present in the ingredient, or interactions between them. Tentatively, protease inhibitors, phytates, antigenic compounds, and alkaloids, at levels usually present in fish diets containing commercially available plant-derived protein sources, are unlikely to affect fish growth performance. In contrast, glucosinolates, saponins, tannins, soluble non-starch polysaccharides, gossypol, and phorbol esters, are more important from a practical point of view. The effectiveness of common processing techniques such as dry and wet heating, solvent extraction and enzyme treatment in removing the deleterious effects of antinutrients from feed materials is discussed. More insights into the nutritional, physiological and ecological effects of antinutrients on fish need to be accumulated through studies using purified individual antinutrients and their mixtures in proportions similar to those in alternative nutritional sources in fish feeds. Such studies would provide data useful for designing optimum inclusion levels of plant-derived materials and treatment methods that would neutralise the negative effects of the antinutritional factors.","container-title":"Aquaculture","DOI":"10.1016/S0044-8486(01)00526-9","ISSN":"0044-8486","issue":"3","journalAbbreviation":"Aquaculture","language":"en","note":"number: 3","page":"197-227","source":"ScienceDirect","title":"Antinutritional factors present in plant-derived alternate fish feed ingredients and their effects in fish","volume":"199","author":[{"family":"Francis","given":"George"},{"family":"Makkar","given":"Harinder P. S"},{"family":"Becker","given":"Klaus"}],"issued":{"date-parts":[["2001",8,1]]}}},{"id":998,"uris":["http://zotero.org/groups/4669668/items/LPNXFBPV"],"itemData":{"id":998,"type":"chapter","container-title":"Alternative protein sources in aquaculture diets","ISBN":"978-0-367-38774-7","language":"English","page":"95-116","publisher":"The Haworth Press New York, NY","title":"Use of meatpacking by-products in fish diets","author":[{"family":"Li","given":"M. H"},{"family":"Robinson","given":"E. H"},{"family":"Lim","given":"C. E"}],"editor":[{"family":"Lim","given":"C. E"},{"family":"Webster","given":"C.D"},{"family":"Lee","given":"C.S"}],"issued":{"date-parts":[["2008"]]}}},{"id":975,"uris":["http://zotero.org/groups/4669668/items/NX7CUN2D"],"itemData":{"id":975,"type":"article-journal","container-title":"National Renderers Association, Alexandria, VA","title":"Pocket information manual: a buyer’s guide to rendered products","author":[{"family":"NRA","given":""}],"issued":{"date-parts":[["2003"]]}}},{"id":999,"uris":["http://zotero.org/groups/4669668/items/Q3PUFZ6M"],"itemData":{"id":999,"type":"chapter","container-title":"Alternative protein sources in aquaculture diets","ISBN":"978-0-367-38774-7","language":"English","page":"51-93","publisher":"The Haworth Press New York, NY","title":"Replacement of fish meal with poultry by-product meal and hydrolyzed feather meal in feeds for finfish","author":[{"family":"Yu","given":"Y"}],"editor":[{"family":"Lim","given":"C. E"},{"family":"Webster","given":"C.D"},{"family":"Lee","given":"C.S"}],"issued":{"date-parts":[["2008"]]}}}],"schema":"https://github.com/citation-style-language/schema/raw/master/csl-citation.json"} </w:instrText>
      </w:r>
      <w:r w:rsidRPr="00462059">
        <w:rPr>
          <w:rFonts w:ascii="Times New Roman" w:hAnsi="Times New Roman" w:cs="Times New Roman"/>
        </w:rPr>
        <w:fldChar w:fldCharType="separate"/>
      </w:r>
      <w:r w:rsidR="00B012B1" w:rsidRPr="00B012B1">
        <w:rPr>
          <w:rFonts w:ascii="Times New Roman" w:hAnsi="Times New Roman" w:cs="Times New Roman"/>
          <w:szCs w:val="24"/>
          <w:vertAlign w:val="superscript"/>
        </w:rPr>
        <w:t>14,132,136,137</w:t>
      </w:r>
      <w:r w:rsidRPr="00462059">
        <w:rPr>
          <w:rFonts w:ascii="Times New Roman" w:hAnsi="Times New Roman" w:cs="Times New Roman"/>
        </w:rPr>
        <w:fldChar w:fldCharType="end"/>
      </w:r>
      <w:r w:rsidRPr="00462059">
        <w:rPr>
          <w:rFonts w:ascii="Times New Roman" w:hAnsi="Times New Roman" w:cs="Times New Roman"/>
        </w:rPr>
        <w:t xml:space="preserve">. Generally, ABP meals and oils are a good source of EAA and FA, respectively </w:t>
      </w:r>
      <w:r w:rsidRPr="00462059">
        <w:rPr>
          <w:rFonts w:ascii="Times New Roman" w:hAnsi="Times New Roman" w:cs="Times New Roman"/>
        </w:rPr>
        <w:fldChar w:fldCharType="begin"/>
      </w:r>
      <w:r w:rsidR="007D3215">
        <w:rPr>
          <w:rFonts w:ascii="Times New Roman" w:hAnsi="Times New Roman" w:cs="Times New Roman"/>
        </w:rPr>
        <w:instrText xml:space="preserve"> ADDIN ZOTERO_ITEM CSL_CITATION {"citationID":"a46ncd8h9b","properties":{"formattedCitation":"\\super 129,132,137,138\\nosupersub{}","plainCitation":"129,132,137,138","noteIndex":0},"citationItems":[{"id":994,"uris":["http://zotero.org/groups/4669668/items/PR2G4YII"],"itemData":{"id":994,"type":"book","edition":"1","ISBN":"978-1-4020-1527-4","number-of-pages":"573","publisher":"Springer Dordrecht","title":"Handbook on ingredients for aquaculture feeds","URL":"https://doi.org/10.1007/978-94-011-4018-8","author":[{"family":"Hertrampf","given":"Joachim W."},{"family":"Piedad-Pascual","given":"Felicitas"}],"issued":{"date-parts":[["2000"]]}}},{"id":998,"uris":["http://zotero.org/groups/4669668/items/LPNXFBPV"],"itemData":{"id":998,"type":"chapter","container-title":"Alternative protein sources in aquaculture diets","ISBN":"978-0-367-38774-7","language":"English","page":"95-116","publisher":"The Haworth Press New York, NY","title":"Use of meatpacking by-products in fish diets","author":[{"family":"Li","given":"M. H"},{"family":"Robinson","given":"E. H"},{"family":"Lim","given":"C. E"}],"editor":[{"family":"Lim","given":"C. E"},{"family":"Webster","given":"C.D"},{"family":"Lee","given":"C.S"}],"issued":{"date-parts":[["2008"]]}}},{"id":1107,"uris":["http://zotero.org/groups/4669668/items/53KI4QI3"],"itemData":{"id":1107,"type":"article-journal","abstract":"Three trials were performed to evaluate partial fish meal (FM) replacement with poultry by-products in a practical-type diet for Florida pompano, Trachinotus carolinus reared in low-salinity. Two blended poultry by-product meals (BP67, BP70), two blended chicken concentrates (CC66, CC70) and one standard pet-food grade poultry by-product meal (E150) were evaluated. The diets were formulated to contain 48% crude protein (CP) and 21MJ/kg. Poultry by-products replaced 67% of the FM protein on an isonitrogenous basis. Trial 1 was a 10week growth trial with juvenile (3.3±0.10g) Florida pompano. No differences were detected in growth, efficiency, feed intake, protein productive value, or body composition between the by-product diets and a FM reference diet. Trial 2 examined protein, energy, dry matter, and organic matter digestibility and amino acid availability in 50.0±3.8g Florida pompano. Apparent CP digestibility (65.6–72.9%) was significantly lower (P&lt;0.05) in the BP67 diet than the others, except BP70. No other differences were detected. In trial 3, Florida pompano (8.1±0.66g) were fed a morning meal, and postprandial total ammonia-N (TAN) and urea excretion measured at 8 hourly increments. Ammonia increased 3.1–3.4 fold within 1h. Rate of TAN excretion (mgTAN/kg∙h) did not significantly decrease until 4–5h postprandially. No differences in TAN accumulation were observed until 4h when accumulation was significantly higher (P&lt;0.05) in CC66, and at 5h lower in CC70 relative to the FM diet. Rate of urea excretion was constant. A slope ratio analysis indicated there were no differences in urea excretion among the treatments. Stepwise multiple regression suggested that methionine and lysine were the first and second limiting amino acids explaining 99.7% of the variability in weight gain. It is concluded that poultry by-products are suitable partial replacements for FM in Florida pompano diets.","container-title":"Aquaculture","DOI":"10.1016/j.aquaculture.2014.10.001","ISSN":"0044-8486","journalAbbreviation":"Aquaculture","language":"en","page":"458-466","source":"ScienceDirect","title":"Nitrogen utilization from diets with refined and blended poultry by-products as partial fish meal replacements in diets for low-salinity cultured Florida pompano, Trachinotus carolinus","volume":"435","author":[{"family":"Riche","given":"Marty"}],"issued":{"date-parts":[["2015",1,1]]}}},{"id":999,"uris":["http://zotero.org/groups/4669668/items/Q3PUFZ6M"],"itemData":{"id":999,"type":"chapter","container-title":"Alternative protein sources in aquaculture diets","ISBN":"978-0-367-38774-7","language":"English","page":"51-93","publisher":"The Haworth Press New York, NY","title":"Replacement of fish meal with poultry by-product meal and hydrolyzed feather meal in feeds for finfish","author":[{"family":"Yu","given":"Y"}],"editor":[{"family":"Lim","given":"C. E"},{"family":"Webster","given":"C.D"},{"family":"Lee","given":"C.S"}],"issued":{"date-parts":[["2008"]]}}}],"schema":"https://github.com/citation-style-language/schema/raw/master/csl-citation.json"} </w:instrText>
      </w:r>
      <w:r w:rsidRPr="00462059">
        <w:rPr>
          <w:rFonts w:ascii="Times New Roman" w:hAnsi="Times New Roman" w:cs="Times New Roman"/>
        </w:rPr>
        <w:fldChar w:fldCharType="separate"/>
      </w:r>
      <w:r w:rsidR="007D3215" w:rsidRPr="007D3215">
        <w:rPr>
          <w:rFonts w:ascii="Times New Roman" w:hAnsi="Times New Roman" w:cs="Times New Roman"/>
          <w:szCs w:val="24"/>
          <w:vertAlign w:val="superscript"/>
        </w:rPr>
        <w:t>129,132,137,138</w:t>
      </w:r>
      <w:r w:rsidRPr="00462059">
        <w:rPr>
          <w:rFonts w:ascii="Times New Roman" w:hAnsi="Times New Roman" w:cs="Times New Roman"/>
        </w:rPr>
        <w:fldChar w:fldCharType="end"/>
      </w:r>
      <w:r w:rsidRPr="00462059">
        <w:rPr>
          <w:rFonts w:ascii="Times New Roman" w:hAnsi="Times New Roman" w:cs="Times New Roman"/>
        </w:rPr>
        <w:t xml:space="preserve">, however, the specific composition depends on the animal of origin and associated animal parts composing the raw material and the processing conditions </w:t>
      </w:r>
      <w:r w:rsidRPr="00462059">
        <w:rPr>
          <w:rFonts w:ascii="Times New Roman" w:hAnsi="Times New Roman" w:cs="Times New Roman"/>
        </w:rPr>
        <w:fldChar w:fldCharType="begin"/>
      </w:r>
      <w:r w:rsidR="00127A56">
        <w:rPr>
          <w:rFonts w:ascii="Times New Roman" w:hAnsi="Times New Roman" w:cs="Times New Roman"/>
        </w:rPr>
        <w:instrText xml:space="preserve"> ADDIN ZOTERO_ITEM CSL_CITATION {"citationID":"a1ui02cvb68","properties":{"formattedCitation":"\\super 130,139,140\\nosupersub{}","plainCitation":"130,139,140","noteIndex":0},"citationItems":[{"id":1071,"uris":["http://zotero.org/groups/4669668/items/NDKP8L6G"],"itemData":{"id":1071,"type":"article-journal","abstract":"Re-authorization of processed animal proteins (PAPs) in EU, derived from by-products of human food production, could increase manufacturing of proteins for feed ingredients and reduce the need of imported proteins mainly of plant origin. The PAPs production is largely done by the rendering process during which authorized animal by-products are heat treated to extract valuable protein and animal fat, ensuring sterilizing conditions of raw incoming materials. Proteins exposure to certain processing conditions induces two important chemical changes, racemization of amino acids and formation of cross-linked amino acid. These changes are associated with appreciable reduction of protein digestibility and nutritional value. The aim of this study was to verify the effect of heat treatment on amino acid racemization in processed animal proteins of poultry origin and related nutritional implications by evaluation of their in vitro digestibility. The results reported confirm the detection of racemized amino acids in processed animal proteins, especially D-aspartic acid, as realistic indicators of thermal treatments during PAP manufacturing. In our results, the severe (115°C) and prolonged heat treatment (180 minutes) revealed a D-Asp content of 28.1%.Prolongation of temperature treatment (20, 30 and 180 min, at 115°C) significantly (P&lt;0.05) affects in vitro protein digestibility, which decrease from 86.0%, in no-treated sample, to 78.3% and 79.1% after 20 and 30 min, respectively, and to 76.3% after 180 min. The processing conditions applied during PAPs preparations and the racemization of proteins amino acids may reasonably be involved in the loss of protein quality.","container-title":"Italian Journal of Animal Science","DOI":"10.4081/ijas.2015.3770","ISSN":"null","issue":"2","note":"publisher: Taylor &amp; Francis\n_eprint: https://doi.org/10.4081/ijas.2015.3770","page":"3770","source":"Taylor and Francis+NEJM","title":"The impact of processing on amino acid racemization and protein quality in processed animal proteins of poultry origin","volume":"14","author":[{"family":"Bellagamba","given":"Federica"},{"family":"Caprino","given":"Fabio"},{"family":"Mentasti","given":"Tiziana"},{"family":"Vasconi","given":"Mauro"},{"family":"Moretti","given":"Vittorio Maria"}],"issued":{"date-parts":[["2015",1,1]]}}},{"id":1053,"uris":["http://zotero.org/groups/4669668/items/J9RLZNX2"],"itemData":{"id":1053,"type":"article-journal","abstract":"The presence and antimicrobial susceptibility of foodborne pathogens and indicator organisms in animal feed are not well understood. In this study, a total of 201 feed ingredient samples (animal byproducts, n=122; plant byproducts, n=79) were collected in 2002 and 2003 from representative rendering plants and the oilseed (or cereal grain) industry across the United States. The occurrence and antimicrobial susceptibility of four bacterial genera (Salmonella, Campylobacter, Escherichia coli, and Enterococcus) were determined. Salmonella isolates were further characterized by serotyping and pulsed-field gel electrophoresis (PFGE). None of the samples yielded Campylobacter or E. coli O157:H7, whereas Salmonella, generic E. coli, and Enterococcus were present in 22.9%, 39.3%, and 86.6% of samples, respectively. A large percentage (47.8%) of Salmonella-positive samples harbored two serovars, and the vast majority (88.4%) of Enterococcus isolates were E. faecium. Animal byproducts had a significantly higher Salmonella contamination rate (34.4%) than plant byproducts (5.1%) (p&lt;0.05). Among 74 Salmonella isolates recovered, 27 serovars and 55 PFGE patterns were identified; all were pan-susceptible to 17 antimicrobials tested. E. coli isolates (n=131) demonstrated similar susceptibility to these antimicrobials except for tetracycline (15.3% resistance), sulfamethoxazole (7.6%), streptomycin (4.6%), ampicillin (3.8%), and nalidixic acid (1.5%). Enterococcus isolates (n=362) were also resistant to five of 17 antimicrobials tested, ranging from 1.1% to penicillin to 14.6% to tetracycline. Resistance rates were generally higher among isolates recovered from animal byproducts. Taken together, our findings suggest that diverse populations of Salmonella,E. coli, and Enterococcus are commonly present in animal feed ingredients, but antimicrobial resistance is not common. Future large-scale studies to monitor these pathogenic and indicator organisms in feed commodities is warranted.","container-title":"Foodborne Pathogens and Disease","DOI":"10.1089/fpd.2012.1470","ISSN":"1535-3141","issue":"8","note":"number: 8\npublisher: Mary Ann Liebert, Inc., publishers","page":"684-691","source":"liebertpub.com (Atypon)","title":"Retrospective analysis of Salmonella, Campylobacter, Escherichia coli, and Enterococcus in animal feed ingredients","volume":"10","author":[{"family":"Ge","given":"Beilei"},{"family":"LaFon","given":"Patricia C."},{"family":"Carter","given":"Peggy J."},{"family":"McDermott","given":"Shawn D."},{"family":"Abbott","given":"Jason"},{"family":"Glenn","given":"Althea"},{"family":"Ayers","given":"Sherry L."},{"family":"Friedman","given":"Sharon L."},{"family":"Paige","given":"Joseph C."},{"family":"Wagner","given":"David D."},{"family":"Zhao","given":"Shaohua"},{"family":"McDermott","given":"Patrick F."},{"family":"Rasmussen","given":"Mark A."}],"issued":{"date-parts":[["2013",8]]}}},{"id":1106,"uris":["http://zotero.org/groups/4669668/items/MHMTZ9LB"],"itemData":{"id":1106,"type":"article-journal","abstract":"Aquafeed manufacturers are increasingly interested in ensuring consistently high-quality products, while relying heavily on poultry offal meal (POM), which is inevitably variable. This study examined the chemical composition of 22 different commercially and experimentally produced POM to determine which chemical variables best predict in vivo protein digestibility in Atlantic salmon (Salmo salar) and to evaluate which production variable, rendering temperature or raw material freshness, has a greater impact on digestibility. The chemical composition of commercially and experimentally produced POM was extremely variable. Significant relationships were found between in vivo dietary protein digestibility and D-glutamic acid (R2 = 0.64) and D-aspartic acid (R2 = 0.62). Rendering temperature and raw material freshness had significant effects on D-amino acids and biogenic amines. D-glutamic and D-aspartic acids may provide rapid-assessment indication of POM quality, as these D-amino acids were linked to protein digestibility and affected by the production variables. This study supports the well-held notion that POM is subject to significant variability and addresses the specific chemical characterisation of POM and the production conditions which impact nutrient digestibility in Atlantic salmon. These results prove beneficial to aquafeed manufactures aiming to ensure consistency and high nutritional quality in protein sources for aquafeed.","container-title":"Aquaculture","DOI":"10.1016/j.aquaculture.2021.736909","ISSN":"0044-8486","journalAbbreviation":"Aquaculture","language":"en","page":"736909","source":"ScienceDirect","title":"Poultry offal meal production conditions impact meal quality and digestibility in Atlantic salmon (Salmo salar)","volume":"542","author":[{"family":"Rocker","given":"Melissa M."},{"family":"Lewis","given":"Michael J."},{"family":"Mock","given":"Thomas S."},{"family":"Francis","given":"David S."},{"family":"Bellagamba","given":"Federica"},{"family":"Moretti","given":"Vittorio M."},{"family":"Quinn","given":"Gerry P."},{"family":"Smullen","given":"Richard P."},{"family":"Turchini","given":"Giovanni M."}],"issued":{"date-parts":[["2021",9,15]]}}}],"schema":"https://github.com/citation-style-language/schema/raw/master/csl-citation.json"} </w:instrText>
      </w:r>
      <w:r w:rsidRPr="00462059">
        <w:rPr>
          <w:rFonts w:ascii="Times New Roman" w:hAnsi="Times New Roman" w:cs="Times New Roman"/>
        </w:rPr>
        <w:fldChar w:fldCharType="separate"/>
      </w:r>
      <w:r w:rsidR="00127A56" w:rsidRPr="00127A56">
        <w:rPr>
          <w:rFonts w:ascii="Times New Roman" w:hAnsi="Times New Roman" w:cs="Times New Roman"/>
          <w:szCs w:val="24"/>
          <w:vertAlign w:val="superscript"/>
        </w:rPr>
        <w:t>130,139,140</w:t>
      </w:r>
      <w:r w:rsidRPr="00462059">
        <w:rPr>
          <w:rFonts w:ascii="Times New Roman" w:hAnsi="Times New Roman" w:cs="Times New Roman"/>
        </w:rPr>
        <w:fldChar w:fldCharType="end"/>
      </w:r>
      <w:r w:rsidRPr="00462059">
        <w:rPr>
          <w:rFonts w:ascii="Times New Roman" w:hAnsi="Times New Roman" w:cs="Times New Roman"/>
        </w:rPr>
        <w:t xml:space="preserve">. For example, POM has an essential AA profile that closely resembles that of FM when compared to terrestrial plant-based meals </w:t>
      </w:r>
      <w:r w:rsidRPr="00462059">
        <w:rPr>
          <w:rFonts w:ascii="Times New Roman" w:hAnsi="Times New Roman" w:cs="Times New Roman"/>
        </w:rPr>
        <w:fldChar w:fldCharType="begin"/>
      </w:r>
      <w:r w:rsidR="005D2A9C">
        <w:rPr>
          <w:rFonts w:ascii="Times New Roman" w:hAnsi="Times New Roman" w:cs="Times New Roman"/>
        </w:rPr>
        <w:instrText xml:space="preserve"> ADDIN ZOTERO_ITEM CSL_CITATION {"citationID":"ao7tv7g2kv","properties":{"formattedCitation":"\\super 138,141\\nosupersub{}","plainCitation":"138,141","noteIndex":0},"citationItems":[{"id":1107,"uris":["http://zotero.org/groups/4669668/items/53KI4QI3"],"itemData":{"id":1107,"type":"article-journal","abstract":"Three trials were performed to evaluate partial fish meal (FM) replacement with poultry by-products in a practical-type diet for Florida pompano, Trachinotus carolinus reared in low-salinity. Two blended poultry by-product meals (BP67, BP70), two blended chicken concentrates (CC66, CC70) and one standard pet-food grade poultry by-product meal (E150) were evaluated. The diets were formulated to contain 48% crude protein (CP) and 21MJ/kg. Poultry by-products replaced 67% of the FM protein on an isonitrogenous basis. Trial 1 was a 10week growth trial with juvenile (3.3±0.10g) Florida pompano. No differences were detected in growth, efficiency, feed intake, protein productive value, or body composition between the by-product diets and a FM reference diet. Trial 2 examined protein, energy, dry matter, and organic matter digestibility and amino acid availability in 50.0±3.8g Florida pompano. Apparent CP digestibility (65.6–72.9%) was significantly lower (P&lt;0.05) in the BP67 diet than the others, except BP70. No other differences were detected. In trial 3, Florida pompano (8.1±0.66g) were fed a morning meal, and postprandial total ammonia-N (TAN) and urea excretion measured at 8 hourly increments. Ammonia increased 3.1–3.4 fold within 1h. Rate of TAN excretion (mgTAN/kg∙h) did not significantly decrease until 4–5h postprandially. No differences in TAN accumulation were observed until 4h when accumulation was significantly higher (P&lt;0.05) in CC66, and at 5h lower in CC70 relative to the FM diet. Rate of urea excretion was constant. A slope ratio analysis indicated there were no differences in urea excretion among the treatments. Stepwise multiple regression suggested that methionine and lysine were the first and second limiting amino acids explaining 99.7% of the variability in weight gain. It is concluded that poultry by-products are suitable partial replacements for FM in Florida pompano diets.","container-title":"Aquaculture","DOI":"10.1016/j.aquaculture.2014.10.001","ISSN":"0044-8486","journalAbbreviation":"Aquaculture","language":"en","page":"458-466","source":"ScienceDirect","title":"Nitrogen utilization from diets with refined and blended poultry by-products as partial fish meal replacements in diets for low-salinity cultured Florida pompano, Trachinotus carolinus","volume":"435","author":[{"family":"Riche","given":"Marty"}],"issued":{"date-parts":[["2015",1,1]]}}},{"id":1099,"uris":["http://zotero.org/groups/4669668/items/CSFYL59E"],"itemData":{"id":1099,"type":"book","ISBN":"92-5-106421-0","note":"issue: 540","publisher":"Food and Agriculture Organization of the United Nations (FAO)","title":"Feed ingredients and fertilizers for farmed aquatic animals: sources and composition.","author":[{"family":"Tacon","given":"Albert GJ"},{"family":"Metian","given":"Marc"},{"family":"Hasan","given":"Mohammad R."}],"issued":{"date-parts":[["2009"]]}}}],"schema":"https://github.com/citation-style-language/schema/raw/master/csl-citation.json"} </w:instrText>
      </w:r>
      <w:r w:rsidRPr="00462059">
        <w:rPr>
          <w:rFonts w:ascii="Times New Roman" w:hAnsi="Times New Roman" w:cs="Times New Roman"/>
        </w:rPr>
        <w:fldChar w:fldCharType="separate"/>
      </w:r>
      <w:r w:rsidR="005D2A9C" w:rsidRPr="005D2A9C">
        <w:rPr>
          <w:rFonts w:ascii="Times New Roman" w:hAnsi="Times New Roman" w:cs="Times New Roman"/>
          <w:szCs w:val="24"/>
          <w:vertAlign w:val="superscript"/>
        </w:rPr>
        <w:t>138,141</w:t>
      </w:r>
      <w:r w:rsidRPr="00462059">
        <w:rPr>
          <w:rFonts w:ascii="Times New Roman" w:hAnsi="Times New Roman" w:cs="Times New Roman"/>
        </w:rPr>
        <w:fldChar w:fldCharType="end"/>
      </w:r>
      <w:r w:rsidRPr="009D417A">
        <w:rPr>
          <w:rFonts w:ascii="Times New Roman" w:hAnsi="Times New Roman" w:cs="Times New Roman"/>
        </w:rPr>
        <w:t xml:space="preserve">, whilst M&amp;B meal can have a relatively well-balanced AA profile with a slight methionine and/or tyrosine deficiency </w:t>
      </w:r>
      <w:r w:rsidRPr="009D417A">
        <w:rPr>
          <w:rFonts w:ascii="Times New Roman" w:hAnsi="Times New Roman" w:cs="Times New Roman"/>
        </w:rPr>
        <w:fldChar w:fldCharType="begin"/>
      </w:r>
      <w:r w:rsidR="008477AA">
        <w:rPr>
          <w:rFonts w:ascii="Times New Roman" w:hAnsi="Times New Roman" w:cs="Times New Roman"/>
        </w:rPr>
        <w:instrText xml:space="preserve"> ADDIN ZOTERO_ITEM CSL_CITATION {"citationID":"aejpdohoi4","properties":{"formattedCitation":"\\super 132,141\\nosupersub{}","plainCitation":"132,141","noteIndex":0},"citationItems":[{"id":998,"uris":["http://zotero.org/groups/4669668/items/LPNXFBPV"],"itemData":{"id":998,"type":"chapter","container-title":"Alternative protein sources in aquaculture diets","ISBN":"978-0-367-38774-7","language":"English","page":"95-116","publisher":"The Haworth Press New York, NY","title":"Use of meatpacking by-products in fish diets","author":[{"family":"Li","given":"M. H"},{"family":"Robinson","given":"E. H"},{"family":"Lim","given":"C. E"}],"editor":[{"family":"Lim","given":"C. E"},{"family":"Webster","given":"C.D"},{"family":"Lee","given":"C.S"}],"issued":{"date-parts":[["2008"]]}}},{"id":1099,"uris":["http://zotero.org/groups/4669668/items/CSFYL59E"],"itemData":{"id":1099,"type":"book","ISBN":"92-5-106421-0","note":"issue: 540","publisher":"Food and Agriculture Organization of the United Nations (FAO)","title":"Feed ingredients and fertilizers for farmed aquatic animals: sources and composition.","author":[{"family":"Tacon","given":"Albert GJ"},{"family":"Metian","given":"Marc"},{"family":"Hasan","given":"Mohammad R."}],"issued":{"date-parts":[["2009"]]}}}],"schema":"https://github.com/citation-style-language/schema/raw/master/csl-citation.json"} </w:instrText>
      </w:r>
      <w:r w:rsidRPr="009D417A">
        <w:rPr>
          <w:rFonts w:ascii="Times New Roman" w:hAnsi="Times New Roman" w:cs="Times New Roman"/>
        </w:rPr>
        <w:fldChar w:fldCharType="separate"/>
      </w:r>
      <w:r w:rsidR="008477AA" w:rsidRPr="008477AA">
        <w:rPr>
          <w:rFonts w:ascii="Times New Roman" w:hAnsi="Times New Roman" w:cs="Times New Roman"/>
          <w:szCs w:val="24"/>
          <w:vertAlign w:val="superscript"/>
        </w:rPr>
        <w:t>132,141</w:t>
      </w:r>
      <w:r w:rsidRPr="009D417A">
        <w:rPr>
          <w:rFonts w:ascii="Times New Roman" w:hAnsi="Times New Roman" w:cs="Times New Roman"/>
        </w:rPr>
        <w:fldChar w:fldCharType="end"/>
      </w:r>
      <w:r w:rsidRPr="009D417A">
        <w:rPr>
          <w:rFonts w:ascii="Times New Roman" w:hAnsi="Times New Roman" w:cs="Times New Roman"/>
        </w:rPr>
        <w:t xml:space="preserve">. Comparatively, blood meal has a poorly balanced AA profile with relatively high leucine and lysine content and significant isoleucine and methionine deficiencies </w:t>
      </w:r>
      <w:r w:rsidRPr="009D417A">
        <w:rPr>
          <w:rFonts w:ascii="Times New Roman" w:hAnsi="Times New Roman" w:cs="Times New Roman"/>
        </w:rPr>
        <w:fldChar w:fldCharType="begin"/>
      </w:r>
      <w:r w:rsidR="00A862B2">
        <w:rPr>
          <w:rFonts w:ascii="Times New Roman" w:hAnsi="Times New Roman" w:cs="Times New Roman"/>
        </w:rPr>
        <w:instrText xml:space="preserve"> ADDIN ZOTERO_ITEM CSL_CITATION {"citationID":"a1qnolr3c4b","properties":{"formattedCitation":"\\super 132,141\\nosupersub{}","plainCitation":"132,141","noteIndex":0},"citationItems":[{"id":998,"uris":["http://zotero.org/groups/4669668/items/LPNXFBPV"],"itemData":{"id":998,"type":"chapter","container-title":"Alternative protein sources in aquaculture diets","ISBN":"978-0-367-38774-7","language":"English","page":"95-116","publisher":"The Haworth Press New York, NY","title":"Use of meatpacking by-products in fish diets","author":[{"family":"Li","given":"M. H"},{"family":"Robinson","given":"E. H"},{"family":"Lim","given":"C. E"}],"editor":[{"family":"Lim","given":"C. E"},{"family":"Webster","given":"C.D"},{"family":"Lee","given":"C.S"}],"issued":{"date-parts":[["2008"]]}}},{"id":1099,"uris":["http://zotero.org/groups/4669668/items/CSFYL59E"],"itemData":{"id":1099,"type":"book","ISBN":"92-5-106421-0","note":"issue: 540","publisher":"Food and Agriculture Organization of the United Nations (FAO)","title":"Feed ingredients and fertilizers for farmed aquatic animals: sources and composition.","author":[{"family":"Tacon","given":"Albert GJ"},{"family":"Metian","given":"Marc"},{"family":"Hasan","given":"Mohammad R."}],"issued":{"date-parts":[["2009"]]}}}],"schema":"https://github.com/citation-style-language/schema/raw/master/csl-citation.json"} </w:instrText>
      </w:r>
      <w:r w:rsidRPr="009D417A">
        <w:rPr>
          <w:rFonts w:ascii="Times New Roman" w:hAnsi="Times New Roman" w:cs="Times New Roman"/>
        </w:rPr>
        <w:fldChar w:fldCharType="separate"/>
      </w:r>
      <w:r w:rsidR="00A862B2" w:rsidRPr="00A862B2">
        <w:rPr>
          <w:rFonts w:ascii="Times New Roman" w:hAnsi="Times New Roman" w:cs="Times New Roman"/>
          <w:szCs w:val="24"/>
          <w:vertAlign w:val="superscript"/>
        </w:rPr>
        <w:t>132,141</w:t>
      </w:r>
      <w:r w:rsidRPr="009D417A">
        <w:rPr>
          <w:rFonts w:ascii="Times New Roman" w:hAnsi="Times New Roman" w:cs="Times New Roman"/>
        </w:rPr>
        <w:fldChar w:fldCharType="end"/>
      </w:r>
      <w:r w:rsidR="000A0B40">
        <w:rPr>
          <w:rFonts w:ascii="Times New Roman" w:hAnsi="Times New Roman" w:cs="Times New Roman"/>
        </w:rPr>
        <w:t>. Notably,</w:t>
      </w:r>
      <w:r w:rsidRPr="009D417A">
        <w:rPr>
          <w:rFonts w:ascii="Times New Roman" w:hAnsi="Times New Roman" w:cs="Times New Roman"/>
        </w:rPr>
        <w:t xml:space="preserve"> makes blood meal an ideal supplementary protein to use in combination with plant-based meals that are low in lysine content </w:t>
      </w:r>
      <w:r w:rsidRPr="009D417A">
        <w:rPr>
          <w:rFonts w:ascii="Times New Roman" w:hAnsi="Times New Roman" w:cs="Times New Roman"/>
        </w:rPr>
        <w:fldChar w:fldCharType="begin"/>
      </w:r>
      <w:r w:rsidR="00652EE2">
        <w:rPr>
          <w:rFonts w:ascii="Times New Roman" w:hAnsi="Times New Roman" w:cs="Times New Roman"/>
        </w:rPr>
        <w:instrText xml:space="preserve"> ADDIN ZOTERO_ITEM CSL_CITATION {"citationID":"af3cu2et4i","properties":{"formattedCitation":"\\super 142\\nosupersub{}","plainCitation":"142","noteIndex":0},"citationItems":[{"id":1001,"uris":["http://zotero.org/groups/4669668/items/AUPRHAPE"],"itemData":{"id":1001,"type":"entry-encyclopedia","container-title":"Feedipedia","language":"English","license":"INRAE CIRAD AFZ and FAO","publisher":"INRAE CIRAD AFZ and FAO","title":"Blood meal","URL":"https://www.feedipedia.org/node/221","author":[{"family":"Heuzé","given":"Valérie"},{"family":"Tran","given":"Gilles"}],"issued":{"date-parts":[["2016"]]}}}],"schema":"https://github.com/citation-style-language/schema/raw/master/csl-citation.json"} </w:instrText>
      </w:r>
      <w:r w:rsidRPr="009D417A">
        <w:rPr>
          <w:rFonts w:ascii="Times New Roman" w:hAnsi="Times New Roman" w:cs="Times New Roman"/>
        </w:rPr>
        <w:fldChar w:fldCharType="separate"/>
      </w:r>
      <w:r w:rsidR="00652EE2" w:rsidRPr="00652EE2">
        <w:rPr>
          <w:rFonts w:ascii="Times New Roman" w:hAnsi="Times New Roman" w:cs="Times New Roman"/>
          <w:szCs w:val="24"/>
          <w:vertAlign w:val="superscript"/>
        </w:rPr>
        <w:t>142</w:t>
      </w:r>
      <w:r w:rsidRPr="009D417A">
        <w:rPr>
          <w:rFonts w:ascii="Times New Roman" w:hAnsi="Times New Roman" w:cs="Times New Roman"/>
        </w:rPr>
        <w:fldChar w:fldCharType="end"/>
      </w:r>
      <w:r w:rsidRPr="009D417A">
        <w:rPr>
          <w:rFonts w:ascii="Times New Roman" w:hAnsi="Times New Roman" w:cs="Times New Roman"/>
        </w:rPr>
        <w:t xml:space="preserve">. </w:t>
      </w:r>
      <w:proofErr w:type="spellStart"/>
      <w:r w:rsidRPr="009D417A">
        <w:rPr>
          <w:rFonts w:ascii="Times New Roman" w:hAnsi="Times New Roman" w:cs="Times New Roman"/>
        </w:rPr>
        <w:t>PbO</w:t>
      </w:r>
      <w:proofErr w:type="spellEnd"/>
      <w:r w:rsidRPr="009D417A">
        <w:rPr>
          <w:rFonts w:ascii="Times New Roman" w:hAnsi="Times New Roman" w:cs="Times New Roman"/>
        </w:rPr>
        <w:t xml:space="preserve"> and TAL are nutritionally viable supplementary lipid sources given their high levels of oleic acid </w:t>
      </w:r>
      <w:r w:rsidRPr="009D417A">
        <w:rPr>
          <w:rFonts w:ascii="Times New Roman" w:hAnsi="Times New Roman" w:cs="Times New Roman"/>
        </w:rPr>
        <w:fldChar w:fldCharType="begin"/>
      </w:r>
      <w:r w:rsidR="004406CC">
        <w:rPr>
          <w:rFonts w:ascii="Times New Roman" w:hAnsi="Times New Roman" w:cs="Times New Roman"/>
        </w:rPr>
        <w:instrText xml:space="preserve"> ADDIN ZOTERO_ITEM CSL_CITATION {"citationID":"aoa3s5esi0","properties":{"formattedCitation":"\\super 129\\nosupersub{}","plainCitation":"129","noteIndex":0},"citationItems":[{"id":994,"uris":["http://zotero.org/groups/4669668/items/PR2G4YII"],"itemData":{"id":994,"type":"book","edition":"1","ISBN":"978-1-4020-1527-4","number-of-pages":"573","publisher":"Springer Dordrecht","title":"Handbook on ingredients for aquaculture feeds","URL":"https://doi.org/10.1007/978-94-011-4018-8","author":[{"family":"Hertrampf","given":"Joachim W."},{"family":"Piedad-Pascual","given":"Felicitas"}],"issued":{"date-parts":[["2000"]]}}}],"schema":"https://github.com/citation-style-language/schema/raw/master/csl-citation.json"} </w:instrText>
      </w:r>
      <w:r w:rsidRPr="009D417A">
        <w:rPr>
          <w:rFonts w:ascii="Times New Roman" w:hAnsi="Times New Roman" w:cs="Times New Roman"/>
        </w:rPr>
        <w:fldChar w:fldCharType="separate"/>
      </w:r>
      <w:r w:rsidR="004406CC" w:rsidRPr="004406CC">
        <w:rPr>
          <w:rFonts w:ascii="Times New Roman" w:hAnsi="Times New Roman" w:cs="Times New Roman"/>
          <w:szCs w:val="24"/>
          <w:vertAlign w:val="superscript"/>
        </w:rPr>
        <w:t>129</w:t>
      </w:r>
      <w:r w:rsidRPr="009D417A">
        <w:rPr>
          <w:rFonts w:ascii="Times New Roman" w:hAnsi="Times New Roman" w:cs="Times New Roman"/>
        </w:rPr>
        <w:fldChar w:fldCharType="end"/>
      </w:r>
      <w:r w:rsidRPr="009D417A">
        <w:rPr>
          <w:rFonts w:ascii="Times New Roman" w:hAnsi="Times New Roman" w:cs="Times New Roman"/>
        </w:rPr>
        <w:t xml:space="preserve">. </w:t>
      </w:r>
      <w:proofErr w:type="spellStart"/>
      <w:r w:rsidRPr="009D417A">
        <w:rPr>
          <w:rFonts w:ascii="Times New Roman" w:hAnsi="Times New Roman" w:cs="Times New Roman"/>
        </w:rPr>
        <w:t>PbO</w:t>
      </w:r>
      <w:proofErr w:type="spellEnd"/>
      <w:r w:rsidRPr="009D417A">
        <w:rPr>
          <w:rFonts w:ascii="Times New Roman" w:hAnsi="Times New Roman" w:cs="Times New Roman"/>
        </w:rPr>
        <w:t xml:space="preserve"> also has low saturated FA content, while TAL has a balanced saturated FA and monounsaturated FA content with very low levels of n-6 polyunsaturated FA; however, both </w:t>
      </w:r>
      <w:proofErr w:type="spellStart"/>
      <w:r w:rsidRPr="009D417A">
        <w:rPr>
          <w:rFonts w:ascii="Times New Roman" w:hAnsi="Times New Roman" w:cs="Times New Roman"/>
        </w:rPr>
        <w:t>PbO</w:t>
      </w:r>
      <w:proofErr w:type="spellEnd"/>
      <w:r w:rsidRPr="009D417A">
        <w:rPr>
          <w:rFonts w:ascii="Times New Roman" w:hAnsi="Times New Roman" w:cs="Times New Roman"/>
        </w:rPr>
        <w:t xml:space="preserve"> and TAL lack the coveted FAs EPA and DHA that are found in fish oil </w:t>
      </w:r>
      <w:r w:rsidRPr="009D417A">
        <w:rPr>
          <w:rFonts w:ascii="Times New Roman" w:hAnsi="Times New Roman" w:cs="Times New Roman"/>
        </w:rPr>
        <w:fldChar w:fldCharType="begin"/>
      </w:r>
      <w:r w:rsidR="007F1B73">
        <w:rPr>
          <w:rFonts w:ascii="Times New Roman" w:hAnsi="Times New Roman" w:cs="Times New Roman"/>
        </w:rPr>
        <w:instrText xml:space="preserve"> ADDIN ZOTERO_ITEM CSL_CITATION {"citationID":"a118rkbo6io","properties":{"formattedCitation":"\\super 129,143,144\\nosupersub{}","plainCitation":"129,143,144","noteIndex":0},"citationItems":[{"id":1117,"uris":["http://zotero.org/groups/4669668/items/UJVJSI6T"],"itemData":{"id":1117,"type":"article-journal","abstract":"This study presents an environmental life cycle assessment of poultry fat (PF), poultry by-product meal (PBM) and steam hydrolyzed feather meal (HF). These ingredients are obtained by rendering poultry by-products and can be used as valuable feedstuffs for the fish feed industry, displacing traditional fishmeal and fish oil, promoting a circular economy system by reducing waste, adding value to by-products of the poultry production and reintroducing them in the economy as high-value products. A life cycle inventory and model were implemented for the PF, PBM and HF production chains based on data collected from two poultry by-product rendering units: the first producing both PF and PBM, and the second producing only HF. Four environmental impact categories were assessed using the CML life-cycle impact assessment method: global warming (GW), abiotic depletion (AD), acidification (AC) and eutrophication (EUT). The impacts calculated with economic allocation for 1 t of PF, 1 t of PBM and 1 t of HF from poultry by-products are 666, 726 and 597 kg CO2 eq (GW); 3.8, 4.2 and 3.2 kg Sb eq (AD); 4.2, 4.6 and 4.7 kg SO2 eq (AC); and 1.8, 2.0 and 2.1 kg PO43− eq (EUT), respectively. The rendering process of by-products is mainly responsible for GW and AD (mainly due to process heat), while the poultry production is the main contributor for AC and EUT. In more detail, a sensitivity analysis of alternative multifunctionality procedures for dealing with poultry by-products was performed, showing that the selected allocation method has a huge influence on the life cycle impacts, with higher impacts when mass allocation is employed instead of economic allocation. Additionally, a sensitivity analysis was conducted on the type of energy used in the rendering process, and distances in poultry by-product transportation to the rendering plants. The results show that the fuel source for process heat or the electricity generation system has a significant influence on the impacts, while the transportation distance has much less.","container-title":"Journal of Cleaner Production","DOI":"10.1016/j.jclepro.2019.119845","ISSN":"0959-6526","journalAbbreviation":"Journal of Cleaner Production","language":"en","page":"119845","source":"ScienceDirect","title":"Life-cycle assessment of animal feed ingredients: Poultry fat, poultry by-product meal and hydrolyzed feather meal","title-short":"Life-cycle assessment of animal feed ingredients","volume":"252","author":[{"family":"Campos","given":"Inês"},{"family":"Pinheiro Valente","given":"Luisa Maria"},{"family":"Matos","given":"Elisabete"},{"family":"Marques","given":"Pedro"},{"family":"Freire","given":"Fausto"}],"issued":{"date-parts":[["2020",4,10]]}}},{"id":1114,"uris":["http://zotero.org/groups/4669668/items/ZWB2D55U"],"itemData":{"id":1114,"type":"article-journal","abstract":"Amongst the various available alternative oils, tallow (TAL) has attracted limited research interest and is not commonly used in commercial aquafeeds. This is likely due to concerns of consumers' perception and its high saturated fatty acid (SFA) content, which raises concerns about its digestibility, particularly for species cultured in cold water conditions, such as the Atlantic salmon (Salmo salar). Conversely TAL is conveniently priced and has a very low n−6 polyunsaturated fatty acid (PUFA) content, which may be beneficial to the final product quality. In many parts of the world, modern salmon aquafeed commonly contains poultry by-product oil (PbO) as the alternative lipid source to replace fish oil (FO). Accordingly, the control diet used for the present experiment contained 75% PbO and 25% FO, as the added dietary lipid sources. Five additional experimental diets were formulated to progressively increase the level of TAL inclusion substituting PbO in 10% increments (10–50%), with a constant amount of FO (25%). A feeding trial was conducted using triplicate groups of Atlantic salmon over a 14week time period at 10°C. No difference in growth performance was recorded between treatments, but TAL substitution impacted lipid and fatty acid digestibility. The apparent in vivo β-oxidation of SFA intensified with TAL inclusion, whilst n−3 PUFA β-oxidation decreased. TAL inclusion also resulted in increased apparent in vivo bioconversion of 22:5n−3 to 22:6n−3. This was also reflected in fillet and whole body n−3 long chain PUFA (LC-PUFA) composition. TAL inclusion impacted positively on the fillet n−3/n−6 PUFA ratio. This study suggests that TAL appears to be a viable alternative oil, with potential for inclusion in commercial aquafeeds.","container-title":"Aquaculture","DOI":"10.1016/j.aquaculture.2013.12.004","ISSN":"0044-8486","journalAbbreviation":"Aquaculture","language":"en","page":"98-108","source":"ScienceDirect","title":"Tallow in Atlantic salmon feed","volume":"422-423","author":[{"family":"Emery","given":"James A."},{"family":"Smullen","given":"Richard P."},{"family":"Turchini","given":"Giovanni M."}],"issued":{"date-parts":[["2014",2,20]]}}},{"id":994,"uris":["http://zotero.org/groups/4669668/items/PR2G4YII"],"itemData":{"id":994,"type":"book","edition":"1","ISBN":"978-1-4020-1527-4","number-of-pages":"573","publisher":"Springer Dordrecht","title":"Handbook on ingredients for aquaculture feeds","URL":"https://doi.org/10.1007/978-94-011-4018-8","author":[{"family":"Hertrampf","given":"Joachim W."},{"family":"Piedad-Pascual","given":"Felicitas"}],"issued":{"date-parts":[["2000"]]}}}],"schema":"https://github.com/citation-style-language/schema/raw/master/csl-citation.json"} </w:instrText>
      </w:r>
      <w:r w:rsidRPr="009D417A">
        <w:rPr>
          <w:rFonts w:ascii="Times New Roman" w:hAnsi="Times New Roman" w:cs="Times New Roman"/>
        </w:rPr>
        <w:fldChar w:fldCharType="separate"/>
      </w:r>
      <w:r w:rsidR="007F1B73" w:rsidRPr="007F1B73">
        <w:rPr>
          <w:rFonts w:ascii="Times New Roman" w:hAnsi="Times New Roman" w:cs="Times New Roman"/>
          <w:szCs w:val="24"/>
          <w:vertAlign w:val="superscript"/>
        </w:rPr>
        <w:t>129,143,144</w:t>
      </w:r>
      <w:r w:rsidRPr="009D417A">
        <w:rPr>
          <w:rFonts w:ascii="Times New Roman" w:hAnsi="Times New Roman" w:cs="Times New Roman"/>
        </w:rPr>
        <w:fldChar w:fldCharType="end"/>
      </w:r>
      <w:r w:rsidRPr="009D417A">
        <w:rPr>
          <w:rFonts w:ascii="Times New Roman" w:hAnsi="Times New Roman" w:cs="Times New Roman"/>
        </w:rPr>
        <w:t xml:space="preserve">. However, evidence suggests an increased deposition efficiency of these health promoting FAs in fish when fed diets rich in SFA and MUFA sources (e.g., TAL) are included in dietary formulations </w:t>
      </w:r>
      <w:r w:rsidRPr="009D417A">
        <w:rPr>
          <w:rFonts w:ascii="Times New Roman" w:hAnsi="Times New Roman" w:cs="Times New Roman"/>
        </w:rPr>
        <w:fldChar w:fldCharType="begin"/>
      </w:r>
      <w:r w:rsidR="00B36504">
        <w:rPr>
          <w:rFonts w:ascii="Times New Roman" w:hAnsi="Times New Roman" w:cs="Times New Roman"/>
        </w:rPr>
        <w:instrText xml:space="preserve"> ADDIN ZOTERO_ITEM CSL_CITATION {"citationID":"a25q2sjaa66","properties":{"formattedCitation":"\\super 145\\nosupersub{}","plainCitation":"145","noteIndex":0},"citationItems":[{"id":973,"uris":["http://zotero.org/groups/4669668/items/GGI2KUU2"],"itemData":{"id":973,"type":"article-journal","container-title":"Reviews in Aquaculture","DOI":"10.1111/raq.12593","ISSN":"1753-5131","issue":"1","language":"en","note":"number: 1\n_eprint: https://onlinelibrary.wiley.com/doi/pdf/10.1111/raq.12593","page":"213-217","source":"Wiley Online Library","title":"The omega-3 sparing effect of saturated fatty acids: A reason to reconsider common knowledge of fish oil replacement","title-short":"The omega-3 sparing effect of saturated fatty acids","volume":"14","author":[{"family":"Rombenso","given":"Artur N."},{"family":"Turchini","given":"Giovanni M."},{"family":"Trushenski","given":"Jesse T."}],"issued":{"date-parts":[["2021"]]}}}],"schema":"https://github.com/citation-style-language/schema/raw/master/csl-citation.json"} </w:instrText>
      </w:r>
      <w:r w:rsidRPr="009D417A">
        <w:rPr>
          <w:rFonts w:ascii="Times New Roman" w:hAnsi="Times New Roman" w:cs="Times New Roman"/>
        </w:rPr>
        <w:fldChar w:fldCharType="separate"/>
      </w:r>
      <w:r w:rsidR="00B36504" w:rsidRPr="00B36504">
        <w:rPr>
          <w:rFonts w:ascii="Times New Roman" w:hAnsi="Times New Roman" w:cs="Times New Roman"/>
          <w:szCs w:val="24"/>
          <w:vertAlign w:val="superscript"/>
        </w:rPr>
        <w:t>145</w:t>
      </w:r>
      <w:r w:rsidRPr="009D417A">
        <w:rPr>
          <w:rFonts w:ascii="Times New Roman" w:hAnsi="Times New Roman" w:cs="Times New Roman"/>
        </w:rPr>
        <w:fldChar w:fldCharType="end"/>
      </w:r>
      <w:r w:rsidRPr="009D417A">
        <w:rPr>
          <w:rFonts w:ascii="Times New Roman" w:hAnsi="Times New Roman" w:cs="Times New Roman"/>
        </w:rPr>
        <w:t xml:space="preserve">. </w:t>
      </w:r>
    </w:p>
    <w:p w14:paraId="2B93A6A1" w14:textId="07FF90CF" w:rsidR="00E22B08" w:rsidRPr="00E317EA" w:rsidRDefault="00E22B08" w:rsidP="00E22B08">
      <w:pPr>
        <w:spacing w:line="360" w:lineRule="auto"/>
        <w:ind w:firstLine="720"/>
        <w:contextualSpacing/>
        <w:jc w:val="both"/>
        <w:rPr>
          <w:rFonts w:ascii="Times New Roman" w:hAnsi="Times New Roman" w:cs="Times New Roman"/>
        </w:rPr>
      </w:pPr>
      <w:r>
        <w:rPr>
          <w:rFonts w:ascii="Times New Roman" w:hAnsi="Times New Roman" w:cs="Times New Roman"/>
        </w:rPr>
        <w:lastRenderedPageBreak/>
        <w:t>The</w:t>
      </w:r>
      <w:r w:rsidRPr="00AD6783">
        <w:rPr>
          <w:rFonts w:ascii="Times New Roman" w:hAnsi="Times New Roman" w:cs="Times New Roman"/>
        </w:rPr>
        <w:t xml:space="preserve"> only significant limitations</w:t>
      </w:r>
      <w:r w:rsidR="000A0B40">
        <w:rPr>
          <w:rFonts w:ascii="Times New Roman" w:hAnsi="Times New Roman" w:cs="Times New Roman"/>
        </w:rPr>
        <w:t xml:space="preserve"> surrounding APB </w:t>
      </w:r>
      <w:proofErr w:type="spellStart"/>
      <w:r w:rsidR="000A0B40">
        <w:rPr>
          <w:rFonts w:ascii="Times New Roman" w:hAnsi="Times New Roman" w:cs="Times New Roman"/>
        </w:rPr>
        <w:t>utilisation</w:t>
      </w:r>
      <w:proofErr w:type="spellEnd"/>
      <w:r w:rsidRPr="00AD6783">
        <w:rPr>
          <w:rFonts w:ascii="Times New Roman" w:hAnsi="Times New Roman" w:cs="Times New Roman"/>
        </w:rPr>
        <w:t xml:space="preserve"> are regulatory</w:t>
      </w:r>
      <w:r>
        <w:rPr>
          <w:rFonts w:ascii="Times New Roman" w:hAnsi="Times New Roman" w:cs="Times New Roman"/>
        </w:rPr>
        <w:t xml:space="preserve"> in nature. B</w:t>
      </w:r>
      <w:r w:rsidRPr="00AD6783">
        <w:rPr>
          <w:rFonts w:ascii="Times New Roman" w:hAnsi="Times New Roman" w:cs="Times New Roman"/>
        </w:rPr>
        <w:t xml:space="preserve">iologically, there </w:t>
      </w:r>
      <w:r w:rsidR="009F1A4E">
        <w:rPr>
          <w:rFonts w:ascii="Times New Roman" w:hAnsi="Times New Roman" w:cs="Times New Roman"/>
        </w:rPr>
        <w:t>are</w:t>
      </w:r>
      <w:r w:rsidRPr="00AD6783">
        <w:rPr>
          <w:rFonts w:ascii="Times New Roman" w:hAnsi="Times New Roman" w:cs="Times New Roman"/>
        </w:rPr>
        <w:t xml:space="preserve"> very </w:t>
      </w:r>
      <w:r w:rsidR="009F1A4E">
        <w:rPr>
          <w:rFonts w:ascii="Times New Roman" w:hAnsi="Times New Roman" w:cs="Times New Roman"/>
        </w:rPr>
        <w:t xml:space="preserve">few </w:t>
      </w:r>
      <w:r w:rsidRPr="00AD6783">
        <w:rPr>
          <w:rFonts w:ascii="Times New Roman" w:hAnsi="Times New Roman" w:cs="Times New Roman"/>
        </w:rPr>
        <w:t>limitation</w:t>
      </w:r>
      <w:r w:rsidR="009F1A4E">
        <w:rPr>
          <w:rFonts w:ascii="Times New Roman" w:hAnsi="Times New Roman" w:cs="Times New Roman"/>
        </w:rPr>
        <w:t>s</w:t>
      </w:r>
      <w:r w:rsidRPr="00AD6783">
        <w:rPr>
          <w:rFonts w:ascii="Times New Roman" w:hAnsi="Times New Roman" w:cs="Times New Roman"/>
        </w:rPr>
        <w:t xml:space="preserve">, particularly in comparison with other aquafeed ingredients. </w:t>
      </w:r>
      <w:r>
        <w:rPr>
          <w:rFonts w:ascii="Times New Roman" w:hAnsi="Times New Roman" w:cs="Times New Roman"/>
        </w:rPr>
        <w:t>That said, o</w:t>
      </w:r>
      <w:r w:rsidRPr="009D417A">
        <w:rPr>
          <w:rFonts w:ascii="Times New Roman" w:hAnsi="Times New Roman" w:cs="Times New Roman"/>
        </w:rPr>
        <w:t xml:space="preserve">ptimizing the use of ABP in aquafeeds still presents a challenge to the industry. ABP composition is highly variable, particularly that of meals (e.g., POM, M&amp;B meal) </w:t>
      </w:r>
      <w:r w:rsidRPr="009D417A">
        <w:rPr>
          <w:rFonts w:ascii="Times New Roman" w:hAnsi="Times New Roman" w:cs="Times New Roman"/>
        </w:rPr>
        <w:fldChar w:fldCharType="begin"/>
      </w:r>
      <w:r w:rsidR="00F209BF">
        <w:rPr>
          <w:rFonts w:ascii="Times New Roman" w:hAnsi="Times New Roman" w:cs="Times New Roman"/>
        </w:rPr>
        <w:instrText xml:space="preserve"> ADDIN ZOTERO_ITEM CSL_CITATION {"citationID":"a5541m6glf","properties":{"formattedCitation":"\\super 134,140\\nosupersub{}","plainCitation":"134,140","noteIndex":0},"citationItems":[{"id":1108,"uris":["http://zotero.org/groups/4669668/items/IHKCLGR2"],"itemData":{"id":1108,"type":"chapter","abstract":"World food fish production has increased significantly during the past decades. As fisheries captures stagnate the additional production of fisheries products needs to be fulfilled by aquaculture production. This puts an enormous pressure on the use of fishmeal (FM) and fish oil (FO) for inclusion in aquafeeds with the consequent increase in price of these commodities with demand. The use of fisheries by-products in aquafeeds is also environmentally unsustainable. Thus, reducing aquafeeds dependency on FM and FO is of the utmost importance and it is a priority for the sustainable development of aquaculture, particularly for carnivorous species. Overall, reducing half of the FM and FO in carnivorous fish diets is relatively simple. However, further reductions are more complicated without affecting growth performance and animal health. Further, FO is nowadays the only commercial source of essential fatty acids for marine fish; thus it is at risk of becoming a bottleneck for the growth of marine fish production. Thus, it is mandatory to pursue efforts to replace FM and FO in aquafeeds and to develop strategies that minimize the impacts of FO reduction in the diet and on fish fillet quality. The alternative aquafeeds (low in FM and FO) must also ensure good fish health and a resultant final product that is nutritionally adequate, safe to eat and well accepted by consumers. This chapter provides a comprehensive review of feedstuffs used in aquafeeds, indicating potential advantages and inconveniences of their use. Overall, there is potential for significant sparing of FM and FO in carnivorous fish diets during the grow-out phase without affecting fish performance. However, more research is required to evaluate the effects of simultaneous replacement of FM and FO in the diet, as well as aspects related to immunological status, oxidative status, and health and disease resistance of animals fed these alternative diets.","collection-title":"Woodhead Publishing Series in Food Science, Technology and Nutrition","container-title":"Feed and Feeding Practices in Aquaculture","event-place":"Oxford","ISBN":"978-0-08-100506-4","language":"en","note":"DOI: 10.1016/B978-0-08-100506-4.00008-8","page":"203-233","publisher":"Woodhead Publishing","publisher-place":"Oxford","source":"ScienceDirect","title":"8 - Replacing fishmeal and fish oil in industrial aquafeeds for carnivorous fish","URL":"https://www.sciencedirect.com/science/article/pii/B9780081005064000088","author":[{"family":"Oliva-Teles","given":"A."},{"family":"Enes","given":"P."},{"family":"Peres","given":"H."}],"editor":[{"family":"Davis","given":"D. Allen"}],"accessed":{"date-parts":[["2022",4,24]]},"issued":{"date-parts":[["2015",1,1]]}}},{"id":1106,"uris":["http://zotero.org/groups/4669668/items/MHMTZ9LB"],"itemData":{"id":1106,"type":"article-journal","abstract":"Aquafeed manufacturers are increasingly interested in ensuring consistently high-quality products, while relying heavily on poultry offal meal (POM), which is inevitably variable. This study examined the chemical composition of 22 different commercially and experimentally produced POM to determine which chemical variables best predict in vivo protein digestibility in Atlantic salmon (Salmo salar) and to evaluate which production variable, rendering temperature or raw material freshness, has a greater impact on digestibility. The chemical composition of commercially and experimentally produced POM was extremely variable. Significant relationships were found between in vivo dietary protein digestibility and D-glutamic acid (R2 = 0.64) and D-aspartic acid (R2 = 0.62). Rendering temperature and raw material freshness had significant effects on D-amino acids and biogenic amines. D-glutamic and D-aspartic acids may provide rapid-assessment indication of POM quality, as these D-amino acids were linked to protein digestibility and affected by the production variables. This study supports the well-held notion that POM is subject to significant variability and addresses the specific chemical characterisation of POM and the production conditions which impact nutrient digestibility in Atlantic salmon. These results prove beneficial to aquafeed manufactures aiming to ensure consistency and high nutritional quality in protein sources for aquafeed.","container-title":"Aquaculture","DOI":"10.1016/j.aquaculture.2021.736909","ISSN":"0044-8486","journalAbbreviation":"Aquaculture","language":"en","page":"736909","source":"ScienceDirect","title":"Poultry offal meal production conditions impact meal quality and digestibility in Atlantic salmon (Salmo salar)","volume":"542","author":[{"family":"Rocker","given":"Melissa M."},{"family":"Lewis","given":"Michael J."},{"family":"Mock","given":"Thomas S."},{"family":"Francis","given":"David S."},{"family":"Bellagamba","given":"Federica"},{"family":"Moretti","given":"Vittorio M."},{"family":"Quinn","given":"Gerry P."},{"family":"Smullen","given":"Richard P."},{"family":"Turchini","given":"Giovanni M."}],"issued":{"date-parts":[["2021",9,15]]}}}],"schema":"https://github.com/citation-style-language/schema/raw/master/csl-citation.json"} </w:instrText>
      </w:r>
      <w:r w:rsidRPr="009D417A">
        <w:rPr>
          <w:rFonts w:ascii="Times New Roman" w:hAnsi="Times New Roman" w:cs="Times New Roman"/>
        </w:rPr>
        <w:fldChar w:fldCharType="separate"/>
      </w:r>
      <w:r w:rsidR="00F209BF" w:rsidRPr="00F209BF">
        <w:rPr>
          <w:rFonts w:ascii="Times New Roman" w:hAnsi="Times New Roman" w:cs="Times New Roman"/>
          <w:szCs w:val="24"/>
          <w:vertAlign w:val="superscript"/>
        </w:rPr>
        <w:t>134,140</w:t>
      </w:r>
      <w:r w:rsidRPr="009D417A">
        <w:rPr>
          <w:rFonts w:ascii="Times New Roman" w:hAnsi="Times New Roman" w:cs="Times New Roman"/>
        </w:rPr>
        <w:fldChar w:fldCharType="end"/>
      </w:r>
      <w:r w:rsidRPr="009D417A">
        <w:rPr>
          <w:rFonts w:ascii="Times New Roman" w:hAnsi="Times New Roman" w:cs="Times New Roman"/>
        </w:rPr>
        <w:t xml:space="preserve">. For example, high ash content or deficiencies in particular AA (e.g., lysine, methionine and tryptophan) in meals, or high levels of SFA in oils, can limit the use of ABP within aquafeeds as these factors can have a negative impact by reducing protein and lipid digestibility </w:t>
      </w:r>
      <w:r w:rsidRPr="009D417A">
        <w:rPr>
          <w:rFonts w:ascii="Times New Roman" w:hAnsi="Times New Roman" w:cs="Times New Roman"/>
        </w:rPr>
        <w:fldChar w:fldCharType="begin"/>
      </w:r>
      <w:r w:rsidR="000469DD">
        <w:rPr>
          <w:rFonts w:ascii="Times New Roman" w:hAnsi="Times New Roman" w:cs="Times New Roman"/>
        </w:rPr>
        <w:instrText xml:space="preserve"> ADDIN ZOTERO_ITEM CSL_CITATION {"citationID":"a1dl23ledpf","properties":{"formattedCitation":"\\super 146,147\\nosupersub{}","plainCitation":"146,147","noteIndex":0},"citationItems":[{"id":1118,"uris":["http://zotero.org/groups/4669668/items/3T64BKIA"],"itemData":{"id":1118,"type":"article-journal","container-title":"Fish oil replacement and alternative lipid sources in aquaculture feeds. CRC Press, Boca Raton, FL","page":"245-266","title":"Terrestrial animal fats","author":[{"family":"Bureau","given":"Dominique P."},{"family":"Meeker","given":"David L."}],"issued":{"date-parts":[["2010"]]}}},{"id":1016,"uris":["http://zotero.org/groups/4669668/items/MH8ZQYBH"],"itemData":{"id":1016,"type":"article-journal","abstract":"The effect of ash concentration on amino acid (AA) composition, true AA digestibility, and protein efficiency ratio (PER; weight gain per unit of protein intake) of meat and bone meal (MBM) was evaluated. Commercially rendered MBM samples containing 16 to 44% ash were obtained from two sources. Additional samples of MBM varying in ash from 9 to 63% were obtained by chloroform floatation or lab screening of a beef crax sample. Protein quality of selected MBM samples was assessed by determining true AA digestibility using the precision-fed cecectomized rooster assay and by a PER chick growth assay wherein chicks were fed 10% CP diets containing a MBM as the only source of dietary protein from 8 to 18 d of age. Increases in Ala, Pro, Gly, and Arg as a percentage of CP were observed in all MBM samples as ash percentage increased, with Pro and Gly accounting for most of the increase. In contrast, the levels (% of CP) of all essential AA, other than Arg, decreased as ash level increased. For example, Lys concentrations per unit of CP decreased from 5.7 to 4.0% as ash increased from 9 to 63%. There was little or no effect of ash content on AA digestibility of MBM varying in ash from 9 to 44%. The PER of MBM markedly decreased from 3.34 to 0.72 as ash increased from 16 to 44%, and most of the effects of ash on PER were not due to differences in dietary Ca and P levels. The results indicate that the reduction in protein quality of MBM as ash content increases is almost entirely due to a decrease in analyzed essential AA per unit of CP, not a decrease in digestibility of AA.","container-title":"Poultry Science","DOI":"10.1093/ps/80.5.626","ISSN":"0032-5791","issue":"5","journalAbbreviation":"Poultry Science","language":"en","note":"number: 5","page":"626-632","source":"ScienceDirect","title":"Effect of ash content on protein quality of meat and bone meal","volume":"80","author":[{"family":"Shirley","given":"R. B."},{"family":"Parsons","given":"C. M."}],"issued":{"date-parts":[["2001",5,1]]}}}],"schema":"https://github.com/citation-style-language/schema/raw/master/csl-citation.json"} </w:instrText>
      </w:r>
      <w:r w:rsidRPr="009D417A">
        <w:rPr>
          <w:rFonts w:ascii="Times New Roman" w:hAnsi="Times New Roman" w:cs="Times New Roman"/>
        </w:rPr>
        <w:fldChar w:fldCharType="separate"/>
      </w:r>
      <w:r w:rsidR="000469DD" w:rsidRPr="000469DD">
        <w:rPr>
          <w:rFonts w:ascii="Times New Roman" w:hAnsi="Times New Roman" w:cs="Times New Roman"/>
          <w:szCs w:val="24"/>
          <w:vertAlign w:val="superscript"/>
        </w:rPr>
        <w:t>146,147</w:t>
      </w:r>
      <w:r w:rsidRPr="009D417A">
        <w:rPr>
          <w:rFonts w:ascii="Times New Roman" w:hAnsi="Times New Roman" w:cs="Times New Roman"/>
        </w:rPr>
        <w:fldChar w:fldCharType="end"/>
      </w:r>
      <w:r w:rsidRPr="009D417A">
        <w:rPr>
          <w:rFonts w:ascii="Times New Roman" w:hAnsi="Times New Roman" w:cs="Times New Roman"/>
        </w:rPr>
        <w:t xml:space="preserve">. </w:t>
      </w:r>
      <w:r>
        <w:rPr>
          <w:rFonts w:ascii="Times New Roman" w:hAnsi="Times New Roman" w:cs="Times New Roman"/>
        </w:rPr>
        <w:t>Albeit l</w:t>
      </w:r>
      <w:r w:rsidRPr="00CC1261">
        <w:rPr>
          <w:rFonts w:ascii="Times New Roman" w:hAnsi="Times New Roman" w:cs="Times New Roman"/>
        </w:rPr>
        <w:t>ess than 100% digestibility is a</w:t>
      </w:r>
      <w:r>
        <w:rPr>
          <w:rFonts w:ascii="Times New Roman" w:hAnsi="Times New Roman" w:cs="Times New Roman"/>
        </w:rPr>
        <w:t>n</w:t>
      </w:r>
      <w:r w:rsidRPr="00CC1261">
        <w:rPr>
          <w:rFonts w:ascii="Times New Roman" w:hAnsi="Times New Roman" w:cs="Times New Roman"/>
        </w:rPr>
        <w:t xml:space="preserve"> expectation for all protein sources and is readily managed—the same should be true for lipid sources</w:t>
      </w:r>
      <w:r>
        <w:rPr>
          <w:rFonts w:ascii="Times New Roman" w:hAnsi="Times New Roman" w:cs="Times New Roman"/>
        </w:rPr>
        <w:t xml:space="preserve"> high in saturated fats</w:t>
      </w:r>
      <w:r>
        <w:rPr>
          <w:rFonts w:ascii="Times New Roman" w:hAnsi="Times New Roman" w:cs="Times New Roman"/>
        </w:rPr>
        <w:fldChar w:fldCharType="begin"/>
      </w:r>
      <w:r w:rsidR="00FA6A5C">
        <w:rPr>
          <w:rFonts w:ascii="Times New Roman" w:hAnsi="Times New Roman" w:cs="Times New Roman"/>
        </w:rPr>
        <w:instrText xml:space="preserve"> ADDIN ZOTERO_ITEM CSL_CITATION {"citationID":"alu6n68g2k","properties":{"formattedCitation":"\\super 148\\nosupersub{}","plainCitation":"148","noteIndex":0},"citationItems":[{"id":64,"uris":["http://zotero.org/users/9431846/items/FJDFBDVK"],"itemData":{"id":64,"type":"article-journal","container-title":"Reviews in Aquaculture","DOI":"10.1111/raq.12593","ISSN":"1753-5131","issue":"1","language":"en","note":"_eprint: https://onlinelibrary.wiley.com/doi/pdf/10.1111/raq.12593","page":"213-217","source":"Wiley Online Library","title":"The omega-3 sparing effect of saturated fatty acids: A reason to reconsider common knowledge of fish oil replacement","title-short":"The omega-3 sparing effect of saturated fatty acids","volume":"14","author":[{"family":"Rombenso","given":"Artur N."},{"family":"Turchini","given":"Giovanni M."},{"family":"Trushenski","given":"Jesse T."}],"issued":{"date-parts":[["2022"]]}}}],"schema":"https://github.com/citation-style-language/schema/raw/master/csl-citation.json"} </w:instrText>
      </w:r>
      <w:r>
        <w:rPr>
          <w:rFonts w:ascii="Times New Roman" w:hAnsi="Times New Roman" w:cs="Times New Roman"/>
        </w:rPr>
        <w:fldChar w:fldCharType="separate"/>
      </w:r>
      <w:r w:rsidR="00FA6A5C" w:rsidRPr="00FA6A5C">
        <w:rPr>
          <w:rFonts w:ascii="Times New Roman" w:hAnsi="Times New Roman" w:cs="Times New Roman"/>
          <w:szCs w:val="24"/>
          <w:vertAlign w:val="superscript"/>
        </w:rPr>
        <w:t>148</w:t>
      </w:r>
      <w:r>
        <w:rPr>
          <w:rFonts w:ascii="Times New Roman" w:hAnsi="Times New Roman" w:cs="Times New Roman"/>
        </w:rPr>
        <w:fldChar w:fldCharType="end"/>
      </w:r>
      <w:r w:rsidRPr="00CC1261">
        <w:rPr>
          <w:rFonts w:ascii="Times New Roman" w:hAnsi="Times New Roman" w:cs="Times New Roman"/>
        </w:rPr>
        <w:t xml:space="preserve">. </w:t>
      </w:r>
      <w:r w:rsidRPr="009D417A">
        <w:rPr>
          <w:rFonts w:ascii="Times New Roman" w:hAnsi="Times New Roman" w:cs="Times New Roman"/>
        </w:rPr>
        <w:t xml:space="preserve">Not only are ABP influenced by species of origin (e.g., poultry versus cattle) and condition of the animal (e.g., age and gender) </w:t>
      </w:r>
      <w:r w:rsidRPr="009D417A">
        <w:rPr>
          <w:rFonts w:ascii="Times New Roman" w:hAnsi="Times New Roman" w:cs="Times New Roman"/>
        </w:rPr>
        <w:fldChar w:fldCharType="begin"/>
      </w:r>
      <w:r w:rsidR="00CB14CD">
        <w:rPr>
          <w:rFonts w:ascii="Times New Roman" w:hAnsi="Times New Roman" w:cs="Times New Roman"/>
        </w:rPr>
        <w:instrText xml:space="preserve"> ADDIN ZOTERO_ITEM CSL_CITATION {"citationID":"agen6t4e49","properties":{"formattedCitation":"\\super 149\\nosupersub{}","plainCitation":"149","noteIndex":0},"citationItems":[{"id":974,"uris":["http://zotero.org/groups/4669668/items/MYDLH3TH"],"itemData":{"id":974,"type":"book","edition":"1","event-place":"Boca Raton","ISBN":"978-0-429-17985-3","note":"DOI: 10.1201/9781482293920","number-of-pages":"544","publisher":"CRC Press","publisher-place":"Boca Raton","title":"Animal by-product processing &amp; utilization","author":[{"family":"Ockerman","given":"Herbert W."},{"family":"Hansen","given":"Conly L."}],"issued":{"date-parts":[["2000"]]}}}],"schema":"https://github.com/citation-style-language/schema/raw/master/csl-citation.json"} </w:instrText>
      </w:r>
      <w:r w:rsidRPr="009D417A">
        <w:rPr>
          <w:rFonts w:ascii="Times New Roman" w:hAnsi="Times New Roman" w:cs="Times New Roman"/>
        </w:rPr>
        <w:fldChar w:fldCharType="separate"/>
      </w:r>
      <w:r w:rsidR="00CB14CD" w:rsidRPr="00CB14CD">
        <w:rPr>
          <w:rFonts w:ascii="Times New Roman" w:hAnsi="Times New Roman" w:cs="Times New Roman"/>
          <w:szCs w:val="24"/>
          <w:vertAlign w:val="superscript"/>
        </w:rPr>
        <w:t>149</w:t>
      </w:r>
      <w:r w:rsidRPr="009D417A">
        <w:rPr>
          <w:rFonts w:ascii="Times New Roman" w:hAnsi="Times New Roman" w:cs="Times New Roman"/>
        </w:rPr>
        <w:fldChar w:fldCharType="end"/>
      </w:r>
      <w:r w:rsidRPr="009D417A">
        <w:rPr>
          <w:rFonts w:ascii="Times New Roman" w:hAnsi="Times New Roman" w:cs="Times New Roman"/>
        </w:rPr>
        <w:t xml:space="preserve">, but also by slaughterhouse operations and rendering processes (e.g., individual plants and batches, raw material freshness, rendering temperature) </w:t>
      </w:r>
      <w:r w:rsidRPr="003110C1">
        <w:rPr>
          <w:rFonts w:ascii="Times New Roman" w:hAnsi="Times New Roman" w:cs="Times New Roman"/>
        </w:rPr>
        <w:fldChar w:fldCharType="begin"/>
      </w:r>
      <w:r w:rsidR="003316BF">
        <w:rPr>
          <w:rFonts w:ascii="Times New Roman" w:hAnsi="Times New Roman" w:cs="Times New Roman"/>
        </w:rPr>
        <w:instrText xml:space="preserve"> ADDIN ZOTERO_ITEM CSL_CITATION {"citationID":"a2obft04fps","properties":{"formattedCitation":"\\super 140,150,151\\nosupersub{}","plainCitation":"140,150,151","noteIndex":0},"citationItems":[{"id":1116,"uris":["http://zotero.org/groups/4669668/items/45MHER24"],"itemData":{"id":1116,"type":"article-journal","abstract":"Poultry by-product meal (PBM) is a potential substitute for a portion of the fish meal typically used in salmonid feeds. The nutritional value of commercial PBM as a fish meal replacement will depend primarily upon the quality and quantity of protein in a particular PBM batch. The purposes of this study were to quantitate the chemical variability in samples of PBM obtained from several manufacturers in North America, and to determine the digestibility of PBM protein by salmonids using one in vivo and three in vitro methods. The range in dry weight proximate composition among PBM samples was 55–74% for protein, 10–19% for lipid, and 11–23% for ash. Of the three in vitro methods for predicting in vivo protein digestibility, a method using trout pyloric ceca enzymes was the most sensitive and was more closely correlated to in vivo results than the other in vitro methods examined. We found significant differences in chemical composition and protein digestibility of PBM samples obtained from different manufacturers, illustrating the range of protein quality in PBM products that fish feed manufacturers will encounter in the marketplace.","container-title":"Aquaculture","DOI":"10.1016/0044-8486(93)90005-J","ISSN":"0044-8486","issue":"2","journalAbbreviation":"Aquaculture","language":"en","note":"number: 2","page":"149-158","source":"ScienceDirect","title":"Chemical composition and protein digestibility of poultry by-product meals for salmonid diets","volume":"116","author":[{"family":"Dong","given":"Faye M."},{"family":"Hardy","given":"Ronald W."},{"family":"Haard","given":"Norman F."},{"family":"Barrows","given":"Frederic T."},{"family":"Rasco","given":"Barbara A."},{"family":"Fairgrieve","given":"William T."},{"family":"Forster","given":"Ian P."}],"issued":{"date-parts":[["1993",10,1]]}}},{"id":1111,"uris":["http://zotero.org/groups/4669668/items/9VBQ33U2"],"itemData":{"id":1111,"type":"article-journal","abstract":"Rendered terrestrial animal by-product meals (ABPM) are commonly used in aquafeeds for fish and shrimp. However, the nutrient composition and digestibility of these products is often variable due to differing processing conditions. As such, the aquafeed industry could benefit from technologies that rapidly assess the nutritional quality of ABPM prior to purchase and their incorporation into aquafeeds. To be useful, new technologies would need to accurately reflect the results of traditional assays such as in-vivo apparent digestibility. This study presents a comparison of three methods for assessing the protein digestibility of poultry by-product meals (PBMs) that were subjected to different cooking temperatures (between 110 °C to 145 °C) and pre-rendering storage times (between 0 and 8 h). The first method was a traditional in-vivo assessment of digestibility based on indirect techniques and the collection of faecal material from Barramundi (Lates calcarifer). The second was the in-vitro pepsin nitrogen digestibility assay applied at pepsin concentrations of 0.2% and 0.0002%, respectively. The third method employed a two-step, membrane bioreactor (also known as a gastro intestinal model or GIM), based on digestive enzymes collected from the gut of Barramundi. In-vivo protein digestibility of PBMs ranged from 57% to 83%, being lowest in PBM that had been purposely overheated (145 °C) and highest in PBM subjected to the lowest cooking temperature (110 °C). In-vivo amino acid digestibility followed similar trends. Estimates of protein digestibility and protein hydrolysis based on the pepsin assays and the GIM were highly correlated with in-vivo protein ADCs. Estimated protein digestibility based on the pepsin assays was similar in magnitude to those determined in-vivo. Estimates of protein digestibility based on the GIM (protein hydrolysis) were highly correlated with the other methods, but the values estimated using GIM were much lower. Despite this discrepancy the GIM data could be modelled with a high degree of certainty using quadratic functions, and these functions could be used to reliably estimate digestibility of protein from PBMs, at least for the data generated in this study. All methods were sensitive enough to distinguish between PBMs that had been carefully treated prior to rendering or PBM that had been purposely overheated. The use of GIM technology requires further development, however it offers a great deal of promise and the opportunity to rapidly assess the protein quality of many different raw materials.","container-title":"Aquaculture","DOI":"10.1016/j.aquaculture.2018.08.032","ISSN":"0044-8486","journalAbbreviation":"Aquaculture","language":"en","page":"187-200","source":"ScienceDirect","title":"A comparison of in-vivo and in-vitro methods for assessing the digestibility of poultry by-product meals using barramundi (lates calcarifer); impacts of cooking temperature and raw material freshness","volume":"498","author":[{"family":"Lewis","given":"Michael J."},{"family":"Francis","given":"David S."},{"family":"Blyth","given":"David"},{"family":"Moyano","given":"Francisco J."},{"family":"Smullen","given":"Richard P."},{"family":"Turchini","given":"Giovanni M."},{"family":"Booth","given":"Mark A."}],"issued":{"date-parts":[["2019",1,1]]}}},{"id":1106,"uris":["http://zotero.org/groups/4669668/items/MHMTZ9LB"],"itemData":{"id":1106,"type":"article-journal","abstract":"Aquafeed manufacturers are increasingly interested in ensuring consistently high-quality products, while relying heavily on poultry offal meal (POM), which is inevitably variable. This study examined the chemical composition of 22 different commercially and experimentally produced POM to determine which chemical variables best predict in vivo protein digestibility in Atlantic salmon (Salmo salar) and to evaluate which production variable, rendering temperature or raw material freshness, has a greater impact on digestibility. The chemical composition of commercially and experimentally produced POM was extremely variable. Significant relationships were found between in vivo dietary protein digestibility and D-glutamic acid (R2 = 0.64) and D-aspartic acid (R2 = 0.62). Rendering temperature and raw material freshness had significant effects on D-amino acids and biogenic amines. D-glutamic and D-aspartic acids may provide rapid-assessment indication of POM quality, as these D-amino acids were linked to protein digestibility and affected by the production variables. This study supports the well-held notion that POM is subject to significant variability and addresses the specific chemical characterisation of POM and the production conditions which impact nutrient digestibility in Atlantic salmon. These results prove beneficial to aquafeed manufactures aiming to ensure consistency and high nutritional quality in protein sources for aquafeed.","container-title":"Aquaculture","DOI":"10.1016/j.aquaculture.2021.736909","ISSN":"0044-8486","journalAbbreviation":"Aquaculture","language":"en","page":"736909","source":"ScienceDirect","title":"Poultry offal meal production conditions impact meal quality and digestibility in Atlantic salmon (Salmo salar)","volume":"542","author":[{"family":"Rocker","given":"Melissa M."},{"family":"Lewis","given":"Michael J."},{"family":"Mock","given":"Thomas S."},{"family":"Francis","given":"David S."},{"family":"Bellagamba","given":"Federica"},{"family":"Moretti","given":"Vittorio M."},{"family":"Quinn","given":"Gerry P."},{"family":"Smullen","given":"Richard P."},{"family":"Turchini","given":"Giovanni M."}],"issued":{"date-parts":[["2021",9,15]]}}}],"schema":"https://github.com/citation-style-language/schema/raw/master/csl-citation.json"} </w:instrText>
      </w:r>
      <w:r w:rsidRPr="003110C1">
        <w:rPr>
          <w:rFonts w:ascii="Times New Roman" w:hAnsi="Times New Roman" w:cs="Times New Roman"/>
        </w:rPr>
        <w:fldChar w:fldCharType="separate"/>
      </w:r>
      <w:r w:rsidR="003316BF" w:rsidRPr="003316BF">
        <w:rPr>
          <w:rFonts w:ascii="Times New Roman" w:hAnsi="Times New Roman" w:cs="Times New Roman"/>
          <w:szCs w:val="24"/>
          <w:vertAlign w:val="superscript"/>
        </w:rPr>
        <w:t>140,150,151</w:t>
      </w:r>
      <w:r w:rsidRPr="003110C1">
        <w:rPr>
          <w:rFonts w:ascii="Times New Roman" w:hAnsi="Times New Roman" w:cs="Times New Roman"/>
        </w:rPr>
        <w:fldChar w:fldCharType="end"/>
      </w:r>
      <w:r w:rsidRPr="003110C1">
        <w:rPr>
          <w:rFonts w:ascii="Times New Roman" w:hAnsi="Times New Roman" w:cs="Times New Roman"/>
        </w:rPr>
        <w:t xml:space="preserve">. The nutritional quality of ABP is directly linked to the presence and bioavailability of AAs and FAs in the respective meal and oils </w:t>
      </w:r>
      <w:r w:rsidRPr="00E317EA">
        <w:rPr>
          <w:rFonts w:ascii="Times New Roman" w:hAnsi="Times New Roman" w:cs="Times New Roman"/>
        </w:rPr>
        <w:fldChar w:fldCharType="begin"/>
      </w:r>
      <w:r w:rsidR="00AF2DE6">
        <w:rPr>
          <w:rFonts w:ascii="Times New Roman" w:hAnsi="Times New Roman" w:cs="Times New Roman"/>
        </w:rPr>
        <w:instrText xml:space="preserve"> ADDIN ZOTERO_ITEM CSL_CITATION {"citationID":"a1gblmbrtgg","properties":{"formattedCitation":"\\super 140,144,152,153\\nosupersub{}","plainCitation":"140,144,152,153","noteIndex":0},"citationItems":[{"id":1114,"uris":["http://zotero.org/groups/4669668/items/ZWB2D55U"],"itemData":{"id":1114,"type":"article-journal","abstract":"Amongst the various available alternative oils, tallow (TAL) has attracted limited research interest and is not commonly used in commercial aquafeeds. This is likely due to concerns of consumers' perception and its high saturated fatty acid (SFA) content, which raises concerns about its digestibility, particularly for species cultured in cold water conditions, such as the Atlantic salmon (Salmo salar). Conversely TAL is conveniently priced and has a very low n−6 polyunsaturated fatty acid (PUFA) content, which may be beneficial to the final product quality. In many parts of the world, modern salmon aquafeed commonly contains poultry by-product oil (PbO) as the alternative lipid source to replace fish oil (FO). Accordingly, the control diet used for the present experiment contained 75% PbO and 25% FO, as the added dietary lipid sources. Five additional experimental diets were formulated to progressively increase the level of TAL inclusion substituting PbO in 10% increments (10–50%), with a constant amount of FO (25%). A feeding trial was conducted using triplicate groups of Atlantic salmon over a 14week time period at 10°C. No difference in growth performance was recorded between treatments, but TAL substitution impacted lipid and fatty acid digestibility. The apparent in vivo β-oxidation of SFA intensified with TAL inclusion, whilst n−3 PUFA β-oxidation decreased. TAL inclusion also resulted in increased apparent in vivo bioconversion of 22:5n−3 to 22:6n−3. This was also reflected in fillet and whole body n−3 long chain PUFA (LC-PUFA) composition. TAL inclusion impacted positively on the fillet n−3/n−6 PUFA ratio. This study suggests that TAL appears to be a viable alternative oil, with potential for inclusion in commercial aquafeeds.","container-title":"Aquaculture","DOI":"10.1016/j.aquaculture.2013.12.004","ISSN":"0044-8486","journalAbbreviation":"Aquaculture","language":"en","page":"98-108","source":"ScienceDirect","title":"Tallow in Atlantic salmon feed","volume":"422-423","author":[{"family":"Emery","given":"James A."},{"family":"Smullen","given":"Richard P."},{"family":"Turchini","given":"Giovanni M."}],"issued":{"date-parts":[["2014",2,20]]}}},{"id":1057,"uris":["http://zotero.org/groups/4669668/items/J8AJDN3A"],"itemData":{"id":1057,"type":"article-journal","abstract":"Heat and alkali treatments of foods, widely used in food processing, result in the formation of dehydro and cross-linked amino acids such as dehydroalanine, methyldehydroalanine, β-aminoalanine, lysinoalanine (LAL), ornithinoalanine, histidinoalanine (HAL), phenylethylaminoalanine, lanthionine (LAN), and methyl-lanthionine present in proteins and are frequently accompanied by concurrent racemization of l-amino acid isomers to d-analogues. The mechanism of LAL formation is a two-step process:  first, hydroxide ion-catalyzed elimination of H2S from cystine and H2O, phosphate, and glycosidic moieties from serine residues to yield a dehydroalanine intermediate; second, reaction of the double bond of dehydroalanine with the ε-NH2 group of lysine to form LAL. Analogous elimination−addition reactions are postulated to produce the other unusual amino acids. Processing conditions that favor these transformations include high pH, temperature, and exposure time. Factors that minimize LAL formation include the presence of SH-containing amino acids, sodium sulfite, ammonia, biogenic amines, ascorbic acid, citric acid, malic acid, and glucose; dephosphorylation of O-phosphoryl esters; and acylation of ε-NH2 groups of lysine. The presence of LAL residues along a protein chain decreases digestibility and nutritional quality in rodents and primates but enhances nutritional quality in ruminants. LAL has a strong affinity for copper and other metal ions and is reported to induce enlargement of nuclei of rats and mice but not of primate kidney cells. LAL, LAN, and HAL also occur naturally in certain peptide and protein antibiotics (cinnamycin, duramycin, epidermin, nisin, and subtilin) and in body organs and tissues (aorta, bone, collagen, dentin, and eye cataracts), where their formation may be a function of the aging process. These findings are not only of theoretical interest but also have practical implications for nutrition, food safety, and health. Further research needs are suggested for each of these categories. These overlapping aspects are discussed in terms of general concepts for a better understanding of the impact of LAL and related compounds in the diet. Such an understanding can lead to improvement in food quality and safety, nutrition, microbiology, and human health. Keywords: Lysinoalanine; histidinoalanine; lanthionine; chemistry; nutrition; safety; microbiology","container-title":"Journal of Agricultural and Food Chemistry","DOI":"10.1021/jf981000+","ISSN":"0021-8561","issue":"4","journalAbbreviation":"J. Agric. Food Chem.","note":"number: 4\npublisher: American Chemical Society","page":"1295-1319","source":"ACS Publications","title":"Chemistry, biochemistry, nutrition, and microbiology of lysinoalanine, lanthionine, and histidinoalanine in food and other proteins","volume":"47","author":[{"family":"Friedman","given":"Mendel"}],"issued":{"date-parts":[["1999",4,1]]}}},{"id":1052,"uris":["http://zotero.org/groups/4669668/items/HFFLHZVX"],"itemData":{"id":1052,"type":"article-journal","abstract":"Digestibility of protein in traditional diets from developing countries such as India, Guatemala, and Brazil is considerably lower compared to that of protein in typical North American diets (54–78 versus 88–94%). The presence of less digestible protein fractions, high levels of insoluble fiber, and high concentrations of antinutritional factors in the diets of developing countries, which are based on less refined cereals and grain legumes as major sources of protein, are responsible for poor digestibility of protein. The effects of the presence of some of the important antinutritional factors on protein and amino digestibilities of food and feed products are reviewed in this chapter. Food and feed products may contain a number of antinutritional factors that may adversely affect protein digestibility and amino acid availability. Antinutritional factors may occur naturally, such as glucosinolates in mustard and rapeseed protein products, trypsin inhibitors and hemagglutinins in legumes, tannins in legumes and cereals, phytates in cereals and oilseeds, and gossypol in cottonseed protein products. Antinutritional factors may also be formed during heat/alkaline processing of protein products, yielding Maillard compounds, oxidized forms of sulfur amino acids, D-amino acids, and lysinoalanine (LAL, an unnatural amino acid derivative). The presence of high levels of dietary trypsin inhibitors from soybeans, kidney beans, or other grain legumes can cause substantial reductions in protein and amino acid digestibilities (up to 50%) in rats and pigs. Similarly, the presence of high levels of tannins in cereals, such as sorghum, and grain legumes, such as fababean (Vicia faba L.), can result in significantly  reduced protein and amino acid digestibilities (up to 23%) in rats, poultry, and pigs. Studies involving phytase supplementation of production rations for swine or poultry have provided indirect evidence that normally encountered levels of phytates in cereals and legumes can reduce protein and amino acid digestibilities by up to 10%. D-amino acids and LAL formed during alkaline/heat treatment of proteins such as casein, lactalbumin, soy protein isolate, or wheat proteins are poorly digestible (less than 40%), and their presence can reduce protein digestibility by up to 28% in rats and pigs. A comparison of the protein digestibility determination in young (5-week) versus old (20-month) rats suggests greater susceptibility to the adverse effects of antinutritional factors in old rats than in young rats. Therefore, the inclusion of protein digestibility data obtained with young rats, as the recommended animal model, in the calculation of PDCAAS (Protein Digestibility-Corrected Amino Acid Score) may overestimate protein digestibility and quality of products, especially those containing antinutritional factors, for the elderly. For products specifically intended for the elderly, protein digestibility should be determined using more mature rats.","container-title":"Journal of AOAC INTERNATIONAL","DOI":"10.1093/jaoac/88.3.967","ISSN":"1060-3271","issue":"3","journalAbbreviation":"Journal of AOAC INTERNATIONAL","note":"number: 3","page":"967-987","source":"Silverchair","title":"Effects of antinutritional factors on protein digestibility and amino acid availability in foods","volume":"88","author":[{"family":"Gilani","given":"G Sarwar"},{"family":"Cockell","given":"Kevin A"},{"family":"Sepehr","given":"Estatira"}],"issued":{"date-parts":[["2005",5,1]]}}},{"id":1106,"uris":["http://zotero.org/groups/4669668/items/MHMTZ9LB"],"itemData":{"id":1106,"type":"article-journal","abstract":"Aquafeed manufacturers are increasingly interested in ensuring consistently high-quality products, while relying heavily on poultry offal meal (POM), which is inevitably variable. This study examined the chemical composition of 22 different commercially and experimentally produced POM to determine which chemical variables best predict in vivo protein digestibility in Atlantic salmon (Salmo salar) and to evaluate which production variable, rendering temperature or raw material freshness, has a greater impact on digestibility. The chemical composition of commercially and experimentally produced POM was extremely variable. Significant relationships were found between in vivo dietary protein digestibility and D-glutamic acid (R2 = 0.64) and D-aspartic acid (R2 = 0.62). Rendering temperature and raw material freshness had significant effects on D-amino acids and biogenic amines. D-glutamic and D-aspartic acids may provide rapid-assessment indication of POM quality, as these D-amino acids were linked to protein digestibility and affected by the production variables. This study supports the well-held notion that POM is subject to significant variability and addresses the specific chemical characterisation of POM and the production conditions which impact nutrient digestibility in Atlantic salmon. These results prove beneficial to aquafeed manufactures aiming to ensure consistency and high nutritional quality in protein sources for aquafeed.","container-title":"Aquaculture","DOI":"10.1016/j.aquaculture.2021.736909","ISSN":"0044-8486","journalAbbreviation":"Aquaculture","language":"en","page":"736909","source":"ScienceDirect","title":"Poultry offal meal production conditions impact meal quality and digestibility in Atlantic salmon (Salmo salar)","volume":"542","author":[{"family":"Rocker","given":"Melissa M."},{"family":"Lewis","given":"Michael J."},{"family":"Mock","given":"Thomas S."},{"family":"Francis","given":"David S."},{"family":"Bellagamba","given":"Federica"},{"family":"Moretti","given":"Vittorio M."},{"family":"Quinn","given":"Gerry P."},{"family":"Smullen","given":"Richard P."},{"family":"Turchini","given":"Giovanni M."}],"issued":{"date-parts":[["2021",9,15]]}}}],"schema":"https://github.com/citation-style-language/schema/raw/master/csl-citation.json"} </w:instrText>
      </w:r>
      <w:r w:rsidRPr="00E317EA">
        <w:rPr>
          <w:rFonts w:ascii="Times New Roman" w:hAnsi="Times New Roman" w:cs="Times New Roman"/>
        </w:rPr>
        <w:fldChar w:fldCharType="separate"/>
      </w:r>
      <w:r w:rsidR="00AF2DE6" w:rsidRPr="00AF2DE6">
        <w:rPr>
          <w:rFonts w:ascii="Times New Roman" w:hAnsi="Times New Roman" w:cs="Times New Roman"/>
          <w:szCs w:val="24"/>
          <w:vertAlign w:val="superscript"/>
        </w:rPr>
        <w:t>140,144,152,153</w:t>
      </w:r>
      <w:r w:rsidRPr="00E317EA">
        <w:rPr>
          <w:rFonts w:ascii="Times New Roman" w:hAnsi="Times New Roman" w:cs="Times New Roman"/>
        </w:rPr>
        <w:fldChar w:fldCharType="end"/>
      </w:r>
      <w:r w:rsidRPr="00E317EA">
        <w:rPr>
          <w:rFonts w:ascii="Times New Roman" w:hAnsi="Times New Roman" w:cs="Times New Roman"/>
        </w:rPr>
        <w:t xml:space="preserve">. These profiles can become further degraded prior to rendering through raw material freshness and microbial contamination </w:t>
      </w:r>
      <w:r w:rsidRPr="00E317EA">
        <w:rPr>
          <w:rFonts w:ascii="Times New Roman" w:hAnsi="Times New Roman" w:cs="Times New Roman"/>
        </w:rPr>
        <w:fldChar w:fldCharType="begin"/>
      </w:r>
      <w:r w:rsidR="008D1BC9">
        <w:rPr>
          <w:rFonts w:ascii="Times New Roman" w:hAnsi="Times New Roman" w:cs="Times New Roman"/>
        </w:rPr>
        <w:instrText xml:space="preserve"> ADDIN ZOTERO_ITEM CSL_CITATION {"citationID":"afn90pp08g","properties":{"formattedCitation":"\\super 139,140\\nosupersub{}","plainCitation":"139,140","noteIndex":0},"citationItems":[{"id":1053,"uris":["http://zotero.org/groups/4669668/items/J9RLZNX2"],"itemData":{"id":1053,"type":"article-journal","abstract":"The presence and antimicrobial susceptibility of foodborne pathogens and indicator organisms in animal feed are not well understood. In this study, a total of 201 feed ingredient samples (animal byproducts, n=122; plant byproducts, n=79) were collected in 2002 and 2003 from representative rendering plants and the oilseed (or cereal grain) industry across the United States. The occurrence and antimicrobial susceptibility of four bacterial genera (Salmonella, Campylobacter, Escherichia coli, and Enterococcus) were determined. Salmonella isolates were further characterized by serotyping and pulsed-field gel electrophoresis (PFGE). None of the samples yielded Campylobacter or E. coli O157:H7, whereas Salmonella, generic E. coli, and Enterococcus were present in 22.9%, 39.3%, and 86.6% of samples, respectively. A large percentage (47.8%) of Salmonella-positive samples harbored two serovars, and the vast majority (88.4%) of Enterococcus isolates were E. faecium. Animal byproducts had a significantly higher Salmonella contamination rate (34.4%) than plant byproducts (5.1%) (p&lt;0.05). Among 74 Salmonella isolates recovered, 27 serovars and 55 PFGE patterns were identified; all were pan-susceptible to 17 antimicrobials tested. E. coli isolates (n=131) demonstrated similar susceptibility to these antimicrobials except for tetracycline (15.3% resistance), sulfamethoxazole (7.6%), streptomycin (4.6%), ampicillin (3.8%), and nalidixic acid (1.5%). Enterococcus isolates (n=362) were also resistant to five of 17 antimicrobials tested, ranging from 1.1% to penicillin to 14.6% to tetracycline. Resistance rates were generally higher among isolates recovered from animal byproducts. Taken together, our findings suggest that diverse populations of Salmonella,E. coli, and Enterococcus are commonly present in animal feed ingredients, but antimicrobial resistance is not common. Future large-scale studies to monitor these pathogenic and indicator organisms in feed commodities is warranted.","container-title":"Foodborne Pathogens and Disease","DOI":"10.1089/fpd.2012.1470","ISSN":"1535-3141","issue":"8","note":"number: 8\npublisher: Mary Ann Liebert, Inc., publishers","page":"684-691","source":"liebertpub.com (Atypon)","title":"Retrospective analysis of Salmonella, Campylobacter, Escherichia coli, and Enterococcus in animal feed ingredients","volume":"10","author":[{"family":"Ge","given":"Beilei"},{"family":"LaFon","given":"Patricia C."},{"family":"Carter","given":"Peggy J."},{"family":"McDermott","given":"Shawn D."},{"family":"Abbott","given":"Jason"},{"family":"Glenn","given":"Althea"},{"family":"Ayers","given":"Sherry L."},{"family":"Friedman","given":"Sharon L."},{"family":"Paige","given":"Joseph C."},{"family":"Wagner","given":"David D."},{"family":"Zhao","given":"Shaohua"},{"family":"McDermott","given":"Patrick F."},{"family":"Rasmussen","given":"Mark A."}],"issued":{"date-parts":[["2013",8]]}}},{"id":1106,"uris":["http://zotero.org/groups/4669668/items/MHMTZ9LB"],"itemData":{"id":1106,"type":"article-journal","abstract":"Aquafeed manufacturers are increasingly interested in ensuring consistently high-quality products, while relying heavily on poultry offal meal (POM), which is inevitably variable. This study examined the chemical composition of 22 different commercially and experimentally produced POM to determine which chemical variables best predict in vivo protein digestibility in Atlantic salmon (Salmo salar) and to evaluate which production variable, rendering temperature or raw material freshness, has a greater impact on digestibility. The chemical composition of commercially and experimentally produced POM was extremely variable. Significant relationships were found between in vivo dietary protein digestibility and D-glutamic acid (R2 = 0.64) and D-aspartic acid (R2 = 0.62). Rendering temperature and raw material freshness had significant effects on D-amino acids and biogenic amines. D-glutamic and D-aspartic acids may provide rapid-assessment indication of POM quality, as these D-amino acids were linked to protein digestibility and affected by the production variables. This study supports the well-held notion that POM is subject to significant variability and addresses the specific chemical characterisation of POM and the production conditions which impact nutrient digestibility in Atlantic salmon. These results prove beneficial to aquafeed manufactures aiming to ensure consistency and high nutritional quality in protein sources for aquafeed.","container-title":"Aquaculture","DOI":"10.1016/j.aquaculture.2021.736909","ISSN":"0044-8486","journalAbbreviation":"Aquaculture","language":"en","page":"736909","source":"ScienceDirect","title":"Poultry offal meal production conditions impact meal quality and digestibility in Atlantic salmon (Salmo salar)","volume":"542","author":[{"family":"Rocker","given":"Melissa M."},{"family":"Lewis","given":"Michael J."},{"family":"Mock","given":"Thomas S."},{"family":"Francis","given":"David S."},{"family":"Bellagamba","given":"Federica"},{"family":"Moretti","given":"Vittorio M."},{"family":"Quinn","given":"Gerry P."},{"family":"Smullen","given":"Richard P."},{"family":"Turchini","given":"Giovanni M."}],"issued":{"date-parts":[["2021",9,15]]}}}],"schema":"https://github.com/citation-style-language/schema/raw/master/csl-citation.json"} </w:instrText>
      </w:r>
      <w:r w:rsidRPr="00E317EA">
        <w:rPr>
          <w:rFonts w:ascii="Times New Roman" w:hAnsi="Times New Roman" w:cs="Times New Roman"/>
        </w:rPr>
        <w:fldChar w:fldCharType="separate"/>
      </w:r>
      <w:r w:rsidR="008D1BC9" w:rsidRPr="008D1BC9">
        <w:rPr>
          <w:rFonts w:ascii="Times New Roman" w:hAnsi="Times New Roman" w:cs="Times New Roman"/>
          <w:szCs w:val="24"/>
          <w:vertAlign w:val="superscript"/>
        </w:rPr>
        <w:t>139,140</w:t>
      </w:r>
      <w:r w:rsidRPr="00E317EA">
        <w:rPr>
          <w:rFonts w:ascii="Times New Roman" w:hAnsi="Times New Roman" w:cs="Times New Roman"/>
        </w:rPr>
        <w:fldChar w:fldCharType="end"/>
      </w:r>
      <w:r w:rsidRPr="00E317EA">
        <w:rPr>
          <w:rFonts w:ascii="Times New Roman" w:hAnsi="Times New Roman" w:cs="Times New Roman"/>
        </w:rPr>
        <w:t xml:space="preserve">, or during rendering due to excessive processing conditions (e.g., extreme heat, prolonged cooking duration) </w:t>
      </w:r>
      <w:r w:rsidRPr="00E317EA">
        <w:rPr>
          <w:rFonts w:ascii="Times New Roman" w:hAnsi="Times New Roman" w:cs="Times New Roman"/>
        </w:rPr>
        <w:fldChar w:fldCharType="begin"/>
      </w:r>
      <w:r w:rsidR="00210D05">
        <w:rPr>
          <w:rFonts w:ascii="Times New Roman" w:hAnsi="Times New Roman" w:cs="Times New Roman"/>
        </w:rPr>
        <w:instrText xml:space="preserve"> ADDIN ZOTERO_ITEM CSL_CITATION {"citationID":"a2jmf5qloji","properties":{"formattedCitation":"\\super 130,140,151\\nosupersub{}","plainCitation":"130,140,151","noteIndex":0},"citationItems":[{"id":1071,"uris":["http://zotero.org/groups/4669668/items/NDKP8L6G"],"itemData":{"id":1071,"type":"article-journal","abstract":"Re-authorization of processed animal proteins (PAPs) in EU, derived from by-products of human food production, could increase manufacturing of proteins for feed ingredients and reduce the need of imported proteins mainly of plant origin. The PAPs production is largely done by the rendering process during which authorized animal by-products are heat treated to extract valuable protein and animal fat, ensuring sterilizing conditions of raw incoming materials. Proteins exposure to certain processing conditions induces two important chemical changes, racemization of amino acids and formation of cross-linked amino acid. These changes are associated with appreciable reduction of protein digestibility and nutritional value. The aim of this study was to verify the effect of heat treatment on amino acid racemization in processed animal proteins of poultry origin and related nutritional implications by evaluation of their in vitro digestibility. The results reported confirm the detection of racemized amino acids in processed animal proteins, especially D-aspartic acid, as realistic indicators of thermal treatments during PAP manufacturing. In our results, the severe (115°C) and prolonged heat treatment (180 minutes) revealed a D-Asp content of 28.1%.Prolongation of temperature treatment (20, 30 and 180 min, at 115°C) significantly (P&lt;0.05) affects in vitro protein digestibility, which decrease from 86.0%, in no-treated sample, to 78.3% and 79.1% after 20 and 30 min, respectively, and to 76.3% after 180 min. The processing conditions applied during PAPs preparations and the racemization of proteins amino acids may reasonably be involved in the loss of protein quality.","container-title":"Italian Journal of Animal Science","DOI":"10.4081/ijas.2015.3770","ISSN":"null","issue":"2","note":"publisher: Taylor &amp; Francis\n_eprint: https://doi.org/10.4081/ijas.2015.3770","page":"3770","source":"Taylor and Francis+NEJM","title":"The impact of processing on amino acid racemization and protein quality in processed animal proteins of poultry origin","volume":"14","author":[{"family":"Bellagamba","given":"Federica"},{"family":"Caprino","given":"Fabio"},{"family":"Mentasti","given":"Tiziana"},{"family":"Vasconi","given":"Mauro"},{"family":"Moretti","given":"Vittorio Maria"}],"issued":{"date-parts":[["2015",1,1]]}}},{"id":1111,"uris":["http://zotero.org/groups/4669668/items/9VBQ33U2"],"itemData":{"id":1111,"type":"article-journal","abstract":"Rendered terrestrial animal by-product meals (ABPM) are commonly used in aquafeeds for fish and shrimp. However, the nutrient composition and digestibility of these products is often variable due to differing processing conditions. As such, the aquafeed industry could benefit from technologies that rapidly assess the nutritional quality of ABPM prior to purchase and their incorporation into aquafeeds. To be useful, new technologies would need to accurately reflect the results of traditional assays such as in-vivo apparent digestibility. This study presents a comparison of three methods for assessing the protein digestibility of poultry by-product meals (PBMs) that were subjected to different cooking temperatures (between 110 °C to 145 °C) and pre-rendering storage times (between 0 and 8 h). The first method was a traditional in-vivo assessment of digestibility based on indirect techniques and the collection of faecal material from Barramundi (Lates calcarifer). The second was the in-vitro pepsin nitrogen digestibility assay applied at pepsin concentrations of 0.2% and 0.0002%, respectively. The third method employed a two-step, membrane bioreactor (also known as a gastro intestinal model or GIM), based on digestive enzymes collected from the gut of Barramundi. In-vivo protein digestibility of PBMs ranged from 57% to 83%, being lowest in PBM that had been purposely overheated (145 °C) and highest in PBM subjected to the lowest cooking temperature (110 °C). In-vivo amino acid digestibility followed similar trends. Estimates of protein digestibility and protein hydrolysis based on the pepsin assays and the GIM were highly correlated with in-vivo protein ADCs. Estimated protein digestibility based on the pepsin assays was similar in magnitude to those determined in-vivo. Estimates of protein digestibility based on the GIM (protein hydrolysis) were highly correlated with the other methods, but the values estimated using GIM were much lower. Despite this discrepancy the GIM data could be modelled with a high degree of certainty using quadratic functions, and these functions could be used to reliably estimate digestibility of protein from PBMs, at least for the data generated in this study. All methods were sensitive enough to distinguish between PBMs that had been carefully treated prior to rendering or PBM that had been purposely overheated. The use of GIM technology requires further development, however it offers a great deal of promise and the opportunity to rapidly assess the protein quality of many different raw materials.","container-title":"Aquaculture","DOI":"10.1016/j.aquaculture.2018.08.032","ISSN":"0044-8486","journalAbbreviation":"Aquaculture","language":"en","page":"187-200","source":"ScienceDirect","title":"A comparison of in-vivo and in-vitro methods for assessing the digestibility of poultry by-product meals using barramundi (lates calcarifer); impacts of cooking temperature and raw material freshness","volume":"498","author":[{"family":"Lewis","given":"Michael J."},{"family":"Francis","given":"David S."},{"family":"Blyth","given":"David"},{"family":"Moyano","given":"Francisco J."},{"family":"Smullen","given":"Richard P."},{"family":"Turchini","given":"Giovanni M."},{"family":"Booth","given":"Mark A."}],"issued":{"date-parts":[["2019",1,1]]}}},{"id":1106,"uris":["http://zotero.org/groups/4669668/items/MHMTZ9LB"],"itemData":{"id":1106,"type":"article-journal","abstract":"Aquafeed manufacturers are increasingly interested in ensuring consistently high-quality products, while relying heavily on poultry offal meal (POM), which is inevitably variable. This study examined the chemical composition of 22 different commercially and experimentally produced POM to determine which chemical variables best predict in vivo protein digestibility in Atlantic salmon (Salmo salar) and to evaluate which production variable, rendering temperature or raw material freshness, has a greater impact on digestibility. The chemical composition of commercially and experimentally produced POM was extremely variable. Significant relationships were found between in vivo dietary protein digestibility and D-glutamic acid (R2 = 0.64) and D-aspartic acid (R2 = 0.62). Rendering temperature and raw material freshness had significant effects on D-amino acids and biogenic amines. D-glutamic and D-aspartic acids may provide rapid-assessment indication of POM quality, as these D-amino acids were linked to protein digestibility and affected by the production variables. This study supports the well-held notion that POM is subject to significant variability and addresses the specific chemical characterisation of POM and the production conditions which impact nutrient digestibility in Atlantic salmon. These results prove beneficial to aquafeed manufactures aiming to ensure consistency and high nutritional quality in protein sources for aquafeed.","container-title":"Aquaculture","DOI":"10.1016/j.aquaculture.2021.736909","ISSN":"0044-8486","journalAbbreviation":"Aquaculture","language":"en","page":"736909","source":"ScienceDirect","title":"Poultry offal meal production conditions impact meal quality and digestibility in Atlantic salmon (Salmo salar)","volume":"542","author":[{"family":"Rocker","given":"Melissa M."},{"family":"Lewis","given":"Michael J."},{"family":"Mock","given":"Thomas S."},{"family":"Francis","given":"David S."},{"family":"Bellagamba","given":"Federica"},{"family":"Moretti","given":"Vittorio M."},{"family":"Quinn","given":"Gerry P."},{"family":"Smullen","given":"Richard P."},{"family":"Turchini","given":"Giovanni M."}],"issued":{"date-parts":[["2021",9,15]]}}}],"schema":"https://github.com/citation-style-language/schema/raw/master/csl-citation.json"} </w:instrText>
      </w:r>
      <w:r w:rsidRPr="00E317EA">
        <w:rPr>
          <w:rFonts w:ascii="Times New Roman" w:hAnsi="Times New Roman" w:cs="Times New Roman"/>
        </w:rPr>
        <w:fldChar w:fldCharType="separate"/>
      </w:r>
      <w:r w:rsidR="00210D05" w:rsidRPr="00210D05">
        <w:rPr>
          <w:rFonts w:ascii="Times New Roman" w:hAnsi="Times New Roman" w:cs="Times New Roman"/>
          <w:szCs w:val="24"/>
          <w:vertAlign w:val="superscript"/>
        </w:rPr>
        <w:t>130,140,151</w:t>
      </w:r>
      <w:r w:rsidRPr="00E317EA">
        <w:rPr>
          <w:rFonts w:ascii="Times New Roman" w:hAnsi="Times New Roman" w:cs="Times New Roman"/>
        </w:rPr>
        <w:fldChar w:fldCharType="end"/>
      </w:r>
      <w:r w:rsidRPr="00E317EA">
        <w:rPr>
          <w:rFonts w:ascii="Times New Roman" w:hAnsi="Times New Roman" w:cs="Times New Roman"/>
        </w:rPr>
        <w:t xml:space="preserve">. For example, lysine availability within meals decreases with increasing processing temperatures </w:t>
      </w:r>
      <w:r w:rsidRPr="00E317EA">
        <w:rPr>
          <w:rFonts w:ascii="Times New Roman" w:hAnsi="Times New Roman" w:cs="Times New Roman"/>
        </w:rPr>
        <w:fldChar w:fldCharType="begin"/>
      </w:r>
      <w:r w:rsidR="00336EB4">
        <w:rPr>
          <w:rFonts w:ascii="Times New Roman" w:hAnsi="Times New Roman" w:cs="Times New Roman"/>
        </w:rPr>
        <w:instrText xml:space="preserve"> ADDIN ZOTERO_ITEM CSL_CITATION {"citationID":"a54285k166","properties":{"formattedCitation":"\\super 154\\nosupersub{}","plainCitation":"154","noteIndex":0},"citationItems":[{"id":1122,"uris":["http://zotero.org/groups/4669668/items/3TE8WSK8"],"itemData":{"id":1122,"type":"article-journal","abstract":"1. The availability of lysine for pigs, rats and chicks was determined using samples of meat and bone meal (MBM) subjected to different pressure and temperature treatments during dry-rendering processing. The relation between slope-ratio estimates and three chemical tests for estimating ‘available’ lysine was assessed.2. The availability of lysine (proportion of total) for pigs was 0.97 in the control. Pressure (275 kPa gauge, 141°, for 30 min) in the early stage of rendering reduced availability to 0.74 and, in the late stage, to 0.46. Maintaining the final temperature at 125° for 4 h had little effect (0.84) whereas a higher temperature of 150° for 4 h reduced availability to 0.38.3. Availability estimates for rats were lower than those of the pig, ranging from 0.88 in the control to 0.21 for the high-temperature treatment (150° for 4 h). The effects for temperature were similar to those for the pig, whereas the effect of pressure was equally detrimental in both the early and late stages (0.45 and 0.43 respectively).4. For chicks, availability estimates were similar to those for the pig for the control (0.93) and the two temperature treatments (0.86 and 0.31 for the 125° and 150° treatments respectively). The chick was less susceptible to the effect of pressure applied to the MBM (0.78 and 0.63 for the early-and late-stage treatments respectively).5. Values for the indirect-and direct-1-fluoro-2, 4-dinitrobenzene-(FDNB)-‘available’-lysine assays decreased from 0.86 and 0.74 to 0.57 and 0.54 for the control and 150° for 4 h treatments respectively, indicating that approximately half the reduced availability involved reactions with the ε-amino group of lysine. There was little relation between the FDNB values and lysine availability for the treatments involving changes in pressure.6. There was little or no relation between dye-binding capacity of the meals, as assessed by the Acid Orange-12 dye-binding procedure (Hurrell et al. 1979), and lysine availability for the three species.","container-title":"British Journal of Nutrition","DOI":"10.1079/BJN19860050","ISSN":"1475-2662, 0007-1145","issue":"2","language":"en","note":"number: 2\npublisher: Cambridge University Press","page":"441-453","source":"Cambridge University Press","title":"Effect of pressure and temperature on the availability of lysine in meat and bone meal as determined by slope-ratio assays with growing pigs, rats and chicks and by chemical techniques","volume":"55","author":[{"family":"Batterham","given":"E. S."},{"family":"Darnell","given":"R. E."},{"family":"Herbert","given":"L. S."},{"family":"Major","given":"E. J."}],"issued":{"date-parts":[["1986",3]]}}}],"schema":"https://github.com/citation-style-language/schema/raw/master/csl-citation.json"} </w:instrText>
      </w:r>
      <w:r w:rsidRPr="00E317EA">
        <w:rPr>
          <w:rFonts w:ascii="Times New Roman" w:hAnsi="Times New Roman" w:cs="Times New Roman"/>
        </w:rPr>
        <w:fldChar w:fldCharType="separate"/>
      </w:r>
      <w:r w:rsidR="00336EB4" w:rsidRPr="00336EB4">
        <w:rPr>
          <w:rFonts w:ascii="Times New Roman" w:hAnsi="Times New Roman" w:cs="Times New Roman"/>
          <w:szCs w:val="24"/>
          <w:vertAlign w:val="superscript"/>
        </w:rPr>
        <w:t>154</w:t>
      </w:r>
      <w:r w:rsidRPr="00E317EA">
        <w:rPr>
          <w:rFonts w:ascii="Times New Roman" w:hAnsi="Times New Roman" w:cs="Times New Roman"/>
        </w:rPr>
        <w:fldChar w:fldCharType="end"/>
      </w:r>
      <w:r w:rsidRPr="00E317EA">
        <w:rPr>
          <w:rFonts w:ascii="Times New Roman" w:hAnsi="Times New Roman" w:cs="Times New Roman"/>
        </w:rPr>
        <w:t xml:space="preserve">. As such, proximate composition, as well as AA and FA compositions, must be closely monitored to optimize the use of these products in aquafeed formulations </w:t>
      </w:r>
      <w:r w:rsidRPr="00E317EA">
        <w:rPr>
          <w:rFonts w:ascii="Times New Roman" w:hAnsi="Times New Roman" w:cs="Times New Roman"/>
        </w:rPr>
        <w:fldChar w:fldCharType="begin"/>
      </w:r>
      <w:r w:rsidR="0066394E">
        <w:rPr>
          <w:rFonts w:ascii="Times New Roman" w:hAnsi="Times New Roman" w:cs="Times New Roman"/>
        </w:rPr>
        <w:instrText xml:space="preserve"> ADDIN ZOTERO_ITEM CSL_CITATION {"citationID":"a1r3c6kdq03","properties":{"formattedCitation":"\\super 134,140\\nosupersub{}","plainCitation":"134,140","noteIndex":0},"citationItems":[{"id":1108,"uris":["http://zotero.org/groups/4669668/items/IHKCLGR2"],"itemData":{"id":1108,"type":"chapter","abstract":"World food fish production has increased significantly during the past decades. As fisheries captures stagnate the additional production of fisheries products needs to be fulfilled by aquaculture production. This puts an enormous pressure on the use of fishmeal (FM) and fish oil (FO) for inclusion in aquafeeds with the consequent increase in price of these commodities with demand. The use of fisheries by-products in aquafeeds is also environmentally unsustainable. Thus, reducing aquafeeds dependency on FM and FO is of the utmost importance and it is a priority for the sustainable development of aquaculture, particularly for carnivorous species. Overall, reducing half of the FM and FO in carnivorous fish diets is relatively simple. However, further reductions are more complicated without affecting growth performance and animal health. Further, FO is nowadays the only commercial source of essential fatty acids for marine fish; thus it is at risk of becoming a bottleneck for the growth of marine fish production. Thus, it is mandatory to pursue efforts to replace FM and FO in aquafeeds and to develop strategies that minimize the impacts of FO reduction in the diet and on fish fillet quality. The alternative aquafeeds (low in FM and FO) must also ensure good fish health and a resultant final product that is nutritionally adequate, safe to eat and well accepted by consumers. This chapter provides a comprehensive review of feedstuffs used in aquafeeds, indicating potential advantages and inconveniences of their use. Overall, there is potential for significant sparing of FM and FO in carnivorous fish diets during the grow-out phase without affecting fish performance. However, more research is required to evaluate the effects of simultaneous replacement of FM and FO in the diet, as well as aspects related to immunological status, oxidative status, and health and disease resistance of animals fed these alternative diets.","collection-title":"Woodhead Publishing Series in Food Science, Technology and Nutrition","container-title":"Feed and Feeding Practices in Aquaculture","event-place":"Oxford","ISBN":"978-0-08-100506-4","language":"en","note":"DOI: 10.1016/B978-0-08-100506-4.00008-8","page":"203-233","publisher":"Woodhead Publishing","publisher-place":"Oxford","source":"ScienceDirect","title":"8 - Replacing fishmeal and fish oil in industrial aquafeeds for carnivorous fish","URL":"https://www.sciencedirect.com/science/article/pii/B9780081005064000088","author":[{"family":"Oliva-Teles","given":"A."},{"family":"Enes","given":"P."},{"family":"Peres","given":"H."}],"editor":[{"family":"Davis","given":"D. Allen"}],"accessed":{"date-parts":[["2022",4,24]]},"issued":{"date-parts":[["2015",1,1]]}}},{"id":1106,"uris":["http://zotero.org/groups/4669668/items/MHMTZ9LB"],"itemData":{"id":1106,"type":"article-journal","abstract":"Aquafeed manufacturers are increasingly interested in ensuring consistently high-quality products, while relying heavily on poultry offal meal (POM), which is inevitably variable. This study examined the chemical composition of 22 different commercially and experimentally produced POM to determine which chemical variables best predict in vivo protein digestibility in Atlantic salmon (Salmo salar) and to evaluate which production variable, rendering temperature or raw material freshness, has a greater impact on digestibility. The chemical composition of commercially and experimentally produced POM was extremely variable. Significant relationships were found between in vivo dietary protein digestibility and D-glutamic acid (R2 = 0.64) and D-aspartic acid (R2 = 0.62). Rendering temperature and raw material freshness had significant effects on D-amino acids and biogenic amines. D-glutamic and D-aspartic acids may provide rapid-assessment indication of POM quality, as these D-amino acids were linked to protein digestibility and affected by the production variables. This study supports the well-held notion that POM is subject to significant variability and addresses the specific chemical characterisation of POM and the production conditions which impact nutrient digestibility in Atlantic salmon. These results prove beneficial to aquafeed manufactures aiming to ensure consistency and high nutritional quality in protein sources for aquafeed.","container-title":"Aquaculture","DOI":"10.1016/j.aquaculture.2021.736909","ISSN":"0044-8486","journalAbbreviation":"Aquaculture","language":"en","page":"736909","source":"ScienceDirect","title":"Poultry offal meal production conditions impact meal quality and digestibility in Atlantic salmon (Salmo salar)","volume":"542","author":[{"family":"Rocker","given":"Melissa M."},{"family":"Lewis","given":"Michael J."},{"family":"Mock","given":"Thomas S."},{"family":"Francis","given":"David S."},{"family":"Bellagamba","given":"Federica"},{"family":"Moretti","given":"Vittorio M."},{"family":"Quinn","given":"Gerry P."},{"family":"Smullen","given":"Richard P."},{"family":"Turchini","given":"Giovanni M."}],"issued":{"date-parts":[["2021",9,15]]}}}],"schema":"https://github.com/citation-style-language/schema/raw/master/csl-citation.json"} </w:instrText>
      </w:r>
      <w:r w:rsidRPr="00E317EA">
        <w:rPr>
          <w:rFonts w:ascii="Times New Roman" w:hAnsi="Times New Roman" w:cs="Times New Roman"/>
        </w:rPr>
        <w:fldChar w:fldCharType="separate"/>
      </w:r>
      <w:r w:rsidR="0066394E" w:rsidRPr="0066394E">
        <w:rPr>
          <w:rFonts w:ascii="Times New Roman" w:hAnsi="Times New Roman" w:cs="Times New Roman"/>
          <w:szCs w:val="24"/>
          <w:vertAlign w:val="superscript"/>
        </w:rPr>
        <w:t>134,140</w:t>
      </w:r>
      <w:r w:rsidRPr="00E317EA">
        <w:rPr>
          <w:rFonts w:ascii="Times New Roman" w:hAnsi="Times New Roman" w:cs="Times New Roman"/>
        </w:rPr>
        <w:fldChar w:fldCharType="end"/>
      </w:r>
      <w:r w:rsidRPr="00E317EA">
        <w:rPr>
          <w:rFonts w:ascii="Times New Roman" w:hAnsi="Times New Roman" w:cs="Times New Roman"/>
        </w:rPr>
        <w:t>.</w:t>
      </w:r>
    </w:p>
    <w:p w14:paraId="5A6C2A6E" w14:textId="100182AF" w:rsidR="00E22B08" w:rsidRPr="00E317EA" w:rsidRDefault="000A0B40" w:rsidP="00E22B08">
      <w:pPr>
        <w:spacing w:line="360" w:lineRule="auto"/>
        <w:ind w:firstLine="720"/>
        <w:contextualSpacing/>
        <w:jc w:val="both"/>
        <w:rPr>
          <w:rFonts w:ascii="Times New Roman" w:hAnsi="Times New Roman" w:cs="Times New Roman"/>
        </w:rPr>
      </w:pPr>
      <w:r>
        <w:rPr>
          <w:rFonts w:ascii="Times New Roman" w:hAnsi="Times New Roman" w:cs="Times New Roman"/>
        </w:rPr>
        <w:t xml:space="preserve">A range of </w:t>
      </w:r>
      <w:r w:rsidR="00E22B08" w:rsidRPr="00E317EA">
        <w:rPr>
          <w:rFonts w:ascii="Times New Roman" w:hAnsi="Times New Roman" w:cs="Times New Roman"/>
        </w:rPr>
        <w:t xml:space="preserve">studies have examined a continuum of ABP inclusion levels across a range of farmed aquaculture species </w:t>
      </w:r>
      <w:r w:rsidR="00E22B08" w:rsidRPr="00E317EA">
        <w:rPr>
          <w:rFonts w:ascii="Times New Roman" w:hAnsi="Times New Roman" w:cs="Times New Roman"/>
        </w:rPr>
        <w:fldChar w:fldCharType="begin"/>
      </w:r>
      <w:r w:rsidR="00E52FD4">
        <w:rPr>
          <w:rFonts w:ascii="Times New Roman" w:hAnsi="Times New Roman" w:cs="Times New Roman"/>
        </w:rPr>
        <w:instrText xml:space="preserve"> ADDIN ZOTERO_ITEM CSL_CITATION {"citationID":"a1kok9q4lj6","properties":{"formattedCitation":"\\super 155\\uc0\\u8211{}158\\nosupersub{}","plainCitation":"155–158","noteIndex":0},"citationItems":[{"id":1000,"uris":["http://zotero.org/groups/4669668/items/PIPTXR2R"],"itemData":{"id":1000,"type":"article-journal","container-title":"Essential Rendering: All About the Animal By-products Industry","journalAbbreviation":"Essential Rendering: All About the Animal By-products Industry","title":"Rendered products in fish aquaculture feeds","author":[{"family":"Bureau","given":"Dominique"}],"issued":{"date-parts":[["2006",1,1]]}}},{"id":972,"uris":["http://zotero.org/groups/4669668/items/EIXP6HQF"],"itemData":{"id":972,"type":"article-journal","abstract":"Poultry by-product meal (PBM) is a popular animal-based protein source tested in aquaculture feed formulations for replacing fishmeal (FM), mainly due to its high protein content, relatively cheap price and broad availability. However, due to the well-documented variability in success of PBM inclusions, a meta-analysis approach was utilized to summarize the efficacy and success of PBM inclusion in aquaculture diet formulations substituting FM. Hedges’g effect sizes were calculated by quantitatively comparing final weight and feed conversion ratio (FCR) between animals fed control (100% FM) and PBM-supplemented FM diets using data from 47 published articles targeting 33 different species (141 and 96 effect size calculations for final weight and FCR, respectively). In addition, several analyses were performed to determine the effect of different moderators as well as variation across species. Meta-regression was conducted to evaluate the effect of varying PBM proportions of the diet on the response variables. Overall, a non-significant final weight but a significant higher FCR was detected with aquaculture species fed PBM diets. Similar trends in final weight were observed for subgroups. However, FCR for crustaceans and marine fish fed PBM diets was not significantly different than those fed control diets. In both freshwater and marine fish, ‘species’ was a significant moderator effect on responses, while the ‘level of FM replacement’ was significant only in marine fish. Higher between-study heterogeneity was detected for fish, which may be due to the influence of certain factors, such as variability in nutritional quality and palatability and digestibility of PBM or due to variability on the fish meal used. In contrast, low between-study variation was observed in crustaceans indicating consistent success in PBM-supplemented diets for shrimp compared with fish.","container-title":"Reviews in Aquaculture","DOI":"10.1111/raq.12401","ISSN":"1753-5131","issue":"3","language":"en","note":"number: 3\n_eprint: https://onlinelibrary.wiley.com/doi/pdf/10.1111/raq.12401","page":"1624-1636","source":"Wiley Online Library","title":"Success of fishmeal replacement through poultry by-product meal in aquaculture feed formulations: a meta-analysis","title-short":"Success of fishmeal replacement through poultry by-product meal in aquaculture feed formulations","volume":"12","author":[{"family":"Galkanda-Arachchige","given":"Harsha S.C."},{"family":"Wilson","given":"Alan E."},{"family":"Davis","given":"Donald A."}],"issued":{"date-parts":[["2019"]]}}},{"id":1110,"uris":["http://zotero.org/groups/4669668/items/DFQ2VP8U"],"itemData":{"id":1110,"type":"book","ISBN":"1-56022-148-8","publisher":"Haworth Press New York","title":"Alternative protein sources in aquaculture diets","author":[{"family":"Lim","given":"Chhorn"},{"family":"Webster","given":"Carl D."},{"family":"Lee","given":"Cheng-Sheng"}],"issued":{"date-parts":[["2008"]]}}},{"id":971,"uris":["http://zotero.org/groups/4669668/items/HVAW39LJ"],"itemData":{"id":971,"type":"article-journal","container-title":"American Journal of Animal and Veterinary Sciences","DOI":"10.3844/ajavsp.2009.108.128","ISSN":"1557-4563","issue":"4","language":"en-US","note":"publisher: Science Publications","page":"108-128","source":"thescipub.com","title":"Potential, implications and solutions regarding the use of rendered animal fats in aquafeeds","volume":"4","author":[{"family":"Trushenski","given":"Jesse T."},{"family":"Lochmann","given":"Rebecca T."}],"issued":{"date-parts":[["2009",12,31]]}}}],"schema":"https://github.com/citation-style-language/schema/raw/master/csl-citation.json"} </w:instrText>
      </w:r>
      <w:r w:rsidR="00E22B08" w:rsidRPr="00E317EA">
        <w:rPr>
          <w:rFonts w:ascii="Times New Roman" w:hAnsi="Times New Roman" w:cs="Times New Roman"/>
        </w:rPr>
        <w:fldChar w:fldCharType="separate"/>
      </w:r>
      <w:r w:rsidR="00E52FD4" w:rsidRPr="00E52FD4">
        <w:rPr>
          <w:rFonts w:ascii="Times New Roman" w:hAnsi="Times New Roman" w:cs="Times New Roman"/>
          <w:szCs w:val="24"/>
          <w:vertAlign w:val="superscript"/>
        </w:rPr>
        <w:t>155–158</w:t>
      </w:r>
      <w:r w:rsidR="00E22B08" w:rsidRPr="00E317EA">
        <w:rPr>
          <w:rFonts w:ascii="Times New Roman" w:hAnsi="Times New Roman" w:cs="Times New Roman"/>
        </w:rPr>
        <w:fldChar w:fldCharType="end"/>
      </w:r>
      <w:r w:rsidR="00E22B08" w:rsidRPr="00E317EA">
        <w:rPr>
          <w:rFonts w:ascii="Times New Roman" w:hAnsi="Times New Roman" w:cs="Times New Roman"/>
        </w:rPr>
        <w:t xml:space="preserve">. Dietary inclusion recommendations are associated with the specific ABP (e.g., type of meal, species of origin), as well as individual farmed species or species groups being fed. POM has one of the best overall AA profiles of land animal by-products and is recommended at a general inclusion rate of 5-25% for fish and crustaceans </w:t>
      </w:r>
      <w:r w:rsidR="00E22B08" w:rsidRPr="00E317EA">
        <w:rPr>
          <w:rFonts w:ascii="Times New Roman" w:hAnsi="Times New Roman" w:cs="Times New Roman"/>
        </w:rPr>
        <w:fldChar w:fldCharType="begin"/>
      </w:r>
      <w:r w:rsidR="0087278A">
        <w:rPr>
          <w:rFonts w:ascii="Times New Roman" w:hAnsi="Times New Roman" w:cs="Times New Roman"/>
        </w:rPr>
        <w:instrText xml:space="preserve"> ADDIN ZOTERO_ITEM CSL_CITATION {"citationID":"a20v2jsvqj0","properties":{"formattedCitation":"\\super 141\\nosupersub{}","plainCitation":"141","noteIndex":0},"citationItems":[{"id":1099,"uris":["http://zotero.org/groups/4669668/items/CSFYL59E"],"itemData":{"id":1099,"type":"book","ISBN":"92-5-106421-0","note":"issue: 540","publisher":"Food and Agriculture Organization of the United Nations (FAO)","title":"Feed ingredients and fertilizers for farmed aquatic animals: sources and composition.","author":[{"family":"Tacon","given":"Albert GJ"},{"family":"Metian","given":"Marc"},{"family":"Hasan","given":"Mohammad R."}],"issued":{"date-parts":[["2009"]]}}}],"schema":"https://github.com/citation-style-language/schema/raw/master/csl-citation.json"} </w:instrText>
      </w:r>
      <w:r w:rsidR="00E22B08" w:rsidRPr="00E317EA">
        <w:rPr>
          <w:rFonts w:ascii="Times New Roman" w:hAnsi="Times New Roman" w:cs="Times New Roman"/>
        </w:rPr>
        <w:fldChar w:fldCharType="separate"/>
      </w:r>
      <w:r w:rsidR="0087278A" w:rsidRPr="0087278A">
        <w:rPr>
          <w:rFonts w:ascii="Times New Roman" w:hAnsi="Times New Roman" w:cs="Times New Roman"/>
          <w:szCs w:val="24"/>
          <w:vertAlign w:val="superscript"/>
        </w:rPr>
        <w:t>141</w:t>
      </w:r>
      <w:r w:rsidR="00E22B08" w:rsidRPr="00E317EA">
        <w:rPr>
          <w:rFonts w:ascii="Times New Roman" w:hAnsi="Times New Roman" w:cs="Times New Roman"/>
        </w:rPr>
        <w:fldChar w:fldCharType="end"/>
      </w:r>
      <w:r w:rsidR="00E22B08" w:rsidRPr="00E317EA">
        <w:rPr>
          <w:rFonts w:ascii="Times New Roman" w:hAnsi="Times New Roman" w:cs="Times New Roman"/>
        </w:rPr>
        <w:t xml:space="preserve">. </w:t>
      </w:r>
      <w:r w:rsidR="00E22B08">
        <w:rPr>
          <w:rFonts w:ascii="Times New Roman" w:hAnsi="Times New Roman" w:cs="Times New Roman"/>
        </w:rPr>
        <w:t xml:space="preserve"> </w:t>
      </w:r>
      <w:r w:rsidR="00E22B08" w:rsidRPr="00E317EA">
        <w:rPr>
          <w:rFonts w:ascii="Times New Roman" w:hAnsi="Times New Roman" w:cs="Times New Roman"/>
        </w:rPr>
        <w:t xml:space="preserve">Studies have found high protein digestibility and performance across a range of species and trophic levels, including carp and salmonids </w:t>
      </w:r>
      <w:r w:rsidR="00E22B08" w:rsidRPr="00E317EA">
        <w:rPr>
          <w:rFonts w:ascii="Times New Roman" w:hAnsi="Times New Roman" w:cs="Times New Roman"/>
        </w:rPr>
        <w:fldChar w:fldCharType="begin"/>
      </w:r>
      <w:r w:rsidR="00700EBA">
        <w:rPr>
          <w:rFonts w:ascii="Times New Roman" w:hAnsi="Times New Roman" w:cs="Times New Roman"/>
        </w:rPr>
        <w:instrText xml:space="preserve"> ADDIN ZOTERO_ITEM CSL_CITATION {"citationID":"a6pba2n13v","properties":{"formattedCitation":"\\super 150,151,159,160\\nosupersub{}","plainCitation":"150,151,159,160","noteIndex":0},"citationItems":[{"id":1116,"uris":["http://zotero.org/groups/4669668/items/45MHER24"],"itemData":{"id":1116,"type":"article-journal","abstract":"Poultry by-product meal (PBM) is a potential substitute for a portion of the fish meal typically used in salmonid feeds. The nutritional value of commercial PBM as a fish meal replacement will depend primarily upon the quality and quantity of protein in a particular PBM batch. The purposes of this study were to quantitate the chemical variability in samples of PBM obtained from several manufacturers in North America, and to determine the digestibility of PBM protein by salmonids using one in vivo and three in vitro methods. The range in dry weight proximate composition among PBM samples was 55–74% for protein, 10–19% for lipid, and 11–23% for ash. Of the three in vitro methods for predicting in vivo protein digestibility, a method using trout pyloric ceca enzymes was the most sensitive and was more closely correlated to in vivo results than the other in vitro methods examined. We found significant differences in chemical composition and protein digestibility of PBM samples obtained from different manufacturers, illustrating the range of protein quality in PBM products that fish feed manufacturers will encounter in the marketplace.","container-title":"Aquaculture","DOI":"10.1016/0044-8486(93)90005-J","ISSN":"0044-8486","issue":"2","journalAbbreviation":"Aquaculture","language":"en","note":"number: 2","page":"149-158","source":"ScienceDirect","title":"Chemical composition and protein digestibility of poultry by-product meals for salmonid diets","volume":"116","author":[{"family":"Dong","given":"Faye M."},{"family":"Hardy","given":"Ronald W."},{"family":"Haard","given":"Norman F."},{"family":"Barrows","given":"Frederic T."},{"family":"Rasco","given":"Barbara A."},{"family":"Fairgrieve","given":"William T."},{"family":"Forster","given":"Ian P."}],"issued":{"date-parts":[["1993",10,1]]}}},{"id":1113,"uris":["http://zotero.org/groups/4669668/items/GSU85ZIE"],"itemData":{"id":1113,"type":"article-journal","abstract":"Potential of using rendered animal ingredients, poultry by-product meal (PM), meat and bone meal (MBM), feather meal (FM) and blood meal (BM) to replace fishmeal in practical diets for cuneate drum Nibea miichthioides (Chu, Lo et Wu) was examined in a net pen experiment. A total of 10 dietary treatments were compared. Nine diets were formulated to contain 363 g kg−1 digestible protein and 14.8 MJ kg−1 digestible energy, and a dietary treatment consisting of raw fish (RF) served as reference. In the formulated diets, the control diet contained 350 g kg−1 herring meal, whereas in the other eight diets, the fishmeal were replaced by MBM (30% fishmeal replacement), PM (50% fishmeal replacement), a blend of PM, MBM, FM and BM (30%, 50% and 80% fishmeal replacement), or a blend of PM, MBM and BM (30%, 50% and 80% fishmeal replacement), respectively. Cuneate drum fingerling (initial body weight 28 g) were fed the test diets for 8 weeks. Specific growth rate (SGR), final body weight (FBW), nitrogen retention efficiency (NRE), condition factor and contents of moisture, crude protein and crude lipid in carcass were not significantly different between fish fed the formulated diets. Fish fed the formulated control diet exhibited lower SGR and FBW, but higher FCR, NRE, hepatosomatic index and crude lipid content in carcass and liver than those of the fish fed the RF. Results of the present study indicate that combination of rendered animal protein ingredients can replace most of the fishmeal in practical diets for cuneate drum.","container-title":"Aquaculture Nutrition","DOI":"10.1111/j.1365-2095.2007.00456.x","ISSN":"1365-2095","issue":"2","language":"en","note":"number: 2\n_eprint: https://onlinelibrary.wiley.com/doi/pdf/10.1111/j.1365-2095.2007.00456.x","page":"81-87","source":"Wiley Online Library","title":"Inclusion of rendered animal ingredients as fishmeal substitutes in practical diets for cuneate drum, Nibea miichthioides (Chu, Lo et Wu)","volume":"13","author":[{"family":"Guo","given":"J."},{"family":"Wang","given":"Y."},{"family":"Bureau","given":"D.p."}],"issued":{"date-parts":[["2007"]]}}},{"id":1111,"uris":["http://zotero.org/groups/4669668/items/9VBQ33U2"],"itemData":{"id":1111,"type":"article-journal","abstract":"Rendered terrestrial animal by-product meals (ABPM) are commonly used in aquafeeds for fish and shrimp. However, the nutrient composition and digestibility of these products is often variable due to differing processing conditions. As such, the aquafeed industry could benefit from technologies that rapidly assess the nutritional quality of ABPM prior to purchase and their incorporation into aquafeeds. To be useful, new technologies would need to accurately reflect the results of traditional assays such as in-vivo apparent digestibility. This study presents a comparison of three methods for assessing the protein digestibility of poultry by-product meals (PBMs) that were subjected to different cooking temperatures (between 110 °C to 145 °C) and pre-rendering storage times (between 0 and 8 h). The first method was a traditional in-vivo assessment of digestibility based on indirect techniques and the collection of faecal material from Barramundi (Lates calcarifer). The second was the in-vitro pepsin nitrogen digestibility assay applied at pepsin concentrations of 0.2% and 0.0002%, respectively. The third method employed a two-step, membrane bioreactor (also known as a gastro intestinal model or GIM), based on digestive enzymes collected from the gut of Barramundi. In-vivo protein digestibility of PBMs ranged from 57% to 83%, being lowest in PBM that had been purposely overheated (145 °C) and highest in PBM subjected to the lowest cooking temperature (110 °C). In-vivo amino acid digestibility followed similar trends. Estimates of protein digestibility and protein hydrolysis based on the pepsin assays and the GIM were highly correlated with in-vivo protein ADCs. Estimated protein digestibility based on the pepsin assays was similar in magnitude to those determined in-vivo. Estimates of protein digestibility based on the GIM (protein hydrolysis) were highly correlated with the other methods, but the values estimated using GIM were much lower. Despite this discrepancy the GIM data could be modelled with a high degree of certainty using quadratic functions, and these functions could be used to reliably estimate digestibility of protein from PBMs, at least for the data generated in this study. All methods were sensitive enough to distinguish between PBMs that had been carefully treated prior to rendering or PBM that had been purposely overheated. The use of GIM technology requires further development, however it offers a great deal of promise and the opportunity to rapidly assess the protein quality of many different raw materials.","container-title":"Aquaculture","DOI":"10.1016/j.aquaculture.2018.08.032","ISSN":"0044-8486","journalAbbreviation":"Aquaculture","language":"en","page":"187-200","source":"ScienceDirect","title":"A comparison of in-vivo and in-vitro methods for assessing the digestibility of poultry by-product meals using barramundi (lates calcarifer); impacts of cooking temperature and raw material freshness","volume":"498","author":[{"family":"Lewis","given":"Michael J."},{"family":"Francis","given":"David S."},{"family":"Blyth","given":"David"},{"family":"Moyano","given":"Francisco J."},{"family":"Smullen","given":"Richard P."},{"family":"Turchini","given":"Giovanni M."},{"family":"Booth","given":"Mark A."}],"issued":{"date-parts":[["2019",1,1]]}}},{"id":1102,"uris":["http://zotero.org/groups/4669668/items/67MWR6JG"],"itemData":{"id":1102,"type":"article-journal","abstract":"Apparent digestibility of protein and availability of minerals (Ca, K, P, Mg, Na, Cu, Fe, Mn, Sr, Zn) in various feed ingredients were determined for coho salmon and rainbow trout using yttrium oxide (Y2O3) as the inert marker and passive feces collection tanks. The feed ingredients were herring meal, menhaden meal, anchovy meal, deboned whitefish meal, poultry by-product meal, feather meal, soybean meal, corn gluten meal, wheat gluten meal, wheat middling and wheat flour. Apparent digestibility (%) of protein and availability (%) of minerals were determined as a fractional net absorption of nutrients from diets. Apparent digestibility of protein and availability of K was high (&gt;80%) in all feed ingredients, whereas digestibility of dry matter and availability of Ca, Cu, Fe, Mg, Mn, Na, P, Sr and Zn were variable among ingredients. Apparent availability (%) of mineral elements was not significantly correlated to the amount of nutrient intake (μg nutrient g−1 BW day−1) in any test diet. Net nutrient absorption (μg g−1 BW day−1) was positively correlated (P&lt;0.05) to the nutrient intake except for Mn, Fe and Ca. Fecal nutrient losses (μg g−1 BW day−1) were positively correlated (P&lt;0.05) to nutrient intake except for protein, Na, K and Zn.","container-title":"Aquaculture","DOI":"10.1016/S0044-8486(97)00177-4","ISSN":"0044-8486","issue":"3","journalAbbreviation":"Aquaculture","language":"en","note":"number: 3","page":"177-202","source":"ScienceDirect","title":"Apparent protein digestibility and mineral availabilities in various feed ingredients for salmonid feeds","volume":"159","author":[{"family":"Sugiura","given":"Shozo H."},{"family":"Dong","given":"Faye M."},{"family":"Rathbone","given":"Cindra K."},{"family":"Hardy","given":"Ronald W."}],"issued":{"date-parts":[["1998",1,1]]}}}],"schema":"https://github.com/citation-style-language/schema/raw/master/csl-citation.json"} </w:instrText>
      </w:r>
      <w:r w:rsidR="00E22B08" w:rsidRPr="00E317EA">
        <w:rPr>
          <w:rFonts w:ascii="Times New Roman" w:hAnsi="Times New Roman" w:cs="Times New Roman"/>
        </w:rPr>
        <w:fldChar w:fldCharType="separate"/>
      </w:r>
      <w:r w:rsidR="00700EBA" w:rsidRPr="00700EBA">
        <w:rPr>
          <w:rFonts w:ascii="Times New Roman" w:hAnsi="Times New Roman" w:cs="Times New Roman"/>
          <w:szCs w:val="24"/>
          <w:vertAlign w:val="superscript"/>
        </w:rPr>
        <w:t>150,151,159,160</w:t>
      </w:r>
      <w:r w:rsidR="00E22B08" w:rsidRPr="00E317EA">
        <w:rPr>
          <w:rFonts w:ascii="Times New Roman" w:hAnsi="Times New Roman" w:cs="Times New Roman"/>
        </w:rPr>
        <w:fldChar w:fldCharType="end"/>
      </w:r>
      <w:r w:rsidR="00E22B08" w:rsidRPr="00E317EA">
        <w:rPr>
          <w:rFonts w:ascii="Times New Roman" w:hAnsi="Times New Roman" w:cs="Times New Roman"/>
        </w:rPr>
        <w:t xml:space="preserve">. M&amp;B meal also has a well-balanced AA profile and has been recommended at a 10-15% inclusion rate due to potentially high ash content </w:t>
      </w:r>
      <w:r w:rsidR="00E22B08" w:rsidRPr="00E317EA">
        <w:rPr>
          <w:rFonts w:ascii="Times New Roman" w:hAnsi="Times New Roman" w:cs="Times New Roman"/>
        </w:rPr>
        <w:fldChar w:fldCharType="begin"/>
      </w:r>
      <w:r w:rsidR="00A86F28">
        <w:rPr>
          <w:rFonts w:ascii="Times New Roman" w:hAnsi="Times New Roman" w:cs="Times New Roman"/>
        </w:rPr>
        <w:instrText xml:space="preserve"> ADDIN ZOTERO_ITEM CSL_CITATION {"citationID":"a14od6ku9g8","properties":{"formattedCitation":"\\super 129\\nosupersub{}","plainCitation":"129","noteIndex":0},"citationItems":[{"id":994,"uris":["http://zotero.org/groups/4669668/items/PR2G4YII"],"itemData":{"id":994,"type":"book","edition":"1","ISBN":"978-1-4020-1527-4","number-of-pages":"573","publisher":"Springer Dordrecht","title":"Handbook on ingredients for aquaculture feeds","URL":"https://doi.org/10.1007/978-94-011-4018-8","author":[{"family":"Hertrampf","given":"Joachim W."},{"family":"Piedad-Pascual","given":"Felicitas"}],"issued":{"date-parts":[["2000"]]}}}],"schema":"https://github.com/citation-style-language/schema/raw/master/csl-citation.json"} </w:instrText>
      </w:r>
      <w:r w:rsidR="00E22B08" w:rsidRPr="00E317EA">
        <w:rPr>
          <w:rFonts w:ascii="Times New Roman" w:hAnsi="Times New Roman" w:cs="Times New Roman"/>
        </w:rPr>
        <w:fldChar w:fldCharType="separate"/>
      </w:r>
      <w:r w:rsidR="00A86F28" w:rsidRPr="00A86F28">
        <w:rPr>
          <w:rFonts w:ascii="Times New Roman" w:hAnsi="Times New Roman" w:cs="Times New Roman"/>
          <w:szCs w:val="24"/>
          <w:vertAlign w:val="superscript"/>
        </w:rPr>
        <w:t>129</w:t>
      </w:r>
      <w:r w:rsidR="00E22B08" w:rsidRPr="00E317EA">
        <w:rPr>
          <w:rFonts w:ascii="Times New Roman" w:hAnsi="Times New Roman" w:cs="Times New Roman"/>
        </w:rPr>
        <w:fldChar w:fldCharType="end"/>
      </w:r>
      <w:r w:rsidR="00E22B08" w:rsidRPr="00E317EA">
        <w:rPr>
          <w:rFonts w:ascii="Times New Roman" w:hAnsi="Times New Roman" w:cs="Times New Roman"/>
        </w:rPr>
        <w:t xml:space="preserve">. Growth and performance metrics are reported as comparable to plant-based meals when M&amp;B meal was included in aquafeeds for tilapia and hybrid striped bass </w:t>
      </w:r>
      <w:r w:rsidR="00E22B08" w:rsidRPr="00E317EA">
        <w:rPr>
          <w:rFonts w:ascii="Times New Roman" w:hAnsi="Times New Roman" w:cs="Times New Roman"/>
        </w:rPr>
        <w:fldChar w:fldCharType="begin"/>
      </w:r>
      <w:r w:rsidR="00D92E39">
        <w:rPr>
          <w:rFonts w:ascii="Times New Roman" w:hAnsi="Times New Roman" w:cs="Times New Roman"/>
        </w:rPr>
        <w:instrText xml:space="preserve"> ADDIN ZOTERO_ITEM CSL_CITATION {"citationID":"a1cjkq0lp37","properties":{"formattedCitation":"\\super 161,162\\nosupersub{}","plainCitation":"161,162","noteIndex":0},"citationItems":[{"id":1115,"uris":["http://zotero.org/groups/4669668/items/KZ7Y7BYJ"],"itemData":{"id":1115,"type":"article-journal","abstract":"The effects of total replacement of dietary fish meal (FM) with animal protein sources on the growth, feed efficiency and profit indices of Nile tilapia, Oreochromis niloticus (L.), were investigated. Shrimp meal (SM), blood meal (BM), meat and bone meal (MBM), BM + MBM mix and poultry by-product meal (PBM) replaced FM in six isonitrogenous (30% crude protein), isocaloric (400 kcal GE 100 g–1) diets. The diets were fed to O. niloticus fingerlings (12.5 g) to satiation twice a day for 150 days. The growth of fish fed SM, PBM and MBM was not significantly different from those fed the FM-based diet, while feed conversion and protein efficiency ratios were significantly retarded. Further reduction in fish performance was noticed when BM or BM + MBM replaced FM in the control diet. Cost–benefit analyses of the test diets indicated that these sources were economically superior to FM. The PBM-based diet produced higher carcass lipid than other diets. Fish fed SM, MBM and PBM diets had significantly higher ash contents (P &lt; 0.05).","container-title":"Aquaculture Research","DOI":"10.1046/j.1365-2109.1998.00199.x","ISSN":"1365-2109","issue":"4","language":"en","note":"number: 4\n_eprint: https://onlinelibrary.wiley.com/doi/pdf/10.1046/j.1365-2109.1998.00199.x","page":"275-280","source":"Wiley Online Library","title":"Total replacement of fish meal with animal protein sources in Nile tilapia, Oreochromis niloticus (L.), feeds","volume":"29","author":[{"family":"El-Sayed","given":"A-F M"}],"issued":{"date-parts":[["1998"]]}}},{"id":1101,"uris":["http://zotero.org/groups/4669668/items/QQZLDU9E"],"itemData":{"id":1101,"type":"article-journal","abstract":"Hybrid striped bass were fed a reference diet or one of nine test diets containing selected protein and energy supplements: menhaden fish meal, meat and bone meal, blood meal, soybean meal, cottonseed meal, corn grain, wheat flour, wheat middlings, and rice bran. Test diets contained 70% reference diet mixture and 30% test ingredient. All diets contained 1 % chromic oxide indicator. Fecal samples were manually stripped from anaesthetized fish to prevent contact with water. Apparent digestibility coefficients for dry matter, crude protein, and energy in the reference and test diets were determined, and digestibility coefficients for the test ingredients were calculated based on differences in the digestibility of test diets relative to the reference diet. Apparent crude protein digestibility was high (71–93%) for all ingredients tested. Apparent energy digestibility (AED) was significantly higher for ingredients of animal origin (fish meal and meat and bone meal; 80–95%) than for those of plant origin (soybean meal, corn, wheat flour, wheat middlings, and rice bran; 41–73%) with one exception—AED of meat and bone meal and cottonseed meal did not differ. Apparent dry matter digestibility (27–84%) varied significantly among ingredients of both plant and animal origin and appeared to be negatively related to fiber and starch content of the ingredient. Results indicated that hybrid striped bass utilized high-protein and high-lipid feedstuffs better than high-carbohydrate or high-fiber feedstuffs.","container-title":"Aquaculture","DOI":"10.1016/0044-8486(95)01071-8","</w:instrText>
      </w:r>
      <w:r w:rsidR="00D92E39">
        <w:rPr>
          <w:rFonts w:ascii="Times New Roman" w:hAnsi="Times New Roman" w:cs="Times New Roman" w:hint="eastAsia"/>
        </w:rPr>
        <w:instrText xml:space="preserve">ISSN":"0044-8486","issue":"1","journalAbbreviation":"Aquaculture","language":"en","note":"number: 1","page":"313-322","source":"ScienceDirect","title":"Apparent digestibility of selected feedstuffs in diets for hybrid striped bass (Morone saxatilis </w:instrText>
      </w:r>
      <w:r w:rsidR="00D92E39">
        <w:rPr>
          <w:rFonts w:ascii="Times New Roman" w:hAnsi="Times New Roman" w:cs="Times New Roman" w:hint="eastAsia"/>
        </w:rPr>
        <w:instrText>♀</w:instrText>
      </w:r>
      <w:r w:rsidR="00D92E39">
        <w:rPr>
          <w:rFonts w:ascii="Times New Roman" w:hAnsi="Times New Roman" w:cs="Times New Roman" w:hint="eastAsia"/>
        </w:rPr>
        <w:instrText xml:space="preserve"> X Morone chrysops </w:instrText>
      </w:r>
      <w:r w:rsidR="00D92E39">
        <w:rPr>
          <w:rFonts w:ascii="Times New Roman" w:hAnsi="Times New Roman" w:cs="Times New Roman" w:hint="eastAsia"/>
        </w:rPr>
        <w:instrText>♂</w:instrText>
      </w:r>
      <w:r w:rsidR="00D92E39">
        <w:rPr>
          <w:rFonts w:ascii="Times New Roman" w:hAnsi="Times New Roman" w:cs="Times New Roman" w:hint="eastAsia"/>
        </w:rPr>
        <w:instrText>)","volume":"138","author":[{"family":"Sullivan","given":"J. Andrew"},{"family":"Reigh","given":"Robert C."}],"issued":{"date-parts":[["1995",12,15]]}}}],"schema":"https://github.com/citation-style-language/schema/raw/master/csl-citation.js</w:instrText>
      </w:r>
      <w:r w:rsidR="00D92E39">
        <w:rPr>
          <w:rFonts w:ascii="Times New Roman" w:hAnsi="Times New Roman" w:cs="Times New Roman"/>
        </w:rPr>
        <w:instrText xml:space="preserve">on"} </w:instrText>
      </w:r>
      <w:r w:rsidR="00E22B08" w:rsidRPr="00E317EA">
        <w:rPr>
          <w:rFonts w:ascii="Times New Roman" w:hAnsi="Times New Roman" w:cs="Times New Roman"/>
        </w:rPr>
        <w:fldChar w:fldCharType="separate"/>
      </w:r>
      <w:r w:rsidR="00D92E39" w:rsidRPr="00D92E39">
        <w:rPr>
          <w:rFonts w:ascii="Times New Roman" w:hAnsi="Times New Roman" w:cs="Times New Roman"/>
          <w:szCs w:val="24"/>
          <w:vertAlign w:val="superscript"/>
        </w:rPr>
        <w:t>161,162</w:t>
      </w:r>
      <w:r w:rsidR="00E22B08" w:rsidRPr="00E317EA">
        <w:rPr>
          <w:rFonts w:ascii="Times New Roman" w:hAnsi="Times New Roman" w:cs="Times New Roman"/>
        </w:rPr>
        <w:fldChar w:fldCharType="end"/>
      </w:r>
      <w:r w:rsidR="00E22B08" w:rsidRPr="00E317EA">
        <w:rPr>
          <w:rFonts w:ascii="Times New Roman" w:hAnsi="Times New Roman" w:cs="Times New Roman"/>
        </w:rPr>
        <w:t xml:space="preserve">, whilst protein digestibility of M&amp;B meal was relatively high in rainbow trout </w:t>
      </w:r>
      <w:r w:rsidR="00E22B08" w:rsidRPr="00E317EA">
        <w:rPr>
          <w:rFonts w:ascii="Times New Roman" w:hAnsi="Times New Roman" w:cs="Times New Roman"/>
        </w:rPr>
        <w:fldChar w:fldCharType="begin"/>
      </w:r>
      <w:r w:rsidR="00515DE7">
        <w:rPr>
          <w:rFonts w:ascii="Times New Roman" w:hAnsi="Times New Roman" w:cs="Times New Roman"/>
        </w:rPr>
        <w:instrText xml:space="preserve"> ADDIN ZOTERO_ITEM CSL_CITATION {"citationID":"atmlmfl3a9","properties":{"formattedCitation":"\\super 163\\nosupersub{}","plainCitation":"163","noteIndex":0},"citationItems":[{"id":1120,"uris":["http://zotero.org/groups/4669668/items/8SDK5J6J"],"itemData":{"id":1120,"type":"article-journal","abstract":"The apparent digestibility of 20 rendered animal protein ingredients from various origins was determined in three digestibility trials. The ingredients consisted of eight blood meals, four feather meals, six meat and bone meals and two poultry by-product meals. Within each type of ingredient, a relatively large range of raw materials, processing conditions and equipment were represented. In each of three trials, a reference diet was mixed with test ingredients in a 70:30 ratio to produce a series of test diets. The reference and test diets were fed to rainbow trout reared at 15°C and fecal samples were collected using the “Guelph system”. Apparent digestibility coefficients (ADC) for protein and energy of the four feather meals varied between 81 and 87% and 76 and 80%. Significant differences in the ADC for protein of feather meal were observed and may be related to the drying equipment. The ADC for protein of the two poultry by-product meals was 87 and 91% and that of energy 77 and 87%. The ADC for protein and energy of the six meat and bone meals varied between 83 and 89% and 68 and 83%, respectively. Treatment of one of the meat and bone meals by air-classification to reduce its ash content resulted in a significant increase in the ADC for protein and lipid. ADC for protein of the blood meals varied between 82 and 99% whereas ADC for energy varied between 79 and 99%. Spray-dried blood products (whole blood, blood cells, blood plasma) were highly digestible (ADC protein=96-99%). Rotoplate-, steam-tube- and ring-dried blood meals had significantly lower ADC for protein and energy than spray-dried blood products.","container-title":"Aquaculture","DOI":"10.1016/S0044-8486(99)00210-0","ISSN":"0044-8486","issue":"3","journalAbbreviation":"Aquaculture","language":"en","note":"number: 3","page":"345-358","source":"ScienceDirect","title":"Apparent digestibility of rendered animal protein ingredients for rainbow trout (Oncorhynchus mykiss)","volume":"180","author":[{"family":"Bureau","given":"D. P"},{"family":"Harris","given":"A. M"},{"family":"Cho","given":"C. Y"}],"issued":{"date-parts":[["1999",11,3]]}}}],"schema":"https://github.com/citation-style-language/schema/raw/master/csl-citation.json"} </w:instrText>
      </w:r>
      <w:r w:rsidR="00E22B08" w:rsidRPr="00E317EA">
        <w:rPr>
          <w:rFonts w:ascii="Times New Roman" w:hAnsi="Times New Roman" w:cs="Times New Roman"/>
        </w:rPr>
        <w:fldChar w:fldCharType="separate"/>
      </w:r>
      <w:r w:rsidR="00515DE7" w:rsidRPr="00515DE7">
        <w:rPr>
          <w:rFonts w:ascii="Times New Roman" w:hAnsi="Times New Roman" w:cs="Times New Roman"/>
          <w:szCs w:val="24"/>
          <w:vertAlign w:val="superscript"/>
        </w:rPr>
        <w:t>163</w:t>
      </w:r>
      <w:r w:rsidR="00E22B08" w:rsidRPr="00E317EA">
        <w:rPr>
          <w:rFonts w:ascii="Times New Roman" w:hAnsi="Times New Roman" w:cs="Times New Roman"/>
        </w:rPr>
        <w:fldChar w:fldCharType="end"/>
      </w:r>
      <w:r w:rsidR="00E22B08" w:rsidRPr="00E317EA">
        <w:rPr>
          <w:rFonts w:ascii="Times New Roman" w:hAnsi="Times New Roman" w:cs="Times New Roman"/>
        </w:rPr>
        <w:t xml:space="preserve">. Conversely, blood meal is recommended at &lt;10% inclusion as the AA content is imbalanced, palatability issues have been observed, and processing conditions (e.g., temperature and method of drying) can significantly affect energy content and digestibility </w:t>
      </w:r>
      <w:r w:rsidR="00E22B08" w:rsidRPr="00E317EA">
        <w:rPr>
          <w:rFonts w:ascii="Times New Roman" w:hAnsi="Times New Roman" w:cs="Times New Roman"/>
        </w:rPr>
        <w:fldChar w:fldCharType="begin"/>
      </w:r>
      <w:r w:rsidR="00AB2AA8">
        <w:rPr>
          <w:rFonts w:ascii="Times New Roman" w:hAnsi="Times New Roman" w:cs="Times New Roman"/>
        </w:rPr>
        <w:instrText xml:space="preserve"> ADDIN ZOTERO_ITEM CSL_CITATION {"citationID":"aiav99ntse","properties":{"formattedCitation":"\\super 129,141,164\\nosupersub{}","plainCitation":"129,141,164","noteIndex":0},"citationItems":[{"id":994,"uris":["http://zotero.org/groups/4669668/items/PR2G4YII"],"itemData":{"id":994,"type":"book","edition":"1","ISBN":"978-1-4020-1527-4","number-of-pages":"573","publisher":"Springer Dordrecht","title":"Handbook on ingredients for aquaculture feeds","URL":"https://doi.org/10.1007/978-94-011-4018-8","author":[{"family":"Hertrampf","given":"Joachim W."},{"family":"Piedad-Pascual","given":"Felicitas"}],"issued":{"date-parts":[["2000"]]}}},{"id":1040,"uris":["http://zotero.org/groups/4669668/items/5FPYE6PM"],"itemData":{"id":1040,"type":"article-journal","abstract":"A 100 days experiment was conducted to determine the effect of feeding blood meal (BM) as a replacement of fish meal (FM), as the main source of animal protein, on growth rate and economic performance of Nile tilapia in fertilized pond. Three isonitrogenous diets (35% crude protein) were formulated using either FM as the main source of animal protein (Diet 1); 50% replacement of FM with blood meal (Diet 2); or 100% replacement of FM with BM (Diet 3). Three hundred Nile tilapia fingerlings (12±3 g) were randomly distributed into three groups of four replicates of 25 fingerlings per cage. The groups were randomly assigned the 3 diets which were fed at 2% of their biomass at 10 am and 4 pm every day. Percentage daily weight gain (DWG), relative growth rate (RGR), specific growth rate (SGR), survival rate and feed utilisation efficiency were measured. Fish fed diet 1 were larger (50.69 g) (P &lt; 0.05) than those fed diet 2 (48.47 g) and 3 (40.37 g). Replacement of FM with 50% and 100% BM reduced the incidence cost (45.55, 37.83 and 31.88, respectively). The profit index was highest with 100% (9.42) replacement of FM, compared to 50% (7.95) and 0% (6.69). Although replacing FM with BM was associated with reduced growth, the economic return was better (P &lt; 0.05). Based on the present results, it was economical to use BM as a major protein source instead of FM in formulating fish feed.","container-title":"Journal of Agricultural Science","DOI":"10.5539/jas.v8n8p79","ISSN":"1916-9752","issue":"8","language":"en","license":"Copyright (c) 2016 James Kirimi,Levi Musalia,Adiel Magana,Jonathan Munguti","note":"number: 8","page":"p79","source":"www.ccsenet.org","title":"Performance of nile tilapia (Oreochromis niloticus) fed diets containing blood meal as a replacement of fish meal","volume":"8","author":[{"family":"Kirimi","given":"James"},{"family":"Musalia","given":"Levi"},{"family":"Magana","given":"Adiel"},{"family":"Munguti","given":"Jonathan"}],"issued":{"date-parts":[["2016",7,17]]}}},{"id":1099,"uris":["http://zotero.org/groups/4669668/items/CSFYL59E"],"itemData":{"id":1099,"type":"book","ISBN":"92-5-106421-0","note":"issue: 540","publisher":"Food and Agriculture Organization of the United Nations (FAO)","title":"Feed ingredients and fertilizers for farmed aquatic animals: sources and composition.","author":[{"family":"Tacon","given":"Albert GJ"},{"family":"Metian","given":"Marc"},{"family":"Hasan","given":"Mohammad R."}],"issued":{"date-parts":[["2009"]]}}}],"schema":"https://github.com/citation-style-language/schema/raw/master/csl-citation.json"} </w:instrText>
      </w:r>
      <w:r w:rsidR="00E22B08" w:rsidRPr="00E317EA">
        <w:rPr>
          <w:rFonts w:ascii="Times New Roman" w:hAnsi="Times New Roman" w:cs="Times New Roman"/>
        </w:rPr>
        <w:fldChar w:fldCharType="separate"/>
      </w:r>
      <w:r w:rsidR="00AB2AA8" w:rsidRPr="00AB2AA8">
        <w:rPr>
          <w:rFonts w:ascii="Times New Roman" w:hAnsi="Times New Roman" w:cs="Times New Roman"/>
          <w:szCs w:val="24"/>
          <w:vertAlign w:val="superscript"/>
        </w:rPr>
        <w:t>129,141,164</w:t>
      </w:r>
      <w:r w:rsidR="00E22B08" w:rsidRPr="00E317EA">
        <w:rPr>
          <w:rFonts w:ascii="Times New Roman" w:hAnsi="Times New Roman" w:cs="Times New Roman"/>
        </w:rPr>
        <w:fldChar w:fldCharType="end"/>
      </w:r>
      <w:r w:rsidR="00E22B08" w:rsidRPr="00E317EA">
        <w:rPr>
          <w:rFonts w:ascii="Times New Roman" w:hAnsi="Times New Roman" w:cs="Times New Roman"/>
        </w:rPr>
        <w:t xml:space="preserve">. </w:t>
      </w:r>
      <w:proofErr w:type="spellStart"/>
      <w:r w:rsidR="00E22B08" w:rsidRPr="00E317EA">
        <w:rPr>
          <w:rFonts w:ascii="Times New Roman" w:hAnsi="Times New Roman" w:cs="Times New Roman"/>
        </w:rPr>
        <w:t>PbO</w:t>
      </w:r>
      <w:proofErr w:type="spellEnd"/>
      <w:r w:rsidR="00E22B08" w:rsidRPr="00E317EA">
        <w:rPr>
          <w:rFonts w:ascii="Times New Roman" w:hAnsi="Times New Roman" w:cs="Times New Roman"/>
        </w:rPr>
        <w:t xml:space="preserve"> and TAL have been recommended at a dietary inclusion rate of inclusion rate 5-10% </w:t>
      </w:r>
      <w:r w:rsidR="00E22B08" w:rsidRPr="00E317EA">
        <w:rPr>
          <w:rFonts w:ascii="Times New Roman" w:hAnsi="Times New Roman" w:cs="Times New Roman"/>
        </w:rPr>
        <w:fldChar w:fldCharType="begin"/>
      </w:r>
      <w:r w:rsidR="005371E8">
        <w:rPr>
          <w:rFonts w:ascii="Times New Roman" w:hAnsi="Times New Roman" w:cs="Times New Roman"/>
        </w:rPr>
        <w:instrText xml:space="preserve"> ADDIN ZOTERO_ITEM CSL_CITATION {"citationID":"a1dh4s34k8","properties":{"formattedCitation":"\\super 129\\nosupersub{}","plainCitation":"129","noteIndex":0},"citationItems":[{"id":994,"uris":["http://zotero.org/groups/4669668/items/PR2G4YII"],"itemData":{"id":994,"type":"book","edition":"1","ISBN":"978-1-4020-1527-4","number-of-pages":"573","publisher":"Springer Dordrecht","title":"Handbook on ingredients for aquaculture feeds","URL":"https://doi.org/10.1007/978-94-011-4018-8","author":[{"family":"Hertrampf","given":"Joachim W."},{"family":"Piedad-Pascual","given":"Felicitas"}],"issued":{"date-parts":[["2000"]]}}}],"schema":"https://github.com/citation-style-language/schema/raw/master/csl-citation.json"} </w:instrText>
      </w:r>
      <w:r w:rsidR="00E22B08" w:rsidRPr="00E317EA">
        <w:rPr>
          <w:rFonts w:ascii="Times New Roman" w:hAnsi="Times New Roman" w:cs="Times New Roman"/>
        </w:rPr>
        <w:fldChar w:fldCharType="separate"/>
      </w:r>
      <w:r w:rsidR="005371E8" w:rsidRPr="005371E8">
        <w:rPr>
          <w:rFonts w:ascii="Times New Roman" w:hAnsi="Times New Roman" w:cs="Times New Roman"/>
          <w:szCs w:val="24"/>
          <w:vertAlign w:val="superscript"/>
        </w:rPr>
        <w:t>129</w:t>
      </w:r>
      <w:r w:rsidR="00E22B08" w:rsidRPr="00E317EA">
        <w:rPr>
          <w:rFonts w:ascii="Times New Roman" w:hAnsi="Times New Roman" w:cs="Times New Roman"/>
        </w:rPr>
        <w:fldChar w:fldCharType="end"/>
      </w:r>
      <w:r w:rsidR="00E22B08" w:rsidRPr="00E317EA">
        <w:rPr>
          <w:rFonts w:ascii="Times New Roman" w:hAnsi="Times New Roman" w:cs="Times New Roman"/>
        </w:rPr>
        <w:t xml:space="preserve"> due to good growth performance and high feed palatability </w:t>
      </w:r>
      <w:r w:rsidR="00E22B08" w:rsidRPr="00E317EA">
        <w:rPr>
          <w:rFonts w:ascii="Times New Roman" w:hAnsi="Times New Roman" w:cs="Times New Roman"/>
        </w:rPr>
        <w:fldChar w:fldCharType="begin"/>
      </w:r>
      <w:r w:rsidR="00051869">
        <w:rPr>
          <w:rFonts w:ascii="Times New Roman" w:hAnsi="Times New Roman" w:cs="Times New Roman"/>
        </w:rPr>
        <w:instrText xml:space="preserve"> ADDIN ZOTERO_ITEM CSL_CITATION {"citationID":"a7a4bbe9nr","properties":{"formattedCitation":"\\super 144,165,166\\nosupersub{}","plainCitation":"144,165,166","noteIndex":0},"citationItems":[{"id":1114,"uris":["http://zotero.org/groups/4669668/items/ZWB2D55U"],"itemData":{"id":1114,"type":"article-journal","abstract":"Amongst the various available alternative oils, tallow (TAL) has attracted limited research interest and is not commonly used in commercial aquafeeds. This is likely due to concerns of consumers' perception and its high saturated fatty acid (SFA) content, which raises concerns about its digestibility, particularly for species cultured in cold water conditions, such as the Atlantic salmon (Salmo salar). Conversely TAL is conveniently priced and has a very low n−6 polyunsaturated fatty acid (PUFA) content, which may be beneficial to the final product quality. In many parts of the world, modern salmon aquafeed commonly contains poultry by-product oil (PbO) as the alternative lipid source to replace fish oil (FO). Accordingly, the control diet used for the present experiment contained 75% PbO and 25% FO, as the added dietary lipid sources. Five additional experimental diets were formulated to progressively increase the level of TAL inclusion substituting PbO in 10% increments (10–50%), with a constant amount of FO (25%). A feeding trial was conducted using triplicate groups of Atlantic salmon over a 14week time period at 10°C. No difference in growth performance was recorded between treatments, but TAL substitution impacted lipid and fatty acid digestibility. The apparent in vivo β-oxidation of SFA intensified with TAL inclusion, whilst n−3 PUFA β-oxidation decreased. TAL inclusion also resulted in increased apparent in vivo bioconversion of 22:5n−3 to 22:6n−3. This was also reflected in fillet and whole body n−3 long chain PUFA (LC-PUFA) composition. TAL inclusion impacted positively on the fillet n−3/n−6 PUFA ratio. This study suggests that TAL appears to be a viable alternative oil, with potential for inclusion in commercial aquafeeds.","container-title":"Aquaculture","DOI":"10.1016/j.aquaculture.2013.12.004","ISSN":"0044-8486","journalAbbreviation":"Aquaculture","language":"en","page":"98-108","source":"ScienceDirect","title":"Tallow in Atlantic salmon feed","volume":"422-423","author":[{"family":"Emery","given":"James A."},{"family":"Smullen","given":"Richard P."},{"family":"Turchini","given":"Giovanni M."}],"issued":{"date-parts":[["2014",2,20]]}}},{"id":1112,"uris":["http://zotero.org/groups/4669668/items/PNRF5T28"],"itemData":{"id":1112,"type":"article-journal","abstract":"In a 17-week experiment with Atlantic salmon (2.3–5.2 kg) in sea cages, a diet containing European animal by-products and salmon oil (ABP) was compared with a control diet based on fish and plant ingredients, with respect to performance and product quality. Fish fed with the ABP diet had similar growth rates, but slightly improved feed conversion ratio (feed: gain; 1.08 versus 1.14) compared with the control. No differences were seen in fish length, live weight or condition factor. Final body composition was similar and retention of nitrogen and energy did not differ between diets. Higher DPA (C22:5 n-3) content in the ABP diet apparently inhibited conversion of EPA (C20:5 n-3) to DPA, resulting in higher EPA retention in muscle and whole body. Muscle and whole body DHA (C22:6 n-3) level and n-3 : n-6 ratio were higher in the ABP group, corresponding with dietary levels. There were no differences in slaughter yield, quality classification, gaping score or fillet texture between diets. The feed with ABP contained less astaxanthin, possibly because of degradation catalyzed by iron in blood meal, and this resulted in lower muscle colour score and astaxanthin concentration (4.6 versus 6.4 mg kg−1). A sensory test did not reveal any differences in odour, flavour, or texture.","container-title":"Aquaculture Nutrition","DOI":"10.1111/anu.12008","ISSN":"1365-2095","issue":"4","language":"en","note":"number: 4\n_eprint: https://onlinelibrary.wiley.com/doi/pdf/10.1111/anu.12008","page":"573-584","source":"Wiley Online Library","title":"Growth performance, feed utilization and product quality in slaughter size Atlantic salmon (Salmo salar L.) fed a diet with porcine blood meal, poultry oil and salmon oil","volume":"19","author":[{"family":"Hatlen","given":"B."},{"family":"Oaland","given":"Ø."},{"family":"Tvenning","given":"L."},{"family":"Breck","given":"O."},{"family":"Jakobsen","given":"J.v."},{"family":"Skaret","given":"J."}],"issued":{"date-parts":[["2013"]]}}},{"id":1097,"uris":["http://zotero.org/groups/4669668/items/PHGITQVU"],"itemData":{"id":1097,"type":"article-journal","abstract":"A long-term feeding trial was implemented on rainbow trout (Oncorhynchus mykiss) to assess the effects of seven alternative oils on fish performance and fatty acid metabolism. The tested oils were as follows: monola (a high oleic acid canola cultivar; MO), canola (rapeseed; CO), poultry by-product (chicken fat; PbPO), palm (PO), sunflower (SFO), high oleic acid sunflower (HOSFO) and soybean (SBO). All tested oils were included at a 75% substitution level of fish oil (FO) and were compared with a control diet containing 100% FO. PO, and to a lesser extent PbPO, exhibited impaired performance and lower digestibility values. All treatments containing low levels of saturated fatty acids (namely MO, CO, SFO, HOSFO and SBO) recorded an apparent in vivo fatty acid de novo production. The apparent in vivo fatty acid β-oxidation was proportional to fatty acid dietary supply and limited apparent in vivo fatty acid bioconversion (elongation and desaturation) was recorded, primarily acting on n-6 PUFA. In all treatments, dietary 20:5n-3 was actively bioconverted into 22:6n-3. It was shown that when some FO is provided with the diet, the in vivo fatty acid metabolism plays a minor role in determining final fatty acid make-up of fish whole bodies.","container-title":"Aquaculture Nutrition","DOI":"10.1111/anu.12046","ISSN":"1365-2095","issue":"s1","language":"en","note":"number: s1\n_eprint: https://onlinelibrary.wiley.com/doi/pdf/10.1111/anu.12046","page":"82-94","source":"Wiley Online Library","title":"Seven fish oil substitutes over a rainbow trout grow-out cycle: I) Effects on performance and fatty acid metabolism","title-short":"Seven fish oil substitutes over a rainbow trout grow-out cycle","volume":"19","author":[{"family":"Turchini","given":"G.m."},{"family":"Hermon","given":"K."},{"family":"Cleveland","given":"B.j."},{"family":"Emery","given":"J.a."},{"family":"Rankin","given":"T."},{"family":"Francis","given":"D.s."}],"issued":{"date-parts":[["2013"]]}}}],"schema":"https://github.com/citation-style-language/schema/raw/master/csl-citation.json"} </w:instrText>
      </w:r>
      <w:r w:rsidR="00E22B08" w:rsidRPr="00E317EA">
        <w:rPr>
          <w:rFonts w:ascii="Times New Roman" w:hAnsi="Times New Roman" w:cs="Times New Roman"/>
        </w:rPr>
        <w:fldChar w:fldCharType="separate"/>
      </w:r>
      <w:r w:rsidR="00051869" w:rsidRPr="00051869">
        <w:rPr>
          <w:rFonts w:ascii="Times New Roman" w:hAnsi="Times New Roman" w:cs="Times New Roman"/>
          <w:szCs w:val="24"/>
          <w:vertAlign w:val="superscript"/>
        </w:rPr>
        <w:t>144,165,166</w:t>
      </w:r>
      <w:r w:rsidR="00E22B08" w:rsidRPr="00E317EA">
        <w:rPr>
          <w:rFonts w:ascii="Times New Roman" w:hAnsi="Times New Roman" w:cs="Times New Roman"/>
        </w:rPr>
        <w:fldChar w:fldCharType="end"/>
      </w:r>
      <w:r w:rsidR="00E22B08" w:rsidRPr="00E317EA">
        <w:rPr>
          <w:rFonts w:ascii="Times New Roman" w:hAnsi="Times New Roman" w:cs="Times New Roman"/>
        </w:rPr>
        <w:t xml:space="preserve">, however, reduced digestibility of TAL at low temperatures requires further assessment </w:t>
      </w:r>
      <w:r w:rsidR="00E22B08" w:rsidRPr="00E317EA">
        <w:rPr>
          <w:rFonts w:ascii="Times New Roman" w:hAnsi="Times New Roman" w:cs="Times New Roman"/>
        </w:rPr>
        <w:fldChar w:fldCharType="begin"/>
      </w:r>
      <w:r w:rsidR="00A856C4">
        <w:rPr>
          <w:rFonts w:ascii="Times New Roman" w:hAnsi="Times New Roman" w:cs="Times New Roman"/>
        </w:rPr>
        <w:instrText xml:space="preserve"> ADDIN ZOTERO_ITEM CSL_CITATION {"citationID":"a29vqaan5bi","properties":{"formattedCitation":"\\super 144,146,158\\nosupersub{}","plainCitation":"144,146,158","noteIndex":0},"citationItems":[{"id":1118,"uris":["http://zotero.org/groups/4669668/items/3T64BKIA"],"itemData":{"id":1118,"type":"article-journal","container-title":"Fish oil replacement and alternative lipid sources in aquaculture feeds. CRC Press, Boca Raton, FL","page":"245-266","title":"Terrestrial animal fats","author":[{"family":"Bureau","given":"Dominique P."},{"family":"Meeker","given":"David L."}],"issued":{"date-parts":[["2010"]]}}},{"id":1114,"uris":["http://zotero.org/groups/4669668/items/ZWB2D55U"],"itemData":{"id":1114,"type":"article-journal","abstract":"Amongst the various available alternative oils, tallow (TAL) has attracted limited research interest and is not commonly used in commercial aquafeeds. This is likely due to concerns of consumers' perception and its high saturated fatty acid (SFA) content, which raises concerns about its digestibility, particularly for species cultured in cold water conditions, such as the Atlantic salmon (Salmo salar). Conversely TAL is conveniently priced and has a very low n−6 polyunsaturated fatty acid (PUFA) content, which may be beneficial to the final product quality. In many parts of the world, modern salmon aquafeed commonly contains poultry by-product oil (PbO) as the alternative lipid source to replace fish oil (FO). Accordingly, the control diet used for the present experiment contained 75% PbO and 25% FO, as the added dietary lipid sources. Five additional experimental diets were formulated to progressively increase the level of TAL inclusion substituting PbO in 10% increments (10–50%), with a constant amount of FO (25%). A feeding trial was conducted using triplicate groups of Atlantic salmon over a 14week time period at 10°C. No difference in growth performance was recorded between treatments, but TAL substitution impacted lipid and fatty acid digestibility. The apparent in vivo β-oxidation of SFA intensified with TAL inclusion, whilst n−3 PUFA β-oxidation decreased. TAL inclusion also resulted in increased apparent in vivo bioconversion of 22:5n−3 to 22:6n−3. This was also reflected in fillet and whole body n−3 long chain PUFA (LC-PUFA) composition. TAL inclusion impacted positively on the fillet n−3/n−6 PUFA ratio. This study suggests that TAL appears to be a viable alternative oil, with potential for inclusion in commercial aquafeeds.","container-title":"Aquaculture","DOI":"10.1016/j.aquaculture.2013.12.004","ISSN":"0044-8486","journalAbbreviation":"Aquaculture","language":"en","page":"98-108","source":"ScienceDirect","title":"Tallow in Atlantic salmon feed","volume":"422-423","author":[{"family":"Emery","given":"James A."},{"family":"Smullen","given":"Richard P."},{"family":"Turchini","given":"Giovanni M."}],"issued":{"date-parts":[["2014",2,20]]}}},{"id":971,"uris":["http://zotero.org/groups/4669668/items/HVAW39LJ"],"itemData":{"id":971,"type":"article-journal","container-title":"American Journal of Animal and Veterinary Sciences","DOI":"10.3844/ajavsp.2009.108.128","ISSN":"1557-4563","issue":"4","language":"en-US","note":"publisher: Science Publications","page":"108-128","source":"thescipub.com","title":"Potential, implications and solutions regarding the use of rendered animal fats in aquafeeds","volume":"4","author":[{"family":"Trushenski","given":"Jesse T."},{"family":"Lochmann","given":"Rebecca T."}],"issued":{"date-parts":[["2009",12,31]]}}}],"schema":"https://github.com/citation-style-language/schema/raw/master/csl-citation.json"} </w:instrText>
      </w:r>
      <w:r w:rsidR="00E22B08" w:rsidRPr="00E317EA">
        <w:rPr>
          <w:rFonts w:ascii="Times New Roman" w:hAnsi="Times New Roman" w:cs="Times New Roman"/>
        </w:rPr>
        <w:fldChar w:fldCharType="separate"/>
      </w:r>
      <w:r w:rsidR="00A856C4" w:rsidRPr="00A856C4">
        <w:rPr>
          <w:rFonts w:ascii="Times New Roman" w:hAnsi="Times New Roman" w:cs="Times New Roman"/>
          <w:szCs w:val="24"/>
          <w:vertAlign w:val="superscript"/>
        </w:rPr>
        <w:t>144,146,158</w:t>
      </w:r>
      <w:r w:rsidR="00E22B08" w:rsidRPr="00E317EA">
        <w:rPr>
          <w:rFonts w:ascii="Times New Roman" w:hAnsi="Times New Roman" w:cs="Times New Roman"/>
        </w:rPr>
        <w:fldChar w:fldCharType="end"/>
      </w:r>
      <w:r w:rsidR="00E22B08" w:rsidRPr="00E317EA">
        <w:rPr>
          <w:rFonts w:ascii="Times New Roman" w:hAnsi="Times New Roman" w:cs="Times New Roman"/>
        </w:rPr>
        <w:t xml:space="preserve">. As such, given the various strengths and weaknesses associated with each ABP source, mixing, and matching of ABP in unison with the addition of other </w:t>
      </w:r>
      <w:r w:rsidR="00E22B08" w:rsidRPr="00E317EA">
        <w:rPr>
          <w:rFonts w:ascii="Times New Roman" w:hAnsi="Times New Roman" w:cs="Times New Roman"/>
        </w:rPr>
        <w:lastRenderedPageBreak/>
        <w:t>nutritional components is paramount. Taking this approach, the nutritional and energetic profiles can be optimized whilst facilitating the utilization of a myriad of by-product ingredients that would otherwise go to waste.</w:t>
      </w:r>
    </w:p>
    <w:p w14:paraId="012C5075" w14:textId="5A7C9406" w:rsidR="00E22B08" w:rsidRDefault="001A5BE8" w:rsidP="00607518">
      <w:pPr>
        <w:spacing w:line="360" w:lineRule="auto"/>
        <w:ind w:firstLine="720"/>
        <w:contextualSpacing/>
        <w:jc w:val="both"/>
        <w:rPr>
          <w:rFonts w:ascii="Times New Roman" w:hAnsi="Times New Roman" w:cs="Times New Roman"/>
        </w:rPr>
      </w:pPr>
      <w:r>
        <w:rPr>
          <w:rFonts w:ascii="Times New Roman" w:hAnsi="Times New Roman" w:cs="Times New Roman"/>
        </w:rPr>
        <w:t>In recent times, r</w:t>
      </w:r>
      <w:r w:rsidRPr="009A6AAC">
        <w:rPr>
          <w:rFonts w:ascii="Times New Roman" w:hAnsi="Times New Roman" w:cs="Times New Roman"/>
        </w:rPr>
        <w:t xml:space="preserve">egulatory considerations </w:t>
      </w:r>
      <w:r>
        <w:rPr>
          <w:rFonts w:ascii="Times New Roman" w:hAnsi="Times New Roman" w:cs="Times New Roman"/>
        </w:rPr>
        <w:t>have</w:t>
      </w:r>
      <w:r w:rsidRPr="009A6AAC">
        <w:rPr>
          <w:rFonts w:ascii="Times New Roman" w:hAnsi="Times New Roman" w:cs="Times New Roman"/>
        </w:rPr>
        <w:t xml:space="preserve"> complicate</w:t>
      </w:r>
      <w:r>
        <w:rPr>
          <w:rFonts w:ascii="Times New Roman" w:hAnsi="Times New Roman" w:cs="Times New Roman"/>
        </w:rPr>
        <w:t>d</w:t>
      </w:r>
      <w:r w:rsidRPr="009A6AAC">
        <w:rPr>
          <w:rFonts w:ascii="Times New Roman" w:hAnsi="Times New Roman" w:cs="Times New Roman"/>
        </w:rPr>
        <w:t xml:space="preserve"> the use ABP </w:t>
      </w:r>
      <w:r>
        <w:rPr>
          <w:rFonts w:ascii="Times New Roman" w:hAnsi="Times New Roman" w:cs="Times New Roman"/>
        </w:rPr>
        <w:t xml:space="preserve">aquafeed, largely </w:t>
      </w:r>
      <w:r w:rsidRPr="009A6AAC">
        <w:rPr>
          <w:rFonts w:ascii="Times New Roman" w:hAnsi="Times New Roman" w:cs="Times New Roman"/>
        </w:rPr>
        <w:t>dependent on the farming region. As an example, the use of ABP in feedstuffs in Australia is high compared to its use in the European Union</w:t>
      </w:r>
      <w:r w:rsidR="00CD719E">
        <w:rPr>
          <w:rFonts w:ascii="Times New Roman" w:hAnsi="Times New Roman" w:cs="Times New Roman"/>
        </w:rPr>
        <w:fldChar w:fldCharType="begin"/>
      </w:r>
      <w:r w:rsidR="003067B3">
        <w:rPr>
          <w:rFonts w:ascii="Times New Roman" w:hAnsi="Times New Roman" w:cs="Times New Roman"/>
        </w:rPr>
        <w:instrText xml:space="preserve"> ADDIN ZOTERO_ITEM CSL_CITATION {"citationID":"an13baanq7","properties":{"formattedCitation":"\\super 167\\nosupersub{}","plainCitation":"167","noteIndex":0},"citationItems":[{"id":1019,"uris":["http://zotero.org/groups/4669668/items/GXPLVY3E"],"itemData":{"id":1019,"type":"article-journal","abstract":"Food businesses in the European Union are preparing for a carbon-neutral future by gradually transitioning to a circular way of operating. Building upon results from the EU REFRESH project, we consider the most valuable food processing by-streams in Europe and discuss potential food safety risks that must be considered while valorizing them for human consumption. These risks are weighed against the nutritional benefits offered by these products and their potential applications in food supply chains. Broadly, we examine whether it is possible for spent grains, cheese whey, fruit and vegetable scraps, meat processing waste, and oilseed cakes and meals to be safe, sustainable, and nutritionally valuable at the same time. The discussion highlights that valorizing by-products obtained from food processing operations is feasible on a large scale only if consumers deem it to be a safe and acceptable practice. Extracting valuable compounds from by-products and using them in the preparation of functional foods could be a way to gain consumer acceptance. Furthermore, we find that current EU food safety legislation does not sufficiently accommodate food processing by-products. A way to bridge this regulatory gap could be through the adoption of private food safety standards that have shown proclivity for sustainability-related issues in food supply chains. Finally, by proposing a decision tree, we show that it is indeed feasible for some food processing by-products to be valorized while ensuring sustainability, food safety, and nutritional relevance.","container-title":"Sustainability","DOI":"10.3390/su13084428","ISSN":"2071-1050","issue":"8","language":"en","license":"http://creativecommons.org/licenses/by/3.0/","note":"number: 8\npublisher: Multidisciplinary Digital Publishing Institute","page":"4428","source":"www.mdpi.com","title":"Valorized food processing by-products in the EU: finding the balance between safety, nutrition, and sustainability","title-short":"Valorized food processing by-products in the eu","volume":"13","author":[{"family":"Rao","given":"Madhura"},{"family":"Bast","given":"Aalt"},{"family":"Boer","given":"Alie","non-dropping-particle":"de"}],"issued":{"date-parts":[["2021",1]]}}}],"schema":"https://github.com/citation-style-language/schema/raw/master/csl-citation.json"} </w:instrText>
      </w:r>
      <w:r w:rsidR="00CD719E">
        <w:rPr>
          <w:rFonts w:ascii="Times New Roman" w:hAnsi="Times New Roman" w:cs="Times New Roman"/>
        </w:rPr>
        <w:fldChar w:fldCharType="separate"/>
      </w:r>
      <w:r w:rsidR="003067B3" w:rsidRPr="003067B3">
        <w:rPr>
          <w:rFonts w:ascii="Times New Roman" w:hAnsi="Times New Roman" w:cs="Times New Roman"/>
          <w:szCs w:val="24"/>
          <w:vertAlign w:val="superscript"/>
        </w:rPr>
        <w:t>167</w:t>
      </w:r>
      <w:r w:rsidR="00CD719E">
        <w:rPr>
          <w:rFonts w:ascii="Times New Roman" w:hAnsi="Times New Roman" w:cs="Times New Roman"/>
        </w:rPr>
        <w:fldChar w:fldCharType="end"/>
      </w:r>
      <w:r w:rsidR="000F062D">
        <w:rPr>
          <w:rFonts w:ascii="Times New Roman" w:hAnsi="Times New Roman" w:cs="Times New Roman"/>
        </w:rPr>
        <w:t xml:space="preserve">. </w:t>
      </w:r>
      <w:r w:rsidRPr="009A6AAC">
        <w:rPr>
          <w:rFonts w:ascii="Times New Roman" w:hAnsi="Times New Roman" w:cs="Times New Roman"/>
        </w:rPr>
        <w:t>Lower levels of ABP in Europe can be attributed to strict regulations introduced in 1994 which banned the use of processed animal proteins for cattle and sheep, that in 2000</w:t>
      </w:r>
      <w:r>
        <w:rPr>
          <w:rFonts w:ascii="Times New Roman" w:hAnsi="Times New Roman" w:cs="Times New Roman"/>
        </w:rPr>
        <w:t>,</w:t>
      </w:r>
      <w:r w:rsidRPr="009A6AAC">
        <w:rPr>
          <w:rFonts w:ascii="Times New Roman" w:hAnsi="Times New Roman" w:cs="Times New Roman"/>
        </w:rPr>
        <w:t xml:space="preserve"> was extended to include all farmed animals (Council Decision 2000/766/EC). However, since 2006 blood products from non-ruminants have been authorized for use in aquaculture (Commission Regulation (EC) No 1292/2005), whilst in 2013 </w:t>
      </w:r>
      <w:r w:rsidRPr="009A6AAC">
        <w:rPr>
          <w:rStyle w:val="markedcontent"/>
          <w:rFonts w:ascii="Times New Roman" w:hAnsi="Times New Roman" w:cs="Times New Roman"/>
        </w:rPr>
        <w:t>the</w:t>
      </w:r>
      <w:r w:rsidRPr="009A6AAC">
        <w:rPr>
          <w:rFonts w:ascii="Times New Roman" w:hAnsi="Times New Roman" w:cs="Times New Roman"/>
        </w:rPr>
        <w:t xml:space="preserve"> EU re-authorized processed animal proteins derived from healthy non-ruminant farmed animals (i.e., mainly pigs and poultry) to be used in aquafeed (Commission Regulation (</w:t>
      </w:r>
      <w:r w:rsidRPr="009A6AAC">
        <w:rPr>
          <w:rStyle w:val="markedcontent"/>
          <w:rFonts w:ascii="Times New Roman" w:hAnsi="Times New Roman" w:cs="Times New Roman"/>
        </w:rPr>
        <w:t xml:space="preserve">EU) No 56/2013). </w:t>
      </w:r>
      <w:r>
        <w:rPr>
          <w:rStyle w:val="markedcontent"/>
          <w:rFonts w:ascii="Times New Roman" w:hAnsi="Times New Roman" w:cs="Times New Roman"/>
        </w:rPr>
        <w:t xml:space="preserve">This protein source, termed Processed Animal Protein (PAP) is produced from Category 3 material which is deemed fit for human consumption at the point of slaughter (REF). </w:t>
      </w:r>
      <w:r w:rsidRPr="009A6AAC">
        <w:rPr>
          <w:rStyle w:val="markedcontent"/>
          <w:rFonts w:ascii="Times New Roman" w:hAnsi="Times New Roman" w:cs="Times New Roman"/>
        </w:rPr>
        <w:t xml:space="preserve">Although ruminant processed animal proteins are still prohibited in feeds for all food producing animals, proposals for ruminant gelatin in non-ruminant feed have been under consideration (Commission Regulation (EU) No 1372/2021) as the EU moves towards goals of waste reduction and a more circular bioeconomy. </w:t>
      </w:r>
      <w:r w:rsidR="00E22B08" w:rsidRPr="009A6AAC">
        <w:rPr>
          <w:rStyle w:val="markedcontent"/>
          <w:rFonts w:ascii="Times New Roman" w:hAnsi="Times New Roman" w:cs="Times New Roman"/>
        </w:rPr>
        <w:t xml:space="preserve">As such, consumer acceptance of aquaculture products fed ABP is now one of the final hurdles for ABP inclusion in aquafeeds. Notably, consumer acceptance or rejection is typically driven by negative sensory properties of the final product (distaste), harmful consequences (perceived danger), or negative ideation (knowledge of the origin or nature of the product) </w:t>
      </w:r>
      <w:r w:rsidR="00E22B08" w:rsidRPr="009A6AAC">
        <w:rPr>
          <w:rStyle w:val="markedcontent"/>
          <w:rFonts w:ascii="Times New Roman" w:hAnsi="Times New Roman" w:cs="Times New Roman"/>
        </w:rPr>
        <w:fldChar w:fldCharType="begin"/>
      </w:r>
      <w:r w:rsidR="00E87609">
        <w:rPr>
          <w:rStyle w:val="markedcontent"/>
          <w:rFonts w:ascii="Times New Roman" w:hAnsi="Times New Roman" w:cs="Times New Roman"/>
        </w:rPr>
        <w:instrText xml:space="preserve"> ADDIN ZOTERO_ITEM CSL_CITATION {"citationID":"at9tknjruv","properties":{"formattedCitation":"\\super 168,169\\nosupersub{}","plainCitation":"168,169","noteIndex":0},"citationItems":[{"id":1046,"uris":["http://zotero.org/groups/4669668/items/IF4MKNWB"],"itemData":{"id":1046,"type":"article-journal","abstract":"Satisfying the increasing global demand for protein results in challenges from a supply perspective. Increased use of animal proteins, through greater use of meat by-products, could form part of the solution, subject to consumer acceptance. This research investigates consumer evaluations of food products that incorporate ingredients derived from offals that have been produced through a range of food processing technologies. Using focus groups incorporating product stimuli representing various combinations of offals, processing, and carrier products, the research finds that the physical state and perceived naturalness of the ingredients influences acceptance. It also highlights the impact of life experiences, linked to demographic characteristics, on interpretations and evaluations of products and processes. Ideational influences, i.e., knowledge of the nature or origin of the substance, are reasons for rejecting some concepts, with misalignment between nature of processing and the product resulting in rejection of others. Lack of perceived necessity also results in rejection. Alignment of ingredients with existing culinary practices and routines, communication of potential sensory, or other benefits as well as naturalness are factors likely to promote acceptance, and generate repeat purchase, in some consumer segments. Trust in oversight that the products are safe is a prerequisite for acceptance in all cases. These findings have implications for pathways to increase sustainability of beef production and consumption through increased use of beef by-products.","container-title":"Frontiers in Nutrition","ISSN":"2296-861X","source":"Frontiers","title":"Transforming beef by-products into valuable ingredients: which spell/recipe to use?","title-short":"Transforming beef by-products into valuable ingredients","URL":"https://www.frontiersin.org/article/10.3389/fnut.2016.00053","volume":"3","author":[{"family":"Henchion","given":"Maeve"},{"family":"McCarthy","given":"Mary"},{"family":"O’Callaghan","given":"Jim"}],"accessed":{"date-parts":[["2022",4,24]]},"issued":{"date-parts":[["2016"]]}}},{"id":1103,"uris":["http://zotero.org/groups/4669668/items/YS7W4H36"],"itemData":{"id":1103,"type":"article-journal","abstract":"Approaches disgust as a food-related emotion and defines it as revulsion at the prospect of oral incorporation of offensive objects. These objects have contamination properties; if they contact an otherwise acceptable food, they tend to render it inedible. Issues considered include: the nature of the objects of disgust and why they are virtually all of animal origin, the meaning of oral incorporation, the belief that people take on the properties of the foods they eat, the nature of the contamination response and its relation to the laws of sympathetic magic (similarity and contagion), and the ontogeny of disgust, which is believed to develop during the 1st 8 yrs of life. The idea that feces, the universal disgust object, is also the 1st is explored, and the mechanisms for the acquisition of disgust are examined. Disgust is recommended as an easily studiable emotion, a model for cognitive–affective linkages, and a model for the acquisition of values and culture. (103 ref) (PsycINFO Database Record (c) 2016 APA, all rights reserved)","container-title":"Psychological Review","DOI":"10.1037/0033-295X.94.1.23","ISSN":"1939-1471","issue":"1","note":"number: 1\npublisher-place: US\npublisher: American Psychological Association","page":"23-41","source":"APA PsycNet","title":"A perspective on disgust","volume":"94","author":[{"family":"Rozin","given":"Paul"},{"family":"Fallon","given":"April E."}],"issued":{"date-parts":[["1987"]]}}}],"schema":"https://github.com/citation-style-language/schema/raw/master/csl-citation.json"} </w:instrText>
      </w:r>
      <w:r w:rsidR="00E22B08" w:rsidRPr="009A6AAC">
        <w:rPr>
          <w:rStyle w:val="markedcontent"/>
          <w:rFonts w:ascii="Times New Roman" w:hAnsi="Times New Roman" w:cs="Times New Roman"/>
        </w:rPr>
        <w:fldChar w:fldCharType="separate"/>
      </w:r>
      <w:r w:rsidR="00E87609" w:rsidRPr="00E87609">
        <w:rPr>
          <w:rFonts w:ascii="Times New Roman" w:hAnsi="Times New Roman" w:cs="Times New Roman"/>
          <w:szCs w:val="24"/>
          <w:vertAlign w:val="superscript"/>
        </w:rPr>
        <w:t>168,169</w:t>
      </w:r>
      <w:r w:rsidR="00E22B08" w:rsidRPr="009A6AAC">
        <w:rPr>
          <w:rStyle w:val="markedcontent"/>
          <w:rFonts w:ascii="Times New Roman" w:hAnsi="Times New Roman" w:cs="Times New Roman"/>
        </w:rPr>
        <w:fldChar w:fldCharType="end"/>
      </w:r>
      <w:r w:rsidR="00E22B08" w:rsidRPr="009A6AAC">
        <w:rPr>
          <w:rStyle w:val="markedcontent"/>
          <w:rFonts w:ascii="Times New Roman" w:hAnsi="Times New Roman" w:cs="Times New Roman"/>
        </w:rPr>
        <w:t>. Clarity is therefore required to inform the public that perceived risks (e.g., BSE) are not an issue in aquaculture final products, and that highlighting the circular bioeconomy of ABP in aquafeeds may mitigate negative ideation of aquaculture final products.</w:t>
      </w:r>
    </w:p>
    <w:p w14:paraId="4A88CFCE" w14:textId="77777777" w:rsidR="00607518" w:rsidRPr="00B84532" w:rsidRDefault="00607518" w:rsidP="00607518">
      <w:pPr>
        <w:spacing w:line="360" w:lineRule="auto"/>
        <w:contextualSpacing/>
        <w:jc w:val="both"/>
        <w:rPr>
          <w:rFonts w:ascii="Times New Roman" w:hAnsi="Times New Roman" w:cs="Times New Roman"/>
          <w:b/>
          <w:bCs/>
          <w:sz w:val="28"/>
          <w:szCs w:val="28"/>
        </w:rPr>
      </w:pPr>
      <w:r w:rsidRPr="00632E3C">
        <w:rPr>
          <w:rFonts w:ascii="Times New Roman" w:hAnsi="Times New Roman" w:cs="Times New Roman"/>
          <w:b/>
          <w:bCs/>
          <w:sz w:val="28"/>
          <w:szCs w:val="28"/>
        </w:rPr>
        <w:t>Insects</w:t>
      </w:r>
    </w:p>
    <w:p w14:paraId="7D98EDCD" w14:textId="53C5BC27" w:rsidR="00607518" w:rsidRPr="00B84532" w:rsidRDefault="00607518" w:rsidP="00607518">
      <w:pPr>
        <w:spacing w:line="360" w:lineRule="auto"/>
        <w:ind w:firstLine="720"/>
        <w:contextualSpacing/>
        <w:jc w:val="both"/>
        <w:rPr>
          <w:rFonts w:ascii="Times New Roman" w:hAnsi="Times New Roman" w:cs="Times New Roman"/>
        </w:rPr>
      </w:pPr>
      <w:r w:rsidRPr="00B84532">
        <w:rPr>
          <w:rFonts w:ascii="Times New Roman" w:hAnsi="Times New Roman" w:cs="Times New Roman"/>
        </w:rPr>
        <w:t xml:space="preserve">Triggered by economic and environmental concerns relative to the use of conventional raw materials such as FM, FO, </w:t>
      </w:r>
      <w:r>
        <w:rPr>
          <w:rFonts w:ascii="Times New Roman" w:hAnsi="Times New Roman" w:cs="Times New Roman"/>
        </w:rPr>
        <w:t xml:space="preserve">other </w:t>
      </w:r>
      <w:r w:rsidRPr="00B84532">
        <w:rPr>
          <w:rFonts w:ascii="Times New Roman" w:hAnsi="Times New Roman" w:cs="Times New Roman"/>
        </w:rPr>
        <w:t>animal</w:t>
      </w:r>
      <w:r>
        <w:rPr>
          <w:rFonts w:ascii="Times New Roman" w:hAnsi="Times New Roman" w:cs="Times New Roman"/>
        </w:rPr>
        <w:t>-based ingredients</w:t>
      </w:r>
      <w:r w:rsidRPr="00B84532">
        <w:rPr>
          <w:rFonts w:ascii="Times New Roman" w:hAnsi="Times New Roman" w:cs="Times New Roman"/>
        </w:rPr>
        <w:t xml:space="preserve"> and soybean meal, insects are attracting exponentially increasing research attention for their potentials as novel ingredients in aquaculture</w:t>
      </w:r>
      <w:r>
        <w:rPr>
          <w:rFonts w:ascii="Times New Roman" w:hAnsi="Times New Roman" w:cs="Times New Roman"/>
        </w:rPr>
        <w:fldChar w:fldCharType="begin"/>
      </w:r>
      <w:r w:rsidR="006A683D">
        <w:rPr>
          <w:rFonts w:ascii="Times New Roman" w:hAnsi="Times New Roman" w:cs="Times New Roman"/>
        </w:rPr>
        <w:instrText xml:space="preserve"> ADDIN ZOTERO_ITEM CSL_CITATION {"citationID":"a1i8e306q16","properties":{"formattedCitation":"\\super 170\\uc0\\u8211{}174\\nosupersub{}","plainCitation":"170–174","noteIndex":0},"citationItems":[{"id":979,"uris":["http://zotero.org/groups/4669668/items/QYRMK6NF"],"itemData":{"id":979,"type":"article-journal","abstract":"The use of insect-derived products in animal feed is a field of growing interest. Applying the circular economy principle, insects efficiently bioconvert organic waste into new products enabling advantages and value at different steps: reduction of waste management costs (landfilling, anaerobic digestion, incineration), lower resource use than other protein and fat productions, and value gain from the sale of insect-derived. After introducing the potential use of insects to upgrade food waste for animal feed purposes and briefly discussing the feed sector and the regulations that govern and limit the insect mass production and uses, this review presents the latest and most interesting research (from 2019) on the use of insect as feed.","container-title":"Current Opinion in Green and Sustainable Chemistry","DOI":"10.1016/j.cogsc.2020.03.003","ISSN":"2452-2236","journalAbbreviation":"Current Opinion in Green and Sustainable Chemistry","language":"en","page":"67-79","source":"ScienceDirect","title":"From waste to feed: A review of recent knowledge on insects as producers of protein and fat for animal feeds","title-short":"From waste to feed","volume":"23","author":[{"family":"Gasco","given":"Laura"},{"family":"Biancarosa","given":"Irene"},{"family":"Liland","given":"Nina S."}],"issued":{"date-parts":[["2020",6,1]]}}},{"id":1149,"uris":["http://zotero.org/groups/4669668/items/U78RJ2IZ"],"itemData":{"id":1149,"type":"article-journal","abstract":"Recognizing the importance of reducing fish meals in fish feeds to ensure the economic and environmental sustainability of aquaculture operations, there have been growing interests in using insect meals as a protein source in aquaculture feeds. Increasing number of studies have been conducted to test the effects of insect meals as substitutes of fish meals in feeds of various fish species with varying degrees of success. A meta-analysis was carried out to quantify the effects of insect meals on growth performance of fish. The meta-analysis indicated that in general low or moderate dietary incorporation levels of insect meals did not affect the growth of fish in comparison to fish meal-based diets. High dietary inclusion levels of different insect species appeared to have divergent effects on fish growth. While higher than 29% (±3%) dietary inclusion levels of black solider fly meals depressed the growth performance, yellow mealworm seemed to be well tolerated by fish. Full-fat and defatted black soldier fly meals did not seem to differ in their effects on fish growth performance but this should be viewed as inconclusive due to varying degrees of defatting and highly variable nutrient compositions of the insect meals. Overall the results suggest that insect meals are promising novel protein sources for aquaculture feeds. More research is warranted to further elucidate the various influencing factors on the effectiveness of the dietary inclusions of insect meals in aquaculture feeds, as well as to integrate and translate this information into practical feed formulations.","container-title":"Aquaculture","DOI":"10.1016/j.aquaculture.2020.735732","ISSN":"0044-8486","journalAbbreviation":"Aquaculture","language":"en","page":"735732","source":"ScienceDirect","title":"A meta-analysis of the effects of replacing fish meals with insect meals on growth performance of fish","volume":"530","author":[{"family":"Hua","given":"Katheline"}],"issued":{"date-parts":[["2021",1,15]]}}},{"id":1034,"uris":["http://zotero.org/groups/4669668/items/FEMI7QCU"],"itemData":{"id":1034,"type":"chapter","abstract":"Already in the early phases of the development of a European insect industry, aquafeed was suggested as one of the first animal feeds where insect products could be implemented. Since then, substantial progress has been made by the research community and feed producers to test various types of insect species and insect products as part of a complete feed for aquaculture. These (mostly extruded) feeds are typically high in energy and protein content which demands specifics characteristics of the raw materials. The role insects, high in protein and lipids, can play in these diets will be reviewed and discussed in this chapter. We will shortly touch on topics like the effect of insect feeding substrate, insect processing and chitin that all can have an effect on insect meal. Finally, feed safety considerations related to the use of insects in aquafeeds will be reviewed and discussed.","container-title":"Edible Insects in Sustainable Food Systems","event-place":"Cham","ISBN":"978-3-319-74011-9","language":"en","note":"DOI: 10.1007/978-3-319-74011-9_16","page":"263-276","publisher":"Springer International Publishing","publisher-place":"Cham","source":"Springer Link","title":"Insects as raw materials in compound feed for aquaculture","URL":"https://doi.org/10.1007/978-3-319-74011-9_16","author":[{"family":"Lock","given":"Erik-Jan"},{"family":"Biancarosa","given":"Irene"},{"family":"Gasco","given":"Laura"}],"editor":[{"family":"Halloran","given":"Afton"},{"family":"Flore","given":"Roberto"},{"family":"Vantomme","given":"Paul"},{"family":"Roos","given":"Nanna"}],"accessed":{"date-parts":[["2022",4,23]]},"issued":{"date-parts":[["2018"]]}}},{"id":1141,"uris":["http://zotero.org/groups/4669668/items/JAGBWKGN"],"itemData":{"id":1141,"type":"article-journal","abstract":"Different studies have shown that insect meals can partially or completely replace the fish and soya bean meals that are commonly used in aquaculture. However, information is lacking on the amino acid and fatty acid contents and digestibility of different insect meals. Moreover, we evaluated different proportions of insect diets and determined how these affected the nutritional values of insect meals. Our purpose was to clarify these aspects and consider the availability of protein, amino acids, lipids and fatty acids in insect meals in fish nutrition. Generally, insect meals have higher indispensable amino acid contents than other meal types, with contents closely related to those in fish meal. Insect meal can be an important source of essential amino acids such as methionine, with contents ranging between 0.47 and 4.03 g 100 g−1 sample. These values are higher than those reported for other animal and plant meals. In addition, insects are also good sources of lipids and fatty acids, and the amounts and types of fatty acids vary according to the species, stage of development and type of feed. Moreover, the additional nutritional value of insect meal includes compounds such as chitin, which is primarily considered a fibre but also contains nitrogen and amino acids. Insect peptides with activity against pathogenic microflora provide secondary biological effects, which may significantly improve animal health.","container-title":"Reviews in Aquaculture","DOI":"10.1111/raq.12281","ISSN":"1753-5131","issue":"4","language":"en","note":"number: 4\n_eprint: https://onlinelibrary.wiley.com/doi/pdf/10.1111/raq.12281","page":"1080-1103","source":"Wiley Online Library","title":"Insect meals in fish nutrition","volume":"11","author":[{"family":"Nogales-Mérida","given":"Silvia"},{"family":"Gobbi","given":"Paola"},{"family":"Józefiak","given":"Damian"},{"family":"Mazurkiewicz","given":"Jan"},{"family":"Dudek","given":"Krzysztof"},{"family":"Rawski","given":"Mateusz"},{"family":"Kierończyk","given":"Bartosz"},{"family":"Józefiak","given":"Agata"}],"issued":{"date-parts":[["2019"]]}}},{"id":1124,"uris":["http://zotero.org/groups/4669668/items/4VA6H6NC"],"itemData":{"id":1124,"type":"article-journal","abstract":"During the last five years the scientific knowledge on insects as food and feed has been growing exponentially. At the same time, the industrial sector is increasingly engaged in rearing, processing and marketing of edible insects. Considerable attention is given to the black soldier fly as it can convert organic waste streams and transform it into several feed, food and industrial products. The farming of insects has an environmental impact which is lower than that of livestock species. The profitability of industrial production of insects as feed depends very much on the availability and applicability of cheap non-utilised side-streams. Microbial communities and their relationship with insects deserve full attention as it may help in the conversion of organic side streams of low economic value. Nutrition and health benefits for animals and humans need further exploration, also considering that insects have the largest anti-microbial peptide reservoir of all animals. Plant health can also be promoted by using chitin-containing leftover substrates as fertiliser. As insects have only recently been considered as food or feed, legislation trails developments. Therefore, politicians need to be assured that rearing and processing techniques are such that insect products are guaranteed free of chemical and microbial contaminants. Consumers are becoming more and more aware that insects as food are a viable option. Insects need to be processed into ingredients, that can be applied for safe and appetising products. The insect sector is maturing fast, but still faces many challenges, which can only be met when all stakeholders closely cooperate.","container-title":"Journal of Insects as Food and Feed","DOI":"10.3920/JIFF2019.0017","issue":"1","note":"number: 1\npublisher: Wageningen Academic Publishers","page":"27-44","source":"wageningenacademic.com (Atypon)","title":"Insects as food and feed, a new emerging agricultural sector: a review","title-short":"Insects as food and feed, a new emerging agricultural sector","volume":"6","author":[{"family":"Huis","given":"A.","non-dropping-particle":"van"}],"issued":{"date-parts":[["2020",2,6]]}}}],"schema":"https://github.com/citation-style-language/schema/raw/master/csl-citation.json"} </w:instrText>
      </w:r>
      <w:r>
        <w:rPr>
          <w:rFonts w:ascii="Times New Roman" w:hAnsi="Times New Roman" w:cs="Times New Roman"/>
        </w:rPr>
        <w:fldChar w:fldCharType="separate"/>
      </w:r>
      <w:r w:rsidR="006A683D" w:rsidRPr="006A683D">
        <w:rPr>
          <w:rFonts w:ascii="Times New Roman" w:hAnsi="Times New Roman" w:cs="Times New Roman"/>
          <w:szCs w:val="24"/>
          <w:vertAlign w:val="superscript"/>
        </w:rPr>
        <w:t>170–174</w:t>
      </w:r>
      <w:r>
        <w:rPr>
          <w:rFonts w:ascii="Times New Roman" w:hAnsi="Times New Roman" w:cs="Times New Roman"/>
        </w:rPr>
        <w:fldChar w:fldCharType="end"/>
      </w:r>
      <w:r>
        <w:rPr>
          <w:rFonts w:ascii="Times New Roman" w:hAnsi="Times New Roman" w:cs="Times New Roman"/>
        </w:rPr>
        <w:t xml:space="preserve">. </w:t>
      </w:r>
      <w:r w:rsidRPr="00B84532">
        <w:rPr>
          <w:rFonts w:ascii="Times New Roman" w:hAnsi="Times New Roman" w:cs="Times New Roman"/>
        </w:rPr>
        <w:t>The growing interest in these innovative</w:t>
      </w:r>
      <w:r w:rsidRPr="00632E3C">
        <w:rPr>
          <w:rFonts w:ascii="Times New Roman" w:hAnsi="Times New Roman" w:cs="Times New Roman"/>
        </w:rPr>
        <w:t xml:space="preserve"> </w:t>
      </w:r>
      <w:r w:rsidRPr="00947978">
        <w:rPr>
          <w:rFonts w:ascii="Times New Roman" w:hAnsi="Times New Roman" w:cs="Times New Roman"/>
        </w:rPr>
        <w:t xml:space="preserve">resources is </w:t>
      </w:r>
      <w:r w:rsidRPr="00B84532">
        <w:rPr>
          <w:rFonts w:ascii="Times New Roman" w:hAnsi="Times New Roman" w:cs="Times New Roman"/>
        </w:rPr>
        <w:t xml:space="preserve">associated with their valuable nutritional composition in terms of protein quantity (from about 25 to 75% dry matter) and quality (biological value and balanced EAA provision), lipids, vitamins, minerals and bioactive compounds, such as chitin, antioxidant peptides, short chain FA, antimicrobial peptides, which are able to exert positive effects on the health status of aquaculture species </w:t>
      </w:r>
      <w:r w:rsidRPr="00B84532">
        <w:rPr>
          <w:rFonts w:ascii="Times New Roman" w:hAnsi="Times New Roman" w:cs="Times New Roman"/>
        </w:rPr>
        <w:fldChar w:fldCharType="begin"/>
      </w:r>
      <w:r w:rsidR="00904D67">
        <w:rPr>
          <w:rFonts w:ascii="Times New Roman" w:hAnsi="Times New Roman" w:cs="Times New Roman"/>
        </w:rPr>
        <w:instrText xml:space="preserve"> ADDIN ZOTERO_ITEM CSL_CITATION {"citationID":"aq3c2bqvf6","properties":{"formattedCitation":"\\super 175\\uc0\\u8211{}178\\nosupersub{}","plainCitation":"175–178","noteIndex":0},"citationItems":[{"id":1150,"uris":["http://zotero.org/groups/4669668/items/HUDH2NTJ"],"itemData":{"id":1150,"type":"article-journal","abstract":"The present study investigated the effects of 25 and 50% dietary inclusion of yellow mealworm, Tenebrio molitor (TM), larvae on the intestinal antioxidant enzymes, lipid peroxidation and immune system of rainbow trout, Oncorhynchus mykiss. Fish were fed for 90 days with a control diet (TM0) or with 2 test diets (TM25 and TM50) where 35 and 67% of the fishmeal was replaced by TM larvae meal respectively. At the end of the growth trial, humoral immune parameters were assessed in the sera of the fish and the activities of antioxidant enzymes were measured in intestine homogenates. The present results show a strong increase of the activity of the antioxidant intestinal enzymes and reduction of lipid peroxidation. Increased trypsin inhibition and faster antibacterial activity of the serum were also detected. These evidences could be due to the physiological similarities between the exoskeleton of parasites and insects. The present findings reinforce the previous results which revealed a positive effect of the dietary TM on rainbow trout growth and further confirm its adequacy for fishmeal partial replacement in aquafeed.","container-title":"Fish &amp; Shellfish Immunology","DOI":"10.1016/j.fsi.2018.09.040","ISSN":"1050-4648","journalAbbreviation":"Fish &amp; Shellfish Immunology","language":"en","page":"308-313","source":"ScienceDirect","title":"Effect of partial dietary replacement of fishmeal by yellow mealworm (Tenebrio molitor) larvae meal on the innate immune response and intestinal antioxidant enzymes of rainbow trout (Oncorhynchus mykiss)","volume":"83","author":[{"family":"Henry","given":"M. A."},{"family":"Gai","given":"F."},{"family":"Enes","given":"P."},{"family":"Peréz-Jiménez","given":"A."},{"family":"Gasco","given":"L."}],"issued":{"date-parts":[["2018",12,1]]}}},{"id":1154,"uris":["http://zotero.org/groups/4669668/items/ACRL37ZW"],"itemData":{"id":1154,"type":"article-journal","abstract":"There is an increasing interest in the use of insects in animal feed since they contain high proteins levels, lipids, vitamins and minerals. In particular, insect-derived proteins are seen as one of the potential solution to face the increasing protein shortage and are able to fully substitute soybean meal or fishmeal in aquaculture or livestock feeds. However, beside their interesting nutritional composition, insects are also rich in bioactive compounds such as chitin, antimicrobial peptides or specific fatty acids with immunostimulating, antimicrobial and/or anti-inflammatory properties able to sustain animal health, increase their resistance to diseases. Further studies will also have to investigate whether insects share similarities with bacterial or parasitical pathogens and may act as immunostimulants. These recent findings may launch insects beyond the protein concept into healthy animal feeds. This review presents the effects of insects and their bioactive compounds on fish and crustaceans, poultry, pigs and rabbits immune system, gut health, microbiota and resistance to diseases.","container-title":"Journal of Insects as Food and Feed","DOI":"10.3920/JIFF2020.0077","issue":"5","note":"number: 5\npublisher: Wageningen Academic Publishers","page":"715-741","source":"wageningenacademic.com (Atypon)","title":"Beyond the protein concept: health aspects of using edible insects on animals","title-short":"Beyond the protein concept","volume":"7","author":[{"family":"Gasco","given":"L."},{"family":"Józefiak","given":"A."},{"family":"Henry","given":"M."}],"issued":{"date-parts":[["2021",8,13]]}}},{"id":1047,"uris":["http://zotero.org/groups/4669668/items/4XERUE52"],"itemData":{"id":1047,"type":"article-journal","abstract":"Sustainable production of healthy food for a growing global population, in the face of the uncertainties of climate change, represents a major challenge for the coming decade. Livestock provide food with high nutritional value but are frequently fed on human-edible crops and are associated with significant production of greenhouse gases. Recent years have seen increasing interest in the farming of insects as a sustainable source of human food, or as a replacement of ingredients such as soya or fishmeal in the feeds of terrestrial livestock or fish. This review provides an overview of insect physiology and growth regulation, considers the requirements for insect farming and mass production, and summarizes the nutritional value of the 10 most commonly studied insect species, before reviewing the literature on the use of insects as feed and food. We highlight the challenges required to develop a sustainable, safe, and affordable insect farming industry.","container-title":"Annual Review of Animal Biosciences","DOI":"10.1146/annurev-animal-021419-083930","issue":"1","note":"number: 1\n_eprint: https://doi.org/10.1146/annurev-animal-021419-083930\nPMID: 33228376","page":"333-354","source":"Annual Reviews","title":"Insects: a potential source of protein and other nutrients for feed and food","title-short":"Insects","volume":"9","author":[{"family":"Hawkey","given":"Kerensa J."},{"family":"Lopez-Viso","given":"Carlos"},{"family":"Brameld","given":"John M."},{"family":"Parr","given":"Tim"},{"family":"Salter","given":"Andrew M."}],"issued":{"date-parts":[["2021"]]}}},{"id":1139,"uris":["http://zotero.org/groups/4669668/items/MC42WVG7"],"itemData":{"id":1139,"type":"article-journal","abstract":"This article reports on the nutrients present in insects and factors affecting their variability. Data on protein content and amino acid profiles of a variety of insect species are discussed and their amino acid profiles compared to nutrient requirements of growing broiler chicks, catfish, trout, swine, and human adults and young children. Both in vitro and in vivo protein digestibility data for a variety of insect species is presented and factors affecting these data are discussed. Furthermore, the fat content and fatty acid profiles of a variety of insect species is reviewed, with special attention on omega-6 and omega-3 fatty acids. Information on carbohydrates, fibre and chitin in insects is shown along with potential effects on nutrient availability. This is followed by a discussion of essential minerals in insects with an emphasis on calcium and phosphorus. Data on insect vitamin content is shown along with a discussion of antinutritional factors such as phytate and thiaminase, which can adversely affect their nutritional value. Dietary effects on insect nutrient composition are reviewed with an emphasis on essential minerals, heavy metals, vitamin E, and carotenoids. Lastly, the effects of processing, including protein extraction and various cooking methods on insect composition are discussed. In summary, this article provides an overview of the nutrient content of insects, and how select nutrients can be altered.","container-title":"Journal of Insects as Food and Feed","DOI":"10.3920/JIFF2020.0050","issue":"5","note":"number: 5\npublisher: Wageningen Academic Publishers","page":"639-659","source":"wageningenacademic.com (Atypon)","title":"Nutritional value of insects and ways to manipulate their composition","volume":"7","author":[{"family":"Oonincx","given":"D.g.a.b."},{"family":"Finke","given":"M.d."}],"issued":{"date-parts":[["2021",8,13]]}}}],"schema":"https://github.com/citation-style-language/schema/raw/master/csl-citation.json"} </w:instrText>
      </w:r>
      <w:r w:rsidRPr="00B84532">
        <w:rPr>
          <w:rFonts w:ascii="Times New Roman" w:hAnsi="Times New Roman" w:cs="Times New Roman"/>
        </w:rPr>
        <w:fldChar w:fldCharType="separate"/>
      </w:r>
      <w:r w:rsidR="00904D67" w:rsidRPr="00904D67">
        <w:rPr>
          <w:rFonts w:ascii="Times New Roman" w:hAnsi="Times New Roman" w:cs="Times New Roman"/>
          <w:szCs w:val="24"/>
          <w:vertAlign w:val="superscript"/>
        </w:rPr>
        <w:t>175–178</w:t>
      </w:r>
      <w:r w:rsidRPr="00B84532">
        <w:rPr>
          <w:rFonts w:ascii="Times New Roman" w:hAnsi="Times New Roman" w:cs="Times New Roman"/>
        </w:rPr>
        <w:fldChar w:fldCharType="end"/>
      </w:r>
      <w:r w:rsidRPr="00B84532">
        <w:rPr>
          <w:rFonts w:ascii="Times New Roman" w:hAnsi="Times New Roman" w:cs="Times New Roman"/>
        </w:rPr>
        <w:t xml:space="preserve">. However, among 2,111 recorded edible insect species for food and feed </w:t>
      </w:r>
      <w:r w:rsidRPr="00B84532">
        <w:rPr>
          <w:rFonts w:ascii="Times New Roman" w:hAnsi="Times New Roman" w:cs="Times New Roman"/>
        </w:rPr>
        <w:fldChar w:fldCharType="begin"/>
      </w:r>
      <w:r w:rsidR="00F30E0D">
        <w:rPr>
          <w:rFonts w:ascii="Times New Roman" w:hAnsi="Times New Roman" w:cs="Times New Roman"/>
        </w:rPr>
        <w:instrText xml:space="preserve"> ADDIN ZOTERO_ITEM CSL_CITATION {"citationID":"anu3drrrvn","properties":{"formattedCitation":"\\super 179\\nosupersub{}","plainCitation":"179","noteIndex":0},"citationItems":[{"id":1146,"uris":["http://zotero.org/groups/4669668/items/BFA5E8S4"],"itemData":{"id":1146,"type":"webpage","abstract":"The list has been compiled by Mr. Yde Jongema, taxonomist at the Department of Entomology of Wageningen University &amp; Research, the Netherlands.","container-title":"WUR","language":"en-us","title":"List of edible insects of the world (April 1, 2017)","URL":"https://www.wur.nl/en/Research-Results/Chair-groups/Plant-Sciences/Laboratory-of-Entomology/Edible-insects/Worldwide-species-list.htm","author":[{"family":"Jongema","given":"Yde"}],"accessed":{"date-parts":[["2022",4,23]]},"issued":{"date-parts":[["2017"]]}}}],"schema":"https://github.com/citation-style-language/schema/raw/master/csl-citation.json"} </w:instrText>
      </w:r>
      <w:r w:rsidRPr="00B84532">
        <w:rPr>
          <w:rFonts w:ascii="Times New Roman" w:hAnsi="Times New Roman" w:cs="Times New Roman"/>
        </w:rPr>
        <w:fldChar w:fldCharType="separate"/>
      </w:r>
      <w:r w:rsidR="00F30E0D" w:rsidRPr="00F30E0D">
        <w:rPr>
          <w:rFonts w:ascii="Times New Roman" w:hAnsi="Times New Roman" w:cs="Times New Roman"/>
          <w:szCs w:val="24"/>
          <w:vertAlign w:val="superscript"/>
        </w:rPr>
        <w:t>179</w:t>
      </w:r>
      <w:r w:rsidRPr="00B84532">
        <w:rPr>
          <w:rFonts w:ascii="Times New Roman" w:hAnsi="Times New Roman" w:cs="Times New Roman"/>
        </w:rPr>
        <w:fldChar w:fldCharType="end"/>
      </w:r>
      <w:r w:rsidRPr="00B84532">
        <w:rPr>
          <w:rFonts w:ascii="Times New Roman" w:hAnsi="Times New Roman" w:cs="Times New Roman"/>
        </w:rPr>
        <w:t>, only a few possess a real potential for feed purposes</w:t>
      </w:r>
      <w:r w:rsidRPr="00947978">
        <w:rPr>
          <w:rFonts w:ascii="Times New Roman" w:hAnsi="Times New Roman" w:cs="Times New Roman"/>
        </w:rPr>
        <w:t xml:space="preserve">. Indeed, to be considered for this purpose, mass scale production is needed to deliver the large, and quality-consistent, quantities of insect meal expected by market. </w:t>
      </w:r>
      <w:r>
        <w:rPr>
          <w:rFonts w:ascii="Times New Roman" w:hAnsi="Times New Roman" w:cs="Times New Roman"/>
        </w:rPr>
        <w:t>To</w:t>
      </w:r>
      <w:r w:rsidRPr="00947978">
        <w:rPr>
          <w:rFonts w:ascii="Times New Roman" w:hAnsi="Times New Roman" w:cs="Times New Roman"/>
        </w:rPr>
        <w:t xml:space="preserve"> date, this process is fully established only for a very limited number of insect species. </w:t>
      </w:r>
      <w:bookmarkStart w:id="3" w:name="OLE_LINK37"/>
      <w:r w:rsidRPr="00947978">
        <w:rPr>
          <w:rFonts w:ascii="Times New Roman" w:hAnsi="Times New Roman" w:cs="Times New Roman"/>
        </w:rPr>
        <w:t xml:space="preserve">The </w:t>
      </w:r>
      <w:r w:rsidRPr="00947978">
        <w:rPr>
          <w:rFonts w:ascii="Times New Roman" w:hAnsi="Times New Roman" w:cs="Times New Roman"/>
        </w:rPr>
        <w:lastRenderedPageBreak/>
        <w:t>processed meals derived from two Diptera</w:t>
      </w:r>
      <w:bookmarkEnd w:id="3"/>
      <w:r w:rsidRPr="00947978">
        <w:rPr>
          <w:rFonts w:ascii="Times New Roman" w:hAnsi="Times New Roman" w:cs="Times New Roman"/>
        </w:rPr>
        <w:t>, the black soldier fly (</w:t>
      </w:r>
      <w:proofErr w:type="spellStart"/>
      <w:r w:rsidRPr="00947978">
        <w:rPr>
          <w:rFonts w:ascii="Times New Roman" w:hAnsi="Times New Roman" w:cs="Times New Roman"/>
          <w:i/>
        </w:rPr>
        <w:t>Hermetia</w:t>
      </w:r>
      <w:proofErr w:type="spellEnd"/>
      <w:r w:rsidRPr="00947978">
        <w:rPr>
          <w:rFonts w:ascii="Times New Roman" w:hAnsi="Times New Roman" w:cs="Times New Roman"/>
          <w:i/>
        </w:rPr>
        <w:t xml:space="preserve"> </w:t>
      </w:r>
      <w:proofErr w:type="spellStart"/>
      <w:r w:rsidRPr="00947978">
        <w:rPr>
          <w:rFonts w:ascii="Times New Roman" w:hAnsi="Times New Roman" w:cs="Times New Roman"/>
          <w:i/>
        </w:rPr>
        <w:t>illucens</w:t>
      </w:r>
      <w:proofErr w:type="spellEnd"/>
      <w:r w:rsidRPr="00947978">
        <w:rPr>
          <w:rFonts w:ascii="Times New Roman" w:hAnsi="Times New Roman" w:cs="Times New Roman"/>
        </w:rPr>
        <w:t xml:space="preserve">), and the </w:t>
      </w:r>
      <w:r w:rsidRPr="00B84532">
        <w:rPr>
          <w:rFonts w:ascii="Times New Roman" w:hAnsi="Times New Roman" w:cs="Times New Roman"/>
        </w:rPr>
        <w:t>common housefly</w:t>
      </w:r>
      <w:r w:rsidRPr="00B84532">
        <w:rPr>
          <w:rFonts w:ascii="Times New Roman" w:hAnsi="Times New Roman" w:cs="Times New Roman"/>
          <w:i/>
        </w:rPr>
        <w:t xml:space="preserve"> </w:t>
      </w:r>
      <w:r w:rsidRPr="00B84532">
        <w:rPr>
          <w:rFonts w:ascii="Times New Roman" w:hAnsi="Times New Roman" w:cs="Times New Roman"/>
        </w:rPr>
        <w:t>(</w:t>
      </w:r>
      <w:r w:rsidRPr="00B84532">
        <w:rPr>
          <w:rFonts w:ascii="Times New Roman" w:hAnsi="Times New Roman" w:cs="Times New Roman"/>
          <w:i/>
        </w:rPr>
        <w:t>Musca domestica</w:t>
      </w:r>
      <w:r w:rsidRPr="00B84532">
        <w:rPr>
          <w:rFonts w:ascii="Times New Roman" w:hAnsi="Times New Roman" w:cs="Times New Roman"/>
        </w:rPr>
        <w:t>), and from one Coleoptera, the yellow mealworm (</w:t>
      </w:r>
      <w:r w:rsidRPr="00B84532">
        <w:rPr>
          <w:rFonts w:ascii="Times New Roman" w:hAnsi="Times New Roman" w:cs="Times New Roman"/>
          <w:i/>
        </w:rPr>
        <w:t xml:space="preserve">Tenebrio </w:t>
      </w:r>
      <w:proofErr w:type="spellStart"/>
      <w:r w:rsidRPr="00B84532">
        <w:rPr>
          <w:rFonts w:ascii="Times New Roman" w:hAnsi="Times New Roman" w:cs="Times New Roman"/>
          <w:i/>
        </w:rPr>
        <w:t>molitor</w:t>
      </w:r>
      <w:proofErr w:type="spellEnd"/>
      <w:r w:rsidRPr="00B84532">
        <w:rPr>
          <w:rFonts w:ascii="Times New Roman" w:hAnsi="Times New Roman" w:cs="Times New Roman"/>
        </w:rPr>
        <w:t xml:space="preserve">), seem to be the most promising </w:t>
      </w:r>
      <w:r w:rsidRPr="00B84532">
        <w:rPr>
          <w:rFonts w:ascii="Times New Roman" w:hAnsi="Times New Roman" w:cs="Times New Roman"/>
        </w:rPr>
        <w:fldChar w:fldCharType="begin"/>
      </w:r>
      <w:r w:rsidR="0074133B">
        <w:rPr>
          <w:rFonts w:ascii="Times New Roman" w:hAnsi="Times New Roman" w:cs="Times New Roman"/>
        </w:rPr>
        <w:instrText xml:space="preserve"> ADDIN ZOTERO_ITEM CSL_CITATION {"citationID":"a26cask197c","properties":{"formattedCitation":"\\super 173,177,180\\nosupersub{}","plainCitation":"173,177,180","noteIndex":0},"citationItems":[{"id":1055,"uris":["http://zotero.org/groups/4669668/items/BCYRALZD"],"itemData":{"id":1055,"type":"article-journal","abstract":"In 2018, the industrial compound feed production throughout the world was 1.103 metric billion tons, which was an increase of 3% compared to 2017. In order to meet the needs of the increasing population, a further increment in compound feed production is necessary. Conventional protein sources are no longer suitable to completely satisfy the increment of feed production in a sustainable way. Insects are one of the most promising options, due to their valuable nutritional features. This paper reviews the state-of-the-art of research on the use of insect meals and oils in aquatic, avian and other animal species diets, focusing mainly on the effects on digestibility, performance and product quality. In general, insect-derived product digestibility is affected by the insect species, the inclusion levels and by the process. Sometimes, the presence of chitin can lead to a decrease in nutrient digestibility. The same considerations are true for animal performance. As far as product quality is concerned, a dramatic effect of insect products has been recorded for the fatty acid profile, with a decrease in valuable n3 fatty acids. Sensory analyses have reported no or slight differences. Insect-derived products seem to be a good alternative to conventional feed sources and can make an important contribution to the sustainable development of the livestock industry.","container-title":"Animals","DOI":"10.3390/ani9040170","ISSN":"2076-2615","issue":"4","language":"en","license":"http://creativecommons.org/licenses/by/3.0/","note":"number: 4\npublisher: Multidisciplinary Digital Publishing Institute","page":"170","source":"www.mdpi.com","title":"Animals fed insect-based diets: state-of-the-art on digestibility, performance and product quality","title-short":"Animals fed insect-based diets","volume":"9","author":[{"family":"Gasco","given":"Laura"},{"family":"Biasato","given":"Ilaria"},{"family":"Dabbou","given":"Sihem"},{"family":"Schiavone","given":"Achille"},{"family":"Gai","given":"Francesco"}],"issued":{"date-parts":[["2019",4]]}}},{"id":1141,"uris":["http://zotero.org/groups/4669668/items/JAGBWKGN"],"itemData":{"id":1141,"type":"article-journal","abstract":"Different studies have shown that insect meals can partially or completely replace the fish and soya bean meals that are commonly used in aquaculture. However, information is lacking on the amino acid and fatty acid contents and digestibility of different insect meals. Moreover, we evaluated different proportions of insect diets and determined how these affected the nutritional values of insect meals. Our purpose was to clarify these aspects and consider the availability of protein, amino acids, lipids and fatty acids in insect meals in fish nutrition. Generally, insect meals have higher indispensable amino acid contents than other meal types, with contents closely related to those in fish meal. Insect meal can be an important source of essential amino acids such as methionine, with contents ranging between 0.47 and 4.03 g 100 g−1 sample. These values are higher than those reported for other animal and plant meals. In addition, insects are also good sources of lipids and fatty acids, and the amounts and types of fatty acids vary according to the species, stage of development and type of feed. Moreover, the additional nutritional value of insect meal includes compounds such as chitin, which is primarily considered a fibre but also contains nitrogen and amino acids. Insect peptides with activity against pathogenic microflora provide secondary biological effects, which may significantly improve animal health.","container-title":"Reviews in Aquaculture","DOI":"10.1111/raq.12281","ISSN":"1753-5131","issue":"4","language":"en","note":"number: 4\n_eprint: https://onlinelibrary.wiley.com/doi/pdf/10.1111/raq.12281","page":"1080-1103","source":"Wiley Online Library","title":"Insect meals in fish nutrition","volume":"11","author":[{"family":"Nogales-Mérida","given":"Silvia"},{"family":"Gobbi","given":"Paola"},{"family":"Józefiak","given":"Damian"},{"family":"Mazurkiewicz","given":"Jan"},{"family":"Dudek","given":"Krzysztof"},{"family":"Rawski","given":"Mateusz"},{"family":"Kierończyk","given":"Bartosz"},{"family":"Józefiak","given":"Agata"}],"issued":{"date-parts":[["2019"]]}}},{"id":1047,"uris":["http://zotero.org/groups/4669668/items/4XERUE52"],"itemData":{"id":1047,"type":"article-journal","abstract":"Sustainable production of healthy food for a growing global population, in the face of the uncertainties of climate change, represents a major challenge for the coming decade. Livestock provide food with high nutritional value but are frequently fed on human-edible crops and are associated with significant production of greenhouse gases. Recent years have seen increasing interest in the farming of insects as a sustainable source of human food, or as a replacement of ingredients such as soya or fishmeal in the feeds of terrestrial livestock or fish. This review provides an overview of insect physiology and growth regulation, considers the requirements for insect farming and mass production, and summarizes the nutritional value of the 10 most commonly studied insect species, before reviewing the literature on the use of insects as feed and food. We highlight the challenges required to develop a sustainable, safe, and affordable insect farming industry.","container-title":"Annual Review of Animal Biosciences","DOI":"10.1146/annurev-animal-021419-083930","issue":"1","note":"number: 1\n_eprint: https://doi.org/10.1146/annurev-animal-021419-083930\nPMID: 33228376","page":"333-354","source":"Annual Reviews","title":"Insects: a potential source of protein and other nutrients for feed and food","title-short":"Insects","volume":"9","author":[{"family":"Hawkey","given":"Kerensa J."},{"family":"Lopez-Viso","given":"Carlos"},{"family":"Brameld","given":"John M."},{"family":"Parr","given":"Tim"},{"family":"Salter","given":"Andrew M."}],"issued":{"date-parts":[["2021"]]}}}],"schema":"https://github.com/citation-style-language/schema/raw/master/csl-citation.json"} </w:instrText>
      </w:r>
      <w:r w:rsidRPr="00B84532">
        <w:rPr>
          <w:rFonts w:ascii="Times New Roman" w:hAnsi="Times New Roman" w:cs="Times New Roman"/>
        </w:rPr>
        <w:fldChar w:fldCharType="separate"/>
      </w:r>
      <w:r w:rsidR="0074133B" w:rsidRPr="0074133B">
        <w:rPr>
          <w:rFonts w:ascii="Times New Roman" w:hAnsi="Times New Roman" w:cs="Times New Roman"/>
          <w:szCs w:val="24"/>
          <w:vertAlign w:val="superscript"/>
        </w:rPr>
        <w:t>173,177,180</w:t>
      </w:r>
      <w:r w:rsidRPr="00B84532">
        <w:rPr>
          <w:rFonts w:ascii="Times New Roman" w:hAnsi="Times New Roman" w:cs="Times New Roman"/>
        </w:rPr>
        <w:fldChar w:fldCharType="end"/>
      </w:r>
      <w:r w:rsidRPr="00B84532">
        <w:rPr>
          <w:rFonts w:ascii="Times New Roman" w:hAnsi="Times New Roman" w:cs="Times New Roman"/>
        </w:rPr>
        <w:t xml:space="preserve">. The life cycles of these three species are all characterized by a larval stage, which is the phase ideally suited for the meal production. The length of the larval stage is related to the environmental conditions (with temperature being the main factor, and usually considered optimal around 25 to 30°C) and the composition of the rearing substrate. This last parameter is important because even if insects are well known to be able to grow in low nutrients substrates, as for all animals, optimal performances are obtained using balanced diets able to match the animal nutritional requirements </w:t>
      </w:r>
      <w:r w:rsidRPr="00B84532">
        <w:rPr>
          <w:rFonts w:ascii="Times New Roman" w:hAnsi="Times New Roman" w:cs="Times New Roman"/>
        </w:rPr>
        <w:fldChar w:fldCharType="begin"/>
      </w:r>
      <w:r w:rsidR="00F952D7">
        <w:rPr>
          <w:rFonts w:ascii="Times New Roman" w:hAnsi="Times New Roman" w:cs="Times New Roman"/>
        </w:rPr>
        <w:instrText xml:space="preserve"> ADDIN ZOTERO_ITEM CSL_CITATION {"citationID":"a1cuu6up5sr","properties":{"formattedCitation":"\\super 181,182\\nosupersub{}","plainCitation":"181,182","noteIndex":0},"citationItems":[{"id":869,"uris":["http://zotero.org/groups/4669668/items/HVZJJWCR"],"itemData":{"id":869,"type":"article-journal","abstract":"Performance and body composition of insect larvae depend on quality and quantity of their diet, and on biotic factors such as larval density. We investigated the effect of dietary nutrient concentration and larval rearing density on survival, development, growth, and protein and fat contents of larvae of the black soldier fly (BSF), Hermetia illucens L. (Diptera: Stratiomyidae). Neonate larvae were fed with a low (NC1), intermediate (NC2), or high nutrient concentration (NC3), and with four rearing densities (50, 100, 200, or 400 larvae per container). Two feeding regimes (FR) were tested: in FR1, the amount of diet added during the experiment was based on the visually estimated larval mass present, whereas in FR2, a fixed feeding ration of 0.6 g of food per larva was applied at the start. FR1 resulted in food limitation, resulting in significantly lower body crude protein content on diet NC1 than on NC2 at larval densities 100 and 200. Larval crude fat content was higher on diets with higher nutrient concentration and at lower larval densities. For FR2, development time was shorter on diets with higher nutrient concentration and at lower larval densities. Individual larval weight and total larval yield increased with higher nutrient concentration at all four larval densities. At lower nutrient concentration, higher larval density resulted in higher individual larval weight and total larval yield, revealing an interaction between larval density and dietary quality. Larval crude protein content was higher at lower densities and lower nutrient concentration. Larval crude fat was higher at higher larval densities and nutrient concentrations. This study indicates that larval protein content is regulated within narrow limits, whereas larval crude fat content is strongly affected by nutrient concentration and by larval density.","container-title":"Entomologia Experimentalis et Applicata","DOI":"10.1111/eea.12716","ISSN":"1570-7458","issue":"9","language":"en","note":"number: 9\n_eprint: https://onlinelibrary.wiley.com/doi/pdf/10.1111/eea.12716","page":"761-770","source":"Wiley Online Library","title":"Influence of larval density and dietary nutrient concentration on performance, body protein, and fat contents of black soldier fly larvae (Hermetia illucens)","volume":"166","author":[{"family":"Barragan-Fonseca","given":"Karol B."},{"family":"Dicke","given":"Marcel"},{"family":"Loon","given":"Joop J.A.","non-dropping-particle":"van"}],"issued":{"date-parts":[["2018"]]}}},{"id":1075,"uris":["http://zotero.org/groups/4669668/items/ET8ZJD6Z"],"itemData":{"id":1075,"type":"article-journal","abstract":"Black soldier fly (BSF) is one of the most promising species for the intensive breeding of insects given its adaptability and its efficiency in the conversion of waste. To maximize the production and use waste as substrates, it is essential to determine the larvae nutritional requirements. The study aims to evaluate the effects of 5 practical, semi-purified and isoenergetic diets (PSPID) with increasing protein levels (10%, CP10; 14%, CP14; 16%, CP16; 19%, CP19) on BSF life history traits. A total of 2000 six-day-old larvae were weighed and divided into groups of 100 (4 replicates/treatment [PSPID and Gainesville diet (GA) used as environmental control]). In larva-prepupa stage, sampling was carried out on 30 individuals/replicate, while in prepupa-adult stage on 35.","container-title":"Journal of Animal Science and Biotechnology","DOI":"10.1186/s40104-021-00659-y","ISSN":"2049-1891","issue":"1","journalAbbreviation":"Journal of Animal Science and Biotechnology","page":"17","source":"BioMed Central","title":"Isoenergetic-practical and semi-purified diets for protein requirement determination in Hermetia illucens larvae: consequences on life history traits","title-short":"Isoenergetic-practical and semi-purified diets for protein requirement determination in Hermetia illucens larvae","volume":"13","author":[{"family":"Bellezza Oddon","given":"Sara"},{"family":"Biasato","given":"Ilaria"},{"family":"Gasco","given":"Laura"}],"issued":{"date-parts":[["2022",1,19]]}}}],"schema":"https://github.com/citation-style-language/schema/raw/master/csl-citation.json"} </w:instrText>
      </w:r>
      <w:r w:rsidRPr="00B84532">
        <w:rPr>
          <w:rFonts w:ascii="Times New Roman" w:hAnsi="Times New Roman" w:cs="Times New Roman"/>
        </w:rPr>
        <w:fldChar w:fldCharType="separate"/>
      </w:r>
      <w:r w:rsidR="00F952D7" w:rsidRPr="00F952D7">
        <w:rPr>
          <w:rFonts w:ascii="Times New Roman" w:hAnsi="Times New Roman" w:cs="Times New Roman"/>
          <w:szCs w:val="24"/>
          <w:vertAlign w:val="superscript"/>
        </w:rPr>
        <w:t>181,182</w:t>
      </w:r>
      <w:r w:rsidRPr="00B84532">
        <w:rPr>
          <w:rFonts w:ascii="Times New Roman" w:hAnsi="Times New Roman" w:cs="Times New Roman"/>
        </w:rPr>
        <w:fldChar w:fldCharType="end"/>
      </w:r>
      <w:r w:rsidRPr="00B84532">
        <w:rPr>
          <w:rFonts w:ascii="Times New Roman" w:hAnsi="Times New Roman" w:cs="Times New Roman"/>
        </w:rPr>
        <w:t xml:space="preserve">. In addition to these three species which are the more established and currently </w:t>
      </w:r>
      <w:proofErr w:type="spellStart"/>
      <w:r w:rsidRPr="00B84532">
        <w:rPr>
          <w:rFonts w:ascii="Times New Roman" w:hAnsi="Times New Roman" w:cs="Times New Roman"/>
        </w:rPr>
        <w:t>utilised</w:t>
      </w:r>
      <w:proofErr w:type="spellEnd"/>
      <w:r w:rsidRPr="00B84532">
        <w:rPr>
          <w:rFonts w:ascii="Times New Roman" w:hAnsi="Times New Roman" w:cs="Times New Roman"/>
        </w:rPr>
        <w:t xml:space="preserve"> for aquafeed, other species are currently under investigation as novel nutrient sources. Among them, are </w:t>
      </w:r>
      <w:bookmarkStart w:id="4" w:name="OLE_LINK41"/>
      <w:r w:rsidRPr="00B84532">
        <w:rPr>
          <w:rFonts w:ascii="Times New Roman" w:hAnsi="Times New Roman" w:cs="Times New Roman"/>
        </w:rPr>
        <w:t xml:space="preserve">the field cricket </w:t>
      </w:r>
      <w:bookmarkEnd w:id="4"/>
      <w:r w:rsidRPr="00B84532">
        <w:rPr>
          <w:rFonts w:ascii="Times New Roman" w:hAnsi="Times New Roman" w:cs="Times New Roman"/>
        </w:rPr>
        <w:t>(</w:t>
      </w:r>
      <w:proofErr w:type="spellStart"/>
      <w:r w:rsidRPr="00B84532">
        <w:rPr>
          <w:rFonts w:ascii="Times New Roman" w:hAnsi="Times New Roman" w:cs="Times New Roman"/>
          <w:i/>
        </w:rPr>
        <w:t>Gryllus</w:t>
      </w:r>
      <w:proofErr w:type="spellEnd"/>
      <w:r w:rsidRPr="00B84532">
        <w:rPr>
          <w:rFonts w:ascii="Times New Roman" w:hAnsi="Times New Roman" w:cs="Times New Roman"/>
          <w:i/>
        </w:rPr>
        <w:t xml:space="preserve"> </w:t>
      </w:r>
      <w:proofErr w:type="spellStart"/>
      <w:r w:rsidRPr="00B84532">
        <w:rPr>
          <w:rFonts w:ascii="Times New Roman" w:hAnsi="Times New Roman" w:cs="Times New Roman"/>
          <w:i/>
        </w:rPr>
        <w:t>bimaculatus</w:t>
      </w:r>
      <w:proofErr w:type="spellEnd"/>
      <w:r w:rsidRPr="00B84532">
        <w:rPr>
          <w:rFonts w:ascii="Times New Roman" w:hAnsi="Times New Roman" w:cs="Times New Roman"/>
        </w:rPr>
        <w:t xml:space="preserve">) </w:t>
      </w:r>
      <w:r w:rsidRPr="00B84532">
        <w:rPr>
          <w:rFonts w:ascii="Times New Roman" w:hAnsi="Times New Roman" w:cs="Times New Roman"/>
        </w:rPr>
        <w:fldChar w:fldCharType="begin"/>
      </w:r>
      <w:r w:rsidR="00F1323F">
        <w:rPr>
          <w:rFonts w:ascii="Times New Roman" w:hAnsi="Times New Roman" w:cs="Times New Roman"/>
        </w:rPr>
        <w:instrText xml:space="preserve"> ADDIN ZOTERO_ITEM CSL_CITATION {"citationID":"aepcgf3i9q","properties":{"formattedCitation":"\\super 183\\uc0\\u8211{}185\\nosupersub{}","plainCitation":"183–185","noteIndex":0},"citationItems":[{"id":1010,"uris":["http://zotero.org/groups/4669668/items/PKC2S92W"],"itemData":{"id":1010,"type":"article-journal","abstract":"A study was conducted on African catfish, Clarias gariepinus, to examine the apparent digestibility coefficient (ADC) of protein, dry matter, lipid, and energy, and the apparent availability coefficient (AAC) of essential amino acid (EAA) for a cricket meal (CM) diet, Gryllus bimaculatus, and fishmeal (FM). Both diets consisted of 30% isonitrogenous levels with a 70:30 ratio of basal diet to test ingredient. Chromic oxide (0.5%) was added to the diet as an inert marker. The ADCs of crude protein (CP) in CM (81.21%), lipid (89.82%), gross energy (64.42%), and dry matter (73.97%) was significantly higher (P &lt; 0.05) than the value of CP (78.22%), lipid (82.03%), gross energy (56.52%), and dry matter (62.26%) in FM. All EAAs were present in both diets. The AACs for both diets ranged from 0.906 to 0.961 and 0.812 to 0.938 for the CM and FM diets, respectively. The growth performance of fish fed with CM exhibited significantly higher (P &lt; 0.05) weight gain, feed conversion ratio, and protein efficiency ratio compared with FM. Overall, the results suggest that CM could be included in the African catfish diet without affecting their nutrient and amino acid digestibility as well as growth performance.","container-title":"Journal of the World Aquaculture Society","DOI":"10.1111/jwas.12302","ISSN":"1749-7345","issue":"6","language":"en","note":"number: 6\n_eprint: https://onlinelibrary.wiley.com/doi/pdf/10.1111/jwas.12302","page":"798-805","source":"Wiley Online Library","title":"Apparent digestibility coefficients and amino acid availability of cricket meal, Gryllus bimaculatus, and fishmeal in African catfish, Clarias gariepinus, diet","volume":"47","author":[{"family":"Taufek","given":"Norhidayah M."},{"family":"Muin","given":"Hasniyati"},{"family":"Raji","given":"Ameenat A."},{"family":"Razak","given":"Shaharudin A."},{"family":"Yusof","given":"Hanan M."},{"family":"Alias","given":"Zazali"}],"issued":{"date-parts":[["2016"]]}}},{"id":1128,"uris":["http://zotero.org/groups/4669668/items/HERAJBCM"],"itemData":{"id":1128,"type":"article-journal","abstract":"In our present study, we observed the effect of cricket meal (CM) on disease resistance of African catfish. Fish were fed diets containing 350 g kg–1 and 400 g kg–1 of CM and 350 g kg–1 of fishmeal as control. The fish were divided into triplicates treatments of ten fish per replicate, weighed 22.5±0.6 g and fed with experimental diets for 40 days before being challenged against Aeromonas hydrophila. Relative percentage of survival (RPS) was recorded over 12 days post-challenge. White blood cell count, total protein, globulin and lysozyme showed significantly increasing levels in those fed with cricket meal diet compared to the control group. Mortalities at 12-day post-challenge significantly decreased to 30% (RPS: 66.7%) and 27% (RPS: 70%) for 35% and 40% CM respectively compared to 90% mortality in control group. Intestines and liver tissues of infected fish were dissected for pathogenic confirmation. The intestines of control diet showed the highest bacterial load (58.2×107 cfu g–1) compared to CM diets. The current study indicates that dietary CM could enhance the innate immune system and disease resistance of African catfish.","container-title":"Journal of Fisheries","DOI":"10.17017/j.fish.23","ISSN":"2311-3111","issue":"2","language":"en","note":"number: 2","page":"623-631","source":"journal.bdfish.org","title":"Inclusion of cricket (Gryllus bimaculatus) meal in African catfish (Clarias gariepinus) feed influences disease resistance","volume":"6","author":[{"family":"Taufek","given":"Norhidayah Mohd"},{"family":"Simarani","given":"Khanom"},{"family":"Muin","given":"Hasniyati"},{"family":"Aspani","given":"Firdaus"},{"family":"Raji","given":"Ameenat Abiodun"},{"family":"Alias","given":"Zazali"},{"family":"Razak","given":"Shaharudin Abdul"}],"issued":{"date-parts":[["2018",3,29]]}},"suppress-author":true},{"id":1147,"uris":["http://zotero.org/groups/4669668/items/FUISGM2T"],"itemData":{"id":1147,"type":"article-journal","abstract":"An 8-week feeding trial was designed to evaluate the potential of cricket meal, Gryllus bimaculatus, as a locally available unconventional source of protein in a practical diet for olive flounder, Paralichthys olivaceus. Three hundred juvenile fish (Initial weight, 33.5 ± 0.01 g) were randomly distributed into five dietary groups in triplicates (20 fish per tank) and each group was hand-fed one of the experimental diets containing graded level of a cricket meal (CR) replacing 0, 20, 40, 60, and 80% of fish meal (FM) protein (designated as CR0, CR20, CR40, CR60, and CR80). Although replacing more than 40% of dietary FM protein resulted in lower growth rates and feed utilization efficiency, juvenile flounders fed the highest level of dietary CR (CR80) still performed as well as control group (CR0). Replacing more than 20% of FM with CR markedly reduced apparent nutrient digestibility in fish. Plasma total cholesterol concentration showed decreasing trend with increasing inclusion levels of CR in the diet. Whole body and fillet lipid content decreased with increasing levels of dietary CR. There was a remarkable enhancement in the levels of C18 fatty acids and reduction in the levels of n − 3 highly unsaturated fatty acids in the fillets of fish fed with the CR diets, which became more prominent with greater levels of dietary FM replacement. Antioxidant enzyme activities tended to increase with increasing dietary CR levels but gradually decreased when the replacement level exceeded 60%. Overall, the efficiency of CR as a promising substitute for FM in the flounder diets has been confirmed not only in relation to growth rates, but also in terms of immunopotency.","container-title":"Journal of the World Aquaculture Society","DOI":"10.1111/jwas.12790","ISSN":"1749-7345","issue":"4","language":"en","note":"number: 4\n_eprint: https://onlinelibrary.wiley.com/doi/pdf/10.1111/jwas.12790","page":"859-880","source":"Wiley Online Library","title":"Nutritional evaluation of cricket, Gryllus bimaculatus, meal as fish meal substitute for olive flounder, Paralichthys olivaceus, juveniles","volume":"52","author":[{"family":"Jeong","given":"Seong-Mok"},{"family":"Khosravi","given":"Sanaz"},{"family":"Mauliasari","given":"Intan Rizki"},{"family":"Lee","given":"Bong-Joo"},{"family":"You","given":"Sang-Guan"},{"family":"Lee","given":"Sang-Min"}],"issued":{"date-parts":[["2021"]]}}}],"schema":"https://github.com/citation-style-language/schema/raw/master/csl-citation.json"} </w:instrText>
      </w:r>
      <w:r w:rsidRPr="00B84532">
        <w:rPr>
          <w:rFonts w:ascii="Times New Roman" w:hAnsi="Times New Roman" w:cs="Times New Roman"/>
        </w:rPr>
        <w:fldChar w:fldCharType="separate"/>
      </w:r>
      <w:r w:rsidR="00F1323F" w:rsidRPr="00F1323F">
        <w:rPr>
          <w:rFonts w:ascii="Times New Roman" w:hAnsi="Times New Roman" w:cs="Times New Roman"/>
          <w:szCs w:val="24"/>
          <w:vertAlign w:val="superscript"/>
        </w:rPr>
        <w:t>183–185</w:t>
      </w:r>
      <w:r w:rsidRPr="00B84532">
        <w:rPr>
          <w:rFonts w:ascii="Times New Roman" w:hAnsi="Times New Roman" w:cs="Times New Roman"/>
        </w:rPr>
        <w:fldChar w:fldCharType="end"/>
      </w:r>
      <w:r w:rsidRPr="00B84532">
        <w:rPr>
          <w:rFonts w:ascii="Times New Roman" w:hAnsi="Times New Roman" w:cs="Times New Roman"/>
        </w:rPr>
        <w:t>, the house cricket (</w:t>
      </w:r>
      <w:r w:rsidRPr="00B84532">
        <w:rPr>
          <w:rFonts w:ascii="Times New Roman" w:hAnsi="Times New Roman" w:cs="Times New Roman"/>
          <w:i/>
        </w:rPr>
        <w:t xml:space="preserve">Acheta </w:t>
      </w:r>
      <w:proofErr w:type="spellStart"/>
      <w:r w:rsidRPr="00B84532">
        <w:rPr>
          <w:rFonts w:ascii="Times New Roman" w:hAnsi="Times New Roman" w:cs="Times New Roman"/>
          <w:i/>
        </w:rPr>
        <w:t>domesticus</w:t>
      </w:r>
      <w:proofErr w:type="spellEnd"/>
      <w:r w:rsidRPr="00B84532">
        <w:rPr>
          <w:rFonts w:ascii="Times New Roman" w:hAnsi="Times New Roman" w:cs="Times New Roman"/>
        </w:rPr>
        <w:t xml:space="preserve">) </w:t>
      </w:r>
      <w:r w:rsidRPr="00B84532">
        <w:rPr>
          <w:rFonts w:ascii="Times New Roman" w:hAnsi="Times New Roman" w:cs="Times New Roman"/>
        </w:rPr>
        <w:fldChar w:fldCharType="begin"/>
      </w:r>
      <w:r w:rsidR="002C404F">
        <w:rPr>
          <w:rFonts w:ascii="Times New Roman" w:hAnsi="Times New Roman" w:cs="Times New Roman"/>
        </w:rPr>
        <w:instrText xml:space="preserve"> ADDIN ZOTERO_ITEM CSL_CITATION {"citationID":"a2h8mm8jbuk","properties":{"formattedCitation":"\\super 186\\nosupersub{}","plainCitation":"186","noteIndex":0},"citationItems":[{"id":1008,"uris":["http://zotero.org/groups/4669668/items/S3HSRZAN"],"itemData":{"id":1008,"type":"article-journal","abstract":"The growing importance of aquaculture products for human health also raises the question of product sustainability and decreasing its costs. Insects are considered as novel feed ingredients and source of proteins. In this study, a twelve-week feeding trial with replacement of 25% fishmeal by a mixture of house cricket (Acheta domesticus) and superworm (Zophobas morio) in the fish feed was conducted with perch (Perca fluviatilis). There were no significant differences in this feeding trial, regarding survival, but decreased fish growth and increased feed conversion between the control and the experimental fed groups. Hepatic cytochrome P450 (CYP1A and CYP3A-like) activity and fatty acid (FA) composition were assessed in perch also. No significant effects were observed on cytochrome P450 activity associated with presence of toxic compounds in fish. Feeding with insect pellets resulted in significant increasing of linoleic FA and an increase of the total content of n-6 FA in fish fillets, compared to the fish fillets from control group. However, changes in FA composition were only minor and did not affect the nutritional value of the fish with insect-based diet for human consumption. Further evaluation should be conducted with different ratios or different insect species.","container-title":"Turkish Journal of Fisheries and Aquatic Sciences","DOI":"10.4194/1303-2712-v20_12_03","ISSN":"13032712","issue":"12","language":"en","note":"number: 12","page":"867-878","source":"DOI.org (Crossref)","title":"Insect meal as a partial replacement for fish meal in a formulated diet for perch Perca fluviatilis","volume":"20","author":[{"family":"Tilami","given":"Sarvenaz Khalili"},{"family":"Turek","given":"Jan"},{"family":"Červený","given":"Daniel"},{"family":"Lepič","given":"Pavel"},{"family":"Kozák","given":"Pavel"},{"family":"Burkina","given":"Viktoriia"},{"family":"Sakalli","given":"Sidika"},{"family":"Tomčala","given":"Aleš"},{"family":"Sampels","given":"Sabine"},{"family":"Mráz","given":"Jan"}],"issued":{"date-parts":[["2020",11,6]]}}}],"schema":"https://github.com/citation-style-language/schema/raw/master/csl-citation.json"} </w:instrText>
      </w:r>
      <w:r w:rsidRPr="00B84532">
        <w:rPr>
          <w:rFonts w:ascii="Times New Roman" w:hAnsi="Times New Roman" w:cs="Times New Roman"/>
        </w:rPr>
        <w:fldChar w:fldCharType="separate"/>
      </w:r>
      <w:r w:rsidR="002C404F" w:rsidRPr="002C404F">
        <w:rPr>
          <w:rFonts w:ascii="Times New Roman" w:hAnsi="Times New Roman" w:cs="Times New Roman"/>
          <w:szCs w:val="24"/>
          <w:vertAlign w:val="superscript"/>
        </w:rPr>
        <w:t>186</w:t>
      </w:r>
      <w:r w:rsidRPr="00B84532">
        <w:rPr>
          <w:rFonts w:ascii="Times New Roman" w:hAnsi="Times New Roman" w:cs="Times New Roman"/>
        </w:rPr>
        <w:fldChar w:fldCharType="end"/>
      </w:r>
      <w:r w:rsidRPr="00B84532">
        <w:rPr>
          <w:rFonts w:ascii="Times New Roman" w:hAnsi="Times New Roman" w:cs="Times New Roman"/>
        </w:rPr>
        <w:t>, and the super mealworm (</w:t>
      </w:r>
      <w:proofErr w:type="spellStart"/>
      <w:r w:rsidRPr="00B84532">
        <w:rPr>
          <w:rFonts w:ascii="Times New Roman" w:hAnsi="Times New Roman" w:cs="Times New Roman"/>
          <w:i/>
        </w:rPr>
        <w:t>Zophobas</w:t>
      </w:r>
      <w:proofErr w:type="spellEnd"/>
      <w:r w:rsidRPr="00B84532">
        <w:rPr>
          <w:rFonts w:ascii="Times New Roman" w:hAnsi="Times New Roman" w:cs="Times New Roman"/>
          <w:i/>
        </w:rPr>
        <w:t xml:space="preserve"> </w:t>
      </w:r>
      <w:proofErr w:type="spellStart"/>
      <w:r w:rsidRPr="00B84532">
        <w:rPr>
          <w:rFonts w:ascii="Times New Roman" w:hAnsi="Times New Roman" w:cs="Times New Roman"/>
          <w:i/>
        </w:rPr>
        <w:t>morio</w:t>
      </w:r>
      <w:proofErr w:type="spellEnd"/>
      <w:r w:rsidRPr="00B84532">
        <w:rPr>
          <w:rFonts w:ascii="Times New Roman" w:hAnsi="Times New Roman" w:cs="Times New Roman"/>
        </w:rPr>
        <w:t xml:space="preserve">) </w:t>
      </w:r>
      <w:r w:rsidRPr="00B84532">
        <w:rPr>
          <w:rFonts w:ascii="Times New Roman" w:hAnsi="Times New Roman" w:cs="Times New Roman"/>
        </w:rPr>
        <w:fldChar w:fldCharType="begin"/>
      </w:r>
      <w:r w:rsidR="009106EE">
        <w:rPr>
          <w:rFonts w:ascii="Times New Roman" w:hAnsi="Times New Roman" w:cs="Times New Roman"/>
        </w:rPr>
        <w:instrText xml:space="preserve"> ADDIN ZOTERO_ITEM CSL_CITATION {"citationID":"a2ldhiun4m4","properties":{"formattedCitation":"\\super 187\\uc0\\u8211{}190\\nosupersub{}","plainCitation":"187–190","noteIndex":0},"citationItems":[{"id":1148,"uris":["http://zotero.org/groups/4669668/items/48XXLLVG"],"itemData":{"id":1148,"type":"article-journal","abstract":"Super worm meal (SWM) was evaluated to investigate the effect of partial or total replacement of fish meal (FM) in diets for tilapia juvenile, Oreochromis niloticus. Triplicate groups of fish with average initial body weight (5.57 ± 0.15 g) were fed each with 5 isonitrogeneous (32% crude protein) diets formulated to include 0, 25, 50, 75 and 100% (diets 1 – 5, respectively) of FM substituted with SWM. After eight weeks of feeding trials, fish fed with diet 2 and 3 revealed the highest values for live weight gain, specific growth rates, better feed conversion ratio as well as protein efficiency ratio compared to the others. Survival range was 100% in all the treatments. However, fish fed to diet 5 exhibited lower growth than those fed others diets. There were no significant differences (P &gt; 0.05) in the moisture, protein, lipid and ash content in the whole body composition. These results clearly indicate that up to 25% of FM protein in fish diet can be replaced by SWM without any adverse effect on feed utilization and body composition. A decrease in weight gain and other growth associated parameters was observed with higher replacement.Key words: Feed utilization, growth performance, insect based diet, Oreochromis niloticus, super worm meal, Zophobas morio.","container-title":"African Journal of Biotechnology","DOI":"10.4314/ajb.v11i24","ISSN":"1684-5315","issue":"24","language":"en","license":"Copyright (c)","note":"number: 24","page":"6592-6598","source":"www.ajol.info","title":"Nutritive potential and utilization of super worm (Zophobas morio) meal in the diet of Nile tilapia (Oreochromis niloticus) juvenile","volume":"11","author":[{"family":"Jabir","given":"MD Abd Rahman"},{"family":"Jabir","given":"SA Abd Rahman"},{"family":"Vikineswary","given":"S."}],"issued":{"date-parts":[["2012"]]}}},{"id":1059,"uris":["http://zotero.org/groups/4669668/items/JZRDB9PG"],"itemData":{"id":1059,"type":"article-journal","abstract":"Insects are a valuable source of nutrients for fish, but little is known about their nutritional value for Nile tilapia fingerlings. To evaluate the nutritional value and energy apparent digestibility coefficient (ADC) of five insects for Nile Tilapia male fingerlings, 900 fish were distributed in 18 fiberglass conic tanks, in a completely randomized design, with six dietary treatments (control, Nauphoeta cinerea meal (NCM) (Blattodea), Zophobas morio larvae meal (ZMM) (Coleptera), Gromphadorhina portentosa meal (GPM) (Blattodea), Gryllus assimilis meal (GAM) (Orthoptera) and Tenebrio molitor larvae meal (TMM) (Coleptera)) and three replicates (tanks), each containing 50 fish. The control diet had no insect meal included and the other five treatments comprised 80% commercial diet and 20% test ingredient with 0.1% chromic oxide as an inert marker. TMM presented a higher ADC for dry matter, protein, corrected protein and chitin than to other treatments (p &lt; 0.01). GPM presented the highest ADC for lipids (p &lt; 0.01). In general, the TMM presented better ADC of nutrients and energy and all the insect meals evaluated are potential feed for Nile tilapia fingerlings.","container-title":"Animals","DOI":"10.3390/ani9040181","ISSN":"2076-2615","issue":"4","language":"en","license":"http://creativecommons.org/licenses/by/3.0/","note":"number: 4\npublisher: Multidisciplinary Digital Publishing Institute","page":"181","source":"www.mdpi.com","title":"Digestibility of insect meals for nile tilapia fingerlings","volume":"9","author":[{"family":"Fontes","given":"Táfanie Valácio"},{"family":"Oliveira","given":"Kátia Rodrigues Batista","non-dropping-particle":"de"},{"family":"Gomes Almeida","given":"Izabella Luiza"},{"family":"Maria Orlando","given":"Tamira"},{"family":"Rodrigues","given":"Paulo Borges"},{"family":"Costa","given":"Diego Vicente","dropping-particle":"da"},{"family":"Rosa","given":"Priscila Vieira","dropping-particle":"e"}],"issued":{"date-parts":[["2019",4]]}}},{"id":980,"uris":["http://zotero.org/groups/4669668/items/CICBD67L"],"itemData":{"id":980,"type":"article-journal","abstract":"Insects have been the subject of recent attention as a nutritious source and nutraceutical potential. Hence, we studied the effects of diets containing superworm larvae (Zophobas morio) meal on growth performance and innate immunity of Nile tilapia (Oreochromis niloticus). During 12 weeks, fish were fed with diets containing 0, 15% and 30% of superworm larvae meal (SWM) and then challenged with lipopolysaccharide (LPS). Cellular counts, lysozyme and complement system activity (HACS) were recorded over 0, 3, 6 and 9 hr post-challenge. The results revealed that dietary inclusion of SWM had no negative effects on growth performance of tilapia (p &lt; .05). The moisture and lipid content increased (p &lt; .05) in fish fed 30% SWM while ash and protein content decreased. However, there were no differences between fish fed 15% SWM and the control group. Thrombocytes and neutrophils showed increasing levels (p &lt; .05) in those fed SWM diets mainly 6 hr after challenge. Increased lysozyme activity in serum and liver was registered in both groups fed SWM (p &lt; .05). Fish fed SWM diets showed an increase in HACS in which higher haemolysis was registered at 0 hr and 3 hr (p &lt; .05). The current study indicates that dietary inclusion of at least 15% SWM could influence selected innate immunity parameters of tilapia while maintaining growth performance and feed utilization. However, further investigations are needed to evaluate the effect of SWM on other immune parameters to better understand how this ingredient can improve the health of Nile tilapia.","container-title":"Aquaculture Research","DOI":"10.1111/are.14911","ISSN":"1365-2109","issue":"2","language":"en","note":"number: 2\n_eprint: https://onlinelibrary.wiley.com/doi/pdf/10.1111/are.14911","page":"529-540","source":"Wiley Online Library","title":"Nile tilapia fed insect meal: Growth and innate immune response in different times under lipopolysaccharide challenge","title-short":"Nile tilapia fed insect meal","volume":"52","author":[{"family":"Alves","given":"Angélica Priscila do Carmo"},{"family":"Paulino","given":"Renan Rosa"},{"family":"Pereira","given":"Raquel Tatiane"},{"family":"Costa","given":"Diego Vicente","non-dropping-particle":"da"},{"family":"Rosa","given":"Priscila Vieira","non-dropping-particle":"e"}],"issued":{"date-parts":[["2020"]]}}},{"id":1033,"uris":["http://zotero.org/groups/4669668/items/45W4H2AD"],"itemData":{"id":1033,"type":"article-journal","abstract":"The present study is the first introduction of hydrolyzed superworm meal in sea trout nutrition. It was conducted to evaluate the effects of inclusion in the diet of hydrolyzed insect meals as a partial replacement for fishmeal on growth performance, feed utilization, organosomatic indices, serum biochemical parameters, gut histomorphology, and microbiota composition of sea trout (Salmo trutta m. trutta). The experiment was performed on 225 sea trout fingerlings distributed into three groups (3 tanks/treatment, 25 fish/tank). The control diet was fishmeal-based. In the experimental groups, 10% of hydrolyzed mealworm (TMD) and superworm (ZMD) meals were included. The protein efficiency ratio was lower in the TMD and ZMD. Higher organosomatic indices and liver lipid contents were found in the group fed ZMD. The ZMD increased levels of aspartate aminotransferase, and decreased levels of alkaline phosphatase. The Aeromonas spp. and Enterococcus spp. populations decreased in the ZMD. The concentrations of the Carnobacterium spp. decreased in the ZMD and TMD, as did that of the Lactobacillus group in the TMD. In conclusion, insect meals may be an alternative protein source in sea trout nutrition, as they yield satisfying growth performance and have the capability to modulate biochemical blood parameters and microbiota composition.","container-title":"Animals","DOI":"10.3390/ani10061031","ISSN":"2076-2615","issue":"6","language":"en","license":"http://creativecommons.org/licenses/by/3.0/","note":"number: 6\npublisher: Multidisciplinary Digital Publishing Institute","page":"1031","source":"www.mdpi.com","title":"The effect of hydrolyzed insect meals in sea trout fingerling (Salmo trutta m. trutta) diets on growth performance, microbiota and biochemical blood parameters","volume":"10","author":[{"family":"Mikołajczak","given":"Zuzanna"},{"family":"Rawski","given":"Mateusz"},{"family":"Mazurkiewicz","given":"Jan"},{"family":"Kierończyk","given":"Bartosz"},{"family":"Józefiak","given":"Damian"}],"issued":{"date-parts":[["2020",6]]}}}],"schema":"https://github.com/citation-style-language/schema/raw/master/csl-citation.json"} </w:instrText>
      </w:r>
      <w:r w:rsidRPr="00B84532">
        <w:rPr>
          <w:rFonts w:ascii="Times New Roman" w:hAnsi="Times New Roman" w:cs="Times New Roman"/>
        </w:rPr>
        <w:fldChar w:fldCharType="separate"/>
      </w:r>
      <w:r w:rsidR="009106EE" w:rsidRPr="009106EE">
        <w:rPr>
          <w:rFonts w:ascii="Times New Roman" w:hAnsi="Times New Roman" w:cs="Times New Roman"/>
          <w:szCs w:val="24"/>
          <w:vertAlign w:val="superscript"/>
        </w:rPr>
        <w:t>187–190</w:t>
      </w:r>
      <w:r w:rsidRPr="00B84532">
        <w:rPr>
          <w:rFonts w:ascii="Times New Roman" w:hAnsi="Times New Roman" w:cs="Times New Roman"/>
        </w:rPr>
        <w:fldChar w:fldCharType="end"/>
      </w:r>
      <w:r w:rsidRPr="00B84532">
        <w:rPr>
          <w:rFonts w:ascii="Times New Roman" w:hAnsi="Times New Roman" w:cs="Times New Roman"/>
        </w:rPr>
        <w:t>, which appear to be the most promising. Moreover, in China and India, sericulture delivers significant quantities of silkworm (</w:t>
      </w:r>
      <w:proofErr w:type="spellStart"/>
      <w:r w:rsidRPr="00B84532">
        <w:rPr>
          <w:rFonts w:ascii="Times New Roman" w:hAnsi="Times New Roman" w:cs="Times New Roman"/>
          <w:i/>
        </w:rPr>
        <w:t>Bombix</w:t>
      </w:r>
      <w:proofErr w:type="spellEnd"/>
      <w:r w:rsidRPr="00B84532">
        <w:rPr>
          <w:rFonts w:ascii="Times New Roman" w:hAnsi="Times New Roman" w:cs="Times New Roman"/>
          <w:i/>
        </w:rPr>
        <w:t xml:space="preserve"> mori</w:t>
      </w:r>
      <w:r w:rsidRPr="00B84532">
        <w:rPr>
          <w:rFonts w:ascii="Times New Roman" w:hAnsi="Times New Roman" w:cs="Times New Roman"/>
        </w:rPr>
        <w:t xml:space="preserve">) pupae, considered waste products of this industry and their use as feedstuff can represent a valuable method to mitigate some of the environmental impacts of silk production </w:t>
      </w:r>
      <w:r w:rsidRPr="00B84532">
        <w:rPr>
          <w:rFonts w:ascii="Times New Roman" w:hAnsi="Times New Roman" w:cs="Times New Roman"/>
        </w:rPr>
        <w:fldChar w:fldCharType="begin"/>
      </w:r>
      <w:r w:rsidR="008A4651">
        <w:rPr>
          <w:rFonts w:ascii="Times New Roman" w:hAnsi="Times New Roman" w:cs="Times New Roman"/>
        </w:rPr>
        <w:instrText xml:space="preserve"> ADDIN ZOTERO_ITEM CSL_CITATION {"citationID":"a2caf35jmol","properties":{"formattedCitation":"\\super 191\\nosupersub{}","plainCitation":"191","noteIndex":0},"citationItems":[{"id":1145,"uris":["http://zotero.org/groups/4669668/items/J3NZB5BE"],"itemData":{"id":1145,"type":"article-journal","container-title":"Journal of Entomology and Zoology Studies","issue":"4","note":"number: 4","page":"78-85","title":"Silkworm pupae meal as alternative source of protein in fish feed","volume":"7","author":[{"family":"Karthick Raja","given":"P."},{"family":"Aanand","given":"S."},{"family":"Stephen Sampathkumar","given":"J."},{"family":"Padmavathy","given":"P."}],"issued":{"date-parts":[["2019"]]}}}],"schema":"https://github.com/citation-style-language/schema/raw/master/csl-citation.json"} </w:instrText>
      </w:r>
      <w:r w:rsidRPr="00B84532">
        <w:rPr>
          <w:rFonts w:ascii="Times New Roman" w:hAnsi="Times New Roman" w:cs="Times New Roman"/>
        </w:rPr>
        <w:fldChar w:fldCharType="separate"/>
      </w:r>
      <w:r w:rsidR="008A4651" w:rsidRPr="008A4651">
        <w:rPr>
          <w:rFonts w:ascii="Times New Roman" w:hAnsi="Times New Roman" w:cs="Times New Roman"/>
          <w:szCs w:val="24"/>
          <w:vertAlign w:val="superscript"/>
        </w:rPr>
        <w:t>191</w:t>
      </w:r>
      <w:r w:rsidRPr="00B84532">
        <w:rPr>
          <w:rFonts w:ascii="Times New Roman" w:hAnsi="Times New Roman" w:cs="Times New Roman"/>
        </w:rPr>
        <w:fldChar w:fldCharType="end"/>
      </w:r>
      <w:r w:rsidRPr="00042A0B">
        <w:rPr>
          <w:rFonts w:ascii="Times New Roman" w:hAnsi="Times New Roman" w:cs="Times New Roman"/>
        </w:rPr>
        <w:t>.</w:t>
      </w:r>
    </w:p>
    <w:p w14:paraId="6EE7DBDD" w14:textId="0BA6373A" w:rsidR="00607518" w:rsidRPr="00B84532" w:rsidRDefault="00607518" w:rsidP="00607518">
      <w:pPr>
        <w:spacing w:line="360" w:lineRule="auto"/>
        <w:ind w:firstLine="720"/>
        <w:contextualSpacing/>
        <w:jc w:val="both"/>
        <w:rPr>
          <w:rFonts w:ascii="Times New Roman" w:hAnsi="Times New Roman" w:cs="Times New Roman"/>
        </w:rPr>
      </w:pPr>
      <w:r w:rsidRPr="00B84532">
        <w:rPr>
          <w:rFonts w:ascii="Times New Roman" w:hAnsi="Times New Roman" w:cs="Times New Roman"/>
        </w:rPr>
        <w:t xml:space="preserve">The </w:t>
      </w:r>
      <w:proofErr w:type="spellStart"/>
      <w:r w:rsidRPr="00B84532">
        <w:rPr>
          <w:rFonts w:ascii="Times New Roman" w:hAnsi="Times New Roman" w:cs="Times New Roman"/>
        </w:rPr>
        <w:t>utilisation</w:t>
      </w:r>
      <w:proofErr w:type="spellEnd"/>
      <w:r w:rsidRPr="00B84532">
        <w:rPr>
          <w:rFonts w:ascii="Times New Roman" w:hAnsi="Times New Roman" w:cs="Times New Roman"/>
        </w:rPr>
        <w:t xml:space="preserve"> of insect larvae derived products in aquafeed, and particularly those from larvae of dipteran species, represent a</w:t>
      </w:r>
      <w:r w:rsidR="00CC4E50">
        <w:rPr>
          <w:rFonts w:ascii="Times New Roman" w:hAnsi="Times New Roman" w:cs="Times New Roman"/>
        </w:rPr>
        <w:t xml:space="preserve">n excellent </w:t>
      </w:r>
      <w:r w:rsidRPr="00B84532">
        <w:rPr>
          <w:rFonts w:ascii="Times New Roman" w:hAnsi="Times New Roman" w:cs="Times New Roman"/>
        </w:rPr>
        <w:t>example of the circular economy. From their hatching, larvae can feed and grow on a wide range of organic biomasses, bio-converting and accumulating the residual nutrients into high value proteins, lipids, and other compounds</w:t>
      </w:r>
      <w:r w:rsidR="00CC4E50">
        <w:rPr>
          <w:rFonts w:ascii="Times New Roman" w:hAnsi="Times New Roman" w:cs="Times New Roman"/>
        </w:rPr>
        <w:t xml:space="preserve"> with excellent attributes </w:t>
      </w:r>
      <w:r>
        <w:rPr>
          <w:rFonts w:ascii="Times New Roman" w:hAnsi="Times New Roman" w:cs="Times New Roman"/>
        </w:rPr>
        <w:fldChar w:fldCharType="begin"/>
      </w:r>
      <w:r w:rsidR="00BF1475">
        <w:rPr>
          <w:rFonts w:ascii="Times New Roman" w:hAnsi="Times New Roman" w:cs="Times New Roman"/>
        </w:rPr>
        <w:instrText xml:space="preserve"> ADDIN ZOTERO_ITEM CSL_CITATION {"citationID":"a2cr7kf5utt","properties":{"formattedCitation":"\\super 192\\uc0\\u8211{}194\\nosupersub{}","plainCitation":"192–194","noteIndex":0},"citationItems":[{"id":1156,"uris":["http://zotero.org/groups/4669668/items/DJKUHZZZ"],"itemData":{"id":1156,"type":"chapter","container-title":"Emerging Technologies, Environment and Research for Sustainable Aquaculture","ISBN":"1-83881-200-8","page":"1-14","publisher":"IntechOpen London, UK","title":"Insects in aquaculture nutrition: an emerging eco-friendly approach or commercial reality?","author":[{"family":"Freccia","given":"André"},{"family":"Tubin","given":"Jiovani Sergio Bee"},{"family":"Rombenso","given":"Artur Nishioka"},{"family":"Emerenciano","given":"Maurício Gustavo Coelho"}],"issued":{"date-parts":[["2020"]]}}},{"id":1018,"uris":["http://zotero.org/groups/4669668/items/36ZFB4CT"],"itemData":{"id":1018,"type":"article-journal","abstract":"Each year, the food supply chain produces more than 1.3 billion tons of food and agricultural waste, which poses serious environmental problems. The loss of the massive quantity of secondary and primary metabolites retrievable from this resource is a significant concern. What if there is a global solution that caters to the numerous problems arising due to the humongous volume of waste biomass generated in every part of the world? Insects, the tiny creatures that thrive in decaying organic matter, which can concentrate the nutrients present in dilute quantities in a variety of by-products, are an economically viable option. The bioconversion and nutritional upcycling of waste biomass with insects yield high-value products such as protein, lipids, chitin and frass. Insect-derived proteins can replace conventional protein sources in feed formulations. Notably, the ability of the black soldier fly (BSF) or Hermetia illucens to grow on diverse substrates such as agri-food industry side streams and other organic waste proves advantageous. However, the data on industrial-scale extraction, fractionation techniques and biorefinery schemes for screening the nutritional potential of BSF are scarce. This review attempts to break down every facet of insect processing and analyze the processing methods of BSF, and the functional properties of nutrients obtained thereof.","container-title":"Processes","DOI":"10.3390/pr8070857","ISSN":"2227-9717","issue":"7","language":"en","license":"http://creativecommons.org/licenses/by/3.0/","note":"number: 7\npublisher: Multidisciplinary Digital Publishing Institute","page":"857","source":"www.mdpi.com","title":"Larvae mediated valorization of industrial, agriculture and food wastes: biorefinery concept through bioconversion, processes, procedures, and products","title-short":"Larvae mediated valorization of industrial, agriculture and food wastes","volume":"8","author":[{"family":"Ravi","given":"Harish Karthikeyan"},{"family":"Degrou","given":"Antoine"},{"family":"Costil","given":"Jérôme"},{"family":"Trespeuch","given":"Christophe"},{"family":"Chemat","given":"Farid"},{"family":"Vian","given":"Maryline Abert"}],"issued":{"date-parts":[["2020",7]]}}},{"id":1155,"uris":["http://zotero.org/groups/4669668/items/U2AC52WM"],"itemData":{"id":1155,"type":"article-journal","abstract":"This paper reviews current knowledge on two feedstuffs, that is, insect meal and fish by-products, as alternatives to conventional animal protein sources. After an introductory part that highlights the need for sustainable development of animal production, the alternative protein sources are discussed. In particular, after providing some indications on their production and supply focussing on EU, a SWOT (Strengths, Weaknesses, Opportunities, and Threats) analysis was performed to identify the key factors that could help or impair the development of both protein sources production sectors. Finally, future perspectives are presented. The use of processed animal proteins derived from insects in farmed fish feeding is recognised by the EU legislation that authorises the use of proteins from seven insect species and the allowed substrates to rear insects. Insects have several advantages in nutritional value and the amino acid composition of their proteins generally meet animal requirements for good growth and health. The SWOT analysis indicated that insect meals can be considered as feed functional ingredients with beneficial properties that depend on the insect species, rearing system adopted, and the substrate used for their growth. Insects are expected to be increasingly used as a replacement for conventional animal-derived proteins, especially in aquafeeds. In the section regarding fishery and aquaculture by-products, the potential use of raw materials obtained during seafood processing is discussed. Peptides and amino acids recovered from as hydrolysed proteins can be used in animal feeds to partially substitute conventional protein feedstuffs thus providing nutrients, bioactive compounds and feed additives for animals. The SWOT analysis identified opportunities and weaknesses. Both the alternative protein sources are promising alternative feed ingredients for livestock production.HighlightsThe sustainable development of animal production sector needs alternative protein sources for feeds formulation.Insects and fishery- and aquaculture by-products represent optimal alternative protein sources.A SWOT analysis has identified the key factors for the development of both protein sources production sectors.","container-title":"Italian Journal of Animal Science","DOI":"10.1080/1828051X.2020.1743209","ISSN":"NULL","issue":"1","note":"number: 1\npublisher: Taylor &amp; Francis\n_eprint: https://doi.org/10.1080/1828051X.2020.1743209","page":"360-372","source":"Taylor and Francis+NEJM","title":"Insect and fish by-products as sustainable alternatives to conventional animal proteins in animal nutrition","volume":"19","author":[{"family":"Gasco","given":"Laura"},{"family":"Acuti","given":"Gabriele"},{"family":"Bani","given":"Paolo"},{"family":"Dalle Zotte","given":"Antonella"},{"family":"Danieli","given":"Pier Paolo"},{"family":"De Angelis","given":"Anna"},{"family":"Fortina","given":"Riccardo"},{"family":"Marino","given":"Rosaria"},{"family":"Parisi","given":"Giuliana"},{"family":"Piccolo","given":"Giovanni"},{"family":"Pinotti","given":"Luciano"},{"family":"Prandini","given":"Aldo"},{"family":"Schiavone","given":"Achille"},{"family":"Terova","given":"Genciana"},{"family":"Tulli","given":"Francesca"},{"family":"Roncarati","given":"Alessandra"}],"issued":{"date-parts":[["2020",12,14]]}}}],"schema":"https://github.com/citation-style-language/schema/raw/master/csl-citation.json"} </w:instrText>
      </w:r>
      <w:r>
        <w:rPr>
          <w:rFonts w:ascii="Times New Roman" w:hAnsi="Times New Roman" w:cs="Times New Roman"/>
        </w:rPr>
        <w:fldChar w:fldCharType="separate"/>
      </w:r>
      <w:r w:rsidR="00BF1475" w:rsidRPr="00BF1475">
        <w:rPr>
          <w:rFonts w:ascii="Times New Roman" w:hAnsi="Times New Roman" w:cs="Times New Roman"/>
          <w:szCs w:val="24"/>
          <w:vertAlign w:val="superscript"/>
        </w:rPr>
        <w:t>192–194</w:t>
      </w:r>
      <w:r>
        <w:rPr>
          <w:rFonts w:ascii="Times New Roman" w:hAnsi="Times New Roman" w:cs="Times New Roman"/>
        </w:rPr>
        <w:fldChar w:fldCharType="end"/>
      </w:r>
      <w:r>
        <w:rPr>
          <w:rFonts w:ascii="Times New Roman" w:hAnsi="Times New Roman" w:cs="Times New Roman"/>
        </w:rPr>
        <w:t xml:space="preserve">. </w:t>
      </w:r>
      <w:r w:rsidRPr="00B84532">
        <w:rPr>
          <w:rFonts w:ascii="Times New Roman" w:hAnsi="Times New Roman" w:cs="Times New Roman"/>
        </w:rPr>
        <w:t>For the black soldier fly,</w:t>
      </w:r>
      <w:r>
        <w:rPr>
          <w:rFonts w:ascii="Times New Roman" w:hAnsi="Times New Roman" w:cs="Times New Roman"/>
        </w:rPr>
        <w:t xml:space="preserve"> </w:t>
      </w:r>
      <w:proofErr w:type="spellStart"/>
      <w:r w:rsidRPr="004D5D59">
        <w:rPr>
          <w:rFonts w:ascii="Times New Roman" w:hAnsi="Times New Roman" w:cs="Times New Roman"/>
        </w:rPr>
        <w:t>Pinotti</w:t>
      </w:r>
      <w:proofErr w:type="spellEnd"/>
      <w:r w:rsidRPr="004D5D59">
        <w:rPr>
          <w:rFonts w:ascii="Times New Roman" w:hAnsi="Times New Roman" w:cs="Times New Roman"/>
        </w:rPr>
        <w:t xml:space="preserve"> &amp; Ottoboni</w:t>
      </w:r>
      <w:r>
        <w:rPr>
          <w:rFonts w:ascii="Times New Roman" w:hAnsi="Times New Roman" w:cs="Times New Roman"/>
        </w:rPr>
        <w:fldChar w:fldCharType="begin"/>
      </w:r>
      <w:r w:rsidR="003660C9">
        <w:rPr>
          <w:rFonts w:ascii="Times New Roman" w:hAnsi="Times New Roman" w:cs="Times New Roman"/>
        </w:rPr>
        <w:instrText xml:space="preserve"> ADDIN ZOTERO_ITEM CSL_CITATION {"citationID":"aqrfusgb17","properties":{"formattedCitation":"\\super 195\\nosupersub{}","plainCitation":"195","noteIndex":0},"citationItems":[{"id":1137,"uris":["http://zotero.org/groups/4669668/items/Z8WKLL3B"],"itemData":{"id":1137,"type":"article-journal","abstract":"Insects are able to convert organic material (i.e. waste and by products) into high-quality biomass, which can be processed into animal feed. Several studies have investigated the influence of growing substrates on the nutritional value of different insect species, particularly black soldier fly larvae and prepupae. This article reviews studies on how insects bioconvert different substrates, the effect of the substrate on the composition of insect meals, and on the development time (time needed to reach the harvesting state). All these studies indicate that insects convert low and high quality organic material (i.e. waste, by products, compound feeds) into high-quality insect biomass. The role and effects of selected nutrients, such as ether extract/fats, carbohydrates and fibre in the substrate, seem to be key factors in defining the features of the biomass as well as the time needed to reach the harvesting state.","container-title":"Journal of Insects as Food and Feed","DOI":"10.3920/JIFF2020.0110","issue":"5","note":"number: 5\npublisher: Wageningen Academic Publishers","page":"585-596","source":"wageningenacademic.com (Atypon)","title":"Substrate as insect feed for bio-mass production","volume":"7","author":[{"family":"Pinotti","given":"L."},{"family":"Ottoboni","given":"M."}],"issued":{"date-parts":[["2021",8,13]]}}}],"schema":"https://github.com/citation-style-language/schema/raw/master/csl-citation.json"} </w:instrText>
      </w:r>
      <w:r>
        <w:rPr>
          <w:rFonts w:ascii="Times New Roman" w:hAnsi="Times New Roman" w:cs="Times New Roman"/>
        </w:rPr>
        <w:fldChar w:fldCharType="separate"/>
      </w:r>
      <w:r w:rsidR="003660C9" w:rsidRPr="003660C9">
        <w:rPr>
          <w:rFonts w:ascii="Times New Roman" w:hAnsi="Times New Roman" w:cs="Times New Roman"/>
          <w:szCs w:val="24"/>
          <w:vertAlign w:val="superscript"/>
        </w:rPr>
        <w:t>195</w:t>
      </w:r>
      <w:r>
        <w:rPr>
          <w:rFonts w:ascii="Times New Roman" w:hAnsi="Times New Roman" w:cs="Times New Roman"/>
        </w:rPr>
        <w:fldChar w:fldCharType="end"/>
      </w:r>
      <w:r>
        <w:rPr>
          <w:rFonts w:ascii="Times New Roman" w:hAnsi="Times New Roman" w:cs="Times New Roman"/>
        </w:rPr>
        <w:t xml:space="preserve"> </w:t>
      </w:r>
      <w:r w:rsidRPr="00B84532">
        <w:rPr>
          <w:rFonts w:ascii="Times New Roman" w:hAnsi="Times New Roman" w:cs="Times New Roman"/>
        </w:rPr>
        <w:t>reported a concentration of about 2.1 to 2.8 of protein and 5 times of the lipids from the substrate to the insect biomass through the bioconversion process.</w:t>
      </w:r>
      <w:r w:rsidRPr="00214D0D">
        <w:t xml:space="preserve"> </w:t>
      </w:r>
      <w:r w:rsidRPr="00214D0D">
        <w:rPr>
          <w:rFonts w:ascii="Times New Roman" w:hAnsi="Times New Roman" w:cs="Times New Roman"/>
        </w:rPr>
        <w:t>I</w:t>
      </w:r>
      <w:r>
        <w:rPr>
          <w:rFonts w:ascii="Times New Roman" w:hAnsi="Times New Roman" w:cs="Times New Roman"/>
        </w:rPr>
        <w:t>t is i</w:t>
      </w:r>
      <w:r w:rsidRPr="00214D0D">
        <w:rPr>
          <w:rFonts w:ascii="Times New Roman" w:hAnsi="Times New Roman" w:cs="Times New Roman"/>
        </w:rPr>
        <w:t>mportant to acknowledge that many of these raw materials are already used directly in animal feeds, including aquaculture feeds</w:t>
      </w:r>
      <w:r>
        <w:rPr>
          <w:rFonts w:ascii="Times New Roman" w:hAnsi="Times New Roman" w:cs="Times New Roman"/>
        </w:rPr>
        <w:t xml:space="preserve">. </w:t>
      </w:r>
      <w:r w:rsidRPr="00214D0D">
        <w:rPr>
          <w:rFonts w:ascii="Times New Roman" w:hAnsi="Times New Roman" w:cs="Times New Roman"/>
        </w:rPr>
        <w:t xml:space="preserve">For this to work from a circularity perspective, use of feedstocks with no direct use in animal feeding would be most appropriate.  </w:t>
      </w:r>
      <w:r w:rsidRPr="00B84532">
        <w:rPr>
          <w:rFonts w:ascii="Times New Roman" w:hAnsi="Times New Roman" w:cs="Times New Roman"/>
        </w:rPr>
        <w:t xml:space="preserve"> </w:t>
      </w:r>
    </w:p>
    <w:p w14:paraId="4FEA9A01" w14:textId="4F8A6599" w:rsidR="00607518" w:rsidRPr="00B84532" w:rsidRDefault="00607518" w:rsidP="00607518">
      <w:pPr>
        <w:spacing w:line="360" w:lineRule="auto"/>
        <w:ind w:firstLine="720"/>
        <w:contextualSpacing/>
        <w:jc w:val="both"/>
        <w:rPr>
          <w:rFonts w:ascii="Times New Roman" w:hAnsi="Times New Roman" w:cs="Times New Roman"/>
        </w:rPr>
      </w:pPr>
      <w:r w:rsidRPr="00B84532">
        <w:rPr>
          <w:rFonts w:ascii="Times New Roman" w:hAnsi="Times New Roman" w:cs="Times New Roman"/>
        </w:rPr>
        <w:t xml:space="preserve">Different organic substrates have been tested for insect rearing, ranging from plant to animal by-products or waste </w:t>
      </w:r>
      <w:r w:rsidRPr="00B84532">
        <w:rPr>
          <w:rFonts w:ascii="Times New Roman" w:hAnsi="Times New Roman" w:cs="Times New Roman"/>
        </w:rPr>
        <w:fldChar w:fldCharType="begin"/>
      </w:r>
      <w:r w:rsidR="009710D9">
        <w:rPr>
          <w:rFonts w:ascii="Times New Roman" w:hAnsi="Times New Roman" w:cs="Times New Roman"/>
        </w:rPr>
        <w:instrText xml:space="preserve"> ADDIN ZOTERO_ITEM CSL_CITATION {"citationID":"a1pk4rsbf2d","properties":{"formattedCitation":"\\super 193,195\\uc0\\u8211{}197\\nosupersub{}","plainCitation":"193,195–197","noteIndex":0},"citationItems":[{"id":1058,"uris":["http://zotero.org/groups/4669668/items/98ILX9UI"],"itemData":{"id":1058,"type":"chapter","abstract":"Fowles and Nansen’s chapter discusses insect-based bioconversion. When insects are mass produced under controlled conditions, they can break down significant quantities of food waste. Further, as the insects consume this waste, they produce multiple valuable commodities, such as insect biomass (proteins, lipids), pharmaceuticals, biofuels, lubricants, and fertilizer from their excrement. This process is called bioconversion and will be a serious contender among food waste treatment options in the coming decades. Insect bioconversion is gaining traction both as a research topic and as a business opportunity. Fowles and Nansen discuss both the need to increase capacity and to maximize the potential benefits of using insects as bioconverters of food waste. They provide both theoretical and practical solutions for expanding insect-based bioconversion to food waste streams.","container-title":"Food Waste Management: Solving the Wicked Problem","event-place":"Cham","ISBN":"978-3-030-20561-4","language":"en","note":"DOI: 10.1007/978-3-030-20561-4_12","page":"321-346","publisher":"Springer International Publishing","publisher-place":"Cham","source":"Springer Link","title":"Insect-based bioconversion: value from food waste","title-short":"Insect-based bioconversion","URL":"https://doi.org/10.1007/978-3-030-20561-4_12","author":[{"family":"Fowles","given":"Trevor M."},{"family":"Nansen","given":"Christian"}],"editor":[{"family":"Närvänen","given":"Elina"},{"family":"Mesiranta","given":"Nina"},{"family":"Mattila","given":"Malla"},{"family":"Heikkinen","given":"Anna"}],"accessed":{"date-parts":[["2022",4,23]]},"issued":{"date-parts":[["2020"]]}}},{"id":1018,"uris":["http://zotero.org/groups/4669668/items/36ZFB4CT"],"itemData":{"id":1018,"type":"article-journal","abstract":"Each year, the food supply chain produces more than 1.3 billion tons of food and agricultural waste, which poses serious environmental problems. The loss of the massive quantity of secondary and primary metabolites retrievable from this resource is a significant concern. What if there is a global solution that caters to the numerous problems arising due to the humongous volume of waste biomass generated in every part of the world? Insects, the tiny creatures that thrive in decaying organic matter, which can concentrate the nutrients present in dilute quantities in a variety of by-products, are an economically viable option. The bioconversion and nutritional upcycling of waste biomass with insects yield high-value products such as protein, lipids, chitin and frass. Insect-derived proteins can replace conventional protein sources in feed formulations. Notably, the ability of the black soldier fly (BSF) or Hermetia illucens to grow on diverse substrates such as agri-food industry side streams and other organic waste proves advantageous. However, the data on industrial-scale extraction, fractionation techniques and biorefinery schemes for screening the nutritional potential of BSF are scarce. This review attempts to break down every facet of insect processing and analyze the processing methods of BSF, and the functional properties of nutrients obtained thereof.","container-title":"Processes","DOI":"10.3390/pr8070857","ISSN":"2227-9717","issue":"7","language":"en","license":"http://creativecommons.org/licenses/by/3.0/","note":"number: 7\npublisher: Multidisciplinary Digital Publishing Institute","page":"857","source":"www.mdpi.com","title":"Larvae mediated valorization of industrial, agriculture and food wastes: biorefinery concept through bioconversion, processes, procedures, and products","title-short":"Larvae mediated valorization of industrial, agriculture and food wastes","volume":"8","author":[{"family":"Ravi","given":"Harish Karthikeyan"},{"family":"Degrou","given":"Antoine"},{"family":"Costil","given":"Jérôme"},{"family":"Trespeuch","given":"Christophe"},{"family":"Chemat","given":"Farid"},{"family":"Vian","given":"Maryline Abert"}],"issued":{"date-parts":[["2020",7]]}}},{"id":1137,"uris":["http://zotero.org/groups/4669668/items/Z8WKLL3B"],"itemData":{"id":1137,"type":"article-journal","abstract":"Insects are able to convert organic material (i.e. waste and by products) into high-quality biomass, which can be processed into animal feed. Several studies have investigated the influence of growing substrates on the nutritional value of different insect species, particularly black soldier fly larvae and prepupae. This article reviews studies on how insects bioconvert different substrates, the effect of the substrate on the composition of insect meals, and on the development time (time needed to reach the harvesting state). All these studies indicate that insects convert low and high quality organic material (i.e. waste, by products, compound feeds) into high-quality insect biomass. The role and effects of selected nutrients, such as ether extract/fats, carbohydrates and fibre in the substrate, seem to be key factors in defining the features of the biomass as well as the time needed to reach the harvesting state.","container-title":"Journal of Insects as Food and Feed","DOI":"10.3920/JIFF2020.0110","issue":"5","note":"number: 5\npublisher: Wageningen Academic Publishers","page":"585-596","source":"wageningenacademic.com (Atypon)","title":"Substrate as insect feed for bio-mass production","volume":"7","author":[{"family":"Pinotti","given":"L."},{"family":"Ottoboni","given":"M."}],"issued":{"date-parts":[["2021",8,13]]}}},{"id":1130,"uris":["http://zotero.org/groups/4669668/items/M6HHYYHR"],"itemData":{"id":1130,"type":"article-journal","abstract":"The challenge of feeding over 9 billion humans by 2050 requires a ‘rethink’ of the current linear food production system. In the view of a circular economy, insects can provide a possible solution to valorise waste to produce new foods and materials, as well as the opportunity to solve some environmental problems. Tenebrio molitor (TM) is the first insect approved by the European Commission as a novel food and widely explored by the research world. Although mass production of TM is still not competitive compared to traditional protein sources, studies and companies in the sector are improving the entire production process to meet the growing need for alternative and sustainable protein foods. The use of food loss and waste to replace commercial feed in TM rearing can improve the economic and environmental sustainability of the production process. Furthermore, the exploitation of the variety of TM-based products can lead to the creation of new value chains and employment opportunities. In this review, we focus on the ability of TM to convert low-value substrates into novel foods and materials, as well as the possibility of using the TM rearing waste to obtain fertilisers and bioproducts, such as chitin and chitosan. TM capacity to degrade plastic waste such as polyethylene and polystyrene, thanks to its highly differentiated gut microbiota, is mentioned. Critical aspects related to sustainability and scaling-up of TM rearing are analysed. Hints on food safety of TM-based products are provided. Therefore, this study is a comprehensive review of TM multifunctionality and, at the same time, identifies possible ways to improve the economic and environmental impact of this insect with a circular economy perspective.","container-title":"Journal of Insects as Food and Feed","DOI":"10.3920/JIFF2021.0101","note":"publisher: Wageningen Academic Publishers","page":"1-16","source":"wageningenacademic.com (Atypon)","title":"Valorisation of agri-food waste and mealworms rearing residues for improving the sustainability of Tenebrio molitor industrial production","author":[{"family":"Sangiorgio","given":"P."},{"family":"Verardi","given":"A."},{"family":"Dimatteo","given":"S."},{"family":"Spagnoletta","given":"A."},{"family":"Moliterni","given":"S."},{"family":"Errico","given":"S."}],"issued":{"date-parts":[["2021",10,5]]}}}],"schema":"https://github.com/citation-style-language/schema/raw/master/csl-citation.json"} </w:instrText>
      </w:r>
      <w:r w:rsidRPr="00B84532">
        <w:rPr>
          <w:rFonts w:ascii="Times New Roman" w:hAnsi="Times New Roman" w:cs="Times New Roman"/>
        </w:rPr>
        <w:fldChar w:fldCharType="separate"/>
      </w:r>
      <w:r w:rsidR="009710D9" w:rsidRPr="009710D9">
        <w:rPr>
          <w:rFonts w:ascii="Times New Roman" w:hAnsi="Times New Roman" w:cs="Times New Roman"/>
          <w:szCs w:val="24"/>
          <w:vertAlign w:val="superscript"/>
        </w:rPr>
        <w:t>193,195–197</w:t>
      </w:r>
      <w:r w:rsidRPr="00B84532">
        <w:rPr>
          <w:rFonts w:ascii="Times New Roman" w:hAnsi="Times New Roman" w:cs="Times New Roman"/>
        </w:rPr>
        <w:fldChar w:fldCharType="end"/>
      </w:r>
      <w:r w:rsidRPr="00B84532">
        <w:rPr>
          <w:rFonts w:ascii="Times New Roman" w:hAnsi="Times New Roman" w:cs="Times New Roman"/>
        </w:rPr>
        <w:t>. Dry substrates such as cereal left over, are preferred by coleopteran species while dipteran require a moisture content of about 65% and therefore wet food is more suitable</w:t>
      </w:r>
      <w:r>
        <w:rPr>
          <w:rFonts w:ascii="Times New Roman" w:hAnsi="Times New Roman" w:cs="Times New Roman"/>
        </w:rPr>
        <w:t>, although use of freshwater should be a consideration here</w:t>
      </w:r>
      <w:r w:rsidRPr="00B84532">
        <w:rPr>
          <w:rFonts w:ascii="Times New Roman" w:hAnsi="Times New Roman" w:cs="Times New Roman"/>
        </w:rPr>
        <w:t xml:space="preserve">. Worldwide insects are seen as a potential instrument for waste management solving both waste and nutrient (protein) issues. The use of food and agricultural waste as grow-out substrate is a key factor for the insect industry with a circular economy perspective </w:t>
      </w:r>
      <w:r w:rsidRPr="00B84532">
        <w:rPr>
          <w:rFonts w:ascii="Times New Roman" w:hAnsi="Times New Roman" w:cs="Times New Roman"/>
        </w:rPr>
        <w:fldChar w:fldCharType="begin"/>
      </w:r>
      <w:r w:rsidR="008F5480">
        <w:rPr>
          <w:rFonts w:ascii="Times New Roman" w:hAnsi="Times New Roman" w:cs="Times New Roman"/>
        </w:rPr>
        <w:instrText xml:space="preserve"> ADDIN ZOTERO_ITEM CSL_CITATION {"citationID":"a8i0rc323a","properties":{"formattedCitation":"\\super 197,198\\nosupersub{}","plainCitation":"197,198","noteIndex":0},"citationItems":[{"id":1140,"uris":["http://zotero.org/groups/4669668/items/2LYDMXHW"],"itemData":{"id":1140,"type":"article-journal","abstract":"Food loss and waste are serious threats to the sustainability of our food systems. Innovative and multi-faced solutions are continuously being proposed, tested and implemented by researchers, government authorities, non-government bodies and food industries to tackle this problem of food waste. Insect-based bioconversions have been reported as a marketable solution for reducing food waste. This rather novel approach can efficiently convert several tonnes of food waste into valuable products including human food, animal feed, fertiliser and other secondary industrial compounds. This paper couples the production of edible insects with the valorisation of food waste, providing an attractive key for closing the loop of food value chain. Current status of insect processing and their importance in circular economy is also discussed in detail.","container-title":"Waste Management","DOI":"10.1016/j.wasman.2020.09.010","ISSN":"0956-053X","journalAbbreviation":"Waste Management","language":"en","page":"600-609","source":"ScienceDirect","title":"Food waste valorisation and circular economy concepts in insect production and processing","volume":"118","author":[{"family":"Ojha","given":"Shikha"},{"family":"Bußler","given":"Sara"},{"family":"Schlüter","given":"Oliver K."}],"issued":{"date-parts":[["2020",12,1]]}}},{"id":1130,"uris":["http://zotero.org/groups/4669668/items/M6HHYYHR"],"itemData":{"id":1130,"type":"article-journal","abstract":"The challenge of feeding over 9 billion humans by 2050 requires a ‘rethink’ of the current linear food production system. In the view of a circular economy, insects can provide a possible solution to valorise waste to produce new foods and materials, as well as the opportunity to solve some environmental problems. Tenebrio molitor (TM) is the first insect approved by the European Commission as a novel food and widely explored by the research world. Although mass production of TM is still not competitive compared to traditional protein sources, studies and companies in the sector are improving the entire production process to meet the growing need for alternative and sustainable protein foods. The use of food loss and waste to replace commercial feed in TM rearing can improve the economic and environmental sustainability of the production process. Furthermore, the exploitation of the variety of TM-based products can lead to the creation of new value chains and employment opportunities. In this review, we focus on the ability of TM to convert low-value substrates into novel foods and materials, as well as the possibility of using the TM rearing waste to obtain fertilisers and bioproducts, such as chitin and chitosan. TM capacity to degrade plastic waste such as polyethylene and polystyrene, thanks to its highly differentiated gut microbiota, is mentioned. Critical aspects related to sustainability and scaling-up of TM rearing are analysed. Hints on food safety of TM-based products are provided. Therefore, this study is a comprehensive review of TM multifunctionality and, at the same time, identifies possible ways to improve the economic and environmental impact of this insect with a circular economy perspective.","container-title":"Journal of Insects as Food and Feed","DOI":"10.3920/JIFF2021.0101","note":"publisher: Wageningen Academic Publishers","page":"1-16","source":"wageningenacademic.com (Atypon)","title":"Valorisation of agri-food waste and mealworms rearing residues for improving the sustainability of Tenebrio molitor industrial production","author":[{"family":"Sangiorgio","given":"P."},{"family":"Verardi","given":"A."},{"family":"Dimatteo","given":"S."},{"family":"Spagnoletta","given":"A."},{"family":"Moliterni","given":"S."},{"family":"Errico","given":"S."}],"issued":{"date-parts":[["2021",10,5]]}}}],"schema":"https://github.com/citation-style-language/schema/raw/master/csl-citation.json"} </w:instrText>
      </w:r>
      <w:r w:rsidRPr="00B84532">
        <w:rPr>
          <w:rFonts w:ascii="Times New Roman" w:hAnsi="Times New Roman" w:cs="Times New Roman"/>
        </w:rPr>
        <w:fldChar w:fldCharType="separate"/>
      </w:r>
      <w:r w:rsidR="008F5480" w:rsidRPr="008F5480">
        <w:rPr>
          <w:rFonts w:ascii="Times New Roman" w:hAnsi="Times New Roman" w:cs="Times New Roman"/>
          <w:szCs w:val="24"/>
          <w:vertAlign w:val="superscript"/>
        </w:rPr>
        <w:t>197,198</w:t>
      </w:r>
      <w:r w:rsidRPr="00B84532">
        <w:rPr>
          <w:rFonts w:ascii="Times New Roman" w:hAnsi="Times New Roman" w:cs="Times New Roman"/>
        </w:rPr>
        <w:fldChar w:fldCharType="end"/>
      </w:r>
      <w:r w:rsidRPr="00B84532">
        <w:rPr>
          <w:rFonts w:ascii="Times New Roman" w:hAnsi="Times New Roman" w:cs="Times New Roman"/>
        </w:rPr>
        <w:t>. However, as the European Union is concerned, insects are labeled as “</w:t>
      </w:r>
      <w:bookmarkStart w:id="5" w:name="OLE_LINK40"/>
      <w:r w:rsidRPr="00B84532">
        <w:rPr>
          <w:rFonts w:ascii="Times New Roman" w:hAnsi="Times New Roman" w:cs="Times New Roman"/>
        </w:rPr>
        <w:t xml:space="preserve">farmed animals” and therefore can only be fed in accordance </w:t>
      </w:r>
      <w:bookmarkEnd w:id="5"/>
      <w:r w:rsidRPr="00B84532">
        <w:rPr>
          <w:rFonts w:ascii="Times New Roman" w:hAnsi="Times New Roman" w:cs="Times New Roman"/>
        </w:rPr>
        <w:t>with general animal feed law</w:t>
      </w:r>
      <w:r>
        <w:rPr>
          <w:rFonts w:ascii="Times New Roman" w:hAnsi="Times New Roman" w:cs="Times New Roman"/>
        </w:rPr>
        <w:fldChar w:fldCharType="begin"/>
      </w:r>
      <w:r w:rsidR="00A64865">
        <w:rPr>
          <w:rFonts w:ascii="Times New Roman" w:hAnsi="Times New Roman" w:cs="Times New Roman"/>
        </w:rPr>
        <w:instrText xml:space="preserve"> ADDIN ZOTERO_ITEM CSL_CITATION {"citationID":"arqo1fminu","properties":{"formattedCitation":"\\super 194,199\\nosupersub{}","plainCitation":"194,199","noteIndex":0},"citationItems":[{"id":1155,"uris":["http://zotero.org/groups/4669668/items/U2AC52WM"],"itemData":{"id":1155,"type":"article-journal","abstract":"This paper reviews current knowledge on two feedstuffs, that is, insect meal and fish by-products, as alternatives to conventional animal protein sources. After an introductory part that highlights the need for sustainable development of animal production, the alternative protein sources are discussed. In particular, after providing some indications on their production and supply focussing on EU, a SWOT (Strengths, Weaknesses, Opportunities, and Threats) analysis was performed to identify the key factors that could help or impair the development of both protein sources production sectors. Finally, future perspectives are presented. The use of processed animal proteins derived from insects in farmed fish feeding is recognised by the EU legislation that authorises the use of proteins from seven insect species and the allowed substrates to rear insects. Insects have several advantages in nutritional value and the amino acid composition of their proteins generally meet animal requirements for good growth and health. The SWOT analysis indicated that insect meals can be considered as feed functional ingredients with beneficial properties that depend on the insect species, rearing system adopted, and the substrate used for their growth. Insects are expected to be increasingly used as a replacement for conventional animal-derived proteins, especially in aquafeeds. In the section regarding fishery and aquaculture by-products, the potential use of raw materials obtained during seafood processing is discussed. Peptides and amino acids recovered from as hydrolysed proteins can be used in animal feeds to partially substitute conventional protein feedstuffs thus providing nutrients, bioactive compounds and feed additives for animals. The SWOT analysis identified opportunities and weaknesses. Both the alternative protein sources are promising alternative feed ingredients for livestock production.HighlightsThe sustainable development of animal production sector needs alternative protein sources for feeds formulation.Insects and fishery- and aquaculture by-products represent optimal alternative protein sources.A SWOT analysis has identified the key factors for the development of both protein sources production sectors.","container-title":"Italian Journal of Animal Science","DOI":"10.1080/1828051X.2020.1743209","ISSN":"NULL","issue":"1","note":"number: 1\npublisher: Taylor &amp; Francis\n_eprint: https://doi.org/10.1080/1828051X.2020.1743209","page":"360-372","source":"Taylor and Francis+NEJM","title":"Insect and fish by-products as sustainable alternatives to conventional animal proteins in animal nutrition","volume":"19","author":[{"family":"Gasco","given":"Laura"},{"family":"Acuti","given":"Gabriele"},{"family":"Bani","given":"Paolo"},{"family":"Dalle Zotte","given":"Antonella"},{"family":"Danieli","given":"Pier Paolo"},{"family":"De Angelis","given":"Anna"},{"family":"Fortina","given":"Riccardo"},{"family":"Marino","given":"Rosaria"},{"family":"Parisi","given":"Giuliana"},{"family":"Piccolo","given":"Giovanni"},{"family":"Pinotti","given":"Luciano"},{"family":"Prandini","given":"Aldo"},{"family":"Schiavone","given":"Achille"},{"family":"Terova","given":"Genciana"},{"family":"Tulli","given":"Francesca"},{"family":"Roncarati","given":"Alessandra"}],"issued":{"date-parts":[["2020",12,14]]}}},{"id":1014,"uris":["http://zotero.org/groups/4669668/items/BB4RALUW"],"itemData":{"id":1014,"type":"article-journal","abstract":"Recently, insects have received increased attention as an important source of sustainable raw materials for animal feed, especially in fish, poultry, and swine. In particular, the most promising species are represented by the black soldier fly (Hermetia illucens, HI), the yellow mealworm (Tenebrio molitor, TM), and the common house fly (Musca domestica, MD). Although rapid development is expected, insects remain underutilized in the animal feed industry mainly due to technical, financial, and regulatory barriers. In addition, few works have analyzed consumer and stakeholder points of view towards the use of insects as animal feed. In this article, we summarize the main findings of this body of research and provide a discussion of consumer studies regarding the consumption of animals fed with insects. Our review suggests that consumer acceptance will not be a barrier towards the development of this novel protein industry. Furthermore, we conclude that it will be of interest to understand whether the use of this more sustainable feed source might increase consumer willingness to pay for animal products fed with insects and whether the overall acceptability, from a sensory point of view, will be perceived better than conventional products. Finally, the main challenges of the feed farming industry are addressed.","container-title":"Animals","DOI":"10.3390/ani9040119","ISSN":"2076-2615","issue":"4","language":"en","license":"http://creativecommons.org/licenses/by/3.0/","note":"number: 4\npublisher: Multidisciplinary Digital Publishing Institute","page":"119","source":"www.mdpi.com","title":"The potential role of insects as feed: a multi-perspective review","title-short":"The potential role of insects as feed","volume":"9","author":[{"family":"Sogari","given":"Giovanni"},{"family":"Amato","given":"Mario"},{"family":"Biasato","given":"Ilaria"},{"family":"Chiesa","given":"Silvana"},{"family":"Gasco","given":"Laura"}],"issued":{"date-parts":[["2019",4]]}}}],"schema":"https://github.com/citation-style-language/schema/raw/master/csl-citation.json"} </w:instrText>
      </w:r>
      <w:r>
        <w:rPr>
          <w:rFonts w:ascii="Times New Roman" w:hAnsi="Times New Roman" w:cs="Times New Roman"/>
        </w:rPr>
        <w:fldChar w:fldCharType="separate"/>
      </w:r>
      <w:r w:rsidR="00A64865" w:rsidRPr="00A64865">
        <w:rPr>
          <w:rFonts w:ascii="Times New Roman" w:hAnsi="Times New Roman" w:cs="Times New Roman"/>
          <w:szCs w:val="24"/>
          <w:vertAlign w:val="superscript"/>
        </w:rPr>
        <w:t>194,199</w:t>
      </w:r>
      <w:r>
        <w:rPr>
          <w:rFonts w:ascii="Times New Roman" w:hAnsi="Times New Roman" w:cs="Times New Roman"/>
        </w:rPr>
        <w:fldChar w:fldCharType="end"/>
      </w:r>
      <w:r w:rsidRPr="00B84532">
        <w:rPr>
          <w:rFonts w:ascii="Times New Roman" w:hAnsi="Times New Roman" w:cs="Times New Roman"/>
        </w:rPr>
        <w:t xml:space="preserve">. This poses limits on the sector development and potential long term economic viability. If reared on non-otherwise </w:t>
      </w:r>
      <w:proofErr w:type="spellStart"/>
      <w:r w:rsidRPr="00B84532">
        <w:rPr>
          <w:rFonts w:ascii="Times New Roman" w:hAnsi="Times New Roman" w:cs="Times New Roman"/>
        </w:rPr>
        <w:t>valorised</w:t>
      </w:r>
      <w:proofErr w:type="spellEnd"/>
      <w:r w:rsidRPr="00B84532">
        <w:rPr>
          <w:rFonts w:ascii="Times New Roman" w:hAnsi="Times New Roman" w:cs="Times New Roman"/>
        </w:rPr>
        <w:t xml:space="preserve"> side-streams, insects are manifestly more sustainable than most of the other protein sources </w:t>
      </w:r>
      <w:r w:rsidRPr="00B84532">
        <w:rPr>
          <w:rFonts w:ascii="Times New Roman" w:hAnsi="Times New Roman" w:cs="Times New Roman"/>
        </w:rPr>
        <w:fldChar w:fldCharType="begin"/>
      </w:r>
      <w:r w:rsidR="00505252">
        <w:rPr>
          <w:rFonts w:ascii="Times New Roman" w:hAnsi="Times New Roman" w:cs="Times New Roman"/>
        </w:rPr>
        <w:instrText xml:space="preserve"> ADDIN ZOTERO_ITEM CSL_CITATION {"citationID":"a131mr0800a","properties":{"formattedCitation":"\\super 192,200\\uc0\\u8211{}202\\nosupersub{}","plainCitation":"192,200–202","noteIndex":0},"citationItems":[{"id":1125,"uris":["http://zotero.org/groups/4669668/items/QDDP3XHN"],"itemData":{"id":1125,"type":"article-journal","abstract":"With a growing world population, increasingly demanding consumers, and a limited amount of agricultural land, there is an urgent need to find alternatives to conventional meat products. Livestock production is, moreover, a leading cause of anthropogenic-induced climate change. To mediate this, more sustainable diets are needed, with reduced meat consumption or the use of alternative protein sources. Insects are promoted as human food and animal feed worldwide. In tropical countries, edible insects are harvested from nature, but overexploitation, habitat changes, and environmental contamination threaten this food resource. Therefore, sustainable harvesting practices need to be developed and implemented. We provide examples of (1) aquatic insects whose populations are threatened by pollution, (2) caterpillar species in Africa that are disappearing due to overexploitation and habitat change, (3) edible insects species that are considered pests in agro-ecosystems, and (4) edible insect species that can be conserved and enhanced in forest management systems. Insect farming can be conducted either on small-scale farms or in large-scale industrialized rearing facilities. We review the environmental sustainability of insect farming compared to livestock production. The major environmental advantages of insect farming compared to livestock production are as follows: (1) less land and water is required; (2) greenhouse gas emissions are lower; (3) insects have high feed conversion efficiencies; (4) insects can transform low-value organic by-products into high-quality food or feed; and (5) certain insect species can be used as animal feed or aqua feed. For instance, they can replace fish meal, which is becoming increasingly scarce and expensive. However, edible insect species intended for production should be screened for risks to humans, animals, plants, and biodiversity.","container-title":"Agronomy for Sustainable Development","DOI":"10.1007/s13593-017-0452-8","ISSN":"1773-0155","issue":"5","journalAbbreviation":"Agron. Sustain. Dev.","language":"en","note":"number: 5","page":"43","source":"Springer Link","title":"The environmental sustainability of insects as food and feed. A review","volume":"37","author":[{"family":"Huis","given":"Arnold","non-dropping-particle":"van"},{"family":"Oonincx","given":"Dennis G. A. B."}],"issued":{"date-parts":[["2017",9,15]]}}},{"id":870,"uris":["http://zotero.org/groups/4669668/items/SGYWXAVY"],"itemData":{"id":870,"type":"article-journal","abstract":"Projections point to a global increase in meat consumption as a result of rising income and changes in food patterns, especially in developing countries. Poultry meat is an option for supplying this demand and Brazil is currently the main global exporter of this protein. Of the resources involved in this industrial process, soybean meal, which is a protein source for farmed animals, requires a large quantity of energy. In order to increase the sustainability of the poultry industry, it is necessary to find a more efficient alternative to this poultry feed. Through emergy assessment, this study proposes to evaluate the production and processing of Black Soldier Fly Larvae (BSFL) as an insect meal and to compare its use with soybean meal in a Brazilian poultry production system. The biological capacity of BSFL to convert the remaining energy from a previous process (grain residue) into a novel protein is demonstrated by emergetic indices, whose best values favor this new technology. Transformity (emergy per energy of the product) decreased 144.74% while renewability increased by 45.64%. The emergy yield ratio (EYR) reduced from 1.71 to 1.00 in insect meal production compared to soybean meal, the environmental loading ratio (ELR) improved from 1.99 to 1.04 and the emergy sustainable index (ESI) improved from 0.86 to 0.96. Gains were also observed in poultry production: the transformity of poultry meat decreased by 16.45% (156,104 sej/J), renewability increased by 25.03%, EYR increased from 1.33 to 1.41 and ELR reduced from 4.96 to 3.68, when insect meal was used in comparison to soybean meal. These results, based on an experimental model, imply that BSFL meal can improve sustainability in the Brazilian poultry production process. Challenges and possibilities regarding the use of insect meal by the Brazilian poultry industry are discussed.","container-title":"Journal of Cleaner Production","DOI":"10.1016/j.jclepro.2017.09.244","ISSN":"0959-6526","journalAbbreviation":"Journal of Cleaner Production","language":"en","page":"403-412","source":"ScienceDirect","title":"Insect as feed: An emergy assessment of insect meal as a sustainable protein source for the Brazilian poultry industry","title-short":"Insect as feed","volume":"171","author":[{"family":"Allegretti","given":"Gabriela"},{"family":"Talamini","given":"Edson"},{"family":"Schmidt","given":"Verônica"},{"family":"Bogorni","given":"Paulo Cesar"},{"family":"Ortega","given":"Enrique"}],"issued":{"date-parts":[["2018",1,10]]}}},{"id":1129,"uris":["http://zotero.org/groups/4669668/items/WWL973XQ"],"itemData":{"id":1129,"type":"article-journal","abstract":"The lack of protein sources in several parts of the world is triggering the search for locally produced and sustainable alternatives. Insect production is recognized as a potential solution. This study is a life cycle assessment (LCA) of food industry side streams transformation via Hermetia illucens into intermediate products applicable for feed and food purposes. It relies on attributional modelling for the estimation of the most impacting stages of insect production and on consequential modelling for the estimation of potential benefits or risks for the agri-food system. The consequential LCA included effects on the market, associated with upstream increase in feed (increase in commercial feed production) or downstream availability of insect product (substitution of fertilizer, protein concentrate for feed or chicken meat). Attributional and consequential LCAs are followed by sensitivity analyses, which identify the most promising directions towards sustainable insect production and estimate the magnitude of impact reductions if those directions are pursued by the industry. Analyses of the existing pilot process largely correspond with other findings in the literature, indicating fresh insect biomass is almost twice more sustainable than fresh chicken meat. Produced at pilot scale, protein concentrate (insect meal) while being competitive against animal-derived (whey, egg protein, fishmeal) and microalgae, has higher environmental impacts than plant-based meals. Further scenarios illustrate strategies for more sustainable use of environmental resources providing guidance for producers and funding agencies to direct the industry to an impact profile that is lower, than many existing protein sources.","container-title":"Resources, Conservation and Recycling","DOI":"10.1016/j.resconrec.2019.01.042","ISSN":"0921-3449","journalAbbreviation":"Resources, Conservation and Recycling","language":"en","page":"285-296","source":"ScienceDirect","title":"Sustainable use of Hermetia illucens insect biomass for feed and food: Attributional and consequential life cycle assessment","title-short":"Sustainable use of Hermetia illucens insect biomass for feed and food","volume":"144","author":[{"family":"Smetana","given":"Sergiy"},{"family":"Schmitt","given":"Eric"},{"family":"Mathys","given":"Alexander"}],"issued":{"date-parts":[["2019",5,1]]}}},{"id":1156,"uris":["http://zotero.org/groups/4669668/items/DJKUHZZZ"],"itemData":{"id":1156,"type":"chapter","container-title":"Emerging Technologies, Environment and Research for Sustainable Aquaculture","ISBN":"1-83881-200-8","page":"1-14","publisher":"IntechOpen London, UK","title":"Insects in aquaculture nutrition: an emerging eco-friendly approach or commercial reality?","author":[{"family":"Freccia","given":"André"},{"family":"Tubin","given":"Jiovani Sergio Bee"},{"family":"Rombenso","given":"Artur Nishioka"},{"family":"Emerenciano","given":"Maurício Gustavo Coelho"}],"issued":{"date-parts":[["2020"]]}}}],"schema":"https://github.com/citation-style-language/schema/raw/master/csl-citation.json"} </w:instrText>
      </w:r>
      <w:r w:rsidRPr="00B84532">
        <w:rPr>
          <w:rFonts w:ascii="Times New Roman" w:hAnsi="Times New Roman" w:cs="Times New Roman"/>
        </w:rPr>
        <w:fldChar w:fldCharType="separate"/>
      </w:r>
      <w:r w:rsidR="00505252" w:rsidRPr="00505252">
        <w:rPr>
          <w:rFonts w:ascii="Times New Roman" w:hAnsi="Times New Roman" w:cs="Times New Roman"/>
          <w:szCs w:val="24"/>
          <w:vertAlign w:val="superscript"/>
        </w:rPr>
        <w:t>192,200–202</w:t>
      </w:r>
      <w:r w:rsidRPr="00B84532">
        <w:rPr>
          <w:rFonts w:ascii="Times New Roman" w:hAnsi="Times New Roman" w:cs="Times New Roman"/>
        </w:rPr>
        <w:fldChar w:fldCharType="end"/>
      </w:r>
      <w:r w:rsidRPr="00B84532">
        <w:rPr>
          <w:rFonts w:ascii="Times New Roman" w:hAnsi="Times New Roman" w:cs="Times New Roman"/>
        </w:rPr>
        <w:t xml:space="preserve">. They do not enter direct </w:t>
      </w:r>
      <w:r w:rsidRPr="00B84532">
        <w:rPr>
          <w:rFonts w:ascii="Times New Roman" w:hAnsi="Times New Roman" w:cs="Times New Roman"/>
        </w:rPr>
        <w:lastRenderedPageBreak/>
        <w:t xml:space="preserve">competition for food with other livestock and are highly efficient in converting feed mass into body mass </w:t>
      </w:r>
      <w:r w:rsidRPr="00B84532">
        <w:rPr>
          <w:rFonts w:ascii="Times New Roman" w:hAnsi="Times New Roman" w:cs="Times New Roman"/>
        </w:rPr>
        <w:fldChar w:fldCharType="begin"/>
      </w:r>
      <w:r w:rsidR="00F84786">
        <w:rPr>
          <w:rFonts w:ascii="Times New Roman" w:hAnsi="Times New Roman" w:cs="Times New Roman"/>
        </w:rPr>
        <w:instrText xml:space="preserve"> ADDIN ZOTERO_ITEM CSL_CITATION {"citationID":"a13kv09hgrp","properties":{"formattedCitation":"\\super 192\\nosupersub{}","plainCitation":"192","noteIndex":0},"citationItems":[{"id":1156,"uris":["http://zotero.org/groups/4669668/items/DJKUHZZZ"],"itemData":{"id":1156,"type":"chapter","container-title":"Emerging Technologies, Environment and Research for Sustainable Aquaculture","ISBN":"1-83881-200-8","page":"1-14","publisher":"IntechOpen London, UK","title":"Insects in aquaculture nutrition: an emerging eco-friendly approach or commercial reality?","author":[{"family":"Freccia","given":"André"},{"family":"Tubin","given":"Jiovani Sergio Bee"},{"family":"Rombenso","given":"Artur Nishioka"},{"family":"Emerenciano","given":"Maurício Gustavo Coelho"}],"issued":{"date-parts":[["2020"]]}}}],"schema":"https://github.com/citation-style-language/schema/raw/master/csl-citation.json"} </w:instrText>
      </w:r>
      <w:r w:rsidRPr="00B84532">
        <w:rPr>
          <w:rFonts w:ascii="Times New Roman" w:hAnsi="Times New Roman" w:cs="Times New Roman"/>
        </w:rPr>
        <w:fldChar w:fldCharType="separate"/>
      </w:r>
      <w:r w:rsidR="00F84786" w:rsidRPr="00F84786">
        <w:rPr>
          <w:rFonts w:ascii="Times New Roman" w:hAnsi="Times New Roman" w:cs="Times New Roman"/>
          <w:szCs w:val="24"/>
          <w:vertAlign w:val="superscript"/>
        </w:rPr>
        <w:t>192</w:t>
      </w:r>
      <w:r w:rsidRPr="00B84532">
        <w:rPr>
          <w:rFonts w:ascii="Times New Roman" w:hAnsi="Times New Roman" w:cs="Times New Roman"/>
        </w:rPr>
        <w:fldChar w:fldCharType="end"/>
      </w:r>
      <w:r w:rsidRPr="00B84532">
        <w:rPr>
          <w:rFonts w:ascii="Times New Roman" w:hAnsi="Times New Roman" w:cs="Times New Roman"/>
        </w:rPr>
        <w:t xml:space="preserve">. Compared to terrestrial crops, insects have shorter production cycles, and require lower water inputs and land area to produce the same yield of protein </w:t>
      </w:r>
      <w:r w:rsidRPr="00B84532">
        <w:rPr>
          <w:rFonts w:ascii="Times New Roman" w:hAnsi="Times New Roman" w:cs="Times New Roman"/>
        </w:rPr>
        <w:fldChar w:fldCharType="begin"/>
      </w:r>
      <w:r w:rsidR="002C3EAF">
        <w:rPr>
          <w:rFonts w:ascii="Times New Roman" w:hAnsi="Times New Roman" w:cs="Times New Roman"/>
        </w:rPr>
        <w:instrText xml:space="preserve"> ADDIN ZOTERO_ITEM CSL_CITATION {"citationID":"a1nkoagscum","properties":{"formattedCitation":"\\super 203\\nosupersub{}","plainCitation":"203","noteIndex":0},"citationItems":[{"id":1070,"uris":["http://zotero.org/groups/4669668/items/N9SX2KI2"],"itemData":{"id":1070,"type":"article-journal","abstract":"Environmental pollution, population increase, water availability and misuse of land are inexorably driving humans to take on important challenges related to sustainability. The next future is expected to see a significant increase of food and feed demands, which determines a serious threat to well-being levels and even survival of modern societies. Within this scenario, the efficient and sustainable use of insects as protein sources has been invoked as a possible strategic solution. As a candidate for remarkable growth, insect farming promises significant benefits to agri-food industry, offering interesting opportunities for implementing circular economy. In the present work, we review selected literature on insect rearing with the aim of providing a short rigorous introduction to the field to researchers, entrepreneurs and common readers. After a general overview of the field, including a description of insect nutritional values, the review focuses on the three insect species that are seemingly set to beneficially affect aquaculture, which is the activity presently more sensitive to circularity and sustainability innovation. Once traditional and advanced insect rearing methods are described, the challenges that the field is going to tackle are suitably highlighted.","container-title":"Sustainability","DOI":"10.3390/su12114567","ISSN":"2071-1050","issue":"11","language":"en","license":"http://creativecommons.org/licenses/by/3.0/","note":"number: 11\npublisher: Multidisciplinary Digital Publishing Institute","page":"4567","source":"www.mdpi.com","title":"Insect rearing: potential, challenges, and circularity","title-short":"Insect rearing","volume":"12","author":[{"family":"Cadinu","given":"Lorenzo A."},{"family":"Barra","given":"Paolo"},{"family":"Torre","given":"Francesco"},{"family":"Delogu","given":"Francesco"},{"family":"Madau","given":"Fabio A."}],"issued":{"date-parts":[["2020",1]]}}}],"schema":"https://github.com/citation-style-language/schema/raw/master/csl-citation.json"} </w:instrText>
      </w:r>
      <w:r w:rsidRPr="00B84532">
        <w:rPr>
          <w:rFonts w:ascii="Times New Roman" w:hAnsi="Times New Roman" w:cs="Times New Roman"/>
        </w:rPr>
        <w:fldChar w:fldCharType="separate"/>
      </w:r>
      <w:r w:rsidR="002C3EAF" w:rsidRPr="002C3EAF">
        <w:rPr>
          <w:rFonts w:ascii="Times New Roman" w:hAnsi="Times New Roman" w:cs="Times New Roman"/>
          <w:szCs w:val="24"/>
          <w:vertAlign w:val="superscript"/>
        </w:rPr>
        <w:t>203</w:t>
      </w:r>
      <w:r w:rsidRPr="00B84532">
        <w:rPr>
          <w:rFonts w:ascii="Times New Roman" w:hAnsi="Times New Roman" w:cs="Times New Roman"/>
        </w:rPr>
        <w:fldChar w:fldCharType="end"/>
      </w:r>
      <w:r w:rsidRPr="00B84532">
        <w:rPr>
          <w:rFonts w:ascii="Times New Roman" w:hAnsi="Times New Roman" w:cs="Times New Roman"/>
        </w:rPr>
        <w:t xml:space="preserve">. </w:t>
      </w:r>
    </w:p>
    <w:p w14:paraId="762307C7" w14:textId="6D455F89" w:rsidR="00607518" w:rsidRPr="00DF7BC4" w:rsidRDefault="00607518" w:rsidP="00607518">
      <w:pPr>
        <w:spacing w:line="360" w:lineRule="auto"/>
        <w:ind w:firstLine="720"/>
        <w:contextualSpacing/>
        <w:jc w:val="both"/>
        <w:rPr>
          <w:rFonts w:ascii="Times New Roman" w:hAnsi="Times New Roman" w:cs="Times New Roman"/>
        </w:rPr>
      </w:pPr>
      <w:r w:rsidRPr="00B84532">
        <w:rPr>
          <w:rFonts w:ascii="Times New Roman" w:hAnsi="Times New Roman" w:cs="Times New Roman"/>
        </w:rPr>
        <w:t>The insect nutrient content depends on the species, the life stage and on environmental parameters such as temperature</w:t>
      </w:r>
      <w:r>
        <w:rPr>
          <w:rFonts w:ascii="Times New Roman" w:hAnsi="Times New Roman" w:cs="Times New Roman"/>
        </w:rPr>
        <w:t xml:space="preserve"> or</w:t>
      </w:r>
      <w:r w:rsidRPr="00B84532">
        <w:rPr>
          <w:rFonts w:ascii="Times New Roman" w:hAnsi="Times New Roman" w:cs="Times New Roman"/>
        </w:rPr>
        <w:t xml:space="preserve"> substrate composition used for larvae grow-out and light </w:t>
      </w:r>
      <w:r w:rsidRPr="00B84532">
        <w:rPr>
          <w:rFonts w:ascii="Times New Roman" w:hAnsi="Times New Roman" w:cs="Times New Roman"/>
        </w:rPr>
        <w:fldChar w:fldCharType="begin"/>
      </w:r>
      <w:r w:rsidR="0095482A">
        <w:rPr>
          <w:rFonts w:ascii="Times New Roman" w:hAnsi="Times New Roman" w:cs="Times New Roman"/>
        </w:rPr>
        <w:instrText xml:space="preserve"> ADDIN ZOTERO_ITEM CSL_CITATION {"citationID":"a12uhk90md9","properties":{"formattedCitation":"\\super 177,178,193\\nosupersub{}","plainCitation":"177,178,193","noteIndex":0},"citationItems":[{"id":1018,"uris":["http://zotero.org/groups/4669668/items/36ZFB4CT"],"itemData":{"id":1018,"type":"article-journal","abstract":"Each year, the food supply chain produces more than 1.3 billion tons of food and agricultural waste, which poses serious environmental problems. The loss of the massive quantity of secondary and primary metabolites retrievable from this resource is a significant concern. What if there is a global solution that caters to the numerous problems arising due to the humongous volume of waste biomass generated in every part of the world? Insects, the tiny creatures that thrive in decaying organic matter, which can concentrate the nutrients present in dilute quantities in a variety of by-products, are an economically viable option. The bioconversion and nutritional upcycling of waste biomass with insects yield high-value products such as protein, lipids, chitin and frass. Insect-derived proteins can replace conventional protein sources in feed formulations. Notably, the ability of the black soldier fly (BSF) or Hermetia illucens to grow on diverse substrates such as agri-food industry side streams and other organic waste proves advantageous. However, the data on industrial-scale extraction, fractionation techniques and biorefinery schemes for screening the nutritional potential of BSF are scarce. This review attempts to break down every facet of insect processing and analyze the processing methods of BSF, and the functional properties of nutrients obtained thereof.","container-title":"Processes","DOI":"10.3390/pr8070857","ISSN":"2227-9717","issue":"7","language":"en","license":"http://creativecommons.org/licenses/by/3.0/","note":"number: 7\npublisher: Multidisciplinary Digital Publishing Institute","page":"857","source":"www.mdpi.com","title":"Larvae mediated valorization of industrial, agriculture and food wastes: biorefinery concept through bioconversion, processes, procedures, and products","title-short":"Larvae mediated valorization of industrial, agriculture and food wastes","volume":"8","author":[{"family":"Ravi","given":"Harish Karthikeyan"},{"family":"Degrou","given":"Antoine"},{"family":"Costil","given":"Jérôme"},{"family":"Trespeuch","given":"Christophe"},{"family":"Chemat","given":"Farid"},{"family":"Vian","given":"Maryline Abert"}],"issued":{"date-parts":[["2020",7]]}}},{"id":1047,"uris":["http://zotero.org/groups/4669668/items/4XERUE52"],"itemData":{"id":1047,"type":"article-journal","abstract":"Sustainable production of healthy food for a growing global population, in the face of the uncertainties of climate change, represents a major challenge for the coming decade. Livestock provide food with high nutritional value but are frequently fed on human-edible crops and are associated with significant production of greenhouse gases. Recent years have seen increasing interest in the farming of insects as a sustainable source of human food, or as a replacement of ingredients such as soya or fishmeal in the feeds of terrestrial livestock or fish. This review provides an overview of insect physiology and growth regulation, considers the requirements for insect farming and mass production, and summarizes the nutritional value of the 10 most commonly studied insect species, before reviewing the literature on the use of insects as feed and food. We highlight the challenges required to develop a sustainable, safe, and affordable insect farming industry.","container-title":"Annual Review of Animal Biosciences","DOI":"10.1146/annurev-animal-021419-083930","issue":"1","note":"number: 1\n_eprint: https://doi.org/10.1146/annurev-animal-021419-083930\nPMID: 33228376","page":"333-354","source":"Annual Reviews","title":"Insects: a potential source of protein and other nutrients for feed and food","title-short":"Insects","volume":"9","author":[{"family":"Hawkey","given":"Kerensa J."},{"family":"Lopez-Viso","given":"Carlos"},{"family":"Brameld","given":"John M."},{"family":"Parr","given":"Tim"},{"family":"Salter","given":"Andrew M."}],"issued":{"date-parts":[["2021"]]}}},{"id":1139,"uris":["http://zotero.org/groups/4669668/items/MC42WVG7"],"itemData":{"id":1139,"type":"article-journal","abstract":"This article reports on the nutrients present in insects and factors affecting their variability. Data on protein content and amino acid profiles of a variety of insect species are discussed and their amino acid profiles compared to nutrient requirements of growing broiler chicks, catfish, trout, swine, and human adults and young children. Both in vitro and in vivo protein digestibility data for a variety of insect species is presented and factors affecting these data are discussed. Furthermore, the fat content and fatty acid profiles of a variety of insect species is reviewed, with special attention on omega-6 and omega-3 fatty acids. Information on carbohydrates, fibre and chitin in insects is shown along with potential effects on nutrient availability. This is followed by a discussion of essential minerals in insects with an emphasis on calcium and phosphorus. Data on insect vitamin content is shown along with a discussion of antinutritional factors such as phytate and thiaminase, which can adversely affect their nutritional value. Dietary effects on insect nutrient composition are reviewed with an emphasis on essential minerals, heavy metals, vitamin E, and carotenoids. Lastly, the effects of processing, including protein extraction and various cooking methods on insect composition are discussed. In summary, this article provides an overview of the nutrient content of insects, and how select nutrients can be altered.","container-title":"Journal of Insects as Food and Feed","DOI":"10.3920/JIFF2020.0050","issue":"5","note":"number: 5\npublisher: Wageningen Academic Publishers","page":"639-659","source":"wageningenacademic.com (Atypon)","title":"Nutritional value of insects and ways to manipulate their composition","volume":"7","author":[{"family":"Oonincx","given":"D.g.a.b."},{"family":"Finke","given":"M.d."}],"issued":{"date-parts":[["2021",8,13]]}}}],"schema":"https://github.com/citation-style-language/schema/raw/master/csl-citation.json"} </w:instrText>
      </w:r>
      <w:r w:rsidRPr="00B84532">
        <w:rPr>
          <w:rFonts w:ascii="Times New Roman" w:hAnsi="Times New Roman" w:cs="Times New Roman"/>
        </w:rPr>
        <w:fldChar w:fldCharType="separate"/>
      </w:r>
      <w:r w:rsidR="0095482A" w:rsidRPr="0095482A">
        <w:rPr>
          <w:rFonts w:ascii="Times New Roman" w:hAnsi="Times New Roman" w:cs="Times New Roman"/>
          <w:szCs w:val="24"/>
          <w:vertAlign w:val="superscript"/>
        </w:rPr>
        <w:t>177,178,193</w:t>
      </w:r>
      <w:r w:rsidRPr="00B84532">
        <w:rPr>
          <w:rFonts w:ascii="Times New Roman" w:hAnsi="Times New Roman" w:cs="Times New Roman"/>
        </w:rPr>
        <w:fldChar w:fldCharType="end"/>
      </w:r>
      <w:r w:rsidRPr="00B84532">
        <w:rPr>
          <w:rFonts w:ascii="Times New Roman" w:hAnsi="Times New Roman" w:cs="Times New Roman"/>
        </w:rPr>
        <w:t xml:space="preserve">. Keeping in mind the metabolism of each species, which favors the synthesis of specific FAs, the available literature agreed on the influence of the rearing substrate on the lipid fraction of resulting larvae, both in terms of quantity and FA composition. Terrestrial insects do not naturally contain LC-PUFA such as EPA and DHA, reflecting the terrestrial ecosystem lacking these FA. The use of substrates containing these FA enables their accumulation in larvae. Likewise, the breeding substrate influences the mineral and vitamin fraction of the final </w:t>
      </w:r>
      <w:r w:rsidRPr="00680DD3">
        <w:rPr>
          <w:rFonts w:ascii="Times New Roman" w:hAnsi="Times New Roman" w:cs="Times New Roman"/>
        </w:rPr>
        <w:t xml:space="preserve">product </w:t>
      </w:r>
      <w:r w:rsidRPr="00680DD3">
        <w:rPr>
          <w:rFonts w:ascii="Times New Roman" w:hAnsi="Times New Roman" w:cs="Times New Roman"/>
        </w:rPr>
        <w:fldChar w:fldCharType="begin"/>
      </w:r>
      <w:r w:rsidR="00A343A5">
        <w:rPr>
          <w:rFonts w:ascii="Times New Roman" w:hAnsi="Times New Roman" w:cs="Times New Roman"/>
        </w:rPr>
        <w:instrText xml:space="preserve"> ADDIN ZOTERO_ITEM CSL_CITATION {"citationID":"aos72vh8mu","properties":{"formattedCitation":"\\super 204\\uc0\\u8211{}208\\nosupersub{}","plainCitation":"204–208","noteIndex":0},"citationItems":[{"id":868,"uris":["http://zotero.org/groups/4669668/items/6TFZGS4W"],"itemData":{"id":868,"type":"article-journal","abstract":"Insects can become a key element of sustainable foods in the future. However, terrestrial insects have high levels of saturated fatty acids (SFA) and are very low in very long change polyunsaturated fatty acids (VLCPUFA), which could limit their use as food. In this experiment, we studied the modification of the FA composition of Hermetia illucens larvae by varying the composition of the larval feed. The effects of diets enriched in n-3 VLCPUFA on FA compositions of insect larvae were studied. Eight experimental groups of larvae were fed with an experimental diet for different durations before slaughter. The addition of n-3 to the larval diets resulted in an insect meal with three times more n-3 and therefore a lower n-6:n-3 ratio than those of the control insect meal. The amounts of n-3 VLCPUFA in Hermetia larvae could be altered by dietary manipulation in a short period of time.","container-title":"Journal of Food Composition and Analysis","DOI":"10.1016/j.jfca.2017.04.008","ISSN":"0889-1575","journalAbbreviation":"Journal of Food Composition and Analysis","language":"en","page":"8-13","source":"ScienceDirect","title":"Insects as food: Enrichment of larvae of Hermetia illucens with omega 3 fatty acids by means of dietary modifications","title-short":"Insects as food","volume":"62","author":[{"family":"Barroso","given":"Fernando G."},{"family":"Sánchez-Muros","given":"María-José"},{"family":"Segura","given":"Macarena"},{"family":"Morote","given":"Elvira"},{"family":"Torres","given":"Alejandro"},{"family":"Ramos","given":"Rebeca"},{"family":"Guil","given":"José-Luis"}],"issued":{"date-parts":[["2017",9,1]]}}},{"id":867,"uris":["http://zotero.org/groups/4669668/items/NFI5I353"],"itemData":{"id":867,"type":"article-journal","abstract":"Black soldier fly (BSF) larvae (Hermetia illucens) might be an advantageous option for recycling fish waste for obtaining n-3-fatty acid-rich foods. To investigate the effects of consuming fish waste (an n-3-fatty acid-rich by-product) on the fatty acid (FA) profiles of BSF, larvae were assigned to experimental feeding systems according to the time fish waste was eaten before slaughtering: BSFc-control (without eating fish) and BSF1d, BSF2d, BSF4d, BSF6d, BSF8d, BSF10d and BSF12d (1, 2, 4, 6, 8, 10 and 12 days eating fish, respectively). The percentage of n-3 polyunsaturated fatty acids (PUFAs) increases significantly (P &lt; 0.001) from 4.32 in BSFc to 14.8% in BSF12d. Larval biomass was notably enriched in both eicosapentaenoic (EPA) (up to 7.2%) (P &lt; 0.001) and docosahexaenoic (DHA) (up to 4.9%) (P &lt; 0.001) fatty acids, while the consumption time of fish waste increased, and the n-6:n-3 ratio and both the atherogenicity (AI) and thrombogenicity (TI) indices were reduced (P &lt; 0.001). The maximum percentage of EPA + DHA (12.2% of total fatty acids) (P &lt; 0.001) was obtained at 12 days. The recommended daily intake of both n-3 PUFAs for humans could be satisfied with 150 g of a 12-day-feed larval meal.","container-title":"Journal of Food Composition and Analysis","DOI":"10.1016/j.jfca.2019.103237","ISSN":"0889-1575","journalAbbreviation":"Journal of Food Composition and Analysis","language":"en","page":"103237","source":"ScienceDirect","title":"Production of n-3-rich insects by bioaccumulation of fishery waste","volume":"82","author":[{"family":"Barroso","given":"Fernando G."},{"family":"Sánchez-Muros","given":"María José"},{"family":"Rincón","given":"Miguel Ángel"},{"family":"Rodriguez-Rodriguez","given":"María"},{"family":"Fabrikov","given":"Dmitri"},{"family":"Morote","given":"Elvira"},{"family":"Guil-Guerrero","given":"José Luis"}],"issued":{"date-parts":[["2019",9,1]]}}},{"id":1160,"uris":["http://zotero.org/groups/4669668/items/68TEAL2E"],"itemData":{"id":1160,"type":"article-journal","abstract":"The black soldier fly (BSF; Hermetia illucens L.) is a very promising insect species due to the ability to convert low-value substrates in highly nutrient feed. This work aimed to study the effect of three nominally isoenergetic diets containing plant ingredients such as barley, alfalfa, and wheat byproducts, formulated to be higher in nonfiber carbohydrates (TMD1), fibers (TMD2), and protein (TMD3) in comparison to an extensively genetic modified cereal (cornmeal)-based diet (C), on the growth, yield, and nutritive traits of BSF prepupae (BSFPs). Three growing trials with four biological replicates were carried out. Proximate and fatty acid analyses were performed on the diets and BSFPs. Feed conversion ratios (FCR), dry matter and nutrient yields, and apparent concentration factors (aBCF) for fatty acids (FAs) were calculated. Diet formulation had a substantial effect on the survival, development rate, and larval yield, but the FCR was unaffected. The BSFPs fed TMD3 did not result in a higher crude protein content in comparison to the C or TMD2 diets. Despite the leveled fat content of the diets, BSFPs reared on TMD1 were highest in fat, saturated FA, and fat yield. An apparent bioconcentration factor (aBCF) value lower than unity that was found for the unsaturated FA suggests that the BSFPs inefficiently absorb them from the diet or possibly turn them into saturated FA. However, the unsaturated FA accumulation in BSFPs depended on the levels that were found in the diet, which suggested some possibilities for the FA profile modulation. Overall, the TMD2 performed well despite the low-value of its main ingredients and high fiber content and can be considered to be a feasible option for the mass rearing of BSFPs that are intended for animal feed.","container-title":"Animals","DOI":"10.3390/ani9040178","ISSN":"2076-2615","issue":"4","language":"en","license":"http://creativecommons.org/licenses/by/3.0/","note":"number: 4\npublisher: Multidisciplinary Digital Publishing Institute","page":"178","source":"www.mdpi.com","title":"The Effects of Diet Formulation on the Yield, Proximate Composition, and Fatty Acid Profile of the Black Soldier Fly (Hermetia illucens L.) Prepupae Intended for Animal Feed","volume":"9","author":[{"family":"Danieli","given":"Pier Paolo"},{"family":"Lussiana","given":"Carola"},{"family":"Gasco","given":"Laura"},{"family":"Amici","given":"Andrea"},{"family":"Ronchi","given":"Bruno"}],"issued":{"date-parts":[["2019",4]]}}},{"id":1158,"uris":["http://zotero.org/groups/4669668/items/WMGQXYL2"],"itemData":{"id":1158,"type":"article-journal","abstract":"Black soldier fly larvae (Hermetia illucens; BSFL) can convert organic wastes into a nutrient-rich biomass suitable in animal feed, which could be a way to achieve more sustainable production of food. However, little is known about how the diet fed to BSFL affects their nutritional value, especially their fatty acid composition. In this study, BSFL were fed 11 diets based on four different organic waste sources (mussels, bread, fish and food waste). Fatty acid and proximate composition (dry matter, crude fat, crude protein and ash) were analysed in the diets, in two-week-old larvae and substrate residues. Larval weight, survival and feed conversion were also recorded. The diet was found to affect all parameters investigated. Irrespective of diet, the larval fat consisted mainly of lauric acid and other saturated fatty acids and these were found to be synthesised by the larvae. However, both the fatty acid composition of the substrate, and the larval weight were found to affect the fatty acid profile of the larvae. In general, larvae with a higher weight contained a higher percentage of saturated fatty acids and a lower percentage of unsaturated fatty acids, such as eicosapentaenoic (EPA) and docosahexaenoic acid (DHA). It was concluded that the possibilities to tailor the fatty acid composition of the BSFL through the diet are limited; thus, the BSFL fat may not be suitable to replace fish oil, but has potential of inclusion in other food, feed and fuel products.","container-title":"Waste Management","DOI":"10.1016/j.wasman.2019.10.014","ISSN":"0956-053X","journalAbbreviation":"Waste Management","language":"en","page":"40-47","source":"ScienceDirect","title":"Fatty acid composition of black soldier fly larvae (Hermetia illucens) – Possibilities and limitations for modification through diet","volume":"102","author":[{"family":"Ewald","given":"Nils"},{"family":"Vidakovic","given":"Aleksandar"},{"family":"Langeland","given":"Markus"},{"family":"Kiessling","given":"Anders"},{"family":"Sampels","given":"Sabine"},{"family":"Lalander","given":"Cecilia"}],"issued":{"date-parts":[["2020",2,1]]}}},{"id":1143,"uris":["http://zotero.org/groups/4669668/items/SPG9PCSG"],"itemData":{"id":1143,"type":"article-journal","abstract":"Black soldier fly (Hermetia illucens) larvae are a promising source of protein and lipid for animal feeds. The nutritional composition of the BSF larvae depend partly on the composition of the feeding medium. The BSF lipid profile in part mimics the feeding media lipid profile, and micronutrients, like minerals and vitamins, can readily accumulate in black soldier fly larvae. However, investigative studies on bioconversion and accumulation of nutrients from media to black soldier fly larvae are scarce. Here we show that inclusion of the brown algae Ascophyllum nodosum in the substrate for black soldier fly larvae can introduce valuable nutrients, commonly associated with the marine environment, into the larvae. The omega-3 fatty acid eicosapentaenoic acid (20:5n-3), iodine and vitamin E concentrations increased in the larvae when more seaweed was included in the diet. When the feeding media consisted of more than 50% seaweed, the larvae experienced poorer growth, lower nutrient retention and lower lipid levels, compared to a pure plant based feeding medium. Our results confirm the plasticity of the nutritional make-up of black soldier fly larvae, allowing it to accumulate both lipid- and water-soluble compounds. A broader understanding of the effect of the composition of the feeding media on the larvae composition can help to tailor black soldier fly larvae into a nutrient profile more suited for specific feed or food purposes.","container-title":"PLOS ONE","DOI":"10.1371/journal.pone.0183188","ISSN":"1932-6203","issue":"8","journalAbbreviation":"PLOS ONE","language":"en","note":"number: 8\npublisher: Public Library of Science","page":"e0183188","source":"PLoS Journals","title":"Modulation of nutrient composition of black soldier fly (Hermetia illucens) larvae by feeding seaweed-enriched media","volume":"12","author":[{"family":"Liland","given":"Nina S."},{"family":"Biancarosa","given":"Irene"},{"family":"Araujo","given":"Pedro"},{"family":"Biemans","given":"Daan"},{"family":"Bruckner","given":"Christian G."},{"family":"Waagbø","given":"Rune"},{"family":"Torstensen","given":"Bente E."},{"family":"Lock","given":"Erik-Jan"}],"issued":{"date-parts":[["2017",8,24]]}}}],"schema":"https://github.com/citation-style-language/schema/raw/master/csl-citation.json"} </w:instrText>
      </w:r>
      <w:r w:rsidRPr="00680DD3">
        <w:rPr>
          <w:rFonts w:ascii="Times New Roman" w:hAnsi="Times New Roman" w:cs="Times New Roman"/>
        </w:rPr>
        <w:fldChar w:fldCharType="separate"/>
      </w:r>
      <w:r w:rsidR="00A343A5" w:rsidRPr="00A343A5">
        <w:rPr>
          <w:rFonts w:ascii="Times New Roman" w:hAnsi="Times New Roman" w:cs="Times New Roman"/>
          <w:szCs w:val="24"/>
          <w:vertAlign w:val="superscript"/>
        </w:rPr>
        <w:t>204–208</w:t>
      </w:r>
      <w:r w:rsidRPr="00680DD3">
        <w:rPr>
          <w:rFonts w:ascii="Times New Roman" w:hAnsi="Times New Roman" w:cs="Times New Roman"/>
        </w:rPr>
        <w:fldChar w:fldCharType="end"/>
      </w:r>
      <w:r w:rsidRPr="00680DD3">
        <w:rPr>
          <w:rFonts w:ascii="Times New Roman" w:hAnsi="Times New Roman" w:cs="Times New Roman"/>
        </w:rPr>
        <w:t>. However, while macron</w:t>
      </w:r>
      <w:r w:rsidRPr="00B84532">
        <w:rPr>
          <w:rFonts w:ascii="Times New Roman" w:hAnsi="Times New Roman" w:cs="Times New Roman"/>
        </w:rPr>
        <w:t xml:space="preserve">utrient composition </w:t>
      </w:r>
      <w:r w:rsidR="000F13EB">
        <w:rPr>
          <w:rFonts w:ascii="Times New Roman" w:hAnsi="Times New Roman" w:cs="Times New Roman"/>
        </w:rPr>
        <w:t>(</w:t>
      </w:r>
      <w:r w:rsidRPr="00B84532">
        <w:rPr>
          <w:rFonts w:ascii="Times New Roman" w:hAnsi="Times New Roman" w:cs="Times New Roman"/>
        </w:rPr>
        <w:t>including total protein content</w:t>
      </w:r>
      <w:r w:rsidR="000F13EB">
        <w:rPr>
          <w:rFonts w:ascii="Times New Roman" w:hAnsi="Times New Roman" w:cs="Times New Roman"/>
        </w:rPr>
        <w:t>)</w:t>
      </w:r>
      <w:r w:rsidRPr="00B84532">
        <w:rPr>
          <w:rFonts w:ascii="Times New Roman" w:hAnsi="Times New Roman" w:cs="Times New Roman"/>
        </w:rPr>
        <w:t xml:space="preserve">, </w:t>
      </w:r>
      <w:r w:rsidR="000F13EB">
        <w:rPr>
          <w:rFonts w:ascii="Times New Roman" w:hAnsi="Times New Roman" w:cs="Times New Roman"/>
        </w:rPr>
        <w:t xml:space="preserve">is related to insect composition </w:t>
      </w:r>
      <w:r w:rsidRPr="00B84532">
        <w:rPr>
          <w:rFonts w:ascii="Times New Roman" w:hAnsi="Times New Roman" w:cs="Times New Roman"/>
        </w:rPr>
        <w:t xml:space="preserve">and the quantity of nutrients in the substrate, </w:t>
      </w:r>
      <w:r w:rsidR="000F13EB">
        <w:rPr>
          <w:rFonts w:ascii="Times New Roman" w:hAnsi="Times New Roman" w:cs="Times New Roman"/>
        </w:rPr>
        <w:t>amino acid (AA) composition is inconsistent in the literature</w:t>
      </w:r>
      <w:r w:rsidRPr="00B84532">
        <w:rPr>
          <w:rFonts w:ascii="Times New Roman" w:hAnsi="Times New Roman" w:cs="Times New Roman"/>
        </w:rPr>
        <w:t xml:space="preserve">. In fact, some studies reported an impact of the substrate on AA composition </w:t>
      </w:r>
      <w:r w:rsidRPr="00B84532">
        <w:rPr>
          <w:rFonts w:ascii="Times New Roman" w:hAnsi="Times New Roman" w:cs="Times New Roman"/>
        </w:rPr>
        <w:fldChar w:fldCharType="begin"/>
      </w:r>
      <w:r w:rsidR="00A55B49">
        <w:rPr>
          <w:rFonts w:ascii="Times New Roman" w:hAnsi="Times New Roman" w:cs="Times New Roman"/>
        </w:rPr>
        <w:instrText xml:space="preserve"> ADDIN ZOTERO_ITEM CSL_CITATION {"citationID":"abr5cr3dj7","properties":{"formattedCitation":"\\super 209\\nosupersub{}","plainCitation":"209","noteIndex":0},"citationItems":[{"id":1056,"uris":["http://zotero.org/groups/4669668/items/CGVS88KE"],"itemData":{"id":1056,"type":"article-journal","abstract":"Insects are becoming increasingly relevant as protein sources in food and feed. The Black Soldier Fly (BSF) is one of the most utilized, thanks to its ability to live on many leftovers. Vegetable processing industries produce huge amounts of by-products, and it is important to efficiently rear BSF on different substrates to assure an economical advantage in bioconversion and to overcome the seasonality of some leftovers. This work evaluated how different substrates affect the protein and amino acid content of BSF. BSF prepupae reared on different substrates showed total protein content varying between 35% and 49% on dry matter. Significant lower protein contents were detected in BSF grown on fruit by-products, while higher contents were observed when autumnal leftovers were employed. BSF protein content was mainly correlated to fibre and protein content in the diet. Among amino acids, lysine, valine and leucine were most affected by the diet. Essential amino acids satisfied the Food and Agricultural Organization (FAO) requirements for human nutrition, except for lysine in few cases. BSF could be a flexible tool to bio-convert a wide range of vegetable by-products of different seasonality in a high-quality protein-rich biomass, even if significant differences in the protein fraction were observed according to the rearing substrate.","container-title":"Foods","DOI":"10.3390/foods10081773","ISSN":"2304-8158","issue":"8","language":"en","license":"http://creativecommons.org/licenses/by/3.0/","note":"number: 8\npublisher: Multidisciplinary Digital Publishing Institute","page":"1773","source":"www.mdpi.com","title":"Effect of the rearing substrate on total protein and amino acid composition in black soldier fly","volume":"10","author":[{"family":"Fuso","given":"Andrea"},{"family":"Barbi","given":"Silvia"},{"family":"Macavei","given":"Laura Ioana"},{"family":"Luparelli","given":"Anna Valentina"},{"family":"Maistrello","given":"Lara"},{"family":"Montorsi","given":"Monia"},{"family":"Sforza","given":"Stefano"},{"family":"Caligiani","given":"Augusta"}],"issued":{"date-parts":[["2021",8]]}}}],"schema":"https://github.com/citation-style-language/schema/raw/master/csl-citation.json"} </w:instrText>
      </w:r>
      <w:r w:rsidRPr="00B84532">
        <w:rPr>
          <w:rFonts w:ascii="Times New Roman" w:hAnsi="Times New Roman" w:cs="Times New Roman"/>
        </w:rPr>
        <w:fldChar w:fldCharType="separate"/>
      </w:r>
      <w:r w:rsidR="00A55B49" w:rsidRPr="00A55B49">
        <w:rPr>
          <w:rFonts w:ascii="Times New Roman" w:hAnsi="Times New Roman" w:cs="Times New Roman"/>
          <w:szCs w:val="24"/>
          <w:vertAlign w:val="superscript"/>
        </w:rPr>
        <w:t>209</w:t>
      </w:r>
      <w:r w:rsidRPr="00B84532">
        <w:rPr>
          <w:rFonts w:ascii="Times New Roman" w:hAnsi="Times New Roman" w:cs="Times New Roman"/>
        </w:rPr>
        <w:fldChar w:fldCharType="end"/>
      </w:r>
      <w:r w:rsidRPr="00B84532">
        <w:rPr>
          <w:rFonts w:ascii="Times New Roman" w:hAnsi="Times New Roman" w:cs="Times New Roman"/>
        </w:rPr>
        <w:t>, while others argue that these components are poorly modulated, as they are under genetic regulation</w:t>
      </w:r>
      <w:r w:rsidR="004B4D82">
        <w:rPr>
          <w:rFonts w:ascii="Times New Roman" w:hAnsi="Times New Roman" w:cs="Times New Roman"/>
        </w:rPr>
        <w:t xml:space="preserve"> and more uniform in profile</w:t>
      </w:r>
      <w:r w:rsidRPr="00B84532">
        <w:rPr>
          <w:rFonts w:ascii="Times New Roman" w:hAnsi="Times New Roman" w:cs="Times New Roman"/>
        </w:rPr>
        <w:t xml:space="preserve"> </w:t>
      </w:r>
      <w:r w:rsidRPr="00B84532">
        <w:rPr>
          <w:rFonts w:ascii="Times New Roman" w:hAnsi="Times New Roman" w:cs="Times New Roman"/>
        </w:rPr>
        <w:fldChar w:fldCharType="begin"/>
      </w:r>
      <w:r w:rsidR="001153F2">
        <w:rPr>
          <w:rFonts w:ascii="Times New Roman" w:hAnsi="Times New Roman" w:cs="Times New Roman"/>
        </w:rPr>
        <w:instrText xml:space="preserve"> ADDIN ZOTERO_ITEM CSL_CITATION {"citationID":"a1l9f36bn1l","properties":{"formattedCitation":"\\super 177,178,193,208\\nosupersub{}","plainCitation":"177,178,193,208","noteIndex":0},"citationItems":[{"id":1143,"uris":["http://zotero.org/groups/4669668/items/SPG9PCSG"],"itemData":{"id":1143,"type":"article-journal","abstract":"Black soldier fly (Hermetia illucens) larvae are a promising source of protein and lipid for animal feeds. The nutritional composition of the BSF larvae depend partly on the composition of the feeding medium. The BSF lipid profile in part mimics the feeding media lipid profile, and micronutrients, like minerals and vitamins, can readily accumulate in black soldier fly larvae. However, investigative studies on bioconversion and accumulation of nutrients from media to black soldier fly larvae are scarce. Here we show that inclusion of the brown algae Ascophyllum nodosum in the substrate for black soldier fly larvae can introduce valuable nutrients, commonly associated with the marine environment, into the larvae. The omega-3 fatty acid eicosapentaenoic acid (20:5n-3), iodine and vitamin E concentrations increased in the larvae when more seaweed was included in the diet. When the feeding media consisted of more than 50% seaweed, the larvae experienced poorer growth, lower nutrient retention and lower lipid levels, compared to a pure plant based feeding medium. Our results confirm the plasticity of the nutritional make-up of black soldier fly larvae, allowing it to accumulate both lipid- and water-soluble compounds. A broader understanding of the effect of the composition of the feeding media on the larvae composition can help to tailor black soldier fly larvae into a nutrient profile more suited for specific feed or food purposes.","container-title":"PLOS ONE","DOI":"10.1371/journal.pone.0183188","ISSN":"1932-6203","issue":"8","journalAbbreviation":"PLOS ONE","language":"en","note":"number: 8\npublisher: Public Library of Science","page":"e0183188","source":"PLoS Journals","title":"Modulation of nutrient composition of black soldier fly (Hermetia illucens) larvae by feeding seaweed-enriched media","volume":"12","author":[{"family":"Liland","given":"Nina S."},{"family":"Biancarosa","given":"Irene"},{"family":"Araujo","given":"Pedro"},{"family":"Biemans","given":"Daan"},{"family":"Bruckner","given":"Christian G."},{"family":"Waagbø","given":"Rune"},{"family":"Torstensen","given":"Bente E."},{"family":"Lock","given":"Erik-Jan"}],"issued":{"date-parts":[["2017",8,24]]}}},{"id":1018,"uris":["http://zotero.org/groups/4669668/items/36ZFB4CT"],"itemData":{"id":1018,"type":"article-journal","abstract":"Each year, the food supply chain produces more than 1.3 billion tons of food and agricultural waste, which poses serious environmental problems. The loss of the massive quantity of secondary and primary metabolites retrievable from this resource is a significant concern. What if there is a global solution that caters to the numerous problems arising due to the humongous volume of waste biomass generated in every part of the world? Insects, the tiny creatures that thrive in decaying organic matter, which can concentrate the nutrients present in dilute quantities in a variety of by-products, are an economically viable option. The bioconversion and nutritional upcycling of waste biomass with insects yield high-value products such as protein, lipids, chitin and frass. Insect-derived proteins can replace conventional protein sources in feed formulations. Notably, the ability of the black soldier fly (BSF) or Hermetia illucens to grow on diverse substrates such as agri-food industry side streams and other organic waste proves advantageous. However, the data on industrial-scale extraction, fractionation techniques and biorefinery schemes for screening the nutritional potential of BSF are scarce. This review attempts to break down every facet of insect processing and analyze the processing methods of BSF, and the functional properties of nutrients obtained thereof.","container-title":"Processes","DOI":"10.3390/pr8070857","ISSN":"2227-9717","issue":"7","language":"en","license":"http://creativecommons.org/licenses/by/3.0/","note":"number: 7\npublisher: Multidisciplinary Digital Publishing Institute","page":"857","source":"www.mdpi.com","title":"Larvae mediated valorization of industrial, agriculture and food wastes: biorefinery concept through bioconversion, processes, procedures, and products","title-short":"Larvae mediated valorization of industrial, agriculture and food wastes","volume":"8","author":[{"family":"Ravi","given":"Harish Karthikeyan"},{"family":"Degrou","given":"Antoine"},{"family":"Costil","given":"Jérôme"},{"family":"Trespeuch","given":"Christophe"},{"family":"Chemat","given":"Farid"},{"family":"Vian","given":"Maryline Abert"}],"issued":{"date-parts":[["2020",7]]}}},{"id":1047,"uris":["http://zotero.org/groups/4669668/items/4XERUE52"],"itemData":{"id":1047,"type":"article-journal","abstract":"Sustainable production of healthy food for a growing global population, in the face of the uncertainties of climate change, represents a major challenge for the coming decade. Livestock provide food with high nutritional value but are frequently fed on human-edible crops and are associated with significant production of greenhouse gases. Recent years have seen increasing interest in the farming of insects as a sustainable source of human food, or as a replacement of ingredients such as soya or fishmeal in the feeds of terrestrial livestock or fish. This review provides an overview of insect physiology and growth regulation, considers the requirements for insect farming and mass production, and summarizes the nutritional value of the 10 most commonly studied insect species, before reviewing the literature on the use of insects as feed and food. We highlight the challenges required to develop a sustainable, safe, and affordable insect farming industry.","container-title":"Annual Review of Animal Biosciences","DOI":"10.1146/annurev-animal-021419-083930","issue":"1","note":"number: 1\n_eprint: https://doi.org/10.1146/annurev-animal-021419-083930\nPMID: 33228376","page":"333-354","source":"Annual Reviews","title":"Insects: a potential source of protein and other nutrients for feed and food","title-short":"Insects","volume":"9","author":[{"family":"Hawkey","given":"Kerensa J."},{"family":"Lopez-Viso","given":"Carlos"},{"family":"Brameld","given":"John M."},{"family":"Parr","given":"Tim"},{"family":"Salter","given":"Andrew M."}],"issued":{"date-parts":[["2021"]]}}},{"id":1139,"uris":["http://zotero.org/groups/4669668/items/MC42WVG7"],"itemData":{"id":1139,"type":"article-journal","abstract":"This article reports on the nutrients present in insects and factors affecting their variability. Data on protein content and amino acid profiles of a variety of insect species are discussed and their amino acid profiles compared to nutrient requirements of growing broiler chicks, catfish, trout, swine, and human adults and young children. Both in vitro and in vivo protein digestibility data for a variety of insect species is presented and factors affecting these data are discussed. Furthermore, the fat content and fatty acid profiles of a variety of insect species is reviewed, with special attention on omega-6 and omega-3 fatty acids. Information on carbohydrates, fibre and chitin in insects is shown along with potential effects on nutrient availability. This is followed by a discussion of essential minerals in insects with an emphasis on calcium and phosphorus. Data on insect vitamin content is shown along with a discussion of antinutritional factors such as phytate and thiaminase, which can adversely affect their nutritional value. Dietary effects on insect nutrient composition are reviewed with an emphasis on essential minerals, heavy metals, vitamin E, and carotenoids. Lastly, the effects of processing, including protein extraction and various cooking methods on insect composition are discussed. In summary, this article provides an overview of the nutrient content of insects, and how select nutrients can be altered.","container-title":"Journal of Insects as Food and Feed","DOI":"10.3920/JIFF2020.0050","issue":"5","note":"number: 5\npublisher: Wageningen Academic Publishers","page":"639-659","source":"wageningenacademic.com (Atypon)","title":"Nutritional value of insects and ways to manipulate their composition","volume":"7","author":[{"family":"Oonincx","given":"D.g.a.b."},{"family":"Finke","given":"M.d."}],"issued":{"date-parts":[["2021",8,13]]}}}],"schema":"https://github.com/citation-style-language/schema/raw/master/csl-citation.json"} </w:instrText>
      </w:r>
      <w:r w:rsidRPr="00B84532">
        <w:rPr>
          <w:rFonts w:ascii="Times New Roman" w:hAnsi="Times New Roman" w:cs="Times New Roman"/>
        </w:rPr>
        <w:fldChar w:fldCharType="separate"/>
      </w:r>
      <w:r w:rsidR="001153F2" w:rsidRPr="001153F2">
        <w:rPr>
          <w:rFonts w:ascii="Times New Roman" w:hAnsi="Times New Roman" w:cs="Times New Roman"/>
          <w:szCs w:val="24"/>
          <w:vertAlign w:val="superscript"/>
        </w:rPr>
        <w:t>177,178,193,208</w:t>
      </w:r>
      <w:r w:rsidRPr="00B84532">
        <w:rPr>
          <w:rFonts w:ascii="Times New Roman" w:hAnsi="Times New Roman" w:cs="Times New Roman"/>
        </w:rPr>
        <w:fldChar w:fldCharType="end"/>
      </w:r>
      <w:r w:rsidRPr="00B84532">
        <w:rPr>
          <w:rFonts w:ascii="Times New Roman" w:hAnsi="Times New Roman" w:cs="Times New Roman"/>
        </w:rPr>
        <w:t xml:space="preserve">. Variability found on the AA composition is likely linked to different life stages considered during research. In general, insects are rich in fat, and in raw larvae the total lipid content is higher than the content of conventional feedstuff they intend to substitute in aquafeeds, such as FM and soybean meal </w:t>
      </w:r>
      <w:r w:rsidRPr="00B84532">
        <w:rPr>
          <w:rFonts w:ascii="Times New Roman" w:hAnsi="Times New Roman" w:cs="Times New Roman"/>
        </w:rPr>
        <w:fldChar w:fldCharType="begin"/>
      </w:r>
      <w:r w:rsidR="00712A49">
        <w:rPr>
          <w:rFonts w:ascii="Times New Roman" w:hAnsi="Times New Roman" w:cs="Times New Roman"/>
        </w:rPr>
        <w:instrText xml:space="preserve"> ADDIN ZOTERO_ITEM CSL_CITATION {"citationID":"a7f3ci0e8f","properties":{"formattedCitation":"\\super 177,178\\nosupersub{}","plainCitation":"177,178","noteIndex":0},"citationItems":[{"id":1047,"uris":["http://zotero.org/groups/4669668/items/4XERUE52"],"itemData":{"id":1047,"type":"article-journal","abstract":"Sustainable production of healthy food for a growing global population, in the face of the uncertainties of climate change, represents a major challenge for the coming decade. Livestock provide food with high nutritional value but are frequently fed on human-edible crops and are associated with significant production of greenhouse gases. Recent years have seen increasing interest in the farming of insects as a sustainable source of human food, or as a replacement of ingredients such as soya or fishmeal in the feeds of terrestrial livestock or fish. This review provides an overview of insect physiology and growth regulation, considers the requirements for insect farming and mass production, and summarizes the nutritional value of the 10 most commonly studied insect species, before reviewing the literature on the use of insects as feed and food. We highlight the challenges required to develop a sustainable, safe, and affordable insect farming industry.","container-title":"Annual Review of Animal Biosciences","DOI":"10.1146/annurev-animal-021419-083930","issue":"1","note":"number: 1\n_eprint: https://doi.org/10.1146/annurev-animal-021419-083930\nPMID: 33228376","page":"333-354","source":"Annual Reviews","title":"Insects: a potential source of protein and other nutrients for feed and food","title-short":"Insects","volume":"9","author":[{"family":"Hawkey","given":"Kerensa J."},{"family":"Lopez-Viso","given":"Carlos"},{"family":"Brameld","given":"John M."},{"family":"Parr","given":"Tim"},{"family":"Salter","given":"Andrew M."}],"issued":{"date-parts":[["2021"]]}}},{"id":1139,"uris":["http://zotero.org/groups/4669668/items/MC42WVG7"],"itemData":{"id":1139,"type":"article-journal","abstract":"This article reports on the nutrients present in insects and factors affecting their variability. Data on protein content and amino acid profiles of a variety of insect species are discussed and their amino acid profiles compared to nutrient requirements of growing broiler chicks, catfish, trout, swine, and human adults and young children. Both in vitro and in vivo protein digestibility data for a variety of insect species is presented and factors affecting these data are discussed. Furthermore, the fat content and fatty acid profiles of a variety of insect species is reviewed, with special attention on omega-6 and omega-3 fatty acids. Information on carbohydrates, fibre and chitin in insects is shown along with potential effects on nutrient availability. This is followed by a discussion of essential minerals in insects with an emphasis on calcium and phosphorus. Data on insect vitamin content is shown along with a discussion of antinutritional factors such as phytate and thiaminase, which can adversely affect their nutritional value. Dietary effects on insect nutrient composition are reviewed with an emphasis on essential minerals, heavy metals, vitamin E, and carotenoids. Lastly, the effects of processing, including protein extraction and various cooking methods on insect composition are discussed. In summary, this article provides an overview of the nutrient content of insects, and how select nutrients can be altered.","container-title":"Journal of Insects as Food and Feed","DOI":"10.3920/JIFF2020.0050","issue":"5","note":"number: 5\npublisher: Wageningen Academic Publishers","page":"639-659","source":"wageningenacademic.com (Atypon)","title":"Nutritional value of insects and ways to manipulate their composition","volume":"7","author":[{"family":"Oonincx","given":"D.g.a.b."},{"family":"Finke","given":"M.d."}],"issued":{"date-parts":[["2021",8,13]]}}}],"schema":"https://github.com/citation-style-language/schema/raw/master/csl-citation.json"} </w:instrText>
      </w:r>
      <w:r w:rsidRPr="00B84532">
        <w:rPr>
          <w:rFonts w:ascii="Times New Roman" w:hAnsi="Times New Roman" w:cs="Times New Roman"/>
        </w:rPr>
        <w:fldChar w:fldCharType="separate"/>
      </w:r>
      <w:r w:rsidR="00712A49" w:rsidRPr="00712A49">
        <w:rPr>
          <w:rFonts w:ascii="Times New Roman" w:hAnsi="Times New Roman" w:cs="Times New Roman"/>
          <w:szCs w:val="24"/>
          <w:vertAlign w:val="superscript"/>
        </w:rPr>
        <w:t>177,178</w:t>
      </w:r>
      <w:r w:rsidRPr="00B84532">
        <w:rPr>
          <w:rFonts w:ascii="Times New Roman" w:hAnsi="Times New Roman" w:cs="Times New Roman"/>
        </w:rPr>
        <w:fldChar w:fldCharType="end"/>
      </w:r>
      <w:r w:rsidRPr="00B84532">
        <w:rPr>
          <w:rFonts w:ascii="Times New Roman" w:hAnsi="Times New Roman" w:cs="Times New Roman"/>
        </w:rPr>
        <w:t>. High lipid levels could lead to oxidation process (rancidity), decreasing the shelf life and the quality of the meal. Therefore, insect producers currently apply defatting processes to</w:t>
      </w:r>
      <w:r w:rsidRPr="00632E3C">
        <w:rPr>
          <w:rFonts w:ascii="Times New Roman" w:hAnsi="Times New Roman" w:cs="Times New Roman"/>
        </w:rPr>
        <w:t xml:space="preserve"> </w:t>
      </w:r>
      <w:r w:rsidRPr="00DF7BC4">
        <w:rPr>
          <w:rFonts w:ascii="Times New Roman" w:hAnsi="Times New Roman" w:cs="Times New Roman"/>
        </w:rPr>
        <w:t xml:space="preserve">partially decrease the lipid content of resulting in insect-derived meals, aiming at lipid levels ranging from 4% to about 18% (DM) </w:t>
      </w:r>
      <w:r w:rsidRPr="00DF7BC4">
        <w:rPr>
          <w:rFonts w:ascii="Times New Roman" w:hAnsi="Times New Roman" w:cs="Times New Roman"/>
        </w:rPr>
        <w:fldChar w:fldCharType="begin"/>
      </w:r>
      <w:r w:rsidR="00E2566F">
        <w:rPr>
          <w:rFonts w:ascii="Times New Roman" w:hAnsi="Times New Roman" w:cs="Times New Roman"/>
        </w:rPr>
        <w:instrText xml:space="preserve"> ADDIN ZOTERO_ITEM CSL_CITATION {"citationID":"adogvtsiks","properties":{"unsorted":true,"formattedCitation":"\\super 210,193,177\\nosupersub{}","plainCitation":"210,193,177","noteIndex":0},"citationItems":[{"id":1134,"uris":["http://zotero.org/groups/4669668/items/LP9B7X4N"],"itemData":{"id":1134,"type":"article-journal","abstract":"Scrutiny of alternative solvents for the extraction of lipid constituents from black soldier fly (BSF) was the main theme of this research. The present investigation compared a wide array of solvents for the extraction of desired components theoretically using tools like Hansen solubility parameters (HSP), conductor-like screening model for real solvents (COSMO-RS) and technical data (ACD labs) with the application of hurdle technology for solvent screening. The ideal solvent selected was 2-methyloxolane (2-MeO) which was employed for conventional and multistage cross-current lipid extraction and the experimental data obtained was compared with that of n-hexane extract. Fatty acid profile, lipid class, bioactivity of the oils were analysed and were in good correlation with the theoretical prediction. The kinetics and diffusion modelling for the extraction system was proposed. The effect of solvent on protein quality parameters like protein dispersibility index, solubility in alkaline solution, urease index in the defatted flour was elucidated. The defatting step had no deleterious effect on the molecular weight distribution of soluble proteins. Overall the study manifested that 2-MeO had better lipid recovery, enhanced bioactivity in the BSF oil, and relatively better protein quality in the defatted flour.","container-title":"Journal of Cleaner Production","DOI":"10.1016/j.jclepro.2019.117861","ISSN":"0959-6526","journalAbbreviation":"Journal of Cleaner Production","language":"en","page":"117861","source":"ScienceDirect","title":"Alternative solvents for lipid extraction and their effect on protein quality in black soldier fly (Hermetia illucens) larvae","volume":"238","author":[{"family":"Ravi","given":"Harish Karthikeyan"},{"family":"Vian","given":"Maryline Abert"},{"family":"Tao","given":"Yang"},{"family":"Degrou","given":"Antoine"},{"family":"Costil","given":"Jérôme"},{"family":"Trespeuch","given":"Christophe"},{"family":"Chemat","given":"Farid"}],"issued":{"date-parts":[["2019",11,20]]}}},{"id":1018,"uris":["http://zotero.org/groups/4669668/items/36ZFB4CT"],"itemData":{"id":1018,"type":"article-journal","abstract":"Each year, the food supply chain produces more than 1.3 billion tons of food and agricultural waste, which poses serious environmental problems. The loss of the massive quantity of secondary and primary metabolites retrievable from this resource is a significant concern. What if there is a global solution that caters to the numerous problems arising due to the humongous volume of waste biomass generated in every part of the world? Insects, the tiny creatures that thrive in decaying organic matter, which can concentrate the nutrients present in dilute quantities in a variety of by-products, are an economically viable option. The bioconversion and nutritional upcycling of waste biomass with insects yield high-value products such as protein, lipids, chitin and frass. Insect-derived proteins can replace conventional protein sources in feed formulations. Notably, the ability of the black soldier fly (BSF) or Hermetia illucens to grow on diverse substrates such as agri-food industry side streams and other organic waste proves advantageous. However, the data on industrial-scale extraction, fractionation techniques and biorefinery schemes for screening the nutritional potential of BSF are scarce. This review attempts to break down every facet of insect processing and analyze the processing methods of BSF, and the functional properties of nutrients obtained thereof.","container-title":"Processes","DOI":"10.3390/pr8070857","ISSN":"2227-9717","issue":"7","language":"en","license":"http://creativecommons.org/licenses/by/3.0/","note":"number: 7\npublisher: Multidisciplinary Digital Publishing Institute","page":"857","source":"www.mdpi.com","title":"Larvae mediated valorization of industrial, agriculture and food wastes: biorefinery concept through bioconversion, processes, procedures, and products","title-short":"Larvae mediated valorization of industrial, agriculture and food wastes","volume":"8","author":[{"family":"Ravi","given":"Harish Karthikeyan"},{"family":"Degrou","given":"Antoine"},{"family":"Costil","given":"Jérôme"},{"family":"Trespeuch","given":"Christophe"},{"family":"Chemat","given":"Farid"},{"family":"Vian","given":"Maryline Abert"}],"issued":{"date-parts":[["2020",7]]}},"suppress-author":true},{"id":1047,"uris":["http://zotero.org/groups/4669668/items/4XERUE52"],"itemData":{"id":1047,"type":"article-journal","abstract":"Sustainable production of healthy food for a growing global population, in the face of the uncertainties of climate change, represents a major challenge for the coming decade. Livestock provide food with high nutritional value but are frequently fed on human-edible crops and are associated with significant production of greenhouse gases. Recent years have seen increasing interest in the farming of insects as a sustainable source of human food, or as a replacement of ingredients such as soya or fishmeal in the feeds of terrestrial livestock or fish. This review provides an overview of insect physiology and growth regulation, considers the requirements for insect farming and mass production, and summarizes the nutritional value of the 10 most commonly studied insect species, before reviewing the literature on the use of insects as feed and food. We highlight the challenges required to develop a sustainable, safe, and affordable insect farming industry.","container-title":"Annual Review of Animal Biosciences","DOI":"10.1146/annurev-animal-021419-083930","issue":"1","note":"number: 1\n_eprint: https://doi.org/10.1146/annurev-animal-021419-083930\nPMID: 33228376","page":"333-354","source":"Annual Reviews","title":"Insects: a potential source of protein and other nutrients for feed and food","title-short":"Insects","volume":"9","author":[{"family":"Hawkey","given":"Kerensa J."},{"family":"Lopez-Viso","given":"Carlos"},{"family":"Brameld","given":"John M."},{"family":"Parr","given":"Tim"},{"family":"Salter","given":"Andrew M."}],"issued":{"date-parts":[["2021"]]}}}],"schema":"https://github.com/citation-style-language/schema/raw/master/csl-citation.json"} </w:instrText>
      </w:r>
      <w:r w:rsidRPr="00DF7BC4">
        <w:rPr>
          <w:rFonts w:ascii="Times New Roman" w:hAnsi="Times New Roman" w:cs="Times New Roman"/>
        </w:rPr>
        <w:fldChar w:fldCharType="separate"/>
      </w:r>
      <w:r w:rsidR="00E2566F" w:rsidRPr="00E2566F">
        <w:rPr>
          <w:rFonts w:ascii="Times New Roman" w:hAnsi="Times New Roman" w:cs="Times New Roman"/>
          <w:szCs w:val="24"/>
          <w:vertAlign w:val="superscript"/>
        </w:rPr>
        <w:t>210,193,177</w:t>
      </w:r>
      <w:r w:rsidRPr="00DF7BC4">
        <w:rPr>
          <w:rFonts w:ascii="Times New Roman" w:hAnsi="Times New Roman" w:cs="Times New Roman"/>
        </w:rPr>
        <w:fldChar w:fldCharType="end"/>
      </w:r>
      <w:r w:rsidRPr="00DF7BC4">
        <w:rPr>
          <w:rFonts w:ascii="Times New Roman" w:hAnsi="Times New Roman" w:cs="Times New Roman"/>
        </w:rPr>
        <w:t xml:space="preserve">. The result of the defatting process is a more stable product with a high protein content. </w:t>
      </w:r>
      <w:r>
        <w:rPr>
          <w:rFonts w:ascii="Times New Roman" w:hAnsi="Times New Roman" w:cs="Times New Roman"/>
        </w:rPr>
        <w:t>As for most</w:t>
      </w:r>
      <w:r w:rsidRPr="00DF7BC4">
        <w:rPr>
          <w:rFonts w:ascii="Times New Roman" w:hAnsi="Times New Roman" w:cs="Times New Roman"/>
        </w:rPr>
        <w:t xml:space="preserve"> rendering processes, it is important to underline how the methodologies and parameters applied in the production</w:t>
      </w:r>
      <w:r w:rsidR="00F52F1D">
        <w:rPr>
          <w:rFonts w:ascii="Times New Roman" w:hAnsi="Times New Roman" w:cs="Times New Roman"/>
        </w:rPr>
        <w:t xml:space="preserve"> of insect-derived products</w:t>
      </w:r>
      <w:r w:rsidRPr="00DF7BC4">
        <w:rPr>
          <w:rFonts w:ascii="Times New Roman" w:hAnsi="Times New Roman" w:cs="Times New Roman"/>
        </w:rPr>
        <w:t xml:space="preserve"> (i.e. temperature, pressure, type of solvent) can have significant impacts on the protein and lipid recovery and on the quality of the product by influencing not only the composition, but also the color, texture, flavor and therefore its acceptability by fish </w:t>
      </w:r>
      <w:r w:rsidRPr="00DF7BC4">
        <w:rPr>
          <w:rFonts w:ascii="Times New Roman" w:hAnsi="Times New Roman" w:cs="Times New Roman"/>
        </w:rPr>
        <w:fldChar w:fldCharType="begin"/>
      </w:r>
      <w:r w:rsidR="003F1AB1">
        <w:rPr>
          <w:rFonts w:ascii="Times New Roman" w:hAnsi="Times New Roman" w:cs="Times New Roman"/>
        </w:rPr>
        <w:instrText xml:space="preserve"> ADDIN ZOTERO_ITEM CSL_CITATION {"citationID":"a1umjuetdue","properties":{"formattedCitation":"\\super 210\\uc0\\u8211{}212\\nosupersub{}","plainCitation":"210–212","noteIndex":0},"citationItems":[{"id":1164,"uris":["http://zotero.org/groups/4669668/items/V9TW4FAY"],"itemData":{"id":1164,"type":"article-journal","abstract":"Black soldier fly (BSF, Hermetia illucens) represents a valuable source of biomolecules and it also constitutes an economic way to valorise residual biomasses. BSF prepupae contain high amounts of lipids (37% DM basis). The present investigation aimed at studying the composition of BSF lipids and the effect of killing/storage on their quality. The main fatty acid was lauric acid, sterols were represented primarily by beta-sitosterol and campesterol. Global fatty acid and sterol profiles, determined by GC–MS, were only slightly affected by the killing procedure, while lipid classes distribution, determined by 1H NMR, strongly changed. Prepupae killed by freezing showed a drastic reduction of acylglycerols during storage and a relevant release of free fatty acids, likely due to activation of lipases. On the contrary, prepupae killed by blanching have a stable lipid fraction constituted mainly by triacylglycerols. Therefore, killing procedure strongly influences BSF oil composition and the potential applications.","container-title":"Food Research International","DOI":"10.1016/j.foodres.2018.08.033","ISSN":"0963-9969","journalAbbreviation":"Food Research International","language":"en","page":"276-282","source":"ScienceDirect","title":"Influence of the killing method of the black soldier fly on its lipid composition","volume":"116","author":[{"family":"Caligiani","given":"Augusta"},{"family":"Marseglia","given":"Angela"},{"family":"Sorci","given":"Alessia"},{"family":"Bonzanini","given":"Francesca"},{"family":"Lolli","given":"Veronica"},{"family":"Maistrello","given":"Lara"},{"family":"Sforza","given":"Stefano"}],"issued":{"date-parts":[["2019",2,1]]}}},{"id":1151,"uris":["http://zotero.org/groups/4669668/items/I3UMNR9A"],"itemData":{"id":1151,"type":"article-journal","abstract":"Insects are an attractive alternative to fish meal (FM) as a sustainable protein source in aquaculture feed that does not negatively impact the marine ecosystem. Despite housefly (Musca domestica) larvae having adequacy of amino acid profiles, they have sometimes been reported to be inferior to FM, especially for marine carnivorous fish species. Here, we report that the removal of the hydrophobic fractions from housefly larvae enables significant replacement of FM in the diet of the red seabream (Pagrus major). In a feeding trial, housefly (HF) larvae that had the hydrophobic fraction removed as a complete substitution for 70% FM produced satisfactory growth. However, HF larvae that were supplemented with the hydrophobic fraction resulted in significant growth reduction. Growth recovery was incomplete by supplementation of docosahexaenoic acid (DHA) and eicosapentaenoic acid (EPA) to undefatted HF larvae, being equivalent to that of fatty acid content with a control diet. Moreover, fish with a dietary intake of catechol identified from the hydrophobic fraction of the HF showed growth reduction and morphological alterations in the intestine. Our findings indicate that the hydrophobic fraction from HF larvae contains a negative factor for fish growth and eliminating the fraction from HF larvae is thought to be an important process for sustainable aquaculture.","container-title":"Fishes","DOI":"10.3390/fishes4030038","ISSN":"2410-3888","issue":"3","language":"en","license":"http://creativecommons.org/licenses/by/3.0/","note":"number: 3\npublisher: Multidisciplinary Digital Publishing Institute","page":"38","source":"www.mdpi.com","title":"Housefly (Musca domestica) Larvae Preparations after Removing the Hydrophobic Fraction Are Effective Alternatives to Fish Meal in Aquaculture Feed for Red Seabream (Pagrus major)","volume":"4","author":[{"family":"Hashizume","given":"Atsushi"},{"family":"Ido","given":"Atsushi"},{"family":"Ohta","given":"Takashi"},{"family":"Thiaw","given":"Serigne Thierno"},{"family":"Morita","given":"Ryusaku"},{"family":"Nishikawa","given":"Munenori"},{"family":"Takahashi","given":"Takayuki"},{"family":"Miura","given":"Chiemi"},{"family":"Miura","given":"Takeshi"}],"issued":{"date-parts":[["2019",9]]}}},{"id":1134,"uris":["http://zotero.org/groups/4669668/items/LP9B7X4N"],"itemData":{"id":1134,"type":"article-journal","abstract":"Scrutiny of alternative solvents for the extraction of lipid constituents from black soldier fly (BSF) was the main theme of this research. The present investigation compared a wide array of solvents for the extraction of desired components theoretically using tools like Hansen solubility parameters (HSP), conductor-like screening model for real solvents (COSMO-RS) and technical data (ACD labs) with the application of hurdle technology for solvent screening. The ideal solvent selected was 2-methyloxolane (2-MeO) which was employed for conventional and multistage cross-current lipid extraction and the experimental data obtained was compared with that of n-hexane extract. Fatty acid profile, lipid class, bioactivity of the oils were analysed and were in good correlation with the theoretical prediction. The kinetics and diffusion modelling for the extraction system was proposed. The effect of solvent on protein quality parameters like protein dispersibility index, solubility in alkaline solution, urease index in the defatted flour was elucidated. The defatting step had no deleterious effect on the molecular weight distribution of soluble proteins. Overall the study manifested that 2-MeO had better lipid recovery, enhanced bioactivity in the BSF oil, and relatively better protein quality in the defatted flour.","container-title":"Journal of Cleaner Production","DOI":"10.1016/j.jclepro.2019.117861","ISSN":"0959-6526","journalAbbreviation":"Journal of Cleaner Production","language":"en","page":"117861","source":"ScienceDirect","title":"Alternative solvents for lipid extraction and their effect on protein quality in black soldier fly (Hermetia illucens) larvae","volume":"238","author":[{"family":"Ravi","given":"Harish Karthikeyan"},{"family":"Vian","given":"Maryline Abert"},{"family":"Tao","given":"Yang"},{"family":"Degrou","given":"Antoine"},{"family":"Costil","given":"Jérôme"},{"family":"Trespeuch","given":"Christophe"},{"family":"Chemat","given":"Farid"}],"issued":{"date-parts":[["2019",11,20]]}}}],"schema":"https://github.com/citation-style-language/schema/raw/master/csl-citation.json"} </w:instrText>
      </w:r>
      <w:r w:rsidRPr="00DF7BC4">
        <w:rPr>
          <w:rFonts w:ascii="Times New Roman" w:hAnsi="Times New Roman" w:cs="Times New Roman"/>
        </w:rPr>
        <w:fldChar w:fldCharType="separate"/>
      </w:r>
      <w:r w:rsidR="003F1AB1" w:rsidRPr="003F1AB1">
        <w:rPr>
          <w:rFonts w:ascii="Times New Roman" w:hAnsi="Times New Roman" w:cs="Times New Roman"/>
          <w:szCs w:val="24"/>
          <w:vertAlign w:val="superscript"/>
        </w:rPr>
        <w:t>210–212</w:t>
      </w:r>
      <w:r w:rsidRPr="00DF7BC4">
        <w:rPr>
          <w:rFonts w:ascii="Times New Roman" w:hAnsi="Times New Roman" w:cs="Times New Roman"/>
        </w:rPr>
        <w:fldChar w:fldCharType="end"/>
      </w:r>
      <w:r w:rsidRPr="00DF7BC4">
        <w:rPr>
          <w:rFonts w:ascii="Times New Roman" w:hAnsi="Times New Roman" w:cs="Times New Roman"/>
        </w:rPr>
        <w:t>.</w:t>
      </w:r>
    </w:p>
    <w:p w14:paraId="38EE6151" w14:textId="109F67C9" w:rsidR="00607518" w:rsidRPr="00DF7BC4" w:rsidRDefault="00607518" w:rsidP="00607518">
      <w:pPr>
        <w:spacing w:line="360" w:lineRule="auto"/>
        <w:ind w:firstLine="720"/>
        <w:contextualSpacing/>
        <w:jc w:val="both"/>
        <w:rPr>
          <w:rFonts w:ascii="Times New Roman" w:hAnsi="Times New Roman" w:cs="Times New Roman"/>
        </w:rPr>
      </w:pPr>
      <w:r w:rsidRPr="00DF7BC4">
        <w:rPr>
          <w:rFonts w:ascii="Times New Roman" w:hAnsi="Times New Roman" w:cs="Times New Roman"/>
        </w:rPr>
        <w:t xml:space="preserve">The number of studies assessing insect-derived meals and oils in aquafeeds has been growing exponentially in the last ten years. Trials mainly investigated the stock performance and nutrient digestibility </w:t>
      </w:r>
      <w:r w:rsidRPr="00DF7BC4">
        <w:rPr>
          <w:rFonts w:ascii="Times New Roman" w:hAnsi="Times New Roman" w:cs="Times New Roman"/>
        </w:rPr>
        <w:fldChar w:fldCharType="begin"/>
      </w:r>
      <w:r w:rsidR="000A160E">
        <w:rPr>
          <w:rFonts w:ascii="Times New Roman" w:hAnsi="Times New Roman" w:cs="Times New Roman"/>
        </w:rPr>
        <w:instrText xml:space="preserve"> ADDIN ZOTERO_ITEM CSL_CITATION {"citationID":"a289f54rrbd","properties":{"formattedCitation":"\\super 183,185,213\\uc0\\u8211{}222\\nosupersub{}","plainCitation":"183,185,213–222","noteIndex":0},"citationItems":[{"id":1166,"uris":["http://zotero.org/groups/4669668/items/E6U9UYSX"],"itemData":{"id":1166,"type":"article-journal","abstract":"In this study, we evaluated the effects of dietary substitution of fishmeal (FM) with partially defatted Hermetia illucens meal (HI) on the growth, feed digestibility, gut morphology, and fillet quality of rainbow trout reared in a low-tech aquaponic system. A total of 173 rainbow trout (initial body weight: 156 g ± 39.8 g) were distributed among nine experimental aquaponic units. Three diets were fed to fish (three aquaponic units per dietary treatment) over a period of 76 days, i.e. H0 diet (control), H6 diet, and H12 diet containing 0 g/kg, 62 g/kg, or 124 g/kg of HI and 200 g/kg, 150 g/kg, or 100 g/kg of FM, respectively. We found that the apparent digestibility coefficients of diets were unaffected by the inclusion level of dietary HI. At the end of the trial, trout mortality was low (2.9%) and unaffected by dietary treatment. The specific growth rate was, however, lower in fish fed the H12 diet than in those fed H0 and H6 diets after 26 days (1.07% d−1 vs. 1.22% d−1; P &lt; 0.001) and at the end of the trial (0.81% d−1 vs. 0.88% d−1; P &lt; 0.05). In contrast, dietary inclusion of HI appeared to have no appreciable effect on the feed conversion ratio (on average 1.53), final weight (303 g), fish condition factor (1.40), viscerosomatic index (10.9%), or hepatosomatic index (1.22%). The inclusion of HI was, nevertheless, found to promote a 10% increase in the density of goblet cells in the gut of fish fed the H12 diet compared with those receiving the H0 diet (P &lt; 0.05). With regards to fillet traits, redness and yellowness indices were lower in fish fed the H12 diet than in those fed the H0 diet. Although dietary HI had little effect on the proximate composition and fatty acid profile of fish, the proportions of C12:0 and C14:0 increased with HI dietary inclusion. In conclusion, fish growth and fillet quality were essentially unaffected by a 25% fish meal replacement with HI in isonitrogenous and isoenergetic diets (control diet containing 200 g/kg of fish meal), whereas at a replacement rate of 50%, we detected certain effects on gut histology and fillet colour and nutritional characteristics, which warrant further investigation.","container-title":"Aquaculture","DOI":"10.1016/j.aquaculture.2021.737279","ISSN":"0044-8486","journalAbbreviation":"Aquaculture","language":"en","page":"737279","source":"ScienceDirect","title":"Performance and fillet traits of rainbow trout (Oncorhynchus mykiss) fed different levels of Hermetia illucens meal in a low-tech aquaponic system","volume":"546","author":[{"family":"Bordignon","given":"Francesco"},{"family":"Gasco","given":"Laura"},{"family":"Birolo","given":"Marco"},{"family":"Trocino","given":"Angela"},{"family":"Caimi","given":"Christian"},{"family":"Ballarin","given":"Cristina"},{"family":"Bortoletti","given":"Martina"},{"family":"Nicoletto","given":"Carlo"},{"family":"Maucieri","given":"Carmelo"},{"family":"Xiccato","given":"Gerolamo"}],"issued":{"date-parts":[["2022",1,15]]}}},{"id":1064,"uris":["http://zotero.org/groups/4669668/items/Z4YFGUSD"],"itemData":{"id":1064,"type":"article-journal","abstract":"The Hermetia illucens (L.) larvae meal (HIM) has been tested on different fish species but its use on Siberian sturgeon has not been investigated yet. The aim of this study was to evaluate the effects of fish meal (FM) substitution with a highly defatted HIM on growth performance, biometric and morphometric indices, apparent digestibility of diets, whole body proximate and fatty acid compositions of Acipenser baerii (Brandt) juveniles. Five experimental groups were fed with a FM-based diet without HIM (HIM0), three diets with 25% (HIM25), 50% (HIM50) and 100% (HIM100) of FM substitution with HIM, or a vegetable protein based diet (VEG) without HIM. The feeding trial lasted 118 days and 4 replicates per diet were used. The HIM100 diet was refused by the fish and therefore this experimental group was excluded from statistical evaluation. Moreover, a decrease in feed consumption was recorded with the increase of HIM inclusion. The HIM50 diet negatively affected the growth performance of the fish. The somatic indices were not affected by treatment. Increasing levels of HIM showed increases of dry matter and ether extract contents in the whole body. Compared to HIM0, HIM diets caused modification in lauric acid (up to 65-fold increase) and total saturated fatty acids (up to 1.4-fold increase) contents in the fish whole body. The apparent digestibility coefficients of dry matter, crude protein and gross energy were the highest for the VEG diet (77.0%, 90.4% and 85.8%, respectively). HIM25 and HIM50 showed lower apparent digestibility coefficients of crude protein (86.5% and 86.6%, respectively) when compared to HIM0 (88.5%). Overall, this study showed that it is possible to replace up to 25% of FM with HIM in the diet of Siberian sturgeons (equal to 18.5% HIM inclusion level) without affecting the growth performance, condition factor, biometric and morphometric indices, and whole body proximate composition of the fish. The fatty acid composition of the sturgeons’ whole body was significantly modified already at 18.5% dietary HIM inclusion level.","container-title":"Aquaculture","DOI":"10.1016/j.aquaculture.2019.734539","ISSN":"0044-8486","journalAbbreviation":"Aquaculture","language":"en","page":"734539","source":"ScienceDirect","title":"First insights on black soldier fly (Hermetia illucens l.) larvae meal dietary administration in siberian sturgeon (Acipenser baerii brandt) juveniles","volume":"515","author":[{"family":"Caimi","given":"Christian"},{"family":"Renna","given":"Manuela"},{"family":"Lussiana","given":"Carola"},{"family":"Bonaldo","given":"Alessio"},{"family":"Gariglio","given":"Marta"},{"family":"Meneguz","given":"Marco"},{"family":"Dabbou","given":"Sihem"},{"family":"Schiavone","given":"Achille"},{"family":"Gai","given":"Francesco"},{"family":"Elia","given":"Antonia Concetta"},{"family":"Prearo","given":"Marino"},{"family":"Gasco","given":"Laura"}],"issued":{"date-parts":[["2020",1,15]]}}},{"id":1165,"uris":["http://zotero.org/groups/4669668/items/FWLLWQ3E"],"itemData":{"id":1165,"type":"article-journal","abstract":"Recent investigations highlighted that Hermetia illucens (BSF) larva meal can be a valuable alternative protein source for aquafeed production. In this study, in substitution of fishmeal, we used increasing inclusion levels of a partially defatted BSF larva meal in low fishmeal-based diets for rainbow trout (Oncorhynchus mykiss Walbaum) and we evaluated the related implications in terms of growth performance, physical characteristics, proximate and fatty acid (FA) compositions of the fillets, gut and liver histology, and diet digestibility. In a 131-day trial, 576 fish (100.1 ± 9.29 g) were randomly allotted to 24 tanks (24 fish/tank, 4 replicates/treatment). Six experimental diets were produced to have partial replacement of fishmeal (0, 10%, 20%, 30%, 40% and 50%) by increasing levels of BSF meal (0% [BSF0], 3% [BSF3], 6% [BSF6], 9% [BSF9], 12% [BSF12] and 15% [BSF15] on as fed basis, respectively).","container-title":"Journal of Animal Science and Biotechnology","DOI":"10.1186/s40104-021-00575-1","ISSN":"2049-1891","issue":"1","journalAbbreviation":"J Animal Sci Biotechnol","language":"en","note":"number: 1","page":"50","source":"Springer Link","title":"Dietary inclusion of a partially defatted black soldier fly (Hermetia illucens) larva meal in low fishmeal-based diets for rainbow trout (Oncorhynchus mykiss)","volume":"12","author":[{"family":"Caimi","given":"Christian"},{"family":"Biasato","given":"Ilaria"},{"family":"Chemello","given":"Giulia"},{"family":"Oddon","given":"Sara Bellezza"},{"family":"Lussiana","given":"Carola"},{"family":"Malfatto","given":"Vanda Maria"},{"family":"Capucchio","given":"Maria Teresa"},{"family":"Colombino","given":"Elena"},{"family":"Schiavone","given":"Achille"},{"family":"Gai","given":"Francesco"},{"family":"Trocino","given":"Angela"},{"family":"Brugiapaglia","given":"Alberto"},{"family":"Renna","given":"Manuela"},{"family":"Gasco","given":"Laura"}],"issued":{"date-parts":[["2021",4,16]]}}},{"id":1061,"uris":["http://zotero.org/groups/4669668/items/PFLJK4MC"],"itemData":{"id":1061,"type":"article-journal","abstract":"Insect meals are good candidates to replace fishmeal as new protein sources in aquafeeds. This study evaluated the effects of fishmeal replacement with different dietary inclusion levels of a partially defatted Tenebrio molitor (L.) larva meal (TM) on rainbow trout (Oncorhynchus mykiss Walbaum) growth, diet digestibility, and hepatic intermediary metabolism. A 154-day growth trial was performed with 252 rainbow trout (78.3 ± 6.24 g) randomly divided into twelve tanks and fed four experimental diets containing increasing levels of TM: 0% (TM0), 25% (TM25), 50% (TM50), and 100% (TM100) of fishmeal substitution, corresponding to TM dietary inclusion levels of 0%, 5%, 10%, and 20%, respectively. A digestibility trial was performed feeding 180 rainbow trout (94.6 ± 7.31 g) with the experimental diets used in the growth trial. The growth parameters were not affected by TM dietary inclusion. Regarding the evaluated apparent digestibility coefficients (ADC), only the ADC of crude protein was affected, showing the following trend: TM0 = TM25 &gt; TM50 &gt; TM100. The activities of key hepatic amino acid catabolic and lipogenic enzymes were not affected by the dietary composition. The results suggest that a partially defatted TM could totally replace fishmeal in commercial rainbow trout diets without negative effects on fish performance.","container-title":"Animals","DOI":"10.3390/ani10020229","ISSN":"2076-2615","issue":"2","language":"en","license":"http://creativecommons.org/licenses/by/3.0/","note":"number: 2\npublisher: Multidisciplinary Digital Publishing Institute","page":"229","source":"www.mdpi.com","title":"Partially defatted tenebrio molitor larva meal in diets for grow-out rainbow trout, Oncorhynchus mykiss (Walbaum): effects on growth performance, diet digestibility and metabolic responses","title-short":"Partially defatted tenebrio molitor larva meal in diets for grow-out rainbow trout, oncorhynchus mykiss (walbaum)","volume":"10","author":[{"family":"Chemello","given":"Giulia"},{"family":"Renna","given":"Manuela"},{"family":"Caimi","given":"Christian"},{"family":"Guerreiro","given":"Inês"},{"family":"Oliva-Teles","given":"Aires"},{"family":"Enes","given":"Paula"},{"family":"Biasato","given":"Ilaria"},{"family":"Schiavone","given":"Achille"},{"family":"Gai","given":"Francesco"},{"family":"Gasco","given":"Laura"}],"issued":{"date-parts":[["2020",2]]}}},{"id":1159,"uris":["http://zotero.org/groups/4669668/items/ITGLU7QG"],"itemData":{"id":1159,"type":"article-journal","abstract":"The effects of partially defatted black soldier fly larvae meal (BSFLM) and mechanically-extracted oil from that same insect (BSFLO) on growth, feed utilization, body composition, gut histology and blood plasma biochemistry of rainbow trout were evaluated over a three-month growth trial. Seven experimental diets containing 0 (Diet A), 6.6 (Diet B), 13.2 (Diet C) and 26.4% (Diet D) BSFLM, and 2.5 (Diet E), 5.0 (Diet F) and 10% (Diet G) BSFLO were randomly allocated to 21,140-l tanks at 30 trout (45.7 ± 1.4 g) per tank. To estimate the nutrient digestibility of these ingredients, Diet A was supplemented with 0.5% titanium dioxide and served as the Reference diet to create two test diets containing 80% of the Reference diet combined with 20% of defatted BSFLM (diet B-test) and 20% of BSFLO (C-test). Water temperature was maintained at 13.9 ± 0.3 °C in both trials. Growth performances, measured using the thermal-unit growth coefficient (TGC), were high with TGC values </w:instrText>
      </w:r>
      <w:r w:rsidR="000A160E">
        <w:rPr>
          <w:rFonts w:ascii="Times New Roman" w:hAnsi="Times New Roman" w:cs="Times New Roman" w:hint="eastAsia"/>
        </w:rPr>
        <w:instrText>≥</w:instrText>
      </w:r>
      <w:r w:rsidR="000A160E">
        <w:rPr>
          <w:rFonts w:ascii="Times New Roman" w:hAnsi="Times New Roman" w:cs="Times New Roman"/>
        </w:rPr>
        <w:instrText> 0.260, regardless of BSFLM or BSFLO inclusion. Feed conversion ratios (FCR) were </w:instrText>
      </w:r>
      <w:r w:rsidR="000A160E">
        <w:rPr>
          <w:rFonts w:ascii="Times New Roman" w:hAnsi="Times New Roman" w:cs="Times New Roman" w:hint="eastAsia"/>
        </w:rPr>
        <w:instrText>≤</w:instrText>
      </w:r>
      <w:r w:rsidR="000A160E">
        <w:rPr>
          <w:rFonts w:ascii="Times New Roman" w:hAnsi="Times New Roman" w:cs="Times New Roman"/>
        </w:rPr>
        <w:instrText> 0.91. However, TGC was significantly lower with Diet D (26.4% BSFLM) (P &lt; .020) and FCR values increased significantly at each increment level of BSFLM (P &lt; .05). There was a negative relationship between relative body protein content and dietary inclusion of BSFLM, but not BSFLO (P &lt; .001). Hydroxyproline was the sole amino acid that increased in trout fed BSFLM or BSFLO. The inclusion of BSFLM and BSFLO had no impact on the histology of the posterior intestine, but villi in the anterior intestine of trout fed Diet D (26.4% BSFLM) was significantly shorter relative to the Control (1035 ± 146 μm vs. 1176 ± 160 μm). There was a negative relationship between blood glucose and BSFLO inclusion level, which suggested BSFLO had some antihyperglycemic effect in fasted rainbow trout. The ADCs of protein and amino acid in BSFLM varied between 87 and 93%, but the digestibility of lipid and dry matter in BSFLM was relatively low at 73 and 75%, respectively. The digestibility of hydroxyproline was significantly superior in diets containing BSFLM or BSFLO than in the Reference diet (P = .014). Based on these results, the maximum inclusion of BSFLM recommended in rainbow trout diets is 13%. The maximum inclusion of BSFLO could potentially be superior to 10%, but this hypothesis needs further study. The enhanced digestibility of hydroxyproline in diets containing BSFL products has potential benefits for fish fed low fishmeal diets.","container-title":"Aquaculture","DOI":"10.1016/j.aquaculture.2018.03.038","ISSN":"0044-8486","journalAbbreviation":"Aquaculture","language":"en","page":"24-34","source":"ScienceDirect","title":"The oil fraction and partially defatted meal of black soldier fly larvae (Hermetia illucens) affect differently growth performance, feed efficiency, nutrient deposition, blood glucose and lipid digestibility of rainbow trout (Oncorhynchus mykiss)","volume":"492","author":[{"family":"Dumas","given":"André"},{"family":"Raggi","given":"Thiago"},{"family":"Barkhouse","given":"Justin"},{"family":"Lewis","given":"Elizabeth"},{"family":"Weltzien","given":"Erika"}],"issued":{"date-parts":[["2018",7,1]]}}},{"id":1153,"uris":["http://zotero.org/groups/4669668/items/P8LJAQKH"],"itemData":{"id":1153,"type":"article-journal","abstract":"This study aimed to evaluate the effect of diets including 10%, 20%, and 30% of black soldier fly larvae (Hermetia illucens) meal (HM) (diets HM10, HM20, and HM30, respectively), replacing 17%, 35%, and 52% of fishmeal (FM), on growth performance, whole-body composition and fatty acid (FA) profile, plasma biochemistry, and intermediary metabolism of meagre (Argyrosomus regius) juveniles. For that purpose, triplicate groups of 18.0 ± 0.02 g fish were fed a control diet (CTR) without HM, and the experimental diets for 9 weeks. Growth, feed efficiency, protein efficiency ratio, nitrogen and energy retentions linearly decreased with the increase of dietary HM level. With the exception of ash, whole-body composition was not linearly affected by dietary HM inclusion. Regarding whole-body FA profile, total saturated fatty acids (SFA), SFA: polyunsaturated fatty acids (PUFA) ratio, and total n-6PUFA linearly increased with increasing levels of dietary HM, while total n-3PUFA, n-3 long chain PUFA (LC-PUFA), n-3:n-6 ratio, and unsaturation index linearly decreased with increasing levels of HM in the diets. Docosahexaenoic acid (DHA) whole-body retention linearly decreased while lauric acid (12:0) retention increased with the increase of HM in the diet. Plasma glucose linearly increased, while plasma triglycerides and total lipids decreased with the dietary level of HM. Hepatic amino acid catabolic (alanine aminotransferease and aspartate aminotransferease), and lipogenic (glucose-6-phosphate dehydrogenase and malic enzyme) enzymes activities were unaffected by diet composition, whereas lipid catabolic (3-hydroxyacyl-CoA dehydrogenase) enzyme activity linearly decreased with dietary HM level. Glutamate dehydrogenase, an amino acid catabolic enzyme, was lower in fish fed the HM20 diet than the other HM-including diets. Overall, 10% of HM, corresponding to 17% of FM replacement, might be included in meagre diets without major adverse effects on growth, feed utilization, whole-body composition and FA profile.","container-title":"Aquaculture","DOI":"10.1016/j.aquaculture.2019.734613","ISSN":"0044-8486","journalAbbreviation":"Aquaculture","language":"en","page":"734613","source":"ScienceDirect","title":"Catching black soldier fly for meagre: Growth, whole-body fatty acid profile and metabolic responses","title-short":"Catching black soldier fly for meagre","volume":"516","author":[{"family":"Guerreiro","given":"Inês"},{"family":"Castro","given":"Carolina"},{"family":"Antunes","given":"Beatriz"},{"family":"Coutinho","given":"Filipe"},{"family":"Rangel","given":"Fábio"},{"family":"Couto","given":"Ana"},{"family":"Serra","given":"Cláudia R."},{"family":"Peres","given":"Helena"},{"family":"Pousão-Ferreira","given":"Pedro"},{"family":"Matos","given":"Elisabete"},{"family":"Gasco","given":"Laura"},{"family":"Gai","given":"Francesco"},{"family":"Corraze","given":"Geneviève"},{"family":"Oliva-Teles","given":"Aires"},{"family":"Enes","given":"Paula"}],"issued":{"date-parts":[["2020",2,1]]}}},{"id":1152,"uris":["http://zotero.org/groups/4669668/items/ENWE93N7"],"itemData":{"id":1152,"type":"article-journal","abstract":"The effect of partially replacing fishmeal (FM) by black soldier fly larvae meal (Hermetia meal—HM) in meagre (Argyrosomus regius) diet was evaluated for nutrient digestibility and digestive enzyme activity. For that purpose, triplicate groups of fish (18.0 ± 0.02 g) were fed during 48 days either a control diet (CTR), without HM, or one of three diets including 100, 200 and 300 g/kg of HM, replacing 17, 35 and 52% of FM, respectively. Apparent digestibility coefficients (ADCs) of dry matter, energy, protein, lysine, isoleucine, leucine, phenylalanine, alanine, glutamate, glycine and serine presented a decreasing response with increased HM inclusion. Chitin ADC was null, independent of dietary HM inclusion. Total alkaline protease activity increased while trypsin activity decreased with dietary HM inclusion. No intestinal chitinolytic activity was detected. Intestinal alkaline protease zymogram revealed nine bands with proteolytic activity against casein, with molecular weights ranging between 15 and 75 kDa. Anti-protease activity in the intestine was not affected by dietary inclusion of HM compared to the CTR diet. Overall, it is concluded that replacement of up to 17% FM with HM (100 g/kg HM inclusion level) in meagre diets has no major adverse effects in diet digestibility and digestive enzyme activity.","container-title":"Aquaculture Nutrition","DOI":"10.1111/anu.13172","ISSN":"1365-2095","issue":"1","language":"en","note":"number: 1\n_eprint: https://onlinelibrary.wiley.com/doi/pdf/10.1111/anu.13172","page":"142-152","source":"Wiley Online Library","title":"Digestive enzyme activity and nutrient digestibility in meagre (Argyrosomus regius) fed increasing levels of black soldier fly meal (Hermetia illucens)","volume":"27","author":[{"family":"Guerreiro","given":"Inês"},{"family":"Serra","given":"Cláudia R."},{"family":"Coutinho","given":"Filipe"},{"family":"Couto","given":"Ana"},{"family":"Castro","given":"Carolina"},{"family":"Rangel","given":"Fábio"},{"family":"Peres","given":"Helena"},{"family":"Pousão-Ferreira","given":"Pedro"},{"family":"Matos","given":"Elisabete"},{"family":"Gasco","given":"Laura"},{"family":"Gai","given":"Francesco"},{"family":"Oliva-Teles","given":"Aires"},{"family":"Enes","given":"Paula"}],"issued":{"date-parts":[["2021"]]}}},{"id":1147,"uris":["http://zotero.org/groups/4669668/items/FUISGM2T"],"itemData":{"id":1147,"type":"article-journal","abstract":"An 8-week feeding trial was designed to evaluate the potential of cricket meal, Gryllus bimaculatus, as a locally available unconventional source of protein in a practical diet for olive flounder, Paralichthys olivaceus. Three hundred juvenile fish (Initial weight, 33.5 ± 0.01 g) were randomly distributed into five dietary groups in triplicates (20 fish per tank) and each group was hand-fed one of the experimental diets containing graded level of a cricket meal (CR) replacing 0, 20, 40, 60, and 80% of fish meal (FM) protein (designated as CR0, CR20, CR40, CR60, and CR80). Although replacing more than 40% of dietary FM protein resulted in lower growth rates and feed utilization efficiency, juvenile flounders fed the highest level of dietary CR (CR80) still performed as well as control group (CR0). Replacing more than 20% of FM with CR markedly reduced apparent nutrient digestibility in fish. Plasma total cholesterol concentration showed decreasing trend with increasing inclusion levels of CR in the diet. Whole body and fillet lipid content decreased with increasing levels of dietary CR. There was a remarkable enhancement in the levels of C18 fatty acids and reduction in the levels of n − 3 highly unsaturated fatty acids in the fillets of fish fed with the CR diets, which became more prominent with greater levels of dietary FM replacement. Antioxidant enzyme activities tended to increase with increasing dietary CR levels but gradually decreased when the replacement level exceeded 60%. Overall, the efficiency of CR as a promising substitute for FM in the flounder diets has been confirmed not only in relation to growth rates, but also in terms of immunopotency.","container-title":"Journal of the World Aquaculture Society","DOI":"10.1111/jwas.12790","ISSN":"1749-7345","issue":"4","language":"en","note":"number: 4\n_eprint: https://onlinelibrary.wiley.com/doi/pdf/10.1111/jwas.12790","page":"859-880","source":"Wiley Online Library","title":"Nutritional evaluation of cricket, Gryllus bimaculatus, meal as fish meal substitute for olive flounder, Paralichthys olivaceus, juveniles","volume":"52","author":[{"family":"Jeong","given":"Seong-Mok"},{"family":"Khosravi","given":"Sanaz"},{"family":"Mauliasari","given":"Intan Rizki"},{"family":"Lee","given":"Bong-Joo"},{"family":"You","given":"Sang-Guan"},{"family":"Lee","given":"Sang-Min"}],"issued":{"date-parts":[["2021"]]}}},{"id":1131,"uris":["http://zotero.org/groups/4669668/items/TC97UY94"],"itemData":{"id":1131,"type":"article-journal","abstract":"A pre-fattening trial was performed to evaluate the effect of replacement of fishmeal (FM) with insect meal (IM; Tenebrio molitor) on growth performance and survival rate of common catfish (Ameiurus melas). Fingerlings of A. melas (mean body weight 0.248±0.07 g) were randomly distributed over 4 indoor tanks of 2 m3 at a density of 2,000 fish/tank, and kept at a temperature of 23-25 °C in two separated recirculating aquaculture systems. Fish were divided into two groups (two tanks per group): FM and IM. Fish of the FM group were fed with a control diet (51.6% protein and 18.1% lipid), whereas those of the IM group received a diet (50.8% protein and 22.1% lipid) in which 50% of FM was substituted with IM. Chemical parameters (moisture, crude protein, total lipids, ether extract, and ash) and fatty acid profile of the two feeds is reported. The feeding trial lasted 90 days and fish were weighed at the beginning of the trial and then on monthly basis. Growth performance was good in both groups. However, fish of the IM group reached a final mean body weight (4.2±0.6 g) significantly lower (P&lt;0.01) than that of the FM group (5.13</w:instrText>
      </w:r>
      <w:r w:rsidR="000A160E">
        <w:rPr>
          <w:rFonts w:ascii="Times New Roman" w:hAnsi="Times New Roman" w:cs="Times New Roman" w:hint="eastAsia"/>
        </w:rPr>
        <w:instrText>±</w:instrText>
      </w:r>
      <w:r w:rsidR="000A160E">
        <w:rPr>
          <w:rFonts w:ascii="Times New Roman" w:hAnsi="Times New Roman" w:cs="Times New Roman"/>
        </w:rPr>
        <w:instrText xml:space="preserve">0.7 g). The survival rate of FM group (79%) was higher than that of IM (70%), too. In conclusion, the results of this study demonstrated that the diet with insect meal was able to sustain growth in catfish fingerlings but fish fed with FM performed better than those fed with IM.","container-title":"Journal of Insects as Food and Feed","DOI":"10.3920/JIFF2014.0006","issue":"3","note":"number: 3\npublisher: Wageningen Academic Publishers","page":"233-240","source":"wageningenacademic.com (Atypon)","title":"Growth performance of common catfish (Ameiurus melas Raf.) fingerlings fed mealworm (Tenebrio molitor) diet","volume":"1","author":[{"family":"Roncarati","given":"A."},{"family":"Gasco","given":"L."},{"family":"Parisi","given":"G."},{"family":"Terova","given":"G."}],"issued":{"date-parts":[["2015",8,17]]}}},{"id":1012,"uris":["http://zotero.org/groups/4669668/items/C4EEYEEC"],"itemData":{"id":1012,"type":"article-journal","abstract":"Insect meal is gaining increased attention in aquafeed formulations due to high protein content and an essential amino acid profile similar to that of fishmeal. To investigate insect meal in feed for European perch Perca fluviatilis, a promising candidate for European intensive culture, we replaced standard fishmeal with partially defatted black soldier fly Hermetia illucens larva meal at rates of 0%, 20%, 40% and 60% (groups CON, H20, H40 and H60, respectively) and compared growth performance, somatic indices, hematological parameters, whole-body proximate composition and occurrence of spleen lipidosis. In addition, we assessed the economic and environmental sustainability of the tested feeds by calculating economic conversion ratio (ECR) and economic profit index (EPI). The tested groups did not differ in survival rate. Significant differences were documented in final body weight and specific growth rate, with the highest values in CON, H20 and H40. The proximate composition of fish whole-body at the end of the experiment did not differ in dry matter, crude protein or ether extract, while organic matter, ash and gross energy composition showed significant differences. The fatty acid content and n-3/n-6 ratio showed a decreasing trend with increasing H. illucens larva meal inclusion. No differences were found in hematological parameters among tested groups. The H. illucens larva meal inclusion significantly affected ECR and EPI, even at 20% inclusion level the cost of diets did not differ from the control fish meal based diet. Results suggested that 40% inclusion of H. illucens larva meal can be used successfully in standard diets for perch.","container-title":"Animals","DOI":"10.3390/ani10101876","ISSN":"2076-2615","issue":"10","language":"en","license":"http://creativecommons.org/licenses/by/3.0/","note":"number: 10\npublisher: Multidisciplinary Digital Publishing Institute","page":"1876","source":"www.mdpi.com","title":"Partially defatted hermetia illucens larva meal in diet of eurasian perch (Perca fluviatilis) juveniles","volume":"10","author":[{"family":"Stejskal","given":"Vlastimil"},{"family":"Tran","given":"Hung Quang"},{"family":"Prokesova","given":"Marketa"},{"family":"Gebauer","given":"Tatyana"},{"family":"Giang","given":"Pham Thai"},{"family":"Gai","given":"Francesco"},{"family":"Gasco","given":"Laura"}],"issued":{"date-parts":[["2020",10]]}}},{"id":1010,"uris":["http://zotero.org/groups/4669668/items/PKC2S92W"],"itemData":{"id":1010,"type":"article-journal","abstract":"A study was conducted on African catfish, Clarias gariepinus, to examine the apparent digestibility coefficient (ADC) of protein, dry matter, lipid, and energy, and the apparent availability coefficient (AAC) of essential amino acid (EAA) for a cricket meal (CM) diet, Gryllus bimaculatus, and fishmeal (FM). Both diets consisted of 30% isonitrogenous levels with a 70:30 ratio of basal diet to test ingredient. Chromic oxide (0.5%) was added to the diet as an inert marker. The ADCs of crude protein (CP) in CM (81.21%), lipid (89.82%), gross energy (64.42%), and dry matter (73.97%) was significantly higher (P &lt; 0.05) than the value of CP (78.22%), lipid (82.03%), gross energy (56.52%), and dry matter (62.26%) in FM. All EAAs were present in both diets. The AACs for both diets ranged from 0.906 to 0.961 and 0.812 to 0.938 for the CM and FM diets, respectively. The growth performance of fish fed with CM exhibited significantly higher (P &lt; 0.05) weight gain, feed conversion ratio, and protein efficiency ratio compared with FM. Overall, the results suggest that CM could be included in the African catfish diet without affecting their nutrient and amino acid digestibility as well as growth performance.","container-title":"Journal of the World Aquaculture Society","DOI":"10.1111/jwas.12302","ISSN":"1749-7345","issue":"6","language":"en","note":"number: 6\n_eprint: https://onlinelibrary.wiley.com/doi/pdf/10.1111/jwas.12302","page":"798-805","source":"Wiley Online Library","title":"Apparent digestibility coefficients and amino acid availability of cricket meal, Gryllus bimaculatus, and fishmeal in African catfish, Clarias gariepinus, diet","volume":"47","author":[{"family":"Taufek","given":"Norhidayah M."},{"family":"Muin","given":"Hasniyati"},{"family":"Raji","given":"Ameenat A."},{"family":"Razak","given":"Shaharudin A."},{"family":"Yusof","given":"Hanan M."},{"family":"Alias","given":"Zazali"}],"issued":{"date-parts":[["2016"]]}}},{"id":1123,"uris":["http://zotero.org/groups/4669668/items/Z7P9RF52"],"itemData":{"id":1123,"type":"article-journal","abstract":"Defatted black soldier fly larvae meal (DBSFLM) has been shown a promising fish meal (FM) substitute in diets for turbot, rainbow trout, Jian carp, Pacific white shrimp and Atlantic salmon, but it has not been examined as an alternative protein source in Japanese seabass (Lateolabrax japonicus) diets. A 56-day feeding trial was conducted to assess the effects of partial replacement of dietary FM with DBSFLM on the growth performance, whole body composition, blood metabolites, digestive enzyme activities, hepatic and intestinal histomorphology, and lipid metabolism related genes expression of juvenile L. japonicus. Five isoproteic (39%) and isolipidic (11%) diets were formulated by replacing 0% (FM), 16% (DBSFLM16), 32% (DBSFLM32), 48% (DBSFLM48) and 64% (DBSFLM64) of fish meal. Each diet was randomly assigned to triplicate groups of 30 fish per tank. Fish were fed two times daily to apparent satiation. Results showed that growth performance, somatic indexes, hepatic and intestinal histomorphology, and the intestinal antioxidant and immunity indexes of fish were not affected (P &gt; 0.05) by dietary treatments. Fish consuming DBSFLM48 and DBSFLM64 had higher (P &lt; 0.05) feed intake, but lower (P &lt; 0.05) whole body ash content and ash retention along with serum concentrations of total cholesterol, triacylglycerol, high density lipoprotein cholesterol and malondialdehyde than those fed FM. DBSFLM inclusion did not alter activities of hepatic trypsin, lipase and amylase, but increased (P &lt; 0.05) activity of intestinal lipase for fish fed DBSFLM48 and DBSFLM64 than those fed FM. Relative genes expression were up-regulated (P &lt; 0.05) in hepatic lipoprotein lipase for fish fed DBSFLM64 and in hormone sensitive lipase for fish fed DBSFLM32, DBSFLM48 and DBSFLM64, whereas down-regulated (P &lt; 0.05) in fatty acid synthase for fish fed DBSFLM diets than those fed FM. It was concluded that the replacement of dietary FM with DBSFLM up to 64% level did not alter growth performance, hepatic and intestinal histomorphology of L. japonicus. The increased feed intake, reduced blood lipid and inhibited hepatic lipid deposition suggest that DBSFLM can be a desirable protein alternative source as a replacement of fish meal in L. japonicus diets.","container-title":"Aquaculture","DOI":"10.1016/j.aquaculture.2019.04.023","ISSN":"0044-8486","journalAbbreviation":"Aquaculture","language":"en","page":"144-154","source":"ScienceDirect","title":"Evaluation of defatted black soldier fly (Hermetia illucens L.) larvae meal as an alternative protein ingredient for juvenile Japanese seabass (Lateolabrax japonicus) diets","volume":"507","author":[{"family":"Wang","given":"Guoxia"},{"family":"Peng","given":"Kai"},{"family":"Hu","given":"Junru"},{"family":"Yi","given":"Cangjin"},{"family":"Chen","given":"Xiaoying"},{"family":"Wu","given":"Haomin"},{"family":"Huang","given":"Yanhua"}],"issued":{"date-parts":[["2019",5,30]]}}}],"schema":"https://github.com/citation-style-language/schema/raw/master/csl-citation.json"} </w:instrText>
      </w:r>
      <w:r w:rsidRPr="00DF7BC4">
        <w:rPr>
          <w:rFonts w:ascii="Times New Roman" w:hAnsi="Times New Roman" w:cs="Times New Roman"/>
        </w:rPr>
        <w:fldChar w:fldCharType="separate"/>
      </w:r>
      <w:r w:rsidR="000A160E" w:rsidRPr="000A160E">
        <w:rPr>
          <w:rFonts w:ascii="Times New Roman" w:hAnsi="Times New Roman" w:cs="Times New Roman"/>
          <w:szCs w:val="24"/>
          <w:vertAlign w:val="superscript"/>
        </w:rPr>
        <w:t>183,185,213–222</w:t>
      </w:r>
      <w:r w:rsidRPr="00DF7BC4">
        <w:rPr>
          <w:rFonts w:ascii="Times New Roman" w:hAnsi="Times New Roman" w:cs="Times New Roman"/>
        </w:rPr>
        <w:fldChar w:fldCharType="end"/>
      </w:r>
      <w:r w:rsidRPr="00DF7BC4">
        <w:rPr>
          <w:rFonts w:ascii="Times New Roman" w:hAnsi="Times New Roman" w:cs="Times New Roman"/>
        </w:rPr>
        <w:t xml:space="preserve"> and the impact on final product quality </w:t>
      </w:r>
      <w:r w:rsidRPr="00DF7BC4">
        <w:rPr>
          <w:rFonts w:ascii="Times New Roman" w:hAnsi="Times New Roman" w:cs="Times New Roman"/>
        </w:rPr>
        <w:fldChar w:fldCharType="begin"/>
      </w:r>
      <w:r w:rsidR="00C85D32">
        <w:rPr>
          <w:rFonts w:ascii="Times New Roman" w:hAnsi="Times New Roman" w:cs="Times New Roman"/>
        </w:rPr>
        <w:instrText xml:space="preserve"> ADDIN ZOTERO_ITEM CSL_CITATION {"citationID":"at63g3t2j5","properties":{"formattedCitation":"\\super 223,224\\nosupersub{}","plainCitation":"223,224","noteIndex":0},"citationItems":[{"id":1136,"uris":["http://zotero.org/groups/4669668/items/E5UZVN6W"],"itemData":{"id":1136,"type":"article-journal","abstract":"Insects are an alternative protein source recently adopted in aquacultured carnivorous species. However, the replacement of marine ingredients with insect meal might cut down the n−3 polyunsaturated fatty acid (PUFA) of fish fillet, a fraction of great interest for human nutrition. Recently, it has been shown that different animal species and the human species better absorb the dietary fatty acids esterified in the sn-2 position of the triglyceride (TG) than those contained in the sn-1 and sn-3 positions. Hence, the present paper aimed to evaluate in which extent replacing fishmeal with insect meal could alter not only the fillet fatty acid (FA) profile, but even the FA distribution inside the TGs. Specifically, three-hundred and sixty gilthead sea bream (Sparus aurata L.) were randomly divided into four groups with three replicates each. The fish were fed for 120 days four isoenergetic, isolipidic and isoproteic diets where fishmeal was substituted by Hermetia illucens (HI) larvae meal. The inclusion levels were 0% (HI0), 9.2% (HI9), 18.4% (HI18) and 27.6% (HI27), corresponding to 0, 25, 50 and 75% of fishmeal substitution, respectively. At the end of the trial, 10 fish per group were analyzed for marketable traits, fillet color values and lipid composition. Dietary intervention did not affect any of the considered marketable traits and the fillet color. Major changes were observed in the FA profile of the fillet lipids. The fillets from fish fed HI18 and HI27 contained the highest amount of saturated fatty acids while their n-3 PUFA were significantly reduced in comparison with HI0 and HI9. Analogous variations were observed in the FA composition of the TG fraction. On the contrary, dietary HI did not reduce the overall n-3 PUFA positioned in the sn-2 of TG, nor eicosapentaenoic acid (EPA) percentage. In conclusion, dietary HI inclusion did not substantially modify the presence of important fatty acids for human nutrition (i.e., EPA and DHA) in the sn-2 position of the fillet triglycerides, increasing the chances to be better assimilated and absorbed by humans.","container-title":"Aquaculture","DOI":"10.1016/j.aquaculture.2021.737351","ISSN":"0044-8486","journalAbbreviation":"Aquaculture","language":"en","page":"737351","source":"ScienceDirect","title":"Effect of dietary black soldier fly larvae meal on fatty acid composition of lipids and sn-2 position of triglycerides of marketable size gilthead sea bream fillets","volume":"546","author":[{"family":"Pulido","given":"Lina"},{"family":"Secci","given":"Giulia"},{"family":"Maricchiolo","given":"Giulia"},{"family":"Gasco","given":"Laura"},{"family":"Gai","given":"Francesco"},{"family":"Serra","given":"Andrea"},{"family":"Conte","given":"Giuseppe"},{"family":"Parisi","given":"Giuliana"}],"issued":{"date-parts":[["2022",1,15]]}}},{"id":1126,"uris":["http://zotero.org/groups/4669668/items/HBVTX7G7"],"itemData":{"id":1126,"type":"article-journal","abstract":"Yellow mealworm (Tenebrio molitor) larvae meal (TM), one of the seven insect species approved for use in aquafeed in Europe, is a frequently investigated candidate for fish diets. This study aimed to investigate the effects of dietary defatted TM on production performance, serum biochemistry, nutrient digestibility, fillet traits, intestinal microbiota, and environmental impacts of perch (Perca fluviatilis). Four experimental diets, characterized by defatted TM inclusion levels of 0, 6.8, 13.5 and 20.3%, respectively, or 0, 25, 50, and 75% replacement for fishmeal on a w/w basis (TM0, TM25, TM50, and TM75, respectively), were fed to juvenile perch (bodyweight 20.81 ± 3.36 g, total length 117.7 ± 7.2 mm) (quadruplicated per diet) for 105 days. Inclusion levels of 6.8% or 25% fishmeal replacement by defatted TM did not show a significant effect on specific growth rate and feed conversion ratio, while further levels of 13.5 and 20.3%, or 50 and 75% fishmeal replaced by defatted TM, respectively, displayed a significant delay in the former (P = 0.01), but increase in the latter indice (P = 0.04) compared to TM0 diet. The aspartate aminotransferase activities in perch's serum increased with increasing dietary TM (P = 0.02). Protein digestibility of perch exhibited a negative correlation with dietary TM (P = 0.03). Dietary defatted TM did not, alter fillet composition of perch (P &gt; 0.05) and modify diversity of fish gut microbiota (Chao1 index, P = 0.742; Shannon index, P = 0.557; and observed species, P = 0.522), but significantly reduced abundance of Lactobacillus (P = 0.04) and Streptococcus (P = 0.01). Diets containing more than 6.8% TM generated a comparable amount of total solid waste and solid phosphorus waste as the TM0, whereas solid nitrogen waste significantly increased with elevated TM levels (P &lt; 0.001). The estimated environmental impacts of perch fed TM25 were comparable to TM0 for global warming potential, acidification, and land use (P &gt; 0.05), whereas TM50 and TM75 exerted heavier burdens on energy use, eutrophication, and water use than TM0 (P &lt; 0.001). Fishmeal replacement by TM significantly reduced the economic fish-in fish-out ratio (P &lt; 0.001). Results of this multidisciplinary study revealed important considerations for formulating diets with insect meals and their potential effects on fish performance and environmental impacts.","container-title":"Aquaculture","DOI":"10.1016/j.aquaculture.2021.737499","ISSN":"0044-8486","journalAbbreviation":"Aquaculture","language":"en","page":"737499","source":"ScienceDirect","title":"Production performance, nutrient digestibility, serum biochemistry, fillet composition, intestinal microbiota and environmental impacts of European perch (Perca fluviatilis) fed defatted mealworm (Tenebrio molitor)","volume":"547","author":[{"family":"Tran","given":"Hung Quang"},{"family":"Prokešová","given":"Markéta"},{"family":"Zare","given":"Mahyar"},{"family":"Matoušek","given":"Jan"},{"family":"Ferrocino","given":"Ilario"},{"family":"Gasco","given":"Laura"},{"family":"Stejskal","given":"Vlastimil"}],"issued":{"date-parts":[["2022",1,30]]}}}],"schema":"https://github.com/citation-style-language/schema/raw/master/csl-citation.json"} </w:instrText>
      </w:r>
      <w:r w:rsidRPr="00DF7BC4">
        <w:rPr>
          <w:rFonts w:ascii="Times New Roman" w:hAnsi="Times New Roman" w:cs="Times New Roman"/>
        </w:rPr>
        <w:fldChar w:fldCharType="separate"/>
      </w:r>
      <w:r w:rsidR="00C85D32" w:rsidRPr="00C85D32">
        <w:rPr>
          <w:rFonts w:ascii="Times New Roman" w:hAnsi="Times New Roman" w:cs="Times New Roman"/>
          <w:szCs w:val="24"/>
          <w:vertAlign w:val="superscript"/>
        </w:rPr>
        <w:t>223,224</w:t>
      </w:r>
      <w:r w:rsidRPr="00DF7BC4">
        <w:rPr>
          <w:rFonts w:ascii="Times New Roman" w:hAnsi="Times New Roman" w:cs="Times New Roman"/>
        </w:rPr>
        <w:fldChar w:fldCharType="end"/>
      </w:r>
      <w:r w:rsidRPr="00DF7BC4">
        <w:rPr>
          <w:rFonts w:ascii="Times New Roman" w:hAnsi="Times New Roman" w:cs="Times New Roman"/>
        </w:rPr>
        <w:t xml:space="preserve">. The impact of insect-derived products on fish heath status and microbiota composition is an emerging topic of interest </w:t>
      </w:r>
      <w:r w:rsidRPr="00DF7BC4">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{"citationID":"a2ndhc40a67","properties":{"formattedCitation":"\\super 225\\uc0\\u8211{}231\\nosupersub{}","plainCitation":"225–231","noteIndex":0},"citationItems":[{"id":1043,"uris":["http://zotero.org/groups/4669668/items/E6MD9GR4"],"itemData":{"id":1043,"type":"article-journal","abstract":"Yellow mealworm (Tenebrio molitor) larvae are a potential alternative animal protein source for sustainable aquaculture. However, reports on the successful complete substitution of fish meal with yellow mealworm larvae in an aquaculture diet have been limited. In this study, we conducted a feeding trial with red seabream (Pagrus major) being fed diets with partial or complete replacement of fish meal with yellow mealworm larvae defatted with a hexane–ethanol solution. Feed intake in red seabream increased in accordance with yellow mealworm larvae inclusion, and diets including 65% defatted mealworm larvae (complete replacement of fish meal) showed significant growth promotion. The addition of the oil fraction from mealworm larvae to diets resulted in growth reduction, despite meeting the nutritional requirements of red seabream. Moreover, the survival rate of red seabreams fed diets with partial replacement of fish meal with mealworm larvae was significantly higher in a challenge test with pathogenic Edwardsiella tarda bacteria. The present study demonstrated that yellow mealworm larvae are not merely an alternative animal protein, but have potential as functional feed ingredients for aquaculture production.","container-title":"Animals","DOI":"10.3390/ani9030100","ISSN":"2076-2615","issue":"3","language":"en","license":"http://creativecommons.org/licenses/by/3.0/","note":"number: 3\npublisher: Multidisciplinary Digital Publishing Institute","page":"100","source":"www.mdpi.com","title":"Replacement of fish meal by defatted yellow mealworm (Tenebrio molitor) larvae in diet improves growth performance and disease resistance in red seabream (Pargus major)","volume":"9","author":[{"family":"Ido","given":"Atsushi"},{"family":"Hashizume","given":"Atsushi"},{"family":"Ohta","given":"Takashi"},{"family":"Takahashi","given":"Takayuki"},{"family":"Miura","given":"Chiemi"},{"family":"Miura","given":"Takeshi"}],"issued":{"date-parts":[["2019",3]]}}},{"id":1144,"uris":["http://zotero.org/groups/4669668/items/4NL9LTDH"],"itemData":{"id":1144,"type":"article-journal","abstract":"Limited availability of sustainable feed ingredients is a significant concern in salmon aquaculture. Insects may become an important, sustainable resource for expanding the raw material repertoire. Herein, we present data from a 16-week seawater feeding trial with Atlantic salmon (initial body weight, 1.4 kg) fed either a reference diet with a combination of fish meal, soy protein concentrate, pea protein concentrate, corn gluten and wheat gluten as protein source, or a test diet wherein all the fish meal and most of the pea protein concentrate were replaced by black soldier fly larvae meal. The gut health of fish was evaluated using endpoints including organ and tissue indices, histopathology variables and gene expression indicative of lipid metabolism, immune responses, barrier functions and detoxification/stress responses. A higher relative weight of distal intestine was found in fish fed the insect meal diet. Steatosis of enterocytes was observed in the proximal and mid intestine in both diet groups, albeit, less severe in the proximal intestine of fish fed the insect meal diet. Inflammatory morphological changes, similar to those induced in the distal intestine by standard soybean meal, were present in all the examined intestinal segments, with a higher degree of submucosa cellularity in the proximal intestine of insect meal diet fed fish, the only notable diet effect. Few differentially expressed genes were identified in the proximal or distal intestine. In summary, total replacement of fish meal with black soldier fly larvae meal did not compromise the gut health of Atlantic salmon.","container-title":"Aquaculture","DOI":"10.1016/j.aquaculture.2020.734967","ISSN":"0044-8486","journalAbbreviation":"Aquaculture","language":"en","page":"734967","source":"ScienceDirect","title":"Total replacement of fish meal with black soldier fly (Hermetia illucens) larvae meal does not compromise the gut health of Atlantic salmon (Salmo salar)","volume":"520","author":[{"family":"Li","given":"Yanxian"},{"family":"Kortner","given":"Trond M."},{"family":"Chikwati","given":"Elvis M."},{"family":"Belghit","given":"Ikram"},{"family":"Lock","given":"Erik-Jan"},{"family":"Krogdahl","given":"Åshild"}],"issued":{"date-parts":[["2020",4,15]]}}},{"id":1142,"uris":["http://zotero.org/groups/4669668/items/Q8LWG3XF"],"itemData":{"id":1142,"type":"article-journal","abstract":"Insects are considered a sustainable alternative protein source in aquaculture diets. So far, most studies regarding the inclusion of inset meals in the diets of farmed fish focus on one insect species individually and they are examining the effect of different insect meal inclusion levels. This is a comparative study of the use of three different insect species in the diets of European sea bass. During the twelve-week experimental period, fish (average initial weight of 5.7 g) were fed with isonitrogenous and isoenergetic diets in which 30% of the fish meal was substituted with insect larvae meals from Tenebrio molitor (TM), Hermetia illucens (HI) or Musca domestica (MD) three times a day for seven days per week. Under the experimental conditions, growth performance was similar in fish fed either insect inclusion diets or the fish meal diet. The inclusion of TM resulted in a slight increase in feed conversion ratio. The inclusion of HI or MD did not significantly affect the whole-body composition and nutrient retention; however, inferior nutrient efficiencies were observed when fish meal was replaced with TM. The fatty acid content of the diets affected greatly the whole-body fatty acid composition. Fish fed on the rich in n-3 polyunsaturated fatty acids diets (FM and HI) had the highest content of n-3 fatty acids while fish in the TM and MD groups had the highest n-6 polyunsaturated fatty acid content due to the abundance of these fatty acids in the TM and MD diets. The whole-body amino acid profile was not affected by different insect diets or FM replacement. Amino acid retention varied between groups without showing any dietary effect. Plasma cholesterol levels were lowered in fish fed the TM and MD diets. Plasma triglycerides, phospholipids and lactate were not affected by the FM substitution, but differences occurred between the insect diets. Liver amino acid catabolizing enzymes activities (ALT, AST and GDH) were similar in all fish groups. Overall, this study shows the efficacy of insect meals as a fish meal substitute and that fish meal can be successfully replaced by Tenebrio molitor, Hermetia illucens and Musca domestica meals in 30% in the diets of European sea bass.","container-title":"Aquaculture","DOI":"10.1016/j.aquaculture.2020.735511","ISSN":"0044-8486","journalAbbreviation":"Aquaculture","language":"en","page":"735511","source":"ScienceDirect","title":"A comparative study on the effect of fish meal substitution with three different insect meals on growth, body composition and metabolism of European sea bass (Dicentrarchus labrax L.)","volume":"528","author":[{"family":"Mastoraki","given":"Maria"},{"family":"Mollá Ferrándiz","given":"Paula"},{"family":"Vardali","given":"Sofia C."},{"family":"Kontodimas","given":"Demetrius C."},{"family":"Kotzamanis","given":"Yannis P."},{"family":"Gasco","given":"Laura"},{"family":"Chatzifotis","given":"Stavros"},{"family":"Antonopoulou","given":"Efthimia"}],"issued":{"date-parts":[["2020",11,15]]}}},{"id":1017,"uris":["http://zotero.org/groups/4669668/items/FTQEMHRK"],"itemData":{"id":1017,"type":"article-journal","abstract":"This study evaluated the effects of dietary insect meal from Hermetia illucens larvae on autochthonous gut microbiota of rainbow trout (Oncorhynchus mykiss). Three diets, with increasing levels of insect meal inclusion (10%, 20%, and 30%) and a control diet without insect meal were tested in a 12-week feeding trial. To analyze the resident intestinal microbial communities, the Illumina MiSeq platform for sequencing of 16S rRNA gene and QIIME pipeline were used. The number of reads taxonomically classified according to the Greengenes database was 1,514,155. Seventy-four Operational Taxonomic Units (OTUs) at 97% identity were identified. The core of adhered intestinal microbiota, i.e., OTUs present in at least 80% of mucosal samples and shared regardless of the diet, was constituted by three OTUs assigned to Propiobacterinae, Shewanella, and Mycoplasma genera, respectively. Fish fed the insect-based diets showed higher bacterial diversity with a reduction in Proteobacteria in comparison to fish fed the fishmeal diet. Insect-meal inclusion in the diet increased the gut abundance of Mycoplasma, which was attributed the ability to produce lactic and acetic acid as final products of its fermentation. We believe that the observed variations on the autochthonous intestinal microbiota composition of trout are principally due to the prebiotic properties of fermentable chitin.","container-title":"Animals","DOI":"10.3390/ani9040143","ISSN":"2076-2615","issue":"4","language":"en","license":"http://creativecommons.org/licenses/by/3.0/","note":"number: 4\npublisher: Multidisciplinary Digital Publishing Institute","page":"143","source":"www.mdpi.com","title":"The effects of dietary insect meal from Hermetia illucens prepupae on autochthonous gut microbiota of rainbow trout (Oncorhynchus mykiss)","volume":"9","author":[{"family":"Rimoldi","given":"Simona"},{"family":"Gini","given":"Elisabetta"},{"family":"Iannini","given":"Federica"},{"family":"Gasco","given":"Laura"},{"family":"Terova","given":"Genciana"}],"issued":{"date-parts":[["2019",4]]}}},{"id":1133,"uris":["http://zotero.org/groups/4669668/items/IVZAC2W2"],"itemData":{"id":1133,"type":"article-journal","abstract":"With demands and reliance on aquaculture still growing, there are various challenges to allow sustainable growth and the shift from fishmeal (FM) to other protein sources in aquafeed formulations is one of the most important. In this regard, interest in the use of insect meal (IM) in aquafeeds has grown rapidly. Accordingly, the aim of the present study was to assess the effects of dietary IM from Hermetia illucens (Hi) larvae included in a low-FM diet on gut microbial communities of rainbow trout (Oncorhynchus mykiss), in terms of both composition and function of microbiome. A feeding trial was conducted using 192 trout of about 100-g mean initial weight. Fish were fed in quadruplicate (4 tanks/diet) for 131 days with two diets: the control (Ctrl) contained 20% of FM as well as other protein sources, whereas the Hi diet contained 15% of Hi larvae meal to replace 50% of the FM contained in the Ctrl diet. High-throughput sequencing of 16S rRNA gene was used to identify the major feed and gut bacterial taxa, whereas Phylogenetic Investigation of Communities by Reconstruction of Unobserved States (PICRUSt) analysis was performed on gut bacterial genomes to identify the major active biological pathways. The inclusion of IM led to an increase in Firmicutes, mainly represented by Bacilli class and to a drastic reduction of Proteobacteria. Beneficial genera, such as Lactobacillus and Bacillus, were enriched in the gut of fish fed with the Hi diet, whereas the number of bacteria assigned to the pathogenic Aeromonas genus was drastically reduced in the same fish group. The metagenome functional data provided evidence that dietary IM inclusion can shape the metabolic activity of trout gut microbiota. In particular, intestinal microbiome of fish fed with IM may have the capacity to improve dietary carbohydrate utilization. Therefore, H. illucens meal is a promising protein source for trout nutrition, able to modulate gut microbial community by increasing the abundance of some bacteria taxa that are likely to play a key role in fish health.","container-title":"Fish Physiology and Biochemistry","DOI":"10.1007/s10695-020-00918-1","ISSN":"1573-5168","issue":"2","journalAbbreviation":"Fish Physiol Biochem","language":"en","note":"number: 2","page":"365-380","source":"Springer Link","title":"Intestinal microbial communities of rainbow trout (Oncorhynchus mykiss) may be improved by feeding a Hermetia illucens meal/low-fishmeal diet","volume":"47","author":[{"family":"Rimoldi","given":"Simona"},{"family":"Antonini","given":"Micaela"},{"family":"Gasco","given":"Laura"},{"family":"Moroni","given":"Federico"},{"family":"Terova","given":"Genciana"}],"issued":{"date-parts":[["2021",4,1]]}}},{"id":1127,"uris":["http://zotero.org/groups/4669668/items/23XTUGFF"],"itemData":{"id":1127,"type":"article-journal","abstract":"Aquaculture must continue to reduce dependence on fishmeal (FM) and fishoil in feeds to ensure sustainable sector growth. Therefore, the use of novel aquaculture feed ingredients is growing. In this regard, insects can represent a new world of sustainable and protein-rich ingredients for farmed fish feeds. Accordingly, we investigated the effects of full replacement of FM with Tenebrio molitor (TM) larvae meal in the diet of rainbow trout (Oncorhynchus mykiss) on fish gut and skin microbiota.","container-title":"Journal of Animal Science and Biotechnology","DOI":"10.1186/s40104-021-00551-9","ISSN":"2049-1891","issue":"1","journalAbbreviation":"Journal of Animal Science and Biotechnology","note":"number: 1","page":"30","source":"BioMed Central","title":"Effects of full replacement of dietary fishmeal with insect meal from Tenebrio molitor on rainbow trout gut and skin microbiota","volume":"12","author":[{"family":"Terova","given":"Genciana"},{"family":"Gini","given":"Elisabetta"},{"family":"Gasco","given":"Laura"},{"family":"Moroni","given":"Federico"},{"family":"Antonini","given":"Micaela"},{"family":"Rimoldi","given":"Simona"}],"issued":{"date-parts":[["2021",2,3]]}}},{"id":1078,"uris":["http://zotero.org/groups/4669668/items/DZZDVDTW"],"itemData":{"id":1078,"type":"article-journal","abstract":"Black soldier fly (Hermetia illucens) is a promising insect species to use as a novel ingredient in fish feeds. Black soldier fly larvae consists of three major fractions, namely protein, lipid, and exoskeleton. These fractions contain bioactive compounds that can modulate the gut microbiota in fish such as antimicrobial peptides, lauric acid, and chitin. However, it is not certain how, or which fractions of black solider fly would affect gut microbiota in fish. In the present study, black soldier fly larvae were processed into three different meals (full-fat, defatted and de-chitinized) and two fractions (oil and exoskeleton), and included in diets for Atlantic salmon (Salmo salar). Atlantic salmon pre-smolts were fed with these diets in comparison with a commercial-like control diet for eight weeks to investigate the effects of insect meals and fractions on the composition and predicted metabolic capacity of gut microbiota. The gut microbiota was profiled by 16S rRNA gene sequencing, and the predicted metabolic capacities of gut microbiota were determined using genome-scale metabolic models.","container-title":"Animal Microbiome","DOI":"10.1186/s42523-021-00161-w","ISSN":"2524-4671","issue":"1","journalAbbreviation":"Animal Microbiome","page":"9","source":"BioMed Central","title":"Modulation of Atlantic salmon (Salmo salar) gut microbiota composition and predicted metabolic capacity by feeding diets with processed black soldier fly (Hermetia illucens) larvae meals and fractions","volume":"4","author":[{"family":"Weththasinghe","given":"Pabodha"},{"family":"Rocha","given":"Sérgio D. C."},{"family":"Øyås","given":"Ove"},{"family":"Lagos","given":"Leidy"},{"family":"Hansen","given":"Jon Ø."},{"family":"Mydland","given":"Liv T."},{"family":"Øverland","given":"Margareth"}],"issued":{"date-parts":[["2022",1,15]]}}}],"schema":"https://github.com/citation-style-language/schema/raw/master/csl-citation.json"} </w:instrText>
      </w:r>
      <w:r w:rsidRPr="00DF7BC4">
        <w:rPr>
          <w:rFonts w:ascii="Times New Roman" w:hAnsi="Times New Roman" w:cs="Times New Roman"/>
        </w:rPr>
        <w:fldChar w:fldCharType="separate"/>
      </w:r>
      <w:r w:rsidR="002D38F0" w:rsidRPr="002D38F0">
        <w:rPr>
          <w:rFonts w:ascii="Times New Roman" w:hAnsi="Times New Roman" w:cs="Times New Roman"/>
          <w:szCs w:val="24"/>
          <w:vertAlign w:val="superscript"/>
        </w:rPr>
        <w:t>225–231</w:t>
      </w:r>
      <w:r w:rsidRPr="00DF7BC4">
        <w:rPr>
          <w:rFonts w:ascii="Times New Roman" w:hAnsi="Times New Roman" w:cs="Times New Roman"/>
        </w:rPr>
        <w:fldChar w:fldCharType="end"/>
      </w:r>
      <w:r w:rsidRPr="00DF7BC4">
        <w:rPr>
          <w:rFonts w:ascii="Times New Roman" w:hAnsi="Times New Roman" w:cs="Times New Roman"/>
        </w:rPr>
        <w:t xml:space="preserve">. Moreover, there are innovative aspects such as myogenesis-related gene expression </w:t>
      </w:r>
      <w:r w:rsidRPr="00DF7BC4">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{"citationID":"a2g3hhom0ue","properties":{"formattedCitation":"\\super 232\\nosupersub{}","plainCitation":"232","noteIndex":0},"citationItems":[{"id":1163,"uris":["http://zotero.org/groups/4669668/items/EBJULIEL"],"itemData":{"id":1163,"type":"article-journal","abstract":"The effects of Tenebrio molitor larvae meal (TM) dietary inclusion in rainbow trout diet were evaluated on muscular growth using gene expression and histomorphological features of liver, spleen, kidney, anterior and posterior gut through histopathological analyses. Two hundred fifty-two grow-out rainbow trout were fed four experimental diets containing increasing levels of TM: 0% (TM0), 5% (TM25), 10% (TM50), and 20% (TM100) corresponding to different levels of fish meal replacement (0, 25, 50, and 100%, respectively). Muscular growth was evaluated analysing the expression of various genes involved in different steps of myogenesis. Among the analysed genes, only MyoD expression resulted significantly higher in fish fed TM100 compared to fish fed TM0. The gut histomorphology was not affected by TM dietary inclusion and villus height differs from anterior and posterior segments regardless of the fed diet. Histopathological alterations were observed in all the sampled organs for all the dietary treatments; however, dietary TM inclusion did not influence either development or severity of the observed histopathological changes. The results obtained confirmed the safe utilisation of TM as an alternative protein source in rainbow trout diets and highlighted the necessity to deepen the studies of TM effect on the myogenesis process, especially at a molecular level.HighlightsRainbow trout can effectively be fed with a TM protein source.Total FM substitution by TM (TM100) decreased MyoD gene expression.Increasing TM dietary inclusion did not influence gut histomorphology.","container-title":"Italian Journal of Animal Science","DOI":"10.1080/1828051X.2021.1945959","ISSN":"NULL","issue":"1","note":"number: 1\npublisher: Taylor &amp; Francis\n_eprint: https://doi.org/10.1080/1828051X.2021.1945959","page":"1211-1221","source":"Taylor and Francis+NEJM","title":"Effects of Tenebrio molitor larvae meal inclusion in rainbow trout feed: myogenesis-related gene expression and histomorphological features","title-short":"Effects of Tenebrio molitor larvae meal inclusion in rainbow trout feed","volume":"20","author":[{"family":"Chemello","given":"Giulia"},{"family":"Biasato","given":"Ilaria"},{"family":"Gai","given":"Francesco"},{"family":"Capucchio","given":"Maria Teresa"},{"family":"Colombino","given":"Elena"},{"family":"Schiavone","given":"Achille"},{"family":"Gasco","given":"Laura"},{"family":"Pauciullo","given":"Alfredo"}],"issued":{"date-parts":[["2021",1,1]]}}}],"schema":"https://github.com/citation-style-language/schema/raw/master/csl-citation.json"} </w:instrText>
      </w:r>
      <w:r w:rsidRPr="00DF7BC4">
        <w:rPr>
          <w:rFonts w:ascii="Times New Roman" w:hAnsi="Times New Roman" w:cs="Times New Roman"/>
        </w:rPr>
        <w:fldChar w:fldCharType="separate"/>
      </w:r>
      <w:r w:rsidR="002D38F0" w:rsidRPr="002D38F0">
        <w:rPr>
          <w:rFonts w:ascii="Times New Roman" w:hAnsi="Times New Roman" w:cs="Times New Roman"/>
          <w:szCs w:val="24"/>
          <w:vertAlign w:val="superscript"/>
        </w:rPr>
        <w:t>232</w:t>
      </w:r>
      <w:r w:rsidRPr="00DF7BC4">
        <w:rPr>
          <w:rFonts w:ascii="Times New Roman" w:hAnsi="Times New Roman" w:cs="Times New Roman"/>
        </w:rPr>
        <w:fldChar w:fldCharType="end"/>
      </w:r>
      <w:r w:rsidRPr="00DF7BC4">
        <w:rPr>
          <w:rFonts w:ascii="Times New Roman" w:hAnsi="Times New Roman" w:cs="Times New Roman"/>
        </w:rPr>
        <w:t xml:space="preserve"> or methionine pathway </w:t>
      </w:r>
      <w:r w:rsidRPr="00DF7BC4">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{"citationID":"am3frbf5i","properties":{"formattedCitation":"\\super 233\\nosupersub{}","plainCitation":"233","noteIndex":0},"citationItems":[{"id":1009,"uris":["http://zotero.org/groups/4669668/items/VS8BSBDE"],"itemData":{"id":1009,"type":"article-journal","abstract":"This study investigated, for the first time, the effects of replacement of fishmeal (FM) with insect meal from Hermetia illucens (HI) on the transcript levels of three genes involved in methionine (Met) metabolism in rainbow trout (Oncorhynchus mykiss) liver. Two target genes—betaine-homocysteine S-methyltransferase (BHMT) and S-adenosylhomocysteine hydrolase (SAHH)—are involved in Met resynthesis and the third one—cystathionine β synthase (CBS)—is involved in net Met loss (taurine synthesis). We also investigated the levels of two Met metabolites involved in the maintenance of methyl groups and homocysteine homeostasis in the hepatic tissue: S-adenosylmethionine (SAM) and S-adenosylhomocysteine (SAH). Three diets were formulated, an FM-based diet (HI0) and two diets in which 25% (HI25) and 50% (HI50) of FM was replaced with HI larvae meal. A 78-day feeding trial involved 360 rainbow trout with 178.9 ± 9.81 g initial average weight. Dietary replacement of up to 50% of FM with HI larvae meal, without any Met supplementation, did not negatively affect rainbow trout growth parameters and hepatic Met metabolism. In particular, Met availability from the insect-based diets directly modulated the transcript levels of two out of three target genes (CBS, SAHH) to maintain an optimal level of one-carbon metabolic substrates, i.e., the SAM:SAH ratio in the hepatic tissue.","container-title":"Animals","DOI":"10.3390/ani10061059","ISSN":"2076-2615","issue":"6","language":"en","license":"http://creativecommons.org/licenses/by/3.0/","note":"number: 6\npublisher: Multidisciplinary Digital Publishing Institute","page":"1059","source":"www.mdpi.com","title":"Effects of partially defatted Hermetia illucens meal in rainbow trout diet on hepatic methionine metabolism","volume":"10","author":[{"family":"Terova","given":"Genciana"},{"family":"Ceccotti","given":"Chiara"},{"family":"Ascione","given":"Chiara"},{"family":"Gasco","given":"Laura"},{"family":"Rimoldi","given":"Simona"}],"issued":{"date-parts":[["2020",6]]}}}],"schema":"https://github.com/citation-style-language/schema/raw/master/csl-citation.json"} </w:instrText>
      </w:r>
      <w:r w:rsidRPr="00DF7BC4">
        <w:rPr>
          <w:rFonts w:ascii="Times New Roman" w:hAnsi="Times New Roman" w:cs="Times New Roman"/>
        </w:rPr>
        <w:fldChar w:fldCharType="separate"/>
      </w:r>
      <w:r w:rsidR="002D38F0" w:rsidRPr="002D38F0">
        <w:rPr>
          <w:rFonts w:ascii="Times New Roman" w:hAnsi="Times New Roman" w:cs="Times New Roman"/>
          <w:szCs w:val="24"/>
          <w:vertAlign w:val="superscript"/>
        </w:rPr>
        <w:t>233</w:t>
      </w:r>
      <w:r w:rsidRPr="00DF7BC4">
        <w:rPr>
          <w:rFonts w:ascii="Times New Roman" w:hAnsi="Times New Roman" w:cs="Times New Roman"/>
        </w:rPr>
        <w:fldChar w:fldCharType="end"/>
      </w:r>
      <w:r w:rsidRPr="00DF7BC4">
        <w:rPr>
          <w:rFonts w:ascii="Times New Roman" w:hAnsi="Times New Roman" w:cs="Times New Roman"/>
        </w:rPr>
        <w:t xml:space="preserve"> that would provide an in</w:t>
      </w:r>
      <w:r w:rsidR="004F70F9">
        <w:rPr>
          <w:rFonts w:ascii="Times New Roman" w:hAnsi="Times New Roman" w:cs="Times New Roman"/>
        </w:rPr>
        <w:t xml:space="preserve"> </w:t>
      </w:r>
      <w:r w:rsidRPr="00DF7BC4">
        <w:rPr>
          <w:rFonts w:ascii="Times New Roman" w:hAnsi="Times New Roman" w:cs="Times New Roman"/>
        </w:rPr>
        <w:t>depth understanding o</w:t>
      </w:r>
      <w:r w:rsidR="004F70F9">
        <w:rPr>
          <w:rFonts w:ascii="Times New Roman" w:hAnsi="Times New Roman" w:cs="Times New Roman"/>
        </w:rPr>
        <w:t>f</w:t>
      </w:r>
      <w:r w:rsidRPr="00DF7BC4">
        <w:rPr>
          <w:rFonts w:ascii="Times New Roman" w:hAnsi="Times New Roman" w:cs="Times New Roman"/>
        </w:rPr>
        <w:t xml:space="preserve"> the interaction between the insect-based feed and the farmed aquatic animal. </w:t>
      </w:r>
      <w:r w:rsidRPr="00DF7BC4">
        <w:rPr>
          <w:rFonts w:ascii="Times New Roman" w:hAnsi="Times New Roman" w:cs="Times New Roman"/>
          <w:lang w:val="en-CA"/>
        </w:rPr>
        <w:t>Recent literature reviews are available</w:t>
      </w:r>
      <w:r w:rsidRPr="00DF7BC4">
        <w:rPr>
          <w:rFonts w:ascii="Times New Roman" w:hAnsi="Times New Roman" w:cs="Times New Roman"/>
          <w:lang w:val="fr-FR"/>
        </w:rPr>
        <w:t xml:space="preserve"> </w:t>
      </w:r>
      <w:r w:rsidRPr="00DF7BC4">
        <w:rPr>
          <w:rFonts w:ascii="Times New Roman" w:hAnsi="Times New Roman" w:cs="Times New Roman"/>
          <w:lang w:val="fr-FR"/>
        </w:rPr>
        <w:fldChar w:fldCharType="begin"/>
      </w:r>
      <w:r w:rsidR="002D38F0">
        <w:rPr>
          <w:rFonts w:ascii="Times New Roman" w:hAnsi="Times New Roman" w:cs="Times New Roman"/>
          <w:lang w:val="fr-FR"/>
        </w:rPr>
        <w:instrText xml:space="preserve"> ADDIN ZOTERO_ITEM CSL_CITATION {"citationID":"ac786sbcg5","properties":{"formattedCitation":"\\super 173,176,180,234\\nosupersub{}","plainCitation":"173,176,180,234","noteIndex":0},"citationItems":[{"id":1055,"uris":["http://zotero.org/groups/4669668/items/BCYRALZD"],"itemData":{"id":1055,"type":"article-journal","abstract":"In 2018, the industrial compound feed production throughout the world was 1.103 metric billion tons, which was an increase of 3% compared to 2017. In order to meet the needs of the increasing population, a further increment in compound feed production is necessary. Conventional protein sources are no longer suitable to completely satisfy the increment of feed production in a sustainable way. Insects are one of the most promising options, due to their valuable nutritional features. This paper reviews the state-of-the-art of research on the use of insect meals and oils in aquatic, avian and other animal species diets, focusing mainly on the effects on digestibility, performance and product quality. In general, insect-derived product digestibility is affected by the insect species, the inclusion levels and by the process. Sometimes, the presence of chitin can lead to a decrease in nutrient digestibility. The same considerations are true for animal performance. As far as product quality is concerned, a dramatic effect of insect products has been recorded for the fatty acid profile, with a decrease in valuable n3 fatty acids. Sensory analyses have reported no or slight differences. Insect-derived products seem to be a good alternative to conventional feed sources and can make an important contribution to the sustainable development of the livestock industry.","container-title":"Animals","DOI":"10.3390/ani9040170","ISSN":"2076-2615","issue":"4","language":"en","license":"http://creativecommons.org/licenses/by/3.0/","note":"number: 4\npublisher: Multidisciplinary Digital Publishing Institute","page":"170","source":"www.mdpi.com","title":"Animals fed insect-based diets: state-of-the-art on digestibility, performance and product quality","title-short":"Animals fed insect-based diets","volume":"9","author":[{"family":"Gasco","given":"Laura"},{"family":"Biasato","given":"Ilaria"},{"family":"Dabbou","given":"Sihem"},{"family":"Schiavone","given":"Achille"},{"family":"Gai","given":"Francesco"}],"issued":{"date-parts":[["2019",4]]}}},{"id":1154,"uris":["http://zotero.org/groups/4669668/items/ACRL37ZW"],"itemData":{"id":1154,"type":"article-journal","abstract":"There is an increasing interest in the use of insects in animal feed since they contain high proteins levels, lipids, vitamins and minerals. In particular, insect-derived proteins are seen as one of the potential solution to face the increasing protein shortage and are able to fully substitute soybean meal or fishmeal in aquaculture or livestock feeds. However, beside their interesting nutritional composition, insects are also rich in bioactive compounds such as chitin, antimicrobial peptides or specific fatty acids with immunostimulating, antimicrobial and/or anti-inflammatory properties able to sustain animal health, increase their resistance to diseases. Further studies will also have to investigate whether insects share similarities with bacterial or parasitical pathogens and may act as immunostimulants. These recent findings may launch insects beyond the protein concept into healthy animal feeds. This review presents the effects of insects and their bioactive compounds on fish and crustaceans, poultry, pigs and rabbits immune system, gut health, microbiota and resistance to diseases.","container-title":"Journal of Insects as Food and Feed","DOI":"10.3920/JIFF2020.0077","issue":"5","note":"number: 5\npublisher: Wageningen Academic Publishers","page":"715-741","source":"wageningenacademic.com (Atypon)","title":"Beyond the protein concept: health aspects of using edible insects on animals","title-short":"Beyond the protein concept","volume":"7","author":[{"family":"Gasco","given":"L."},{"family":"Józefiak","given":"A."},{"family":"Henry","given":"M."}],"issued":{"date-parts":[["2021",8,13]]}}},{"id":1141,"uris":["http://zotero.org/groups/4669668/items/JAGBWKGN"],"itemData":{"id":1141,"type":"article-journal","abstract":"Different studies have shown that insect meals can partially or completely replace the fish and soya bean meals that are commonly used in aquaculture. However, information is lacking on the amino acid and fatty acid contents and digestibility of different insect meals. Moreover, we evaluated different proportions of insect diets and determined how these affected the nutritional values of insect meals. Our purpose was to clarify these aspects and consider the availability of protein, amino acids, lipids and fatty acids in insect meals in fish nutrition. Generally, insect meals have higher indispensable amino acid contents than other meal types, with contents closely related to those in fish meal. Insect meal can be an important source of essential amino acids such as methionine, with contents ranging between 0.47 and 4.03 g 100 g−1 sample. These values are higher than those reported for other animal and plant meals. In addition, insects are also good sources of lipids and fatty acids, and the amounts and types of fatty acids vary according to the species, stage of development and type of feed. Moreover, the additional nutritional value of insect meal includes compounds such as chitin, which is primarily considered a fibre but also contains nitrogen and amino acids. Insect peptides with activity against pathogenic microflora provide secondary biological effects, which may significantly improve animal health.","container-title":"Reviews in Aquaculture","DOI":"10.1111/raq.12281","ISSN":"1753-5131","issue":"4","language":"en","note":"number: 4\n_eprint: https://onlinelibrary.wiley.com/doi/pdf/10.1111/raq.12281","page":"1080-1103","source":"Wiley Online Library","title":"Insect meals in fish nutrition","volume":"11","author":[{"family":"Nogales-Mérida","given":"Silvia"},{"family":"Gobbi","given":"Paola"},{"family":"Józefiak","given":"Damian"},{"family":"Mazurkiewicz","given":"Jan"},{"family":"Dudek","given":"Krzysztof"},{"family":"Rawski","given":"Mateusz"},{"family":"Kierończyk","given":"Bartosz"},{"family":"Józefiak","given":"Agata"}],"issued":{"date-parts":[["2019"]]}}},{"id":978,"uris":["http://zotero.org/groups/4669668/items/XQPKPTL5"],"itemData":{"id":978,"type":"article-journal","abstract":"Black soldier fly (Hermetia illucens) has gained attention as a sustainable novel protein source in fish feed due to its high nutritional value and low environmental impacts. In the past decade, effects of the use of black soldier fly in aquafeeds have widely been studied in salmonids. A meta-analysis was conducted to compile and systematically quantify the effect of black soldier fly in diets for salmonids on growth performance and nutrient utilization. The main meta-analysis showed that dietary inclusion of black soldier fly did not compromise the specific growth rate, feed conversion ratio, feed intake, protein digestibility and protein efficiency ratio in salmonids. A meta-regression was conducted to explore the possible causes of variation in growth rate, feed conversion ratio and feed intake between the studies. Fish species, protein source(s) replaced and black soldier fly inclusion level were partially responsible for the variation in growth rate between the studies. The protein source(s) replaced and black soldier fly inclusion level partially explained the variation in feed conversion ratio and feed intake respectively. The sub-data sets sorted according to the replaced protein source(s) showed that replacing fishmeal by black soldier fly decreased growth rate and feed intake in salmonids, but replacing non-fishmeal sources improved growth rate and feed conversion. This strengthened the importance of the type of replaced protein source(s) when evaluating nutritional values of black soldier fly for salmonids. In conclusion, the present meta-analysis showed that black soldier fly is a promising protein source for salmonid feeds.","container-title":"Reviews in Aquaculture","DOI":"10.1111/raq.12635","ISSN":"1753-5131","issue":"2","language":"en","note":"_eprint: https://onlinelibrary.wiley.com/doi/pdf/10.1111/raq.12635","page":"938-956","source":"Wiley Online Library","title":"A systematic meta-analysis based review on black soldier fly (Hermetia illucens) as a novel protein source for salmonids","volume":"14","author":[{"family":"Weththasinghe","given":"Pabodha"},{"family":"Hansen","given":"Jon Øvrum"},{"family":"Mydland","given":"Liv Torunn"},{"family":"Øverland","given":"Margareth"}],"issued":{"date-parts":[["2021"]]}}}],"schema":"https://github.com/citation-style-language/schema/raw/master/csl-citation.json"} </w:instrText>
      </w:r>
      <w:r w:rsidRPr="00DF7BC4">
        <w:rPr>
          <w:rFonts w:ascii="Times New Roman" w:hAnsi="Times New Roman" w:cs="Times New Roman"/>
          <w:lang w:val="fr-FR"/>
        </w:rPr>
        <w:fldChar w:fldCharType="separate"/>
      </w:r>
      <w:r w:rsidR="002D38F0" w:rsidRPr="002D38F0">
        <w:rPr>
          <w:rFonts w:ascii="Times New Roman" w:hAnsi="Times New Roman" w:cs="Times New Roman"/>
          <w:szCs w:val="24"/>
          <w:vertAlign w:val="superscript"/>
        </w:rPr>
        <w:t>173,176,180,234</w:t>
      </w:r>
      <w:r w:rsidRPr="00DF7BC4">
        <w:rPr>
          <w:rFonts w:ascii="Times New Roman" w:hAnsi="Times New Roman" w:cs="Times New Roman"/>
          <w:lang w:val="fr-FR"/>
        </w:rPr>
        <w:fldChar w:fldCharType="end"/>
      </w:r>
      <w:r w:rsidRPr="00DF7BC4">
        <w:rPr>
          <w:rFonts w:ascii="Times New Roman" w:hAnsi="Times New Roman" w:cs="Times New Roman"/>
          <w:lang w:val="fr-FR"/>
        </w:rPr>
        <w:t xml:space="preserve">. </w:t>
      </w:r>
      <w:r w:rsidRPr="00DF7BC4">
        <w:rPr>
          <w:rFonts w:ascii="Times New Roman" w:hAnsi="Times New Roman" w:cs="Times New Roman"/>
        </w:rPr>
        <w:t>Insect-derived products can also find application in Pacific white shrimp (</w:t>
      </w:r>
      <w:proofErr w:type="spellStart"/>
      <w:r w:rsidRPr="00DF7BC4">
        <w:rPr>
          <w:rFonts w:ascii="Times New Roman" w:hAnsi="Times New Roman" w:cs="Times New Roman"/>
          <w:i/>
        </w:rPr>
        <w:t>Litopenaeus</w:t>
      </w:r>
      <w:proofErr w:type="spellEnd"/>
      <w:r w:rsidRPr="00DF7BC4">
        <w:rPr>
          <w:rFonts w:ascii="Times New Roman" w:hAnsi="Times New Roman" w:cs="Times New Roman"/>
          <w:i/>
        </w:rPr>
        <w:t xml:space="preserve"> </w:t>
      </w:r>
      <w:proofErr w:type="spellStart"/>
      <w:r w:rsidRPr="00DF7BC4">
        <w:rPr>
          <w:rFonts w:ascii="Times New Roman" w:hAnsi="Times New Roman" w:cs="Times New Roman"/>
          <w:i/>
        </w:rPr>
        <w:t>vannamei</w:t>
      </w:r>
      <w:proofErr w:type="spellEnd"/>
      <w:r w:rsidRPr="00DF7BC4">
        <w:rPr>
          <w:rFonts w:ascii="Times New Roman" w:hAnsi="Times New Roman" w:cs="Times New Roman"/>
        </w:rPr>
        <w:t xml:space="preserve">) culture resulting in good performances </w:t>
      </w:r>
      <w:r w:rsidRPr="00DF7BC4">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{"citationID":"a21j74b677f","properties":{"formattedCitation":"\\super 235\\uc0\\u8211{}238\\nosupersub{}","plainCitation":"235–238","noteIndex":0},"citationItems":[{"id":1162,"uris":["http://zotero.org/groups/4669668/items/4HN43EWD"],"itemData":{"id":1162,"type":"article-journal","abstract":"ABSTRACT. The objective of this study was to determine the effect of replacing FM with mealworm (Tenebrio molitor) on the growth performance and immunologic responses of white shrimp. In addition, the toxicity of such replacement to white shrimp was measured. Mealworm was incorporated to partially or totally replace fish meal in diets for white shrimp. Experimental groups of shrimp with an average initial body weight of 2.39 ± 0.49 g were fed each of 4 isonitrogeneous diets formulated to include 0, 25, 50 and 100% (control, MW25, MW50 and MW100 respectively) of mealworm substituted for fish meal. After eight weeks of feeding trials, shrimp fed diets MW25, MW50 and MW100 had higher live weight gain (10.05 ± 3.06, 11.41 ± 2.08, and 10.36 ± 1.57, respectively), higher specific growth rate (2.56 ± 0.11, 2.79 ± 0.09, and 2.61 ± 0.07, respectively), and better feed conversion ratio (2.89 ± 0.08, 2.69 ± 0.09, and 2.72 ± 0.19, respectively) compared to those of shrimp fed control diet. Survival rate was 98% in all treatments. No toxicity was found in post-mortem pathophysiologic examinations. The levels of immune markers such as beta-glucan binding protein, prophenoloxidase and crustin associated with shrimp’s cellular and humoral immunity were found to be higher in 25 and 50% mealworm replacement groups. These results clearly indicated that replacement of fish meal with 50% mealworm for shrimp diet was optimal in promoting the growth performance of shrimp without any adverse effect.","container-title":"Acta Scientiarum. Animal Sciences","DOI":"10.4025/actascianimsci.v40i1.39077","ISSN":"1806-2636, 1807-8672","journalAbbreviation":"Acta Sci., Anim. Sci.","language":"en","note":"publisher: Editora da Universidade Estadual de Maringá - EDUEM","source":"SciELO","title":"Replacing fish meal by mealworm (&lt;i&gt;Tenebrio molitor&lt;/i&gt;) on the growth performance and immunologic responses of white shrimp (&lt;i&gt;Litopenaeus vannamei&lt;/i&gt;)","URL":"http://www.scielo.br/j/asas/a/sKNPHKXgRQy5YHTGVFd8hcd/?format=html&amp;lang=en","volume":"40","author":[{"family":"Choi","given":"In-Hag"},{"family":"Kim","given":"Joo-Min"},{"family":"Kim","given":"Nam-Jung"},{"family":"Kim","given":"Jeong-Dae"},{"family":"Park","given":"Chul"},{"family":"Park","given":"Jong-Hwan"},{"family":"Chung","given":"Tae-ho"}],"accessed":{"date-parts":[["2022",4,23]]},"issued":{"date-parts":[["2018",8,16]]}}},{"id":1161,"uris":["http://zotero.org/groups/4669668/items/7P764NNG"],"itemData":{"id":1161,"type":"article-journal","abstract":"Black soldier fly larvae (BSFL) meal, produced from the larvae of Hermetia illucens, has shown promise as a fish meal (FM) replacement in diets for rainbow trout, catfish and tilapia, but has not been examined as an alternative protein source in shrimp diets. Six isonitrogenous (35% crude protein, as fed) and isoenergetic (16.7kJ available energy g−1 of diet) diets containing graded levels of BSFL as replacements for protein from menhaden FM were fed to juvenile (1.24g±0.01; mean±SE) Pacific white shrimp, Litopenaeus vannamei. Diet 1 (the control) was formulated similar to a commercial shrimp diet containing 25% menhaden FM and 23% soybean meal. Diets 2–6 were formulated as a dose-response series that progressively replaced protein from menhaden FM with BSFL meal at inclusion rates of 7%, 14%, 21%, 28%, and 36% of diet; this equated to progressively replacing 16.5% of dietary protein provided by menhaden FM. Diets were fed to juvenile shrimp stocked into eighteen 110-L saltwater aquaria (30ppt) (three replicates per dietary treatment) at a density of 15 shrimp per aquarium (50/m2) for 63days. Nonlinear and spline regression analysis of responses indicated that the maximum level of BSFL meal inclusion varied significantly with the response being modeled. Generally, without modification of the ingredient or replacement diet nutrient profiles, 95% to 100% of most growth responses, i.e., shrimp final weight, weight gain, specific growth rate, and food conversion, could be obtained if replacement of FM by BSFL meal was limited to &lt;25% of the diet, depending on performance measure. Similarly, 95% or greater of maximum whole-body protein and lipid content could be achieved when BSFL inclusion was restricted to &lt;29% and 15%, respectively. Comparison of amino acid profiles in the test diets with recent requirement estimates for limiting amino acids in BSFL meal also suggest future strategies for increasing dietary substitution of FM with BSFL.","container-title":"Aquaculture","DOI":"10.1016/j.aquaculture.2017.02.022","ISSN":"0044-8486","journalAbbreviation":"Aquaculture","language":"en","page":"337-344","source":"ScienceDirect","title":"Evaluation of black soldier fly (Hermetia illucens) larvae meal as partial or total replacement of marine fish meal in practical diets for Pacific white shrimp (Litopenaeus vannamei)","volume":"473","author":[{"family":"Cummins","given":"Vaun C."},{"family":"Rawles","given":"Steven D."},{"family":"Thompson","given":"Kenneth R."},{"family":"Velasquez","given":"Alejandro"},{"family":"Kobayashi","given":"Yuka"},{"family":"Hager","given":"Janelle"},{"family":"Webster","given":"Carl D."}],"issued":{"date-parts":[["2017",4,20]]}}},{"id":1138,"uris":["http://zotero.org/groups/4669668/items/I9RZ4PE8"],"itemData":{"id":1138,"type":"article-journal","abstract":"Mealworm meal (MM) was evaluated for its potential as a future protein source for the farmed shrimp Litopenaeus vannamei. The apparent digestibility coefficients (ADC) were determined using a reference diet and a test diet that contained 85% reference diet and 15% MM, both contained 0.5% chromic oxide as an inert marker. Subsequently, considering the digestible values of MM, after six weeks of culture under clear water using five diets containing different levels of fishmeal replaced by MM (0%, 25%, 50%, 75% and 100%), the growth parameters and the whole shrimp body composition were evaluated. The values of the ADC were: 45.9% for dry matter, 66.5% for energy and 76.1% for crude protein while the ADC for essential amino acids ranged from 72% to 86%. Methionine was the first limiting amino acid in MM. Weight gain, specific growth rate, feed intake, feed conversion, survival and protein retention were not affected when fishmeal was replaced by MM (P&gt;0.05). The protein content of the shrimp body showed no significant differences (P&gt;0.05) between the treatments. However, lipid content of the shrimp body increased from 1.13% to 1.88% when fishmeal was replaced by MM. These results suggest that mealworm meal can be utilized as an alternative protein source for L. vannamei juveniles, although methionine should be added as a supplement.","container-title":"Aquaculture","DOI":"10.1016/j.aquaculture.2017.02.008","ISSN":"0044-8486","journalAbbreviation":"Aquaculture","language":"en","page":"115-120","source":"ScienceDirect","title":"Potential use of mealworms as an alternative protein source for Pacific white shrimp: Digestibility and performance","title-short":"Potential use of mealworms as an alternative protein source for Pacific white shrimp","volume":"473","author":[{"family":"Panini","given":"Roseane L."},{"family":"Freitas","given":"Luiz Eduardo Lima"},{"family":"Guimarães","given":"Ariane M."},{"family":"Rios","given":"Cristina"},{"family":"Silva","given":"Maria Fernanda O.","non-dropping-particle":"da"},{"family":"Vieira","given":"Felipe Nascimento"},{"family":"Fracalossi","given":"Débora M."},{"family":"Samuels","given":"Richard Ian"},{"family":"Prudêncio","given":"Elane Schwinden"},{"family":"Silva","given":"Carlos Peres"},{"family":"Amboni","given":"Renata D. M. C."}],"issued":{"date-parts":[["2017",4,20]]}}},{"id":1135,"uris":["http://zotero.org/groups/4669668/items/4MGCNM8J"],"itemData":{"id":1135,"type":"article-journal","abstract":"This study evaluated the effects of replacing fish meal (FM) with defatted silkworm pupae meal (SPM) on growth, diet digestibility, antioxidant capacity, hepatopancreas histology and molting process in Pacific white shrimp (Litopenaeus vannamei). A basal diet was formulated to contain 24% FM, then 25, 50, 75 or 100% of FM was substituted with SPM referred to as FM, SPM25, SPM50, SPM75 and SPM100 diets, respectively. Quadruplicate groups (36 shrimp per replicate) of shrimp (0.2 ± 0.02 g) were fed the test diets to apparent satiation three times daily for eight weeks. No significant difference (P &gt; .05) in growth performance could be found among FM and SPM groups. Apparent digestibility coefficients of dry matter, gross energy and phosphorous were significantly improved by SPM inclusion. Serum antioxidant parameters including total antioxidant capacity and malondialdehyde concentration were beneficially influenced by SMP inclusion. Higher number of B-cells and lower number of E-cells were detected in hepatopancreatic tubules of SPM100 group compared to the other groups. Moreover, total replacement of FM triggered separation of basal membrane and greater interstitial spaces between the hepatopancreatic tubules. Molting time significantly decreased when FM was entirely replaced with SPM. Also, chitin deacetylase activity was enhanced in SPM100 group, but β-N-Acetyl-d-glucosaminidase activity, and expression of ecdysteroid receptor and retinoid X receptor remained unchanged. To conclude, the entire replacement of FM with SPM did not influence shrimp growth, and its beneficial impacts were found on diet digestibility, antioxidant capacity and molting time. However, the substitution level is recommended to be restricted to 75% as total replacement led to shrinkage of hepatopancreatic cells.","container-title":"Aquaculture","DOI":"10.1016/j.aquaculture.2019.05.054","ISSN":"0044-8486","journalAbbreviation":"Aquaculture","language":"en","page":"150-159","source":"ScienceDirect","title":"Replacement of fish meal with defatted silkworm (Bombyx mori L.) pupae meal in diets for Pacific white shrimp (Litopenaeus vannamei)","volume":"510","author":[{"family":"Rahimnejad","given":"Samad"},{"family":"Hu","given":"Shuicheng"},{"family":"Song","given":"Kai"},{"family":"Wang","given":"Ling"},{"family":"Lu","given":"Kangle"},{"family":"Wu","given":"Rui"},{"family":"Zhang","given":"Chunxiao"}],"issued":{"date-parts":[["2019",8,15]]}}}],"schema":"https://github.com/citation-style-language/schema/raw/master/csl-citation.json"} </w:instrText>
      </w:r>
      <w:r w:rsidRPr="00DF7BC4">
        <w:rPr>
          <w:rFonts w:ascii="Times New Roman" w:hAnsi="Times New Roman" w:cs="Times New Roman"/>
        </w:rPr>
        <w:fldChar w:fldCharType="separate"/>
      </w:r>
      <w:r w:rsidR="002D38F0" w:rsidRPr="002D38F0">
        <w:rPr>
          <w:rFonts w:ascii="Times New Roman" w:hAnsi="Times New Roman" w:cs="Times New Roman"/>
          <w:szCs w:val="24"/>
          <w:vertAlign w:val="superscript"/>
        </w:rPr>
        <w:t>235–238</w:t>
      </w:r>
      <w:r w:rsidRPr="00DF7BC4">
        <w:rPr>
          <w:rFonts w:ascii="Times New Roman" w:hAnsi="Times New Roman" w:cs="Times New Roman"/>
        </w:rPr>
        <w:fldChar w:fldCharType="end"/>
      </w:r>
      <w:r w:rsidRPr="00DF7BC4">
        <w:rPr>
          <w:rFonts w:ascii="Times New Roman" w:hAnsi="Times New Roman" w:cs="Times New Roman"/>
        </w:rPr>
        <w:t xml:space="preserve">, and </w:t>
      </w:r>
      <w:r w:rsidRPr="00DF7BC4">
        <w:rPr>
          <w:rFonts w:ascii="Times New Roman" w:hAnsi="Times New Roman" w:cs="Times New Roman"/>
        </w:rPr>
        <w:lastRenderedPageBreak/>
        <w:t xml:space="preserve">improved survival rates and reduced immunosuppression when shrimps had to face infection </w:t>
      </w:r>
      <w:r w:rsidRPr="00DF7BC4">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{"citationID":"akcgbjjh2c","properties":{"formattedCitation":"\\super 239\\nosupersub{}","plainCitation":"239","noteIndex":0},"citationItems":[{"id":1029,"uris":["http://zotero.org/groups/4669668/items/GBSPF92I"],"itemData":{"id":1029,"type":"article-journal","abstract":"Recently, ecological and economic issues have affected fish meal (FM) supply, the main source of protein for shrimp. This triggered a search for alternative dietary protein sources for shrimp production. We studied the consequences of replacing FM with a defatted insect meal, ŸnMealTM (YM), comprised of yellow mealworm (Tenebrio molitor). Growth and immune parameters of juvenile Pacific white shrimp (Litopenaeus vannanmei) were compared after an eight-week feeding trial. Shrimp were kept in aquaria with densities of 60 and 40 shrimp/m2 and fed one of five diets in which a proportion of FM was replaced by YM. All diets were isoproteic, isoenergetic, and balanced in lysine and methionine. After the feeding trial, shrimp were challenged with pathogenic bacteria (Vibrio parahaemolyticus). Growth and feed conversion parameters improved when YM was included in shrimp diets; with the highest weight gain and best food conversion ratio (FCR) achieved when 50% of FM was replaced by YM versus the control diet that contained no YM (initial weight: 1.60 g/shrimp; growth: 5.27 vs. 3.94 g/shrimp; FCR 1.20 vs. 1.59). In challenged shrimp, mortality rates were significantly less among groups that received YM, with a 76.9% lower mortality rate in the 50% FM replacement group versus the control.","container-title":"Animals","DOI":"10.3390/ani9050258","ISSN":"2076-2615","issue":"5","language":"en","license":"http://creativecommons.org/licenses/by/3.0/","note":"number: 5\npublisher: Multidisciplinary Digital Publishing Institute","page":"258","source":"www.mdpi.com","title":"Replacing fish meal with defatted insect meal (yellow mealworm Tenebrio molitor) improves the growth and immunity of pacific white shrimp (Litopenaeus vannamei)","volume":"9","author":[{"family":"Motte","given":"Constant"},{"family":"Rios","given":"Alfredo"},{"family":"Lefebvre","given":"Thomas"},{"family":"Do","given":"Hong"},{"family":"Henry","given":"Morgane"},{"family":"Jintasataporn","given":"Orapint"}],"issued":{"date-parts":[["2019",5]]}}}],"schema":"https://github.com/citation-style-language/schema/raw/master/csl-citation.json"} </w:instrText>
      </w:r>
      <w:r w:rsidRPr="00DF7BC4">
        <w:rPr>
          <w:rFonts w:ascii="Times New Roman" w:hAnsi="Times New Roman" w:cs="Times New Roman"/>
        </w:rPr>
        <w:fldChar w:fldCharType="separate"/>
      </w:r>
      <w:r w:rsidR="002D38F0" w:rsidRPr="002D38F0">
        <w:rPr>
          <w:rFonts w:ascii="Times New Roman" w:hAnsi="Times New Roman" w:cs="Times New Roman"/>
          <w:szCs w:val="24"/>
          <w:vertAlign w:val="superscript"/>
        </w:rPr>
        <w:t>239</w:t>
      </w:r>
      <w:r w:rsidRPr="00DF7BC4">
        <w:rPr>
          <w:rFonts w:ascii="Times New Roman" w:hAnsi="Times New Roman" w:cs="Times New Roman"/>
        </w:rPr>
        <w:fldChar w:fldCharType="end"/>
      </w:r>
      <w:r w:rsidRPr="00DF7BC4">
        <w:rPr>
          <w:rFonts w:ascii="Times New Roman" w:hAnsi="Times New Roman" w:cs="Times New Roman"/>
        </w:rPr>
        <w:t xml:space="preserve">. As far as insect meals used as protein sources in aquafeeds are concerned, a recent meta-analysis performed by </w:t>
      </w:r>
      <w:r w:rsidRPr="00DF7BC4">
        <w:rPr>
          <w:rFonts w:ascii="Times New Roman" w:hAnsi="Times New Roman" w:cs="Times New Roman"/>
        </w:rPr>
        <w:fldChar w:fldCharType="begin"/>
      </w:r>
      <w:r w:rsidR="00A95868">
        <w:rPr>
          <w:rFonts w:ascii="Times New Roman" w:hAnsi="Times New Roman" w:cs="Times New Roman"/>
        </w:rPr>
        <w:instrText xml:space="preserve"> ADDIN ZOTERO_ITEM CSL_CITATION {"citationID":"a2eb3sk7e4g","properties":{"formattedCitation":"\\uldash{(Hua, 2021)}","plainCitation":"(Hua, 2021)","dontUpdate":true,"noteIndex":0},"citationItems":[{"id":1149,"uris":["http://zotero.org/groups/4669668/items/U78RJ2IZ"],"itemData":{"id":1149,"type":"article-journal","abstract":"Recognizing the importance of reducing fish meals in fish feeds to ensure the economic and environmental sustainability of aquaculture operations, there have been growing interests in using insect meals as a protein source in aquaculture feeds. Increasing number of studies have been conducted to test the effects of insect meals as substitutes of fish meals in feeds of various fish species with varying degrees of success. A meta-analysis was carried out to quantify the effects of insect meals on growth performance of fish. The meta-analysis indicated that in general low or moderate dietary incorporation levels of insect meals did not affect the growth of fish in comparison to fish meal-based diets. High dietary inclusion levels of different insect species appeared to have divergent effects on fish growth. While higher than 29% (±3%) dietary inclusion levels of black solider fly meals depressed the growth performance, yellow mealworm seemed to be well tolerated by fish. Full-fat and defatted black soldier fly meals did not seem to differ in their effects on fish growth performance but this should be viewed as inconclusive due to varying degrees of defatting and highly variable nutrient compositions of the insect meals. Overall the results suggest that insect meals are promising novel protein sources for aquaculture feeds. More research is warranted to further elucidate the various influencing factors on the effectiveness of the dietary inclusions of insect meals in aquaculture feeds, as well as to integrate and translate this information into practical feed formulations.","container-title":"Aquaculture","DOI":"10.1016/j.aquaculture.2020.735732","ISSN":"0044-8486","journalAbbreviation":"Aquaculture","language":"en","page":"735732","source":"ScienceDirect","title":"A meta-analysis of the effects of replacing fish meals with insect meals on growth performance of fish","volume":"530","author":[{"family":"Hua","given":"Katheline"}],"issued":{"date-parts":[["2021",1,15]]}}}],"schema":"https://github.com/citation-style-language/schema/raw/master/csl-citation.json"} </w:instrText>
      </w:r>
      <w:r w:rsidRPr="00DF7BC4">
        <w:rPr>
          <w:rFonts w:ascii="Times New Roman" w:hAnsi="Times New Roman" w:cs="Times New Roman"/>
        </w:rPr>
        <w:fldChar w:fldCharType="separate"/>
      </w:r>
      <w:r w:rsidRPr="00DF7BC4">
        <w:rPr>
          <w:rFonts w:ascii="Times New Roman" w:hAnsi="Times New Roman" w:cs="Times New Roman"/>
          <w:szCs w:val="24"/>
        </w:rPr>
        <w:t>Hua, (2021)</w:t>
      </w:r>
      <w:r w:rsidRPr="00DF7BC4">
        <w:rPr>
          <w:rFonts w:ascii="Times New Roman" w:hAnsi="Times New Roman" w:cs="Times New Roman"/>
        </w:rPr>
        <w:fldChar w:fldCharType="end"/>
      </w:r>
      <w:r w:rsidRPr="00DF7BC4">
        <w:rPr>
          <w:rFonts w:ascii="Times New Roman" w:hAnsi="Times New Roman" w:cs="Times New Roman"/>
        </w:rPr>
        <w:t xml:space="preserve"> underlined how the “replacement level” concept was not an appropriate parameter in assessing the nutritive values of alternative ingredients and that the “level of inclusion” concept was </w:t>
      </w:r>
      <w:r w:rsidRPr="00DD561A">
        <w:rPr>
          <w:rFonts w:ascii="Times New Roman" w:hAnsi="Times New Roman" w:cs="Times New Roman"/>
        </w:rPr>
        <w:t xml:space="preserve">more objective </w:t>
      </w:r>
      <w:r w:rsidRPr="00DD561A">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{"citationID":"a14m102t8oh","properties":{"formattedCitation":"\\super 171\\nosupersub{}","plainCitation":"171","noteIndex":0},"citationItems":[{"id":1149,"uris":["http://zotero.org/groups/4669668/items/U78RJ2IZ"],"itemData":{"id":1149,"type":"article-journal","abstract":"Recognizing the importance of reducing fish meals in fish feeds to ensure the economic and environmental sustainability of aquaculture operations, there have been growing interests in using insect meals as a protein source in aquaculture feeds. Increasing number of studies have been conducted to test the effects of insect meals as substitutes of fish meals in feeds of various fish species with varying degrees of success. A meta-analysis was carried out to quantify the effects of insect meals on growth performance of fish. The meta-analysis indicated that in general low or moderate dietary incorporation levels of insect meals did not affect the growth of fish in comparison to fish meal-based diets. High dietary inclusion levels of different insect species appeared to have divergent effects on fish growth. While higher than 29% (±3%) dietary inclusion levels of black solider fly meals depressed the growth performance, yellow mealworm seemed to be well tolerated by fish. Full-fat and defatted black soldier fly meals did not seem to differ in their effects on fish growth performance but this should be viewed as inconclusive due to varying degrees of defatting and highly variable nutrient compositions of the insect meals. Overall the results suggest that insect meals are promising novel protein sources for aquaculture feeds. More research is warranted to further elucidate the various influencing factors on the effectiveness of the dietary inclusions of insect meals in aquaculture feeds, as well as to integrate and translate this information into practical feed formulations.","container-title":"Aquaculture","DOI":"10.1016/j.aquaculture.2020.735732","ISSN":"0044-8486","journalAbbreviation":"Aquaculture","language":"en","page":"735732","source":"ScienceDirect","title":"A meta-analysis of the effects of replacing fish meals with insect meals on growth performance of fish","volume":"530","author":[{"family":"Hua","given":"Katheline"}],"issued":{"date-parts":[["2021",1,15]]}}}],"schema":"https://github.com/citation-style-language/schema/raw/master/csl-citation.json"} </w:instrText>
      </w:r>
      <w:r w:rsidRPr="00DD561A">
        <w:rPr>
          <w:rFonts w:ascii="Times New Roman" w:hAnsi="Times New Roman" w:cs="Times New Roman"/>
        </w:rPr>
        <w:fldChar w:fldCharType="separate"/>
      </w:r>
      <w:r w:rsidR="002D38F0" w:rsidRPr="002D38F0">
        <w:rPr>
          <w:rFonts w:ascii="Times New Roman" w:hAnsi="Times New Roman" w:cs="Times New Roman"/>
          <w:szCs w:val="24"/>
          <w:vertAlign w:val="superscript"/>
        </w:rPr>
        <w:t>171</w:t>
      </w:r>
      <w:r w:rsidRPr="00DD561A">
        <w:rPr>
          <w:rFonts w:ascii="Times New Roman" w:hAnsi="Times New Roman" w:cs="Times New Roman"/>
        </w:rPr>
        <w:fldChar w:fldCharType="end"/>
      </w:r>
      <w:r w:rsidRPr="00DD561A">
        <w:rPr>
          <w:rFonts w:ascii="Times New Roman" w:hAnsi="Times New Roman" w:cs="Times New Roman"/>
        </w:rPr>
        <w:t xml:space="preserve">. Accordingly, insect meals are a good match for fish protein needs and can be included up to 40-60% in aquafeeds without impairing performances. Another recent meta-analysis performed by </w:t>
      </w:r>
      <w:proofErr w:type="spellStart"/>
      <w:r w:rsidRPr="00DD561A">
        <w:rPr>
          <w:rFonts w:ascii="Times New Roman" w:hAnsi="Times New Roman" w:cs="Times New Roman"/>
        </w:rPr>
        <w:t>Weththasinghe</w:t>
      </w:r>
      <w:proofErr w:type="spellEnd"/>
      <w:r w:rsidRPr="00DD561A">
        <w:rPr>
          <w:rFonts w:ascii="Times New Roman" w:hAnsi="Times New Roman" w:cs="Times New Roman"/>
        </w:rPr>
        <w:t xml:space="preserve"> et al.</w:t>
      </w:r>
      <w:r w:rsidRPr="00DD561A">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{"citationID":"a1qvd39m4hd","properties":{"formattedCitation":"\\super 234\\nosupersub{}","plainCitation":"234","noteIndex":0},"citationItems":[{"id":978,"uris":["http://zotero.org/groups/4669668/items/XQPKPTL5"],"itemData":{"id":978,"type":"article-journal","abstract":"Black soldier fly (Hermetia illucens) has gained attention as a sustainable novel protein source in fish feed due to its high nutritional value and low environmental impacts. In the past decade, effects of the use of black soldier fly in aquafeeds have widely been studied in salmonids. A meta-analysis was conducted to compile and systematically quantify the effect of black soldier fly in diets for salmonids on growth performance and nutrient utilization. The main meta-analysis showed that dietary inclusion of black soldier fly did not compromise the specific growth rate, feed conversion ratio, feed intake, protein digestibility and protein efficiency ratio in salmonids. A meta-regression was conducted to explore the possible causes of variation in growth rate, feed conversion ratio and feed intake between the studies. Fish species, protein source(s) replaced and black soldier fly inclusion level were partially responsible for the variation in growth rate between the studies. The protein source(s) replaced and black soldier fly inclusion level partially explained the variation in feed conversion ratio and feed intake respectively. The sub-data sets sorted according to the replaced protein source(s) showed that replacing fishmeal by black soldier fly decreased growth rate and feed intake in salmonids, but replacing non-fishmeal sources improved growth rate and feed conversion. This strengthened the importance of the type of replaced protein source(s) when evaluating nutritional values of black soldier fly for salmonids. In conclusion, the present meta-analysis showed that black soldier fly is a promising protein source for salmonid feeds.","container-title":"Reviews in Aquaculture","DOI":"10.1111/raq.12635","ISSN":"1753-5131","issue":"2","language":"en","note":"_eprint: https://onlinelibrary.wiley.com/doi/pdf/10.1111/raq.12635","page":"938-956","source":"Wiley Online Library","title":"A systematic meta-analysis based review on black soldier fly (Hermetia illucens) as a novel protein source for salmonids","volume":"14","author":[{"family":"Weththasinghe","given":"Pabodha"},{"family":"Hansen","given":"Jon Øvrum"},{"family":"Mydland","given":"Liv Torunn"},{"family":"Øverland","given":"Margareth"}],"issued":{"date-parts":[["2021"]]}}}],"schema":"https://github.com/citation-style-language/schema/raw/master/csl-citation.json"} </w:instrText>
      </w:r>
      <w:r w:rsidRPr="00DD561A">
        <w:rPr>
          <w:rFonts w:ascii="Times New Roman" w:hAnsi="Times New Roman" w:cs="Times New Roman"/>
        </w:rPr>
        <w:fldChar w:fldCharType="separate"/>
      </w:r>
      <w:r w:rsidR="002D38F0" w:rsidRPr="002D38F0">
        <w:rPr>
          <w:rFonts w:ascii="Times New Roman" w:hAnsi="Times New Roman" w:cs="Times New Roman"/>
          <w:szCs w:val="24"/>
          <w:vertAlign w:val="superscript"/>
        </w:rPr>
        <w:t>234</w:t>
      </w:r>
      <w:r w:rsidRPr="00DD561A">
        <w:rPr>
          <w:rFonts w:ascii="Times New Roman" w:hAnsi="Times New Roman" w:cs="Times New Roman"/>
        </w:rPr>
        <w:fldChar w:fldCharType="end"/>
      </w:r>
      <w:r w:rsidRPr="00DD561A">
        <w:rPr>
          <w:rFonts w:ascii="Times New Roman" w:hAnsi="Times New Roman" w:cs="Times New Roman"/>
        </w:rPr>
        <w:t xml:space="preserve"> showed that </w:t>
      </w:r>
      <w:r w:rsidR="00232740">
        <w:rPr>
          <w:rFonts w:ascii="Times New Roman" w:hAnsi="Times New Roman" w:cs="Times New Roman"/>
        </w:rPr>
        <w:t>feeding</w:t>
      </w:r>
      <w:r w:rsidRPr="00DD561A">
        <w:rPr>
          <w:rFonts w:ascii="Times New Roman" w:hAnsi="Times New Roman" w:cs="Times New Roman"/>
        </w:rPr>
        <w:t xml:space="preserve"> salmonids black solider fly larva (BSF) did not affect growth performance or protein digestibility or utilization. However, the effect of BSF inclusion depended on the type of protein source(s) replaced, where replacement of fishmeal with BSF had a negative impact and replacement of non-fish meal sources had a positive effect on growth performance.</w:t>
      </w:r>
    </w:p>
    <w:p w14:paraId="2C183C5D" w14:textId="2E93FB9B" w:rsidR="00607518" w:rsidRDefault="00607518" w:rsidP="00607518">
      <w:pPr>
        <w:spacing w:line="360" w:lineRule="auto"/>
        <w:ind w:firstLine="720"/>
        <w:contextualSpacing/>
        <w:jc w:val="both"/>
        <w:rPr>
          <w:rFonts w:ascii="Times New Roman" w:hAnsi="Times New Roman" w:cs="Times New Roman"/>
        </w:rPr>
      </w:pPr>
      <w:r w:rsidRPr="00DF7BC4">
        <w:rPr>
          <w:rFonts w:ascii="Times New Roman" w:hAnsi="Times New Roman" w:cs="Times New Roman"/>
        </w:rPr>
        <w:t>Concerning digestibility, some research has highlighted a reduction in values with the increasing level of insect meal inclusion. The commonly accepted reasons for this</w:t>
      </w:r>
      <w:r w:rsidR="00396828">
        <w:rPr>
          <w:rFonts w:ascii="Times New Roman" w:hAnsi="Times New Roman" w:cs="Times New Roman"/>
        </w:rPr>
        <w:t xml:space="preserve"> </w:t>
      </w:r>
      <w:proofErr w:type="gramStart"/>
      <w:r w:rsidR="00396828">
        <w:rPr>
          <w:rFonts w:ascii="Times New Roman" w:hAnsi="Times New Roman" w:cs="Times New Roman"/>
        </w:rPr>
        <w:t>is</w:t>
      </w:r>
      <w:proofErr w:type="gramEnd"/>
      <w:r w:rsidR="00396828">
        <w:rPr>
          <w:rFonts w:ascii="Times New Roman" w:hAnsi="Times New Roman" w:cs="Times New Roman"/>
        </w:rPr>
        <w:t xml:space="preserve"> that the exoskeleton </w:t>
      </w:r>
      <w:r w:rsidR="00006D4A">
        <w:rPr>
          <w:rFonts w:ascii="Times New Roman" w:hAnsi="Times New Roman" w:cs="Times New Roman"/>
        </w:rPr>
        <w:t>is not very digestible</w:t>
      </w:r>
      <w:r w:rsidRPr="00DF7BC4">
        <w:rPr>
          <w:rFonts w:ascii="Times New Roman" w:hAnsi="Times New Roman" w:cs="Times New Roman"/>
        </w:rPr>
        <w:t>.</w:t>
      </w:r>
      <w:r w:rsidR="00446591">
        <w:rPr>
          <w:rFonts w:ascii="Times New Roman" w:hAnsi="Times New Roman" w:cs="Times New Roman"/>
        </w:rPr>
        <w:t xml:space="preserve"> For ex</w:t>
      </w:r>
      <w:r w:rsidR="00DA6CA6">
        <w:rPr>
          <w:rFonts w:ascii="Times New Roman" w:hAnsi="Times New Roman" w:cs="Times New Roman"/>
        </w:rPr>
        <w:t>ample, t</w:t>
      </w:r>
      <w:r w:rsidR="00446591" w:rsidRPr="00446591">
        <w:rPr>
          <w:rFonts w:ascii="Times New Roman" w:hAnsi="Times New Roman" w:cs="Times New Roman"/>
        </w:rPr>
        <w:t xml:space="preserve">he N-acetyl glucosamine main constituent of chitin </w:t>
      </w:r>
      <w:r w:rsidR="00810561">
        <w:rPr>
          <w:rFonts w:ascii="Times New Roman" w:hAnsi="Times New Roman" w:cs="Times New Roman"/>
        </w:rPr>
        <w:t>often results</w:t>
      </w:r>
      <w:r w:rsidR="00446591" w:rsidRPr="00446591">
        <w:rPr>
          <w:rFonts w:ascii="Times New Roman" w:hAnsi="Times New Roman" w:cs="Times New Roman"/>
        </w:rPr>
        <w:t xml:space="preserve"> in over estimation of the actual true protein. </w:t>
      </w:r>
      <w:r w:rsidRPr="00DF7BC4">
        <w:rPr>
          <w:rFonts w:ascii="Times New Roman" w:hAnsi="Times New Roman" w:cs="Times New Roman"/>
        </w:rPr>
        <w:t>Consequently, using conventional nitrogen to</w:t>
      </w:r>
      <w:r w:rsidRPr="00632E3C">
        <w:rPr>
          <w:rFonts w:ascii="Times New Roman" w:hAnsi="Times New Roman" w:cs="Times New Roman"/>
        </w:rPr>
        <w:t xml:space="preserve"> protein (N-P) conversion factor of 6.25</w:t>
      </w:r>
      <w:r w:rsidR="007A2214">
        <w:rPr>
          <w:rFonts w:ascii="Times New Roman" w:hAnsi="Times New Roman" w:cs="Times New Roman"/>
        </w:rPr>
        <w:t>, which is</w:t>
      </w:r>
      <w:r>
        <w:rPr>
          <w:rFonts w:ascii="Times New Roman" w:hAnsi="Times New Roman" w:cs="Times New Roman"/>
        </w:rPr>
        <w:t xml:space="preserve"> typically used in feed ingredient and feeds measurements would result </w:t>
      </w:r>
      <w:r w:rsidRPr="00632E3C">
        <w:rPr>
          <w:rFonts w:ascii="Times New Roman" w:hAnsi="Times New Roman" w:cs="Times New Roman"/>
        </w:rPr>
        <w:t xml:space="preserve">in an overestimation of crude protein content of insect meals </w:t>
      </w:r>
      <w:r w:rsidRPr="00DF7BC4">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{"citationID":"aahdcd30ta","properties":{"formattedCitation":"\\super 177\\nosupersub{}","plainCitation":"177","noteIndex":0},"citationItems":[{"id":1047,"uris":["http://zotero.org/groups/4669668/items/4XERUE52"],"itemData":{"id":1047,"type":"article-journal","abstract":"Sustainable production of healthy food for a growing global population, in the face of the uncertainties of climate change, represents a major challenge for the coming decade. Livestock provide food with high nutritional value but are frequently fed on human-edible crops and are associated with significant production of greenhouse gases. Recent years have seen increasing interest in the farming of insects as a sustainable source of human food, or as a replacement of ingredients such as soya or fishmeal in the feeds of terrestrial livestock or fish. This review provides an overview of insect physiology and growth regulation, considers the requirements for insect farming and mass production, and summarizes the nutritional value of the 10 most commonly studied insect species, before reviewing the literature on the use of insects as feed and food. We highlight the challenges required to develop a sustainable, safe, and affordable insect farming industry.","container-title":"Annual Review of Animal Biosciences","DOI":"10.1146/annurev-animal-021419-083930","issue":"1","note":"number: 1\n_eprint: https://doi.org/10.1146/annurev-animal-021419-083930\nPMID: 33228376","page":"333-354","source":"Annual Reviews","title":"Insects: a potential source of protein and other nutrients for feed and food","title-short":"Insects","volume":"9","author":[{"family":"Hawkey","given":"Kerensa J."},{"family":"Lopez-Viso","given":"Carlos"},{"family":"Brameld","given":"John M."},{"family":"Parr","given":"Tim"},{"family":"Salter","given":"Andrew M."}],"issued":{"date-parts":[["2021"]]}}}],"schema":"https://github.com/citation-style-language/schema/raw/master/csl-citation.json"} </w:instrText>
      </w:r>
      <w:r w:rsidRPr="00DF7BC4">
        <w:rPr>
          <w:rFonts w:ascii="Times New Roman" w:hAnsi="Times New Roman" w:cs="Times New Roman"/>
        </w:rPr>
        <w:fldChar w:fldCharType="separate"/>
      </w:r>
      <w:r w:rsidR="002D38F0" w:rsidRPr="002D38F0">
        <w:rPr>
          <w:rFonts w:ascii="Times New Roman" w:hAnsi="Times New Roman" w:cs="Times New Roman"/>
          <w:szCs w:val="24"/>
          <w:vertAlign w:val="superscript"/>
        </w:rPr>
        <w:t>177</w:t>
      </w:r>
      <w:r w:rsidRPr="00DF7BC4">
        <w:rPr>
          <w:rFonts w:ascii="Times New Roman" w:hAnsi="Times New Roman" w:cs="Times New Roman"/>
        </w:rPr>
        <w:fldChar w:fldCharType="end"/>
      </w:r>
      <w:r w:rsidRPr="00632E3C">
        <w:rPr>
          <w:rFonts w:ascii="Times New Roman" w:hAnsi="Times New Roman" w:cs="Times New Roman"/>
        </w:rPr>
        <w:t>. The latter</w:t>
      </w:r>
      <w:r>
        <w:rPr>
          <w:rFonts w:ascii="Times New Roman" w:hAnsi="Times New Roman" w:cs="Times New Roman"/>
        </w:rPr>
        <w:t xml:space="preserve"> </w:t>
      </w:r>
      <w:r w:rsidRPr="00632E3C">
        <w:rPr>
          <w:rFonts w:ascii="Times New Roman" w:hAnsi="Times New Roman" w:cs="Times New Roman"/>
        </w:rPr>
        <w:t xml:space="preserve">is easily resolved as more appropriate N-P </w:t>
      </w:r>
      <w:r>
        <w:rPr>
          <w:rFonts w:ascii="Times New Roman" w:hAnsi="Times New Roman" w:cs="Times New Roman"/>
        </w:rPr>
        <w:t xml:space="preserve">conversion </w:t>
      </w:r>
      <w:r w:rsidRPr="00632E3C">
        <w:rPr>
          <w:rFonts w:ascii="Times New Roman" w:hAnsi="Times New Roman" w:cs="Times New Roman"/>
        </w:rPr>
        <w:t xml:space="preserve">factors for </w:t>
      </w:r>
      <w:r w:rsidRPr="00DF7BC4">
        <w:rPr>
          <w:rFonts w:ascii="Times New Roman" w:hAnsi="Times New Roman" w:cs="Times New Roman"/>
        </w:rPr>
        <w:t xml:space="preserve">insect meals are now available </w:t>
      </w:r>
      <w:r w:rsidRPr="00DF7BC4">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{"citationID":"a1nkjci5vmq","properties":{"formattedCitation":"\\super 188,240\\uc0\\u8211{}242\\nosupersub{}","plainCitation":"188,240–242","noteIndex":0},"citationItems":[{"id":1062,"uris":["http://zotero.org/groups/4669668/items/RIZ6I7IN"],"itemData":{"id":1062,"type":"article-journal","abstract":"With an increasing worldwide demand for animal protein, insects are becoming a promising sustainable option for meat protein replacement. However, reported protein contents of insects are often overestimated when calculated as “crude protein” = 6.25 × nitrogen content (N), compared to true protein contents quantified from the sum of amino acid (AA) residues. In this study, the main two types of usual nitrogen-to-protein conversion factors kp and kA were determined on the basis of true protein/total nitrogen and true protein/protein nitrogen, respectively, with focus on the three insect species legally sold on the Swiss food market. T. molitor (mealworm larvae), A. domesticus (house crickets), and L. migratoria (locusts) from various breeders were analyzed for total and amide nitrogen, chitin, and AA composition. Careful control experiments of insect samples spiked with a protein standard were conducted to establish the recovery of true protein, which was with &gt;95% excellent. Mealworms, crickets, and locusts exhibited similar AA-profiles and true protein contents of 51, 55, and 47 g/100 g (dry weight basis), respectively. Specific conversion factors kp showed little variability between the three insect species with 5.41, 5.25, and 5.33 for mealworms, crickets, and locusts, respectively, and confirmed an average ~17% overestimation of protein contents when using 6.25 × N. The determined average kp of 5.33 is supported by extracted literature data and is suggested for general use instead of 6.25 × N to calculate more accurate insect protein contents, whereas the average pure protein conversion factor kA of 5.6 is proposed for use in the case of insect protein isolates.","container-title":"Frontiers in Nutrition","ISSN":"2296-861X","source":"Frontiers","title":"Nitrogen-to-protein conversion factors for edible insects on the swiss market: T. molitor, A. domesticus, and L. migratoria","title-short":"Nitrogen-to-protein conversion factors for edible insects on the swiss market","URL":"https://www.frontiersin.org/article/10.3389/fnut.2020.00089","volume":"7","author":[{"family":"Boulos","given":"Samy"},{"family":"Tännler","given":"Anina"},{"family":"Nyström","given":"Laura"}],"accessed":{"date-parts":[["2022",4,23]]},"issued":{"date-parts":[["2020"]]}}},{"id":1059,"uris":["http://zotero.org/groups/4669668/items/JZRDB9PG"],"itemData":{"id":1059,"type":"article-journal","abstract":"Insects are a valuable source of nutrients for fish, but little is known about their nutritional value for Nile tilapia fingerlings. To evaluate the nutritional value and energy apparent digestibility coefficient (ADC) of five insects for Nile Tilapia male fingerlings, 900 fish were distributed in 18 fiberglass conic tanks, in a completely randomized design, with six dietary treatments (control, Nauphoeta cinerea meal (NCM) (Blattodea), Zophobas morio larvae meal (ZMM) (Coleptera), Gromphadorhina portentosa meal (GPM) (Blattodea), Gryllus assimilis meal (GAM) (Orthoptera) and Tenebrio molitor larvae meal (TMM) (Coleptera)) and three replicates (tanks), each containing 50 fish. The control diet had no insect meal included and the other five treatments comprised 80% commercial diet and 20% test ingredient with 0.1% chromic oxide as an inert marker. TMM presented a higher ADC for dry matter, protein, corrected protein and chitin than to other treatments (p &lt; 0.01). GPM presented the highest ADC for lipids (p &lt; 0.01). In general, the TMM presented better ADC of nutrients and energy and all the insect meals evaluated are potential feed for Nile tilapia fingerlings.","container-title":"Animals","DOI":"10.3390/ani9040181","ISSN":"2076-2615","issue":"4","language":"en","license":"http://creativecommons.org/licenses/by/3.0/","note":"number: 4\npublisher: Multidisciplinary Digital Publishing Institute","page":"181","source":"www.mdpi.com","title":"Digestibility of insect meals for nile tilapia fingerlings","volume":"9","author":[{"family":"Fontes","given":"Táfanie Valácio"},{"family":"Oliveira","given":"Kátia Rodrigues Batista","non-dropping-particle":"de"},{"family":"Gomes Almeida","given":"Izabella Luiza"},{"family":"Maria Orlando","given":"Tamira"},{"family":"Rodrigues","given":"Paulo Borges"},{"family":"Costa","given":"Diego Vicente","dropping-particle":"da"},{"family":"Rosa","given":"Priscila Vieira","dropping-particle":"e"}],"issued":{"date-parts":[["2019",4]]}}},{"id":1042,"uris":["http://zotero.org/groups/4669668/items/SAHYZMND"],"itemData":{"id":1042,"type":"article-journal","abstract":"Insects are considered a nutritionally valuable source of alternative proteins, and their efficient protein extraction is a prerequisite for large-scale use. The protein content is usually calculated from total nitrogen using the nitrogen-to-protein conversion factor (Kp) of 6.25. This factor overestimates the protein content, due to the presence of nonprotein nitrogen in insects. In this paper, a specific Kp of 4.76 ± 0.09 was calculated for larvae from Tenebrio molitor, Alphitobius diaperinus, and Hermetia illucens, using amino acid analysis. After protein extraction and purification, a Kp factor of 5.60 ± 0.39 was found for the larvae of three insect species studied. We propose to adopt these Kp values for determining protein content of insects to avoid overestimation of the protein content.","container-title":"Journal of Agricultural and Food Chemistry","DOI":"10.1021/acs.jafc.7b00471","ISSN":"0021-8561","issue":"11","journalAbbreviation":"J. Agric. Food Chem.","note":"number: 11\npublisher: American Chemical Society","page":"2275-2278","source":"ACS Publications","title":"Nitrogen-to-protein conversion factors for three edible insects: Tenebrio molitor, Alphitobius diaperinus, and Hermetia illucens","title-short":"Nitrogen-to-Protein Conversion Factors for Three Edible Insects","volume":"65","author":[{"family":"Janssen","given":"Renske H."},{"family":"Vincken","given":"Jean-Paul"},{"family":"Broek","given":"Lambertus A. M.","non-dropping-particle":"van den"},{"family":"Fogliano","given":"Vincenzo"},{"family":"Lakemond","given":"Catriona M. M."}],"issued":{"date-parts":[["2017",3,22]]}}},{"id":1132,"uris":["http://zotero.org/groups/4669668/items/EWT3KBZU"],"itemData":{"id":1132,"type":"article-journal","abstract":"The Kjeldahl method is the most utilized method for total protein content analysis in food. Using the universal nitrogen-to-protein conversion factor of 6.25, the protein content of insects is likely to be overestimated due to their chitin content. We have calculated nitrogen-to-protein conversion factors for two crickets, house cricket (Acheta domesticus) and field cricket (Gryllus bimaculatus), which are used for food and feed in Europe. By analyzing their nitrogen and amino acid content we were able to show that a conversion factor of 5.09 could be used for house cricket and 5.00 for field cricket in protein content calculation. Based on these results with a reservation about slight variation in farming conditions, we suggest a nitrogen conversion factor of 5.0 for both crickets.","container-title":"Agricultural and Food Science","DOI":"10.23986/afsci.89101","ISSN":"1795-1895","issue":"1","language":"en","license":"Copyright (c) 2020 Agricultural and Food Science","note":"number: 1","page":"1-5","source":"journal.fi","title":"The nitrogen-to-protein conversion factor of two cricket species - Acheta domesticus and Gryllus bimaculatus","volume":"29","author":[{"family":"Ritvanen","given":"Tiina"},{"family":"Pastell","given":"Helena"},{"family":"Welling","given":"Annikki"},{"family":"Raatikainen","given":"Marja"}],"issued":{"date-parts":[["2020",3,18]]}}}],"schema":"https://github.com/citation-style-language/schema/raw/master/csl-citation.json"} </w:instrText>
      </w:r>
      <w:r w:rsidRPr="00DF7BC4">
        <w:rPr>
          <w:rFonts w:ascii="Times New Roman" w:hAnsi="Times New Roman" w:cs="Times New Roman"/>
        </w:rPr>
        <w:fldChar w:fldCharType="separate"/>
      </w:r>
      <w:r w:rsidR="002D38F0" w:rsidRPr="002D38F0">
        <w:rPr>
          <w:rFonts w:ascii="Times New Roman" w:hAnsi="Times New Roman" w:cs="Times New Roman"/>
          <w:szCs w:val="24"/>
          <w:vertAlign w:val="superscript"/>
        </w:rPr>
        <w:t>188,240–242</w:t>
      </w:r>
      <w:r w:rsidRPr="00DF7BC4">
        <w:rPr>
          <w:rFonts w:ascii="Times New Roman" w:hAnsi="Times New Roman" w:cs="Times New Roman"/>
        </w:rPr>
        <w:fldChar w:fldCharType="end"/>
      </w:r>
      <w:r w:rsidRPr="00DF7BC4">
        <w:rPr>
          <w:rFonts w:ascii="Times New Roman" w:hAnsi="Times New Roman" w:cs="Times New Roman"/>
        </w:rPr>
        <w:t>.</w:t>
      </w:r>
      <w:r w:rsidR="00B91E66" w:rsidRPr="00B91E66">
        <w:t xml:space="preserve"> </w:t>
      </w:r>
      <w:r w:rsidR="00B91E66" w:rsidRPr="00B91E66">
        <w:rPr>
          <w:rFonts w:ascii="Times New Roman" w:hAnsi="Times New Roman" w:cs="Times New Roman"/>
        </w:rPr>
        <w:t xml:space="preserve">Several papers investigated the use of </w:t>
      </w:r>
      <w:r w:rsidR="008C3B27">
        <w:rPr>
          <w:rFonts w:ascii="Times New Roman" w:hAnsi="Times New Roman" w:cs="Times New Roman"/>
        </w:rPr>
        <w:t xml:space="preserve">food </w:t>
      </w:r>
      <w:r w:rsidR="00B91E66" w:rsidRPr="00B91E66">
        <w:rPr>
          <w:rFonts w:ascii="Times New Roman" w:hAnsi="Times New Roman" w:cs="Times New Roman"/>
        </w:rPr>
        <w:t>waste as insect rearing substrates with the dual purpose of decreasing food loss and waste and of obtaining valuable insect-derived proteins. However, like any farmed animals, insects also have specific nutritional requirements and research on this topic is fundamental for the formulation of specific diets able to fit the requirements</w:t>
      </w:r>
      <w:r w:rsidR="00D60F5B">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{"citationID":"ab73o7111o","properties":{"formattedCitation":"\\super 181,182,243\\uc0\\u8211{}246\\nosupersub{}","plainCitation":"181,182,243–246","noteIndex":0},"citationItems":[{"id":869,"uris":["http://zotero.org/groups/4669668/items/HVZJJWCR"],"itemData":{"id":869,"type":"article-journal","abstract":"Performance and body composition of insect larvae depend on quality and quantity of their diet, and on biotic factors such as larval density. We investigated the effect of dietary nutrient concentration and larval rearing density on survival, development, growth, and protein and fat contents of larvae of the black soldier fly (BSF), Hermetia illucens L. (Diptera: Stratiomyidae). Neonate larvae were fed with a low (NC1), intermediate (NC2), or high nutrient concentration (NC3), and with four rearing densities (50, 100, 200, or 400 larvae per container). Two feeding regimes (FR) were tested: in FR1, the amount of diet added during the experiment was based on the visually estimated larval mass present, whereas in FR2, a fixed feeding ration of 0.6 g of food per larva was applied at the start. FR1 resulted in food limitation, resulting in significantly lower body crude protein content on diet NC1 than on NC2 at larval densities 100 and 200. Larval crude fat content was higher on diets with higher nutrient concentration and at lower larval densities. For FR2, development time was shorter on diets with higher nutrient concentration and at lower larval densities. Individual larval weight and total larval yield increased with higher nutrient concentration at all four larval densities. At lower nutrient concentration, higher larval density resulted in higher individual larval weight and total larval yield, revealing an interaction between larval density and dietary quality. Larval crude protein content was higher at lower densities and lower nutrient concentration. Larval crude fat was higher at higher larval densities and nutrient concentrations. This study indicates that larval protein content is regulated within narrow limits, whereas larval crude fat content is strongly affected by nutrient concentration and by larval density.","container-title":"Entomologia Experimentalis et Applicata","DOI":"10.1111/eea.12716","ISSN":"1570-7458","issue":"9","language":"en","note":"number: 9\n_eprint: https://onlinelibrary.wiley.com/doi/pdf/10.1111/eea.12716","page":"761-770","source":"Wiley Online Library","title":"Influence of larval density and dietary nutrient concentration on performance, body protein, and fat contents of black soldier fly larvae (Hermetia illucens)","volume":"166","author":[{"family":"Barragan-Fonseca","given":"Karol B."},{"family":"Dicke","given":"Marcel"},{"family":"Loon","given":"Joop J.A.","non-dropping-particle":"van"}],"issued":{"date-parts":[["2018"]]}}},{"id":1075,"uris":["http://zotero.org/groups/4669668/items/ET8ZJD6Z"],"itemData":{"id":1075,"type":"article-journal","abstract":"Black soldier fly (BSF) is one of the most promising species for the intensive breeding of insects given its adaptability and its efficiency in the conversion of waste. To maximize the production and use waste as substrates, it is essential to determine the larvae nutritional requirements. The study aims to evaluate the effects of 5 practical, semi-purified and isoenergetic diets (PSPID) with increasing protein levels (10%, CP10; 14%, CP14; 16%, CP16; 19%, CP19) on BSF life history traits. A total of 2000 six-day-old larvae were weighed and divided into groups of 100 (4 replicates/treatment [PSPID and Gainesville diet (GA) used as environmental control]). In larva-prepupa stage, sampling was carried out on 30 individuals/replicate, while in prepupa-adult stage on 35.","container-title":"Journal of Animal Science and Biotechnology","DOI":"10.1186/s40104-021-00659-y","ISSN":"2049-1891","issue":"1","journalAbbreviation":"Journal of Animal Science and Biotechnology","page":"17","source":"BioMed Central","title":"Isoenergetic-practical and semi-purified diets for protein requirement determination in Hermetia illucens larvae: consequences on life history traits","title-short":"Isoenergetic-practical and semi-purified diets for protein requirement determination in Hermetia illucens larvae","volume":"13","author":[{"family":"Bellezza Oddon","given":"Sara"},{"family":"Biasato","given":"Ilaria"},{"family":"Gasco","given":"Laura"}],"issued":{"date-parts":[["2022",1,19]]}}},{"id":1668,"uris":["http://zotero.org/users/9431846/items/BF8M7YQ2"],"itemData":{"id":1668,"type":"article-journal","container-title":"Waste Management","DOI":"10.1016/j.wasman.2021.10.013","ISSN":"0956053X","journalAbbreviation":"Waste Management","language":"en","page":"9-19","source":"DOI.org (Crossref)","title":"Understanding dietary carbohydrates in black soldier fly larvae treatment of organic waste in the circular economy","volume":"137","author":[{"family":"Cohn","given":"Zachary"},{"family":"Latty","given":"Tanya"},{"family":"Abbas","given":"Ali"}],"issued":{"date-parts":[["2022",1]]}}},{"id":1669,"uris":["http://zotero.org/users/9431846/items/ZIEZ8GMT"],"itemData":{"id":1669,"type":"article-journal","container-title":"Waste Management","DOI":"10.1016/j.wasman.2019.10.036","ISSN":"0956053X","journalAbbreviation":"Waste Management","language":"en","page":"319-329","source":"DOI.org (Crossref)","title":"Biowaste treatment with black soldier fly larvae: Increasing performance through the formulation of biowastes based on protein and carbohydrates","title-short":"Biowaste treatment with black soldier fly larvae","volume":"102","author":[{"family":"Gold","given":"Moritz"},{"family":"Cassar","given":"Cecille Marie"},{"family":"Zurbrügg","given":"Christian"},{"family":"Kreuzer","given":"Michael"},{"family":"Boulos","given":"Samy"},{"family":"Diener","given":"Stefan"},{"family":"Mathys","given":"Alexander"}],"issued":{"date-parts":[["2020",2]]}}},{"id":1675,"uris":["http://zotero.org/users/9431846/items/F58S4X4L"],"itemData":{"id":1675,"type":"article-journal","abstract":"Abstract\n            \n              We evaluated the suitability of forty-four commodities (i.e., cereal flours and meals, non-flour, cereal commodities, legumes and various commodities of vegetative and animal origin) as oviposition and feeding substrates for the yellow mealworm,\n              Tenebrio molitor\n              . Τen\n              T. molitor\n              adults were introduced in plastic vials containing 30 g of each commodity. At the end of the 1 week period, all adults were removed, and mortality was determined; then the vials were further incubated for additional 9 weeks. After this time, the vials were opened, and the larvae of each vial were separated from the feeding substrate, counted and weighed as a group. The efficiency of ingested food conversion was calculated for each substrate. Finally, proximate composition was calculated to determine the nutrient components of the feeding substrates tested and the\n              T. molitor\n              larvae that fed on various selected substrates. In general, adult reproduction was clearly favoured by most amylaceous substrates tested, which was in contrast to the tested legumes on which fewer offspring were produced. Similar effects were observed for larval development. Feeding on selected substrates exerted an impact on the nutrient composition of\n              T. molitor\n              larvae, with a high protein content of the substrate usually resulting in a high protein content of the larvae.","container-title":"Scientific Reports","DOI":"10.1038/s41598-020-67363-1","ISSN":"2045-2322","issue":"1","journalAbbreviation":"Sci Rep","language":"en","page":"11224","source":"DOI.org (Crossref)","title":"Evaluation of various commodities for the development of the yellow mealworm, Tenebrio molitor","volume":"10","author":[{"family":"Rumbos","given":"Christos I."},{"family":"Karapanagiotidis","given":"Ioannis T."},{"family":"Mente","given":"Eleni"},{"family":"Psofakis","given":"Pier"},{"family":"Athanassiou","given":"Christos G."}],"issued":{"date-parts":[["2020",12]]}}},{"id":1666,"uris":["http://zotero.org/users/9431846/items/3U2LW5SV"],"itemData":{"id":1666,"type":"article-journal","abstract":"Abstract\n            The insect market is still far from an effective upscale and, to achieve this goal, it is necessary to know the BSF dietary requirements for the production maximization. Worldwide, given the waste variability, is not always easy to identify the optimal waste-based mixture that can allow to reach the best production, in terms of quantity and quality. Due this reason, nutritional need ranges are the basic knowledge, affordable for everyone, to increase the profitability of the insect farming. The study aims to evaluate the effects of 6 semi-purified, isonitrogenous and isoenergetic diets (SPII) with increasing lipid levels (1%, L1; 1.5%, L1.5; 2.5%, L2.5; 3.5% L3.5; 4.5%, L4.5) on BSF life history traits (6 replicates/treatment and 100 larvae/replicate). The Gainesville diet was used as environmental control. Considering the whole larval stage, 4.5% lipid level guarantees better performance when compared to content lower than 2.5%. The L4.5 10-day-old larvae yielded greater when compared to the other dietary treatments. At 14 and 18 days of age, the larvae of the groups above 2.5% performed better than L1, while the L1.5 showed intermediate results. Lipid levels below 1.5% on DM, when compared to 4.5%, resulted in a smaller prepupa and pupa size. The results obtained on the adult stage do not allow the identification of a lipid levels ideal range, as in the larval stage. In conclusion, in the whole larval stage and in prepupae/pupae phases, lipid percentage lower than (or equal to) 1% have a negative effect on growth. Other research will be needed in order to evaluate lipid levels above 4.5% on DM.","container-title":"Scientific Reports","DOI":"10.1038/s41598-022-14290-y","ISSN":"2045-2322","issue":"1","journalAbbreviation":"Sci Rep","language":"en","page":"10922","source":"DOI.org (Crossref)","title":"Determination of lipid requirements in black soldier fly through semi-purified diets","volume":"12","author":[{"family":"Bellezza Oddon","given":"S."},{"family":"Biasato","given":"I."},{"family":"Resconi","given":"A."},{"family":"Gasco","given":"L."}],"issued":{"date-parts":[["2022",12]]}}}],"schema":"https://github.com/citation-style-language/schema/raw/master/csl-citation.json"} </w:instrText>
      </w:r>
      <w:r w:rsidR="00D60F5B">
        <w:rPr>
          <w:rFonts w:ascii="Times New Roman" w:hAnsi="Times New Roman" w:cs="Times New Roman"/>
        </w:rPr>
        <w:fldChar w:fldCharType="separate"/>
      </w:r>
      <w:r w:rsidR="002D38F0" w:rsidRPr="002D38F0">
        <w:rPr>
          <w:rFonts w:ascii="Times New Roman" w:hAnsi="Times New Roman" w:cs="Times New Roman"/>
          <w:szCs w:val="24"/>
          <w:vertAlign w:val="superscript"/>
        </w:rPr>
        <w:t>181,182,243–246</w:t>
      </w:r>
      <w:r w:rsidR="00D60F5B">
        <w:rPr>
          <w:rFonts w:ascii="Times New Roman" w:hAnsi="Times New Roman" w:cs="Times New Roman"/>
        </w:rPr>
        <w:fldChar w:fldCharType="end"/>
      </w:r>
      <w:r w:rsidR="00A030B1">
        <w:rPr>
          <w:rFonts w:ascii="Times New Roman" w:hAnsi="Times New Roman" w:cs="Times New Roman"/>
        </w:rPr>
        <w:t xml:space="preserve">. </w:t>
      </w:r>
      <w:r w:rsidR="00B91E66" w:rsidRPr="00B91E66">
        <w:rPr>
          <w:rFonts w:ascii="Times New Roman" w:hAnsi="Times New Roman" w:cs="Times New Roman"/>
        </w:rPr>
        <w:t xml:space="preserve">Formulating specific diets for insects could enable to combine different waste in an optimal way, allowing the </w:t>
      </w:r>
      <w:proofErr w:type="spellStart"/>
      <w:r w:rsidR="00B91E66" w:rsidRPr="00B91E66">
        <w:rPr>
          <w:rFonts w:ascii="Times New Roman" w:hAnsi="Times New Roman" w:cs="Times New Roman"/>
        </w:rPr>
        <w:t>optimisation</w:t>
      </w:r>
      <w:proofErr w:type="spellEnd"/>
      <w:r w:rsidR="00B91E66" w:rsidRPr="00B91E66">
        <w:rPr>
          <w:rFonts w:ascii="Times New Roman" w:hAnsi="Times New Roman" w:cs="Times New Roman"/>
        </w:rPr>
        <w:t xml:space="preserve"> of cycles and productions.</w:t>
      </w:r>
    </w:p>
    <w:p w14:paraId="45B3DF3E" w14:textId="63FB4355" w:rsidR="004B02FB" w:rsidRPr="004B02FB" w:rsidRDefault="004B02FB" w:rsidP="004B02FB">
      <w:pPr>
        <w:spacing w:line="360" w:lineRule="auto"/>
        <w:ind w:firstLine="720"/>
        <w:contextualSpacing/>
        <w:jc w:val="both"/>
        <w:rPr>
          <w:rFonts w:ascii="Times New Roman" w:hAnsi="Times New Roman" w:cs="Times New Roman"/>
        </w:rPr>
      </w:pPr>
      <w:r w:rsidRPr="004B02FB">
        <w:rPr>
          <w:rFonts w:ascii="Times New Roman" w:hAnsi="Times New Roman" w:cs="Times New Roman"/>
        </w:rPr>
        <w:t>Nowadays, the insect production is still very limited if compared to possible market share. Indeed, the current Europe insect protein production is estimated of about 5,000 tons</w:t>
      </w:r>
      <w:r w:rsidR="00904E8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{"citationID":"a2i2l98nia2","properties":{"formattedCitation":"\\super 247\\nosupersub{}","plainCitation":"247","noteIndex":0},"citationItems":[{"id":1682,"uris":["http://zotero.org/users/9431846/items/V923AW76"],"itemData":{"id":1682,"type":"report","collection-title":"International Platform of Insects for Food and Feed","event-place":"Brussels, Belgium","publisher-place":"Brussels, Belgium","title":"The European insect sector today: challenges, opportunities and regulatory landscape. IPIFF vision paper on the future of the insect sector towards 2030","author":[{"family":"IPIFF","given":""}],"issued":{"date-parts":[["2019"]]}}}],"schema":"https://github.com/citation-style-language/schema/raw/master/csl-citation.json"} </w:instrText>
      </w:r>
      <w:r w:rsidR="00904E82">
        <w:rPr>
          <w:rFonts w:ascii="Times New Roman" w:hAnsi="Times New Roman" w:cs="Times New Roman"/>
        </w:rPr>
        <w:fldChar w:fldCharType="separate"/>
      </w:r>
      <w:r w:rsidR="002D38F0" w:rsidRPr="002D38F0">
        <w:rPr>
          <w:rFonts w:ascii="Times New Roman" w:hAnsi="Times New Roman" w:cs="Times New Roman"/>
          <w:szCs w:val="24"/>
          <w:vertAlign w:val="superscript"/>
        </w:rPr>
        <w:t>247</w:t>
      </w:r>
      <w:r w:rsidR="00904E82">
        <w:rPr>
          <w:rFonts w:ascii="Times New Roman" w:hAnsi="Times New Roman" w:cs="Times New Roman"/>
        </w:rPr>
        <w:fldChar w:fldCharType="end"/>
      </w:r>
      <w:r w:rsidRPr="004B02FB">
        <w:rPr>
          <w:rFonts w:ascii="Times New Roman" w:hAnsi="Times New Roman" w:cs="Times New Roman"/>
        </w:rPr>
        <w:t>. Considering a global feed production of 1,235.5 million metric tons in 2021, of which aquaculture represents about 4.15%</w:t>
      </w:r>
      <w:r w:rsidR="00904E8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{"citationID":"a2cq081326j","properties":{"formattedCitation":"\\super 248\\nosupersub{}","plainCitation":"248","noteIndex":0},"citationItems":[{"id":1680,"uris":["http://zotero.org/users/9431846/items/EFWG6E65"],"itemData":{"id":1680,"type":"report","title":"What does global feed production reveal about the future of agri-food?","URL":"https://www.alltech.com/agri-food-outlook","author":[{"family":"AllTech Agri-Food Outlook","given":""}],"issued":{"date-parts":[["2022"]]}}}],"schema":"https://github.com/citation-style-language/schema/raw/master/csl-citation.json"} </w:instrText>
      </w:r>
      <w:r w:rsidR="00904E82">
        <w:rPr>
          <w:rFonts w:ascii="Times New Roman" w:hAnsi="Times New Roman" w:cs="Times New Roman"/>
        </w:rPr>
        <w:fldChar w:fldCharType="separate"/>
      </w:r>
      <w:r w:rsidR="002D38F0" w:rsidRPr="002D38F0">
        <w:rPr>
          <w:rFonts w:ascii="Times New Roman" w:hAnsi="Times New Roman" w:cs="Times New Roman"/>
          <w:szCs w:val="24"/>
          <w:vertAlign w:val="superscript"/>
        </w:rPr>
        <w:t>248</w:t>
      </w:r>
      <w:r w:rsidR="00904E82">
        <w:rPr>
          <w:rFonts w:ascii="Times New Roman" w:hAnsi="Times New Roman" w:cs="Times New Roman"/>
        </w:rPr>
        <w:fldChar w:fldCharType="end"/>
      </w:r>
      <w:r w:rsidRPr="004B02FB">
        <w:rPr>
          <w:rFonts w:ascii="Times New Roman" w:hAnsi="Times New Roman" w:cs="Times New Roman"/>
        </w:rPr>
        <w:t xml:space="preserve">, to include 5 or 10% on insect meals in aquafeeds would require 2.57 and 5.14 million tons of product, respectively. Those values are far from being achieved even if the productions are </w:t>
      </w:r>
      <w:proofErr w:type="gramStart"/>
      <w:r w:rsidRPr="004B02FB">
        <w:rPr>
          <w:rFonts w:ascii="Times New Roman" w:hAnsi="Times New Roman" w:cs="Times New Roman"/>
        </w:rPr>
        <w:t>booming also</w:t>
      </w:r>
      <w:proofErr w:type="gramEnd"/>
      <w:r w:rsidRPr="004B02FB">
        <w:rPr>
          <w:rFonts w:ascii="Times New Roman" w:hAnsi="Times New Roman" w:cs="Times New Roman"/>
        </w:rPr>
        <w:t xml:space="preserve"> thanks to the growth in the number of producers and in their size. Today, the 54% of the insect production is used by the pet food market while only the 17% is devoted to aquaculture. However, a recent </w:t>
      </w:r>
      <w:proofErr w:type="spellStart"/>
      <w:r w:rsidRPr="004B02FB">
        <w:rPr>
          <w:rFonts w:ascii="Times New Roman" w:hAnsi="Times New Roman" w:cs="Times New Roman"/>
        </w:rPr>
        <w:t>RaboBank</w:t>
      </w:r>
      <w:proofErr w:type="spellEnd"/>
      <w:r w:rsidRPr="004B02FB">
        <w:rPr>
          <w:rFonts w:ascii="Times New Roman" w:hAnsi="Times New Roman" w:cs="Times New Roman"/>
        </w:rPr>
        <w:t xml:space="preserve"> report indicated a proportional increase of the aquafeed share up to 40% of the total by 2030</w:t>
      </w:r>
      <w:r w:rsidR="001357A5">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{"citationID":"a1vb520m6to","properties":{"formattedCitation":"\\super 249\\nosupersub{}","plainCitation":"249","noteIndex":0},"citationItems":[{"id":1681,"uris":["http://zotero.org/users/9431846/items/88ZK8INV"],"itemData":{"id":1681,"type":"report","title":"No Longer Crawling: Insect Protein to Come of Age in the 2020s: Scaling up Is on the Horizon.","URL":"https://www.allaboutfeed.net/wp-content/uploads/2021/03/Rabobank_No-Longer-Crawling-Insect-Protein-to-Come-of-Age-in-the-2020s.pdf","author":[{"family":"De Jong","given":"B."},{"family":"Nikolik","given":"G"}],"issued":{"date-parts":[["2021"]]}}}],"schema":"https://github.com/citation-style-language/schema/raw/master/csl-citation.json"} </w:instrText>
      </w:r>
      <w:r w:rsidR="001357A5">
        <w:rPr>
          <w:rFonts w:ascii="Times New Roman" w:hAnsi="Times New Roman" w:cs="Times New Roman"/>
        </w:rPr>
        <w:fldChar w:fldCharType="separate"/>
      </w:r>
      <w:r w:rsidR="002D38F0" w:rsidRPr="002D38F0">
        <w:rPr>
          <w:rFonts w:ascii="Times New Roman" w:hAnsi="Times New Roman" w:cs="Times New Roman"/>
          <w:szCs w:val="24"/>
          <w:vertAlign w:val="superscript"/>
        </w:rPr>
        <w:t>249</w:t>
      </w:r>
      <w:r w:rsidR="001357A5">
        <w:rPr>
          <w:rFonts w:ascii="Times New Roman" w:hAnsi="Times New Roman" w:cs="Times New Roman"/>
        </w:rPr>
        <w:fldChar w:fldCharType="end"/>
      </w:r>
      <w:r w:rsidRPr="004B02FB">
        <w:rPr>
          <w:rFonts w:ascii="Times New Roman" w:hAnsi="Times New Roman" w:cs="Times New Roman"/>
        </w:rPr>
        <w:t xml:space="preserve"> and an expected European total production capacity of 1 million metric tons</w:t>
      </w:r>
      <w:r w:rsidR="00C22FA8">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{"citationID":"a2g16db6951","properties":{"formattedCitation":"\\super 250\\nosupersub{}","plainCitation":"250","noteIndex":0},"citationItems":[{"id":1683,"uris":["http://zotero.org/users/9431846/items/N2NBUKQV"],"itemData":{"id":1683,"type":"report","event-place":"Brussels, Belgium","publisher-place":"Brussels, Belgium","title":"An overview of the European market of insects as feed. International Platform of Insects for Food and Feed","URL":"https://ipiff.org/wp-content/uploads/2021/04/Apr-27-2021-IPIFF_The-European-market-of-insects-as-feed.pdf","author":[{"family":"IPIFF","given":""}],"issued":{"date-parts":[["2021"]]}}}],"schema":"https://github.com/citation-style-language/schema/raw/master/csl-citation.json"} </w:instrText>
      </w:r>
      <w:r w:rsidR="00C22FA8">
        <w:rPr>
          <w:rFonts w:ascii="Times New Roman" w:hAnsi="Times New Roman" w:cs="Times New Roman"/>
        </w:rPr>
        <w:fldChar w:fldCharType="separate"/>
      </w:r>
      <w:r w:rsidR="002D38F0" w:rsidRPr="002D38F0">
        <w:rPr>
          <w:rFonts w:ascii="Times New Roman" w:hAnsi="Times New Roman" w:cs="Times New Roman"/>
          <w:szCs w:val="24"/>
          <w:vertAlign w:val="superscript"/>
        </w:rPr>
        <w:t>250</w:t>
      </w:r>
      <w:r w:rsidR="00C22FA8">
        <w:rPr>
          <w:rFonts w:ascii="Times New Roman" w:hAnsi="Times New Roman" w:cs="Times New Roman"/>
        </w:rPr>
        <w:fldChar w:fldCharType="end"/>
      </w:r>
      <w:r w:rsidRPr="004B02FB">
        <w:rPr>
          <w:rFonts w:ascii="Times New Roman" w:hAnsi="Times New Roman" w:cs="Times New Roman"/>
        </w:rPr>
        <w:t>. Beside environmental benefits linked to their rearing on organic waste, their high feed conversion efficiency and their low green gas emissions and land use</w:t>
      </w:r>
      <w:r w:rsidR="00A030B1">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{"citationID":"a17nrvlasij","properties":{"formattedCitation":"\\super 251\\nosupersub{}","plainCitation":"251","noteIndex":0},"citationItems":[{"id":1677,"uris":["http://zotero.org/users/9431846/items/B5D5Z779"],"itemData":{"id":1677,"type":"article-journal","abstract":"Mass production of insects is calling for environmentally optimised and economically efficient insect value chains. It is a complex task considering a great variety in insect species, production scales, feed formulations, etc. Taking a challenge of environmental impact clarification, a few studies highlight on life cycle assessment (LCA) of insect production. The current study is aimed to systemise 24 selected previous studies to establish a modular framework for the determination of contribution of sustainability assessment factors of insect production chains. Reviewing published studies according to the elements of LCA, the study identified a feasible approach for the modelling of insect production chains, which can be used for the facilitation of comparability of further LCA studies. The approach is based on a modular analysis of insect production through a graphical mapping of value chains (allowed identification of precise system boundaries) supplemented with table analysis considering scale of production, reference (functional) unit, impact assessment methodology and type of LCA. Such an approach allows for consistency in LCA setting and further comparability of results.","container-title":"Journal of Insects as Food and Feed","DOI":"10.3920/JIFF2020.0116","ISSN":"2352-4588","issue":"5","journalAbbreviation":"Journal of Insects as Food and Feed","language":"en","page":"553-571","source":"DOI.org (Crossref)","title":"Environmental aspects of insect mass production","volume":"7","author":[{"family":"Smetana","given":"S."},{"family":"Spykman","given":"R."},{"family":"Heinz","given":"V."}],"issued":{"date-parts":[["2021",8,13]]}}}],"schema":"https://github.com/citation-style-language/schema/raw/master/csl-citation.json"} </w:instrText>
      </w:r>
      <w:r w:rsidR="00A030B1">
        <w:rPr>
          <w:rFonts w:ascii="Times New Roman" w:hAnsi="Times New Roman" w:cs="Times New Roman"/>
        </w:rPr>
        <w:fldChar w:fldCharType="separate"/>
      </w:r>
      <w:r w:rsidR="002D38F0" w:rsidRPr="002D38F0">
        <w:rPr>
          <w:rFonts w:ascii="Times New Roman" w:hAnsi="Times New Roman" w:cs="Times New Roman"/>
          <w:szCs w:val="24"/>
          <w:vertAlign w:val="superscript"/>
        </w:rPr>
        <w:t>251</w:t>
      </w:r>
      <w:r w:rsidR="00A030B1">
        <w:rPr>
          <w:rFonts w:ascii="Times New Roman" w:hAnsi="Times New Roman" w:cs="Times New Roman"/>
        </w:rPr>
        <w:fldChar w:fldCharType="end"/>
      </w:r>
      <w:r w:rsidRPr="004B02FB">
        <w:rPr>
          <w:rFonts w:ascii="Times New Roman" w:hAnsi="Times New Roman" w:cs="Times New Roman"/>
        </w:rPr>
        <w:t>, insect production can also have positive social and economic impacts through the generation of new companies and job</w:t>
      </w:r>
      <w:r w:rsidR="00C22FA8">
        <w:rPr>
          <w:rFonts w:ascii="Times New Roman" w:hAnsi="Times New Roman" w:cs="Times New Roman"/>
        </w:rPr>
        <w:t>s</w:t>
      </w:r>
      <w:r w:rsidR="00C22FA8">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{"citationID":"a1vr5r45c8a","properties":{"formattedCitation":"\\super 250\\nosupersub{}","plainCitation":"250","noteIndex":0},"citationItems":[{"id":1683,"uris":["http://zotero.org/users/9431846/items/N2NBUKQV"],"itemData":{"id":1683,"type":"report","event-place":"Brussels, Belgium","publisher-place":"Brussels, Belgium","title":"An overview of the European market of insects as feed. International Platform of Insects for Food and Feed","URL":"https://ipiff.org/wp-content/uploads/2021/04/Apr-27-2021-IPIFF_The-European-market-of-insects-as-feed.pdf","author":[{"family":"IPIFF","given":""}],"issued":{"date-parts":[["2021"]]}}}],"schema":"https://github.com/citation-style-language/schema/raw/master/csl-citation.json"} </w:instrText>
      </w:r>
      <w:r w:rsidR="00C22FA8">
        <w:rPr>
          <w:rFonts w:ascii="Times New Roman" w:hAnsi="Times New Roman" w:cs="Times New Roman"/>
        </w:rPr>
        <w:fldChar w:fldCharType="separate"/>
      </w:r>
      <w:r w:rsidR="002D38F0" w:rsidRPr="002D38F0">
        <w:rPr>
          <w:rFonts w:ascii="Times New Roman" w:hAnsi="Times New Roman" w:cs="Times New Roman"/>
          <w:szCs w:val="24"/>
          <w:vertAlign w:val="superscript"/>
        </w:rPr>
        <w:t>250</w:t>
      </w:r>
      <w:r w:rsidR="00C22FA8">
        <w:rPr>
          <w:rFonts w:ascii="Times New Roman" w:hAnsi="Times New Roman" w:cs="Times New Roman"/>
        </w:rPr>
        <w:fldChar w:fldCharType="end"/>
      </w:r>
      <w:r w:rsidRPr="004B02FB">
        <w:rPr>
          <w:rFonts w:ascii="Times New Roman" w:hAnsi="Times New Roman" w:cs="Times New Roman"/>
        </w:rPr>
        <w:t xml:space="preserve">. </w:t>
      </w:r>
    </w:p>
    <w:p w14:paraId="00E0D149" w14:textId="0041140F" w:rsidR="004B02FB" w:rsidRPr="00632E3C" w:rsidRDefault="004B02FB" w:rsidP="004B02FB">
      <w:pPr>
        <w:spacing w:line="360" w:lineRule="auto"/>
        <w:ind w:firstLine="720"/>
        <w:contextualSpacing/>
        <w:jc w:val="both"/>
        <w:rPr>
          <w:rFonts w:ascii="Times New Roman" w:hAnsi="Times New Roman" w:cs="Times New Roman"/>
        </w:rPr>
      </w:pPr>
      <w:r w:rsidRPr="004B02FB">
        <w:rPr>
          <w:rFonts w:ascii="Times New Roman" w:hAnsi="Times New Roman" w:cs="Times New Roman"/>
        </w:rPr>
        <w:lastRenderedPageBreak/>
        <w:t>Under certain circumstance, related to the possible uptake of pathogens or undesirable compounds from the substrate (ex. dioxins, drugs), safety issues could arise. However, in addition to legislation in force in several producing countries that forbid the use of non-suitable substrates for insect rearing</w:t>
      </w:r>
      <w:r w:rsidR="00737FAB">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{"citationID":"at750os762","properties":{"formattedCitation":"\\super 252\\nosupersub{}","plainCitation":"252","noteIndex":0},"citationItems":[{"id":1673,"uris":["http://zotero.org/users/9431846/items/PCDUIS2F"],"itemData":{"id":1673,"type":"article-journal","abstract":"Insects, as a food and or feed source, represent an emerging protein source relevant to farmers, feed companies, food companies and food marketers globally. The growth of this industry is somewhat restricted due to outdated food and feed regulations covering insect use. The regulations also do not allow the use of all potential insects as food and feed. Governments aim to ensure food and feed safety, and each country has its own substantive and procedural rules for this purpose. However, the regulatory demands and differences between countries complicate the international marketing strategies for insect products. Food and feed regulation are separate; feed regulation may allow insect usage even when they are not allowed as food. Some countries have specific rules for novel foods, while others do not. This paper compares insect food and feed regulation of the primary production and marketing areas: the European Union, the United States, Canada, and Australia. In addition, the situation in selected countries in Central and South America, Asia and Africa is also discussed.","container-title":"Journal of Insects as Food and Feed","DOI":"10.3920/JIFF2020.0066","ISSN":"2352-4588","issue":"5","journalAbbreviation":"Journal of Insects as Food and Feed","language":"en","page":"849-856","source":"DOI.org (Crossref)","title":"Regulations on insects as food and feed: a global comparison","title-short":"Regulations on insects as food and feed","volume":"7","author":[{"family":"Lähteenmäki-Uutela","given":"A."},{"family":"Marimuthu","given":"S.B"},{"family":"Meijer","given":"N."}],"issued":{"date-parts":[["2021",8,13]]}}}],"schema":"https://github.com/citation-style-language/schema/raw/master/csl-citation.json"} </w:instrText>
      </w:r>
      <w:r w:rsidR="00737FAB">
        <w:rPr>
          <w:rFonts w:ascii="Times New Roman" w:hAnsi="Times New Roman" w:cs="Times New Roman"/>
        </w:rPr>
        <w:fldChar w:fldCharType="separate"/>
      </w:r>
      <w:r w:rsidR="002D38F0" w:rsidRPr="002D38F0">
        <w:rPr>
          <w:rFonts w:ascii="Times New Roman" w:hAnsi="Times New Roman" w:cs="Times New Roman"/>
          <w:szCs w:val="24"/>
          <w:vertAlign w:val="superscript"/>
        </w:rPr>
        <w:t>252</w:t>
      </w:r>
      <w:r w:rsidR="00737FAB">
        <w:rPr>
          <w:rFonts w:ascii="Times New Roman" w:hAnsi="Times New Roman" w:cs="Times New Roman"/>
        </w:rPr>
        <w:fldChar w:fldCharType="end"/>
      </w:r>
      <w:r w:rsidRPr="004B02FB">
        <w:rPr>
          <w:rFonts w:ascii="Times New Roman" w:hAnsi="Times New Roman" w:cs="Times New Roman"/>
        </w:rPr>
        <w:t>, risk could be mitigate by processing technologies using high temperatures both during insect meals and aquafeeds production</w:t>
      </w:r>
      <w:r w:rsidR="002F3D25">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{"citationID":"ajtfuk2c6g","properties":{"formattedCitation":"\\super 253\\nosupersub{}","plainCitation":"253","noteIndex":0},"citationItems":[{"id":1671,"uris":["http://zotero.org/users/9431846/items/3T6P7YI4"],"itemData":{"id":1671,"type":"article-journal","abstract":"Abstract\n            This review is focused on the utilization of insects as a new opportunity in food and feed products, including their commercialization both in traditional and new markets. It has been suggested that insects are considerably more sustainable when compared with other sources of animal protein, thus alleviating the pressure over the environment and the planet facing the necessity to feed the world population, constantly increasing. Many chefs have adhered to the trend of using insects in their culinary preparations, bringing insects to the plan of top gastronomy, highlighting their organoleptic qualities allied to a recognized high nutritional value. However, in some markets, insects or insect-based products are not readily accepted because of neophobia and disgust. Moreover, the insect markets, farming, and commercialization are experiencing a huge growth, in which the domain of animal feed is undoubtedly a very strong component. The future of insects as human food and animal feed seems promising in view of the recent trends and challenges.","container-title":"Open Agriculture","DOI":"10.1515/opag-2020-0206","ISSN":"2391-9531","issue":"1","language":"en","page":"24-36","source":"DOI.org (Crossref)","title":"The role of edible insects to mitigate challenges for sustainability","volume":"6","author":[{"family":"Guiné","given":"Raquel P. F."},{"family":"Correia","given":"Paula"},{"family":"Coelho","given":"Catarina"},{"family":"Costa","given":"Cristina A."}],"issued":{"date-parts":[["2021",2,4]]}}}],"schema":"https://github.com/citation-style-language/schema/raw/master/csl-citation.json"} </w:instrText>
      </w:r>
      <w:r w:rsidR="002F3D25">
        <w:rPr>
          <w:rFonts w:ascii="Times New Roman" w:hAnsi="Times New Roman" w:cs="Times New Roman"/>
        </w:rPr>
        <w:fldChar w:fldCharType="separate"/>
      </w:r>
      <w:r w:rsidR="002D38F0" w:rsidRPr="002D38F0">
        <w:rPr>
          <w:rFonts w:ascii="Times New Roman" w:hAnsi="Times New Roman" w:cs="Times New Roman"/>
          <w:szCs w:val="24"/>
          <w:vertAlign w:val="superscript"/>
        </w:rPr>
        <w:t>253</w:t>
      </w:r>
      <w:r w:rsidR="002F3D25">
        <w:rPr>
          <w:rFonts w:ascii="Times New Roman" w:hAnsi="Times New Roman" w:cs="Times New Roman"/>
        </w:rPr>
        <w:fldChar w:fldCharType="end"/>
      </w:r>
      <w:r w:rsidRPr="004B02FB">
        <w:rPr>
          <w:rFonts w:ascii="Times New Roman" w:hAnsi="Times New Roman" w:cs="Times New Roman"/>
        </w:rPr>
        <w:t>.</w:t>
      </w:r>
    </w:p>
    <w:p w14:paraId="395F8C6D" w14:textId="77777777" w:rsidR="00E22B08" w:rsidRDefault="00E22B08" w:rsidP="00522623">
      <w:pPr>
        <w:spacing w:line="360" w:lineRule="auto"/>
        <w:contextualSpacing/>
        <w:jc w:val="both"/>
        <w:rPr>
          <w:rFonts w:ascii="Times New Roman" w:hAnsi="Times New Roman" w:cs="Times New Roman"/>
          <w:b/>
          <w:bCs/>
          <w:sz w:val="28"/>
          <w:szCs w:val="28"/>
        </w:rPr>
      </w:pPr>
    </w:p>
    <w:p w14:paraId="5EB8462F" w14:textId="15675E0A" w:rsidR="00006DAD" w:rsidRPr="00FB7686" w:rsidRDefault="00FC2A2C" w:rsidP="00522623">
      <w:pPr>
        <w:spacing w:line="360" w:lineRule="auto"/>
        <w:contextualSpacing/>
        <w:jc w:val="both"/>
        <w:rPr>
          <w:rFonts w:ascii="Times New Roman" w:hAnsi="Times New Roman" w:cs="Times New Roman"/>
          <w:b/>
          <w:bCs/>
          <w:sz w:val="28"/>
          <w:szCs w:val="28"/>
        </w:rPr>
      </w:pPr>
      <w:r>
        <w:rPr>
          <w:rFonts w:ascii="Times New Roman" w:hAnsi="Times New Roman" w:cs="Times New Roman"/>
          <w:b/>
          <w:bCs/>
          <w:sz w:val="28"/>
          <w:szCs w:val="28"/>
        </w:rPr>
        <w:t>Single-cell</w:t>
      </w:r>
      <w:r w:rsidR="00006DAD" w:rsidRPr="00FB7686">
        <w:rPr>
          <w:rFonts w:ascii="Times New Roman" w:hAnsi="Times New Roman" w:cs="Times New Roman"/>
          <w:b/>
          <w:bCs/>
          <w:sz w:val="28"/>
          <w:szCs w:val="28"/>
        </w:rPr>
        <w:t xml:space="preserve"> microorganisms</w:t>
      </w:r>
    </w:p>
    <w:p w14:paraId="795AF57D" w14:textId="6044B12F" w:rsidR="00A761E5" w:rsidRPr="00B84532" w:rsidRDefault="00A761E5" w:rsidP="00522623">
      <w:pPr>
        <w:spacing w:line="360" w:lineRule="auto"/>
        <w:ind w:firstLine="720"/>
        <w:contextualSpacing/>
        <w:jc w:val="both"/>
        <w:rPr>
          <w:rFonts w:ascii="Times New Roman" w:hAnsi="Times New Roman" w:cs="Times New Roman"/>
        </w:rPr>
      </w:pPr>
      <w:r w:rsidRPr="00B84532">
        <w:rPr>
          <w:rFonts w:ascii="Times New Roman" w:hAnsi="Times New Roman" w:cs="Times New Roman"/>
        </w:rPr>
        <w:t>Humankind has been propagating microorganisms under varying degrees of controlled conditions for millennia</w:t>
      </w:r>
      <w:r w:rsidR="00421292" w:rsidRPr="00B84532">
        <w:rPr>
          <w:rFonts w:ascii="Times New Roman" w:hAnsi="Times New Roman" w:cs="Times New Roman"/>
        </w:rPr>
        <w:t xml:space="preserve"> and in</w:t>
      </w:r>
      <w:r w:rsidRPr="00B84532">
        <w:rPr>
          <w:rFonts w:ascii="Times New Roman" w:hAnsi="Times New Roman" w:cs="Times New Roman"/>
        </w:rPr>
        <w:t xml:space="preserve"> applications</w:t>
      </w:r>
      <w:r w:rsidR="00421292" w:rsidRPr="00B84532">
        <w:rPr>
          <w:rFonts w:ascii="Times New Roman" w:hAnsi="Times New Roman" w:cs="Times New Roman"/>
        </w:rPr>
        <w:t xml:space="preserve"> such</w:t>
      </w:r>
      <w:r w:rsidRPr="00B84532">
        <w:rPr>
          <w:rFonts w:ascii="Times New Roman" w:hAnsi="Times New Roman" w:cs="Times New Roman"/>
        </w:rPr>
        <w:t xml:space="preserve"> as food preservation and alcohol production. However, their mass cultivation and production </w:t>
      </w:r>
      <w:bookmarkStart w:id="6" w:name="OLE_LINK43"/>
      <w:r w:rsidRPr="00B84532">
        <w:rPr>
          <w:rFonts w:ascii="Times New Roman" w:hAnsi="Times New Roman" w:cs="Times New Roman"/>
        </w:rPr>
        <w:t xml:space="preserve">into single-cell ingredients for use in industrial </w:t>
      </w:r>
      <w:bookmarkEnd w:id="6"/>
      <w:r w:rsidRPr="00B84532">
        <w:rPr>
          <w:rFonts w:ascii="Times New Roman" w:hAnsi="Times New Roman" w:cs="Times New Roman"/>
        </w:rPr>
        <w:t xml:space="preserve">food and animal feed is a more recent endeavor </w:t>
      </w:r>
      <w:r w:rsidR="00F57FA2" w:rsidRPr="00B845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{"citationID":"a1hmoldl7ih","properties":{"formattedCitation":"\\super 254\\uc0\\u8211{}265\\nosupersub{}","plainCitation":"254–265","noteIndex":0},"citationItems":[{"id":1073,"uris":["http://zotero.org/groups/4669668/items/HCT5TVWR"],"itemData":{"id":1073,"type":"article-journal","container-title":"Acta Agriculturae Scandinavica","DOI":"10.1080/00015127509435054","ISSN":"0001-5121","issue":"4","note":"number: 4\npublisher: Taylor &amp; Francis\n_eprint: https://doi.org/10.1080/00015127509435054","page":"301-305","source":"Taylor and Francis+NEJM","title":"Pekilo protein in the nutrition of growing-finishing pigs","volume":"25","author":[{"family":"Alaviuhkola","given":"Timo"},{"family":"Korhonen","given":"Irmeli"},{"family":"Partanen","given":"Johannes"},{"family":"Lampila","given":"Martti"}],"issued":{"date-parts":[["1975",1,1]]}}},{"id":949,"uris":["http://zotero.org/groups/4669668/items/T3QMG9RY"],"itemData":{"id":949,"type":"article-journal","abstract":"An experiment was conducted to determine the utilization by mirror carp of yeast (PY), bacterial (MB), algal (SA), soybean (SY), casein (CS), and herring (HM) meal proteins as the sole protein sources in semi-purified rations. A low casein (CS LOW) diet was included in the trial so that true digestibility, Net Protein Utilization (NPU) and Biological Values (BV) could be determined. All the feeds contained 30% protein other than the fishmeal and bacterial diets which contained 25 and 35%, respectively. Specific growth rates (%/day) found were MB 2.78 &gt; CS 2.4, HM 2.26 &gt; PY 2.08 &gt; SY 1.24, SA 1.18 and CS LOW 1.13. Food conversion was optimal with diet MB (1.14) followed by CS (1.39), HM (1.42), PY (1.55) &lt; SA (2.50) &lt; SY (2.86) and CS LOW (3.04). Protein efficiency ratio was highest with the low casein diet at 3.24 decreasing in the order HM 2.82, CS 2.48 &gt; PY 2.08 &gt; SY 1.35 and SA 1.15. All the test proteins were well digested, assimilation values ranging from 80.3% (HM diet) to 96.6% (PY diet). The NPU's and BV's calculated from body analysis data were respectively for each protein, HM 64 and 79%, MB 49 and 52%, CS 49 and 52%, PY 47 and 49%, SY 42 and 51%, SA 36 and 41%. The above biological values are compared with various chemical scores based on amino acid analysis of the test proteins. All the results are discussed fully and also compared to values previously obtained with identical diets in rainbow trout experiments.","container-title":"Aquaculture","DOI":"10.1016/0044-8486(79)90037-1","ISSN":"0044-8486","issue":"4","journalAbbreviation":"Aquaculture","language":"en","note":"number: 4","page":"337-348","source":"ScienceDirect","title":"The utilization of some single cell proteins by fingerling mirror carp (Cyprinus carpio)","volume":"18","author":[{"family":"Atack","given":"T. H."},{"family":"Jauncey","given":"K."},{"family":"Matty","given":"A. J."}],"issued":{"date-parts":[["1979",12,1]]}}},{"id":985,"uris":["http://zotero.org/groups/4669668/items/HABJNSCB"],"itemData":{"id":985,"type":"paper-conference","container-title":"Finfish Nutrition and Feed Technology 2nd ed, Heenemann, Berlin, Germany","page":"269-280","publisher":"FAO","title":"Single cell proteins in trout diets","author":[{"family":"Beck","given":"H."},{"family":"Gropp","given":"J."},{"family":"Koops","given":"H."},{"family":"Tiews","given":"K."}],"editor":[{"family":"Halver","given":"J. E."},{"family":"Tiews","given":"K."}],"issued":{"date-parts":[["1979"]]}}},{"id":946,"uris":["http://zotero.org/groups/4669668/items/UQJTNPKD"],"itemData":{"id":946,"type":"paper-conference","container-title":"FAO, Rome (Italy). Fisheries Dept. Symposium on Finfish Nutrition and Feed Technology. Hamburg (Germany, FR). 20 Jun 1978.","title":"Experiments on the use of single cell proteins in Atlantic salmon diets.","author":[{"family":"Bergstrom","given":"E."}],"issued":{"date-parts":[["1978"]]}}},{"id":927,"uris":["http://zotero.org/groups/4669668/items/Q6EEKASM"],"itemData":{"id":927,"type":"article-journal","title":"Alternative protein sources for warmwater fish diets","author":[{"family":"Hepher","given":"B."},{"family":"Sandbank","given":"E."},{"family":"Shelef","given":"G."}],"issued":{"date-parts":[["1978"]]}}},{"id":1045,"uris":["http://zotero.org/groups/4669668/items/SZKLNWCQ"],"itemData":{"id":1045,"type":"article-journal","container-title":"Chemischer Informationsdienst","issue":"23","note":"number: 23\nISBN: 0009-2975\npublisher: Wiley Online Library","page":"no-no","title":"Protein aus petroleum","volume":"3","author":[{"family":"Hoshiai","given":"K."}],"issued":{"date-parts":[["1972"]]}}},{"id":919,"uris":["http://zotero.org/groups/4669668/items/L7EGSKZD"],"itemData":{"id":919,"type":"article-journal","abstract":"A yeast (Candida lypolytica), a bacterial (Pseudomonas sp.), and an algal (Spirulina maxima) protein have previously been shown to be tolerated by rainbow trout (Salmo gairdnerii) at levels of 20 and 40% in compound feeds fed for 12 and 10 weeks successively, during which time no pathological disturbances were observed. In the present work, these single-cell proteins were examined for their effect, at four levels of inclusion in the diet, on growth, gross conversion efficiency and protein conversion efficiency. The appetite quotients quantified as metabolizable energy intake varied significantly from that of a commercial control diet, being higher for the yeast and lower for the bacterial and algal proteins. Yeast protein was the best utilized for growth and gave generally higher FCE (food conversion efficiency) values than bacterial and algal protein, maximum growth and FCE occurring at 35% protein inclusion. Growth rate and FCE reached an optimum at a 25% level for diets containing bacterial protein, while diets containing algal protein up to the 25% level did not appear to promote adequate growth. The maximum protein efficiency ratio occurred at the 25% level in diets containing yeast and bacteria, and at the 30% level for algal protein. The maximum PER (protein efficiency ratio) achieved for bacteria, algae and yeast was 1.88, 1.17 and 2.12, respectively.","container-title":"Aquaculture","DOI":"10.1016/0044-8486(78)90097-2","ISSN":"0044-8486","issue":"3","journalAbbreviation":"Aquaculture","language":"en","note":"number: 3","page":"235-246","source":"ScienceDirect","title":"Evaluation of a yeast, a bacterium and an alga as a protein source for rainbow trout: I. Effect of protein level on growth, gross conversion efficiency and protein conversion efficiency","title-short":"Evaluation of a yeast, a bacterium and an alga as a protein source for rainbow trout","volume":"14","author":[{"family":"Matty","given":"A. J."},{"family":"Smith","given":"P."}],"issued":{"date-parts":[["1978",7,1]]}}},{"id":908,"uris":["http://zotero.org/groups/4669668/items/BN8Q7IWP"],"itemData":{"id":908,"type":"article-journal","container-title":"Advances in agricultural microbiology/edited by NS Subba Rao","note":"publisher: New Delhi: Oxford &amp; IBH Pub., 1982.","title":"Microorganisms as a source of protein for animal nutrition","author":[{"family":"Roth","given":"F. X."}],"issued":{"date-parts":[["1982"]]}}},{"id":1015,"uris":["http://zotero.org/groups/4669668/items/CRXBJLH7"],"itemData":{"id":1015,"type":"chapter","abstract":"A brief account of the historical development of applied algology is given, providing references to basic algological literature. A shorter section on seaweeds and seaweed farming is followed by a more detailed description of the onset of microalgal uses for nutritional purposes, sanitary engineering schemes, production of chemicals, and energy farming.","container-title":"CRC Handbook of Microalgal Mass Culture","ISBN":"978-0-203-71240-5","note":"number-of-pages: 18","publisher":"CRC Press","title":"An historical outline of applied algology","author":[{"family":"Soeder","given":"C. J."}],"issued":{"date-parts":[["1986"]]}}},{"id":896,"uris":["http://zotero.org/groups/4669668/items/DRLQPQ8W"],"itemData":{"id":896,"type":"article-journal","abstract":"//static.cambridge.org/content/id/urn%3Acambridge.org%3Aid%3Aarticle%3AS0029665182000470/resource/name/firstPage-S0029665182000470a.jpg","container-title":"Proceedings of the Nutrition Society","DOI":"10.1079/PNS19820044","ISSN":"1475-2719, 0029-6651","issue":"3","language":"en","note":"number: 3\npublisher: Cambridge University Press","page":"289-300","source":"Cambridge University Press","title":"Industrial development and evaluation of new protein sources: Micro-organisms","title-short":"Industrial development and evaluation of new protein sources","volume":"41","author":[{"family":"Stringer","given":"D. A."}],"issued":{"date-parts":[["1982",9]]}}},{"id":890,"uris":["http://zotero.org/groups/4669668/items/4H2FHGCU"],"itemData":{"id":890,"type":"article-journal","abstract":"Evaluation of yeast as a main source of protein to replace fish meal or soybean meal in chicken feeds was reviewed in the attempt to establish another source of protein in chicken nutrition. Various substrates used for yeast growth were compiled. The chemical composition and vitamin B content of yeasts were summarized. Amino acids and nucleic acids of yeasts as well as net protein utilization, true digestibility, biological value, and protein efficiency ratio of yeasts and other protein foods were discussed to ascertain the nutritive value of yeast proteins. The results of studies conducted under practical conditions where yeasts were used to replace the extracted soybean meal and fish meal individually or together in commercial feeds were tabulated in detail in terms of growth, feed intake, feed conversion ratio, etc. It appeared that the growth of broilers fed the feeds containing yeast at a level of up to 15 to 20% was almost identical when yeast was added in place of soybean meal, but somewhat retarded when yeast was added in place of all fish meal and part of soybean meal. Poore</w:instrText>
      </w:r>
      <w:r w:rsidR="002D38F0">
        <w:rPr>
          <w:rFonts w:ascii="Times New Roman" w:hAnsi="Times New Roman" w:cs="Times New Roman" w:hint="eastAsia"/>
        </w:rPr>
        <w:instrText>r growth was observed with an increase in dietary yeast above this level. It was recommended to add synthetic DL</w:instrText>
      </w:r>
      <w:r w:rsidR="002D38F0">
        <w:rPr>
          <w:rFonts w:ascii="Times New Roman" w:hAnsi="Times New Roman" w:cs="Times New Roman" w:hint="eastAsia"/>
        </w:rPr>
        <w:instrText>‐</w:instrText>
      </w:r>
      <w:r w:rsidR="002D38F0">
        <w:rPr>
          <w:rFonts w:ascii="Times New Roman" w:hAnsi="Times New Roman" w:cs="Times New Roman" w:hint="eastAsia"/>
        </w:rPr>
        <w:instrText>methionine to yeast</w:instrText>
      </w:r>
      <w:r w:rsidR="002D38F0">
        <w:rPr>
          <w:rFonts w:ascii="Times New Roman" w:hAnsi="Times New Roman" w:cs="Times New Roman" w:hint="eastAsia"/>
        </w:rPr>
        <w:instrText>‐</w:instrText>
      </w:r>
      <w:r w:rsidR="002D38F0">
        <w:rPr>
          <w:rFonts w:ascii="Times New Roman" w:hAnsi="Times New Roman" w:cs="Times New Roman" w:hint="eastAsia"/>
        </w:rPr>
        <w:instrText>based rations for poultry in order to obtain good growth performance. It has been demonstrated that appetite and growth rates of broilers maintained on yeast</w:instrText>
      </w:r>
      <w:r w:rsidR="002D38F0">
        <w:rPr>
          <w:rFonts w:ascii="Times New Roman" w:hAnsi="Times New Roman" w:cs="Times New Roman" w:hint="eastAsia"/>
        </w:rPr>
        <w:instrText>‐</w:instrText>
      </w:r>
      <w:r w:rsidR="002D38F0">
        <w:rPr>
          <w:rFonts w:ascii="Times New Roman" w:hAnsi="Times New Roman" w:cs="Times New Roman" w:hint="eastAsia"/>
        </w:rPr>
        <w:instrText>containing diets properly balanced in energy, protein, calcium, and phosphorus were superior to those in which the nutrients were not carefully adjusted. The blood plasma uric acid levels of broilers were not affected by levels of up to 20% n</w:instrText>
      </w:r>
      <w:r w:rsidR="002D38F0">
        <w:rPr>
          <w:rFonts w:ascii="Times New Roman" w:hAnsi="Times New Roman" w:cs="Times New Roman" w:hint="eastAsia"/>
        </w:rPr>
        <w:instrText>‐</w:instrText>
      </w:r>
      <w:r w:rsidR="002D38F0">
        <w:rPr>
          <w:rFonts w:ascii="Times New Roman" w:hAnsi="Times New Roman" w:cs="Times New Roman" w:hint="eastAsia"/>
        </w:rPr>
        <w:instrText>paraffin yeast in the diet. Up to 20% of the diet can be composed of alkane</w:instrText>
      </w:r>
      <w:r w:rsidR="002D38F0">
        <w:rPr>
          <w:rFonts w:ascii="Times New Roman" w:hAnsi="Times New Roman" w:cs="Times New Roman" w:hint="eastAsia"/>
        </w:rPr>
        <w:instrText>‐</w:instrText>
      </w:r>
      <w:r w:rsidR="002D38F0">
        <w:rPr>
          <w:rFonts w:ascii="Times New Roman" w:hAnsi="Times New Roman" w:cs="Times New Roman" w:hint="eastAsia"/>
        </w:rPr>
        <w:instrText>grown yeasts without any deleterious effects on egg quality or reproductive performance of laying and breeding hens. Chickens fed for prolonged periods of time with hydrocarbon</w:instrText>
      </w:r>
      <w:r w:rsidR="002D38F0">
        <w:rPr>
          <w:rFonts w:ascii="Times New Roman" w:hAnsi="Times New Roman" w:cs="Times New Roman" w:hint="eastAsia"/>
        </w:rPr>
        <w:instrText>‐</w:instrText>
      </w:r>
      <w:r w:rsidR="002D38F0">
        <w:rPr>
          <w:rFonts w:ascii="Times New Roman" w:hAnsi="Times New Roman" w:cs="Times New Roman" w:hint="eastAsia"/>
        </w:rPr>
        <w:instrText>grown yeasts failed to show any changes in protein metabolism, hematologic, or morphological indices which might be associated with undesirable characteristics of poultry products.","container-title":"C R C Critical Reviews in Food S</w:instrText>
      </w:r>
      <w:r w:rsidR="002D38F0">
        <w:rPr>
          <w:rFonts w:ascii="Times New Roman" w:hAnsi="Times New Roman" w:cs="Times New Roman"/>
        </w:rPr>
        <w:instrText xml:space="preserve">cience and Nutrition","DOI":"10.1080/10408397709527238","ISSN":"0099-0248","issue":"4","note":"number: 4\npublisher: Taylor &amp; Francis\n_eprint: https://doi.org/10.1080/10408397709527238","page":"325-343","source":"Taylor and Francis+NEJM","title":"Value of yeast protein for poultry feeds","volume":"9","author":[{"family":"Vananuvat","given":"Pong"},{"family":"Balloun","given":"Stanley L."}],"issued":{"date-parts":[["1977",11,1]]}}},{"id":1006,"uris":["http://zotero.org/groups/4669668/items/SFN8BBPC"],"itemData":{"id":1006,"type":"article-journal","abstract":"The PRUTEEN plant represents a major innovation in the green field of biotechnology. The 50 000-t/a-plant was sanctioned in 1976 as a £40-million-project and built by contractors John Brown. The 600 t fermenter vessel in particular was an impressive piece of engineering: fabricated in Dunkirk, it was transported to the Billingham site in one piece. This paper illustrates why, given the risks of innovation on such a scale, ICI chose a novel fermentation process. Particular reference is made to the pressure cycle fermenter and how it works, and to the product recovery stage. The approach to sterile engineering, which is crucial to the effective operation of the fermentation process, is also discussed. Faced with unique technical challenges, ICI pioneered practical solutions, and, through operational experience, has arrived at the point today of being able to license the process.","container-title":"Chemie Ingenieur Technik","DOI":"10.1002/cite.330581203","ISSN":"1522-2640","issue":"12","language":"en","note":"number: 12\n_eprint: https://onlinelibrary.wiley.com/doi/pdf/10.1002/cite.330581203","page":"934-937","source":"Wiley Online Library","title":"Large-scale continuous production of single cell protein","volume":"58","author":[{"family":"Westlake","given":"Richard"}],"issued":{"date-parts":[["1986"]]}}}],"schema":"https://github.com/citation-style-language/schema/raw/master/csl-citation.json"} </w:instrText>
      </w:r>
      <w:r w:rsidR="00F57FA2" w:rsidRPr="00B84532">
        <w:rPr>
          <w:rFonts w:ascii="Times New Roman" w:hAnsi="Times New Roman" w:cs="Times New Roman"/>
        </w:rPr>
        <w:fldChar w:fldCharType="separate"/>
      </w:r>
      <w:r w:rsidR="002D38F0" w:rsidRPr="002D38F0">
        <w:rPr>
          <w:rFonts w:ascii="Times New Roman" w:hAnsi="Times New Roman" w:cs="Times New Roman"/>
          <w:szCs w:val="24"/>
          <w:vertAlign w:val="superscript"/>
        </w:rPr>
        <w:t>254–265</w:t>
      </w:r>
      <w:r w:rsidR="00F57FA2" w:rsidRPr="00B84532">
        <w:rPr>
          <w:rFonts w:ascii="Times New Roman" w:hAnsi="Times New Roman" w:cs="Times New Roman"/>
        </w:rPr>
        <w:fldChar w:fldCharType="end"/>
      </w:r>
      <w:r w:rsidR="00F57FA2" w:rsidRPr="00B84532">
        <w:rPr>
          <w:rFonts w:ascii="Times New Roman" w:hAnsi="Times New Roman" w:cs="Times New Roman"/>
        </w:rPr>
        <w:t xml:space="preserve">, </w:t>
      </w:r>
      <w:r w:rsidR="0036090E" w:rsidRPr="00B84532">
        <w:rPr>
          <w:rFonts w:ascii="Times New Roman" w:hAnsi="Times New Roman" w:cs="Times New Roman"/>
        </w:rPr>
        <w:t>particularly within the context of a CBF</w:t>
      </w:r>
      <w:r w:rsidRPr="00B84532">
        <w:rPr>
          <w:rFonts w:ascii="Times New Roman" w:hAnsi="Times New Roman" w:cs="Times New Roman"/>
        </w:rPr>
        <w:t xml:space="preserve">. The use of single-cell ingredients for aquafeed applications is also not a new idea, as this has a long history. In fact, many of the microorganisms cultivated can no longer be considered </w:t>
      </w:r>
      <w:r w:rsidR="007A06C1" w:rsidRPr="00B84532">
        <w:rPr>
          <w:rFonts w:ascii="Times New Roman" w:hAnsi="Times New Roman" w:cs="Times New Roman"/>
        </w:rPr>
        <w:t>‘</w:t>
      </w:r>
      <w:r w:rsidRPr="00B84532">
        <w:rPr>
          <w:rFonts w:ascii="Times New Roman" w:hAnsi="Times New Roman" w:cs="Times New Roman"/>
        </w:rPr>
        <w:t>novel</w:t>
      </w:r>
      <w:r w:rsidR="007A06C1" w:rsidRPr="00B84532">
        <w:rPr>
          <w:rFonts w:ascii="Times New Roman" w:hAnsi="Times New Roman" w:cs="Times New Roman"/>
        </w:rPr>
        <w:t>’</w:t>
      </w:r>
      <w:r w:rsidRPr="00B84532">
        <w:rPr>
          <w:rFonts w:ascii="Times New Roman" w:hAnsi="Times New Roman" w:cs="Times New Roman"/>
        </w:rPr>
        <w:t>, although new species and strains are emerging. However, the required ‘scale-up’ of such ingredients and the economic feasibility for commercial production has been limited until recently. Over the past decades, large research efforts have been made globally, both on laboratory-scale and pilot-scale, to re-examine opportunities, technical challenges, and</w:t>
      </w:r>
      <w:r w:rsidR="001A6204">
        <w:rPr>
          <w:rFonts w:ascii="Times New Roman" w:hAnsi="Times New Roman" w:cs="Times New Roman"/>
        </w:rPr>
        <w:t xml:space="preserve"> the</w:t>
      </w:r>
      <w:r w:rsidRPr="00B84532">
        <w:rPr>
          <w:rFonts w:ascii="Times New Roman" w:hAnsi="Times New Roman" w:cs="Times New Roman"/>
        </w:rPr>
        <w:t xml:space="preserve"> economic feasibility of up-scaling the production of single-cell ingredients like microalgae, cyanobacteria, protists, </w:t>
      </w:r>
      <w:r w:rsidR="00E5435A" w:rsidRPr="00B84532">
        <w:rPr>
          <w:rFonts w:ascii="Times New Roman" w:hAnsi="Times New Roman" w:cs="Times New Roman"/>
        </w:rPr>
        <w:t>yeasts,</w:t>
      </w:r>
      <w:r w:rsidRPr="00B84532">
        <w:rPr>
          <w:rFonts w:ascii="Times New Roman" w:hAnsi="Times New Roman" w:cs="Times New Roman"/>
        </w:rPr>
        <w:t xml:space="preserve"> and bacteria for use as sustainable alternatives to conventional aquafeed resources. To a large extent, developments and technological advancements have been driven by significant investments by the petrochemical industry, with the aim to either develop alternative biofuels (e.g., biodiesel, biogas, </w:t>
      </w:r>
      <w:r w:rsidR="000F45C9" w:rsidRPr="00B84532">
        <w:rPr>
          <w:rFonts w:ascii="Times New Roman" w:hAnsi="Times New Roman" w:cs="Times New Roman"/>
        </w:rPr>
        <w:t xml:space="preserve">bioethanol, </w:t>
      </w:r>
      <w:r w:rsidRPr="00B84532">
        <w:rPr>
          <w:rFonts w:ascii="Times New Roman" w:hAnsi="Times New Roman" w:cs="Times New Roman"/>
        </w:rPr>
        <w:t xml:space="preserve">etc.) or to valorize </w:t>
      </w:r>
      <w:r w:rsidR="000F45C9" w:rsidRPr="00B84532">
        <w:rPr>
          <w:rFonts w:ascii="Times New Roman" w:hAnsi="Times New Roman" w:cs="Times New Roman"/>
        </w:rPr>
        <w:t xml:space="preserve">refinery </w:t>
      </w:r>
      <w:r w:rsidRPr="00B84532">
        <w:rPr>
          <w:rFonts w:ascii="Times New Roman" w:hAnsi="Times New Roman" w:cs="Times New Roman"/>
        </w:rPr>
        <w:t>waste</w:t>
      </w:r>
      <w:r w:rsidR="005D7DAD" w:rsidRPr="00B84532">
        <w:rPr>
          <w:rFonts w:ascii="Times New Roman" w:hAnsi="Times New Roman" w:cs="Times New Roman"/>
        </w:rPr>
        <w:t xml:space="preserve"> </w:t>
      </w:r>
      <w:r w:rsidRPr="00B84532">
        <w:rPr>
          <w:rFonts w:ascii="Times New Roman" w:hAnsi="Times New Roman" w:cs="Times New Roman"/>
        </w:rPr>
        <w:t xml:space="preserve">streams (e.g., </w:t>
      </w:r>
      <w:r w:rsidR="000F45C9" w:rsidRPr="00B84532">
        <w:rPr>
          <w:rFonts w:ascii="Times New Roman" w:hAnsi="Times New Roman" w:cs="Times New Roman"/>
        </w:rPr>
        <w:t>carbon dioxide</w:t>
      </w:r>
      <w:r w:rsidRPr="00B84532">
        <w:rPr>
          <w:rFonts w:ascii="Times New Roman" w:hAnsi="Times New Roman" w:cs="Times New Roman"/>
        </w:rPr>
        <w:t>,</w:t>
      </w:r>
      <w:r w:rsidR="000F45C9" w:rsidRPr="00B84532">
        <w:rPr>
          <w:rFonts w:ascii="Times New Roman" w:hAnsi="Times New Roman" w:cs="Times New Roman"/>
        </w:rPr>
        <w:t xml:space="preserve"> methane</w:t>
      </w:r>
      <w:r w:rsidRPr="00B84532">
        <w:rPr>
          <w:rFonts w:ascii="Times New Roman" w:hAnsi="Times New Roman" w:cs="Times New Roman"/>
        </w:rPr>
        <w:t xml:space="preserve">, </w:t>
      </w:r>
      <w:r w:rsidR="000F45C9" w:rsidRPr="00B84532">
        <w:rPr>
          <w:rFonts w:ascii="Times New Roman" w:hAnsi="Times New Roman" w:cs="Times New Roman"/>
        </w:rPr>
        <w:t>methanol, hydrogen</w:t>
      </w:r>
      <w:r w:rsidRPr="00B84532">
        <w:rPr>
          <w:rFonts w:ascii="Times New Roman" w:hAnsi="Times New Roman" w:cs="Times New Roman"/>
        </w:rPr>
        <w:t>, organic acids, etc.), with strateg</w:t>
      </w:r>
      <w:r w:rsidR="00864CFC" w:rsidRPr="00B84532">
        <w:rPr>
          <w:rFonts w:ascii="Times New Roman" w:hAnsi="Times New Roman" w:cs="Times New Roman"/>
        </w:rPr>
        <w:t>ies</w:t>
      </w:r>
      <w:r w:rsidRPr="00B84532">
        <w:rPr>
          <w:rFonts w:ascii="Times New Roman" w:hAnsi="Times New Roman" w:cs="Times New Roman"/>
        </w:rPr>
        <w:t xml:space="preserve"> to reduce their environmental footprint, </w:t>
      </w:r>
      <w:r w:rsidR="00864CFC" w:rsidRPr="00B84532">
        <w:rPr>
          <w:rFonts w:ascii="Times New Roman" w:hAnsi="Times New Roman" w:cs="Times New Roman"/>
        </w:rPr>
        <w:t>meet their sustainability goals</w:t>
      </w:r>
      <w:r w:rsidR="003B1BB0" w:rsidRPr="00B84532">
        <w:rPr>
          <w:rFonts w:ascii="Times New Roman" w:hAnsi="Times New Roman" w:cs="Times New Roman"/>
        </w:rPr>
        <w:t xml:space="preserve"> and commitments</w:t>
      </w:r>
      <w:r w:rsidR="00864CFC" w:rsidRPr="00B84532">
        <w:rPr>
          <w:rFonts w:ascii="Times New Roman" w:hAnsi="Times New Roman" w:cs="Times New Roman"/>
        </w:rPr>
        <w:t xml:space="preserve">, </w:t>
      </w:r>
      <w:r w:rsidRPr="00B84532">
        <w:rPr>
          <w:rFonts w:ascii="Times New Roman" w:hAnsi="Times New Roman" w:cs="Times New Roman"/>
        </w:rPr>
        <w:t xml:space="preserve">diversify </w:t>
      </w:r>
      <w:r w:rsidR="000F45C9" w:rsidRPr="00B84532">
        <w:rPr>
          <w:rFonts w:ascii="Times New Roman" w:hAnsi="Times New Roman" w:cs="Times New Roman"/>
        </w:rPr>
        <w:t xml:space="preserve">their </w:t>
      </w:r>
      <w:r w:rsidRPr="00B84532">
        <w:rPr>
          <w:rFonts w:ascii="Times New Roman" w:hAnsi="Times New Roman" w:cs="Times New Roman"/>
        </w:rPr>
        <w:t>product portfolios, and</w:t>
      </w:r>
      <w:r w:rsidR="00656F51" w:rsidRPr="00B84532">
        <w:rPr>
          <w:rFonts w:ascii="Times New Roman" w:hAnsi="Times New Roman" w:cs="Times New Roman"/>
        </w:rPr>
        <w:t>/or</w:t>
      </w:r>
      <w:r w:rsidRPr="00B84532">
        <w:rPr>
          <w:rFonts w:ascii="Times New Roman" w:hAnsi="Times New Roman" w:cs="Times New Roman"/>
        </w:rPr>
        <w:t xml:space="preserve"> to maintain or grow </w:t>
      </w:r>
      <w:r w:rsidR="000F45C9" w:rsidRPr="00B84532">
        <w:rPr>
          <w:rFonts w:ascii="Times New Roman" w:hAnsi="Times New Roman" w:cs="Times New Roman"/>
        </w:rPr>
        <w:t xml:space="preserve">company </w:t>
      </w:r>
      <w:r w:rsidRPr="00B84532">
        <w:rPr>
          <w:rFonts w:ascii="Times New Roman" w:hAnsi="Times New Roman" w:cs="Times New Roman"/>
        </w:rPr>
        <w:t xml:space="preserve">profits. As global climate change and industrial sustainability challenges </w:t>
      </w:r>
      <w:r w:rsidR="00C76167" w:rsidRPr="00B84532">
        <w:rPr>
          <w:rFonts w:ascii="Times New Roman" w:hAnsi="Times New Roman" w:cs="Times New Roman"/>
        </w:rPr>
        <w:t>continue</w:t>
      </w:r>
      <w:r w:rsidRPr="00B84532">
        <w:rPr>
          <w:rFonts w:ascii="Times New Roman" w:hAnsi="Times New Roman" w:cs="Times New Roman"/>
        </w:rPr>
        <w:t xml:space="preserve">, it is expected that these much-needed investments by the private and public sectors into the production of single-cell ingredients </w:t>
      </w:r>
      <w:r w:rsidR="0036090E" w:rsidRPr="00B84532">
        <w:rPr>
          <w:rFonts w:ascii="Times New Roman" w:hAnsi="Times New Roman" w:cs="Times New Roman"/>
        </w:rPr>
        <w:t xml:space="preserve">through a CBF </w:t>
      </w:r>
      <w:r w:rsidRPr="00B84532">
        <w:rPr>
          <w:rFonts w:ascii="Times New Roman" w:hAnsi="Times New Roman" w:cs="Times New Roman"/>
        </w:rPr>
        <w:t>will be sustained to help fuel the Blue Economy.</w:t>
      </w:r>
    </w:p>
    <w:p w14:paraId="6306C3D1" w14:textId="5375D8EC" w:rsidR="00A761E5" w:rsidRPr="00B84532" w:rsidRDefault="00A761E5" w:rsidP="00522623">
      <w:pPr>
        <w:spacing w:line="360" w:lineRule="auto"/>
        <w:ind w:firstLine="720"/>
        <w:contextualSpacing/>
        <w:jc w:val="both"/>
        <w:rPr>
          <w:rFonts w:ascii="Times New Roman" w:hAnsi="Times New Roman" w:cs="Times New Roman"/>
        </w:rPr>
      </w:pPr>
      <w:r w:rsidRPr="00B84532">
        <w:rPr>
          <w:rFonts w:ascii="Times New Roman" w:hAnsi="Times New Roman" w:cs="Times New Roman"/>
        </w:rPr>
        <w:t xml:space="preserve">While cultivated for a wide variety of particular applications, essential nutrients, and bioactive compounds, what the microorganisms used to produce singe-cell ingredients all share is a vast genotypic and phenotypic diversity, a stunning capability to grow under extreme culture conditions (e.g., pH, salinity, temperature, irradiance, pollution load, etc.) on non-arable land, and with capacity for rapid growth on waste thermal </w:t>
      </w:r>
      <w:bookmarkStart w:id="7" w:name="OLE_LINK25"/>
      <w:r w:rsidRPr="00B84532">
        <w:rPr>
          <w:rFonts w:ascii="Times New Roman" w:hAnsi="Times New Roman" w:cs="Times New Roman"/>
        </w:rPr>
        <w:t xml:space="preserve">energy </w:t>
      </w:r>
      <w:bookmarkStart w:id="8" w:name="OLE_LINK42"/>
      <w:r w:rsidRPr="00B84532">
        <w:rPr>
          <w:rFonts w:ascii="Times New Roman" w:hAnsi="Times New Roman" w:cs="Times New Roman"/>
        </w:rPr>
        <w:t xml:space="preserve">and </w:t>
      </w:r>
      <w:r w:rsidR="00B75D41" w:rsidRPr="00B84532">
        <w:rPr>
          <w:rFonts w:ascii="Times New Roman" w:hAnsi="Times New Roman" w:cs="Times New Roman"/>
        </w:rPr>
        <w:t xml:space="preserve">recycled </w:t>
      </w:r>
      <w:r w:rsidRPr="00B84532">
        <w:rPr>
          <w:rFonts w:ascii="Times New Roman" w:hAnsi="Times New Roman" w:cs="Times New Roman"/>
        </w:rPr>
        <w:t xml:space="preserve">nutrient </w:t>
      </w:r>
      <w:r w:rsidR="00B75D41" w:rsidRPr="00B84532">
        <w:rPr>
          <w:rFonts w:ascii="Times New Roman" w:hAnsi="Times New Roman" w:cs="Times New Roman"/>
        </w:rPr>
        <w:t>substrates</w:t>
      </w:r>
      <w:r w:rsidRPr="00B84532">
        <w:rPr>
          <w:rFonts w:ascii="Times New Roman" w:hAnsi="Times New Roman" w:cs="Times New Roman"/>
        </w:rPr>
        <w:t xml:space="preserve"> derived from industrial </w:t>
      </w:r>
      <w:bookmarkEnd w:id="7"/>
      <w:bookmarkEnd w:id="8"/>
      <w:r w:rsidRPr="00B84532">
        <w:rPr>
          <w:rFonts w:ascii="Times New Roman" w:hAnsi="Times New Roman" w:cs="Times New Roman"/>
        </w:rPr>
        <w:t>waste-streams and by-products</w:t>
      </w:r>
      <w:r w:rsidR="00680DD3">
        <w:rPr>
          <w:rFonts w:ascii="Times New Roman" w:hAnsi="Times New Roman" w:cs="Times New Roman"/>
        </w:rPr>
        <w:t xml:space="preserve"> </w:t>
      </w:r>
      <w:r w:rsidR="00434645" w:rsidRPr="00680DD3">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{"citationID":"a65arm5f7q","properties":{"unsorted":true,"formattedCitation":"\\super 266\\uc0\\u8211{}272\\nosupersub{}","plainCitation":"266–272","noteIndex":0},"citationItems":[{"id":957,"uris":["http://zotero.org/groups/4669668/items/YNJUIFXM"],"itemData":{"id":957,"type":"article-journal","abstract":"Omega-3 fatty acids eicosapentaenoic acid (EPA) and docosahexaenoic acid (DHA) provide significant health benefits and this has led to an increased consumption as dietary supplements. Omega-3 fatty acids EPA and DHA are found in animals, transgenic plants, fungi and many microorganisms but are typically extracted from fatty fish, putting additional pressures on global fish stocks. As primary producers, many marine microalgae are rich in EPA (C20:5) and DHA (C22:6) and present a promising source of omega-3 fatty acids. Several heterotrophic microalgae have been used as biofactories for omega-3 fatty acids commercially, but a strong interest in autotrophic microalgae has emerged in recent years as microalgae are being developed as biofuel crops. This paper provides an overview of microalgal biotechnology and production platforms for the development of omega-3 fatty acids EPA and DHA. It refers to implications in current biotechnological uses of microalgae as aquaculture feed and future biofuel crops and explores potential applications of metabolic engineering and selective breeding to accumulate large amounts of omega-3 fatty acids in autotrophic microalgae.","container-title":"Microbial Cell Factories","DOI":"10.1186/1475-2859-11-96","ISSN":"1475-2859","issue":"1","journalAbbreviation":"Microbial Cell Factories","note":"number: 1","page":"96","source":"BioMed Central","title":"Microalgal biofactories: a promising approach towards sustainable omega-3 fatty acid production","title-short":"Microalgal biofactories","volume":"11","author":[{"family":"Adarme-Vega","given":"T. Catalina"},{"family":"Lim","given":"David K. Y."},{"family":"Timmins","given":"Matthew"},{"family":"Vernen","given":"Felicitas"},{"family":"Li","given":"Yan"},{"family":"Schenk","given":"Peer M."}],"issued":{"date-parts":[["2012",7,25]]}},"label":"page"},{"id":1066,"uris":["http://zotero.org/groups/4669668/items/MYYXHFV9"],"itemData":{"id":1066,"type":"article-journal","abstract":"Global population growth and changing diets increase the importance, and challenges, of reducing the environmental impacts of food production. Farmed seafood is a relatively efficient way to produce protein and has already overtaken wild fisheries. The use of protein-rich food crops, such as soy, instead of fishmeal in aquaculture feed diverts these important protein sources away from direct human consumption and creates new environmental challenges. Single cell proteins (SCPs), including bacteria and yeast, have recently emerged as replacements for plant-based proteins in salmon feeds. Attributional life cycle assessment is used to compare salmon feeds based on protein from soy, methanotrophic bacteria, and yeast ingredients. All ingredients are modeled at the industrial production scale and compared based on seven resource use and emissions indicators. Yeast protein concentrate showed drastically lower impacts in all categories compared to soy protein concentrate. Bacteria meal also had lower impacts than soy protein concentrate for five of the seven indicators. When these target meals were incorporated into complete feeds the relative trends remain fairly constant, but benefits of the novel ingredients are dampened by high impacts from the nontarget ingredients. Particularly, primary production requirements (PPR) are about equal and constant across all feeds for both analyses since PPR was driven by fishmeal and oil. The bacteria-based feed has the highest climate change impacts due to the use of methane to feed the bacteria who then release carbon dioxide. Overall, the results of this study suggest that incorporating SCP ingredients into salmon feeds can help reduce the environmental impacts of salmon production. Continued improvements in SCP production would further increase the sustainability of salmon farming.","container-title":"Environmental Science &amp; Technology","DOI":"10.1021/acs.est.8b03832","ISSN":"0013-936X","issue":"4","journalAbbreviation":"Environ. Sci. Technol.","note":"number: 4\npublisher: American Chemical Society","page":"1967-1975","source":"ACS Publications","title":"Environmental benefits of novel nonhuman food inputs to salmon feeds","volume":"53","author":[{"family":"Couture","given":"Jessica L."},{"family":"Geyer","given":"Roland"},{"family":"Hansen","given":"Jon Øvrum"},{"family":"Kuczenski","given":"Brandon"},{"family":"Øverland","given":"Margareth"},{"family":"Palazzo","given":"Joseph"},{"family":"Sahlmann","given":"Christian"},{"family":"Lenihan","given":"Hunter"}],"issued":{"date-parts":[["2019",2,19]]}},"label":"page"},{"id":1041,"uris":["http://zotero.org/groups/4669668/items/DG4YS4NG"],"itemData":{"id":1041,"type":"article-journal","abstract":"Organic-rich waste and industrial by-product streams, generated in enormous amounts on a daily basis, contain substantial amounts of nutrients that are worthy of recovery. Biological conversion of organic-waste streams using filamentous fungi is a promising approach to convert nutrients into value-added bioproducts, such as fungal biomass. High-protein fungal biomass contains different kinds and levels of amino acids, fatty acids, immunostimulants, antioxidants, pigments, etc., which make it a potential choice for application in animal feed supplementation. Considering the challenges long faced by the aquaculture industry in fishmeal production due to the increasing prices and environmental concerns, the aquaculture industry is forced to provide alternative protein-rich sources to replace conventional fishmeal. In this review, the possibilities of utilization of filamentous fungi biomass cultivated on organic-rich waste streams, as an alternative nutrient source in fish feed, were thoroughly reviewed.","container-title":"Sustainability","DOI":"10.3390/su10093296","ISSN":"2071-1050","issue":"9","language":"en","license":"http://creativecommons.org/licenses/by/3.0/","note":"number: 9\npublisher: Multidisciplinary Digital Publishing Institute","page":"3296","source":"www.mdpi.com","title":"Use of organic wastes and industrial by-products to produce filamentous fungi with potential as aqua-feed ingredients","volume":"10","author":[{"family":"Karimi","given":"Sajjad"},{"family":"Mahboobi Soofiani","given":"Nasrollah"},{"family":"Mahboubi","given":"Amir"},{"family":"Taherzadeh","given":"Mohammad J."}],"issued":{"date-parts":[["2018",9]]}},"label":"page"},{"id":900,"uris":["http://zotero.org/groups/4669668/items/Z6D2AXU5"],"itemData":{"id":900,"type":"article-journal","abstract":"Industrial waste accounts for a considerable amount of manmade waste streams, of which it is the most distinctly harmful to local environments if released untreated. Microbiological treatment of biodegradable waste materials ensures neutralization of harmful substances and allows for the reduction of environmental pollution. Additionally, conversion of these wastes into value-added products enables particular recycling efforts to become more economically viable. Single-cell protein is one such value-added product that can be derived from various waste materials via microbial fermentation. In this review various biodegradable industrial by-products as substrates for production of SCP are categorized and compared.","collection-title":"International Scientific Conference “Environmental and Climate Technologies”, CONECT 2018, 16-18 May 2018, Riga, Latvia","container-title":"Energy Procedia","DOI":"10.1016/j.egypro.2018.07.111","ISSN":"1876-6102","journalAbbreviation":"Energy Procedia","language":"en","page":"409-418","source":"ScienceDirect","title":"Single cell protein production from waste biomass: comparison of various industrial by-products","title-short":"Single cell protein production from waste biomass","volume":"147","author":[{"family":"Spalvins","given":"Kriss"},{"family":"Zihare","given":"Lauma"},{"family":"Blumberga","given":"Dagnija"}],"issued":{"date-parts":[["2018",8,1]]}},"label":"page"},{"id":984,"uris":["http://zotero.org/groups/4669668/items/AU9ZD93V"],"itemData":{"id":984,"type":"article-journal","abstract":"Agricultural waste constitutes for most of the manmade waste streams. Processing of  \nbiodegradable waste materials ensures the treatment of harmful substances and allows to reduce  \nenvironmental pollution. In addition, conversion of these waste materials in  \nvalue \n- \nadded products  \nmakes these recycling methods more economically viable. Single \n- \ncell protein is one of the value \n- \nadded products that can be produced by microbial fermentation of waste materials. In this review  \nvarious   biodegradable   agricultural   by \n- \nprod \nucts   as   substrates   for   production   of   SCP   are  \ncategorized and compared.","container-title":"Agronomy Research","DOI":"10.15159/ar.18.129","ISSN":"1406-894X","issue":"S2","language":"en","license":"Copyright 2009 by Estonian University of Life Sciences, Latvia University of Agriculture, Aleksandras Stulginskis University, Lithuanian Research Centre for Agriculture and Forestry. No part of this publication may be reproduced or transmitted in any form, or by any means, electronic or mechanical, incl. photocopying, electronic recording, or otherwise without the prior written permission from the Estonian University of Life Sciences, Latvia University of Agriculture, Aleksandras Stulginskis University, Lithuanian Research Centre for Agriculture and Forestry","note":"Accepted: 2018-05-11T10:18:08Z","page":"1493-1508","source":"dspace.emu.ee","title":"Single cell protein production from waste biomass: review of various agricultural by-products","title-short":"Single cell protein production from waste biomass","volume":"16","author":[{"family":"Spalvins","given":"K."},{"family":"Ivanovs","given":"K."},{"family":"Blumberga","given":"D."}],"issued":{"date-parts":[["2018"]]}},"label":"page"},{"id":895,"uris":["http://zotero.org/groups/4669668/items/LCPPKE5U"],"itemData":{"id":895,"type":"article-journal","abstract":"The reduction of CO2 emissions is a global effort which is not only supported by the society and politicians but also by the industry. Chemical producers worldwide follow the strategic goal to reduce CO2 emissions by replacing existing fossil-based production routes with sustainable alternatives. The smart use of CO and CO2/H2 mixtures even allows to produce important chemical building blocks consuming the said gases as substrates in carboxydotrophic fermentations with acetogenic bacteria. However, existing industrial infrastructure and market demands impose constraints on microbes, bioprocesses and products that require careful consideration to ensure technical and economic success. The mini review provides scientific and industrial facets finally to enable the successful implementation of gas fermentation technologies in the industrial scale.","container-title":"Microbial Biotechnology","DOI":"10.1111/1751-7915.13270","ISSN":"1751-7915","issue":"4","language":"en","note":"number: 4\n_eprint: https://onlinelibrary.wiley.com/doi/pdf/10.1111/1751-7915.13270","page":"606-625","source":"Wiley Online Library","title":"Using gas mixtures of CO, CO2 and H2 as microbial substrates: the do's and don'ts of successful technology transfer from laboratory to production scale","title-short":"Using gas mixtures of CO, CO2 and H2 as microbial substrates","volume":"11","author":[{"family":"Takors","given":"Ralf"},{"family":"Kopf","given":"Michael"},{"family":"Mampel","given":"Joerg"},{"family":"Bluemke","given":"Wilfried"},{"family":"Blombach","given":"Bastian"},{"family":"Eikmanns","given":"Bernhard"},{"family":"Bengelsdorf","given":"Frank R."},{"family":"Weuster-Botz","given":"Dirk"},{"family":"Dürre","given":"Peter"}],"issued":{"date-parts":[["2018"]]}},"label":"page"},{"id":920,"uris":["http://zotero.org/groups/4669668/items/AW58W4IB"],"itemData":{"id":920,"type":"article-journal","container-title":"Green Chemistry","DOI":"10.1039/D0GC01382J","issue":"15","language":"en","note":"number: 15\npublisher: Royal Society of Chemistry","page":"4912-4929","source":"pubs.rsc.org","title":"Upcycling of biowaste carbon and nutrients in line with consumer confidence: the “full gas” route to single cell protein","title-short":"Upcycling of biowaste carbon and nutrients in line with consumer confidence","volume":"22","author":[{"family":"Matassa","given":"Silvio"},{"family":"Papirio","given":"Stefano"},{"family":"Pikaar","given":"Ilje"},{"family":"Hülsen","given":"Tim"},{"family":"Leijenhorst","given":"Evert"},{"family":"Esposito","given":"Giovanni"},{"family":"Pirozzi","given":"Francesco"},{"family":"Verstraete","given":"Willy"}],"issued":{"date-parts":[["2020"]]}}}],"schema":"https://github.com/citation-style-language/schema/raw/master/csl-citation.json"} </w:instrText>
      </w:r>
      <w:r w:rsidR="00434645" w:rsidRPr="00680DD3">
        <w:rPr>
          <w:rFonts w:ascii="Times New Roman" w:hAnsi="Times New Roman" w:cs="Times New Roman"/>
        </w:rPr>
        <w:fldChar w:fldCharType="separate"/>
      </w:r>
      <w:r w:rsidR="002D38F0" w:rsidRPr="002D38F0">
        <w:rPr>
          <w:rFonts w:ascii="Times New Roman" w:hAnsi="Times New Roman" w:cs="Times New Roman"/>
          <w:szCs w:val="24"/>
          <w:vertAlign w:val="superscript"/>
        </w:rPr>
        <w:t>266–272</w:t>
      </w:r>
      <w:r w:rsidR="00434645" w:rsidRPr="00680DD3">
        <w:rPr>
          <w:rFonts w:ascii="Times New Roman" w:hAnsi="Times New Roman" w:cs="Times New Roman"/>
        </w:rPr>
        <w:fldChar w:fldCharType="end"/>
      </w:r>
      <w:r w:rsidR="001241FF" w:rsidRPr="00B84532">
        <w:rPr>
          <w:rFonts w:ascii="Times New Roman" w:hAnsi="Times New Roman" w:cs="Times New Roman"/>
        </w:rPr>
        <w:t xml:space="preserve">. </w:t>
      </w:r>
      <w:r w:rsidRPr="00B84532">
        <w:rPr>
          <w:rFonts w:ascii="Times New Roman" w:hAnsi="Times New Roman" w:cs="Times New Roman"/>
        </w:rPr>
        <w:t xml:space="preserve">Single-cell ingredients are also attractive alternatives to conventional terrestrial crop-based ingredients from a production standpoint as most can be intensively produced year-round, free from </w:t>
      </w:r>
      <w:r w:rsidRPr="00B84532">
        <w:rPr>
          <w:rFonts w:ascii="Times New Roman" w:hAnsi="Times New Roman" w:cs="Times New Roman"/>
        </w:rPr>
        <w:lastRenderedPageBreak/>
        <w:t xml:space="preserve">environmental stressors like seasonality, temperature fluctuations, unpredictable climatic condition, droughts or floods and invasive contamination, and their cultivation systems are amenable to a high degree of automation </w:t>
      </w:r>
      <w:r w:rsidR="00B354FE" w:rsidRPr="00B845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{"citationID":"apgieirhq","properties":{"formattedCitation":"\\super 273,274\\nosupersub{}","plainCitation":"273,274","noteIndex":0},"citationItems":[{"id":931,"uris":["http://zotero.org/groups/4669668/items/SVGVEFEL"],"itemData":{"id":931,"type":"article-journal","abstract":"Microalgal biotechnology research continues to expand due to largely unexplored marine environments and growing consumer interest in healthy products. Thraustochytrids, which are marine oleaginous protists, are known for their production of bioactives with significant applications in nutraceuticals, pharmaceuticals, and aquaculture. A wide range of high-value biochemicals, such as nutritional supplements (omega-3 fatty acids), squalene, exopolysaccharides (EPSs), enzymes, aquaculture feed, and biodiesel and pigment compounds, have been investigated. We discuss thraustochytrids as potential feedstocks to produce various bioactive compounds and advocate developing a biorefinery to offset production costs. We anticipate that future advances in cell manufacturing, lipidomic analysis, and nanotechnology-guided lipid extraction would facilitate large-scale cost-competitive production through these microbes.","container-title":"Trends in Biotechnology","DOI":"10.1016/j.tibtech.2021.09.003","ISSN":"0167-7799","issue":"4","journalAbbreviation":"Trends in Biotechnology","language":"en","note":"number: 4","page":"448-462","source":"ScienceDirect","title":"Multiproduct biorefinery from marine thraustochytrids towards a circular bioeconomy","volume":"40","author":[{"family":"Gupta","given":"Adarsha"},{"family":"Barrow","given":"Colin J."},{"family":"Puri","given":"Munish"}],"issued":{"date-parts":[["2022",4,1]]}}},{"id":904,"uris":["http://zotero.org/groups/4669668/items/64DXA3X9"],"itemData":{"id":904,"type":"article-journal","abstract":"Single cell protein (SCP) is a bulk of dried cells which can also termed as bioprotein, microbial protein or biomass. SCP is produced by the microorganisms such as algae, yeast, fungi and bacteria, however, fungi and bacteria are the major producers of this protein. High production of proteins from these sources was mainly due to their fast growth rate and relatively higher protein level in their chemical structure. Some algal species were also used for this purpose which specifically cultivated in the aquatic medium. In addition to high content of protein, SCP also contains carbohydrates, nucleic acids, fats, minerals and vitamins. Additionally, SCP has a high level of essential amino acids such as lysine, methionine, and threonine. This source of protein (SCP) has been proved a good replacement of other expensive protein sources like fish and soybean meals. Therefore, conclusion can be made that SCP can easily replace traditional (plant and animal) protein sources in human, animal as well as fish diets without any detrimental effect. Finally, in this review, we focus on new feeding trials on SCP in some aquaculture species, such as Atlantic salmon, white leg shrimp and rainbow trout.","container-title":"Aquaculture","DOI":"10.1016/j.aquaculture.2020.735885","ISSN":"0044-8486","journalAbbreviation":"Aquaculture","language":"en","page":"735885","source":"ScienceDirect","title":"Single cell protein: Sources, mechanism of production, nutritional value and its uses in aquaculture nutrition","title-short":"Single cell protein","volume":"531","author":[{"family":"Sharif","given":"Muhammad"},{"family":"Zafar","given":"Muhammad Hammad"},{"family":"Aqib","given":"Amjad Islam"},{"family":"Saeed","given":"Muhammad"},{"family":"Farag","given":"Mayada R."},{"family":"Alagawany","given":"Mahmoud"}],"issued":{"date-parts":[["2021",1,30]]}}}],"schema":"https://github.com/citation-style-language/schema/raw/master/csl-citation.json"} </w:instrText>
      </w:r>
      <w:r w:rsidR="00B354FE" w:rsidRPr="00B84532">
        <w:rPr>
          <w:rFonts w:ascii="Times New Roman" w:hAnsi="Times New Roman" w:cs="Times New Roman"/>
        </w:rPr>
        <w:fldChar w:fldCharType="separate"/>
      </w:r>
      <w:r w:rsidR="002D38F0" w:rsidRPr="002D38F0">
        <w:rPr>
          <w:rFonts w:ascii="Times New Roman" w:hAnsi="Times New Roman" w:cs="Times New Roman"/>
          <w:szCs w:val="24"/>
          <w:vertAlign w:val="superscript"/>
        </w:rPr>
        <w:t>273,274</w:t>
      </w:r>
      <w:r w:rsidR="00B354FE" w:rsidRPr="00B84532">
        <w:rPr>
          <w:rFonts w:ascii="Times New Roman" w:hAnsi="Times New Roman" w:cs="Times New Roman"/>
        </w:rPr>
        <w:fldChar w:fldCharType="end"/>
      </w:r>
      <w:r w:rsidRPr="00B84532">
        <w:rPr>
          <w:rFonts w:ascii="Times New Roman" w:hAnsi="Times New Roman" w:cs="Times New Roman"/>
        </w:rPr>
        <w:t>. Not only do all these aforementioned characteristics of single-cell microorganisms provide important environmental services for society,</w:t>
      </w:r>
      <w:r w:rsidR="006E35EE">
        <w:rPr>
          <w:rFonts w:ascii="Times New Roman" w:hAnsi="Times New Roman" w:cs="Times New Roman"/>
        </w:rPr>
        <w:t xml:space="preserve"> </w:t>
      </w:r>
      <w:r w:rsidR="008C31F4" w:rsidRPr="00B84532">
        <w:rPr>
          <w:rFonts w:ascii="Times New Roman" w:hAnsi="Times New Roman" w:cs="Times New Roman"/>
        </w:rPr>
        <w:t>they can also</w:t>
      </w:r>
      <w:r w:rsidRPr="00B84532">
        <w:rPr>
          <w:rFonts w:ascii="Times New Roman" w:hAnsi="Times New Roman" w:cs="Times New Roman"/>
        </w:rPr>
        <w:t xml:space="preserve"> be simultaneously produced through industrial biotechnology for nutrient upcycling to transform waste</w:t>
      </w:r>
      <w:r w:rsidR="0060697E" w:rsidRPr="00B84532">
        <w:rPr>
          <w:rFonts w:ascii="Times New Roman" w:hAnsi="Times New Roman" w:cs="Times New Roman"/>
        </w:rPr>
        <w:t xml:space="preserve"> </w:t>
      </w:r>
      <w:r w:rsidRPr="00B84532">
        <w:rPr>
          <w:rFonts w:ascii="Times New Roman" w:hAnsi="Times New Roman" w:cs="Times New Roman"/>
        </w:rPr>
        <w:t xml:space="preserve">streams into multiple value-added products; making </w:t>
      </w:r>
      <w:r w:rsidR="00FC2A2C">
        <w:rPr>
          <w:rFonts w:ascii="Times New Roman" w:hAnsi="Times New Roman" w:cs="Times New Roman"/>
        </w:rPr>
        <w:t>single-cell</w:t>
      </w:r>
      <w:r w:rsidRPr="00B84532">
        <w:rPr>
          <w:rFonts w:ascii="Times New Roman" w:hAnsi="Times New Roman" w:cs="Times New Roman"/>
        </w:rPr>
        <w:t xml:space="preserve"> ingredients ideal solutions under a </w:t>
      </w:r>
      <w:r w:rsidR="00982B9C" w:rsidRPr="00B84532">
        <w:rPr>
          <w:rFonts w:ascii="Times New Roman" w:hAnsi="Times New Roman" w:cs="Times New Roman"/>
        </w:rPr>
        <w:t xml:space="preserve">CBF </w:t>
      </w:r>
      <w:r w:rsidR="00B354FE" w:rsidRPr="00B845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{"citationID":"a28s5noftg7","properties":{"formattedCitation":"\\super 28,273,275\\nosupersub{}","plainCitation":"28,273,275","noteIndex":0},"citationItems":[{"id":1069,"uris":["http://zotero.org/groups/4669668/items/JXPHGYWL"],"itemData":{"id":1069,"type":"article-journal","abstract":"Aquaculture has grown rapidly to play a crucial economic and social role and meet the increasing global demand for seafood. As aquaculture intensifies, there is increasing pressure to find more sustainable practices that save resources and reduce waste. Major wastes and by-products from aquaculture were quantified across a full range of farming types. Key opportunities for wastewater treatment and by-product recovery include nutrient recycling through a combination of biofilters, bioaccumulation and multitrophic systems. To support a sustainable intensification of aquaculture, improvements in by-product harvesting, accumulation and processing methods require further investigation. Likewise, energy generated from by-products can potentially support intensified production through land-based recirculating aquaculture systems (RAS). Future challenges faced by the reuse of side streams include control of food safety and gaining consumer acceptance. Combined with increases in resource use efficiency across the aquaculture sector, from feeding methodologies to product storage, nutrient recycling can enable aquaculture to contribute sustainably toward the nutritional requirements of billions of people over the next century.","container-title":"Reviews in Fisheries Science &amp; Aquaculture","DOI":"10.1080/23308249.2021.1897520","ISSN":"2330-8249","issue":"2","note":"number: 2\npublisher: Taylor &amp; Francis\n_eprint: https://doi.org/10.1080/23308249.2021.1897520","page":"143-169","source":"Taylor and Francis+NEJM","title":"Sustainable intensification of aquaculture through nutrient recycling and circular economies: more fish, less waste, blue growth","title-short":"Sustainable intensification of aquaculture through nutrient recycling and circular economies","volume":"30","author":[{"family":"Campanati","given":"Camilla"},{"family":"Willer","given":"David"},{"family":"Schubert","given":"Jasmin"},{"family":"Aldridge","given":"David C."}],"issued":{"date-parts":[["2022",4,3]]}}},{"id":849,"uris":["http://zotero.org/groups/4669668/items/8WJAGPVM"],"itemData":{"id":849,"type":"article-journal","container-title":"Reviews in Aquaculture","DOI":"10.1111/raq.12567","ISSN":"1753-5131","issue":"3","language":"en","note":"number: 3\n_eprint: https://onlinelibrary.wiley.com/doi/pdf/10.1111/raq.12567","page":"1156-1158","source":"Wiley Online Library","title":"‘Aquafeed 3.0’: creating a more resilient aquaculture industry with a circular bioeconomy framework","title-short":"‘Aquafeed 3.0’","volume":"13","author":[{"family":"Colombo","given":"Stefanie M."},{"family":"Turchini","given":"Giovanni M."}],"issued":{"date-parts":[["2021"]]}}},{"id":931,"uris":["http://zotero.org/groups/4669668/items/SVGVEFEL"],"itemData":{"id":931,"type":"article-journal","abstract":"Microalgal biotechnology research continues to expand due to largely unexplored marine environments and growing consumer interest in healthy products. Thraustochytrids, which are marine oleaginous protists, are known for their production of bioactives with significant applications in nutraceuticals, pharmaceuticals, and aquaculture. A wide range of high-value biochemicals, such as nutritional supplements (omega-3 fatty acids), squalene, exopolysaccharides (EPSs), enzymes, aquaculture feed, and biodiesel and pigment compounds, have been investigated. We discuss thraustochytrids as potential feedstocks to produce various bioactive compounds and advocate developing a biorefinery to offset production costs. We anticipate that future advances in cell manufacturing, lipidomic analysis, and nanotechnology-guided lipid extraction would facilitate large-scale cost-competitive production through these microbes.","container-title":"Trends in Biotechnology","DOI":"10.1016/j.tibtech.2021.09.003","ISSN":"0167-7799","issue":"4","journalAbbreviation":"Trends in Biotechnology","language":"en","note":"number: 4","page":"448-462","source":"ScienceDirect","title":"Multiproduct biorefinery from marine thraustochytrids towards a circular bioeconomy","volume":"40","author":[{"family":"Gupta","given":"Adarsha"},{"family":"Barrow","given":"Colin J."},{"family":"Puri","given":"Munish"}],"issued":{"date-parts":[["2022",4,1]]}}}],"schema":"https://github.com/citation-style-language/schema/raw/master/csl-citation.json"} </w:instrText>
      </w:r>
      <w:r w:rsidR="00B354FE" w:rsidRPr="00B84532">
        <w:rPr>
          <w:rFonts w:ascii="Times New Roman" w:hAnsi="Times New Roman" w:cs="Times New Roman"/>
        </w:rPr>
        <w:fldChar w:fldCharType="separate"/>
      </w:r>
      <w:r w:rsidR="002D38F0" w:rsidRPr="002D38F0">
        <w:rPr>
          <w:rFonts w:ascii="Times New Roman" w:hAnsi="Times New Roman" w:cs="Times New Roman"/>
          <w:szCs w:val="24"/>
          <w:vertAlign w:val="superscript"/>
        </w:rPr>
        <w:t>28,273,275</w:t>
      </w:r>
      <w:r w:rsidR="00B354FE" w:rsidRPr="00B84532">
        <w:rPr>
          <w:rFonts w:ascii="Times New Roman" w:hAnsi="Times New Roman" w:cs="Times New Roman"/>
        </w:rPr>
        <w:fldChar w:fldCharType="end"/>
      </w:r>
      <w:r w:rsidRPr="00B84532">
        <w:rPr>
          <w:rFonts w:ascii="Times New Roman" w:hAnsi="Times New Roman" w:cs="Times New Roman"/>
        </w:rPr>
        <w:t>.</w:t>
      </w:r>
    </w:p>
    <w:p w14:paraId="4955CBE5" w14:textId="68534A23" w:rsidR="00A761E5" w:rsidRPr="00B84532" w:rsidRDefault="00A761E5" w:rsidP="00522623">
      <w:pPr>
        <w:spacing w:line="360" w:lineRule="auto"/>
        <w:ind w:firstLine="720"/>
        <w:contextualSpacing/>
        <w:jc w:val="both"/>
        <w:rPr>
          <w:rFonts w:ascii="Times New Roman" w:hAnsi="Times New Roman" w:cs="Times New Roman"/>
        </w:rPr>
      </w:pPr>
      <w:r w:rsidRPr="00B84532">
        <w:rPr>
          <w:rFonts w:ascii="Times New Roman" w:hAnsi="Times New Roman" w:cs="Times New Roman"/>
        </w:rPr>
        <w:t>The aquafeed sector</w:t>
      </w:r>
      <w:proofErr w:type="gramStart"/>
      <w:r w:rsidR="00F623E7" w:rsidRPr="00B84532">
        <w:rPr>
          <w:rFonts w:ascii="Times New Roman" w:hAnsi="Times New Roman" w:cs="Times New Roman"/>
        </w:rPr>
        <w:t>, in particular,</w:t>
      </w:r>
      <w:r w:rsidRPr="00B84532">
        <w:rPr>
          <w:rFonts w:ascii="Times New Roman" w:hAnsi="Times New Roman" w:cs="Times New Roman"/>
        </w:rPr>
        <w:t xml:space="preserve"> </w:t>
      </w:r>
      <w:r w:rsidR="00D13379" w:rsidRPr="00B84532">
        <w:rPr>
          <w:rFonts w:ascii="Times New Roman" w:hAnsi="Times New Roman" w:cs="Times New Roman"/>
        </w:rPr>
        <w:t>is</w:t>
      </w:r>
      <w:proofErr w:type="gramEnd"/>
      <w:r w:rsidRPr="00B84532">
        <w:rPr>
          <w:rFonts w:ascii="Times New Roman" w:hAnsi="Times New Roman" w:cs="Times New Roman"/>
        </w:rPr>
        <w:t xml:space="preserve"> now greatly benefitting from these enhanced research efforts in recent years through accelerated bioprospecting and strain selection programs, rapid advances in cultivation, harvesting and down-stream processing technologies, and unprecedented access to biochemical characterization and nutritional quality data for a multitude of potential candidate microorganisms. The resulting so-called </w:t>
      </w:r>
      <w:r w:rsidR="00BC4F25">
        <w:rPr>
          <w:rFonts w:ascii="Times New Roman" w:hAnsi="Times New Roman" w:cs="Times New Roman"/>
        </w:rPr>
        <w:t>second</w:t>
      </w:r>
      <w:r w:rsidR="00BC4F25" w:rsidRPr="00B84532">
        <w:rPr>
          <w:rFonts w:ascii="Times New Roman" w:hAnsi="Times New Roman" w:cs="Times New Roman"/>
        </w:rPr>
        <w:t xml:space="preserve"> </w:t>
      </w:r>
      <w:r w:rsidRPr="00B84532">
        <w:rPr>
          <w:rFonts w:ascii="Times New Roman" w:hAnsi="Times New Roman" w:cs="Times New Roman"/>
        </w:rPr>
        <w:t>generation single-cell ingredients (e.g., namely protein</w:t>
      </w:r>
      <w:r w:rsidR="0036090E" w:rsidRPr="00B84532">
        <w:rPr>
          <w:rFonts w:ascii="Times New Roman" w:hAnsi="Times New Roman" w:cs="Times New Roman"/>
        </w:rPr>
        <w:t>-rich</w:t>
      </w:r>
      <w:r w:rsidRPr="00B84532">
        <w:rPr>
          <w:rFonts w:ascii="Times New Roman" w:hAnsi="Times New Roman" w:cs="Times New Roman"/>
        </w:rPr>
        <w:t xml:space="preserve"> meals, extracted oils and </w:t>
      </w:r>
      <w:r w:rsidR="0036090E" w:rsidRPr="00B84532">
        <w:rPr>
          <w:rFonts w:ascii="Times New Roman" w:hAnsi="Times New Roman" w:cs="Times New Roman"/>
        </w:rPr>
        <w:t>carotenoids</w:t>
      </w:r>
      <w:r w:rsidRPr="00B84532">
        <w:rPr>
          <w:rFonts w:ascii="Times New Roman" w:hAnsi="Times New Roman" w:cs="Times New Roman"/>
        </w:rPr>
        <w:t xml:space="preserve">) can have superior and </w:t>
      </w:r>
      <w:r w:rsidR="00982B9C" w:rsidRPr="00B84532">
        <w:rPr>
          <w:rFonts w:ascii="Times New Roman" w:hAnsi="Times New Roman" w:cs="Times New Roman"/>
        </w:rPr>
        <w:t>‘</w:t>
      </w:r>
      <w:r w:rsidRPr="00B84532">
        <w:rPr>
          <w:rFonts w:ascii="Times New Roman" w:hAnsi="Times New Roman" w:cs="Times New Roman"/>
        </w:rPr>
        <w:t>tailorable</w:t>
      </w:r>
      <w:r w:rsidR="00982B9C" w:rsidRPr="00B84532">
        <w:rPr>
          <w:rFonts w:ascii="Times New Roman" w:hAnsi="Times New Roman" w:cs="Times New Roman"/>
        </w:rPr>
        <w:t>’</w:t>
      </w:r>
      <w:r w:rsidRPr="00B84532">
        <w:rPr>
          <w:rFonts w:ascii="Times New Roman" w:hAnsi="Times New Roman" w:cs="Times New Roman"/>
        </w:rPr>
        <w:t xml:space="preserve"> nutritional profiles compared to </w:t>
      </w:r>
      <w:r w:rsidR="00BC4F25">
        <w:rPr>
          <w:rFonts w:ascii="Times New Roman" w:hAnsi="Times New Roman" w:cs="Times New Roman"/>
        </w:rPr>
        <w:t>first</w:t>
      </w:r>
      <w:r w:rsidRPr="00B84532">
        <w:rPr>
          <w:rFonts w:ascii="Times New Roman" w:hAnsi="Times New Roman" w:cs="Times New Roman"/>
        </w:rPr>
        <w:t xml:space="preserve"> generation terrestrial plant proteins, vegetable oils, predominantly used in modern aquafeeds. At the same time, increased use of </w:t>
      </w:r>
      <w:r w:rsidR="00FC2A2C">
        <w:rPr>
          <w:rFonts w:ascii="Times New Roman" w:hAnsi="Times New Roman" w:cs="Times New Roman"/>
        </w:rPr>
        <w:t>single-cell</w:t>
      </w:r>
      <w:r w:rsidRPr="00B84532">
        <w:rPr>
          <w:rFonts w:ascii="Times New Roman" w:hAnsi="Times New Roman" w:cs="Times New Roman"/>
        </w:rPr>
        <w:t xml:space="preserve"> ingredients </w:t>
      </w:r>
      <w:r w:rsidR="0036090E" w:rsidRPr="00B84532">
        <w:rPr>
          <w:rFonts w:ascii="Times New Roman" w:hAnsi="Times New Roman" w:cs="Times New Roman"/>
        </w:rPr>
        <w:t xml:space="preserve">is expected to </w:t>
      </w:r>
      <w:r w:rsidRPr="00B84532">
        <w:rPr>
          <w:rFonts w:ascii="Times New Roman" w:hAnsi="Times New Roman" w:cs="Times New Roman"/>
        </w:rPr>
        <w:t xml:space="preserve">pose fewer environmental sustainability concerns </w:t>
      </w:r>
      <w:proofErr w:type="gramStart"/>
      <w:r w:rsidRPr="00B84532">
        <w:rPr>
          <w:rFonts w:ascii="Times New Roman" w:hAnsi="Times New Roman" w:cs="Times New Roman"/>
        </w:rPr>
        <w:t>in regard to</w:t>
      </w:r>
      <w:proofErr w:type="gramEnd"/>
      <w:r w:rsidRPr="00B84532">
        <w:rPr>
          <w:rFonts w:ascii="Times New Roman" w:hAnsi="Times New Roman" w:cs="Times New Roman"/>
        </w:rPr>
        <w:t xml:space="preserve"> ecological conservation than terrestrial agriculture, such as freshwater use, deforestation, areal footprint and desertification, pesticide/fertilizer use, nutrient run-off, GHG emissions, and competition with human food resources. Thus, an ambitious and dedicated vision of Aquafeeds 3.0 presents a timely opportunity to ‘de-couple’ aquaculture’s growing reliance on terrestrial agriculture, generate positive socioeconomic impacts, and further build aquaculture resiliency and social acceptability of sustainably farmed fish and shrimp. While the published literature over the past few decades is vast for every type, species, and strain of microorganism imaginable (from </w:t>
      </w:r>
      <w:r w:rsidRPr="00B84532">
        <w:rPr>
          <w:rFonts w:ascii="Times New Roman" w:hAnsi="Times New Roman" w:cs="Times New Roman"/>
          <w:i/>
        </w:rPr>
        <w:t>Anabaena</w:t>
      </w:r>
      <w:r w:rsidRPr="00B84532">
        <w:rPr>
          <w:rFonts w:ascii="Times New Roman" w:hAnsi="Times New Roman" w:cs="Times New Roman"/>
        </w:rPr>
        <w:t xml:space="preserve"> to </w:t>
      </w:r>
      <w:proofErr w:type="spellStart"/>
      <w:r w:rsidRPr="00B84532">
        <w:rPr>
          <w:rFonts w:ascii="Times New Roman" w:hAnsi="Times New Roman" w:cs="Times New Roman"/>
          <w:i/>
        </w:rPr>
        <w:t>Zymomonas</w:t>
      </w:r>
      <w:proofErr w:type="spellEnd"/>
      <w:r w:rsidRPr="00B84532">
        <w:rPr>
          <w:rFonts w:ascii="Times New Roman" w:hAnsi="Times New Roman" w:cs="Times New Roman"/>
        </w:rPr>
        <w:t xml:space="preserve">), the technical and economic challenges associated with the industrial-scale production </w:t>
      </w:r>
      <w:r w:rsidR="00075B08" w:rsidRPr="00B84532">
        <w:rPr>
          <w:rFonts w:ascii="Times New Roman" w:hAnsi="Times New Roman" w:cs="Times New Roman"/>
        </w:rPr>
        <w:t>have</w:t>
      </w:r>
      <w:r w:rsidRPr="00B84532">
        <w:rPr>
          <w:rFonts w:ascii="Times New Roman" w:hAnsi="Times New Roman" w:cs="Times New Roman"/>
        </w:rPr>
        <w:t xml:space="preserve"> permitted only a </w:t>
      </w:r>
      <w:r w:rsidR="0036090E" w:rsidRPr="00B84532">
        <w:rPr>
          <w:rFonts w:ascii="Times New Roman" w:hAnsi="Times New Roman" w:cs="Times New Roman"/>
        </w:rPr>
        <w:t xml:space="preserve">small </w:t>
      </w:r>
      <w:r w:rsidRPr="00B84532">
        <w:rPr>
          <w:rFonts w:ascii="Times New Roman" w:hAnsi="Times New Roman" w:cs="Times New Roman"/>
        </w:rPr>
        <w:t>handful to reach the commercial aquafeed ingredient marketplace.</w:t>
      </w:r>
    </w:p>
    <w:p w14:paraId="7B7BDD84" w14:textId="77777777" w:rsidR="00A761E5" w:rsidRPr="00B84532" w:rsidRDefault="00A761E5" w:rsidP="00522623">
      <w:pPr>
        <w:spacing w:line="360" w:lineRule="auto"/>
        <w:contextualSpacing/>
        <w:jc w:val="both"/>
        <w:rPr>
          <w:rFonts w:ascii="Times New Roman" w:hAnsi="Times New Roman" w:cs="Times New Roman"/>
          <w:b/>
          <w:bCs/>
        </w:rPr>
      </w:pPr>
      <w:r w:rsidRPr="00B84532">
        <w:rPr>
          <w:rFonts w:ascii="Times New Roman" w:hAnsi="Times New Roman" w:cs="Times New Roman"/>
          <w:b/>
          <w:bCs/>
        </w:rPr>
        <w:t>Production of single-cell ingredients</w:t>
      </w:r>
    </w:p>
    <w:p w14:paraId="59EDFC2D" w14:textId="28F460E6" w:rsidR="00A761E5" w:rsidRPr="003A03CA" w:rsidRDefault="00A761E5" w:rsidP="00522623">
      <w:pPr>
        <w:spacing w:line="360" w:lineRule="auto"/>
        <w:ind w:firstLine="720"/>
        <w:contextualSpacing/>
        <w:jc w:val="both"/>
        <w:rPr>
          <w:rFonts w:ascii="Times New Roman" w:hAnsi="Times New Roman" w:cs="Times New Roman"/>
        </w:rPr>
      </w:pPr>
      <w:r w:rsidRPr="00B84532">
        <w:rPr>
          <w:rFonts w:ascii="Times New Roman" w:hAnsi="Times New Roman" w:cs="Times New Roman"/>
        </w:rPr>
        <w:t>Production of single-cell ingredients from microorganisms involves primary cultivation, harvesting, and down-stream processing and these steps are largely defined by the</w:t>
      </w:r>
      <w:r w:rsidR="00AC33AF" w:rsidRPr="00B84532">
        <w:rPr>
          <w:rFonts w:ascii="Times New Roman" w:hAnsi="Times New Roman" w:cs="Times New Roman"/>
        </w:rPr>
        <w:t xml:space="preserve">ir </w:t>
      </w:r>
      <w:r w:rsidRPr="00B84532">
        <w:rPr>
          <w:rFonts w:ascii="Times New Roman" w:hAnsi="Times New Roman" w:cs="Times New Roman"/>
        </w:rPr>
        <w:t>taxonomy, biology, and physiological requirements of the individual microorganisms themselves and the intended final product(s)</w:t>
      </w:r>
      <w:r w:rsidR="008B66A9">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{"citationID":"ag2n8itgg3","properties":{"formattedCitation":"\\super 276\\uc0\\u8211{}278\\nosupersub{}","plainCitation":"276–278","noteIndex":0},"citationItems":[{"id":1785,"uris":["http://zotero.org/users/9431846/items/6NLJRL7B"],"itemData":{"id":1785,"type":"chapter","container-title":"Industrial Biotechnology","ISBN":"978-1-315-36656-2","page":"59-79","title":"Industrial production and applications of yeast and yeast products","author":[{"literal":"Rebecca S. Thombre"},{"family":"Joshi","given":"Sonali"}],"issued":{"date-parts":[["2017"]]}}},{"id":187,"uris":["http://zotero.org/users/9431846/items/LXQZBILJ"],"itemData":{"id":187,"type":"book","ISBN":"0-12-818537-6","publisher":"Academic Press","title":"Handbook of microalgae-based processes and products: fundamentals and advances in energy, food, feed, fertilizer, and bioactive compounds","author":[{"family":"Jacob-Lopes","given":"Eduardo"},{"family":"Maroneze","given":"Mariana Manzoni"},{"family":"Queiroz","given":"Maria Isabel"},{"family":"Zepka","given":"Leila Queiroz"}],"issued":{"date-parts":[["2020"]]}},"locator":"-"},{"id":1787,"uris":["http://zotero.org/users/9431846/items/C9ZL5XFB"],"itemData":{"id":1787,"type":"chapter","container-title":"Industrial Microbiology and Biotechnology","event-place":"Singapore","ISBN":"9789811652134","language":"en","note":"DOI: 10.1007/978-981-16-5214-1_2","page":"63-79","publisher":"Springer Singapore","publisher-place":"Singapore","source":"DOI.org (Crossref)","title":"Bacteria and Their Industrial Importance","URL":"https://link.springer.com/10.1007/978-981-16-5214-1_2","editor":[{"family":"Verma","given":"Pradeep"}],"author":[{"family":"Akoijam","given":"Nirmala"},{"family":"Kalita","given":"Debajit"},{"family":"Joshi","given":"S. R."}],"accessed":{"date-parts":[["2022",9,1]]},"issued":{"date-parts":[["2022"]]}}}],"schema":"https://github.com/citation-style-language/schema/raw/master/csl-citation.json"} </w:instrText>
      </w:r>
      <w:r w:rsidR="008B66A9">
        <w:rPr>
          <w:rFonts w:ascii="Times New Roman" w:hAnsi="Times New Roman" w:cs="Times New Roman"/>
        </w:rPr>
        <w:fldChar w:fldCharType="separate"/>
      </w:r>
      <w:r w:rsidR="002D38F0" w:rsidRPr="002D38F0">
        <w:rPr>
          <w:rFonts w:ascii="Times New Roman" w:hAnsi="Times New Roman" w:cs="Times New Roman"/>
          <w:szCs w:val="24"/>
          <w:vertAlign w:val="superscript"/>
        </w:rPr>
        <w:t>276–278</w:t>
      </w:r>
      <w:r w:rsidR="008B66A9">
        <w:rPr>
          <w:rFonts w:ascii="Times New Roman" w:hAnsi="Times New Roman" w:cs="Times New Roman"/>
        </w:rPr>
        <w:fldChar w:fldCharType="end"/>
      </w:r>
      <w:r w:rsidRPr="00B84532">
        <w:rPr>
          <w:rFonts w:ascii="Times New Roman" w:hAnsi="Times New Roman" w:cs="Times New Roman"/>
        </w:rPr>
        <w:t>. In a broad sense,</w:t>
      </w:r>
      <w:r w:rsidR="005D33D1">
        <w:rPr>
          <w:rFonts w:ascii="Times New Roman" w:hAnsi="Times New Roman" w:cs="Times New Roman"/>
        </w:rPr>
        <w:t xml:space="preserve"> microalgae and cyanobacteria </w:t>
      </w:r>
      <w:r w:rsidRPr="00B84532">
        <w:rPr>
          <w:rFonts w:ascii="Times New Roman" w:hAnsi="Times New Roman" w:cs="Times New Roman"/>
        </w:rPr>
        <w:t xml:space="preserve">are either cultivated under phototrophic conditions (e.g., </w:t>
      </w:r>
      <w:proofErr w:type="gramStart"/>
      <w:r w:rsidRPr="00B84532">
        <w:rPr>
          <w:rFonts w:ascii="Times New Roman" w:hAnsi="Times New Roman" w:cs="Times New Roman"/>
        </w:rPr>
        <w:t>natural</w:t>
      </w:r>
      <w:proofErr w:type="gramEnd"/>
      <w:r w:rsidRPr="00B84532">
        <w:rPr>
          <w:rFonts w:ascii="Times New Roman" w:hAnsi="Times New Roman" w:cs="Times New Roman"/>
        </w:rPr>
        <w:t xml:space="preserve"> or artificial light, pure or waste</w:t>
      </w:r>
      <w:r w:rsidR="0036090E" w:rsidRPr="00B84532">
        <w:rPr>
          <w:rFonts w:ascii="Times New Roman" w:hAnsi="Times New Roman" w:cs="Times New Roman"/>
        </w:rPr>
        <w:t xml:space="preserve"> inorgan</w:t>
      </w:r>
      <w:r w:rsidR="00877E8F" w:rsidRPr="00B84532">
        <w:rPr>
          <w:rFonts w:ascii="Times New Roman" w:hAnsi="Times New Roman" w:cs="Times New Roman"/>
        </w:rPr>
        <w:t>ic carbon</w:t>
      </w:r>
      <w:r w:rsidRPr="00B84532">
        <w:rPr>
          <w:rFonts w:ascii="Times New Roman" w:hAnsi="Times New Roman" w:cs="Times New Roman"/>
        </w:rPr>
        <w:t xml:space="preserve">, and inorganic nutrients), heterotrophic conditions (e.g., no light, organic carbon, and other organic and inorganic trace nutrients), or mixotrophic conditions </w:t>
      </w:r>
      <w:r w:rsidR="000B3B4C">
        <w:rPr>
          <w:rFonts w:ascii="Times New Roman" w:hAnsi="Times New Roman" w:cs="Times New Roman"/>
        </w:rPr>
        <w:t>(</w:t>
      </w:r>
      <w:r w:rsidR="000B3B4C" w:rsidRPr="000B3B4C">
        <w:rPr>
          <w:rFonts w:ascii="Times New Roman" w:hAnsi="Times New Roman" w:cs="Times New Roman"/>
        </w:rPr>
        <w:t xml:space="preserve">e.g., a combination of both strategies). As for cultivation technology intensity, </w:t>
      </w:r>
      <w:r w:rsidR="001A3FB2">
        <w:rPr>
          <w:rFonts w:ascii="Times New Roman" w:hAnsi="Times New Roman" w:cs="Times New Roman"/>
        </w:rPr>
        <w:t>they</w:t>
      </w:r>
      <w:r w:rsidR="000B3B4C" w:rsidRPr="000B3B4C">
        <w:rPr>
          <w:rFonts w:ascii="Times New Roman" w:hAnsi="Times New Roman" w:cs="Times New Roman"/>
        </w:rPr>
        <w:t xml:space="preserve"> are generally mass-produced </w:t>
      </w:r>
      <w:proofErr w:type="spellStart"/>
      <w:r w:rsidR="000B3B4C" w:rsidRPr="000B3B4C">
        <w:rPr>
          <w:rFonts w:ascii="Times New Roman" w:hAnsi="Times New Roman" w:cs="Times New Roman"/>
        </w:rPr>
        <w:t>phototrophically</w:t>
      </w:r>
      <w:proofErr w:type="spellEnd"/>
      <w:r w:rsidR="000B3B4C" w:rsidRPr="000B3B4C">
        <w:rPr>
          <w:rFonts w:ascii="Times New Roman" w:hAnsi="Times New Roman" w:cs="Times New Roman"/>
        </w:rPr>
        <w:t xml:space="preserve">, either outdoors in vast open or semi-closed ponds, raceways and sunlight-exposed flat-panel photobioreactors or indoors in </w:t>
      </w:r>
      <w:proofErr w:type="gramStart"/>
      <w:r w:rsidR="000B3B4C" w:rsidRPr="000B3B4C">
        <w:rPr>
          <w:rFonts w:ascii="Times New Roman" w:hAnsi="Times New Roman" w:cs="Times New Roman"/>
        </w:rPr>
        <w:t>highly-controlled</w:t>
      </w:r>
      <w:proofErr w:type="gramEnd"/>
      <w:r w:rsidR="000B3B4C" w:rsidRPr="000B3B4C">
        <w:rPr>
          <w:rFonts w:ascii="Times New Roman" w:hAnsi="Times New Roman" w:cs="Times New Roman"/>
        </w:rPr>
        <w:t xml:space="preserve"> enclosed photobioreactors. </w:t>
      </w:r>
      <w:r w:rsidRPr="00B84532">
        <w:rPr>
          <w:rFonts w:ascii="Times New Roman" w:hAnsi="Times New Roman" w:cs="Times New Roman"/>
        </w:rPr>
        <w:t xml:space="preserve">The major classes studied include the eukaryotic microalgae Chlorophyceae (green algae), </w:t>
      </w:r>
      <w:r w:rsidRPr="00B84532">
        <w:rPr>
          <w:rFonts w:ascii="Times New Roman" w:hAnsi="Times New Roman" w:cs="Times New Roman"/>
        </w:rPr>
        <w:lastRenderedPageBreak/>
        <w:t xml:space="preserve">Bacillariophyceae (diatomaceous algae) and </w:t>
      </w:r>
      <w:proofErr w:type="spellStart"/>
      <w:r w:rsidRPr="00B84532">
        <w:rPr>
          <w:rFonts w:ascii="Times New Roman" w:hAnsi="Times New Roman" w:cs="Times New Roman"/>
        </w:rPr>
        <w:t>Chrysophyceae</w:t>
      </w:r>
      <w:proofErr w:type="spellEnd"/>
      <w:r w:rsidRPr="00B84532">
        <w:rPr>
          <w:rFonts w:ascii="Times New Roman" w:hAnsi="Times New Roman" w:cs="Times New Roman"/>
        </w:rPr>
        <w:t xml:space="preserve"> (golden algae) and the prokaryotic cyanobacteria </w:t>
      </w:r>
      <w:proofErr w:type="spellStart"/>
      <w:r w:rsidRPr="00B84532">
        <w:rPr>
          <w:rFonts w:ascii="Times New Roman" w:hAnsi="Times New Roman" w:cs="Times New Roman"/>
        </w:rPr>
        <w:t>Cyanophyceae</w:t>
      </w:r>
      <w:proofErr w:type="spellEnd"/>
      <w:r w:rsidRPr="00B84532">
        <w:rPr>
          <w:rFonts w:ascii="Times New Roman" w:hAnsi="Times New Roman" w:cs="Times New Roman"/>
        </w:rPr>
        <w:t xml:space="preserve"> (blue-green algae)</w:t>
      </w:r>
      <w:r w:rsidR="00E8490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{"citationID":"a7ce26a3cu","properties":{"formattedCitation":"\\super 279\\nosupersub{}","plainCitation":"279","noteIndex":0},"citationItems":[{"id":1791,"uris":["http://zotero.org/users/9431846/items/UK64XSU4"],"itemData":{"id":1791,"type":"book","event-place":"New Delhi","ISBN":"978-81-322-1837-1","language":"en","note":"DOI: 10.1007/978-81-322-1838-8","publisher":"Springer India","publisher-place":"New Delhi","source":"DOI.org (Crossref)","title":"An Introduction to Phytoplanktons: Diversity and Ecology","title-short":"An Introduction to Phytoplanktons","URL":"http://link.springer.com/10.1007/978-81-322-1838-8","author":[{"family":"Pal","given":"Ruma"},{"family":"Choudhury","given":"Avik Kumar"}],"accessed":{"date-parts":[["2022",8,30]]},"issued":{"date-parts":[["2014"]]}}}],"schema":"https://github.com/citation-style-language/schema/raw/master/csl-citation.json"} </w:instrText>
      </w:r>
      <w:r w:rsidR="00E84902">
        <w:rPr>
          <w:rFonts w:ascii="Times New Roman" w:hAnsi="Times New Roman" w:cs="Times New Roman"/>
        </w:rPr>
        <w:fldChar w:fldCharType="separate"/>
      </w:r>
      <w:r w:rsidR="002D38F0" w:rsidRPr="002D38F0">
        <w:rPr>
          <w:rFonts w:ascii="Times New Roman" w:hAnsi="Times New Roman" w:cs="Times New Roman"/>
          <w:szCs w:val="24"/>
          <w:vertAlign w:val="superscript"/>
        </w:rPr>
        <w:t>279</w:t>
      </w:r>
      <w:r w:rsidR="00E84902">
        <w:rPr>
          <w:rFonts w:ascii="Times New Roman" w:hAnsi="Times New Roman" w:cs="Times New Roman"/>
        </w:rPr>
        <w:fldChar w:fldCharType="end"/>
      </w:r>
      <w:r w:rsidRPr="00B84532">
        <w:rPr>
          <w:rFonts w:ascii="Times New Roman" w:hAnsi="Times New Roman" w:cs="Times New Roman"/>
        </w:rPr>
        <w:t xml:space="preserve">. </w:t>
      </w:r>
      <w:r w:rsidR="00877E8F" w:rsidRPr="00B84532">
        <w:rPr>
          <w:rFonts w:ascii="Times New Roman" w:hAnsi="Times New Roman" w:cs="Times New Roman"/>
        </w:rPr>
        <w:t>While there are over 200,000 known species of microalgae</w:t>
      </w:r>
      <w:r w:rsidR="00021C26">
        <w:rPr>
          <w:rFonts w:ascii="Times New Roman" w:hAnsi="Times New Roman" w:cs="Times New Roman"/>
        </w:rPr>
        <w:t xml:space="preserve"> and cyanobacteria</w:t>
      </w:r>
      <w:r w:rsidR="00877E8F" w:rsidRPr="00B84532">
        <w:rPr>
          <w:rFonts w:ascii="Times New Roman" w:hAnsi="Times New Roman" w:cs="Times New Roman"/>
        </w:rPr>
        <w:t xml:space="preserve"> </w:t>
      </w:r>
      <w:r w:rsidR="009813CB" w:rsidRPr="00B845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{"citationID":"a8630es0il","properties":{"formattedCitation":"\\super 280\\nosupersub{}","plainCitation":"280","noteIndex":0},"citationItems":[{"id":1077,"uris":["http://zotero.org/groups/4669668/items/DLRUVE2Z"],"itemData":{"id":1077,"type":"article-journal","abstract":"The relevance of algae to the current debate on global biodiversity is assessed. Algal diversity is considered at the levels of richness of species and of higher taxonomic ranks and as the variety of habitats algae dominate and their functional importance in the processes they mediate.The geographical distribution of algae indicates substantial differences in species richness and degree of endemism in different regions. Coasts with the greatest diversity of algae occur in both temperate and tropical seas. High degrees of endemism in seaweeds seem unrelated to overall species richness. Information is sparse for the microalgae, but for some groups high endemism occurs in regions of low diversity.The potential vulnerability of algae and algal communities and the possible consequences of their depletion or extinction are assessed. There is an urgent need to inventory the world's algae, conserve species in culture collections and genetic stocks in ‘seed’ banks, as well as to preserve natural communities by protecting sites of phycological importance. Current progress in these endeavours and some inherent problems are discussed and recommendations are made. The current dearth of appropriately trained phycologists is also identified as a major brake on progress, for algal taxonomists are perhaps the most threatened species of all.","container-title":"Phycologia","DOI":"10.2216/i0031-8884-35-4-308.1","ISSN":"0031-8884","issue":"4","note":"number: 4\npublisher: Taylor &amp; Francis\n_eprint: https://doi.org/10.2216/i0031-8884-35-4-308.1","page":"308-326","source":"Taylor and Francis+NEJM","title":"Algal biodiversity","volume":"35","author":[{"family":"Norton","given":"Trevor A."},{"family":"Melkonian","given":"Michael"},{"family":"Andersen","given":"Robert A."}],"issued":{"date-parts":[["1996",7,1]]}}}],"schema":"https://github.com/citation-style-language/schema/raw/master/csl-citation.json"} </w:instrText>
      </w:r>
      <w:r w:rsidR="009813CB" w:rsidRPr="00B84532">
        <w:rPr>
          <w:rFonts w:ascii="Times New Roman" w:hAnsi="Times New Roman" w:cs="Times New Roman"/>
        </w:rPr>
        <w:fldChar w:fldCharType="separate"/>
      </w:r>
      <w:r w:rsidR="002D38F0" w:rsidRPr="002D38F0">
        <w:rPr>
          <w:rFonts w:ascii="Times New Roman" w:hAnsi="Times New Roman" w:cs="Times New Roman"/>
          <w:szCs w:val="24"/>
          <w:vertAlign w:val="superscript"/>
        </w:rPr>
        <w:t>280</w:t>
      </w:r>
      <w:r w:rsidR="009813CB" w:rsidRPr="00B84532">
        <w:rPr>
          <w:rFonts w:ascii="Times New Roman" w:hAnsi="Times New Roman" w:cs="Times New Roman"/>
        </w:rPr>
        <w:fldChar w:fldCharType="end"/>
      </w:r>
      <w:r w:rsidR="00877E8F" w:rsidRPr="00B84532">
        <w:rPr>
          <w:rFonts w:ascii="Times New Roman" w:hAnsi="Times New Roman" w:cs="Times New Roman"/>
        </w:rPr>
        <w:t>, t</w:t>
      </w:r>
      <w:r w:rsidRPr="00B84532">
        <w:rPr>
          <w:rFonts w:ascii="Times New Roman" w:hAnsi="Times New Roman" w:cs="Times New Roman"/>
        </w:rPr>
        <w:t xml:space="preserve">he vast majority of </w:t>
      </w:r>
      <w:r w:rsidR="00021C26">
        <w:rPr>
          <w:rFonts w:ascii="Times New Roman" w:hAnsi="Times New Roman" w:cs="Times New Roman"/>
        </w:rPr>
        <w:t>species</w:t>
      </w:r>
      <w:r w:rsidR="00021C26" w:rsidRPr="00B84532">
        <w:rPr>
          <w:rFonts w:ascii="Times New Roman" w:hAnsi="Times New Roman" w:cs="Times New Roman"/>
        </w:rPr>
        <w:t xml:space="preserve"> </w:t>
      </w:r>
      <w:r w:rsidRPr="00B84532">
        <w:rPr>
          <w:rFonts w:ascii="Times New Roman" w:hAnsi="Times New Roman" w:cs="Times New Roman"/>
        </w:rPr>
        <w:t xml:space="preserve">studied for use as aquafeed single-cell ingredients </w:t>
      </w:r>
      <w:r w:rsidR="00877E8F" w:rsidRPr="00B84532">
        <w:rPr>
          <w:rFonts w:ascii="Times New Roman" w:hAnsi="Times New Roman" w:cs="Times New Roman"/>
        </w:rPr>
        <w:t xml:space="preserve">only </w:t>
      </w:r>
      <w:r w:rsidRPr="00B84532">
        <w:rPr>
          <w:rFonts w:ascii="Times New Roman" w:hAnsi="Times New Roman" w:cs="Times New Roman"/>
        </w:rPr>
        <w:t xml:space="preserve">include </w:t>
      </w:r>
      <w:proofErr w:type="spellStart"/>
      <w:r w:rsidRPr="00B84532">
        <w:rPr>
          <w:rFonts w:ascii="Times New Roman" w:hAnsi="Times New Roman" w:cs="Times New Roman"/>
          <w:i/>
        </w:rPr>
        <w:t>Arthrospira</w:t>
      </w:r>
      <w:proofErr w:type="spellEnd"/>
      <w:r w:rsidRPr="00B84532">
        <w:rPr>
          <w:rFonts w:ascii="Times New Roman" w:hAnsi="Times New Roman" w:cs="Times New Roman"/>
        </w:rPr>
        <w:t xml:space="preserve"> (Spirulina), </w:t>
      </w:r>
      <w:r w:rsidRPr="00B84532">
        <w:rPr>
          <w:rFonts w:ascii="Times New Roman" w:hAnsi="Times New Roman" w:cs="Times New Roman"/>
          <w:i/>
        </w:rPr>
        <w:t>Chlorella</w:t>
      </w:r>
      <w:r w:rsidRPr="00B84532">
        <w:rPr>
          <w:rFonts w:ascii="Times New Roman" w:hAnsi="Times New Roman" w:cs="Times New Roman"/>
        </w:rPr>
        <w:t xml:space="preserve">, </w:t>
      </w:r>
      <w:proofErr w:type="spellStart"/>
      <w:r w:rsidRPr="00B84532">
        <w:rPr>
          <w:rFonts w:ascii="Times New Roman" w:hAnsi="Times New Roman" w:cs="Times New Roman"/>
          <w:i/>
        </w:rPr>
        <w:t>Crypthecodinium</w:t>
      </w:r>
      <w:proofErr w:type="spellEnd"/>
      <w:r w:rsidRPr="00B84532">
        <w:rPr>
          <w:rFonts w:ascii="Times New Roman" w:hAnsi="Times New Roman" w:cs="Times New Roman"/>
        </w:rPr>
        <w:t xml:space="preserve">, </w:t>
      </w:r>
      <w:proofErr w:type="spellStart"/>
      <w:r w:rsidRPr="00B84532">
        <w:rPr>
          <w:rFonts w:ascii="Times New Roman" w:hAnsi="Times New Roman" w:cs="Times New Roman"/>
          <w:i/>
        </w:rPr>
        <w:t>Nannochloropsis</w:t>
      </w:r>
      <w:proofErr w:type="spellEnd"/>
      <w:r w:rsidRPr="00B84532">
        <w:rPr>
          <w:rFonts w:ascii="Times New Roman" w:hAnsi="Times New Roman" w:cs="Times New Roman"/>
        </w:rPr>
        <w:t xml:space="preserve">, </w:t>
      </w:r>
      <w:proofErr w:type="spellStart"/>
      <w:r w:rsidRPr="00B84532">
        <w:rPr>
          <w:rFonts w:ascii="Times New Roman" w:hAnsi="Times New Roman" w:cs="Times New Roman"/>
          <w:i/>
        </w:rPr>
        <w:t>Phaeodactylum</w:t>
      </w:r>
      <w:proofErr w:type="spellEnd"/>
      <w:r w:rsidRPr="00B84532">
        <w:rPr>
          <w:rFonts w:ascii="Times New Roman" w:hAnsi="Times New Roman" w:cs="Times New Roman"/>
        </w:rPr>
        <w:t xml:space="preserve"> and </w:t>
      </w:r>
      <w:r w:rsidRPr="00B84532">
        <w:rPr>
          <w:rFonts w:ascii="Times New Roman" w:hAnsi="Times New Roman" w:cs="Times New Roman"/>
          <w:i/>
        </w:rPr>
        <w:t>Scenedesmus</w:t>
      </w:r>
      <w:r w:rsidRPr="00B84532">
        <w:rPr>
          <w:rFonts w:ascii="Times New Roman" w:hAnsi="Times New Roman" w:cs="Times New Roman"/>
        </w:rPr>
        <w:t>; and to a lesser extent</w:t>
      </w:r>
      <w:r w:rsidRPr="003A03CA">
        <w:rPr>
          <w:rFonts w:ascii="Times New Roman" w:hAnsi="Times New Roman" w:cs="Times New Roman"/>
        </w:rPr>
        <w:t xml:space="preserve"> </w:t>
      </w:r>
      <w:r w:rsidRPr="003A03CA">
        <w:rPr>
          <w:rFonts w:ascii="Times New Roman" w:hAnsi="Times New Roman" w:cs="Times New Roman"/>
          <w:i/>
        </w:rPr>
        <w:t>Chlamydomonas</w:t>
      </w:r>
      <w:r w:rsidRPr="003A03CA">
        <w:rPr>
          <w:rFonts w:ascii="Times New Roman" w:hAnsi="Times New Roman" w:cs="Times New Roman"/>
        </w:rPr>
        <w:t xml:space="preserve">, </w:t>
      </w:r>
      <w:proofErr w:type="spellStart"/>
      <w:r w:rsidRPr="003A03CA">
        <w:rPr>
          <w:rFonts w:ascii="Times New Roman" w:hAnsi="Times New Roman" w:cs="Times New Roman"/>
          <w:i/>
        </w:rPr>
        <w:t>Desmodesmus</w:t>
      </w:r>
      <w:proofErr w:type="spellEnd"/>
      <w:r w:rsidRPr="003A03CA">
        <w:rPr>
          <w:rFonts w:ascii="Times New Roman" w:hAnsi="Times New Roman" w:cs="Times New Roman"/>
        </w:rPr>
        <w:t xml:space="preserve">, </w:t>
      </w:r>
      <w:proofErr w:type="spellStart"/>
      <w:r w:rsidRPr="003A03CA">
        <w:rPr>
          <w:rFonts w:ascii="Times New Roman" w:hAnsi="Times New Roman" w:cs="Times New Roman"/>
          <w:i/>
        </w:rPr>
        <w:t>Entomoneis</w:t>
      </w:r>
      <w:proofErr w:type="spellEnd"/>
      <w:r w:rsidRPr="003A03CA">
        <w:rPr>
          <w:rFonts w:ascii="Times New Roman" w:hAnsi="Times New Roman" w:cs="Times New Roman"/>
        </w:rPr>
        <w:t xml:space="preserve">, </w:t>
      </w:r>
      <w:proofErr w:type="spellStart"/>
      <w:r w:rsidRPr="003A03CA">
        <w:rPr>
          <w:rFonts w:ascii="Times New Roman" w:hAnsi="Times New Roman" w:cs="Times New Roman"/>
          <w:i/>
        </w:rPr>
        <w:t>Isochrysis</w:t>
      </w:r>
      <w:proofErr w:type="spellEnd"/>
      <w:r w:rsidRPr="003A03CA">
        <w:rPr>
          <w:rFonts w:ascii="Times New Roman" w:hAnsi="Times New Roman" w:cs="Times New Roman"/>
        </w:rPr>
        <w:t xml:space="preserve">, </w:t>
      </w:r>
      <w:proofErr w:type="spellStart"/>
      <w:r w:rsidRPr="003A03CA">
        <w:rPr>
          <w:rFonts w:ascii="Times New Roman" w:hAnsi="Times New Roman" w:cs="Times New Roman"/>
          <w:i/>
        </w:rPr>
        <w:t>Nanofrustulum</w:t>
      </w:r>
      <w:proofErr w:type="spellEnd"/>
      <w:r w:rsidRPr="003A03CA">
        <w:rPr>
          <w:rFonts w:ascii="Times New Roman" w:hAnsi="Times New Roman" w:cs="Times New Roman"/>
        </w:rPr>
        <w:t xml:space="preserve">, </w:t>
      </w:r>
      <w:proofErr w:type="spellStart"/>
      <w:r w:rsidRPr="003A03CA">
        <w:rPr>
          <w:rFonts w:ascii="Times New Roman" w:hAnsi="Times New Roman" w:cs="Times New Roman"/>
          <w:i/>
        </w:rPr>
        <w:t>Tetraselmis</w:t>
      </w:r>
      <w:proofErr w:type="spellEnd"/>
      <w:r w:rsidRPr="003A03CA">
        <w:rPr>
          <w:rFonts w:ascii="Times New Roman" w:hAnsi="Times New Roman" w:cs="Times New Roman"/>
        </w:rPr>
        <w:t xml:space="preserve"> and </w:t>
      </w:r>
      <w:r w:rsidRPr="003A03CA">
        <w:rPr>
          <w:rFonts w:ascii="Times New Roman" w:hAnsi="Times New Roman" w:cs="Times New Roman"/>
          <w:i/>
        </w:rPr>
        <w:t>Pavlova</w:t>
      </w:r>
      <w:r w:rsidR="00DE3B0F">
        <w:rPr>
          <w:rFonts w:ascii="Times New Roman" w:hAnsi="Times New Roman" w:cs="Times New Roman"/>
          <w:i/>
        </w:rPr>
        <w:t xml:space="preserve"> </w:t>
      </w:r>
      <w:r w:rsidR="0081600A">
        <w:rPr>
          <w:rFonts w:ascii="Times New Roman" w:hAnsi="Times New Roman" w:cs="Times New Roman"/>
          <w:i/>
        </w:rPr>
        <w:fldChar w:fldCharType="begin"/>
      </w:r>
      <w:r w:rsidR="002D38F0">
        <w:rPr>
          <w:rFonts w:ascii="Times New Roman" w:hAnsi="Times New Roman" w:cs="Times New Roman"/>
          <w:i/>
        </w:rPr>
        <w:instrText xml:space="preserve"> ADDIN ZOTERO_ITEM CSL_CITATION {"citationID":"aqcm5asij4","properties":{"formattedCitation":"\\super 281\\uc0\\u8211{}287\\nosupersub{}","plainCitation":"281–287","noteIndex":0},"citationItems":[{"id":154,"uris":["http://zotero.org/users/9431846/items/SGNGZP8S"],"itemData":{"id":154,"type":"chapter","abstract":"Fisheries are the most important sources of feedstock for fishmeal. Only a small percentage of global fish production is indeed channeled to human consumption, with the remainder being used for fish and animal feed. Fishmeal is a protein-rich food, and sets the basis for any balanced formulation used in commercial aquaculture. For several reasons there is a definite need for a new source of nutritious fish food. Therefore, the potential use of unconventional feed ingredients, such as microalgae, as feed inputs to replace high cost feed stuffs has been increasing. Microalgae are a more reliable and less volatile source of protein, and their availability is not dependent on fish captures. This provides industry with a better control of their costs, and supports a potential for future investment due to the reduction of risk in aquaculture farming operations.","container-title":"Handbook of Marine Microalgae","event-place":"Boston","ISBN":"978-0-12-800776-1","language":"en","note":"DOI: 10.1016/B978-0-12-800776-1.00008-X","page":"93-125","publisher":"Academic Press","publisher-place":"Boston","source":"ScienceDirect","title":"Chapter 8 - Application of Microalgae Protein to Aquafeed","URL":"https://www.sciencedirect.com/science/article/pii/B978012800776100008X","author":[{"family":"Guedes","given":"A. Catarina"},{"family":"Sousa-Pinto","given":"Isabel"},{"family":"Malcata","given":"F. Xavier"}],"editor":[{"family":"Kim","given":"Se-Kwon"}],"accessed":{"date-parts":[["2022",4,23]]},"issued":{"date-parts":[["2015",1,1]]}}},{"id":132,"uris":["http://zotero.org/users/9431846/items/68CZY9DL"],"itemData":{"id":132,"type":"article-journal","abstract":"Food security is an urgent global problem. According to the United Nations, nearly one-seventh of the world's population, or one billion people, are regularly undernourished. By 2050, an additional two to three billion new guests will join the global dinner table. The food crisis is a matter of providing not only sufficient calories, but also the protein and nutrients essential to good health. Fish provide an excellent source of balanced protein and omega-3 fatty acids, but meeting nutritional goals of the global population with marine species has become more difficult as the world's oceans have been depleted of fish and catches have declined since 1996. A simple question—where do fish get their essential omega-3 fatty acids from, and what is the carbon source of their protein?—may turn the nutrition equation from grim to promising. The answer: from marine algae at the bottom of their food chain. So why not cut out the middle fish? This paper analyzes the reasons behind the global feed and food crisis and proposes looking toward marine microalgae as a solution. The paper compares the sustainability footprint (measured in fresh-water and fertile-land utilization) of various food sources based on their nutritional value (measured in essential amino acids, EAAs). Animal sources of proteins require vast amounts of fresh water and fertile land per EAA. Because of the relatively low amounts of EEAs in terrestrial plants, their sustainability advantage relative to animal-based foods is smaller than generally assumed. Marine microalgae, on the other hand, which are cultivated using a brackish/marine water source, may present the best sustainable option thus far. The paper also analyzes the sustainability metrics (usage of fresh water and fertile land) of different algal growth systems, presented in worse-to-best sustainability order: sugarcane sugar-based fermentation, fresh water open systems, marine/brackish water open systems and marine/brackish water closed systems with artificial light. Finally, the paper discusses some of the technological and regulatory barriers in positioning marine, omega-3-rich microalgae as the next sustainable aquafeed and food ingredient.","container-title":"Industrial Biotechnology","DOI":"10.1089/ind.2017.29102.wmo","ISSN":"1550-9087","issue":"5","note":"publisher: Mary Ann Liebert, Inc., publishers","page":"234-243","source":"liebertpub.com (Atypon)","title":"Cutting Out the Middle Fish: Marine Microalgae as the Next Sustainable Omega-3 Fatty Acids and Protein Source","title-short":"Cutting Out the Middle Fish","volume":"13","author":[{"family":"Moomaw","given":"William"},{"family":"Berzin","given":"Isaac"},{"family":"Tzachor","given":"Asaf"}],"issued":{"date-parts":[["2017",10]]}}},{"id":114,"uris":["http://zotero.org/users/9431846/items/RLNVLRYR"],"itemData":{"id":114,"type":"article-journal","abstract":"Due to the rapid global expansion of the aquaculture industry, access to key feedstuffs (fishmeal and fish oil) is becoming increasingly limited because of the finite resources available for wild fish harvesting. This has resulted in other sources of feedstuffs being investigated, namely plant origin substitutes for fishmeal and fish oil for aquafeed. Conventional land-based crops have been favored for some applications as substitutes for a portion of the fishmeal, but they can result in changes in the nutritional quality of the fish produced. Microalgae can be regarded as a promising alternative that can replace fishmeal and fish oil and ensure sustainability standards in aquaculture. They have a potential for use in aquaculture as they are sources of protein, lipid, vitamins, minerals, pigments, etc. This comprehensive review summarizes the most important and recent developments of microalgae use as supplement or feed additive to replace fishmeal and fish oil for use in aquaculture. It also reflects the microalgal nutritional quality and digestibility of microalgae-based aquafeed. Simultaneously, safety and regulatory aspects of microalgae feed applications, major challenges on the use microalgae in aquafeed in commercial production, and future research and development perspective are also presented in a critical manner. This review will serve as a useful guide to present current status of knowledge and highlight key areas for future development of a microalgae-based aquafeed industry and overall development of a sustainable aquaculture industry.","container-title":"Journal of Applied Phycology","DOI":"10.1007/s10811-017-1234-z","ISSN":"1573-5176","issue":"1","journalAbbreviation":"J Appl Phycol","language":"en","page":"197-213","source":"Springer Link","title":"Microalgae in aquafeeds for a sustainable aquaculture industry","volume":"30","author":[{"family":"Shah","given":"Mahfuzur Rahman"},{"family":"Lutzu","given":"Giovanni Antonio"},{"family":"Alam","given":"Asraful"},{"family":"Sarker","given":"Pallab"},{"family":"Kabir Chowdhury","given":"M. A."},{"family":"Parsaeimehr","given":"Ali"},{"family":"Liang","given":"Yuanmei"},{"family":"Daroch","given":"Maurycy"}],"issued":{"date-parts":[["2018",2,1]]}}},{"id":1002,"uris":["http://zotero.org/groups/4669668/items/NGJSYYIM"],"itemData":{"id":1002,"type":"chapter","container-title":"Microalgal Biotechnology","event-place":"Rijeka","note":"section: 8\nDOI: 10.5772/intechopen.73551","publisher":"IntechOpen","publisher-place":"Rijeka","title":"The potential for ‘next-generation’, microalgae-based feed ingredients for salmonid aquaculture in context of the blue revolution","URL":"https://doi.org/10.5772/intechopen.73551","author":[{"family":"Tibbetts","given":"Sean Michael"}],"editor":[{"family":"Jacob-Lopes","given":"Eduardo"},{"family":"Zepka","given":"Leila Queiroz"},{"family":"Queiroz","given":"Maria Isabel"}],"issued":{"date-parts":[["2018"]]}}},{"id":950,"uris":["http://zotero.org/groups/4669668/items/EGBQEUA4"],"itemData":{"id":950,"type":"article-journal","abstract":"The aquaculture industry is an efficient edible protein producer and grows faster than any other food sector. Therefore, it requires enormous amounts of fish feed. Fish feed directly affects the quality of produced fish, potential health benefits, and cost. Fish meal (FM), fis oil (FO), and plant-based supplements, predominantly used in fish feed, face challenges of low availability, low nutritional value, and high cost. The cost associated with aquaculture feed represents 40–75% of aquaculture production cost and one of the key market drivers for the thriving aquaculture industry. Microalgae are a primary producer in aquatic food chains. Microalgae are expanding continuously in renewable energy, pharmaceutical pigment, wastewater treatment, food, and feed industries. Major components of microalgal biomass are proteins with essential amino acids, lipids with polyunsaturated fatty acids (PUFA), carbohydrates, pigments, and other bioactive compounds. Thus, microalgae can be used as an essential, viable, and alternative feed ingredient in aquaculture feed. In recent times, live algae culture, whole algae, and lipid-extracted algae (LEA) have been tested in fish feed for growth, physiological activity, and nutritional value. The present review discusses the potential application of microalgae in aquaculture feed, its mode of application, nutritional value, and possible replacement of conventional feed ingredients, and disadvantages of plant-based feed. The review also focuses on integrated processes such as algae cultivation in aquaculture wastewater, aquaponics systems, challenges, and future prospects of using microalgae in the aquafeed industry.","container-title":"Environmental Science and Pollution Research","DOI":"10.1007/s11356-021-14989-x","ISSN":"1614-7499","issue":"32","journalAbbreviation":"Environ Sci Pollut Res","language":"en","note":"number: 32","page":"43234-43257","source":"Springer Link","title":"Improving the feasibility of aquaculture feed by using microalgae","volume":"28","author":[{"family":"Ansari","given":"Faiz Ahmad"},{"family":"Guldhe","given":"Abhishek"},{"family":"Gupta","given":"Sanjay Kumar"},{"family":"Rawat","given":"Ismail"},{"family":"Bux","given":"Faizal"}],"issued":{"date-parts":[["2021",8,1]]}}},{"id":891,"uris":["http://zotero.org/groups/4669668/items/F6GPP7UX"],"itemData":{"id":891,"type":"chapter","abstract":"Microalgae, small-sized algae, have been studied as a natural freshwater and marine resource for a number of economically relevant applications, including animal feed. This chapter unveils the currently known dietary microalgae effects on the production and meat quality of livestock (ruminants, pigs, poultry, and rabbits) and aquaculture species. Microalgae are classified into four major groups: diatoms (Bacillariophyceae), green (Chlorophyceae), golden (Chrysophyceae), and blue-green (Cyanophyceae) algae. Microalgae are mainly composed of proteins, carbohydrates, lipids, vitamins, minerals, and bioactive compounds, such as carotenoids. They have a variable nutrient composition, depending on several factors such as species, and production conditions (e.g., nutrient availability), enzyme utilization, and biomass status (whole or defatted algae meal). Research evidence so far has shown that the microalgae could successfully replace fish meal and fish oil in diets for fish and improve growth and meat quality in pigs, poultry, and rabbits. In ruminants, dietary inclusion of marine microalgae has improved the milk and meat fatty acid profile. Microalgae have various bioactive compounds that have been shown to enhance defense activity and health status in several animal species, confer tissue protection and antioxidant effects, and affect pigmentation in fish. The nutritional value and major effects of algal biomass used in animal feeds are compiled and discussed.","container-title":"Microalgae","ISBN":"978-0-12-821218-9","language":"en","note":"DOI: 10.1016/B978-0-12-821218-9.00009-8","page":"239-312","publisher":"Academic Press","source":"ScienceDirect","title":"Chapter 9 - Microalgae as feed ingredients for livestock production and aquaculture","URL":"https://www.sciencedirect.com/science/article/pii/B9780128212189000098","author":[{"family":"Valente","given":"Luisa M. P."},{"family":"Cabrita","given":"Ana R. J."},{"family":"Maia","given":"Margarida R. G."},{"family":"Valente","given":"Inês M."},{"family":"Engrola","given":"Sofia"},{"family":"Fonseca","given":"António J. M."},{"family":"Ribeiro","given":"David Miguel"},{"family":"Lordelo","given":"Madalena"},{"family":"Martins","given":"Cátia Falcão"},{"family":"Falcão e Cunha","given":"Luísa"},{"family":"Almeida","given":"André Martinho","non-dropping-particle":"de"},{"family":"Freire","given":"João Pedro Bengala"}],"editor":[{"family":"Galanakis","given":"Charis M."}],"accessed":{"date-parts":[["2022",4,23]]},"issued":{"date-parts":[["2021",1,1]]}}},{"id":1080,"uris":["http://zotero.org/groups/4669668/items/CIM73YFS"],"itemData":{"id":1080,"type":"article-journal","abstract":"Sustainable management of natural resources is critical to food security. The shrimp feed and fishery sector is expanding rapidly, necessitating the development of alternative sustainable components. Several factors necessitate the exploration of a new source of environmentally friendly and nutrient-rich fish feed ingredients. Microalgal biomass has the potential to support the growth of fish and shrimp aquaculture for global food security in the bio-economy. Algal biorefineries must valorize the whole crop to develop a viable microalgae-based economy. Microalgae have the potential to replace fish meal and fish oil in aquaculture and ensure sustainability standards. Microalgae biomasses provide essential amino acids, valuable triglycerides such as lipids, vitamins, and pigments, making them suitable as nutritional supplements in livestock feed formulations. Fish and microalgae have similar nutritional profiles, and digestibility is a critical aspect of the aquafeed formulation. A highly digestible feed reduces production costs, feed waste, and the risk of eutrophication. Due to low input costs, low carbon footprint, wastewater treatment benefits, and carbon credits from industrial CO2 conversion, microalgae-based fish and shrimp feeds have the potential to provide significant economic benefits. However, several challenges must be addressed before microalgal biomass and bioproducts may be used as fish feeds, including heavy metal bioaccumulation, poor algal biomass digestion, and antinutrient effects. Knowledge of biochemical composition is limited and diverse, and information on nutritional value is scattered or contradictory. This review article presents alternative approaches that could be used in aquaculture to make microalgal biomass a viable alternative to fish meal.","container-title":"Bioengineered","DOI":"10.1080/21655979.2022.2061148","ISSN":"2165-5979","issue":"4","note":"number: 4\npublisher: Taylor &amp; Francis\n_eprint: https://doi.org/10.1080/21655979.2022.2061148\nPMID: 35387561","page":"9521-9547","source":"Taylor and Francis+NEJM","title":"An overview of microalgae biomass as a sustainable aquaculture feed ingredient: food security and circular economy","title-short":"An overview of microalgae biomass as a sustainable aquaculture feed ingredient","volume":"13","author":[{"family":"Ahmad","given":"Ashfaq"},{"family":"W. Hassan","given":"Shadi"},{"family":"Banat","given":"Fawzi"}],"issued":{"date-parts":[["2022",4,1]]}}}],"schema":"https://github.com/citation-style-language/schema/raw/master/csl-citation.json"} </w:instrText>
      </w:r>
      <w:r w:rsidR="0081600A">
        <w:rPr>
          <w:rFonts w:ascii="Times New Roman" w:hAnsi="Times New Roman" w:cs="Times New Roman"/>
          <w:i/>
        </w:rPr>
        <w:fldChar w:fldCharType="separate"/>
      </w:r>
      <w:r w:rsidR="002D38F0" w:rsidRPr="002D38F0">
        <w:rPr>
          <w:rFonts w:ascii="Times New Roman" w:hAnsi="Times New Roman" w:cs="Times New Roman"/>
          <w:szCs w:val="24"/>
          <w:vertAlign w:val="superscript"/>
        </w:rPr>
        <w:t>281–287</w:t>
      </w:r>
      <w:r w:rsidR="0081600A">
        <w:rPr>
          <w:rFonts w:ascii="Times New Roman" w:hAnsi="Times New Roman" w:cs="Times New Roman"/>
          <w:i/>
        </w:rPr>
        <w:fldChar w:fldCharType="end"/>
      </w:r>
      <w:r w:rsidRPr="003A03CA">
        <w:rPr>
          <w:rFonts w:ascii="Times New Roman" w:hAnsi="Times New Roman" w:cs="Times New Roman"/>
        </w:rPr>
        <w:t>. On the other hand, protists, yeasts and bacteria are exclusively mass-cultivated heterotrophically indoors within highly-controlled bioreactors, commonly referred to as fermenters</w:t>
      </w:r>
      <w:r w:rsidR="00CB4E19">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{"citationID":"a1k31tavg0i","properties":{"formattedCitation":"\\super 288\\nosupersub{}","plainCitation":"288","noteIndex":0},"citationItems":[{"id":1790,"uris":["http://zotero.org/users/9431846/items/4K98LYRT"],"itemData":{"id":1790,"type":"book","ISBN":"978-0-08-099953-1","language":"en","note":"DOI: 10.1016/C2013-0-00186-7","publisher":"Elsevier","source":"DOI.org (Crossref)","title":"Principles of Fermentation Technology","URL":"https://linkinghub.elsevier.com/retrieve/pii/C20130001867","accessed":{"date-parts":[["2022",8,30]]},"issued":{"date-parts":[["2017"]]}}}],"schema":"https://github.com/citation-style-language/schema/raw/master/csl-citation.json"} </w:instrText>
      </w:r>
      <w:r w:rsidR="00CB4E19">
        <w:rPr>
          <w:rFonts w:ascii="Times New Roman" w:hAnsi="Times New Roman" w:cs="Times New Roman"/>
        </w:rPr>
        <w:fldChar w:fldCharType="separate"/>
      </w:r>
      <w:r w:rsidR="002D38F0" w:rsidRPr="002D38F0">
        <w:rPr>
          <w:rFonts w:ascii="Times New Roman" w:hAnsi="Times New Roman" w:cs="Times New Roman"/>
          <w:szCs w:val="24"/>
          <w:vertAlign w:val="superscript"/>
        </w:rPr>
        <w:t>288</w:t>
      </w:r>
      <w:r w:rsidR="00CB4E19">
        <w:rPr>
          <w:rFonts w:ascii="Times New Roman" w:hAnsi="Times New Roman" w:cs="Times New Roman"/>
        </w:rPr>
        <w:fldChar w:fldCharType="end"/>
      </w:r>
      <w:r w:rsidRPr="003A03CA">
        <w:rPr>
          <w:rFonts w:ascii="Times New Roman" w:hAnsi="Times New Roman" w:cs="Times New Roman"/>
        </w:rPr>
        <w:t xml:space="preserve">. The major classes of these microorganisms that have been evaluated for use as aquafeed </w:t>
      </w:r>
      <w:r w:rsidR="00FC2A2C">
        <w:rPr>
          <w:rFonts w:ascii="Times New Roman" w:hAnsi="Times New Roman" w:cs="Times New Roman"/>
        </w:rPr>
        <w:t>single-</w:t>
      </w:r>
      <w:proofErr w:type="spellStart"/>
      <w:r w:rsidR="00FC2A2C">
        <w:rPr>
          <w:rFonts w:ascii="Times New Roman" w:hAnsi="Times New Roman" w:cs="Times New Roman"/>
        </w:rPr>
        <w:t>cellsingle</w:t>
      </w:r>
      <w:proofErr w:type="spellEnd"/>
      <w:r w:rsidR="00FC2A2C">
        <w:rPr>
          <w:rFonts w:ascii="Times New Roman" w:hAnsi="Times New Roman" w:cs="Times New Roman"/>
        </w:rPr>
        <w:t>-cell</w:t>
      </w:r>
      <w:r w:rsidRPr="003A03CA">
        <w:rPr>
          <w:rFonts w:ascii="Times New Roman" w:hAnsi="Times New Roman" w:cs="Times New Roman"/>
        </w:rPr>
        <w:t xml:space="preserve"> ingredients include </w:t>
      </w:r>
      <w:r w:rsidR="00EB1926" w:rsidRPr="003A03CA">
        <w:rPr>
          <w:rFonts w:ascii="Times New Roman" w:hAnsi="Times New Roman" w:cs="Times New Roman"/>
        </w:rPr>
        <w:t xml:space="preserve">marine </w:t>
      </w:r>
      <w:r w:rsidRPr="003A03CA">
        <w:rPr>
          <w:rFonts w:ascii="Times New Roman" w:hAnsi="Times New Roman" w:cs="Times New Roman"/>
        </w:rPr>
        <w:t xml:space="preserve">protists like </w:t>
      </w:r>
      <w:proofErr w:type="spellStart"/>
      <w:r w:rsidRPr="003A03CA">
        <w:rPr>
          <w:rFonts w:ascii="Times New Roman" w:hAnsi="Times New Roman" w:cs="Times New Roman"/>
          <w:i/>
        </w:rPr>
        <w:t>Aurantiochytrium</w:t>
      </w:r>
      <w:proofErr w:type="spellEnd"/>
      <w:r w:rsidRPr="003A03CA">
        <w:rPr>
          <w:rFonts w:ascii="Times New Roman" w:hAnsi="Times New Roman" w:cs="Times New Roman"/>
        </w:rPr>
        <w:t xml:space="preserve">, </w:t>
      </w:r>
      <w:proofErr w:type="spellStart"/>
      <w:r w:rsidRPr="003A03CA">
        <w:rPr>
          <w:rFonts w:ascii="Times New Roman" w:hAnsi="Times New Roman" w:cs="Times New Roman"/>
          <w:i/>
        </w:rPr>
        <w:t>Schizochytrium</w:t>
      </w:r>
      <w:proofErr w:type="spellEnd"/>
      <w:r w:rsidRPr="003A03CA">
        <w:rPr>
          <w:rFonts w:ascii="Times New Roman" w:hAnsi="Times New Roman" w:cs="Times New Roman"/>
        </w:rPr>
        <w:t xml:space="preserve">, and </w:t>
      </w:r>
      <w:proofErr w:type="spellStart"/>
      <w:r w:rsidRPr="003A03CA">
        <w:rPr>
          <w:rFonts w:ascii="Times New Roman" w:hAnsi="Times New Roman" w:cs="Times New Roman"/>
          <w:i/>
        </w:rPr>
        <w:t>Thraustochytrium</w:t>
      </w:r>
      <w:proofErr w:type="spellEnd"/>
      <w:r w:rsidRPr="003A03CA">
        <w:rPr>
          <w:rFonts w:ascii="Times New Roman" w:hAnsi="Times New Roman" w:cs="Times New Roman"/>
        </w:rPr>
        <w:t xml:space="preserve">, methanotrophic bacteria like </w:t>
      </w:r>
      <w:proofErr w:type="spellStart"/>
      <w:r w:rsidRPr="003A03CA">
        <w:rPr>
          <w:rFonts w:ascii="Times New Roman" w:hAnsi="Times New Roman" w:cs="Times New Roman"/>
          <w:i/>
        </w:rPr>
        <w:t>Methylobacterium</w:t>
      </w:r>
      <w:proofErr w:type="spellEnd"/>
      <w:r w:rsidRPr="003A03CA">
        <w:rPr>
          <w:rFonts w:ascii="Times New Roman" w:hAnsi="Times New Roman" w:cs="Times New Roman"/>
        </w:rPr>
        <w:t xml:space="preserve"> and </w:t>
      </w:r>
      <w:proofErr w:type="spellStart"/>
      <w:r w:rsidRPr="003A03CA">
        <w:rPr>
          <w:rFonts w:ascii="Times New Roman" w:hAnsi="Times New Roman" w:cs="Times New Roman"/>
          <w:i/>
        </w:rPr>
        <w:t>Methylococcus</w:t>
      </w:r>
      <w:proofErr w:type="spellEnd"/>
      <w:r w:rsidRPr="003A03CA">
        <w:rPr>
          <w:rFonts w:ascii="Times New Roman" w:hAnsi="Times New Roman" w:cs="Times New Roman"/>
        </w:rPr>
        <w:t xml:space="preserve">, chemotrophic proteobacteria like </w:t>
      </w:r>
      <w:r w:rsidRPr="003A03CA">
        <w:rPr>
          <w:rFonts w:ascii="Times New Roman" w:hAnsi="Times New Roman" w:cs="Times New Roman"/>
          <w:i/>
        </w:rPr>
        <w:t>Clostridium</w:t>
      </w:r>
      <w:r w:rsidRPr="003A03CA">
        <w:rPr>
          <w:rFonts w:ascii="Times New Roman" w:hAnsi="Times New Roman" w:cs="Times New Roman"/>
        </w:rPr>
        <w:t xml:space="preserve"> and </w:t>
      </w:r>
      <w:proofErr w:type="spellStart"/>
      <w:r w:rsidRPr="003A03CA">
        <w:rPr>
          <w:rFonts w:ascii="Times New Roman" w:hAnsi="Times New Roman" w:cs="Times New Roman"/>
          <w:i/>
        </w:rPr>
        <w:t>Baccillus</w:t>
      </w:r>
      <w:proofErr w:type="spellEnd"/>
      <w:r w:rsidRPr="003A03CA">
        <w:rPr>
          <w:rFonts w:ascii="Times New Roman" w:hAnsi="Times New Roman" w:cs="Times New Roman"/>
        </w:rPr>
        <w:t xml:space="preserve">, and yeasts like </w:t>
      </w:r>
      <w:r w:rsidRPr="003A03CA">
        <w:rPr>
          <w:rFonts w:ascii="Times New Roman" w:hAnsi="Times New Roman" w:cs="Times New Roman"/>
          <w:i/>
        </w:rPr>
        <w:t>Candida</w:t>
      </w:r>
      <w:r w:rsidRPr="003A03CA">
        <w:rPr>
          <w:rFonts w:ascii="Times New Roman" w:hAnsi="Times New Roman" w:cs="Times New Roman"/>
        </w:rPr>
        <w:t xml:space="preserve">, </w:t>
      </w:r>
      <w:proofErr w:type="spellStart"/>
      <w:r w:rsidRPr="003A03CA">
        <w:rPr>
          <w:rFonts w:ascii="Times New Roman" w:hAnsi="Times New Roman" w:cs="Times New Roman"/>
          <w:i/>
        </w:rPr>
        <w:t>Cyberlindnera</w:t>
      </w:r>
      <w:proofErr w:type="spellEnd"/>
      <w:r w:rsidRPr="003A03CA">
        <w:rPr>
          <w:rFonts w:ascii="Times New Roman" w:hAnsi="Times New Roman" w:cs="Times New Roman"/>
        </w:rPr>
        <w:t xml:space="preserve">, </w:t>
      </w:r>
      <w:proofErr w:type="spellStart"/>
      <w:r w:rsidRPr="003A03CA">
        <w:rPr>
          <w:rFonts w:ascii="Times New Roman" w:hAnsi="Times New Roman" w:cs="Times New Roman"/>
          <w:i/>
        </w:rPr>
        <w:t>Kluyveromyces</w:t>
      </w:r>
      <w:proofErr w:type="spellEnd"/>
      <w:r w:rsidRPr="003A03CA">
        <w:rPr>
          <w:rFonts w:ascii="Times New Roman" w:hAnsi="Times New Roman" w:cs="Times New Roman"/>
        </w:rPr>
        <w:t xml:space="preserve">, </w:t>
      </w:r>
      <w:proofErr w:type="spellStart"/>
      <w:r w:rsidRPr="003A03CA">
        <w:rPr>
          <w:rFonts w:ascii="Times New Roman" w:hAnsi="Times New Roman" w:cs="Times New Roman"/>
          <w:i/>
        </w:rPr>
        <w:t>Rhodotorula</w:t>
      </w:r>
      <w:proofErr w:type="spellEnd"/>
      <w:r w:rsidRPr="003A03CA">
        <w:rPr>
          <w:rFonts w:ascii="Times New Roman" w:hAnsi="Times New Roman" w:cs="Times New Roman"/>
        </w:rPr>
        <w:t xml:space="preserve">, </w:t>
      </w:r>
      <w:r w:rsidRPr="003A03CA">
        <w:rPr>
          <w:rFonts w:ascii="Times New Roman" w:hAnsi="Times New Roman" w:cs="Times New Roman"/>
          <w:i/>
        </w:rPr>
        <w:t>Saccharomyces</w:t>
      </w:r>
      <w:r w:rsidRPr="003A03CA">
        <w:rPr>
          <w:rFonts w:ascii="Times New Roman" w:hAnsi="Times New Roman" w:cs="Times New Roman"/>
        </w:rPr>
        <w:t xml:space="preserve">, and </w:t>
      </w:r>
      <w:proofErr w:type="spellStart"/>
      <w:r w:rsidRPr="003A03CA">
        <w:rPr>
          <w:rFonts w:ascii="Times New Roman" w:hAnsi="Times New Roman" w:cs="Times New Roman"/>
          <w:i/>
        </w:rPr>
        <w:t>Wickerhamomyces</w:t>
      </w:r>
      <w:proofErr w:type="spellEnd"/>
      <w:r w:rsidR="001349F7">
        <w:rPr>
          <w:rFonts w:ascii="Times New Roman" w:hAnsi="Times New Roman" w:cs="Times New Roman"/>
          <w:i/>
        </w:rPr>
        <w:t xml:space="preserve"> </w:t>
      </w:r>
      <w:r w:rsidR="00FA3DC6">
        <w:rPr>
          <w:rFonts w:ascii="Times New Roman" w:hAnsi="Times New Roman" w:cs="Times New Roman"/>
          <w:i/>
        </w:rPr>
        <w:fldChar w:fldCharType="begin"/>
      </w:r>
      <w:r w:rsidR="002D38F0">
        <w:rPr>
          <w:rFonts w:ascii="Times New Roman" w:hAnsi="Times New Roman" w:cs="Times New Roman"/>
          <w:i/>
        </w:rPr>
        <w:instrText xml:space="preserve"> ADDIN ZOTERO_ITEM CSL_CITATION {"citationID":"a17fuvtrepm","properties":{"formattedCitation":"\\super 82,289\\uc0\\u8211{}293\\nosupersub{}","plainCitation":"82,289–293","noteIndex":0},"citationItems":[{"id":898,"uris":["http://zotero.org/groups/4669668/items/FZEWR9GI"],"itemData":{"id":898,"type":"article-journal","abstract":"As the global population grows more of our fish and seafood are being farmed. Fish are the main dietary source of the omega-3 (n-3) long-chain polyunsaturated fatty acids (LC-PUFA), eicosapentaenoic (EPA) and docosahexaenoic (DHA) acids, but these cannot be produced in sufficient quantities as are now required for human health. Farmed fish have traditionally been fed a diet consisting of fishmeal and fish oil, rich in n-3 LC-PUFA. However, the increase in global aquaculture production has resulted in these finite and limited marine ingredients being replaced with sustainable alternatives of terrestrial origin that are devoid of n-3 LC-PUFA. Consequently, the nutritional value of the final product has been partially compromised with EPA and DHA levels both falling. Recent calls from the salmon industry for new sources of n-3 LC-PUFA have received significant commercial interest. Thus, this review explores the technologies being applied to produce de novo n-3 LC-PUFA sources, namely microalgae and genetically engineered oilseed crops, and how they may be used in aquafeeds to ensure that farmed fish remain a healthy component of the human diet.","container-title":"Biotechnology Letters","DOI":"10.1007/s10529-017-2402-6","ISSN":"1573-6776","issue":"11","journalAbbreviation":"Biotechnol Lett","language":"en","note":"number: 11","page":"1599-1609","source":"Springer Link","title":"Microbial and genetically engineered oils as replacements for fish oil in aquaculture feeds","volume":"39","author":[{"family":"Sprague","given":"M."},{"family":"Betancor","given":"M. B."},{"family":"Tocher","given":"D. R."}],"issued":{"date-parts":[["2017",11,1]]}}},{"id":982,"uris":["http://zotero.org/groups/4669668/items/62XLVV55"],"itemData":{"id":982,"type":"article-journal","abstract":"Single-cell ingredients (SCI) are a relatively broad class of materials that encompasses bacterial, fungal (yeast), microalgal-derived products or the combination of all three microbial groups into microbial bioflocs and aggregates. In this review we focus on those dried and processed single-cell organisms used as potential ingredients for aqua-feeds where the microorganisms are considered non-viable and are used primarily to provide protein, lipids or specific nutritional components. Among the SCI, there is a generalised dichotomy in terms of their use as either single-cell protein (SCP) resources or single-cell oil (SCO) resources, with SCO products being those oleaginous products containing 200 g/kg or more of lipids, whereas those products considered as SCP resources tend to contain more than 300 g/kg of protein (on a dry basis). Both SCP and SCO are now widely being used as protein/amino acid sources, omega-3 sources and sources of bioactive molecules in the diets of several species, with the current range of both these ingredient groups being considerable and growing. However, the different array of products becoming available in the market, how they are produced and processed has also resulted in different nutritional qualities in those products. In assessing this variation among the products and the application of the various types of SCI, we have taken the approach of evaluating their use against a set of standardised evaluation criteria based around key nutritional response parameters and how these criteria have been applied against salmonids, shrimp, tilapia and marine fish species.","container-title":"Fishes","DOI":"10.3390/fishes5030022","ISSN":"2410-3888","issue":"3","language":"en","license":"http://creativecommons.org/licenses/by/3.0/","note":"number: 3\npublisher: Multidisciplinary Digital Publishing Institute","page":"22","source":"www.mdpi.com","title":"The Application of Single-Cell Ingredients in Aquaculture Feeds—A Review","volume":"5","author":[{"family":"Glencross","given":"Brett D."},{"family":"Huyben","given":"David"},{"family":"Schrama","given":"Johan W."}],"issued":{"date-parts":[["2020",9]]}}},{"id":925,"uris":["http://zotero.org/groups/4669668/items/EDGBD7R6"],"itemData":{"id":925,"type":"article-journal","abstract":"The global demand for high-quality, protein-rich foods will continue to increase as the global population grows, along with income levels. Aquaculture is poised to help fulfill some of this demand, and is thus the fastest growing animal protein industry. A key challenge for it, though, is sourcing a sustainable, renewable protein ingredient. Single cell protein (SCP) products, protein meals based on microbial or algal biomass, have the potential to fulfill this need. Here, we review potential sources of SCP strains and their respective production processes, highlight recent advances on identification of new SCP strains and feedstocks, and, finally, review new feeding trial data on </w:instrText>
      </w:r>
      <w:r w:rsidR="002D38F0">
        <w:rPr>
          <w:rFonts w:ascii="Times New Roman" w:hAnsi="Times New Roman" w:cs="Times New Roman" w:hint="eastAsia"/>
          <w:i/>
        </w:rPr>
        <w:instrText xml:space="preserve">important aquaculture species, specifically Atlantic salmon, rainbow trout, and whiteleg shrimp.","collection-title":"Plant Biotechnology </w:instrText>
      </w:r>
      <w:r w:rsidR="002D38F0">
        <w:rPr>
          <w:rFonts w:ascii="Times New Roman" w:hAnsi="Times New Roman" w:cs="Times New Roman" w:hint="eastAsia"/>
          <w:i/>
        </w:rPr>
        <w:instrText>●</w:instrText>
      </w:r>
      <w:r w:rsidR="002D38F0">
        <w:rPr>
          <w:rFonts w:ascii="Times New Roman" w:hAnsi="Times New Roman" w:cs="Times New Roman" w:hint="eastAsia"/>
          <w:i/>
        </w:rPr>
        <w:instrText xml:space="preserve"> Food Biotechnology","container-title":"Current Opinion in Biotechnology","DOI":"10.1016/j.copbio.2019.12.026","ISSN</w:instrText>
      </w:r>
      <w:r w:rsidR="002D38F0">
        <w:rPr>
          <w:rFonts w:ascii="Times New Roman" w:hAnsi="Times New Roman" w:cs="Times New Roman"/>
          <w:i/>
        </w:rPr>
        <w:instrText xml:space="preserve">":"0958-1669","journalAbbreviation":"Current Opinion in Biotechnology","language":"en","page":"189-197","source":"ScienceDirect","title":"Recent advances in single cell protein use as a feed ingredient in aquaculture","volume":"61","author":[{"family":"Jones","given":"Shawn W"},{"family":"Karpol","given":"Alon"},{"family":"Friedman","given":"Sivan"},{"family":"Maru","given":"Biniam T"},{"family":"Tracy","given":"Bryan P"}],"issued":{"date-parts":[["2020",2,1]]}}},{"id":954,"uris":["http://zotero.org/groups/4669668/items/YBXVIEB4"],"itemData":{"id":954,"type":"article-journal","abstract":"Sustainability concerns associated with protein sources and currently used fishmeal and plant-based meal have necessitated the quests for novel sustainable ingredients for use in aquafeeds. Yeasts have been proposed as sustainable ingredients particularly because of their potential to valorise non-food lignocellulosic biomass into valuable protein resources. Prior to now, extensive studies exist on the role of yeast cell wall components in modulating health responses of fish. However, research on its use as a major protein source in fish diets is still in its infancy. The current review collates, synthesises and discusses the prospects of five major yeast species as future protein ingredients with respect to their nutritional adequacy in fish. Nutritional quality of Saccharomyces cerevisiae, Cyberlindnera jadinii, Kluyveromyces marxianus, Blastobotrys adeninivorans and Wickerhamomyces anomalus and their use as replacement for fishmeal and soy protein in the diets of Atlantic salmon and rainbow trout are discussed based on three protein quality indices: chemical score, essential amino acid index and ideal protein concept based on the first limiting amino acids, methionine. The crude protein contents of yeast (40–55%) are lower than that of fishmeal, but comparable with soya bean meal. Compared to fishmeal, the different yeast species have favourable amino acid profiles, except for methionine, lysine, arginine and phenylalanine which are the frequently limiting essential amino acids in Atlantic salmon and rainbow trout. This review also presents future area of research and emphasise the need for large-scale production of yeast at competitive price to constitute a feasible replacement for fishmeal and soy protein in aquaculture.","container-title":"Reviews in Aquaculture","DOI":"10.1111/raq.12507","ISSN":"1753-5131","issue":"2","language":"en","note":"number: 2\n_eprint: https://onlinelibrary.wiley.com/doi/pdf/10.1111/raq.12507","page":"949-970","source":"Wiley Online Library","title":"Yeast as major protein-rich ingredient in aquafeeds: a review of the implications for aquaculture production","title-short":"Yeast as major protein-rich ingredient in aquafeeds","volume":"13","author":[{"family":"Agboola","given":"Jeleel Opeyemi"},{"family":"Øverland","given":"Margareth"},{"family":"Skrede","given":"Anders"},{"family":"Hansen","given":"Jon Øvrum"}],"issued":{"date-parts":[["2021"]]}}},{"id":926,"uris":["http://zotero.org/groups/4669668/items/SFSSMZSF"],"itemData":{"id":926,"type":"article-journal","abstract":"Utilizing microbial products could be considered a novel approach to sustain the present growth of the aquafeed sector due to dwindling availability and high cost of fishmeal. Various microbial products in terms of isolates, whole-cell biomass, and live organisms are mainly derived from algae, bacteria, fungi, and yeast through the process of fermentation. They have a balanced amino acid profile and contain several minerals and vitamins. However, essential amino acid index (EAAI) of fungal-based microbial meal was comparatively lower (0.57–0.67) than the other three microbes (0.77–0.90). Microbes were deployed in the production of microbial products ranked as algae &gt; fungus/yeast &gt; bacteria based on their nucleic acid content. The global production of microbial products was valued at US$5.3 billion in 2017 and is predicted to increase by 8.6% in 2018–2023. They could substitute fishmeal by 25–50% in feeds for aquatic species. Notwithstanding, they act as a potential growth promoter, a viable immunostimulant and can control infectious diseases in various aquatic species. The present review reiterates the utilization of microbial products in ameliorating the issues related to the global aquafeed industry, in particular fishmeal demand. However, newer approaches need to be established with regard to fermentation technology and genetic engineering to overcome the present limitations to make them an economical one.","container-title":"Aquaculture International","DOI":"10.1007/s10499-021-00644-2","ISSN":"1573-143X","issue":"2","journalAbbreviation":"Aquacult Int","language":"en","note":"number: 2","page":"623-650","source":"Springer Link","title":"Microbial products in terms of isolates, whole-cell biomass, and live organisms as aquafeed ingredients: production, nutritional values, and market potential—a review","title-short":"Microbial products in terms of isolates, whole-cell biomass, and live organisms as aquafeed ingredients","volume":"29","author":[{"family":"Jannathulla","given":"Rajabdeen"},{"family":"Sravanthi","given":"Oduru"},{"family":"Moomeen","given":"Syed"},{"family":"Gopikrishna","given":"Gopalapillai"},{"family":"Dayal","given":"Jagabattula Syama"}],"issued":{"date-parts":[["2021",4,1]]}}},{"id":1792,"uris":["http://zotero.org/users/9431846/items/UGFZYLJC"],"itemData":{"id":1792,"type":"article-journal","container-title":"Journal of Biotechnology","DOI":"10.1016/j.jbiotec.2021.09.003","ISSN":"01681656","journalAbbreviation":"Journal of Biotechnology","language":"en","page":"1-20","source":"DOI.org (Crossref)","title":"Potential of microalgae as a sustainable feed ingredient for aquaculture","volume":"341","author":[{"family":"Nagappan","given":"Senthil"},{"family":"Das","given":"Probir"},{"family":"AbdulQuadir","given":"Mohammad"},{"family":"Thaher","given":"Mahmoud"},{"family":"Khan","given":"Shoyeb"},{"family":"Mahata","given":"Chandan"},{"family":"Al-Jabri","given":"Hareb"},{"family":"Vatland","given":"Ann Kristin"},{"family":"Kumar","given":"Gopalakrishnan"}],"issued":{"date-parts":[["2021",11]]}}}],"schema":"https://github.com/citation-style-language/schema/raw/master/csl-citation.json"} </w:instrText>
      </w:r>
      <w:r w:rsidR="00FA3DC6">
        <w:rPr>
          <w:rFonts w:ascii="Times New Roman" w:hAnsi="Times New Roman" w:cs="Times New Roman"/>
          <w:i/>
        </w:rPr>
        <w:fldChar w:fldCharType="separate"/>
      </w:r>
      <w:r w:rsidR="002D38F0" w:rsidRPr="002D38F0">
        <w:rPr>
          <w:rFonts w:ascii="Times New Roman" w:hAnsi="Times New Roman" w:cs="Times New Roman"/>
          <w:szCs w:val="24"/>
          <w:vertAlign w:val="superscript"/>
        </w:rPr>
        <w:t>82,289–293</w:t>
      </w:r>
      <w:r w:rsidR="00FA3DC6">
        <w:rPr>
          <w:rFonts w:ascii="Times New Roman" w:hAnsi="Times New Roman" w:cs="Times New Roman"/>
          <w:i/>
        </w:rPr>
        <w:fldChar w:fldCharType="end"/>
      </w:r>
      <w:r w:rsidRPr="003A03CA">
        <w:rPr>
          <w:rFonts w:ascii="Times New Roman" w:hAnsi="Times New Roman" w:cs="Times New Roman"/>
        </w:rPr>
        <w:t xml:space="preserve">. </w:t>
      </w:r>
      <w:r w:rsidR="00BC0CC8">
        <w:rPr>
          <w:rFonts w:ascii="Times New Roman" w:hAnsi="Times New Roman" w:cs="Times New Roman"/>
        </w:rPr>
        <w:t xml:space="preserve">Many of these studies have identified various </w:t>
      </w:r>
      <w:r w:rsidRPr="003A03CA">
        <w:rPr>
          <w:rFonts w:ascii="Times New Roman" w:hAnsi="Times New Roman" w:cs="Times New Roman"/>
        </w:rPr>
        <w:t>nutrient-rich waste</w:t>
      </w:r>
      <w:r w:rsidR="00092E7B" w:rsidRPr="003A03CA">
        <w:rPr>
          <w:rFonts w:ascii="Times New Roman" w:hAnsi="Times New Roman" w:cs="Times New Roman"/>
        </w:rPr>
        <w:t xml:space="preserve"> </w:t>
      </w:r>
      <w:r w:rsidRPr="003A03CA">
        <w:rPr>
          <w:rFonts w:ascii="Times New Roman" w:hAnsi="Times New Roman" w:cs="Times New Roman"/>
        </w:rPr>
        <w:t xml:space="preserve">stream resources </w:t>
      </w:r>
      <w:r w:rsidR="00607238" w:rsidRPr="003A03CA">
        <w:rPr>
          <w:rFonts w:ascii="Times New Roman" w:hAnsi="Times New Roman" w:cs="Times New Roman"/>
        </w:rPr>
        <w:t xml:space="preserve">that can be </w:t>
      </w:r>
      <w:r w:rsidRPr="003A03CA">
        <w:rPr>
          <w:rFonts w:ascii="Times New Roman" w:hAnsi="Times New Roman" w:cs="Times New Roman"/>
        </w:rPr>
        <w:t xml:space="preserve">used </w:t>
      </w:r>
      <w:r w:rsidR="00607238" w:rsidRPr="003A03CA">
        <w:rPr>
          <w:rFonts w:ascii="Times New Roman" w:hAnsi="Times New Roman" w:cs="Times New Roman"/>
        </w:rPr>
        <w:t xml:space="preserve">as </w:t>
      </w:r>
      <w:r w:rsidR="00B31F9A" w:rsidRPr="003A03CA">
        <w:rPr>
          <w:rFonts w:ascii="Times New Roman" w:hAnsi="Times New Roman" w:cs="Times New Roman"/>
        </w:rPr>
        <w:t>media substrates</w:t>
      </w:r>
      <w:r w:rsidR="00607238" w:rsidRPr="003A03CA">
        <w:rPr>
          <w:rFonts w:ascii="Times New Roman" w:hAnsi="Times New Roman" w:cs="Times New Roman"/>
        </w:rPr>
        <w:t xml:space="preserve"> </w:t>
      </w:r>
      <w:r w:rsidRPr="003A03CA">
        <w:rPr>
          <w:rFonts w:ascii="Times New Roman" w:hAnsi="Times New Roman" w:cs="Times New Roman"/>
        </w:rPr>
        <w:t xml:space="preserve">to cultivate these microorganisms </w:t>
      </w:r>
      <w:r w:rsidR="00607238" w:rsidRPr="003A03CA">
        <w:rPr>
          <w:rFonts w:ascii="Times New Roman" w:hAnsi="Times New Roman" w:cs="Times New Roman"/>
        </w:rPr>
        <w:t xml:space="preserve">under a CBF </w:t>
      </w:r>
      <w:r w:rsidRPr="003A03CA">
        <w:rPr>
          <w:rFonts w:ascii="Times New Roman" w:hAnsi="Times New Roman" w:cs="Times New Roman"/>
        </w:rPr>
        <w:t xml:space="preserve">for the production of </w:t>
      </w:r>
      <w:r w:rsidR="00FC2A2C">
        <w:rPr>
          <w:rFonts w:ascii="Times New Roman" w:hAnsi="Times New Roman" w:cs="Times New Roman"/>
        </w:rPr>
        <w:t>single-cell</w:t>
      </w:r>
      <w:r w:rsidRPr="003A03CA">
        <w:rPr>
          <w:rFonts w:ascii="Times New Roman" w:hAnsi="Times New Roman" w:cs="Times New Roman"/>
        </w:rPr>
        <w:t xml:space="preserve"> ingredients include industrial flue or flare off-gases, municipal or industrial waste-waters, agricultural lignocellulosic crop or forestry biomass processing wastes, brewery and distillery by-products, terrestrial food/feed discards, and meat, seafood and aquaculture processing wastes, among others.</w:t>
      </w:r>
      <w:r w:rsidR="005A2BA9">
        <w:rPr>
          <w:rFonts w:ascii="Times New Roman" w:hAnsi="Times New Roman" w:cs="Times New Roman"/>
        </w:rPr>
        <w:t xml:space="preserve"> With the industry still in its infancy and just now beginning to up-scale, global production data for </w:t>
      </w:r>
      <w:r w:rsidR="005A2BA9" w:rsidRPr="00B84532">
        <w:rPr>
          <w:rFonts w:ascii="Times New Roman" w:hAnsi="Times New Roman" w:cs="Times New Roman"/>
        </w:rPr>
        <w:t xml:space="preserve">single-cell ingredients </w:t>
      </w:r>
      <w:r w:rsidR="005A2BA9">
        <w:rPr>
          <w:rFonts w:ascii="Times New Roman" w:hAnsi="Times New Roman" w:cs="Times New Roman"/>
        </w:rPr>
        <w:t>for use in aquafeeds is difficult to quantify. However, a</w:t>
      </w:r>
      <w:r w:rsidR="005A2BA9" w:rsidRPr="00F47F1F">
        <w:rPr>
          <w:rFonts w:ascii="Times New Roman" w:hAnsi="Times New Roman" w:cs="Times New Roman" w:hint="eastAsia"/>
          <w:color w:val="333333"/>
          <w:shd w:val="clear" w:color="auto" w:fill="FFFFFF"/>
        </w:rPr>
        <w:t xml:space="preserve"> </w:t>
      </w:r>
      <w:r w:rsidR="005A2BA9">
        <w:rPr>
          <w:rFonts w:ascii="Times New Roman" w:hAnsi="Times New Roman" w:cs="Times New Roman"/>
          <w:color w:val="333333"/>
          <w:shd w:val="clear" w:color="auto" w:fill="FFFFFF"/>
        </w:rPr>
        <w:t>recent industry report</w:t>
      </w:r>
      <w:r w:rsidR="005A1D06">
        <w:rPr>
          <w:rFonts w:ascii="Times New Roman" w:hAnsi="Times New Roman" w:cs="Times New Roman"/>
          <w:color w:val="333333"/>
          <w:shd w:val="clear" w:color="auto" w:fill="FFFFFF"/>
        </w:rPr>
        <w:fldChar w:fldCharType="begin"/>
      </w:r>
      <w:r w:rsidR="002D38F0">
        <w:rPr>
          <w:rFonts w:ascii="Times New Roman" w:hAnsi="Times New Roman" w:cs="Times New Roman"/>
          <w:color w:val="333333"/>
          <w:shd w:val="clear" w:color="auto" w:fill="FFFFFF"/>
        </w:rPr>
        <w:instrText xml:space="preserve"> ADDIN ZOTERO_ITEM CSL_CITATION {"citationID":"a2fsi0c6324","properties":{"formattedCitation":"\\super 294\\nosupersub{}","plainCitation":"294","noteIndex":0},"citationItems":[{"id":1793,"uris":["http://zotero.org/users/9431846/items/DN87TXRL"],"itemData":{"id":1793,"type":"report","title":"Future Fish Feed: Forecasting Alternative Aqua Feed Ingredients","URL":"https://www.seafoodsource.com/news/aquaculture/new-report-explores-the-future-of-alternative-aquafeed-ingredients","author":[{"family":"Lux Research","given":""}],"issued":{"date-parts":[["2019"]]}}}],"schema":"https://github.com/citation-style-language/schema/raw/master/csl-citation.json"} </w:instrText>
      </w:r>
      <w:r w:rsidR="005A1D06">
        <w:rPr>
          <w:rFonts w:ascii="Times New Roman" w:hAnsi="Times New Roman" w:cs="Times New Roman"/>
          <w:color w:val="333333"/>
          <w:shd w:val="clear" w:color="auto" w:fill="FFFFFF"/>
        </w:rPr>
        <w:fldChar w:fldCharType="separate"/>
      </w:r>
      <w:r w:rsidR="002D38F0" w:rsidRPr="002D38F0">
        <w:rPr>
          <w:rFonts w:ascii="Times New Roman" w:hAnsi="Times New Roman" w:cs="Times New Roman"/>
          <w:szCs w:val="24"/>
          <w:vertAlign w:val="superscript"/>
        </w:rPr>
        <w:t>294</w:t>
      </w:r>
      <w:r w:rsidR="005A1D06">
        <w:rPr>
          <w:rFonts w:ascii="Times New Roman" w:hAnsi="Times New Roman" w:cs="Times New Roman"/>
          <w:color w:val="333333"/>
          <w:shd w:val="clear" w:color="auto" w:fill="FFFFFF"/>
        </w:rPr>
        <w:fldChar w:fldCharType="end"/>
      </w:r>
      <w:r w:rsidR="005A1D06">
        <w:rPr>
          <w:rFonts w:ascii="Times New Roman" w:hAnsi="Times New Roman" w:cs="Times New Roman"/>
          <w:color w:val="333333"/>
          <w:shd w:val="clear" w:color="auto" w:fill="FFFFFF"/>
        </w:rPr>
        <w:t xml:space="preserve"> </w:t>
      </w:r>
      <w:r w:rsidR="005A2BA9">
        <w:rPr>
          <w:rFonts w:ascii="Times New Roman" w:hAnsi="Times New Roman" w:cs="Times New Roman"/>
          <w:color w:val="333333"/>
          <w:shd w:val="clear" w:color="auto" w:fill="FFFFFF"/>
        </w:rPr>
        <w:t xml:space="preserve">has </w:t>
      </w:r>
      <w:r w:rsidR="005A2BA9" w:rsidRPr="00F47F1F">
        <w:rPr>
          <w:rFonts w:ascii="Times New Roman" w:hAnsi="Times New Roman" w:cs="Times New Roman" w:hint="eastAsia"/>
          <w:color w:val="333333"/>
          <w:shd w:val="clear" w:color="auto" w:fill="FFFFFF"/>
        </w:rPr>
        <w:t xml:space="preserve">identified </w:t>
      </w:r>
      <w:r w:rsidR="005A2BA9">
        <w:rPr>
          <w:rFonts w:ascii="Times New Roman" w:hAnsi="Times New Roman" w:cs="Times New Roman"/>
          <w:color w:val="333333"/>
          <w:shd w:val="clear" w:color="auto" w:fill="FFFFFF"/>
        </w:rPr>
        <w:t xml:space="preserve">twenty major </w:t>
      </w:r>
      <w:r w:rsidR="005A2BA9" w:rsidRPr="00F47F1F">
        <w:rPr>
          <w:rFonts w:ascii="Times New Roman" w:hAnsi="Times New Roman" w:cs="Times New Roman" w:hint="eastAsia"/>
          <w:color w:val="333333"/>
          <w:shd w:val="clear" w:color="auto" w:fill="FFFFFF"/>
        </w:rPr>
        <w:t xml:space="preserve">producers of </w:t>
      </w:r>
      <w:r w:rsidR="005A2BA9">
        <w:rPr>
          <w:rFonts w:ascii="Times New Roman" w:hAnsi="Times New Roman" w:cs="Times New Roman"/>
          <w:color w:val="333333"/>
          <w:shd w:val="clear" w:color="auto" w:fill="FFFFFF"/>
        </w:rPr>
        <w:t>micro</w:t>
      </w:r>
      <w:r w:rsidR="005A2BA9" w:rsidRPr="00F47F1F">
        <w:rPr>
          <w:rFonts w:ascii="Times New Roman" w:hAnsi="Times New Roman" w:cs="Times New Roman" w:hint="eastAsia"/>
          <w:color w:val="333333"/>
          <w:shd w:val="clear" w:color="auto" w:fill="FFFFFF"/>
        </w:rPr>
        <w:t>algae</w:t>
      </w:r>
      <w:r w:rsidR="005A2BA9">
        <w:rPr>
          <w:rFonts w:ascii="Times New Roman" w:hAnsi="Times New Roman" w:cs="Times New Roman"/>
          <w:color w:val="333333"/>
          <w:shd w:val="clear" w:color="auto" w:fill="FFFFFF"/>
        </w:rPr>
        <w:t xml:space="preserve"> and cyanobacteria,</w:t>
      </w:r>
      <w:r w:rsidR="005A2BA9" w:rsidRPr="00F47F1F">
        <w:rPr>
          <w:rFonts w:ascii="Times New Roman" w:hAnsi="Times New Roman" w:cs="Times New Roman" w:hint="eastAsia"/>
          <w:color w:val="333333"/>
          <w:shd w:val="clear" w:color="auto" w:fill="FFFFFF"/>
        </w:rPr>
        <w:t xml:space="preserve"> and </w:t>
      </w:r>
      <w:r w:rsidR="005A2BA9">
        <w:rPr>
          <w:rFonts w:ascii="Times New Roman" w:hAnsi="Times New Roman" w:cs="Times New Roman"/>
          <w:color w:val="333333"/>
          <w:shd w:val="clear" w:color="auto" w:fill="FFFFFF"/>
        </w:rPr>
        <w:t xml:space="preserve">sixteen major </w:t>
      </w:r>
      <w:r w:rsidR="005A2BA9" w:rsidRPr="00F47F1F">
        <w:rPr>
          <w:rFonts w:ascii="Times New Roman" w:hAnsi="Times New Roman" w:cs="Times New Roman" w:hint="eastAsia"/>
          <w:color w:val="333333"/>
          <w:shd w:val="clear" w:color="auto" w:fill="FFFFFF"/>
        </w:rPr>
        <w:t xml:space="preserve">producers of </w:t>
      </w:r>
      <w:r w:rsidR="005A2BA9" w:rsidRPr="003A03CA">
        <w:rPr>
          <w:rFonts w:ascii="Times New Roman" w:hAnsi="Times New Roman" w:cs="Times New Roman"/>
        </w:rPr>
        <w:t>protists, yeasts and bacteria</w:t>
      </w:r>
      <w:r w:rsidR="005A2BA9">
        <w:rPr>
          <w:rFonts w:ascii="Times New Roman" w:hAnsi="Times New Roman" w:cs="Times New Roman"/>
        </w:rPr>
        <w:t xml:space="preserve">. The report further </w:t>
      </w:r>
      <w:r w:rsidR="005A2BA9" w:rsidRPr="00F47F1F">
        <w:rPr>
          <w:rFonts w:ascii="Times New Roman" w:hAnsi="Times New Roman" w:cs="Times New Roman" w:hint="eastAsia"/>
          <w:color w:val="333333"/>
          <w:shd w:val="clear" w:color="auto" w:fill="FFFFFF"/>
        </w:rPr>
        <w:t>predict</w:t>
      </w:r>
      <w:r w:rsidR="005A2BA9">
        <w:rPr>
          <w:rFonts w:ascii="Times New Roman" w:hAnsi="Times New Roman" w:cs="Times New Roman"/>
          <w:color w:val="333333"/>
          <w:shd w:val="clear" w:color="auto" w:fill="FFFFFF"/>
        </w:rPr>
        <w:t>s</w:t>
      </w:r>
      <w:r w:rsidR="005A2BA9" w:rsidRPr="00F47F1F">
        <w:rPr>
          <w:rFonts w:ascii="Times New Roman" w:hAnsi="Times New Roman" w:cs="Times New Roman" w:hint="eastAsia"/>
          <w:color w:val="333333"/>
          <w:shd w:val="clear" w:color="auto" w:fill="FFFFFF"/>
        </w:rPr>
        <w:t xml:space="preserve"> that </w:t>
      </w:r>
      <w:r w:rsidR="005A2BA9">
        <w:rPr>
          <w:rFonts w:ascii="Times New Roman" w:hAnsi="Times New Roman" w:cs="Times New Roman"/>
          <w:color w:val="333333"/>
          <w:shd w:val="clear" w:color="auto" w:fill="FFFFFF"/>
        </w:rPr>
        <w:t xml:space="preserve">the production of aquafeed ingredients from </w:t>
      </w:r>
      <w:r w:rsidR="00FC2A2C">
        <w:rPr>
          <w:rFonts w:ascii="Times New Roman" w:hAnsi="Times New Roman" w:cs="Times New Roman" w:hint="eastAsia"/>
          <w:color w:val="333333"/>
          <w:shd w:val="clear" w:color="auto" w:fill="FFFFFF"/>
        </w:rPr>
        <w:t>single-cell</w:t>
      </w:r>
      <w:r w:rsidR="005A2BA9">
        <w:rPr>
          <w:rFonts w:ascii="Times New Roman" w:hAnsi="Times New Roman" w:cs="Times New Roman"/>
          <w:color w:val="333333"/>
          <w:shd w:val="clear" w:color="auto" w:fill="FFFFFF"/>
        </w:rPr>
        <w:t xml:space="preserve"> microorganisms is poised to rapidly expand to </w:t>
      </w:r>
      <w:r w:rsidR="005A2BA9" w:rsidRPr="00F47F1F">
        <w:rPr>
          <w:rFonts w:ascii="Times New Roman" w:hAnsi="Times New Roman" w:cs="Times New Roman"/>
          <w:color w:val="333333"/>
          <w:shd w:val="clear" w:color="auto" w:fill="FFFFFF"/>
        </w:rPr>
        <w:t>commercially</w:t>
      </w:r>
      <w:r w:rsidR="005A2BA9">
        <w:rPr>
          <w:rFonts w:ascii="Times New Roman" w:hAnsi="Times New Roman" w:cs="Times New Roman"/>
          <w:color w:val="333333"/>
          <w:shd w:val="clear" w:color="auto" w:fill="FFFFFF"/>
        </w:rPr>
        <w:t xml:space="preserve"> relevant</w:t>
      </w:r>
      <w:r w:rsidR="005A2BA9" w:rsidRPr="00F47F1F">
        <w:rPr>
          <w:rFonts w:ascii="Times New Roman" w:hAnsi="Times New Roman" w:cs="Times New Roman" w:hint="eastAsia"/>
          <w:color w:val="333333"/>
          <w:shd w:val="clear" w:color="auto" w:fill="FFFFFF"/>
        </w:rPr>
        <w:t xml:space="preserve"> scale </w:t>
      </w:r>
      <w:r w:rsidR="005A2BA9">
        <w:rPr>
          <w:rFonts w:ascii="Times New Roman" w:hAnsi="Times New Roman" w:cs="Times New Roman"/>
          <w:color w:val="333333"/>
          <w:shd w:val="clear" w:color="auto" w:fill="FFFFFF"/>
        </w:rPr>
        <w:t>that will likely outpace other alternative feed ingredients. Thus far, f</w:t>
      </w:r>
      <w:r w:rsidR="005A2BA9" w:rsidRPr="00F47F1F">
        <w:rPr>
          <w:rFonts w:ascii="Times New Roman" w:hAnsi="Times New Roman" w:cs="Times New Roman" w:hint="eastAsia"/>
          <w:color w:val="333333"/>
          <w:shd w:val="clear" w:color="auto" w:fill="FFFFFF"/>
        </w:rPr>
        <w:t xml:space="preserve">ew </w:t>
      </w:r>
      <w:r w:rsidR="005A2BA9">
        <w:rPr>
          <w:rFonts w:ascii="Times New Roman" w:hAnsi="Times New Roman" w:cs="Times New Roman"/>
          <w:color w:val="333333"/>
          <w:shd w:val="clear" w:color="auto" w:fill="FFFFFF"/>
        </w:rPr>
        <w:t xml:space="preserve">producers </w:t>
      </w:r>
      <w:r w:rsidR="005A2BA9" w:rsidRPr="00F47F1F">
        <w:rPr>
          <w:rFonts w:ascii="Times New Roman" w:hAnsi="Times New Roman" w:cs="Times New Roman" w:hint="eastAsia"/>
          <w:color w:val="333333"/>
          <w:shd w:val="clear" w:color="auto" w:fill="FFFFFF"/>
        </w:rPr>
        <w:t xml:space="preserve">have reached </w:t>
      </w:r>
      <w:r w:rsidR="005A2BA9">
        <w:rPr>
          <w:rFonts w:ascii="Times New Roman" w:hAnsi="Times New Roman" w:cs="Times New Roman"/>
          <w:color w:val="333333"/>
          <w:shd w:val="clear" w:color="auto" w:fill="FFFFFF"/>
        </w:rPr>
        <w:t xml:space="preserve">the </w:t>
      </w:r>
      <w:r w:rsidR="005A2BA9" w:rsidRPr="00F47F1F">
        <w:rPr>
          <w:rFonts w:ascii="Times New Roman" w:hAnsi="Times New Roman" w:cs="Times New Roman" w:hint="eastAsia"/>
          <w:color w:val="333333"/>
          <w:shd w:val="clear" w:color="auto" w:fill="FFFFFF"/>
        </w:rPr>
        <w:t>large-scale production</w:t>
      </w:r>
      <w:r w:rsidR="005A2BA9">
        <w:rPr>
          <w:rFonts w:ascii="Times New Roman" w:hAnsi="Times New Roman" w:cs="Times New Roman"/>
          <w:color w:val="333333"/>
          <w:shd w:val="clear" w:color="auto" w:fill="FFFFFF"/>
        </w:rPr>
        <w:t xml:space="preserve"> levels required for the aquaculture sector to meet the anticipated shortfall in seafood supply and demand in the coming decades; </w:t>
      </w:r>
      <w:r w:rsidR="005A2BA9" w:rsidRPr="00F47F1F">
        <w:rPr>
          <w:rFonts w:ascii="Times New Roman" w:hAnsi="Times New Roman" w:cs="Times New Roman" w:hint="eastAsia"/>
          <w:color w:val="333333"/>
          <w:shd w:val="clear" w:color="auto" w:fill="FFFFFF"/>
        </w:rPr>
        <w:t xml:space="preserve">due </w:t>
      </w:r>
      <w:r w:rsidR="005A2BA9">
        <w:rPr>
          <w:rFonts w:ascii="Times New Roman" w:hAnsi="Times New Roman" w:cs="Times New Roman"/>
          <w:color w:val="333333"/>
          <w:shd w:val="clear" w:color="auto" w:fill="FFFFFF"/>
        </w:rPr>
        <w:t xml:space="preserve">predominantly </w:t>
      </w:r>
      <w:r w:rsidR="005A2BA9" w:rsidRPr="00F47F1F">
        <w:rPr>
          <w:rFonts w:ascii="Times New Roman" w:hAnsi="Times New Roman" w:cs="Times New Roman" w:hint="eastAsia"/>
          <w:color w:val="333333"/>
          <w:shd w:val="clear" w:color="auto" w:fill="FFFFFF"/>
        </w:rPr>
        <w:t xml:space="preserve">to </w:t>
      </w:r>
      <w:r w:rsidR="005A2BA9">
        <w:rPr>
          <w:rFonts w:ascii="Times New Roman" w:hAnsi="Times New Roman" w:cs="Times New Roman"/>
          <w:color w:val="333333"/>
          <w:shd w:val="clear" w:color="auto" w:fill="FFFFFF"/>
        </w:rPr>
        <w:t xml:space="preserve">the </w:t>
      </w:r>
      <w:r w:rsidR="005A2BA9" w:rsidRPr="00F47F1F">
        <w:rPr>
          <w:rFonts w:ascii="Times New Roman" w:hAnsi="Times New Roman" w:cs="Times New Roman" w:hint="eastAsia"/>
          <w:color w:val="333333"/>
          <w:shd w:val="clear" w:color="auto" w:fill="FFFFFF"/>
        </w:rPr>
        <w:t xml:space="preserve">high </w:t>
      </w:r>
      <w:r w:rsidR="005A2BA9">
        <w:rPr>
          <w:rFonts w:ascii="Times New Roman" w:hAnsi="Times New Roman" w:cs="Times New Roman"/>
          <w:color w:val="333333"/>
          <w:shd w:val="clear" w:color="auto" w:fill="FFFFFF"/>
        </w:rPr>
        <w:t xml:space="preserve">capital </w:t>
      </w:r>
      <w:r w:rsidR="005A2BA9" w:rsidRPr="00F47F1F">
        <w:rPr>
          <w:rFonts w:ascii="Times New Roman" w:hAnsi="Times New Roman" w:cs="Times New Roman" w:hint="eastAsia"/>
          <w:color w:val="333333"/>
          <w:shd w:val="clear" w:color="auto" w:fill="FFFFFF"/>
        </w:rPr>
        <w:t>investments required to establish new facilit</w:t>
      </w:r>
      <w:r w:rsidR="005A2BA9">
        <w:rPr>
          <w:rFonts w:ascii="Times New Roman" w:hAnsi="Times New Roman" w:cs="Times New Roman"/>
          <w:color w:val="333333"/>
          <w:shd w:val="clear" w:color="auto" w:fill="FFFFFF"/>
        </w:rPr>
        <w:t>ies</w:t>
      </w:r>
      <w:r w:rsidR="005A2BA9" w:rsidRPr="00F47F1F">
        <w:rPr>
          <w:rFonts w:ascii="Times New Roman" w:hAnsi="Times New Roman" w:cs="Times New Roman" w:hint="eastAsia"/>
          <w:color w:val="333333"/>
          <w:shd w:val="clear" w:color="auto" w:fill="FFFFFF"/>
        </w:rPr>
        <w:t xml:space="preserve">. </w:t>
      </w:r>
      <w:r w:rsidR="005A2BA9">
        <w:rPr>
          <w:rFonts w:ascii="Times New Roman" w:hAnsi="Times New Roman" w:cs="Times New Roman"/>
          <w:color w:val="333333"/>
          <w:shd w:val="clear" w:color="auto" w:fill="FFFFFF"/>
        </w:rPr>
        <w:t xml:space="preserve">That said, the report suggests that within 2-3 years, global </w:t>
      </w:r>
      <w:r w:rsidR="005A2BA9" w:rsidRPr="00F47F1F">
        <w:rPr>
          <w:rFonts w:ascii="Times New Roman" w:hAnsi="Times New Roman" w:cs="Times New Roman" w:hint="eastAsia"/>
          <w:color w:val="333333"/>
          <w:shd w:val="clear" w:color="auto" w:fill="FFFFFF"/>
        </w:rPr>
        <w:t xml:space="preserve">production </w:t>
      </w:r>
      <w:r w:rsidR="005A2BA9">
        <w:rPr>
          <w:rFonts w:ascii="Times New Roman" w:hAnsi="Times New Roman" w:cs="Times New Roman"/>
          <w:color w:val="333333"/>
          <w:shd w:val="clear" w:color="auto" w:fill="FFFFFF"/>
        </w:rPr>
        <w:t xml:space="preserve">tonnage </w:t>
      </w:r>
      <w:r w:rsidR="005A2BA9" w:rsidRPr="00F47F1F">
        <w:rPr>
          <w:rFonts w:ascii="Times New Roman" w:hAnsi="Times New Roman" w:cs="Times New Roman" w:hint="eastAsia"/>
          <w:color w:val="333333"/>
          <w:shd w:val="clear" w:color="auto" w:fill="FFFFFF"/>
        </w:rPr>
        <w:t xml:space="preserve">could </w:t>
      </w:r>
      <w:r w:rsidR="005A2BA9">
        <w:rPr>
          <w:rFonts w:ascii="Times New Roman" w:hAnsi="Times New Roman" w:cs="Times New Roman"/>
          <w:color w:val="333333"/>
          <w:shd w:val="clear" w:color="auto" w:fill="FFFFFF"/>
        </w:rPr>
        <w:t xml:space="preserve">exceed </w:t>
      </w:r>
      <w:r w:rsidR="005A2BA9" w:rsidRPr="00F47F1F">
        <w:rPr>
          <w:rFonts w:ascii="Times New Roman" w:hAnsi="Times New Roman" w:cs="Times New Roman" w:hint="eastAsia"/>
          <w:color w:val="333333"/>
          <w:shd w:val="clear" w:color="auto" w:fill="FFFFFF"/>
        </w:rPr>
        <w:t xml:space="preserve">700,000 </w:t>
      </w:r>
      <w:r w:rsidR="005A2BA9">
        <w:rPr>
          <w:rFonts w:ascii="Times New Roman" w:hAnsi="Times New Roman" w:cs="Times New Roman"/>
          <w:color w:val="333333"/>
          <w:shd w:val="clear" w:color="auto" w:fill="FFFFFF"/>
        </w:rPr>
        <w:t>tonnes</w:t>
      </w:r>
      <w:r w:rsidR="00F952E2">
        <w:rPr>
          <w:rFonts w:ascii="Times New Roman" w:hAnsi="Times New Roman" w:cs="Times New Roman"/>
          <w:color w:val="333333"/>
          <w:shd w:val="clear" w:color="auto" w:fill="FFFFFF"/>
        </w:rPr>
        <w:t>.</w:t>
      </w:r>
    </w:p>
    <w:p w14:paraId="2C419BC4" w14:textId="77777777" w:rsidR="00A761E5" w:rsidRPr="003A03CA" w:rsidRDefault="00A761E5" w:rsidP="00A27668">
      <w:pPr>
        <w:spacing w:line="360" w:lineRule="auto"/>
        <w:contextualSpacing/>
        <w:jc w:val="both"/>
        <w:rPr>
          <w:rFonts w:ascii="Times New Roman" w:hAnsi="Times New Roman" w:cs="Times New Roman"/>
          <w:b/>
        </w:rPr>
      </w:pPr>
      <w:r w:rsidRPr="003A03CA">
        <w:rPr>
          <w:rFonts w:ascii="Times New Roman" w:hAnsi="Times New Roman" w:cs="Times New Roman"/>
          <w:b/>
        </w:rPr>
        <w:t>Use of single-cell ingredients as sources of protein and/or lipid in fish and shrimp aquafeeds</w:t>
      </w:r>
    </w:p>
    <w:p w14:paraId="6C01827F" w14:textId="1BC4F58D" w:rsidR="00A761E5" w:rsidRPr="00B84532" w:rsidRDefault="00A761E5" w:rsidP="006B50A1">
      <w:pPr>
        <w:spacing w:line="360" w:lineRule="auto"/>
        <w:ind w:firstLine="720"/>
        <w:contextualSpacing/>
        <w:jc w:val="both"/>
        <w:rPr>
          <w:rFonts w:ascii="Times New Roman" w:hAnsi="Times New Roman" w:cs="Times New Roman"/>
        </w:rPr>
      </w:pPr>
      <w:r w:rsidRPr="003A03CA">
        <w:rPr>
          <w:rFonts w:ascii="Times New Roman" w:hAnsi="Times New Roman" w:cs="Times New Roman"/>
        </w:rPr>
        <w:t xml:space="preserve">A wide range of studies have evaluated </w:t>
      </w:r>
      <w:r w:rsidR="0064728E" w:rsidRPr="003A03CA">
        <w:rPr>
          <w:rFonts w:ascii="Times New Roman" w:hAnsi="Times New Roman" w:cs="Times New Roman"/>
        </w:rPr>
        <w:t xml:space="preserve">the </w:t>
      </w:r>
      <w:r w:rsidRPr="003A03CA">
        <w:rPr>
          <w:rFonts w:ascii="Times New Roman" w:hAnsi="Times New Roman" w:cs="Times New Roman"/>
        </w:rPr>
        <w:t xml:space="preserve">dietary inclusion of various </w:t>
      </w:r>
      <w:r w:rsidR="00FC2A2C">
        <w:rPr>
          <w:rFonts w:ascii="Times New Roman" w:hAnsi="Times New Roman" w:cs="Times New Roman"/>
        </w:rPr>
        <w:t>single-cell</w:t>
      </w:r>
      <w:r w:rsidRPr="003A03CA">
        <w:rPr>
          <w:rFonts w:ascii="Times New Roman" w:hAnsi="Times New Roman" w:cs="Times New Roman"/>
        </w:rPr>
        <w:t xml:space="preserve"> ingredients in fish and shrimp aquafeeds and select examples of these </w:t>
      </w:r>
      <w:r w:rsidR="0051440B" w:rsidRPr="003A03CA">
        <w:rPr>
          <w:rFonts w:ascii="Times New Roman" w:hAnsi="Times New Roman" w:cs="Times New Roman"/>
        </w:rPr>
        <w:t>can be viewed in the Supplementary Files (Supplementary Table S1 and S2)</w:t>
      </w:r>
      <w:r w:rsidRPr="003A03CA">
        <w:rPr>
          <w:rFonts w:ascii="Times New Roman" w:hAnsi="Times New Roman" w:cs="Times New Roman"/>
        </w:rPr>
        <w:t xml:space="preserve">. The references provided are not an exhaustive compendium of the published literature in this space and are limited to only those published within the past two decades. The use of most </w:t>
      </w:r>
      <w:r w:rsidR="00FC2A2C">
        <w:rPr>
          <w:rFonts w:ascii="Times New Roman" w:hAnsi="Times New Roman" w:cs="Times New Roman"/>
        </w:rPr>
        <w:t>single-cell</w:t>
      </w:r>
      <w:r w:rsidRPr="003A03CA">
        <w:rPr>
          <w:rFonts w:ascii="Times New Roman" w:hAnsi="Times New Roman" w:cs="Times New Roman"/>
        </w:rPr>
        <w:t xml:space="preserve"> ingredients for bulk protein production has not yet achieved wide commercial success, due largely to prohibitively high production costs</w:t>
      </w:r>
      <w:r w:rsidR="00EA624B">
        <w:rPr>
          <w:rFonts w:ascii="Times New Roman" w:hAnsi="Times New Roman" w:cs="Times New Roman"/>
        </w:rPr>
        <w:t xml:space="preserve">, and in some cases, </w:t>
      </w:r>
      <w:r w:rsidR="00EA624B" w:rsidRPr="00EA624B">
        <w:rPr>
          <w:rFonts w:ascii="Times New Roman" w:hAnsi="Times New Roman" w:cs="Times New Roman"/>
        </w:rPr>
        <w:t>palatability/digestibility/tolerance issues</w:t>
      </w:r>
      <w:r w:rsidRPr="003A03CA">
        <w:rPr>
          <w:rFonts w:ascii="Times New Roman" w:hAnsi="Times New Roman" w:cs="Times New Roman"/>
        </w:rPr>
        <w:t xml:space="preserve">. </w:t>
      </w:r>
      <w:r w:rsidR="00E369BF">
        <w:rPr>
          <w:rFonts w:ascii="Times New Roman" w:hAnsi="Times New Roman" w:cs="Times New Roman"/>
        </w:rPr>
        <w:t xml:space="preserve">The primary sources of protein used in modern aquafeeds such as </w:t>
      </w:r>
      <w:r w:rsidR="00E369BF">
        <w:rPr>
          <w:rFonts w:ascii="Times New Roman" w:hAnsi="Times New Roman" w:cs="Times New Roman"/>
        </w:rPr>
        <w:lastRenderedPageBreak/>
        <w:t xml:space="preserve">fish meals, plant protein meals and concentrates, and rendered animal by-products, are generally in the pricing range of less than US$2 per kg, so alternatives will have to reach this pricing point to be realistic candidates for inclusion into the ingredient portfolio of commercial aquafeed </w:t>
      </w:r>
      <w:proofErr w:type="gramStart"/>
      <w:r w:rsidR="00E369BF">
        <w:rPr>
          <w:rFonts w:ascii="Times New Roman" w:hAnsi="Times New Roman" w:cs="Times New Roman"/>
        </w:rPr>
        <w:t>manufacturers.</w:t>
      </w:r>
      <w:r w:rsidRPr="003A03CA">
        <w:rPr>
          <w:rFonts w:ascii="Times New Roman" w:hAnsi="Times New Roman" w:cs="Times New Roman"/>
        </w:rPr>
        <w:t>.</w:t>
      </w:r>
      <w:proofErr w:type="gramEnd"/>
      <w:r w:rsidRPr="003A03CA">
        <w:rPr>
          <w:rFonts w:ascii="Times New Roman" w:hAnsi="Times New Roman" w:cs="Times New Roman"/>
        </w:rPr>
        <w:t xml:space="preserve"> By contrast, the current cost of production for many single-cell ingredients is still high</w:t>
      </w:r>
      <w:r w:rsidR="005A1749" w:rsidRPr="003A03CA">
        <w:rPr>
          <w:rFonts w:ascii="Times New Roman" w:hAnsi="Times New Roman" w:cs="Times New Roman"/>
        </w:rPr>
        <w:t xml:space="preserve">er and largely variable at </w:t>
      </w:r>
      <w:r w:rsidR="0064728E" w:rsidRPr="003A03CA">
        <w:rPr>
          <w:rFonts w:ascii="Times New Roman" w:hAnsi="Times New Roman" w:cs="Times New Roman"/>
        </w:rPr>
        <w:t>US</w:t>
      </w:r>
      <w:r w:rsidR="005A1749" w:rsidRPr="003A03CA">
        <w:rPr>
          <w:rFonts w:ascii="Times New Roman" w:hAnsi="Times New Roman" w:cs="Times New Roman"/>
        </w:rPr>
        <w:t xml:space="preserve">$4 to </w:t>
      </w:r>
      <w:r w:rsidR="0064728E" w:rsidRPr="003A03CA">
        <w:rPr>
          <w:rFonts w:ascii="Times New Roman" w:hAnsi="Times New Roman" w:cs="Times New Roman"/>
        </w:rPr>
        <w:t>US</w:t>
      </w:r>
      <w:r w:rsidR="00402E20" w:rsidRPr="003A03CA">
        <w:rPr>
          <w:rFonts w:ascii="Times New Roman" w:hAnsi="Times New Roman" w:cs="Times New Roman"/>
        </w:rPr>
        <w:t>$</w:t>
      </w:r>
      <w:r w:rsidR="005A1749" w:rsidRPr="003A03CA">
        <w:rPr>
          <w:rFonts w:ascii="Times New Roman" w:hAnsi="Times New Roman" w:cs="Times New Roman"/>
        </w:rPr>
        <w:t>300 per kg depending upon species, production system and target product</w:t>
      </w:r>
      <w:r w:rsidR="00982B9C" w:rsidRPr="003A03CA">
        <w:rPr>
          <w:rFonts w:ascii="Times New Roman" w:hAnsi="Times New Roman" w:cs="Times New Roman"/>
        </w:rPr>
        <w:t>s</w:t>
      </w:r>
      <w:r w:rsidR="005F7983">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{"citationID":"a1kp1aro346","properties":{"formattedCitation":"\\super 284,295,296\\nosupersub{}","plainCitation":"284,295,296","noteIndex":0},"citationItems":[{"id":959,"uris":["http://zotero.org/groups/4669668/items/8PPVI9DZ"],"itemData":{"id":959,"type":"chapter","abstract":"The economic analysis of biomass production is a critical step in ensuring the success of any microalgae-based industry. Until recently, only small-scale facilities of less than 10ha have been in operation, but now large-scale facilities of more than 200ha are being built and operated. Moreover, specific machinery and technologies are being adapted from other industries for use in microalgae production, bringing robust and reliable equipment into the field. In such a scenario, economic analysis standardization is a necessary step to enable alternatives to be compared and decisions to be made. In this chapter the fundamentals of the economic analysis of microalgae-based processes are presented and then applied to different case studies. In summary, all processes have to be designed according to the final biomass use with the optimum technology also depending on the quality of the final biomass product. Both the photobioreactor technology used in the production step and the harvesting strategy employed have a major influence on the final biomass production cost. Power consumption, on the other hand, is a significant factor only when using closed photobioreactors, not raceway reactors. Production costs can be reduced when using wastewater and flue gases as nutrient sources regardless of the technology but only where regulations allow it.","collection-title":"Woodhead Publishing Series in Energy","container-title":"Microalgae-Based Biofuels and Bioproducts","ISBN":"978-0-08-101023-5","language":"en","note":"DOI: 10.1016/B978-0-08-101023-5.00020-0","page":"485-503","publisher":"Woodhead Publishing","source":"ScienceDirect","title":"20 - Economics of microalgae production","URL":"https://www.sciencedirect.com/science/article/pii/B9780081010235000200","author":[{"family":"Acién","given":"F. G."},{"family":"Molina","given":"E."},{"family":"Fernández-Sevilla","given":"J. M."},{"family":"Barbosa","given":"M."},{"family":"Gouveia","given":"L."},{"family":"Sepúlveda","given":"C."},{"family":"Bazaes","given":"J."},{"family":"Arbib","given":"Z."}],"editor":[{"family":"Gonzalez-Fernandez","given":"Cristina"},{"family":"Muñoz","given":"Raúl"}],"accessed":{"date-parts":[["2022",4,23]]},"issued":{"date-parts":[["2017",1,1]]}}},{"id":1076,"uris":["http://zotero.org/groups/4669668/items/AJCHE7N8"],"itemData":{"id":1076,"type":"article-journal","abstract":"Heterotrophic or autotrophic? This is the continuous question the industry faces when microalgae production is the endeavor. Surprisingly, nowadays specialists have not reached a consensus on which is the most economical option. The current work analyses costs for heterotrophic and autotrophic cultivation of microalgae at an industrial scale. Heterotrophic cultivation of microalgae results in a production cost of 4.00 €·kg−1 of dry weight as a centrifuged paste. This is within the range of autotrophic costs, but still above the production cost in some photobioreactors. The study also identifies the current limitations on the technology and studies the effect on the cost of overcoming these. Once achieved, the advances in the process could result in a heterotrophic production cost reduced to 1.08 €·kg−1. Autotrophic cultivation seems competitive with heterotrophic production. It is time to leap forward in the autotrophic production scale to achieve the critical reduction in production cost.","container-title":"Algal Research","DOI":"10.1016/j.algal.2022.102698","ISSN":"2211-9264","journalAbbreviation":"Algal Research","language":"en","page":"102698","source":"ScienceDirect","title":"Heterotrophic vs autotrophic production of microalgae: Bringing some light into the everlasting cost controversy","title-short":"Heterotrophic vs autotrophic production of microalgae","volume":"64","author":[{"family":"Ruiz","given":"Jesús"},{"family":"Wijffels","given":"Rene H."},{"family":"Dominguez","given":"Manuel"},{"family":"Barbosa","given":"Maria J."}],"issued":{"date-parts":[["2022",5,1]]}}},{"id":1002,"uris":["http://zotero.org/groups/4669668/items/NGJSYYIM"],"itemData":{"id":1002,"type":"chapter","container-title":"Microalgal Biotechnology","event-place":"Rijeka","note":"section: 8\nDOI: 10.5772/intechopen.73551","publisher":"IntechOpen","publisher-place":"Rijeka","title":"The potential for ‘next-generation’, microalgae-based feed ingredients for salmonid aquaculture in context of the blue revolution","URL":"https://doi.org/10.5772/intechopen.73551","author":[{"family":"Tibbetts","given":"Sean Michael"}],"editor":[{"family":"Jacob-Lopes","given":"Eduardo"},{"family":"Zepka","given":"Leila Queiroz"},{"family":"Queiroz","given":"Maria Isabel"}],"issued":{"date-parts":[["2018"]]}}}],"schema":"https://github.com/citation-style-language/schema/raw/master/csl-citation.json"} </w:instrText>
      </w:r>
      <w:r w:rsidR="005F7983">
        <w:rPr>
          <w:rFonts w:ascii="Times New Roman" w:hAnsi="Times New Roman" w:cs="Times New Roman"/>
        </w:rPr>
        <w:fldChar w:fldCharType="separate"/>
      </w:r>
      <w:r w:rsidR="002D38F0" w:rsidRPr="002D38F0">
        <w:rPr>
          <w:rFonts w:ascii="Times New Roman" w:hAnsi="Times New Roman" w:cs="Times New Roman"/>
          <w:szCs w:val="24"/>
          <w:vertAlign w:val="superscript"/>
        </w:rPr>
        <w:t>284,295,296</w:t>
      </w:r>
      <w:r w:rsidR="005F7983">
        <w:rPr>
          <w:rFonts w:ascii="Times New Roman" w:hAnsi="Times New Roman" w:cs="Times New Roman"/>
        </w:rPr>
        <w:fldChar w:fldCharType="end"/>
      </w:r>
      <w:r w:rsidRPr="003A03CA">
        <w:rPr>
          <w:rFonts w:ascii="Times New Roman" w:hAnsi="Times New Roman" w:cs="Times New Roman"/>
        </w:rPr>
        <w:t xml:space="preserve">. The cyanobacteria </w:t>
      </w:r>
      <w:proofErr w:type="spellStart"/>
      <w:r w:rsidRPr="003A03CA">
        <w:rPr>
          <w:rFonts w:ascii="Times New Roman" w:hAnsi="Times New Roman" w:cs="Times New Roman"/>
          <w:i/>
        </w:rPr>
        <w:t>Arthrospira</w:t>
      </w:r>
      <w:proofErr w:type="spellEnd"/>
      <w:r w:rsidRPr="00A761E5">
        <w:rPr>
          <w:rFonts w:ascii="Times New Roman" w:hAnsi="Times New Roman" w:cs="Times New Roman"/>
        </w:rPr>
        <w:t xml:space="preserve"> (Spirulina) and microalgae </w:t>
      </w:r>
      <w:r w:rsidRPr="00A27668">
        <w:rPr>
          <w:rFonts w:ascii="Times New Roman" w:hAnsi="Times New Roman" w:cs="Times New Roman"/>
          <w:i/>
        </w:rPr>
        <w:t>Chlorella</w:t>
      </w:r>
      <w:r w:rsidRPr="00A761E5">
        <w:rPr>
          <w:rFonts w:ascii="Times New Roman" w:hAnsi="Times New Roman" w:cs="Times New Roman"/>
        </w:rPr>
        <w:t xml:space="preserve">, </w:t>
      </w:r>
      <w:proofErr w:type="spellStart"/>
      <w:r w:rsidRPr="00A27668">
        <w:rPr>
          <w:rFonts w:ascii="Times New Roman" w:hAnsi="Times New Roman" w:cs="Times New Roman"/>
          <w:i/>
        </w:rPr>
        <w:t>Desmodesmus</w:t>
      </w:r>
      <w:proofErr w:type="spellEnd"/>
      <w:r w:rsidRPr="00A761E5">
        <w:rPr>
          <w:rFonts w:ascii="Times New Roman" w:hAnsi="Times New Roman" w:cs="Times New Roman"/>
        </w:rPr>
        <w:t xml:space="preserve">, </w:t>
      </w:r>
      <w:proofErr w:type="spellStart"/>
      <w:r w:rsidRPr="00A27668">
        <w:rPr>
          <w:rFonts w:ascii="Times New Roman" w:hAnsi="Times New Roman" w:cs="Times New Roman"/>
          <w:i/>
        </w:rPr>
        <w:t>Nannochloropsis</w:t>
      </w:r>
      <w:proofErr w:type="spellEnd"/>
      <w:r w:rsidRPr="00A761E5">
        <w:rPr>
          <w:rFonts w:ascii="Times New Roman" w:hAnsi="Times New Roman" w:cs="Times New Roman"/>
        </w:rPr>
        <w:t xml:space="preserve">, </w:t>
      </w:r>
      <w:proofErr w:type="spellStart"/>
      <w:r w:rsidRPr="00A27668">
        <w:rPr>
          <w:rFonts w:ascii="Times New Roman" w:hAnsi="Times New Roman" w:cs="Times New Roman"/>
          <w:i/>
        </w:rPr>
        <w:t>Phaeodactylum</w:t>
      </w:r>
      <w:proofErr w:type="spellEnd"/>
      <w:r w:rsidRPr="00A761E5">
        <w:rPr>
          <w:rFonts w:ascii="Times New Roman" w:hAnsi="Times New Roman" w:cs="Times New Roman"/>
        </w:rPr>
        <w:t xml:space="preserve"> and </w:t>
      </w:r>
      <w:r w:rsidRPr="00A27668">
        <w:rPr>
          <w:rFonts w:ascii="Times New Roman" w:hAnsi="Times New Roman" w:cs="Times New Roman"/>
          <w:i/>
        </w:rPr>
        <w:t>Scenedesmus</w:t>
      </w:r>
      <w:r w:rsidRPr="00A761E5">
        <w:rPr>
          <w:rFonts w:ascii="Times New Roman" w:hAnsi="Times New Roman" w:cs="Times New Roman"/>
        </w:rPr>
        <w:t xml:space="preserve"> are being mass</w:t>
      </w:r>
      <w:r w:rsidR="00FD17A3">
        <w:rPr>
          <w:rFonts w:ascii="Times New Roman" w:hAnsi="Times New Roman" w:cs="Times New Roman"/>
        </w:rPr>
        <w:t>-</w:t>
      </w:r>
      <w:r w:rsidRPr="00A761E5">
        <w:rPr>
          <w:rFonts w:ascii="Times New Roman" w:hAnsi="Times New Roman" w:cs="Times New Roman"/>
        </w:rPr>
        <w:t xml:space="preserve">produced by multiple companies in many countries using outdoor ponds, </w:t>
      </w:r>
      <w:proofErr w:type="gramStart"/>
      <w:r w:rsidRPr="00A761E5">
        <w:rPr>
          <w:rFonts w:ascii="Times New Roman" w:hAnsi="Times New Roman" w:cs="Times New Roman"/>
        </w:rPr>
        <w:t>raceways</w:t>
      </w:r>
      <w:proofErr w:type="gramEnd"/>
      <w:r w:rsidRPr="00A761E5">
        <w:rPr>
          <w:rFonts w:ascii="Times New Roman" w:hAnsi="Times New Roman" w:cs="Times New Roman"/>
        </w:rPr>
        <w:t xml:space="preserve"> or flat panel bioreactors</w:t>
      </w:r>
      <w:r w:rsidR="00FD17A3">
        <w:rPr>
          <w:rFonts w:ascii="Times New Roman" w:hAnsi="Times New Roman" w:cs="Times New Roman"/>
        </w:rPr>
        <w:t xml:space="preserve">. Consequently, these </w:t>
      </w:r>
      <w:r w:rsidRPr="00A761E5">
        <w:rPr>
          <w:rFonts w:ascii="Times New Roman" w:hAnsi="Times New Roman" w:cs="Times New Roman"/>
        </w:rPr>
        <w:t xml:space="preserve">are now being included in </w:t>
      </w:r>
      <w:r w:rsidR="00561CB4">
        <w:rPr>
          <w:rFonts w:ascii="Times New Roman" w:hAnsi="Times New Roman" w:cs="Times New Roman"/>
        </w:rPr>
        <w:t xml:space="preserve">commercial </w:t>
      </w:r>
      <w:r w:rsidRPr="00A761E5">
        <w:rPr>
          <w:rFonts w:ascii="Times New Roman" w:hAnsi="Times New Roman" w:cs="Times New Roman"/>
        </w:rPr>
        <w:t xml:space="preserve">aquafeeds to some extent. Due to comparatively low cell wall recalcitrance, acceptable inclusion levels of unprocessed </w:t>
      </w:r>
      <w:proofErr w:type="spellStart"/>
      <w:r w:rsidRPr="00A27668">
        <w:rPr>
          <w:rFonts w:ascii="Times New Roman" w:hAnsi="Times New Roman" w:cs="Times New Roman"/>
          <w:i/>
        </w:rPr>
        <w:t>Arthrospira</w:t>
      </w:r>
      <w:proofErr w:type="spellEnd"/>
      <w:r w:rsidRPr="00A761E5">
        <w:rPr>
          <w:rFonts w:ascii="Times New Roman" w:hAnsi="Times New Roman" w:cs="Times New Roman"/>
        </w:rPr>
        <w:t xml:space="preserve"> (Spirulina) for most farmed fish and shrimp species is ~10-15%. By contrast, in the absence of energy-intensive and costly cell rupture processing, </w:t>
      </w:r>
      <w:r w:rsidR="00561CB4">
        <w:rPr>
          <w:rFonts w:ascii="Times New Roman" w:hAnsi="Times New Roman" w:cs="Times New Roman"/>
        </w:rPr>
        <w:t xml:space="preserve">the </w:t>
      </w:r>
      <w:r w:rsidRPr="00A761E5">
        <w:rPr>
          <w:rFonts w:ascii="Times New Roman" w:hAnsi="Times New Roman" w:cs="Times New Roman"/>
        </w:rPr>
        <w:t xml:space="preserve">maximum inclusion levels of most microalgae species are relatively low (~5-10%). Higher levels (e.g., up to 20%) appear to be possible following downstream processing steps like mechanical, </w:t>
      </w:r>
      <w:r w:rsidR="00561CB4" w:rsidRPr="00A761E5">
        <w:rPr>
          <w:rFonts w:ascii="Times New Roman" w:hAnsi="Times New Roman" w:cs="Times New Roman"/>
        </w:rPr>
        <w:t>chemical,</w:t>
      </w:r>
      <w:r w:rsidRPr="00A761E5">
        <w:rPr>
          <w:rFonts w:ascii="Times New Roman" w:hAnsi="Times New Roman" w:cs="Times New Roman"/>
        </w:rPr>
        <w:t xml:space="preserve"> or enzymatic cell rupture or extrusion pre-processing. A handful of methanotrophic bacterial single-cell protein (SCP) products are presently undergoing commercial scale-up and are expected to greatly impact the aquafeed protein ingredients market over the coming decade, particularly as economy-of-scale production costs continue to come down. These products are being produced exclusively indoors under heterotrophic fermentation by companies </w:t>
      </w:r>
      <w:r w:rsidR="00B77EBB">
        <w:rPr>
          <w:rFonts w:ascii="Times New Roman" w:hAnsi="Times New Roman" w:cs="Times New Roman"/>
        </w:rPr>
        <w:t>such as</w:t>
      </w:r>
      <w:r w:rsidRPr="00A761E5">
        <w:rPr>
          <w:rFonts w:ascii="Times New Roman" w:hAnsi="Times New Roman" w:cs="Times New Roman"/>
        </w:rPr>
        <w:t xml:space="preserve"> </w:t>
      </w:r>
      <w:proofErr w:type="spellStart"/>
      <w:r w:rsidRPr="00A761E5">
        <w:rPr>
          <w:rFonts w:ascii="Times New Roman" w:hAnsi="Times New Roman" w:cs="Times New Roman"/>
        </w:rPr>
        <w:t>KnipBio</w:t>
      </w:r>
      <w:proofErr w:type="spellEnd"/>
      <w:r w:rsidRPr="00A761E5">
        <w:rPr>
          <w:rFonts w:ascii="Times New Roman" w:hAnsi="Times New Roman" w:cs="Times New Roman"/>
        </w:rPr>
        <w:t xml:space="preserve">, </w:t>
      </w:r>
      <w:proofErr w:type="spellStart"/>
      <w:r w:rsidRPr="00A761E5">
        <w:rPr>
          <w:rFonts w:ascii="Times New Roman" w:hAnsi="Times New Roman" w:cs="Times New Roman"/>
        </w:rPr>
        <w:t>Calysta</w:t>
      </w:r>
      <w:proofErr w:type="spellEnd"/>
      <w:r w:rsidRPr="00A761E5">
        <w:rPr>
          <w:rFonts w:ascii="Times New Roman" w:hAnsi="Times New Roman" w:cs="Times New Roman"/>
        </w:rPr>
        <w:t xml:space="preserve">, </w:t>
      </w:r>
      <w:proofErr w:type="spellStart"/>
      <w:r w:rsidRPr="00A761E5">
        <w:rPr>
          <w:rFonts w:ascii="Times New Roman" w:hAnsi="Times New Roman" w:cs="Times New Roman"/>
        </w:rPr>
        <w:t>Unibio</w:t>
      </w:r>
      <w:proofErr w:type="spellEnd"/>
      <w:r w:rsidRPr="00A761E5">
        <w:rPr>
          <w:rFonts w:ascii="Times New Roman" w:hAnsi="Times New Roman" w:cs="Times New Roman"/>
        </w:rPr>
        <w:t xml:space="preserve">, ADM, and </w:t>
      </w:r>
      <w:proofErr w:type="spellStart"/>
      <w:r w:rsidRPr="00A761E5">
        <w:rPr>
          <w:rFonts w:ascii="Times New Roman" w:hAnsi="Times New Roman" w:cs="Times New Roman"/>
        </w:rPr>
        <w:t>Novonutrients</w:t>
      </w:r>
      <w:proofErr w:type="spellEnd"/>
      <w:r w:rsidR="00982B9C">
        <w:rPr>
          <w:rFonts w:ascii="Times New Roman" w:hAnsi="Times New Roman" w:cs="Times New Roman"/>
        </w:rPr>
        <w:t xml:space="preserve"> among others</w:t>
      </w:r>
      <w:r w:rsidRPr="00A761E5">
        <w:rPr>
          <w:rFonts w:ascii="Times New Roman" w:hAnsi="Times New Roman" w:cs="Times New Roman"/>
        </w:rPr>
        <w:t>. Significant inclusion levels are possible for several fish and shrimp species, although the published results regarding maximum acceptable levels are highly variable (e.g., less than 10% to over 35%) both between species and even within species from different studies. Dried powders and extracted oils rich in n-3 LC-PUFA (namely</w:t>
      </w:r>
      <w:r w:rsidR="00B77EBB">
        <w:rPr>
          <w:rFonts w:ascii="Times New Roman" w:hAnsi="Times New Roman" w:cs="Times New Roman"/>
        </w:rPr>
        <w:t xml:space="preserve"> eicosapentaenoic acid, 20:5n-3</w:t>
      </w:r>
      <w:r w:rsidR="00504EE3">
        <w:rPr>
          <w:rFonts w:ascii="Times New Roman" w:hAnsi="Times New Roman" w:cs="Times New Roman"/>
        </w:rPr>
        <w:t>,</w:t>
      </w:r>
      <w:r w:rsidRPr="00A761E5">
        <w:rPr>
          <w:rFonts w:ascii="Times New Roman" w:hAnsi="Times New Roman" w:cs="Times New Roman"/>
        </w:rPr>
        <w:t xml:space="preserve"> EPA and/or </w:t>
      </w:r>
      <w:r w:rsidR="00504EE3">
        <w:rPr>
          <w:rFonts w:ascii="Times New Roman" w:hAnsi="Times New Roman" w:cs="Times New Roman"/>
        </w:rPr>
        <w:t xml:space="preserve">docosahexaenoic acid, 22:6n-3, </w:t>
      </w:r>
      <w:r w:rsidRPr="00A761E5">
        <w:rPr>
          <w:rFonts w:ascii="Times New Roman" w:hAnsi="Times New Roman" w:cs="Times New Roman"/>
        </w:rPr>
        <w:t xml:space="preserve">DHA) derived from protists and marine microalgae like </w:t>
      </w:r>
      <w:proofErr w:type="spellStart"/>
      <w:r w:rsidRPr="00A27668">
        <w:rPr>
          <w:rFonts w:ascii="Times New Roman" w:hAnsi="Times New Roman" w:cs="Times New Roman"/>
          <w:i/>
        </w:rPr>
        <w:t>Schizochytrium</w:t>
      </w:r>
      <w:proofErr w:type="spellEnd"/>
      <w:r w:rsidRPr="00A761E5">
        <w:rPr>
          <w:rFonts w:ascii="Times New Roman" w:hAnsi="Times New Roman" w:cs="Times New Roman"/>
        </w:rPr>
        <w:t xml:space="preserve">, </w:t>
      </w:r>
      <w:proofErr w:type="spellStart"/>
      <w:r w:rsidRPr="00A27668">
        <w:rPr>
          <w:rFonts w:ascii="Times New Roman" w:hAnsi="Times New Roman" w:cs="Times New Roman"/>
          <w:i/>
        </w:rPr>
        <w:t>Aurantiochytrium</w:t>
      </w:r>
      <w:proofErr w:type="spellEnd"/>
      <w:r w:rsidRPr="00A761E5">
        <w:rPr>
          <w:rFonts w:ascii="Times New Roman" w:hAnsi="Times New Roman" w:cs="Times New Roman"/>
        </w:rPr>
        <w:t xml:space="preserve">, and </w:t>
      </w:r>
      <w:proofErr w:type="spellStart"/>
      <w:r w:rsidRPr="00A27668">
        <w:rPr>
          <w:rFonts w:ascii="Times New Roman" w:hAnsi="Times New Roman" w:cs="Times New Roman"/>
          <w:i/>
        </w:rPr>
        <w:t>Crypthecodinium</w:t>
      </w:r>
      <w:proofErr w:type="spellEnd"/>
      <w:r w:rsidRPr="00A761E5">
        <w:rPr>
          <w:rFonts w:ascii="Times New Roman" w:hAnsi="Times New Roman" w:cs="Times New Roman"/>
        </w:rPr>
        <w:t xml:space="preserve"> have already been industrially-scaled by several companies (e.g., Alltech, </w:t>
      </w:r>
      <w:proofErr w:type="spellStart"/>
      <w:r w:rsidRPr="00A761E5">
        <w:rPr>
          <w:rFonts w:ascii="Times New Roman" w:hAnsi="Times New Roman" w:cs="Times New Roman"/>
        </w:rPr>
        <w:t>Alganutra</w:t>
      </w:r>
      <w:proofErr w:type="spellEnd"/>
      <w:r w:rsidRPr="00A761E5">
        <w:rPr>
          <w:rFonts w:ascii="Times New Roman" w:hAnsi="Times New Roman" w:cs="Times New Roman"/>
        </w:rPr>
        <w:t xml:space="preserve">, </w:t>
      </w:r>
      <w:proofErr w:type="spellStart"/>
      <w:r w:rsidRPr="00A761E5">
        <w:rPr>
          <w:rFonts w:ascii="Times New Roman" w:hAnsi="Times New Roman" w:cs="Times New Roman"/>
        </w:rPr>
        <w:t>Algarithm</w:t>
      </w:r>
      <w:proofErr w:type="spellEnd"/>
      <w:r w:rsidRPr="00A761E5">
        <w:rPr>
          <w:rFonts w:ascii="Times New Roman" w:hAnsi="Times New Roman" w:cs="Times New Roman"/>
        </w:rPr>
        <w:t xml:space="preserve">, </w:t>
      </w:r>
      <w:proofErr w:type="spellStart"/>
      <w:r w:rsidRPr="00A761E5">
        <w:rPr>
          <w:rFonts w:ascii="Times New Roman" w:hAnsi="Times New Roman" w:cs="Times New Roman"/>
        </w:rPr>
        <w:t>Algorogin</w:t>
      </w:r>
      <w:proofErr w:type="spellEnd"/>
      <w:r w:rsidRPr="00A761E5">
        <w:rPr>
          <w:rFonts w:ascii="Times New Roman" w:hAnsi="Times New Roman" w:cs="Times New Roman"/>
        </w:rPr>
        <w:t xml:space="preserve">, ADM, Advanced </w:t>
      </w:r>
      <w:proofErr w:type="spellStart"/>
      <w:r w:rsidRPr="00A761E5">
        <w:rPr>
          <w:rFonts w:ascii="Times New Roman" w:hAnsi="Times New Roman" w:cs="Times New Roman"/>
        </w:rPr>
        <w:t>BioNutrition</w:t>
      </w:r>
      <w:proofErr w:type="spellEnd"/>
      <w:r w:rsidRPr="00A761E5">
        <w:rPr>
          <w:rFonts w:ascii="Times New Roman" w:hAnsi="Times New Roman" w:cs="Times New Roman"/>
        </w:rPr>
        <w:t xml:space="preserve">, Bunge, </w:t>
      </w:r>
      <w:proofErr w:type="spellStart"/>
      <w:r w:rsidRPr="00A761E5">
        <w:rPr>
          <w:rFonts w:ascii="Times New Roman" w:hAnsi="Times New Roman" w:cs="Times New Roman"/>
        </w:rPr>
        <w:t>Chambio</w:t>
      </w:r>
      <w:proofErr w:type="spellEnd"/>
      <w:r w:rsidRPr="00A761E5">
        <w:rPr>
          <w:rFonts w:ascii="Times New Roman" w:hAnsi="Times New Roman" w:cs="Times New Roman"/>
        </w:rPr>
        <w:t xml:space="preserve">, Corbion, DSM, Evonik, </w:t>
      </w:r>
      <w:proofErr w:type="spellStart"/>
      <w:r w:rsidRPr="00A761E5">
        <w:rPr>
          <w:rFonts w:ascii="Times New Roman" w:hAnsi="Times New Roman" w:cs="Times New Roman"/>
        </w:rPr>
        <w:t>Fermentalg</w:t>
      </w:r>
      <w:proofErr w:type="spellEnd"/>
      <w:r w:rsidRPr="00A761E5">
        <w:rPr>
          <w:rFonts w:ascii="Times New Roman" w:hAnsi="Times New Roman" w:cs="Times New Roman"/>
        </w:rPr>
        <w:t xml:space="preserve">, </w:t>
      </w:r>
      <w:proofErr w:type="spellStart"/>
      <w:r w:rsidRPr="00A761E5">
        <w:rPr>
          <w:rFonts w:ascii="Times New Roman" w:hAnsi="Times New Roman" w:cs="Times New Roman"/>
        </w:rPr>
        <w:t>Goerlich</w:t>
      </w:r>
      <w:proofErr w:type="spellEnd"/>
      <w:r w:rsidRPr="00A761E5">
        <w:rPr>
          <w:rFonts w:ascii="Times New Roman" w:hAnsi="Times New Roman" w:cs="Times New Roman"/>
        </w:rPr>
        <w:t xml:space="preserve">-Pharma, Kuehnle </w:t>
      </w:r>
      <w:proofErr w:type="spellStart"/>
      <w:r w:rsidRPr="00A761E5">
        <w:rPr>
          <w:rFonts w:ascii="Times New Roman" w:hAnsi="Times New Roman" w:cs="Times New Roman"/>
        </w:rPr>
        <w:t>Agrosystems</w:t>
      </w:r>
      <w:proofErr w:type="spellEnd"/>
      <w:r w:rsidRPr="00A761E5">
        <w:rPr>
          <w:rFonts w:ascii="Times New Roman" w:hAnsi="Times New Roman" w:cs="Times New Roman"/>
        </w:rPr>
        <w:t xml:space="preserve">, </w:t>
      </w:r>
      <w:proofErr w:type="spellStart"/>
      <w:r w:rsidRPr="00A761E5">
        <w:rPr>
          <w:rFonts w:ascii="Times New Roman" w:hAnsi="Times New Roman" w:cs="Times New Roman"/>
        </w:rPr>
        <w:t>Lyxia</w:t>
      </w:r>
      <w:proofErr w:type="spellEnd"/>
      <w:r w:rsidRPr="00A761E5">
        <w:rPr>
          <w:rFonts w:ascii="Times New Roman" w:hAnsi="Times New Roman" w:cs="Times New Roman"/>
        </w:rPr>
        <w:t xml:space="preserve">, Mara Renewables, </w:t>
      </w:r>
      <w:proofErr w:type="spellStart"/>
      <w:r w:rsidRPr="00A761E5">
        <w:rPr>
          <w:rFonts w:ascii="Times New Roman" w:hAnsi="Times New Roman" w:cs="Times New Roman"/>
        </w:rPr>
        <w:t>Martek</w:t>
      </w:r>
      <w:proofErr w:type="spellEnd"/>
      <w:r w:rsidRPr="00A761E5">
        <w:rPr>
          <w:rFonts w:ascii="Times New Roman" w:hAnsi="Times New Roman" w:cs="Times New Roman"/>
        </w:rPr>
        <w:t xml:space="preserve">, Source-Omega, </w:t>
      </w:r>
      <w:proofErr w:type="spellStart"/>
      <w:r w:rsidRPr="00A761E5">
        <w:rPr>
          <w:rFonts w:ascii="Times New Roman" w:hAnsi="Times New Roman" w:cs="Times New Roman"/>
        </w:rPr>
        <w:t>TerraVia</w:t>
      </w:r>
      <w:proofErr w:type="spellEnd"/>
      <w:r w:rsidRPr="00A761E5">
        <w:rPr>
          <w:rFonts w:ascii="Times New Roman" w:hAnsi="Times New Roman" w:cs="Times New Roman"/>
        </w:rPr>
        <w:t xml:space="preserve"> and </w:t>
      </w:r>
      <w:proofErr w:type="spellStart"/>
      <w:r w:rsidRPr="00A761E5">
        <w:rPr>
          <w:rFonts w:ascii="Times New Roman" w:hAnsi="Times New Roman" w:cs="Times New Roman"/>
        </w:rPr>
        <w:t>Verameris</w:t>
      </w:r>
      <w:proofErr w:type="spellEnd"/>
      <w:r w:rsidR="001E5934">
        <w:rPr>
          <w:rFonts w:ascii="Times New Roman" w:hAnsi="Times New Roman" w:cs="Times New Roman"/>
        </w:rPr>
        <w:t xml:space="preserve"> among others</w:t>
      </w:r>
      <w:r w:rsidRPr="00A761E5">
        <w:rPr>
          <w:rFonts w:ascii="Times New Roman" w:hAnsi="Times New Roman" w:cs="Times New Roman"/>
        </w:rPr>
        <w:t xml:space="preserve">); many for the human food and supplement market but several with an aquafeeds focus. Originally, these products were mostly rich in DHA (lacking in EPA), but products rich in both n-3 LC-PUFA are now available and being used at significant inclusion levels in partial or </w:t>
      </w:r>
      <w:r w:rsidR="00402E20">
        <w:rPr>
          <w:rFonts w:ascii="Times New Roman" w:hAnsi="Times New Roman" w:cs="Times New Roman"/>
        </w:rPr>
        <w:t xml:space="preserve">complete </w:t>
      </w:r>
      <w:r w:rsidRPr="00A761E5">
        <w:rPr>
          <w:rFonts w:ascii="Times New Roman" w:hAnsi="Times New Roman" w:cs="Times New Roman"/>
        </w:rPr>
        <w:t xml:space="preserve">displacement of </w:t>
      </w:r>
      <w:r w:rsidR="003737D5">
        <w:rPr>
          <w:rFonts w:ascii="Times New Roman" w:hAnsi="Times New Roman" w:cs="Times New Roman"/>
        </w:rPr>
        <w:t>FO</w:t>
      </w:r>
      <w:r w:rsidRPr="00A761E5">
        <w:rPr>
          <w:rFonts w:ascii="Times New Roman" w:hAnsi="Times New Roman" w:cs="Times New Roman"/>
        </w:rPr>
        <w:t xml:space="preserve"> in commercial fish and shrimp aquafeeds. As prices come down, these products have tremendous potential to sustainably advance aquaculture production and their </w:t>
      </w:r>
      <w:r w:rsidR="001E5934">
        <w:rPr>
          <w:rFonts w:ascii="Times New Roman" w:hAnsi="Times New Roman" w:cs="Times New Roman"/>
        </w:rPr>
        <w:t xml:space="preserve">high </w:t>
      </w:r>
      <w:r w:rsidRPr="00A761E5">
        <w:rPr>
          <w:rFonts w:ascii="Times New Roman" w:hAnsi="Times New Roman" w:cs="Times New Roman"/>
        </w:rPr>
        <w:t xml:space="preserve">availability and </w:t>
      </w:r>
      <w:r w:rsidR="001E5934">
        <w:rPr>
          <w:rFonts w:ascii="Times New Roman" w:hAnsi="Times New Roman" w:cs="Times New Roman"/>
        </w:rPr>
        <w:t xml:space="preserve">recent </w:t>
      </w:r>
      <w:r w:rsidRPr="00A761E5">
        <w:rPr>
          <w:rFonts w:ascii="Times New Roman" w:hAnsi="Times New Roman" w:cs="Times New Roman"/>
        </w:rPr>
        <w:t>industry uptake mark</w:t>
      </w:r>
      <w:r w:rsidR="003A4713">
        <w:rPr>
          <w:rFonts w:ascii="Times New Roman" w:hAnsi="Times New Roman" w:cs="Times New Roman"/>
        </w:rPr>
        <w:t>s</w:t>
      </w:r>
      <w:r w:rsidRPr="00A761E5">
        <w:rPr>
          <w:rFonts w:ascii="Times New Roman" w:hAnsi="Times New Roman" w:cs="Times New Roman"/>
        </w:rPr>
        <w:t xml:space="preserve"> the beginning of a </w:t>
      </w:r>
      <w:r w:rsidRPr="00B84532">
        <w:rPr>
          <w:rFonts w:ascii="Times New Roman" w:hAnsi="Times New Roman" w:cs="Times New Roman"/>
        </w:rPr>
        <w:t xml:space="preserve">restoration of declining n-3 LC-PUFA levels in farmed fish and shrimp consumer products </w:t>
      </w:r>
      <w:r w:rsidR="000E67D3" w:rsidRPr="00B845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{"citationID":"arb50flpa8","properties":{"formattedCitation":"\\super 289,297\\nosupersub{}","plainCitation":"289,297","noteIndex":0},"citationItems":[{"id":898,"uris":["http://zotero.org/groups/4669668/items/FZEWR9GI"],"itemData":{"id":898,"type":"article-journal","abstract":"As the global population grows more of our fish and seafood are being farmed. Fish are the main dietary source of the omega-3 (n-3) long-chain polyunsaturated fatty acids (LC-PUFA), eicosapentaenoic (EPA) and docosahexaenoic (DHA) acids, but these cannot be produced in sufficient quantities as are now required for human health. Farmed fish have traditionally been fed a diet consisting of fishmeal and fish oil, rich in n-3 LC-PUFA. However, the increase in global aquaculture production has resulted in these finite and limited marine ingredients being replaced with sustainable alternatives of terrestrial origin that are devoid of n-3 LC-PUFA. Consequently, the nutritional value of the final product has been partially compromised with EPA and DHA levels both falling. Recent calls from the salmon industry for new sources of n-3 LC-PUFA have received significant commercial interest. Thus, this review explores the technologies being applied to produce de novo n-3 LC-PUFA sources, namely microalgae and genetically engineered oilseed crops, and how they may be used in aquafeeds to ensure that farmed fish remain a healthy component of the human diet.","container-title":"Biotechnology Letters","DOI":"10.1007/s10529-017-2402-6","ISSN":"1573-6776","issue":"11","journalAbbreviation":"Biotechnol Lett","language":"en","note":"number: 11","page":"1599-1609","source":"Springer Link","title":"Microbial and genetically engineered oils as replacements for fish oil in aquaculture feeds","volume":"39","author":[{"family":"Sprague","given":"M."},{"family":"Betancor","given":"M. B."},{"family":"Tocher","given":"D. R."}],"issued":{"date-parts":[["2017",11,1]]}},"label":"page"},{"id":937,"uris":["http://zotero.org/groups/4669668/items/4W49CC8H"],"itemData":{"id":937,"type":"article-journal","abstract":"Fish oil has traditionally been the primary source of long chain omega-3 fatty acids, which are essential nutrients for human diets as well as many aquaculture and animal feeds. The demand for fish oil is growing rapidly, due to an expanding aquaculture sector as well as rising demand in pet and livestock feeds, while the availability of fish oil from wild caught fish has leveled off over the past decade. Fish oil is not easily replaced and alternative sources are required to meet the growing global demand. One of the most promising alternatives is microalgae - the original source of long chain omega-3s. To understand the environmental impacts of omega-3s produced by heterotrophic algae, a comprehensive Life Cycle Assessment (LCA), assessing six impact categories, was conducted for two algae omega-3 DHA (docosahexaenoic acid) products, in powder and liquid suspension formats. These products are manufactured at industrial scale using sugarcane for both feedstock and a renewable energy source. The life cycle impact assessment results for algae omega-3 DHA indicate that sugarcane cultivation has the largest contribution for most of the categories. A sensitivity analysis revealed that the sugarcane yield, and the sugar to omega-3 DHA yield, were the most relevant parameters, and that the choice of allocation methodology did not have a strong influence on the results. A comparison with fish oil, using data publicly available in LCA databases, indicated that the two formats of the commercial algae omega-3 DHA product offer about 30–40% lower impact on climate change than fish oil.","container-title":"Algal Research","DOI":"10.1016/j.algal.2021.102494","ISSN":"2211-9264","journalAbbreviation":"Algal Research","language":"en","page":"102494","source":"ScienceDirect","title":"Life cycle assessment of heterotrophic algae omega-3","volume":"60","author":[{"family":"Davis","given":"Dillon"},{"family":"Morão","given":"Ana"},{"family":"Johnson","given":"Jill Kauffman"},{"family":"Shen","given":"Li"}],"issued":{"date-parts":[["2021",12,1]]}},"label":"page"}],"schema":"https://github.com/citation-style-language/schema/raw/master/csl-citation.json"} </w:instrText>
      </w:r>
      <w:r w:rsidR="000E67D3" w:rsidRPr="00B84532">
        <w:rPr>
          <w:rFonts w:ascii="Times New Roman" w:hAnsi="Times New Roman" w:cs="Times New Roman"/>
        </w:rPr>
        <w:fldChar w:fldCharType="separate"/>
      </w:r>
      <w:r w:rsidR="002D38F0" w:rsidRPr="002D38F0">
        <w:rPr>
          <w:rFonts w:ascii="Times New Roman" w:hAnsi="Times New Roman" w:cs="Times New Roman"/>
          <w:szCs w:val="24"/>
          <w:vertAlign w:val="superscript"/>
        </w:rPr>
        <w:t>289,297</w:t>
      </w:r>
      <w:r w:rsidR="000E67D3" w:rsidRPr="00B84532">
        <w:rPr>
          <w:rFonts w:ascii="Times New Roman" w:hAnsi="Times New Roman" w:cs="Times New Roman"/>
        </w:rPr>
        <w:fldChar w:fldCharType="end"/>
      </w:r>
      <w:r w:rsidRPr="00B84532">
        <w:rPr>
          <w:rFonts w:ascii="Times New Roman" w:hAnsi="Times New Roman" w:cs="Times New Roman"/>
        </w:rPr>
        <w:t>.</w:t>
      </w:r>
    </w:p>
    <w:p w14:paraId="1B52E09B" w14:textId="53EBE738" w:rsidR="00A761E5" w:rsidRPr="00B84532" w:rsidRDefault="00A761E5" w:rsidP="00522623">
      <w:pPr>
        <w:spacing w:line="360" w:lineRule="auto"/>
        <w:ind w:firstLine="720"/>
        <w:contextualSpacing/>
        <w:jc w:val="both"/>
        <w:rPr>
          <w:rFonts w:ascii="Times New Roman" w:hAnsi="Times New Roman" w:cs="Times New Roman"/>
        </w:rPr>
      </w:pPr>
      <w:r w:rsidRPr="00B84532">
        <w:rPr>
          <w:rFonts w:ascii="Times New Roman" w:hAnsi="Times New Roman" w:cs="Times New Roman"/>
        </w:rPr>
        <w:lastRenderedPageBreak/>
        <w:t xml:space="preserve">It is also prudent to note that some </w:t>
      </w:r>
      <w:r w:rsidR="00FC2A2C">
        <w:rPr>
          <w:rFonts w:ascii="Times New Roman" w:hAnsi="Times New Roman" w:cs="Times New Roman"/>
        </w:rPr>
        <w:t>single-cell</w:t>
      </w:r>
      <w:r w:rsidRPr="00B84532">
        <w:rPr>
          <w:rFonts w:ascii="Times New Roman" w:hAnsi="Times New Roman" w:cs="Times New Roman"/>
        </w:rPr>
        <w:t xml:space="preserve"> ingredients are also being employed for their carotenoids, both for tissue pigmentation and as potent dietary antioxidants. Algal induction of </w:t>
      </w:r>
      <w:proofErr w:type="spellStart"/>
      <w:r w:rsidRPr="00B84532">
        <w:rPr>
          <w:rFonts w:ascii="Times New Roman" w:hAnsi="Times New Roman" w:cs="Times New Roman"/>
          <w:i/>
        </w:rPr>
        <w:t>Duneliella</w:t>
      </w:r>
      <w:proofErr w:type="spellEnd"/>
      <w:r w:rsidRPr="00B84532">
        <w:rPr>
          <w:rFonts w:ascii="Times New Roman" w:hAnsi="Times New Roman" w:cs="Times New Roman"/>
        </w:rPr>
        <w:t xml:space="preserve"> and </w:t>
      </w:r>
      <w:r w:rsidRPr="00B84532">
        <w:rPr>
          <w:rFonts w:ascii="Times New Roman" w:hAnsi="Times New Roman" w:cs="Times New Roman"/>
          <w:i/>
        </w:rPr>
        <w:t>Haematococcus</w:t>
      </w:r>
      <w:r w:rsidRPr="00B84532">
        <w:rPr>
          <w:rFonts w:ascii="Times New Roman" w:hAnsi="Times New Roman" w:cs="Times New Roman"/>
        </w:rPr>
        <w:t xml:space="preserve"> microalgae and fermentation of </w:t>
      </w:r>
      <w:proofErr w:type="spellStart"/>
      <w:r w:rsidRPr="00B84532">
        <w:rPr>
          <w:rFonts w:ascii="Times New Roman" w:hAnsi="Times New Roman" w:cs="Times New Roman"/>
          <w:i/>
        </w:rPr>
        <w:t>Phaffia</w:t>
      </w:r>
      <w:proofErr w:type="spellEnd"/>
      <w:r w:rsidRPr="00B84532">
        <w:rPr>
          <w:rFonts w:ascii="Times New Roman" w:hAnsi="Times New Roman" w:cs="Times New Roman"/>
        </w:rPr>
        <w:t>/</w:t>
      </w:r>
      <w:proofErr w:type="spellStart"/>
      <w:r w:rsidRPr="00B84532">
        <w:rPr>
          <w:rFonts w:ascii="Times New Roman" w:hAnsi="Times New Roman" w:cs="Times New Roman"/>
          <w:i/>
        </w:rPr>
        <w:t>Xanthophyllomyces</w:t>
      </w:r>
      <w:proofErr w:type="spellEnd"/>
      <w:r w:rsidRPr="00B84532">
        <w:rPr>
          <w:rFonts w:ascii="Times New Roman" w:hAnsi="Times New Roman" w:cs="Times New Roman"/>
        </w:rPr>
        <w:t xml:space="preserve"> yeast and </w:t>
      </w:r>
      <w:proofErr w:type="spellStart"/>
      <w:r w:rsidRPr="00B84532">
        <w:rPr>
          <w:rFonts w:ascii="Times New Roman" w:hAnsi="Times New Roman" w:cs="Times New Roman"/>
          <w:i/>
        </w:rPr>
        <w:t>Paracoccus</w:t>
      </w:r>
      <w:proofErr w:type="spellEnd"/>
      <w:r w:rsidRPr="00B84532">
        <w:rPr>
          <w:rFonts w:ascii="Times New Roman" w:hAnsi="Times New Roman" w:cs="Times New Roman"/>
        </w:rPr>
        <w:t xml:space="preserve"> </w:t>
      </w:r>
      <w:proofErr w:type="spellStart"/>
      <w:r w:rsidRPr="00B84532">
        <w:rPr>
          <w:rFonts w:ascii="Times New Roman" w:hAnsi="Times New Roman" w:cs="Times New Roman"/>
          <w:i/>
        </w:rPr>
        <w:t>carotinfaciens</w:t>
      </w:r>
      <w:proofErr w:type="spellEnd"/>
      <w:r w:rsidRPr="00B84532">
        <w:rPr>
          <w:rFonts w:ascii="Times New Roman" w:hAnsi="Times New Roman" w:cs="Times New Roman"/>
        </w:rPr>
        <w:t xml:space="preserve"> bacteria are now at industrial-scale production by numerous companies (e.g., </w:t>
      </w:r>
      <w:proofErr w:type="spellStart"/>
      <w:r w:rsidRPr="00B84532">
        <w:rPr>
          <w:rFonts w:ascii="Times New Roman" w:hAnsi="Times New Roman" w:cs="Times New Roman"/>
        </w:rPr>
        <w:t>Algaetech</w:t>
      </w:r>
      <w:proofErr w:type="spellEnd"/>
      <w:r w:rsidRPr="00B84532">
        <w:rPr>
          <w:rFonts w:ascii="Times New Roman" w:hAnsi="Times New Roman" w:cs="Times New Roman"/>
        </w:rPr>
        <w:t xml:space="preserve">, </w:t>
      </w:r>
      <w:proofErr w:type="spellStart"/>
      <w:r w:rsidRPr="00B84532">
        <w:rPr>
          <w:rFonts w:ascii="Times New Roman" w:hAnsi="Times New Roman" w:cs="Times New Roman"/>
        </w:rPr>
        <w:t>Algalif</w:t>
      </w:r>
      <w:proofErr w:type="spellEnd"/>
      <w:r w:rsidRPr="00B84532">
        <w:rPr>
          <w:rFonts w:ascii="Times New Roman" w:hAnsi="Times New Roman" w:cs="Times New Roman"/>
        </w:rPr>
        <w:t xml:space="preserve">, </w:t>
      </w:r>
      <w:proofErr w:type="spellStart"/>
      <w:r w:rsidRPr="00B84532">
        <w:rPr>
          <w:rFonts w:ascii="Times New Roman" w:hAnsi="Times New Roman" w:cs="Times New Roman"/>
        </w:rPr>
        <w:t>AlgaTechnologies</w:t>
      </w:r>
      <w:proofErr w:type="spellEnd"/>
      <w:r w:rsidRPr="00B84532">
        <w:rPr>
          <w:rFonts w:ascii="Times New Roman" w:hAnsi="Times New Roman" w:cs="Times New Roman"/>
        </w:rPr>
        <w:t xml:space="preserve">, Atacama, Beijing-Gingko, </w:t>
      </w:r>
      <w:proofErr w:type="spellStart"/>
      <w:r w:rsidRPr="00B84532">
        <w:rPr>
          <w:rFonts w:ascii="Times New Roman" w:hAnsi="Times New Roman" w:cs="Times New Roman"/>
        </w:rPr>
        <w:t>Cyanotech</w:t>
      </w:r>
      <w:proofErr w:type="spellEnd"/>
      <w:r w:rsidRPr="00B84532">
        <w:rPr>
          <w:rFonts w:ascii="Times New Roman" w:hAnsi="Times New Roman" w:cs="Times New Roman"/>
        </w:rPr>
        <w:t xml:space="preserve">, </w:t>
      </w:r>
      <w:proofErr w:type="spellStart"/>
      <w:r w:rsidRPr="00B84532">
        <w:rPr>
          <w:rFonts w:ascii="Times New Roman" w:hAnsi="Times New Roman" w:cs="Times New Roman"/>
        </w:rPr>
        <w:t>Evergen</w:t>
      </w:r>
      <w:proofErr w:type="spellEnd"/>
      <w:r w:rsidRPr="00B84532">
        <w:rPr>
          <w:rFonts w:ascii="Times New Roman" w:hAnsi="Times New Roman" w:cs="Times New Roman"/>
        </w:rPr>
        <w:t xml:space="preserve">, </w:t>
      </w:r>
      <w:proofErr w:type="spellStart"/>
      <w:r w:rsidRPr="00B84532">
        <w:rPr>
          <w:rFonts w:ascii="Times New Roman" w:hAnsi="Times New Roman" w:cs="Times New Roman"/>
        </w:rPr>
        <w:t>Jingzhou</w:t>
      </w:r>
      <w:proofErr w:type="spellEnd"/>
      <w:r w:rsidRPr="00B84532">
        <w:rPr>
          <w:rFonts w:ascii="Times New Roman" w:hAnsi="Times New Roman" w:cs="Times New Roman"/>
        </w:rPr>
        <w:t xml:space="preserve">, Kuehnle </w:t>
      </w:r>
      <w:proofErr w:type="spellStart"/>
      <w:r w:rsidRPr="00B84532">
        <w:rPr>
          <w:rFonts w:ascii="Times New Roman" w:hAnsi="Times New Roman" w:cs="Times New Roman"/>
        </w:rPr>
        <w:t>Agrosystems</w:t>
      </w:r>
      <w:proofErr w:type="spellEnd"/>
      <w:r w:rsidRPr="00B84532">
        <w:rPr>
          <w:rFonts w:ascii="Times New Roman" w:hAnsi="Times New Roman" w:cs="Times New Roman"/>
        </w:rPr>
        <w:t xml:space="preserve">, Kunming Biogenic, Nippon, </w:t>
      </w:r>
      <w:proofErr w:type="spellStart"/>
      <w:r w:rsidRPr="00B84532">
        <w:rPr>
          <w:rFonts w:ascii="Times New Roman" w:hAnsi="Times New Roman" w:cs="Times New Roman"/>
        </w:rPr>
        <w:t>Regenurex</w:t>
      </w:r>
      <w:proofErr w:type="spellEnd"/>
      <w:r w:rsidRPr="00B84532">
        <w:rPr>
          <w:rFonts w:ascii="Times New Roman" w:hAnsi="Times New Roman" w:cs="Times New Roman"/>
        </w:rPr>
        <w:t xml:space="preserve">, </w:t>
      </w:r>
      <w:proofErr w:type="spellStart"/>
      <w:r w:rsidRPr="00B84532">
        <w:rPr>
          <w:rFonts w:ascii="Times New Roman" w:hAnsi="Times New Roman" w:cs="Times New Roman"/>
        </w:rPr>
        <w:t>Wefirst</w:t>
      </w:r>
      <w:proofErr w:type="spellEnd"/>
      <w:r w:rsidRPr="00B84532">
        <w:rPr>
          <w:rFonts w:ascii="Times New Roman" w:hAnsi="Times New Roman" w:cs="Times New Roman"/>
        </w:rPr>
        <w:t xml:space="preserve"> </w:t>
      </w:r>
      <w:r w:rsidR="002F0DE6" w:rsidRPr="00B84532">
        <w:rPr>
          <w:rFonts w:ascii="Times New Roman" w:hAnsi="Times New Roman" w:cs="Times New Roman"/>
        </w:rPr>
        <w:t>among others</w:t>
      </w:r>
      <w:r w:rsidRPr="00B84532">
        <w:rPr>
          <w:rFonts w:ascii="Times New Roman" w:hAnsi="Times New Roman" w:cs="Times New Roman"/>
        </w:rPr>
        <w:t xml:space="preserve">) for human </w:t>
      </w:r>
      <w:r w:rsidR="002F0DE6" w:rsidRPr="00B84532">
        <w:rPr>
          <w:rFonts w:ascii="Times New Roman" w:hAnsi="Times New Roman" w:cs="Times New Roman"/>
        </w:rPr>
        <w:t xml:space="preserve">health </w:t>
      </w:r>
      <w:r w:rsidRPr="00B84532">
        <w:rPr>
          <w:rFonts w:ascii="Times New Roman" w:hAnsi="Times New Roman" w:cs="Times New Roman"/>
        </w:rPr>
        <w:t xml:space="preserve">supplements but are also currently being used in commercial fish and shrimp aquafeeds as </w:t>
      </w:r>
      <w:r w:rsidR="002F0DE6" w:rsidRPr="00B84532">
        <w:rPr>
          <w:rFonts w:ascii="Times New Roman" w:hAnsi="Times New Roman" w:cs="Times New Roman"/>
        </w:rPr>
        <w:t>‘</w:t>
      </w:r>
      <w:r w:rsidRPr="00B84532">
        <w:rPr>
          <w:rFonts w:ascii="Times New Roman" w:hAnsi="Times New Roman" w:cs="Times New Roman"/>
        </w:rPr>
        <w:t>natural-source</w:t>
      </w:r>
      <w:r w:rsidR="002F0DE6" w:rsidRPr="00B84532">
        <w:rPr>
          <w:rFonts w:ascii="Times New Roman" w:hAnsi="Times New Roman" w:cs="Times New Roman"/>
        </w:rPr>
        <w:t>’</w:t>
      </w:r>
      <w:r w:rsidRPr="00B84532">
        <w:rPr>
          <w:rFonts w:ascii="Times New Roman" w:hAnsi="Times New Roman" w:cs="Times New Roman"/>
        </w:rPr>
        <w:t xml:space="preserve"> alternatives to synthetic</w:t>
      </w:r>
      <w:r w:rsidR="003349BB">
        <w:rPr>
          <w:rFonts w:ascii="Times New Roman" w:hAnsi="Times New Roman" w:cs="Times New Roman"/>
        </w:rPr>
        <w:t xml:space="preserve"> pigments, particularly</w:t>
      </w:r>
      <w:r w:rsidRPr="00B84532">
        <w:rPr>
          <w:rFonts w:ascii="Times New Roman" w:hAnsi="Times New Roman" w:cs="Times New Roman"/>
        </w:rPr>
        <w:t xml:space="preserve"> astaxanthin </w:t>
      </w:r>
      <w:r w:rsidR="00A8504A" w:rsidRPr="00B845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{"citationID":"a2lj2m8d2je","properties":{"formattedCitation":"\\super 284\\nosupersub{}","plainCitation":"284","noteIndex":0},"citationItems":[{"id":1002,"uris":["http://zotero.org/groups/4669668/items/NGJSYYIM"],"itemData":{"id":1002,"type":"chapter","container-title":"Microalgal Biotechnology","event-place":"Rijeka","note":"section: 8\nDOI: 10.5772/intechopen.73551","publisher":"IntechOpen","publisher-place":"Rijeka","title":"The potential for ‘next-generation’, microalgae-based feed ingredients for salmonid aquaculture in context of the blue revolution","URL":"https://doi.org/10.5772/intechopen.73551","author":[{"family":"Tibbetts","given":"Sean Michael"}],"editor":[{"family":"Jacob-Lopes","given":"Eduardo"},{"family":"Zepka","given":"Leila Queiroz"},{"family":"Queiroz","given":"Maria Isabel"}],"issued":{"date-parts":[["2018"]]}}}],"schema":"https://github.com/citation-style-language/schema/raw/master/csl-citation.json"} </w:instrText>
      </w:r>
      <w:r w:rsidR="00A8504A" w:rsidRPr="00B84532">
        <w:rPr>
          <w:rFonts w:ascii="Times New Roman" w:hAnsi="Times New Roman" w:cs="Times New Roman"/>
        </w:rPr>
        <w:fldChar w:fldCharType="separate"/>
      </w:r>
      <w:r w:rsidR="002D38F0" w:rsidRPr="002D38F0">
        <w:rPr>
          <w:rFonts w:ascii="Times New Roman" w:hAnsi="Times New Roman" w:cs="Times New Roman"/>
          <w:szCs w:val="24"/>
          <w:vertAlign w:val="superscript"/>
        </w:rPr>
        <w:t>284</w:t>
      </w:r>
      <w:r w:rsidR="00A8504A" w:rsidRPr="00B84532">
        <w:rPr>
          <w:rFonts w:ascii="Times New Roman" w:hAnsi="Times New Roman" w:cs="Times New Roman"/>
        </w:rPr>
        <w:fldChar w:fldCharType="end"/>
      </w:r>
      <w:r w:rsidRPr="00B84532">
        <w:rPr>
          <w:rFonts w:ascii="Times New Roman" w:hAnsi="Times New Roman" w:cs="Times New Roman"/>
        </w:rPr>
        <w:t xml:space="preserve">. The amount of dietary astaxanthin required for market-acceptable pigmentation of farmed fish and shrimp is </w:t>
      </w:r>
      <w:r w:rsidR="00402E20" w:rsidRPr="00B84532">
        <w:rPr>
          <w:rFonts w:ascii="Times New Roman" w:hAnsi="Times New Roman" w:cs="Times New Roman"/>
        </w:rPr>
        <w:t xml:space="preserve">very </w:t>
      </w:r>
      <w:r w:rsidRPr="00B84532">
        <w:rPr>
          <w:rFonts w:ascii="Times New Roman" w:hAnsi="Times New Roman" w:cs="Times New Roman"/>
        </w:rPr>
        <w:t>low (typically &lt;80 mg/kg). As such, high inclusion levels of these products are unnecessary (</w:t>
      </w:r>
      <w:r w:rsidR="00402E20" w:rsidRPr="00B84532">
        <w:rPr>
          <w:rFonts w:ascii="Times New Roman" w:hAnsi="Times New Roman" w:cs="Times New Roman"/>
        </w:rPr>
        <w:t xml:space="preserve">generally </w:t>
      </w:r>
      <w:r w:rsidRPr="00B84532">
        <w:rPr>
          <w:rFonts w:ascii="Times New Roman" w:hAnsi="Times New Roman" w:cs="Times New Roman"/>
        </w:rPr>
        <w:t>&lt;5%</w:t>
      </w:r>
      <w:r w:rsidR="00D83850" w:rsidRPr="00B84532">
        <w:rPr>
          <w:rFonts w:ascii="Times New Roman" w:hAnsi="Times New Roman" w:cs="Times New Roman"/>
        </w:rPr>
        <w:t xml:space="preserve"> of </w:t>
      </w:r>
      <w:r w:rsidR="00402E20" w:rsidRPr="00B84532">
        <w:rPr>
          <w:rFonts w:ascii="Times New Roman" w:hAnsi="Times New Roman" w:cs="Times New Roman"/>
        </w:rPr>
        <w:t xml:space="preserve">the </w:t>
      </w:r>
      <w:r w:rsidR="00D83850" w:rsidRPr="00B84532">
        <w:rPr>
          <w:rFonts w:ascii="Times New Roman" w:hAnsi="Times New Roman" w:cs="Times New Roman"/>
        </w:rPr>
        <w:t>diet</w:t>
      </w:r>
      <w:r w:rsidRPr="00B84532">
        <w:rPr>
          <w:rFonts w:ascii="Times New Roman" w:hAnsi="Times New Roman" w:cs="Times New Roman"/>
        </w:rPr>
        <w:t xml:space="preserve">) provided that astaxanthin bioavailability is high. This does not appear to be an issue for oils and blended oleoresins </w:t>
      </w:r>
      <w:r w:rsidR="00402E20" w:rsidRPr="00B84532">
        <w:rPr>
          <w:rFonts w:ascii="Times New Roman" w:hAnsi="Times New Roman" w:cs="Times New Roman"/>
        </w:rPr>
        <w:t xml:space="preserve">extracted from </w:t>
      </w:r>
      <w:r w:rsidR="00FC2A2C">
        <w:rPr>
          <w:rFonts w:ascii="Times New Roman" w:hAnsi="Times New Roman" w:cs="Times New Roman"/>
        </w:rPr>
        <w:t>single-cell</w:t>
      </w:r>
      <w:r w:rsidR="00402E20" w:rsidRPr="00B84532">
        <w:rPr>
          <w:rFonts w:ascii="Times New Roman" w:hAnsi="Times New Roman" w:cs="Times New Roman"/>
        </w:rPr>
        <w:t xml:space="preserve"> microorganisms </w:t>
      </w:r>
      <w:r w:rsidRPr="00B84532">
        <w:rPr>
          <w:rFonts w:ascii="Times New Roman" w:hAnsi="Times New Roman" w:cs="Times New Roman"/>
        </w:rPr>
        <w:t>but most whole-cell powders generally require cell-rupture processing to ensure this</w:t>
      </w:r>
      <w:r w:rsidR="00402E20" w:rsidRPr="00B84532">
        <w:rPr>
          <w:rFonts w:ascii="Times New Roman" w:hAnsi="Times New Roman" w:cs="Times New Roman"/>
        </w:rPr>
        <w:t>;</w:t>
      </w:r>
      <w:r w:rsidR="00D83850" w:rsidRPr="00B84532">
        <w:rPr>
          <w:rFonts w:ascii="Times New Roman" w:hAnsi="Times New Roman" w:cs="Times New Roman"/>
        </w:rPr>
        <w:t xml:space="preserve"> although weakened-cell wall strains and production systems are now in development </w:t>
      </w:r>
      <w:r w:rsidR="00A8504A" w:rsidRPr="00B845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{"citationID":"a225p6oe70o","properties":{"formattedCitation":"\\super 298\\nosupersub{}","plainCitation":"298","noteIndex":0},"citationItems":[{"id":1079,"uris":["http://zotero.org/groups/4669668/items/CISXV56C"],"itemData":{"id":1079,"type":"article-journal","abstract":"Fillet colour is an important quality indicator for consumers. To achieve flesh colouration in farmed salmonids, synthetic astaxanthin (Ax) pigment is added to the feed. Cost, safety and consumer preference are increasing research efforts for non-synthetic Ax alternatives. Haematococcus pluvialis (Hp) is an efficient producer of Ax but has not been effective in pigmenting salmonid flesh due to its rigid cell wall structure. A novel form of Hp has been cultivated to possess a weakened cell wall, which may increase Ax bioavailability. To assess pigmenting ability, Ax retention, tissue content and fillet colouration were measured in rainbow trout (Onchorhynchus mykiss) fed diets containing this pre-commercial Hp product. Sixty rainbow trout (992 g ± 177.24 g) were PIT (passive integrated transponder)-tagged, distributed among six tanks and fed one of three experimental diets: No Ax (N-Ax), synthetic Ax (S-Ax; 80 mg/kg Ax) or Ax from Hp whole cells (Hp-Ax; 60 mg/kg Ax). After 10 weeks, tissue Ax content and flesh colour were assessed. No significant (p &gt; 0.05) differences were evident in either growth metrics, fillet Ax content, retention or colouration were observed between S-Ax and Hp-Ax treatments. Ax retention was 15.4 ± 0.23%, respectively, for fish fed the Hp diet. SalmoFan™ colour readings of S-Ax and Hp-Ax fillets ranged from 28 to 34 and were significantly higher than N-Ax fillets (p &lt; 0.001). This novel whole-cell Haematococcus pluvialis was equally efficient at pigmenting the flesh of rainbow trout compared with synthetic Ax.","container-title":"Aquaculture Research","DOI":"10.1111/are.15758","ISSN":"1365-2109","issue":"6","language":"en","note":"_eprint: https://onlinelibrary.wiley.com/doi/pdf/10.1111/are.15758","page":"2408-2419","source":"Wiley Online Library","title":"Effects of a novel weakened whole-cell form of Haematococcus pluvialis on flesh pigmentation of rainbow trout (Oncorhynchus mykiss) when compared to synthetic astaxanthin","volume":"53","author":[{"family":"Hart","given":"Bailey"},{"family":"Colombo","given":"Stefanie M."}],"issued":{"date-parts":[["2022"]]}}}],"schema":"https://github.com/citation-style-language/schema/raw/master/csl-citation.json"} </w:instrText>
      </w:r>
      <w:r w:rsidR="00A8504A" w:rsidRPr="00B84532">
        <w:rPr>
          <w:rFonts w:ascii="Times New Roman" w:hAnsi="Times New Roman" w:cs="Times New Roman"/>
        </w:rPr>
        <w:fldChar w:fldCharType="separate"/>
      </w:r>
      <w:r w:rsidR="002D38F0" w:rsidRPr="002D38F0">
        <w:rPr>
          <w:rFonts w:ascii="Times New Roman" w:hAnsi="Times New Roman" w:cs="Times New Roman"/>
          <w:szCs w:val="24"/>
          <w:vertAlign w:val="superscript"/>
        </w:rPr>
        <w:t>298</w:t>
      </w:r>
      <w:r w:rsidR="00A8504A" w:rsidRPr="00B84532">
        <w:rPr>
          <w:rFonts w:ascii="Times New Roman" w:hAnsi="Times New Roman" w:cs="Times New Roman"/>
        </w:rPr>
        <w:fldChar w:fldCharType="end"/>
      </w:r>
      <w:r w:rsidRPr="00B84532">
        <w:rPr>
          <w:rFonts w:ascii="Times New Roman" w:hAnsi="Times New Roman" w:cs="Times New Roman"/>
        </w:rPr>
        <w:t xml:space="preserve">. Although these </w:t>
      </w:r>
      <w:r w:rsidR="00D83850" w:rsidRPr="00B84532">
        <w:rPr>
          <w:rFonts w:ascii="Times New Roman" w:hAnsi="Times New Roman" w:cs="Times New Roman"/>
        </w:rPr>
        <w:t xml:space="preserve">natural-source </w:t>
      </w:r>
      <w:r w:rsidRPr="00B84532">
        <w:rPr>
          <w:rFonts w:ascii="Times New Roman" w:hAnsi="Times New Roman" w:cs="Times New Roman"/>
        </w:rPr>
        <w:t xml:space="preserve">single-cell ingredients remain comparatively expensive relative to synthetic astaxanthin, they are increasingly </w:t>
      </w:r>
      <w:r w:rsidR="002F0DE6" w:rsidRPr="00B84532">
        <w:rPr>
          <w:rFonts w:ascii="Times New Roman" w:hAnsi="Times New Roman" w:cs="Times New Roman"/>
        </w:rPr>
        <w:t xml:space="preserve">in demand </w:t>
      </w:r>
      <w:r w:rsidRPr="00B84532">
        <w:rPr>
          <w:rFonts w:ascii="Times New Roman" w:hAnsi="Times New Roman" w:cs="Times New Roman"/>
        </w:rPr>
        <w:t xml:space="preserve">for sustainability purposes and </w:t>
      </w:r>
      <w:r w:rsidR="002F0DE6" w:rsidRPr="00B84532">
        <w:rPr>
          <w:rFonts w:ascii="Times New Roman" w:hAnsi="Times New Roman" w:cs="Times New Roman"/>
        </w:rPr>
        <w:t xml:space="preserve">for </w:t>
      </w:r>
      <w:r w:rsidRPr="00B84532">
        <w:rPr>
          <w:rFonts w:ascii="Times New Roman" w:hAnsi="Times New Roman" w:cs="Times New Roman"/>
        </w:rPr>
        <w:t>organic aquaculture product certification.</w:t>
      </w:r>
    </w:p>
    <w:p w14:paraId="0FB28B60" w14:textId="77777777" w:rsidR="00A761E5" w:rsidRPr="00B84532" w:rsidRDefault="00A761E5" w:rsidP="00522623">
      <w:pPr>
        <w:spacing w:line="360" w:lineRule="auto"/>
        <w:contextualSpacing/>
        <w:jc w:val="both"/>
        <w:rPr>
          <w:rFonts w:ascii="Times New Roman" w:hAnsi="Times New Roman" w:cs="Times New Roman"/>
          <w:b/>
          <w:bCs/>
        </w:rPr>
      </w:pPr>
      <w:r w:rsidRPr="00B84532">
        <w:rPr>
          <w:rFonts w:ascii="Times New Roman" w:hAnsi="Times New Roman" w:cs="Times New Roman"/>
          <w:b/>
          <w:bCs/>
        </w:rPr>
        <w:t>Perspectives</w:t>
      </w:r>
    </w:p>
    <w:p w14:paraId="2DD17875" w14:textId="364BF2B5" w:rsidR="00EA7BF2" w:rsidRPr="00B84532" w:rsidRDefault="00A761E5" w:rsidP="00522623">
      <w:pPr>
        <w:spacing w:line="360" w:lineRule="auto"/>
        <w:ind w:firstLine="720"/>
        <w:contextualSpacing/>
        <w:jc w:val="both"/>
        <w:rPr>
          <w:rFonts w:ascii="Times New Roman" w:hAnsi="Times New Roman" w:cs="Times New Roman"/>
        </w:rPr>
      </w:pPr>
      <w:r w:rsidRPr="00B84532">
        <w:rPr>
          <w:rFonts w:ascii="Times New Roman" w:hAnsi="Times New Roman" w:cs="Times New Roman"/>
        </w:rPr>
        <w:t xml:space="preserve">In the same manner as 2nd generation aquafeed ingredients (e.g., those derived from terrestrial crops), is it unlikely that any one 3rd generation </w:t>
      </w:r>
      <w:r w:rsidR="00FC2A2C">
        <w:rPr>
          <w:rFonts w:ascii="Times New Roman" w:hAnsi="Times New Roman" w:cs="Times New Roman"/>
        </w:rPr>
        <w:t>single-cell</w:t>
      </w:r>
      <w:r w:rsidRPr="00B84532">
        <w:rPr>
          <w:rFonts w:ascii="Times New Roman" w:hAnsi="Times New Roman" w:cs="Times New Roman"/>
        </w:rPr>
        <w:t xml:space="preserve"> ingredient will become a ‘panacea’ for most </w:t>
      </w:r>
      <w:r w:rsidR="006A24FE" w:rsidRPr="00B84532">
        <w:rPr>
          <w:rFonts w:ascii="Times New Roman" w:hAnsi="Times New Roman" w:cs="Times New Roman"/>
        </w:rPr>
        <w:t>economically important</w:t>
      </w:r>
      <w:r w:rsidRPr="00B84532">
        <w:rPr>
          <w:rFonts w:ascii="Times New Roman" w:hAnsi="Times New Roman" w:cs="Times New Roman"/>
        </w:rPr>
        <w:t xml:space="preserve"> farmed fish and shrimp species. Rather, it is anticipated that several select single-cell ingredients (</w:t>
      </w:r>
      <w:r w:rsidR="00AE1904" w:rsidRPr="00B84532">
        <w:rPr>
          <w:rFonts w:ascii="Times New Roman" w:hAnsi="Times New Roman" w:cs="Times New Roman"/>
        </w:rPr>
        <w:t xml:space="preserve">along with </w:t>
      </w:r>
      <w:r w:rsidRPr="00B84532">
        <w:rPr>
          <w:rFonts w:ascii="Times New Roman" w:hAnsi="Times New Roman" w:cs="Times New Roman"/>
        </w:rPr>
        <w:t xml:space="preserve">other alternative </w:t>
      </w:r>
      <w:r w:rsidR="00AE1904" w:rsidRPr="00B84532">
        <w:rPr>
          <w:rFonts w:ascii="Times New Roman" w:hAnsi="Times New Roman" w:cs="Times New Roman"/>
        </w:rPr>
        <w:t xml:space="preserve">feed </w:t>
      </w:r>
      <w:r w:rsidRPr="00B84532">
        <w:rPr>
          <w:rFonts w:ascii="Times New Roman" w:hAnsi="Times New Roman" w:cs="Times New Roman"/>
        </w:rPr>
        <w:t xml:space="preserve">ingredients discussed in this </w:t>
      </w:r>
      <w:r w:rsidR="00412244" w:rsidRPr="00B84532">
        <w:rPr>
          <w:rFonts w:ascii="Times New Roman" w:hAnsi="Times New Roman" w:cs="Times New Roman"/>
        </w:rPr>
        <w:t>review</w:t>
      </w:r>
      <w:r w:rsidRPr="00B84532">
        <w:rPr>
          <w:rFonts w:ascii="Times New Roman" w:hAnsi="Times New Roman" w:cs="Times New Roman"/>
        </w:rPr>
        <w:t xml:space="preserve">) can be strategically </w:t>
      </w:r>
      <w:r w:rsidR="002F0DE6" w:rsidRPr="00B84532">
        <w:rPr>
          <w:rFonts w:ascii="Times New Roman" w:hAnsi="Times New Roman" w:cs="Times New Roman"/>
        </w:rPr>
        <w:t xml:space="preserve">selected and </w:t>
      </w:r>
      <w:r w:rsidRPr="00B84532">
        <w:rPr>
          <w:rFonts w:ascii="Times New Roman" w:hAnsi="Times New Roman" w:cs="Times New Roman"/>
        </w:rPr>
        <w:t xml:space="preserve">combined to provide a </w:t>
      </w:r>
      <w:r w:rsidR="006A24FE" w:rsidRPr="00B84532">
        <w:rPr>
          <w:rFonts w:ascii="Times New Roman" w:hAnsi="Times New Roman" w:cs="Times New Roman"/>
        </w:rPr>
        <w:t>highly nutritious</w:t>
      </w:r>
      <w:r w:rsidRPr="00B84532">
        <w:rPr>
          <w:rFonts w:ascii="Times New Roman" w:hAnsi="Times New Roman" w:cs="Times New Roman"/>
        </w:rPr>
        <w:t xml:space="preserve"> complement of essential nutrients that replicate conventional gold-standard 1st generation marine ingredients (e.g., </w:t>
      </w:r>
      <w:r w:rsidR="006A24FE" w:rsidRPr="00B84532">
        <w:rPr>
          <w:rFonts w:ascii="Times New Roman" w:hAnsi="Times New Roman" w:cs="Times New Roman"/>
        </w:rPr>
        <w:t>FM</w:t>
      </w:r>
      <w:r w:rsidRPr="00B84532">
        <w:rPr>
          <w:rFonts w:ascii="Times New Roman" w:hAnsi="Times New Roman" w:cs="Times New Roman"/>
        </w:rPr>
        <w:t xml:space="preserve"> and </w:t>
      </w:r>
      <w:r w:rsidR="006A24FE" w:rsidRPr="00B84532">
        <w:rPr>
          <w:rFonts w:ascii="Times New Roman" w:hAnsi="Times New Roman" w:cs="Times New Roman"/>
        </w:rPr>
        <w:t>FO).</w:t>
      </w:r>
      <w:r w:rsidRPr="00B84532">
        <w:rPr>
          <w:rFonts w:ascii="Times New Roman" w:hAnsi="Times New Roman" w:cs="Times New Roman"/>
        </w:rPr>
        <w:t xml:space="preserve"> As the technolog</w:t>
      </w:r>
      <w:r w:rsidR="002F0DE6" w:rsidRPr="00B84532">
        <w:rPr>
          <w:rFonts w:ascii="Times New Roman" w:hAnsi="Times New Roman" w:cs="Times New Roman"/>
        </w:rPr>
        <w:t>ies</w:t>
      </w:r>
      <w:r w:rsidRPr="00B84532">
        <w:rPr>
          <w:rFonts w:ascii="Times New Roman" w:hAnsi="Times New Roman" w:cs="Times New Roman"/>
        </w:rPr>
        <w:t xml:space="preserve"> advance, production volumes grow and prices come down, it can be expected that several </w:t>
      </w:r>
      <w:r w:rsidR="00FC2A2C">
        <w:rPr>
          <w:rFonts w:ascii="Times New Roman" w:hAnsi="Times New Roman" w:cs="Times New Roman"/>
        </w:rPr>
        <w:t>single-cell</w:t>
      </w:r>
      <w:r w:rsidRPr="00B84532">
        <w:rPr>
          <w:rFonts w:ascii="Times New Roman" w:hAnsi="Times New Roman" w:cs="Times New Roman"/>
        </w:rPr>
        <w:t xml:space="preserve"> ingredients will gradually replace 2nd generation aquafeed ingredients as protein and lipid sources and, indeed, </w:t>
      </w:r>
      <w:r w:rsidR="00FA04F8" w:rsidRPr="00B84532">
        <w:rPr>
          <w:rFonts w:ascii="Times New Roman" w:hAnsi="Times New Roman" w:cs="Times New Roman"/>
        </w:rPr>
        <w:t>FM</w:t>
      </w:r>
      <w:r w:rsidRPr="00B84532">
        <w:rPr>
          <w:rFonts w:ascii="Times New Roman" w:hAnsi="Times New Roman" w:cs="Times New Roman"/>
        </w:rPr>
        <w:t xml:space="preserve"> and </w:t>
      </w:r>
      <w:r w:rsidR="00FA04F8" w:rsidRPr="00B84532">
        <w:rPr>
          <w:rFonts w:ascii="Times New Roman" w:hAnsi="Times New Roman" w:cs="Times New Roman"/>
        </w:rPr>
        <w:t>FO</w:t>
      </w:r>
      <w:r w:rsidRPr="00B84532">
        <w:rPr>
          <w:rFonts w:ascii="Times New Roman" w:hAnsi="Times New Roman" w:cs="Times New Roman"/>
        </w:rPr>
        <w:t xml:space="preserve"> as well. Furthermore, unlike 2nd generation ingredients used in today’s modern aquafeeds; </w:t>
      </w:r>
      <w:r w:rsidR="00FC2A2C">
        <w:rPr>
          <w:rFonts w:ascii="Times New Roman" w:hAnsi="Times New Roman" w:cs="Times New Roman"/>
        </w:rPr>
        <w:t>single-cell</w:t>
      </w:r>
      <w:r w:rsidRPr="00B84532">
        <w:rPr>
          <w:rFonts w:ascii="Times New Roman" w:hAnsi="Times New Roman" w:cs="Times New Roman"/>
        </w:rPr>
        <w:t xml:space="preserve"> ingredients have a much greater capacity for tailored production through a </w:t>
      </w:r>
      <w:r w:rsidR="002F0DE6" w:rsidRPr="00B84532">
        <w:rPr>
          <w:rFonts w:ascii="Times New Roman" w:hAnsi="Times New Roman" w:cs="Times New Roman"/>
        </w:rPr>
        <w:t>CBF</w:t>
      </w:r>
      <w:r w:rsidRPr="00B84532">
        <w:rPr>
          <w:rFonts w:ascii="Times New Roman" w:hAnsi="Times New Roman" w:cs="Times New Roman"/>
        </w:rPr>
        <w:t xml:space="preserve"> that increases the utilization of raw materials (e.g., industrial waste</w:t>
      </w:r>
      <w:r w:rsidR="00DB0A79" w:rsidRPr="00B84532">
        <w:rPr>
          <w:rFonts w:ascii="Times New Roman" w:hAnsi="Times New Roman" w:cs="Times New Roman"/>
        </w:rPr>
        <w:t xml:space="preserve"> </w:t>
      </w:r>
      <w:r w:rsidRPr="00B84532">
        <w:rPr>
          <w:rFonts w:ascii="Times New Roman" w:hAnsi="Times New Roman" w:cs="Times New Roman"/>
        </w:rPr>
        <w:t xml:space="preserve">streams), decreases aerial land and potable water use, decreases the carbon footprint of aquafeed production, and enhances the overall sustainability and resiliency of fish and shrimp aquaculture. However, in order for Aquafeed 3.0 to be fully realized, these alternative ingredients must be available at prices that are competitive with established ingredients, they must possess functional attributes that do not impede the extrusion process and negatively </w:t>
      </w:r>
      <w:r w:rsidRPr="00315550">
        <w:rPr>
          <w:rFonts w:ascii="Times New Roman" w:hAnsi="Times New Roman" w:cs="Times New Roman"/>
        </w:rPr>
        <w:t xml:space="preserve">affect pellet quality, and they need to be produced at large enough bulk scales to ensure consistent and predictable nutritional profiles at a stable and readily available supply to aquafeed manufacturers, and these barriers remain challenges for many </w:t>
      </w:r>
      <w:r w:rsidR="00FC2A2C">
        <w:rPr>
          <w:rFonts w:ascii="Times New Roman" w:hAnsi="Times New Roman" w:cs="Times New Roman"/>
        </w:rPr>
        <w:t>single-cell</w:t>
      </w:r>
      <w:r w:rsidRPr="00315550">
        <w:rPr>
          <w:rFonts w:ascii="Times New Roman" w:hAnsi="Times New Roman" w:cs="Times New Roman"/>
        </w:rPr>
        <w:t xml:space="preserve"> ingredients.  </w:t>
      </w:r>
      <w:r w:rsidR="00B95724">
        <w:rPr>
          <w:rFonts w:ascii="Times New Roman" w:hAnsi="Times New Roman" w:cs="Times New Roman"/>
        </w:rPr>
        <w:t xml:space="preserve">The </w:t>
      </w:r>
      <w:r w:rsidRPr="00315550">
        <w:rPr>
          <w:rFonts w:ascii="Times New Roman" w:hAnsi="Times New Roman" w:cs="Times New Roman"/>
        </w:rPr>
        <w:t>published literature</w:t>
      </w:r>
      <w:r w:rsidR="00B95724">
        <w:rPr>
          <w:rFonts w:ascii="Times New Roman" w:hAnsi="Times New Roman" w:cs="Times New Roman"/>
        </w:rPr>
        <w:t xml:space="preserve"> </w:t>
      </w:r>
      <w:r w:rsidR="00B95724" w:rsidRPr="00F47F1F">
        <w:rPr>
          <w:rFonts w:ascii="Times New Roman" w:hAnsi="Times New Roman" w:cs="Times New Roman"/>
        </w:rPr>
        <w:t>compiled for this section of the review (</w:t>
      </w:r>
      <w:r w:rsidR="00B95724" w:rsidRPr="00E44E0A">
        <w:rPr>
          <w:rFonts w:ascii="Times New Roman" w:hAnsi="Times New Roman" w:cs="Times New Roman"/>
        </w:rPr>
        <w:t>Supplementary Table S1 and S2) demonstrates</w:t>
      </w:r>
      <w:r w:rsidRPr="00315550">
        <w:rPr>
          <w:rFonts w:ascii="Times New Roman" w:hAnsi="Times New Roman" w:cs="Times New Roman"/>
        </w:rPr>
        <w:t xml:space="preserve"> that </w:t>
      </w:r>
      <w:proofErr w:type="gramStart"/>
      <w:r w:rsidRPr="00315550">
        <w:rPr>
          <w:rFonts w:ascii="Times New Roman" w:hAnsi="Times New Roman" w:cs="Times New Roman"/>
        </w:rPr>
        <w:t>the majority of</w:t>
      </w:r>
      <w:proofErr w:type="gramEnd"/>
      <w:r w:rsidRPr="00315550">
        <w:rPr>
          <w:rFonts w:ascii="Times New Roman" w:hAnsi="Times New Roman" w:cs="Times New Roman"/>
        </w:rPr>
        <w:t xml:space="preserve"> nutritional studies conducted </w:t>
      </w:r>
      <w:r w:rsidR="00B95724">
        <w:rPr>
          <w:rFonts w:ascii="Times New Roman" w:hAnsi="Times New Roman" w:cs="Times New Roman"/>
        </w:rPr>
        <w:t xml:space="preserve">so far </w:t>
      </w:r>
      <w:r w:rsidRPr="00315550">
        <w:rPr>
          <w:rFonts w:ascii="Times New Roman" w:hAnsi="Times New Roman" w:cs="Times New Roman"/>
        </w:rPr>
        <w:t xml:space="preserve">with </w:t>
      </w:r>
      <w:r w:rsidR="00FC2A2C">
        <w:rPr>
          <w:rFonts w:ascii="Times New Roman" w:hAnsi="Times New Roman" w:cs="Times New Roman"/>
        </w:rPr>
        <w:t>single-cell</w:t>
      </w:r>
      <w:r w:rsidRPr="00315550">
        <w:rPr>
          <w:rFonts w:ascii="Times New Roman" w:hAnsi="Times New Roman" w:cs="Times New Roman"/>
        </w:rPr>
        <w:t xml:space="preserve"> ingredients have focused on microalgae, cyanobacteria and protists, at least more so than bacteria and yeast at this point, although these too </w:t>
      </w:r>
      <w:r w:rsidR="00B95724">
        <w:rPr>
          <w:rFonts w:ascii="Times New Roman" w:hAnsi="Times New Roman" w:cs="Times New Roman"/>
        </w:rPr>
        <w:t xml:space="preserve">may </w:t>
      </w:r>
      <w:r w:rsidRPr="00315550">
        <w:rPr>
          <w:rFonts w:ascii="Times New Roman" w:hAnsi="Times New Roman" w:cs="Times New Roman"/>
        </w:rPr>
        <w:t xml:space="preserve">have tremendous potential. In addition, most studies have </w:t>
      </w:r>
      <w:r w:rsidR="004C105D" w:rsidRPr="00315550">
        <w:rPr>
          <w:rFonts w:ascii="Times New Roman" w:hAnsi="Times New Roman" w:cs="Times New Roman"/>
        </w:rPr>
        <w:t>focused</w:t>
      </w:r>
      <w:r w:rsidRPr="00315550">
        <w:rPr>
          <w:rFonts w:ascii="Times New Roman" w:hAnsi="Times New Roman" w:cs="Times New Roman"/>
        </w:rPr>
        <w:t xml:space="preserve"> on highly carnivorous species like salmonids and shrimps, and less on omnivorous species like tilapia and others. As discussed, several </w:t>
      </w:r>
      <w:r w:rsidR="00FC2A2C">
        <w:rPr>
          <w:rFonts w:ascii="Times New Roman" w:hAnsi="Times New Roman" w:cs="Times New Roman"/>
        </w:rPr>
        <w:t>single-cell</w:t>
      </w:r>
      <w:r w:rsidRPr="00315550">
        <w:rPr>
          <w:rFonts w:ascii="Times New Roman" w:hAnsi="Times New Roman" w:cs="Times New Roman"/>
        </w:rPr>
        <w:t xml:space="preserve"> ingredients are now commercially </w:t>
      </w:r>
      <w:r w:rsidR="00A116E0" w:rsidRPr="00315550">
        <w:rPr>
          <w:rFonts w:ascii="Times New Roman" w:hAnsi="Times New Roman" w:cs="Times New Roman"/>
        </w:rPr>
        <w:t>available,</w:t>
      </w:r>
      <w:r w:rsidRPr="00315550">
        <w:rPr>
          <w:rFonts w:ascii="Times New Roman" w:hAnsi="Times New Roman" w:cs="Times New Roman"/>
        </w:rPr>
        <w:t xml:space="preserve"> and these are beginning to have positive impacts o</w:t>
      </w:r>
      <w:r w:rsidR="0010143F" w:rsidRPr="00315550">
        <w:rPr>
          <w:rFonts w:ascii="Times New Roman" w:hAnsi="Times New Roman" w:cs="Times New Roman"/>
        </w:rPr>
        <w:t xml:space="preserve">n </w:t>
      </w:r>
      <w:r w:rsidRPr="00315550">
        <w:rPr>
          <w:rFonts w:ascii="Times New Roman" w:hAnsi="Times New Roman" w:cs="Times New Roman"/>
        </w:rPr>
        <w:t xml:space="preserve">enhancing aquafeed sustainability by reducing environmental footprint and ultimately helping to improve product quality, </w:t>
      </w:r>
      <w:proofErr w:type="gramStart"/>
      <w:r w:rsidRPr="00315550">
        <w:rPr>
          <w:rFonts w:ascii="Times New Roman" w:hAnsi="Times New Roman" w:cs="Times New Roman"/>
        </w:rPr>
        <w:t>consumer</w:t>
      </w:r>
      <w:proofErr w:type="gramEnd"/>
      <w:r w:rsidRPr="00315550">
        <w:rPr>
          <w:rFonts w:ascii="Times New Roman" w:hAnsi="Times New Roman" w:cs="Times New Roman"/>
        </w:rPr>
        <w:t xml:space="preserve"> </w:t>
      </w:r>
      <w:r w:rsidR="00E64D6A" w:rsidRPr="00315550">
        <w:rPr>
          <w:rFonts w:ascii="Times New Roman" w:hAnsi="Times New Roman" w:cs="Times New Roman"/>
        </w:rPr>
        <w:t>and societal acceptance</w:t>
      </w:r>
      <w:r w:rsidRPr="00315550">
        <w:rPr>
          <w:rFonts w:ascii="Times New Roman" w:hAnsi="Times New Roman" w:cs="Times New Roman"/>
        </w:rPr>
        <w:t>. Key examples highlighted in this section were sources of n-3 LC-PUFA</w:t>
      </w:r>
      <w:r w:rsidR="00974DA4" w:rsidRPr="00315550">
        <w:rPr>
          <w:rFonts w:ascii="Times New Roman" w:hAnsi="Times New Roman" w:cs="Times New Roman"/>
        </w:rPr>
        <w:t>-rich</w:t>
      </w:r>
      <w:r w:rsidRPr="00315550">
        <w:rPr>
          <w:rFonts w:ascii="Times New Roman" w:hAnsi="Times New Roman" w:cs="Times New Roman"/>
        </w:rPr>
        <w:t xml:space="preserve"> lipids from marine microalgae and protists and sources of essential amino acid</w:t>
      </w:r>
      <w:r w:rsidR="00F74FEC" w:rsidRPr="00315550">
        <w:rPr>
          <w:rFonts w:ascii="Times New Roman" w:hAnsi="Times New Roman" w:cs="Times New Roman"/>
        </w:rPr>
        <w:t xml:space="preserve"> (EAA)</w:t>
      </w:r>
      <w:r w:rsidRPr="00315550">
        <w:rPr>
          <w:rFonts w:ascii="Times New Roman" w:hAnsi="Times New Roman" w:cs="Times New Roman"/>
        </w:rPr>
        <w:t xml:space="preserve"> rich proteins from freshwater cyanobacteria and methanotrophic bacteria. While </w:t>
      </w:r>
      <w:r w:rsidR="00FC2A2C">
        <w:rPr>
          <w:rFonts w:ascii="Times New Roman" w:hAnsi="Times New Roman" w:cs="Times New Roman"/>
        </w:rPr>
        <w:t>single-cell</w:t>
      </w:r>
      <w:r w:rsidRPr="00315550">
        <w:rPr>
          <w:rFonts w:ascii="Times New Roman" w:hAnsi="Times New Roman" w:cs="Times New Roman"/>
        </w:rPr>
        <w:t xml:space="preserve"> ingredients produced from some yeasts have shown potential for use as bulk protein sources, many species and strains have shown poor digestibility without significant downstream processing </w:t>
      </w:r>
      <w:r w:rsidR="00A8504A" w:rsidRPr="00315550">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{"citationID":"akc4r6603e","properties":{"formattedCitation":"\\super 299\\nosupersub{}","plainCitation":"299","noteIndex":0},"citationItems":[{"id":913,"uris":["http://zotero.org/groups/4669668/items/HB8JLEFM"],"itemData":{"id":913,"type":"article-journal","abstract":"The use of the yeasts Candida utilis, Kluyveromyces marxianus and Saccharomyces cerevisiae as protein sources in diets for Atlantic salmon (Salmo salar) pre-smolts was investigated. An 89day study was conducted using triplicate groups of Atlantic salmon with 28g initial weight kept in fresh water. The dietary treatments consisted of a control diet based on high-quality fish meal (FM diet) and three experimental diets with C. utilis (CU diet), K. marxianus (KM diet) or S. cerevisiae (SC diet) yeast, substituting 40% of the crude protein (CP) from FM. There was no difference in final weight or specific growth rate (SGR) of fish fed the CU diet and the FM diet. The SC diet resulted in lower final weight and SGR, and higher average daily feed intake (ADFI) and feed conversion ratio (FCR) than the FM diet, and higher ADFI and FCR than the KM and CU diets. Fish fed the SC diet had decreased retention of nitrogen and energy, while fish fed the CU diet had increased nitrogen retention compared with those fed the FM diet. In general, feeding the SC diets gave lower digestibility of CP, amino acids, and energy compared with the FM, KM and CU diets, whereas there was no difference in nutrient or amino acid digestibility between the KM and CU diet and the FM diet. Feeding KM and SC gave higher total gut weight and higher distal intestinal weight compared with the FM diet. Plasma cholesterol level was lower for the KM and SC diets while plasma glutathione peroxidase levels were higher for the KM diet compared with the FM diet. In conclusion, feeding moderate levels of S. cerevisiae reduced growth performance and nutrient utilization, while C. utilis and K. marxianus were shown to be promising protein sources in diets for Atlantic salmon, capable of replacing 40% of the protein from high-quality fishmeal without adversely affecting growth performance, digestibility or nutrient retention.","container-title":"Aquaculture","DOI":"10.1016/j.aquaculture.2013.03.016","ISSN":"0044-8486","journalAbbreviation":"Aquaculture","language":"en","page":"1-7","source":"ScienceDirect","title":"Evaluation of Candida utilis, Kluyveromyces marxianus and Saccharomyces cerevisiae yeasts as protein sources in diets for Atlantic salmon (Salmo salar)","volume":"402-403","author":[{"family":"Øverland","given":"Margareth"},{"family":"Karlsson","given":"Anders"},{"family":"Mydland","given":"Liv Torunn"},{"family":"Romarheim","given":"Odd Helge"},{"family":"Skrede","given":"Anders"}],"issued":{"date-parts":[["2013",7,15]]}}}],"schema":"https://github.com/citation-style-language/schema/raw/master/csl-citation.json"} </w:instrText>
      </w:r>
      <w:r w:rsidR="00A8504A" w:rsidRPr="00315550">
        <w:rPr>
          <w:rFonts w:ascii="Times New Roman" w:hAnsi="Times New Roman" w:cs="Times New Roman"/>
        </w:rPr>
        <w:fldChar w:fldCharType="separate"/>
      </w:r>
      <w:r w:rsidR="002D38F0" w:rsidRPr="002D38F0">
        <w:rPr>
          <w:rFonts w:ascii="Times New Roman" w:hAnsi="Times New Roman" w:cs="Times New Roman"/>
          <w:szCs w:val="24"/>
          <w:vertAlign w:val="superscript"/>
        </w:rPr>
        <w:t>299</w:t>
      </w:r>
      <w:r w:rsidR="00A8504A" w:rsidRPr="00315550">
        <w:rPr>
          <w:rFonts w:ascii="Times New Roman" w:hAnsi="Times New Roman" w:cs="Times New Roman"/>
        </w:rPr>
        <w:fldChar w:fldCharType="end"/>
      </w:r>
      <w:r w:rsidRPr="00315550">
        <w:rPr>
          <w:rFonts w:ascii="Times New Roman" w:hAnsi="Times New Roman" w:cs="Times New Roman"/>
        </w:rPr>
        <w:t xml:space="preserve">. However, most yeast-derived products are currently used at low inclusion levels (rather than bulk proteins and lipids) either as natural-source astaxanthin for </w:t>
      </w:r>
      <w:r w:rsidRPr="00B84532">
        <w:rPr>
          <w:rFonts w:ascii="Times New Roman" w:hAnsi="Times New Roman" w:cs="Times New Roman"/>
        </w:rPr>
        <w:t xml:space="preserve">flesh pigmentation and as a dietary antioxidant or as a result of the fact that some of their intracellular or cell wall components (e.g., mannan oligosaccharides, nucleic acids and β-glucans) are proving effective at enhancing intestinal health and acting in a functional immunomodulatory role; both of which </w:t>
      </w:r>
      <w:r w:rsidR="004C61B9">
        <w:rPr>
          <w:rFonts w:ascii="Times New Roman" w:hAnsi="Times New Roman" w:cs="Times New Roman"/>
        </w:rPr>
        <w:t xml:space="preserve">can </w:t>
      </w:r>
      <w:r w:rsidRPr="00B84532">
        <w:rPr>
          <w:rFonts w:ascii="Times New Roman" w:hAnsi="Times New Roman" w:cs="Times New Roman"/>
        </w:rPr>
        <w:t xml:space="preserve">enhance fish health and product quality for the consumer </w:t>
      </w:r>
      <w:r w:rsidR="00A8504A" w:rsidRPr="00B845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{"citationID":"a2f18t6n273","properties":{"formattedCitation":"\\super 300,301\\nosupersub{}","plainCitation":"300,301","noteIndex":0},"citationItems":[{"id":917,"uris":["http://zotero.org/groups/4669668/items/ELBVHPIH"],"itemData":{"id":917,"type":"article-journal","abstract":"The major hindrance in the development and sustainability of aquaculture industry is the occurrence of various diseases in the farming systems. Today, preventive and management measures are central concern to overcome such outbreak of diseases. Immunostimulants are considered as an effective tool for enhancing immune status of cultured organisms. Among different immunostimulants used in aquaculture practices, β-glucan is one of the promising immunostimulant, which is a homopolysaccharide of glucose molecule linked by the glycoside bond. It forms the major constituents of cell wall of some plants, fungi, bacteria, mushroom, yeast, and seaweeds. Major attention on β-glucan was captivated with the gain in knowledge on its receptors and the mechanism of action. The receptor present inside the animal body recognizes and binds to β-glucan, which in turn renders the animal with high resistance and enhanced immune response. This review highlights β-glucan as an immunostimulant, its effective dosages, and route of administration and furthermore provides an outline on role of β-glucan in enhancing growth, survival, and protection against infectious pathogens pertaining to fishes and shellfishes. Study also summarizes the effect of β-glucan on its receptors, recognition of proteins, immune-related enzymes, immune-related gene expression and their mechanisms of action.","container-title":"Fish Physiology and Biochemistry","DOI":"10.1007/s10695-012-9710-5","ISSN":"1573-5168","issue":"3","journalAbbreviation":"Fish Physiol Biochem","language":"en","note":"number: 3","page":"431-457","source":"Springer Link","title":"Beta-glucan: an ideal immunostimulant in aquaculture (a review)","title-short":"Beta-glucan","volume":"39","author":[{"family":"Meena","given":"D. K."},{"family":"Das","given":"Pronob"},{"family":"Kumar","given":"Shailesh"},{"family":"Mandal","given":"S. C."},{"family":"Prusty","given":"A. K."},{"family":"Singh","given":"S. K."},{"family":"Akhtar","given":"M. S."},{"family":"Behera","given":"B. K."},{"family":"Kumar","given":"Kundan"},{"family":"Pal","given":"A. K."},{"family":"Mukherjee","given":"S. C."}],"issued":{"date-parts":[["2013",6,1]]}}},{"id":903,"uris":["http://zotero.org/groups/4669668/items/8WYZITP9"],"itemData":{"id":903,"type":"article-journal","abstract":"Numerous yeast products and yeast-containing feed ingredients are commercially produced, marketed, and used extensively in animal feeds around the world. Considerable research has been conducted to evaluate the potential animal growth performance and health benefits of adding yeast, yeast-derivatives, and yeast-containing ingredients into animal feeds. Active dry yeasts are commonly used solely or in combination with beneficial bacteria in probiotic products. Nutritional yeasts are used as supplements in animal feeds due to their relatively high protein and amino acid, energy, and micronutrient content compared with common feed grains and oilseed meals. Other important yeast-based products contain nutraceutical compounds present in yeast cells and cell walls (i.e. β-glucans, mannanoligosaccharides, nucleotides) that have generally been shown to improve animal growth performance and health. Specialty yeast products, such as selenium yeast (highly concentrated and bioavailable source of selenium) and Phaffia rhodozyma yeast (contains pigment that improves flesh color in salmon and trout) have specific applications in some animal feeds. Ethanol co-products such as corn distillers dried grains with solubles (DDGS) and new grains distillers dried yeast ingredients, containing more than 40% crude protein, also contain significant amounts of yeast cell and nutraceutical components. Therefore, because these yeast-based products have several nutritional and health benefits, they are becoming alternative supplements in animal feed due to restrictions on antimicrobial growth promoter use in many countries. However, it is difficult for nutritionists to differentiate the characteristics, composition, and optimal feeding applications among the diverse number of yeast-containing products available. Furthermore, most of these products contain combinations of probiotics and nutraceutical compounds with different modes of action, making it difficult to determine which compounds contribute to specific responses observed. Quantification of these nutraceutical compounds is difficult, and except for methods to determine viable yeast in dried active yeast products, there are no standard methods for determining dead yeast concentration or fast, inexpensive, and accurate methods to estimate the proportion of yeast components in various yeast-containing additives and feed ingredients. Due to the increasing popularity of using yeast-based products in animal feeds, development of analytical approaches to estimate yeast and its components in these products is greatly needed. In this review, various categories of commercially available yeast and yeast-containing additives and feed ingredients will be described along with our current knowledge about their role in improving animal growth performance, health, and proposed mechanisms of action, and challenges of quantifying yeast content and their biologically active components.","container-title":"Animal Feed Science and Technology","DOI":"10.1016/j.anifeedsci.2017.11.010","ISSN":"0377-8401","journalAbbreviation":"Animal Feed Science and Technology","language":"en","page":"60-76","source":"ScienceDirect","title":"Yeast and yeast derivatives in feed additives and ingredients: Sources, characteristics, animal responses, and quantification methods","title-short":"Yeast and yeast derivatives in feed additives and ingredients","volume":"235","author":[{"family":"Shurson","given":"G. C."}],"issued":{"date-parts":[["2018",1,1]]}}}],"schema":"https://github.com/citation-style-language/schema/raw/master/csl-citation.json"} </w:instrText>
      </w:r>
      <w:r w:rsidR="00A8504A" w:rsidRPr="00B84532">
        <w:rPr>
          <w:rFonts w:ascii="Times New Roman" w:hAnsi="Times New Roman" w:cs="Times New Roman"/>
        </w:rPr>
        <w:fldChar w:fldCharType="separate"/>
      </w:r>
      <w:r w:rsidR="002D38F0" w:rsidRPr="002D38F0">
        <w:rPr>
          <w:rFonts w:ascii="Times New Roman" w:hAnsi="Times New Roman" w:cs="Times New Roman"/>
          <w:szCs w:val="24"/>
          <w:vertAlign w:val="superscript"/>
        </w:rPr>
        <w:t>300,301</w:t>
      </w:r>
      <w:r w:rsidR="00A8504A" w:rsidRPr="00B84532">
        <w:rPr>
          <w:rFonts w:ascii="Times New Roman" w:hAnsi="Times New Roman" w:cs="Times New Roman"/>
        </w:rPr>
        <w:fldChar w:fldCharType="end"/>
      </w:r>
      <w:r w:rsidRPr="00B84532">
        <w:rPr>
          <w:rFonts w:ascii="Times New Roman" w:hAnsi="Times New Roman" w:cs="Times New Roman"/>
        </w:rPr>
        <w:t xml:space="preserve">. While other promising </w:t>
      </w:r>
      <w:r w:rsidR="00FC2A2C">
        <w:rPr>
          <w:rFonts w:ascii="Times New Roman" w:hAnsi="Times New Roman" w:cs="Times New Roman"/>
        </w:rPr>
        <w:t>single-cell</w:t>
      </w:r>
      <w:r w:rsidRPr="00B84532">
        <w:rPr>
          <w:rFonts w:ascii="Times New Roman" w:hAnsi="Times New Roman" w:cs="Times New Roman"/>
        </w:rPr>
        <w:t xml:space="preserve"> ingredients are currently under development utilizing newly isolated strains of bacteria, protists, </w:t>
      </w:r>
      <w:r w:rsidR="00E64D6A" w:rsidRPr="00B84532">
        <w:rPr>
          <w:rFonts w:ascii="Times New Roman" w:hAnsi="Times New Roman" w:cs="Times New Roman"/>
        </w:rPr>
        <w:t>microalgae,</w:t>
      </w:r>
      <w:r w:rsidRPr="00B84532">
        <w:rPr>
          <w:rFonts w:ascii="Times New Roman" w:hAnsi="Times New Roman" w:cs="Times New Roman"/>
        </w:rPr>
        <w:t xml:space="preserve"> and yeast (particularly marine strains) that can be produced under a </w:t>
      </w:r>
      <w:r w:rsidR="00974DA4" w:rsidRPr="00B84532">
        <w:rPr>
          <w:rFonts w:ascii="Times New Roman" w:hAnsi="Times New Roman" w:cs="Times New Roman"/>
        </w:rPr>
        <w:t>CBF</w:t>
      </w:r>
      <w:r w:rsidRPr="00B84532">
        <w:rPr>
          <w:rFonts w:ascii="Times New Roman" w:hAnsi="Times New Roman" w:cs="Times New Roman"/>
        </w:rPr>
        <w:t xml:space="preserve">, significant barriers like growth rate and productivity, cell-wall recalcitrance and innovative ‘green’ downstream processing requirements, and cost of production issues </w:t>
      </w:r>
      <w:r w:rsidR="003172FC" w:rsidRPr="00B84532">
        <w:rPr>
          <w:rFonts w:ascii="Times New Roman" w:hAnsi="Times New Roman" w:cs="Times New Roman"/>
        </w:rPr>
        <w:t>remain,</w:t>
      </w:r>
      <w:r w:rsidRPr="00B84532">
        <w:rPr>
          <w:rFonts w:ascii="Times New Roman" w:hAnsi="Times New Roman" w:cs="Times New Roman"/>
        </w:rPr>
        <w:t xml:space="preserve"> and unprecedented global efforts are now resolving these challenges.</w:t>
      </w:r>
    </w:p>
    <w:p w14:paraId="66266EC1" w14:textId="4F734AB9" w:rsidR="00EA7BF2" w:rsidRPr="00FB7686" w:rsidRDefault="00EA7BF2" w:rsidP="00522623">
      <w:pPr>
        <w:spacing w:line="360" w:lineRule="auto"/>
        <w:contextualSpacing/>
        <w:jc w:val="both"/>
        <w:rPr>
          <w:rFonts w:ascii="Times New Roman" w:hAnsi="Times New Roman" w:cs="Times New Roman"/>
          <w:b/>
          <w:bCs/>
          <w:sz w:val="28"/>
          <w:szCs w:val="28"/>
        </w:rPr>
      </w:pPr>
      <w:r w:rsidRPr="00FB7686">
        <w:rPr>
          <w:rFonts w:ascii="Times New Roman" w:hAnsi="Times New Roman" w:cs="Times New Roman"/>
          <w:b/>
          <w:bCs/>
          <w:sz w:val="28"/>
          <w:szCs w:val="28"/>
        </w:rPr>
        <w:t>Macroalgae</w:t>
      </w:r>
    </w:p>
    <w:p w14:paraId="285F9912" w14:textId="40618D0C" w:rsidR="00D61979" w:rsidRPr="007213A7" w:rsidRDefault="00D61979" w:rsidP="00522623">
      <w:pPr>
        <w:spacing w:line="360" w:lineRule="auto"/>
        <w:ind w:firstLine="720"/>
        <w:contextualSpacing/>
        <w:jc w:val="both"/>
        <w:rPr>
          <w:rFonts w:ascii="Times New Roman" w:hAnsi="Times New Roman" w:cs="Times New Roman"/>
        </w:rPr>
      </w:pPr>
      <w:r w:rsidRPr="00FA3AD3">
        <w:rPr>
          <w:rFonts w:ascii="Times New Roman" w:hAnsi="Times New Roman" w:cs="Times New Roman"/>
        </w:rPr>
        <w:t xml:space="preserve">Macroalgae (or seaweed) can be divided into three main groups: green (Chlorophyta), red, (Rhodophyta) and brown (Phaeophyta) algae. This highly taxonomically diverse group of aquatic organisms has long been investigated as a potential aquafeed ingredient due to their </w:t>
      </w:r>
      <w:r w:rsidR="005C36A9">
        <w:rPr>
          <w:rFonts w:ascii="Times New Roman" w:hAnsi="Times New Roman" w:cs="Times New Roman"/>
        </w:rPr>
        <w:t>sustainability</w:t>
      </w:r>
      <w:r w:rsidR="005C36A9" w:rsidRPr="00FA3AD3">
        <w:rPr>
          <w:rFonts w:ascii="Times New Roman" w:hAnsi="Times New Roman" w:cs="Times New Roman"/>
        </w:rPr>
        <w:t xml:space="preserve"> </w:t>
      </w:r>
      <w:r w:rsidRPr="00FA3AD3">
        <w:rPr>
          <w:rFonts w:ascii="Times New Roman" w:hAnsi="Times New Roman" w:cs="Times New Roman"/>
        </w:rPr>
        <w:t xml:space="preserve">attributes. Furthermore, substantial quantities of macroalgae can be grown either at sea (e.g., long lines, rafts, and nets), or </w:t>
      </w:r>
      <w:r w:rsidR="00DD3CC6" w:rsidRPr="00FA3AD3">
        <w:rPr>
          <w:rFonts w:ascii="Times New Roman" w:hAnsi="Times New Roman" w:cs="Times New Roman"/>
        </w:rPr>
        <w:t xml:space="preserve">in </w:t>
      </w:r>
      <w:r w:rsidRPr="00FA3AD3">
        <w:rPr>
          <w:rFonts w:ascii="Times New Roman" w:hAnsi="Times New Roman" w:cs="Times New Roman"/>
        </w:rPr>
        <w:t>land-based facilities (e.g., tanks and ponds). Depending on the species, the algae can be propagated by division and attached to the long lines (e.g., Eucheuma species) or tumble cultured. Alternatively, spores (gametophytes) are collected from the adult</w:t>
      </w:r>
      <w:r w:rsidRPr="00D61979">
        <w:rPr>
          <w:rFonts w:ascii="Times New Roman" w:hAnsi="Times New Roman" w:cs="Times New Roman"/>
        </w:rPr>
        <w:t xml:space="preserve"> </w:t>
      </w:r>
      <w:r w:rsidRPr="007213A7">
        <w:rPr>
          <w:rFonts w:ascii="Times New Roman" w:hAnsi="Times New Roman" w:cs="Times New Roman"/>
        </w:rPr>
        <w:t xml:space="preserve">individuals and sprayed onto ropes and nets where they settle and are grown to harvestable size. </w:t>
      </w:r>
      <w:r w:rsidR="0056758C">
        <w:rPr>
          <w:rFonts w:ascii="Times New Roman" w:hAnsi="Times New Roman" w:cs="Times New Roman"/>
        </w:rPr>
        <w:t>Wild</w:t>
      </w:r>
      <w:r w:rsidRPr="007213A7">
        <w:rPr>
          <w:rFonts w:ascii="Times New Roman" w:hAnsi="Times New Roman" w:cs="Times New Roman"/>
        </w:rPr>
        <w:t xml:space="preserve"> harvest macroalgae are also extensively carried out at scale for the functional polysaccharides- </w:t>
      </w:r>
      <w:proofErr w:type="spellStart"/>
      <w:r w:rsidRPr="007213A7">
        <w:rPr>
          <w:rFonts w:ascii="Times New Roman" w:hAnsi="Times New Roman" w:cs="Times New Roman"/>
        </w:rPr>
        <w:t>phycocolloids</w:t>
      </w:r>
      <w:proofErr w:type="spellEnd"/>
      <w:r w:rsidRPr="007213A7">
        <w:rPr>
          <w:rFonts w:ascii="Times New Roman" w:hAnsi="Times New Roman" w:cs="Times New Roman"/>
        </w:rPr>
        <w:t xml:space="preserve"> (e.g., agar, alginate, and carrageenan) production industry</w:t>
      </w:r>
      <w:r w:rsidR="00813B0D" w:rsidRPr="007213A7">
        <w:rPr>
          <w:rFonts w:ascii="Times New Roman" w:hAnsi="Times New Roman" w:cs="Times New Roman"/>
        </w:rPr>
        <w:t>. Although,</w:t>
      </w:r>
      <w:r w:rsidRPr="007213A7">
        <w:rPr>
          <w:rFonts w:ascii="Times New Roman" w:hAnsi="Times New Roman" w:cs="Times New Roman"/>
        </w:rPr>
        <w:t xml:space="preserve"> the quantities are limited because of their accessibility at the shoreline and legislative harvest restrictions to protect coastal habitats </w:t>
      </w:r>
      <w:r w:rsidR="00FA3AD3" w:rsidRPr="007213A7">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{"citationID":"a1h5eok5uun","properties":{"formattedCitation":"\\super 302\\nosupersub{}","plainCitation":"302","noteIndex":0},"citationItems":[{"id":880,"uris":["http://zotero.org/groups/4669668/items/GFKTECRV"],"itemData":{"id":880,"type":"article-journal","abstract":"Macroalgae have played an important role in coastal communities for centuries. In the past, they have been harvested and gathered from shorelines around the world for traditional uses such as food, animal feed and a crude fertilizer (marine manure). Today, seaweeds are used in a multitude of applications with expanding global industries based on hydrocolloids, cosmetics and food supplements, and also as a potential biofuel source. However, of the approximately 10 000 algal species reported to exist, only a small number are commercially utilized. While representing only a small fraction of total global seaweed production, harvesting and gathering ‘wild’ seaweeds has had, and continues to have, an integral role in many coastal societies, often being intrinsically linked to the cultural identity of those coastal communities. Today, 32 countries actively harvest seaweeds from wild stocks, with over 800 000 t harvested annually from natural beds. It is vitally important that seaweeds are utilized sustainably and that natural resources are effectively managed by coastal communities with vested interests around the world. As the popularity of seaweeds increases and the use of less traditional species with novel applications comes to the fore, it is critically important to make certain that the sustainability of the resource is ensured given the increased pressures of harvesting. Issues exist regarding ownership of the resource and its over-exploitation, and the implementation of environmentally damaging harvesting techniques must be avoided. Resource scientists, managers, conservationists, governments, and other stakeholders need to be proactive in the sustainable management of these vulnerable, yet valuable, resources.","container-title":"European Journal of Phycology","DOI":"10.1080/09670262.2017.1365273","ISSN":"0967-0262","issue":"4","note":"number: 4\npublisher: Taylor &amp; Francis\n_eprint: https://doi.org/10.1080/09670262.2017.1365273","page":"371-390","source":"Taylor and Francis+NEJM","title":"Sustainable harvesting of wild seaweed resources","volume":"52","author":[{"family":"Mac Monagail","given":"Michéal"},{"family":"Cornish","given":"Lynn"},{"family":"Morrison","given":"Liam"},{"family":"Araújo","given":"Rita"},{"family":"Critchley","given":"Alan T."}],"issued":{"date-parts":[["2017",10,2]]}}}],"schema":"https://github.com/citation-style-language/schema/raw/master/csl-citation.json"} </w:instrText>
      </w:r>
      <w:r w:rsidR="00FA3AD3" w:rsidRPr="007213A7">
        <w:rPr>
          <w:rFonts w:ascii="Times New Roman" w:hAnsi="Times New Roman" w:cs="Times New Roman"/>
        </w:rPr>
        <w:fldChar w:fldCharType="separate"/>
      </w:r>
      <w:r w:rsidR="002D38F0" w:rsidRPr="002D38F0">
        <w:rPr>
          <w:rFonts w:ascii="Times New Roman" w:hAnsi="Times New Roman" w:cs="Times New Roman"/>
          <w:szCs w:val="24"/>
          <w:vertAlign w:val="superscript"/>
        </w:rPr>
        <w:t>302</w:t>
      </w:r>
      <w:r w:rsidR="00FA3AD3" w:rsidRPr="007213A7">
        <w:rPr>
          <w:rFonts w:ascii="Times New Roman" w:hAnsi="Times New Roman" w:cs="Times New Roman"/>
        </w:rPr>
        <w:fldChar w:fldCharType="end"/>
      </w:r>
      <w:r w:rsidRPr="007213A7">
        <w:rPr>
          <w:rFonts w:ascii="Times New Roman" w:hAnsi="Times New Roman" w:cs="Times New Roman"/>
        </w:rPr>
        <w:t xml:space="preserve">. </w:t>
      </w:r>
    </w:p>
    <w:p w14:paraId="2ABBACDD" w14:textId="314EF36C" w:rsidR="00D61979" w:rsidRPr="007213A7" w:rsidRDefault="00D61979" w:rsidP="00522623">
      <w:pPr>
        <w:spacing w:line="360" w:lineRule="auto"/>
        <w:ind w:firstLine="720"/>
        <w:contextualSpacing/>
        <w:jc w:val="both"/>
        <w:rPr>
          <w:rFonts w:ascii="Times New Roman" w:hAnsi="Times New Roman" w:cs="Times New Roman"/>
        </w:rPr>
      </w:pPr>
      <w:r w:rsidRPr="007213A7">
        <w:rPr>
          <w:rFonts w:ascii="Times New Roman" w:hAnsi="Times New Roman" w:cs="Times New Roman"/>
        </w:rPr>
        <w:t xml:space="preserve">Much of the macroalgae aquaculture activities </w:t>
      </w:r>
      <w:r w:rsidR="00DF57DA" w:rsidRPr="007213A7">
        <w:rPr>
          <w:rFonts w:ascii="Times New Roman" w:hAnsi="Times New Roman" w:cs="Times New Roman"/>
        </w:rPr>
        <w:t>are in</w:t>
      </w:r>
      <w:r w:rsidRPr="007213A7">
        <w:rPr>
          <w:rFonts w:ascii="Times New Roman" w:hAnsi="Times New Roman" w:cs="Times New Roman"/>
        </w:rPr>
        <w:t xml:space="preserve"> </w:t>
      </w:r>
      <w:r w:rsidR="00BE431D" w:rsidRPr="007213A7">
        <w:rPr>
          <w:rFonts w:ascii="Times New Roman" w:hAnsi="Times New Roman" w:cs="Times New Roman"/>
        </w:rPr>
        <w:t>Asia</w:t>
      </w:r>
      <w:r w:rsidRPr="007213A7">
        <w:rPr>
          <w:rFonts w:ascii="Times New Roman" w:hAnsi="Times New Roman" w:cs="Times New Roman"/>
        </w:rPr>
        <w:t xml:space="preserve">, with China as the global lead producer with an annual reported harvest of over </w:t>
      </w:r>
      <w:r w:rsidR="00B51118">
        <w:rPr>
          <w:rFonts w:ascii="Times New Roman" w:hAnsi="Times New Roman" w:cs="Times New Roman"/>
        </w:rPr>
        <w:t>25</w:t>
      </w:r>
      <w:r w:rsidR="00B51118" w:rsidRPr="007213A7">
        <w:rPr>
          <w:rFonts w:ascii="Times New Roman" w:hAnsi="Times New Roman" w:cs="Times New Roman"/>
        </w:rPr>
        <w:t xml:space="preserve"> </w:t>
      </w:r>
      <w:r w:rsidRPr="007213A7">
        <w:rPr>
          <w:rFonts w:ascii="Times New Roman" w:hAnsi="Times New Roman" w:cs="Times New Roman"/>
        </w:rPr>
        <w:t xml:space="preserve">million tonnes in </w:t>
      </w:r>
      <w:r w:rsidR="00B51118">
        <w:rPr>
          <w:rFonts w:ascii="Times New Roman" w:hAnsi="Times New Roman" w:cs="Times New Roman"/>
        </w:rPr>
        <w:t>2020</w:t>
      </w:r>
      <w:r w:rsidR="00B622B9">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{"citationID":"a2mnddond1q","properties":{"formattedCitation":"\\super 3\\nosupersub{}","plainCitation":"3","noteIndex":0},"citationItems":[{"id":1692,"uris":["http://zotero.org/users/9431846/items/A6LFH96A"],"itemData":{"id":1692,"type":"book","ISBN":"978-92-5-136367-6","language":"en","note":"DOI: 10.4060/cc0463en","publisher":"FAO","source":"DOI.org (Crossref)","title":"In Brief to The State of World Fisheries and Aquaculture 2022","URL":"http://www.fao.org/documents/card/en/c/cc0463en","accessed":{"date-parts":[["2022",8,27]]},"issued":{"date-parts":[["2022",6,28]]}}}],"schema":"https://github.com/citation-style-language/schema/raw/master/csl-citation.json"} </w:instrText>
      </w:r>
      <w:r w:rsidR="00B622B9">
        <w:rPr>
          <w:rFonts w:ascii="Times New Roman" w:hAnsi="Times New Roman" w:cs="Times New Roman"/>
        </w:rPr>
        <w:fldChar w:fldCharType="separate"/>
      </w:r>
      <w:r w:rsidR="002D38F0" w:rsidRPr="002D38F0">
        <w:rPr>
          <w:rFonts w:ascii="Times New Roman" w:hAnsi="Times New Roman" w:cs="Times New Roman"/>
          <w:szCs w:val="24"/>
          <w:vertAlign w:val="superscript"/>
        </w:rPr>
        <w:t>3</w:t>
      </w:r>
      <w:r w:rsidR="00B622B9">
        <w:rPr>
          <w:rFonts w:ascii="Times New Roman" w:hAnsi="Times New Roman" w:cs="Times New Roman"/>
        </w:rPr>
        <w:fldChar w:fldCharType="end"/>
      </w:r>
      <w:r w:rsidR="00B51118">
        <w:rPr>
          <w:rFonts w:ascii="Times New Roman" w:hAnsi="Times New Roman" w:cs="Times New Roman"/>
        </w:rPr>
        <w:t xml:space="preserve"> </w:t>
      </w:r>
      <w:r w:rsidRPr="007213A7">
        <w:rPr>
          <w:rFonts w:ascii="Times New Roman" w:hAnsi="Times New Roman" w:cs="Times New Roman"/>
        </w:rPr>
        <w:t xml:space="preserve"> </w:t>
      </w:r>
      <w:r w:rsidR="00F12A09">
        <w:rPr>
          <w:rFonts w:ascii="Times New Roman" w:hAnsi="Times New Roman" w:cs="Times New Roman"/>
        </w:rPr>
        <w:t xml:space="preserve">. </w:t>
      </w:r>
      <w:r w:rsidR="00B622B9">
        <w:rPr>
          <w:rFonts w:ascii="Times New Roman" w:hAnsi="Times New Roman" w:cs="Times New Roman"/>
        </w:rPr>
        <w:t>It has been estimated that over 80% of this production is used for human food, with the remainder used in animal feeds and other sectors</w:t>
      </w:r>
      <w:r w:rsidR="007A0EF3">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{"citationID":"a63ju80nvk","properties":{"formattedCitation":"\\super 303\\nosupersub{}","plainCitation":"303","noteIndex":0},"citationItems":[{"id":1845,"uris":["http://zotero.org/users/9431846/items/IHCQ6M6M"],"itemData":{"id":1845,"type":"chapter","container-title":"Algae Biotechnology","event-place":"Cham","ISBN":"978-3-319-12333-2","note":"collection-title: Green Energy and Technology\nDOI: 10.1007/978-3-319-12334-9_12","page":"217-247","publisher":"Springer International Publishing","publisher-place":"Cham","source":"DOI.org (Crossref)","title":"Food and Feed Applications of Algae","URL":"http://link.springer.com/10.1007/978-3-319-12334-9_12","editor":[{"family":"Bux","given":"Faizal"},{"family":"Chisti","given":"Yusuf"}],"author":[{"family":"Packer","given":"Michael A."},{"family":"Harris","given":"Graham C."},{"family":"Adams","given":"Serean L."}],"accessed":{"date-parts":[["2022",9,16]]},"issued":{"date-parts":[["2016"]]}}}],"schema":"https://github.com/citation-style-language/schema/raw/master/csl-citation.json"} </w:instrText>
      </w:r>
      <w:r w:rsidR="007A0EF3">
        <w:rPr>
          <w:rFonts w:ascii="Times New Roman" w:hAnsi="Times New Roman" w:cs="Times New Roman"/>
        </w:rPr>
        <w:fldChar w:fldCharType="separate"/>
      </w:r>
      <w:r w:rsidR="002D38F0" w:rsidRPr="002D38F0">
        <w:rPr>
          <w:rFonts w:ascii="Times New Roman" w:hAnsi="Times New Roman" w:cs="Times New Roman"/>
          <w:szCs w:val="24"/>
          <w:vertAlign w:val="superscript"/>
        </w:rPr>
        <w:t>303</w:t>
      </w:r>
      <w:r w:rsidR="007A0EF3">
        <w:rPr>
          <w:rFonts w:ascii="Times New Roman" w:hAnsi="Times New Roman" w:cs="Times New Roman"/>
        </w:rPr>
        <w:fldChar w:fldCharType="end"/>
      </w:r>
      <w:r w:rsidR="00B622B9">
        <w:rPr>
          <w:rFonts w:ascii="Times New Roman" w:hAnsi="Times New Roman" w:cs="Times New Roman"/>
        </w:rPr>
        <w:t>.</w:t>
      </w:r>
      <w:r w:rsidR="00457F15">
        <w:rPr>
          <w:rFonts w:ascii="Times New Roman" w:hAnsi="Times New Roman" w:cs="Times New Roman"/>
        </w:rPr>
        <w:t xml:space="preserve"> </w:t>
      </w:r>
      <w:r w:rsidRPr="007213A7">
        <w:rPr>
          <w:rFonts w:ascii="Times New Roman" w:hAnsi="Times New Roman" w:cs="Times New Roman"/>
        </w:rPr>
        <w:t>For other nations</w:t>
      </w:r>
      <w:r w:rsidR="00A9667A" w:rsidRPr="007213A7">
        <w:rPr>
          <w:rFonts w:ascii="Times New Roman" w:hAnsi="Times New Roman" w:cs="Times New Roman"/>
        </w:rPr>
        <w:t>,</w:t>
      </w:r>
      <w:r w:rsidRPr="007213A7">
        <w:rPr>
          <w:rFonts w:ascii="Times New Roman" w:hAnsi="Times New Roman" w:cs="Times New Roman"/>
        </w:rPr>
        <w:t xml:space="preserve"> such as those found in Europe and Africa, there have been efforts in upscaling in commercial yields in the past decade (e.g., Norway, Faroe Islands, France, Ireland, and Russia). The cultivation of macroalgae has so far been limited to several species </w:t>
      </w:r>
      <w:r w:rsidR="00A9667A" w:rsidRPr="007213A7">
        <w:rPr>
          <w:rFonts w:ascii="Times New Roman" w:hAnsi="Times New Roman" w:cs="Times New Roman"/>
        </w:rPr>
        <w:t>within</w:t>
      </w:r>
      <w:r w:rsidRPr="007213A7">
        <w:rPr>
          <w:rFonts w:ascii="Times New Roman" w:hAnsi="Times New Roman" w:cs="Times New Roman"/>
        </w:rPr>
        <w:t xml:space="preserve"> the genera: </w:t>
      </w:r>
      <w:proofErr w:type="spellStart"/>
      <w:r w:rsidRPr="007213A7">
        <w:rPr>
          <w:rFonts w:ascii="Times New Roman" w:hAnsi="Times New Roman" w:cs="Times New Roman"/>
          <w:i/>
          <w:iCs/>
        </w:rPr>
        <w:t>Undaria</w:t>
      </w:r>
      <w:proofErr w:type="spellEnd"/>
      <w:r w:rsidRPr="007213A7">
        <w:rPr>
          <w:rFonts w:ascii="Times New Roman" w:hAnsi="Times New Roman" w:cs="Times New Roman"/>
          <w:i/>
          <w:iCs/>
        </w:rPr>
        <w:t xml:space="preserve">, Laminaria, Eucheuma, </w:t>
      </w:r>
      <w:proofErr w:type="spellStart"/>
      <w:r w:rsidRPr="007213A7">
        <w:rPr>
          <w:rFonts w:ascii="Times New Roman" w:hAnsi="Times New Roman" w:cs="Times New Roman"/>
          <w:i/>
          <w:iCs/>
        </w:rPr>
        <w:t>Pyropia</w:t>
      </w:r>
      <w:proofErr w:type="spellEnd"/>
      <w:r w:rsidRPr="007213A7">
        <w:rPr>
          <w:rFonts w:ascii="Times New Roman" w:hAnsi="Times New Roman" w:cs="Times New Roman"/>
        </w:rPr>
        <w:t xml:space="preserve"> (previously designated within </w:t>
      </w:r>
      <w:proofErr w:type="spellStart"/>
      <w:r w:rsidRPr="007213A7">
        <w:rPr>
          <w:rFonts w:ascii="Times New Roman" w:hAnsi="Times New Roman" w:cs="Times New Roman"/>
          <w:i/>
          <w:iCs/>
        </w:rPr>
        <w:t>Porphyra</w:t>
      </w:r>
      <w:proofErr w:type="spellEnd"/>
      <w:r w:rsidRPr="007213A7">
        <w:rPr>
          <w:rFonts w:ascii="Times New Roman" w:hAnsi="Times New Roman" w:cs="Times New Roman"/>
        </w:rPr>
        <w:t xml:space="preserve">), </w:t>
      </w:r>
      <w:r w:rsidRPr="007213A7">
        <w:rPr>
          <w:rFonts w:ascii="Times New Roman" w:hAnsi="Times New Roman" w:cs="Times New Roman"/>
          <w:i/>
          <w:iCs/>
        </w:rPr>
        <w:t xml:space="preserve">Sargassum, </w:t>
      </w:r>
      <w:proofErr w:type="spellStart"/>
      <w:r w:rsidRPr="007213A7">
        <w:rPr>
          <w:rFonts w:ascii="Times New Roman" w:hAnsi="Times New Roman" w:cs="Times New Roman"/>
          <w:i/>
          <w:iCs/>
        </w:rPr>
        <w:t>Kappaphycus</w:t>
      </w:r>
      <w:proofErr w:type="spellEnd"/>
      <w:r w:rsidRPr="007213A7">
        <w:rPr>
          <w:rFonts w:ascii="Times New Roman" w:hAnsi="Times New Roman" w:cs="Times New Roman"/>
        </w:rPr>
        <w:t xml:space="preserve">, and </w:t>
      </w:r>
      <w:proofErr w:type="spellStart"/>
      <w:r w:rsidRPr="007213A7">
        <w:rPr>
          <w:rFonts w:ascii="Times New Roman" w:hAnsi="Times New Roman" w:cs="Times New Roman"/>
          <w:i/>
          <w:iCs/>
        </w:rPr>
        <w:t>Gracilaria</w:t>
      </w:r>
      <w:proofErr w:type="spellEnd"/>
      <w:r w:rsidRPr="007213A7">
        <w:rPr>
          <w:rFonts w:ascii="Times New Roman" w:hAnsi="Times New Roman" w:cs="Times New Roman"/>
        </w:rPr>
        <w:t xml:space="preserve">, even though the latest taxonomic estimates suggest there are over 11,500 macroalgal species in the world: 2,000 brown, 7,500 red, and 2,000 green </w:t>
      </w:r>
      <w:r w:rsidR="00DE5D09" w:rsidRPr="007213A7">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{"citationID":"aovovge4vp","properties":{"formattedCitation":"\\super 304\\nosupersub{}","plainCitation":"304","noteIndex":0},"citationItems":[{"id":"oBlH5SCH/ut0qZiQI","uris":["http://zotero.org/groups/4669668/items/T9X55UFT"],"itemData":{"id":2575,"type":"article-journal","title":"AlgaeBase. World-wide electronic publication, National university of Ireland, Galway","URL":"http://www. algaebase. org/","author":[{"family":"Guiry","given":"M. D."},{"family":"Guiry","given":"G. M"}],"issued":{"date-parts":[["2021"]]}}}],"schema":"https://github.com/citation-style-language/schema/raw/master/csl-citation.json"} </w:instrText>
      </w:r>
      <w:r w:rsidR="00DE5D09" w:rsidRPr="007213A7">
        <w:rPr>
          <w:rFonts w:ascii="Times New Roman" w:hAnsi="Times New Roman" w:cs="Times New Roman"/>
        </w:rPr>
        <w:fldChar w:fldCharType="separate"/>
      </w:r>
      <w:r w:rsidR="002D38F0" w:rsidRPr="002D38F0">
        <w:rPr>
          <w:rFonts w:ascii="Times New Roman" w:hAnsi="Times New Roman" w:cs="Times New Roman"/>
          <w:szCs w:val="24"/>
          <w:vertAlign w:val="superscript"/>
        </w:rPr>
        <w:t>304</w:t>
      </w:r>
      <w:r w:rsidR="00DE5D09" w:rsidRPr="007213A7">
        <w:rPr>
          <w:rFonts w:ascii="Times New Roman" w:hAnsi="Times New Roman" w:cs="Times New Roman"/>
        </w:rPr>
        <w:fldChar w:fldCharType="end"/>
      </w:r>
      <w:r w:rsidRPr="007213A7">
        <w:rPr>
          <w:rFonts w:ascii="Times New Roman" w:hAnsi="Times New Roman" w:cs="Times New Roman"/>
        </w:rPr>
        <w:t xml:space="preserve">. As such, there is substantial scope to diversify macroalgae aquaculture and its potential application for use in aquafeeds. </w:t>
      </w:r>
    </w:p>
    <w:p w14:paraId="3969E9A6" w14:textId="03D145DA" w:rsidR="00D61979" w:rsidRPr="007213A7" w:rsidRDefault="00D61979" w:rsidP="00522623">
      <w:pPr>
        <w:spacing w:line="360" w:lineRule="auto"/>
        <w:ind w:firstLine="720"/>
        <w:contextualSpacing/>
        <w:jc w:val="both"/>
        <w:rPr>
          <w:rFonts w:ascii="Times New Roman" w:hAnsi="Times New Roman" w:cs="Times New Roman"/>
        </w:rPr>
      </w:pPr>
      <w:r w:rsidRPr="007213A7">
        <w:rPr>
          <w:rFonts w:ascii="Times New Roman" w:hAnsi="Times New Roman" w:cs="Times New Roman"/>
        </w:rPr>
        <w:t xml:space="preserve">The domestication of seaweed has brought about </w:t>
      </w:r>
      <w:proofErr w:type="gramStart"/>
      <w:r w:rsidRPr="007213A7">
        <w:rPr>
          <w:rFonts w:ascii="Times New Roman" w:hAnsi="Times New Roman" w:cs="Times New Roman"/>
        </w:rPr>
        <w:t>a number of</w:t>
      </w:r>
      <w:proofErr w:type="gramEnd"/>
      <w:r w:rsidRPr="007213A7">
        <w:rPr>
          <w:rFonts w:ascii="Times New Roman" w:hAnsi="Times New Roman" w:cs="Times New Roman"/>
        </w:rPr>
        <w:t xml:space="preserve"> cultivars that have been selected for their profitable attributes, e.g., high yields, high-temperature resistance, and faster-growing characteristics. This has often been carried out through </w:t>
      </w:r>
      <w:r w:rsidR="00D75DB5">
        <w:rPr>
          <w:rFonts w:ascii="Times New Roman" w:hAnsi="Times New Roman" w:cs="Times New Roman"/>
        </w:rPr>
        <w:t xml:space="preserve">selective </w:t>
      </w:r>
      <w:proofErr w:type="spellStart"/>
      <w:r w:rsidR="00D75DB5">
        <w:rPr>
          <w:rFonts w:ascii="Times New Roman" w:hAnsi="Times New Roman" w:cs="Times New Roman"/>
        </w:rPr>
        <w:t>breeding</w:t>
      </w:r>
      <w:r w:rsidRPr="007213A7">
        <w:rPr>
          <w:rFonts w:ascii="Times New Roman" w:hAnsi="Times New Roman" w:cs="Times New Roman"/>
        </w:rPr>
        <w:t>and</w:t>
      </w:r>
      <w:proofErr w:type="spellEnd"/>
      <w:r w:rsidRPr="007213A7">
        <w:rPr>
          <w:rFonts w:ascii="Times New Roman" w:hAnsi="Times New Roman" w:cs="Times New Roman"/>
        </w:rPr>
        <w:t xml:space="preserve"> </w:t>
      </w:r>
      <w:r w:rsidR="00E53F0E" w:rsidRPr="007213A7">
        <w:rPr>
          <w:rFonts w:ascii="Times New Roman" w:hAnsi="Times New Roman" w:cs="Times New Roman"/>
        </w:rPr>
        <w:t>hybridization</w:t>
      </w:r>
      <w:r w:rsidRPr="007213A7">
        <w:rPr>
          <w:rFonts w:ascii="Times New Roman" w:hAnsi="Times New Roman" w:cs="Times New Roman"/>
        </w:rPr>
        <w:t xml:space="preserve"> techniques in commercially important species: </w:t>
      </w:r>
      <w:r w:rsidRPr="007213A7">
        <w:rPr>
          <w:rFonts w:ascii="Times New Roman" w:hAnsi="Times New Roman" w:cs="Times New Roman"/>
          <w:i/>
          <w:iCs/>
        </w:rPr>
        <w:t>Saccharina japonica</w:t>
      </w:r>
      <w:r w:rsidRPr="007213A7">
        <w:rPr>
          <w:rFonts w:ascii="Times New Roman" w:hAnsi="Times New Roman" w:cs="Times New Roman"/>
        </w:rPr>
        <w:t xml:space="preserve"> and </w:t>
      </w:r>
      <w:proofErr w:type="spellStart"/>
      <w:r w:rsidRPr="007213A7">
        <w:rPr>
          <w:rFonts w:ascii="Times New Roman" w:hAnsi="Times New Roman" w:cs="Times New Roman"/>
          <w:i/>
          <w:iCs/>
        </w:rPr>
        <w:t>Undaria</w:t>
      </w:r>
      <w:proofErr w:type="spellEnd"/>
      <w:r w:rsidRPr="007213A7">
        <w:rPr>
          <w:rFonts w:ascii="Times New Roman" w:hAnsi="Times New Roman" w:cs="Times New Roman"/>
          <w:i/>
          <w:iCs/>
        </w:rPr>
        <w:t xml:space="preserve"> pinnatifida</w:t>
      </w:r>
      <w:r w:rsidRPr="007213A7">
        <w:rPr>
          <w:rFonts w:ascii="Times New Roman" w:hAnsi="Times New Roman" w:cs="Times New Roman"/>
        </w:rPr>
        <w:t xml:space="preserve">. However, the resulting domestication has also led to concerns over the vulnerability of the algal germplasm stock being less diverse potentially leading to a decrease in </w:t>
      </w:r>
      <w:proofErr w:type="spellStart"/>
      <w:r w:rsidRPr="007213A7">
        <w:rPr>
          <w:rFonts w:ascii="Times New Roman" w:hAnsi="Times New Roman" w:cs="Times New Roman"/>
        </w:rPr>
        <w:t>favourable</w:t>
      </w:r>
      <w:proofErr w:type="spellEnd"/>
      <w:r w:rsidRPr="007213A7">
        <w:rPr>
          <w:rFonts w:ascii="Times New Roman" w:hAnsi="Times New Roman" w:cs="Times New Roman"/>
        </w:rPr>
        <w:t xml:space="preserve"> traits and susceptibility to extreme climate impact </w:t>
      </w:r>
      <w:r w:rsidR="00DE5D09" w:rsidRPr="007213A7">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{"citationID":"a2io3m78otf","properties":{"formattedCitation":"\\super 305\\nosupersub{}","plainCitation":"305","noteIndex":0},"citationItems":[{"id":881,"uris":["http://zotero.org/groups/4669668/items/VWK8G59K"],"itemData":{"id":881,"type":"article-journal","abstract":"Globally, China has the largest scale of kelp cultivation and production operations. However, its kelp aquaculture industry is suffering from declining germplasm diversity, degradation of agronomic traits, the presence of polluted environments, changing ocean conditions and increasing anthropological interference. This review covers two of the most commercially important kelp species in China, viz. Saccharina japonica and Undaria pinnatifida. It summarizes the history of their cultivation, production, economic and ecological benefits, their breeding programmes (e.g. inter- and intra-specific hybridization and marker-assisted selection) and efforts towards population genetic diversity and conservation. The article focuses on three significant challenges, for example genetic cross-contamination between the wild and farmed kelp populations, ocean warming and ocean acidification. Accordingly, we outline the steps required to provide several intervention measures, for example (i) collection and preservation of wild and cultivated kelp germplasm; (ii) selection of suitable cultivation sites under changing environmental conditions; (iii) developing stress-resistant cultivars; and finally, (iv) adoption of innovative cultivation models. The review concludes with genome-based, designs for molecular breeding and calls for the establishment of an East Asian Kelp Consortium (EAKC). Collectively, the Chinese kelp industry could provide beneficial goods and services, for example bioenergy to fine chemicals and environmental benefits, such as carbon capture, pH amelioration and provision of habitat for many other marine species of commercial value. The strategies proposed in this article thus have the potential to not only improve but also reinvigorate the kelp industry in China and nearby Japan and Korea, in the context of both environmental health and economic benefits.","container-title":"Reviews in Aquaculture","DOI":"10.1111/raq.12524","ISSN":"1753-5131","issue":"3","language":"en","note":"number: 3\n_eprint: https://onlinelibrary.wiley.com/doi/pdf/10.1111/raq.12524","page":"1324-1351","source":"Wiley Online Library","title":"Kelp aquaculture in China: a retrospective and future prospects","title-short":"Kelp aquaculture in China","volume":"13","author":[{"family":"Hu","given":"Zi-Min"},{"family":"Shan","given":"Ti-Feng"},{"family":"Zhang","given":"Jie"},{"family":"Zhang","given":"Quan-Sheng"},{"family":"Critchley","given":"Alan T."},{"family":"Choi","given":"Han-Gil"},{"family":"Yotsukura","given":"Norishige"},{"family":"Liu","given":"Fu-Li"},{"family":"Duan","given":"De-Lin"}],"issued":{"date-parts":[["2021"]]}}}],"schema":"https://github.com/citation-style-language/schema/raw/master/csl-citation.json"} </w:instrText>
      </w:r>
      <w:r w:rsidR="00DE5D09" w:rsidRPr="007213A7">
        <w:rPr>
          <w:rFonts w:ascii="Times New Roman" w:hAnsi="Times New Roman" w:cs="Times New Roman"/>
        </w:rPr>
        <w:fldChar w:fldCharType="separate"/>
      </w:r>
      <w:r w:rsidR="002D38F0" w:rsidRPr="002D38F0">
        <w:rPr>
          <w:rFonts w:ascii="Times New Roman" w:hAnsi="Times New Roman" w:cs="Times New Roman"/>
          <w:szCs w:val="24"/>
          <w:vertAlign w:val="superscript"/>
        </w:rPr>
        <w:t>305</w:t>
      </w:r>
      <w:r w:rsidR="00DE5D09" w:rsidRPr="007213A7">
        <w:rPr>
          <w:rFonts w:ascii="Times New Roman" w:hAnsi="Times New Roman" w:cs="Times New Roman"/>
        </w:rPr>
        <w:fldChar w:fldCharType="end"/>
      </w:r>
      <w:r w:rsidRPr="007213A7">
        <w:rPr>
          <w:rFonts w:ascii="Times New Roman" w:hAnsi="Times New Roman" w:cs="Times New Roman"/>
        </w:rPr>
        <w:t xml:space="preserve">. </w:t>
      </w:r>
      <w:r w:rsidR="001557D2">
        <w:rPr>
          <w:rFonts w:ascii="Times New Roman" w:hAnsi="Times New Roman" w:cs="Times New Roman"/>
        </w:rPr>
        <w:t xml:space="preserve">Most of </w:t>
      </w:r>
      <w:r w:rsidRPr="007213A7">
        <w:rPr>
          <w:rFonts w:ascii="Times New Roman" w:hAnsi="Times New Roman" w:cs="Times New Roman"/>
        </w:rPr>
        <w:t xml:space="preserve">the </w:t>
      </w:r>
      <w:r w:rsidR="005728E9">
        <w:rPr>
          <w:rFonts w:ascii="Times New Roman" w:hAnsi="Times New Roman" w:cs="Times New Roman"/>
        </w:rPr>
        <w:t>domestication of macroalgae has been concentrated in</w:t>
      </w:r>
      <w:r w:rsidRPr="007213A7">
        <w:rPr>
          <w:rFonts w:ascii="Times New Roman" w:hAnsi="Times New Roman" w:cs="Times New Roman"/>
        </w:rPr>
        <w:t xml:space="preserve"> Asian countries such as China, </w:t>
      </w:r>
      <w:proofErr w:type="gramStart"/>
      <w:r w:rsidRPr="007213A7">
        <w:rPr>
          <w:rFonts w:ascii="Times New Roman" w:hAnsi="Times New Roman" w:cs="Times New Roman"/>
        </w:rPr>
        <w:t>Japan</w:t>
      </w:r>
      <w:proofErr w:type="gramEnd"/>
      <w:r w:rsidRPr="007213A7">
        <w:rPr>
          <w:rFonts w:ascii="Times New Roman" w:hAnsi="Times New Roman" w:cs="Times New Roman"/>
        </w:rPr>
        <w:t xml:space="preserve"> and South Korea</w:t>
      </w:r>
      <w:r w:rsidR="001557D2">
        <w:rPr>
          <w:rFonts w:ascii="Times New Roman" w:hAnsi="Times New Roman" w:cs="Times New Roman"/>
        </w:rPr>
        <w:t xml:space="preserve">. </w:t>
      </w:r>
      <w:r w:rsidRPr="007213A7">
        <w:rPr>
          <w:rFonts w:ascii="Times New Roman" w:hAnsi="Times New Roman" w:cs="Times New Roman"/>
        </w:rPr>
        <w:t xml:space="preserve">Furthermore, these producers often rely on wild populations for their annual seed (spore) stock </w:t>
      </w:r>
      <w:r w:rsidR="009349D9" w:rsidRPr="007213A7">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{"citationID":"apsdbs1qsi","properties":{"formattedCitation":"\\super 306\\nosupersub{}","plainCitation":"306","noteIndex":0},"citationItems":[{"id":874,"uris":["http://zotero.org/groups/4669668/items/PHYHFA44"],"itemData":{"id":874,"type":"article-journal","abstract":"In this paper, we address several issues related to seaweed domestication from an evolutionary and ecological perspective. We briely cover the history of human interactions with seaweed and assess the importance of pre-domestication evolutionary processes. The various steps of the trajectory from wild to domesticated seaweeds are discussed for ive crop seaweeds (i.e. Saccharina japonica (kombu), Pyropia sp. (nori), Undaria pinnatiida (wakame), Gracilaria chilensis (pellilo) and Kappaphycus sp.) to evaluate their domestication status. We show that seaweed domestication resulted from long-term interactions between humans, seaweeds, and environmental factors. This interplay has deeply modiied the coastal ecosystem – sometimes with very detrimental effects (pests and invasions) – but was a key element in the evolutionary process leading to domestication. We then highlight the challenges for future research on seaweed domestication and show how better integration of knowledge on ecology and genetic diversity of wild populations and on the selective pressures exerted by cultivators can promote sustainable seaweed aquaculture.","container-title":"Perspectives in Phycology","DOI":"10.1127/pip/2017/0066","ISSN":"2198-011X","issue":"1","journalAbbreviation":"pip","language":"en","note":"number: 1","page":"33-46","source":"DOI.org (Crossref)","title":"Perspectives on domestication research for sustainable seaweed aquaculture","volume":"4","author":[{"family":"Valero","given":"Myriam"},{"family":"Guillemin","given":"Marie-Laure"},{"family":"Destombe","given":"Christophe"},{"family":"Jacquemin","given":"Bertrand"},{"family":"Gachon","given":"Claire M.M."},{"family":"Badis","given":"Yacine"},{"family":"Buschmann","given":"Alejandro H."},{"family":"Camus","given":"Carolina"},{"family":"Faugeron","given":"Sylvain"}],"issued":{"date-parts":[["2017",5,1]]}}}],"schema":"https://github.com/citation-style-language/schema/raw/master/csl-citation.json"} </w:instrText>
      </w:r>
      <w:r w:rsidR="009349D9" w:rsidRPr="007213A7">
        <w:rPr>
          <w:rFonts w:ascii="Times New Roman" w:hAnsi="Times New Roman" w:cs="Times New Roman"/>
        </w:rPr>
        <w:fldChar w:fldCharType="separate"/>
      </w:r>
      <w:r w:rsidR="002D38F0" w:rsidRPr="002D38F0">
        <w:rPr>
          <w:rFonts w:ascii="Times New Roman" w:hAnsi="Times New Roman" w:cs="Times New Roman"/>
          <w:szCs w:val="24"/>
          <w:vertAlign w:val="superscript"/>
        </w:rPr>
        <w:t>306</w:t>
      </w:r>
      <w:r w:rsidR="009349D9" w:rsidRPr="007213A7">
        <w:rPr>
          <w:rFonts w:ascii="Times New Roman" w:hAnsi="Times New Roman" w:cs="Times New Roman"/>
        </w:rPr>
        <w:fldChar w:fldCharType="end"/>
      </w:r>
      <w:r w:rsidRPr="007213A7">
        <w:rPr>
          <w:rFonts w:ascii="Times New Roman" w:hAnsi="Times New Roman" w:cs="Times New Roman"/>
        </w:rPr>
        <w:t xml:space="preserve">. Nevertheless, there is a need for safeguards to protect cultivated genetic stock, especially when growing the algae at sea where sporulation can occur and mix with wild populations, as evident in kelp species in the Far East </w:t>
      </w:r>
      <w:r w:rsidR="009349D9" w:rsidRPr="007213A7">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{"citationID":"a151v9632hf","properties":{"formattedCitation":"\\super 305\\nosupersub{}","plainCitation":"305","noteIndex":0},"citationItems":[{"id":881,"uris":["http://zotero.org/groups/4669668/items/VWK8G59K"],"itemData":{"id":881,"type":"article-journal","abstract":"Globally, China has the largest scale of kelp cultivation and production operations. However, its kelp aquaculture industry is suffering from declining germplasm diversity, degradation of agronomic traits, the presence of polluted environments, changing ocean conditions and increasing anthropological interference. This review covers two of the most commercially important kelp species in China, viz. Saccharina japonica and Undaria pinnatifida. It summarizes the history of their cultivation, production, economic and ecological benefits, their breeding programmes (e.g. inter- and intra-specific hybridization and marker-assisted selection) and efforts towards population genetic diversity and conservation. The article focuses on three significant challenges, for example genetic cross-contamination between the wild and farmed kelp populations, ocean warming and ocean acidification. Accordingly, we outline the steps required to provide several intervention measures, for example (i) collection and preservation of wild and cultivated kelp germplasm; (ii) selection of suitable cultivation sites under changing environmental conditions; (iii) developing stress-resistant cultivars; and finally, (iv) adoption of innovative cultivation models. The review concludes with genome-based, designs for molecular breeding and calls for the establishment of an East Asian Kelp Consortium (EAKC). Collectively, the Chinese kelp industry could provide beneficial goods and services, for example bioenergy to fine chemicals and environmental benefits, such as carbon capture, pH amelioration and provision of habitat for many other marine species of commercial value. The strategies proposed in this article thus have the potential to not only improve but also reinvigorate the kelp industry in China and nearby Japan and Korea, in the context of both environmental health and economic benefits.","container-title":"Reviews in Aquaculture","DOI":"10.1111/raq.12524","ISSN":"1753-5131","issue":"3","language":"en","note":"number: 3\n_eprint: https://onlinelibrary.wiley.com/doi/pdf/10.1111/raq.12524","page":"1324-1351","source":"Wiley Online Library","title":"Kelp aquaculture in China: a retrospective and future prospects","title-short":"Kelp aquaculture in China","volume":"13","author":[{"family":"Hu","given":"Zi-Min"},{"family":"Shan","given":"Ti-Feng"},{"family":"Zhang","given":"Jie"},{"family":"Zhang","given":"Quan-Sheng"},{"family":"Critchley","given":"Alan T."},{"family":"Choi","given":"Han-Gil"},{"family":"Yotsukura","given":"Norishige"},{"family":"Liu","given":"Fu-Li"},{"family":"Duan","given":"De-Lin"}],"issued":{"date-parts":[["2021"]]}}}],"schema":"https://github.com/citation-style-language/schema/raw/master/csl-citation.json"} </w:instrText>
      </w:r>
      <w:r w:rsidR="009349D9" w:rsidRPr="007213A7">
        <w:rPr>
          <w:rFonts w:ascii="Times New Roman" w:hAnsi="Times New Roman" w:cs="Times New Roman"/>
        </w:rPr>
        <w:fldChar w:fldCharType="separate"/>
      </w:r>
      <w:r w:rsidR="002D38F0" w:rsidRPr="002D38F0">
        <w:rPr>
          <w:rFonts w:ascii="Times New Roman" w:hAnsi="Times New Roman" w:cs="Times New Roman"/>
          <w:szCs w:val="24"/>
          <w:vertAlign w:val="superscript"/>
        </w:rPr>
        <w:t>305</w:t>
      </w:r>
      <w:r w:rsidR="009349D9" w:rsidRPr="007213A7">
        <w:rPr>
          <w:rFonts w:ascii="Times New Roman" w:hAnsi="Times New Roman" w:cs="Times New Roman"/>
        </w:rPr>
        <w:fldChar w:fldCharType="end"/>
      </w:r>
      <w:r w:rsidRPr="007213A7">
        <w:rPr>
          <w:rFonts w:ascii="Times New Roman" w:hAnsi="Times New Roman" w:cs="Times New Roman"/>
        </w:rPr>
        <w:t xml:space="preserve">. </w:t>
      </w:r>
      <w:r w:rsidR="00882312">
        <w:rPr>
          <w:rFonts w:ascii="Times New Roman" w:hAnsi="Times New Roman" w:cs="Times New Roman"/>
        </w:rPr>
        <w:t xml:space="preserve">The </w:t>
      </w:r>
      <w:r w:rsidR="00882312" w:rsidRPr="005500BB">
        <w:rPr>
          <w:rFonts w:ascii="Times New Roman" w:hAnsi="Times New Roman" w:cs="Times New Roman"/>
          <w:sz w:val="24"/>
          <w:szCs w:val="24"/>
        </w:rPr>
        <w:t>expansion of macroalgae production to meet aquafeed needs will also need to overcome the cultivation challenges such as diseases and pest</w:t>
      </w:r>
      <w:r w:rsidR="00882312">
        <w:rPr>
          <w:rFonts w:ascii="Times New Roman" w:hAnsi="Times New Roman" w:cs="Times New Roman"/>
          <w:sz w:val="24"/>
          <w:szCs w:val="24"/>
        </w:rPr>
        <w:t>s</w:t>
      </w:r>
      <w:r w:rsidR="00437250">
        <w:rPr>
          <w:rFonts w:ascii="Times New Roman" w:hAnsi="Times New Roman" w:cs="Times New Roman"/>
          <w:sz w:val="24"/>
          <w:szCs w:val="24"/>
        </w:rPr>
        <w:fldChar w:fldCharType="begin"/>
      </w:r>
      <w:r w:rsidR="002D38F0">
        <w:rPr>
          <w:rFonts w:ascii="Times New Roman" w:hAnsi="Times New Roman" w:cs="Times New Roman"/>
          <w:sz w:val="24"/>
          <w:szCs w:val="24"/>
        </w:rPr>
        <w:instrText xml:space="preserve"> ADDIN ZOTERO_ITEM CSL_CITATION {"citationID":"amo14778ue","properties":{"formattedCitation":"\\super 307\\nosupersub{}","plainCitation":"307","noteIndex":0},"citationItems":[{"id":1846,"uris":["http://zotero.org/users/9431846/items/NJ85LSLB"],"itemData":{"id":1846,"type":"article-journal","container-title":"Journal of the World Aquaculture Society","DOI":"10.1111/jwas.12649","ISSN":"0893-8849, 1749-7345","issue":"4","journalAbbreviation":"J World Aquacult Soc","language":"en","page":"815-828","source":"D</w:instrText>
      </w:r>
      <w:r w:rsidR="002D38F0">
        <w:rPr>
          <w:rFonts w:ascii="Times New Roman" w:hAnsi="Times New Roman" w:cs="Times New Roman" w:hint="eastAsia"/>
          <w:sz w:val="24"/>
          <w:szCs w:val="24"/>
        </w:rPr>
        <w:instrText>OI.org (Crossref)","title":"A review of reported seaweed diseases and pests in aquaculture in Asia","volume":"51","author":[{"family":"Ward","given":"Georgia M."},{"family":"Faisan","given":"Joseph P."},{"family":"Cottier</w:instrText>
      </w:r>
      <w:r w:rsidR="002D38F0">
        <w:rPr>
          <w:rFonts w:ascii="Times New Roman" w:hAnsi="Times New Roman" w:cs="Times New Roman" w:hint="eastAsia"/>
          <w:sz w:val="24"/>
          <w:szCs w:val="24"/>
        </w:rPr>
        <w:instrText>‐</w:instrText>
      </w:r>
      <w:r w:rsidR="002D38F0">
        <w:rPr>
          <w:rFonts w:ascii="Times New Roman" w:hAnsi="Times New Roman" w:cs="Times New Roman" w:hint="eastAsia"/>
          <w:sz w:val="24"/>
          <w:szCs w:val="24"/>
        </w:rPr>
        <w:instrText>Cook","given":"Elizabeth J."},{"f</w:instrText>
      </w:r>
      <w:r w:rsidR="002D38F0">
        <w:rPr>
          <w:rFonts w:ascii="Times New Roman" w:hAnsi="Times New Roman" w:cs="Times New Roman"/>
          <w:sz w:val="24"/>
          <w:szCs w:val="24"/>
        </w:rPr>
        <w:instrText xml:space="preserve">amily":"Gachon","given":"Claire"},{"family":"Hurtado","given":"Anicia Q."},{"family":"Lim","given":"Phaik E."},{"family":"Matoju","given":"Ivy"},{"family":"Msuya","given":"Flower E."},{"family":"Bass","given":"David"},{"family":"Brodie","given":"Juliet"}],"issued":{"date-parts":[["2020",8]]}}}],"schema":"https://github.com/citation-style-language/schema/raw/master/csl-citation.json"} </w:instrText>
      </w:r>
      <w:r w:rsidR="00437250">
        <w:rPr>
          <w:rFonts w:ascii="Times New Roman" w:hAnsi="Times New Roman" w:cs="Times New Roman"/>
          <w:sz w:val="24"/>
          <w:szCs w:val="24"/>
        </w:rPr>
        <w:fldChar w:fldCharType="separate"/>
      </w:r>
      <w:r w:rsidR="002D38F0" w:rsidRPr="002D38F0">
        <w:rPr>
          <w:rFonts w:ascii="Times New Roman" w:hAnsi="Times New Roman" w:cs="Times New Roman"/>
          <w:sz w:val="24"/>
          <w:szCs w:val="24"/>
          <w:vertAlign w:val="superscript"/>
        </w:rPr>
        <w:t>307</w:t>
      </w:r>
      <w:r w:rsidR="00437250">
        <w:rPr>
          <w:rFonts w:ascii="Times New Roman" w:hAnsi="Times New Roman" w:cs="Times New Roman"/>
          <w:sz w:val="24"/>
          <w:szCs w:val="24"/>
        </w:rPr>
        <w:fldChar w:fldCharType="end"/>
      </w:r>
      <w:r w:rsidR="00882312" w:rsidRPr="005500BB">
        <w:rPr>
          <w:rFonts w:ascii="Times New Roman" w:hAnsi="Times New Roman" w:cs="Times New Roman"/>
          <w:sz w:val="24"/>
          <w:szCs w:val="24"/>
        </w:rPr>
        <w:t xml:space="preserve">. Fungal, bacterial, and oomycete outbreaks can reduce the quality of the crop and production. For example, the oomycete pathogen </w:t>
      </w:r>
      <w:proofErr w:type="spellStart"/>
      <w:r w:rsidR="00882312" w:rsidRPr="005500BB">
        <w:rPr>
          <w:rFonts w:ascii="Times New Roman" w:hAnsi="Times New Roman" w:cs="Times New Roman"/>
          <w:i/>
          <w:iCs/>
          <w:sz w:val="24"/>
          <w:szCs w:val="24"/>
        </w:rPr>
        <w:t>Olpidiopsis</w:t>
      </w:r>
      <w:proofErr w:type="spellEnd"/>
      <w:r w:rsidR="00882312" w:rsidRPr="005500BB">
        <w:rPr>
          <w:rFonts w:ascii="Times New Roman" w:hAnsi="Times New Roman" w:cs="Times New Roman"/>
          <w:i/>
          <w:iCs/>
          <w:sz w:val="24"/>
          <w:szCs w:val="24"/>
        </w:rPr>
        <w:t xml:space="preserve"> </w:t>
      </w:r>
      <w:proofErr w:type="spellStart"/>
      <w:r w:rsidR="00882312" w:rsidRPr="005500BB">
        <w:rPr>
          <w:rFonts w:ascii="Times New Roman" w:hAnsi="Times New Roman" w:cs="Times New Roman"/>
          <w:i/>
          <w:iCs/>
          <w:sz w:val="24"/>
          <w:szCs w:val="24"/>
        </w:rPr>
        <w:t>pyropia</w:t>
      </w:r>
      <w:r w:rsidR="00882312" w:rsidRPr="005500BB">
        <w:rPr>
          <w:rFonts w:ascii="Times New Roman" w:hAnsi="Times New Roman" w:cs="Times New Roman"/>
          <w:sz w:val="24"/>
          <w:szCs w:val="24"/>
        </w:rPr>
        <w:t>has</w:t>
      </w:r>
      <w:proofErr w:type="spellEnd"/>
      <w:r w:rsidR="00882312" w:rsidRPr="005500BB">
        <w:rPr>
          <w:rFonts w:ascii="Times New Roman" w:hAnsi="Times New Roman" w:cs="Times New Roman"/>
          <w:sz w:val="24"/>
          <w:szCs w:val="24"/>
        </w:rPr>
        <w:t xml:space="preserve"> been estimated to reduce production output by 20% in Korean </w:t>
      </w:r>
      <w:proofErr w:type="spellStart"/>
      <w:r w:rsidR="00882312" w:rsidRPr="005500BB">
        <w:rPr>
          <w:rFonts w:ascii="Times New Roman" w:hAnsi="Times New Roman" w:cs="Times New Roman"/>
          <w:sz w:val="24"/>
          <w:szCs w:val="24"/>
        </w:rPr>
        <w:t>Pyropia</w:t>
      </w:r>
      <w:proofErr w:type="spellEnd"/>
      <w:r w:rsidR="00882312" w:rsidRPr="005500BB">
        <w:rPr>
          <w:rFonts w:ascii="Times New Roman" w:hAnsi="Times New Roman" w:cs="Times New Roman"/>
          <w:sz w:val="24"/>
          <w:szCs w:val="24"/>
        </w:rPr>
        <w:t xml:space="preserve"> (nori) farms</w:t>
      </w:r>
      <w:r w:rsidR="00D20501">
        <w:rPr>
          <w:rFonts w:ascii="Times New Roman" w:hAnsi="Times New Roman" w:cs="Times New Roman"/>
          <w:sz w:val="24"/>
          <w:szCs w:val="24"/>
        </w:rPr>
        <w:fldChar w:fldCharType="begin"/>
      </w:r>
      <w:r w:rsidR="002D38F0">
        <w:rPr>
          <w:rFonts w:ascii="Times New Roman" w:hAnsi="Times New Roman" w:cs="Times New Roman"/>
          <w:sz w:val="24"/>
          <w:szCs w:val="24"/>
        </w:rPr>
        <w:instrText xml:space="preserve"> ADDIN ZOTERO_ITEM CSL_CITATION {"citationID":"a5tk5ql9se","properties":{"formattedCitation":"\\super 308\\nosupersub{}","plainCitation":"308","noteIndex":0},"citationItems":[{"id":1848,"uris":["http://zotero.org/users/9431846/items/TAA4AW33"],"itemData":{"id":1848,"type":"article-journal","container-title":"ALGAE","DOI":"10.4490/algae.2014.29.4.249","ISSN":"1226-2617","issue":"4","journalAbbreviation":"ALGAE","language":"en","page":"249-265","source":"DOI.org (Crossref)","title":"A revaluation of algal diseases in Korean Pyropia (Porphyra) sea farms and their economic impact","volume":"29","author":[{"family":"Kim","given":"Gwang Hoon"},{"family":"Moon","given":"Kyoung-Hyoun"},{"family":"Kim","given":"Je-Yoon"},{"family":"Shim","given":"Junbo"},{"family":"Klochkova","given":"Tatyana A."}],"issued":{"date-parts":[["2014",12,15]]}}}],"schema":"https://github.com/citation-style-language/schema/raw/master/csl-citation.json"} </w:instrText>
      </w:r>
      <w:r w:rsidR="00D20501">
        <w:rPr>
          <w:rFonts w:ascii="Times New Roman" w:hAnsi="Times New Roman" w:cs="Times New Roman"/>
          <w:sz w:val="24"/>
          <w:szCs w:val="24"/>
        </w:rPr>
        <w:fldChar w:fldCharType="separate"/>
      </w:r>
      <w:r w:rsidR="002D38F0" w:rsidRPr="002D38F0">
        <w:rPr>
          <w:rFonts w:ascii="Times New Roman" w:hAnsi="Times New Roman" w:cs="Times New Roman"/>
          <w:sz w:val="24"/>
          <w:szCs w:val="24"/>
          <w:vertAlign w:val="superscript"/>
        </w:rPr>
        <w:t>308</w:t>
      </w:r>
      <w:r w:rsidR="00D20501">
        <w:rPr>
          <w:rFonts w:ascii="Times New Roman" w:hAnsi="Times New Roman" w:cs="Times New Roman"/>
          <w:sz w:val="24"/>
          <w:szCs w:val="24"/>
        </w:rPr>
        <w:fldChar w:fldCharType="end"/>
      </w:r>
      <w:r w:rsidR="00882312" w:rsidRPr="005500BB">
        <w:rPr>
          <w:rFonts w:ascii="Times New Roman" w:hAnsi="Times New Roman" w:cs="Times New Roman"/>
          <w:sz w:val="24"/>
          <w:szCs w:val="24"/>
        </w:rPr>
        <w:t>. Environmental changes can also induce diseases that can decrease</w:t>
      </w:r>
      <w:r w:rsidR="00882312" w:rsidRPr="00561AE2">
        <w:rPr>
          <w:rFonts w:ascii="Times New Roman" w:hAnsi="Times New Roman" w:cs="Times New Roman"/>
          <w:sz w:val="24"/>
          <w:szCs w:val="24"/>
        </w:rPr>
        <w:t xml:space="preserve"> quality</w:t>
      </w:r>
      <w:r w:rsidR="00882312" w:rsidRPr="005500BB">
        <w:rPr>
          <w:rFonts w:ascii="Times New Roman" w:hAnsi="Times New Roman" w:cs="Times New Roman"/>
          <w:sz w:val="24"/>
          <w:szCs w:val="24"/>
        </w:rPr>
        <w:t xml:space="preserve"> </w:t>
      </w:r>
      <w:r w:rsidR="00882312">
        <w:rPr>
          <w:rFonts w:ascii="Times New Roman" w:hAnsi="Times New Roman" w:cs="Times New Roman"/>
          <w:sz w:val="24"/>
          <w:szCs w:val="24"/>
        </w:rPr>
        <w:t xml:space="preserve">and </w:t>
      </w:r>
      <w:r w:rsidR="00882312" w:rsidRPr="005500BB">
        <w:rPr>
          <w:rFonts w:ascii="Times New Roman" w:hAnsi="Times New Roman" w:cs="Times New Roman"/>
          <w:sz w:val="24"/>
          <w:szCs w:val="24"/>
        </w:rPr>
        <w:t>productivity, e.g., ice-ice disease.</w:t>
      </w:r>
      <w:r w:rsidR="00882312" w:rsidRPr="00561AE2">
        <w:rPr>
          <w:rFonts w:ascii="Times New Roman" w:hAnsi="Times New Roman" w:cs="Times New Roman"/>
          <w:sz w:val="24"/>
          <w:szCs w:val="24"/>
        </w:rPr>
        <w:t xml:space="preserve"> Epiphytic algae outbreaks such as the </w:t>
      </w:r>
      <w:proofErr w:type="spellStart"/>
      <w:r w:rsidR="00882312" w:rsidRPr="005500BB">
        <w:rPr>
          <w:rFonts w:ascii="Times New Roman" w:hAnsi="Times New Roman" w:cs="Times New Roman"/>
          <w:i/>
          <w:iCs/>
          <w:sz w:val="24"/>
          <w:szCs w:val="24"/>
        </w:rPr>
        <w:t>Polysiphonia</w:t>
      </w:r>
      <w:proofErr w:type="spellEnd"/>
      <w:r w:rsidR="00882312" w:rsidRPr="005500BB">
        <w:rPr>
          <w:rFonts w:ascii="Times New Roman" w:hAnsi="Times New Roman" w:cs="Times New Roman"/>
          <w:sz w:val="24"/>
          <w:szCs w:val="24"/>
        </w:rPr>
        <w:t xml:space="preserve"> </w:t>
      </w:r>
      <w:r w:rsidR="00882312" w:rsidRPr="00561AE2">
        <w:rPr>
          <w:rFonts w:ascii="Times New Roman" w:hAnsi="Times New Roman" w:cs="Times New Roman"/>
          <w:sz w:val="24"/>
          <w:szCs w:val="24"/>
        </w:rPr>
        <w:t>species ha</w:t>
      </w:r>
      <w:r w:rsidR="00882312">
        <w:rPr>
          <w:rFonts w:ascii="Times New Roman" w:hAnsi="Times New Roman" w:cs="Times New Roman"/>
          <w:sz w:val="24"/>
          <w:szCs w:val="24"/>
        </w:rPr>
        <w:t xml:space="preserve">ve been known to decrease </w:t>
      </w:r>
      <w:proofErr w:type="spellStart"/>
      <w:r w:rsidR="00882312" w:rsidRPr="005500BB">
        <w:rPr>
          <w:rFonts w:ascii="Times New Roman" w:hAnsi="Times New Roman" w:cs="Times New Roman"/>
          <w:i/>
          <w:iCs/>
          <w:sz w:val="24"/>
          <w:szCs w:val="24"/>
        </w:rPr>
        <w:t>Kappaphycus</w:t>
      </w:r>
      <w:proofErr w:type="spellEnd"/>
      <w:r w:rsidR="00882312" w:rsidRPr="00020F5F">
        <w:rPr>
          <w:rFonts w:ascii="Times New Roman" w:hAnsi="Times New Roman" w:cs="Times New Roman"/>
          <w:sz w:val="24"/>
          <w:szCs w:val="24"/>
        </w:rPr>
        <w:t xml:space="preserve"> </w:t>
      </w:r>
      <w:r w:rsidR="00882312">
        <w:rPr>
          <w:rFonts w:ascii="Times New Roman" w:hAnsi="Times New Roman" w:cs="Times New Roman"/>
          <w:sz w:val="24"/>
          <w:szCs w:val="24"/>
        </w:rPr>
        <w:t>seaweed f</w:t>
      </w:r>
      <w:r w:rsidR="00882312" w:rsidRPr="00020F5F">
        <w:rPr>
          <w:rFonts w:ascii="Times New Roman" w:hAnsi="Times New Roman" w:cs="Times New Roman"/>
          <w:sz w:val="24"/>
          <w:szCs w:val="24"/>
        </w:rPr>
        <w:t>arms</w:t>
      </w:r>
      <w:r w:rsidR="00882312">
        <w:rPr>
          <w:rFonts w:ascii="Times New Roman" w:hAnsi="Times New Roman" w:cs="Times New Roman"/>
          <w:sz w:val="24"/>
          <w:szCs w:val="24"/>
        </w:rPr>
        <w:t xml:space="preserve"> production from 1000 tonnes yr</w:t>
      </w:r>
      <w:r w:rsidR="00882312" w:rsidRPr="005500BB">
        <w:rPr>
          <w:rFonts w:ascii="Times New Roman" w:hAnsi="Times New Roman" w:cs="Times New Roman"/>
          <w:sz w:val="24"/>
          <w:szCs w:val="24"/>
          <w:vertAlign w:val="superscript"/>
        </w:rPr>
        <w:t>-1</w:t>
      </w:r>
      <w:r w:rsidR="00882312">
        <w:rPr>
          <w:rFonts w:ascii="Times New Roman" w:hAnsi="Times New Roman" w:cs="Times New Roman"/>
          <w:sz w:val="24"/>
          <w:szCs w:val="24"/>
        </w:rPr>
        <w:t xml:space="preserve"> to 100 tonnes yr</w:t>
      </w:r>
      <w:r w:rsidR="00882312" w:rsidRPr="005500BB">
        <w:rPr>
          <w:rFonts w:ascii="Times New Roman" w:hAnsi="Times New Roman" w:cs="Times New Roman"/>
          <w:sz w:val="24"/>
          <w:szCs w:val="24"/>
          <w:vertAlign w:val="superscript"/>
        </w:rPr>
        <w:t>-1</w:t>
      </w:r>
      <w:r w:rsidR="00565B68">
        <w:rPr>
          <w:rFonts w:ascii="Times New Roman" w:hAnsi="Times New Roman" w:cs="Times New Roman"/>
          <w:sz w:val="24"/>
          <w:szCs w:val="24"/>
          <w:vertAlign w:val="superscript"/>
        </w:rPr>
        <w:fldChar w:fldCharType="begin"/>
      </w:r>
      <w:r w:rsidR="002D38F0">
        <w:rPr>
          <w:rFonts w:ascii="Times New Roman" w:hAnsi="Times New Roman" w:cs="Times New Roman"/>
          <w:sz w:val="24"/>
          <w:szCs w:val="24"/>
          <w:vertAlign w:val="superscript"/>
        </w:rPr>
        <w:instrText xml:space="preserve"> ADDIN ZOTERO_ITEM CSL_CITATION {"citationID":"ajsim541ca","properties":{"formattedCitation":"\\super 309\\nosupersub{}","plainCitation":"309","noteIndex":0},"citationItems":[{"id":1849,"uris":["http://zotero.org/users/9431846/items/E7PXEFRL"],"itemData":{"id":1849,"type":"article-journal","container-title":"Journal of Applied Phycology","DOI":"10.1007/s10811-016-0813-8","ISSN":"0921-8971, 1573-5176","issue":"5","journalAbbreviation":"J Appl Phycol","language":"en","page":"2903-2914","source":"DOI.org (Crossref)","title":"Phenology of farmed seaweed Kappaphycus alvarezii infestation by the parasitic epiphyte Polysiphonia sp. in Madagascar","volume":"28","author":[{"family":"Tsiresy","given":"Gaëtan"},{"family":"Preux","given":"Jérémy"},{"family":"Lavitra","given":"Thierry"},{"family":"Dubois","given":"Philippe"},{"family":"Lepoint","given":"Gilles"},{"family":"Eeckhaut","given":"Igor"}],"issued":{"date-parts":[["2016",10]]}}}],"schema":"https://github.com/citation-style-language/schema/raw/master/csl-citation.json"} </w:instrText>
      </w:r>
      <w:r w:rsidR="00565B68">
        <w:rPr>
          <w:rFonts w:ascii="Times New Roman" w:hAnsi="Times New Roman" w:cs="Times New Roman"/>
          <w:sz w:val="24"/>
          <w:szCs w:val="24"/>
          <w:vertAlign w:val="superscript"/>
        </w:rPr>
        <w:fldChar w:fldCharType="separate"/>
      </w:r>
      <w:r w:rsidR="002D38F0" w:rsidRPr="002D38F0">
        <w:rPr>
          <w:rFonts w:ascii="Times New Roman" w:hAnsi="Times New Roman" w:cs="Times New Roman"/>
          <w:sz w:val="24"/>
          <w:szCs w:val="24"/>
          <w:vertAlign w:val="superscript"/>
        </w:rPr>
        <w:t>309</w:t>
      </w:r>
      <w:r w:rsidR="00565B68">
        <w:rPr>
          <w:rFonts w:ascii="Times New Roman" w:hAnsi="Times New Roman" w:cs="Times New Roman"/>
          <w:sz w:val="24"/>
          <w:szCs w:val="24"/>
          <w:vertAlign w:val="superscript"/>
        </w:rPr>
        <w:fldChar w:fldCharType="end"/>
      </w:r>
      <w:r w:rsidR="00882312">
        <w:rPr>
          <w:rFonts w:ascii="Times New Roman" w:hAnsi="Times New Roman" w:cs="Times New Roman"/>
          <w:sz w:val="24"/>
          <w:szCs w:val="24"/>
        </w:rPr>
        <w:t>.</w:t>
      </w:r>
    </w:p>
    <w:p w14:paraId="2ABB80B4" w14:textId="5C1E693F" w:rsidR="00D61979" w:rsidRPr="00BD419F" w:rsidRDefault="00D61979" w:rsidP="00522623">
      <w:pPr>
        <w:spacing w:line="360" w:lineRule="auto"/>
        <w:ind w:firstLine="720"/>
        <w:contextualSpacing/>
        <w:jc w:val="both"/>
        <w:rPr>
          <w:rFonts w:ascii="Times New Roman" w:hAnsi="Times New Roman" w:cs="Times New Roman"/>
        </w:rPr>
      </w:pPr>
      <w:r w:rsidRPr="00D61979">
        <w:rPr>
          <w:rFonts w:ascii="Times New Roman" w:hAnsi="Times New Roman" w:cs="Times New Roman"/>
        </w:rPr>
        <w:t>Macroalgae can play an important role in the circular seafood economy, especially exploiting their ability to capture dissolved nitrogenous waste residues from the water column</w:t>
      </w:r>
      <w:r w:rsidR="004142B5">
        <w:rPr>
          <w:rFonts w:ascii="Times New Roman" w:hAnsi="Times New Roman" w:cs="Times New Roman"/>
        </w:rPr>
        <w:t>, a</w:t>
      </w:r>
      <w:r w:rsidRPr="00D61979">
        <w:rPr>
          <w:rFonts w:ascii="Times New Roman" w:hAnsi="Times New Roman" w:cs="Times New Roman"/>
        </w:rPr>
        <w:t>lso, non-renewable, and anthropogenic macro-elements, such as phosphorus</w:t>
      </w:r>
      <w:r w:rsidR="004142B5">
        <w:rPr>
          <w:rFonts w:ascii="Times New Roman" w:hAnsi="Times New Roman" w:cs="Times New Roman"/>
        </w:rPr>
        <w:t>. In</w:t>
      </w:r>
      <w:r w:rsidRPr="00D61979">
        <w:rPr>
          <w:rFonts w:ascii="Times New Roman" w:hAnsi="Times New Roman" w:cs="Times New Roman"/>
        </w:rPr>
        <w:t xml:space="preserve"> addition</w:t>
      </w:r>
      <w:r w:rsidR="00B0621B">
        <w:rPr>
          <w:rFonts w:ascii="Times New Roman" w:hAnsi="Times New Roman" w:cs="Times New Roman"/>
        </w:rPr>
        <w:t xml:space="preserve">, </w:t>
      </w:r>
      <w:r w:rsidRPr="00D61979">
        <w:rPr>
          <w:rFonts w:ascii="Times New Roman" w:hAnsi="Times New Roman" w:cs="Times New Roman"/>
        </w:rPr>
        <w:t xml:space="preserve">anthropogenic nitrogen sources contribute to the eutrophication process. At the macroecological level, it has been estimated that China’s macroalgae cultivation (inc. </w:t>
      </w:r>
      <w:proofErr w:type="spellStart"/>
      <w:r w:rsidRPr="00D61979">
        <w:rPr>
          <w:rFonts w:ascii="Times New Roman" w:hAnsi="Times New Roman" w:cs="Times New Roman"/>
        </w:rPr>
        <w:t>Undaria</w:t>
      </w:r>
      <w:proofErr w:type="spellEnd"/>
      <w:r w:rsidRPr="00D61979">
        <w:rPr>
          <w:rFonts w:ascii="Times New Roman" w:hAnsi="Times New Roman" w:cs="Times New Roman"/>
        </w:rPr>
        <w:t xml:space="preserve">, Saccharina, and </w:t>
      </w:r>
      <w:proofErr w:type="spellStart"/>
      <w:r w:rsidRPr="00D61979">
        <w:rPr>
          <w:rFonts w:ascii="Times New Roman" w:hAnsi="Times New Roman" w:cs="Times New Roman"/>
        </w:rPr>
        <w:t>Pyropia</w:t>
      </w:r>
      <w:proofErr w:type="spellEnd"/>
      <w:r w:rsidRPr="00D61979">
        <w:rPr>
          <w:rFonts w:ascii="Times New Roman" w:hAnsi="Times New Roman" w:cs="Times New Roman"/>
        </w:rPr>
        <w:t xml:space="preserve">) industry removes per annum, 75,000 tonnes of nitrogen and 9,500 tonnes of phosphorus from the country’s coastal waters </w:t>
      </w:r>
      <w:r w:rsidR="00912575" w:rsidRPr="003C01F8">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{"citationID":"a2rh20ucng","properties":{"formattedCitation":"\\super 310\\nosupersub{}","plainCitation":"310","noteIndex":0},"citationItems":[{"id":872,"uris":["http://zotero.org/groups/4669668/items/7T32ZA9V"],"itemData":{"id":872,"type":"article-journal","abstract":"China is facing intense coastal eutrophication. Large-scale seaweed aquaculture in China is popular, now accounting for over 2/3’s of global production. Here, we estimate the nutrient removal capability of large-scale Chinese seaweed farms to determine its significance in mitigating eutrophication. We combined estimates of yield and nutrient concentration of Chinese seaweed aquaculture to quantify that one hectare of seaweed aquaculture removes the equivalent nutrient inputs entering 17.8 ha for nitrogen and 126.7 ha for phosphorus of Chinese coastal waters, respectively. Chinese seaweed aquaculture annually removes approximately 75,000 t nitrogen and 9,500 t phosphorus. Whereas removal of the total N inputs to Chinese coastal waters requires a seaweed farming area 17 times larger than the extant area, one and a half times more of the seaweed area would be able to remove close to 100% of the P inputs. With the current growth rate of seaweed aquaculture, we project this industry will remove 100% of the current phosphorus inputs to Chinese coastal waters by 2026. Hence, seaweed aquaculture already plays a hitherto unrealized role in mitigating coastal eutrophication, a role that may be greatly expanded with future growth of seaweed aquaculture.","container-title":"Scientific Reports","DOI":"10.1038/srep46613","ISSN":"2045-2322","issue":"1","journalAbbreviation":"Sci Rep","language":"en","license":"2017 The Author(s)","note":"number: 1\npublisher: Nature Publishing Group","page":"46613","source":"www.nature.com","title":"Nutrient removal from Chinese coastal waters by large-scale seaweed aquaculture","volume":"7","author":[{"family":"Xiao","given":"Xi"},{"family":"Agusti","given":"Susana"},{"family":"Lin","given":"Fang"},{"family":"Li","given":"Ke"},{"family":"Pan","given":"Yaoru"},{"family":"Yu","given":"Yan"},{"family":"Zheng","given":"Yuhan"},{"family":"Wu","given":"Jiaping"},{"family":"Duarte","given":"Carlos M."}],"issued":{"date-parts":[["2017",4,21]]}}}],"schema":"https://github.com/citation-style-language/schema/raw/master/csl-citation.json"} </w:instrText>
      </w:r>
      <w:r w:rsidR="00912575" w:rsidRPr="003C01F8">
        <w:rPr>
          <w:rFonts w:ascii="Times New Roman" w:hAnsi="Times New Roman" w:cs="Times New Roman"/>
        </w:rPr>
        <w:fldChar w:fldCharType="separate"/>
      </w:r>
      <w:r w:rsidR="002D38F0" w:rsidRPr="002D38F0">
        <w:rPr>
          <w:rFonts w:ascii="Times New Roman" w:hAnsi="Times New Roman" w:cs="Times New Roman"/>
          <w:szCs w:val="24"/>
          <w:vertAlign w:val="superscript"/>
        </w:rPr>
        <w:t>310</w:t>
      </w:r>
      <w:r w:rsidR="00912575" w:rsidRPr="003C01F8">
        <w:rPr>
          <w:rFonts w:ascii="Times New Roman" w:hAnsi="Times New Roman" w:cs="Times New Roman"/>
        </w:rPr>
        <w:fldChar w:fldCharType="end"/>
      </w:r>
      <w:r w:rsidRPr="003C01F8">
        <w:rPr>
          <w:rFonts w:ascii="Times New Roman" w:hAnsi="Times New Roman" w:cs="Times New Roman"/>
        </w:rPr>
        <w:t>. This</w:t>
      </w:r>
      <w:r w:rsidRPr="00D61979">
        <w:rPr>
          <w:rFonts w:ascii="Times New Roman" w:hAnsi="Times New Roman" w:cs="Times New Roman"/>
        </w:rPr>
        <w:t xml:space="preserve"> ability to absorb significant amounts of nutrients could be exploited to manage wastewater produced from fish and shrimp farming production systems. For example, this is particularly relevant to intensively farmed fish (e.g., </w:t>
      </w:r>
      <w:r w:rsidRPr="00BD419F">
        <w:rPr>
          <w:rFonts w:ascii="Times New Roman" w:hAnsi="Times New Roman" w:cs="Times New Roman"/>
        </w:rPr>
        <w:t>salmonids and tuna) land-based operations and recirculating aquaculture systems (RAS)</w:t>
      </w:r>
      <w:r w:rsidR="009B7FCD">
        <w:rPr>
          <w:rFonts w:ascii="Times New Roman" w:hAnsi="Times New Roman" w:cs="Times New Roman"/>
        </w:rPr>
        <w:t>, where there is an opportunity to recapture nutri</w:t>
      </w:r>
      <w:r w:rsidR="00BA0368">
        <w:rPr>
          <w:rFonts w:ascii="Times New Roman" w:hAnsi="Times New Roman" w:cs="Times New Roman"/>
        </w:rPr>
        <w:t>ents.</w:t>
      </w:r>
      <w:r w:rsidRPr="00BD419F">
        <w:rPr>
          <w:rFonts w:ascii="Times New Roman" w:hAnsi="Times New Roman" w:cs="Times New Roman"/>
        </w:rPr>
        <w:t xml:space="preserve"> The integration of algae cultivation to an aquatic animal production system can mitigate the level of nutrients found in the system water, therefore reducing the need for system water exchange </w:t>
      </w:r>
      <w:r w:rsidR="003C01F8" w:rsidRPr="00BD419F">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{"citationID":"a2hq4ogq5en","properties":{"formattedCitation":"\\super 311\\nosupersub{}","plainCitation":"311","noteIndex":0},"citationItems":[{"id":1028,"uris":["http://zotero.org/groups/4669668/items/X344UMW8"],"itemData":{"id":1028,"type":"chapter","container-title":"Blue Biotechnology","event-place":"Weinheim, Germany","ISBN":"978-3-527-80171-8","language":"en","note":"Book Authors: _:n6742\nDOI: 10.1002/9783527801718.ch7","page":"217-239","publisher":"Wiley-VCH Verlag GmbH &amp; Co. KGaA","publisher-place":"Weinheim, Germany","source":"DOI.org (Crossref)","title":"The bioremediation potential of seaweeds: recycling nitrogen, phosphorus, and other waste products","title-short":"The bioremediation potential of seaweeds","URL":"https://onlinelibrary.wiley.com/doi/10.1002/9783527801718.ch7","author":[{"family":"Neveux","given":"Nicolas"},{"family":"Bolton","given":"John J."},{"family":"Bruhn","given":"Annette"},{"family":"Roberts","given":"David A."},{"family":"Ras","given":"Monique"}],"container-author":[{"family":"La Barre","given":"Stéphane"},{"family":"S. Bates","given":"Stephen"}],"accessed":{"date-parts":[["2022",4,23]]},"issued":{"date-parts":[["2018",9,8]]}}}],"schema":"https://github.com/citation-style-language/schema/raw/master/csl-citation.json"} </w:instrText>
      </w:r>
      <w:r w:rsidR="003C01F8" w:rsidRPr="00BD419F">
        <w:rPr>
          <w:rFonts w:ascii="Times New Roman" w:hAnsi="Times New Roman" w:cs="Times New Roman"/>
        </w:rPr>
        <w:fldChar w:fldCharType="separate"/>
      </w:r>
      <w:r w:rsidR="002D38F0" w:rsidRPr="002D38F0">
        <w:rPr>
          <w:rFonts w:ascii="Times New Roman" w:hAnsi="Times New Roman" w:cs="Times New Roman"/>
          <w:szCs w:val="24"/>
          <w:vertAlign w:val="superscript"/>
        </w:rPr>
        <w:t>311</w:t>
      </w:r>
      <w:r w:rsidR="003C01F8" w:rsidRPr="00BD419F">
        <w:rPr>
          <w:rFonts w:ascii="Times New Roman" w:hAnsi="Times New Roman" w:cs="Times New Roman"/>
        </w:rPr>
        <w:fldChar w:fldCharType="end"/>
      </w:r>
      <w:r w:rsidRPr="00BD419F">
        <w:rPr>
          <w:rFonts w:ascii="Times New Roman" w:hAnsi="Times New Roman" w:cs="Times New Roman"/>
        </w:rPr>
        <w:t xml:space="preserve">, and subsequently reduce water requirement and the environmental impact of the effluent discharge. </w:t>
      </w:r>
      <w:r w:rsidR="009D1FFC">
        <w:rPr>
          <w:rFonts w:ascii="Times New Roman" w:hAnsi="Times New Roman" w:cs="Times New Roman"/>
        </w:rPr>
        <w:t>Similarly, the concepts of polyculture and integrated multitrophic aquaculture systems also utilize seaweed to extract the nutrients from higher trophic levels species from the system, i.e., farmed fish</w:t>
      </w:r>
      <w:r w:rsidR="008F483E">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{"citationID":"a2ddd3q67f8","properties":{"formattedCitation":"\\super 312\\nosupersub{}","plainCitation":"312","noteIndex":0},"citationItems":[{"id":1850,"uris":["http://zotero.org/users/9431846/items/JRH5ZDF5"],"itemData":{"id":1850,"type":"article-journal","container-title":"Reviews in Fisheries Science &amp; Aquaculture","DOI":"10.1080/23308249.2020.1810626","ISSN":"2330-8249, 2330-8257","issue":"2","journalAbbreviation":"Reviews in Fisheries Science &amp; Aquaculture","language":"en","page":"139-148","source":"DOI.org (Crossref)","title":"Importance of Seaweeds and Extractive Species in Global Aquaculture Production","volume":"29","author":[{"family":"Chopin","given":"Thierry"},{"family":"Tacon","given":"Albert G. J."}],"issued":{"date-parts":[["2021",4,3]]}}}],"schema":"https://github.com/citation-style-language/schema/raw/master/csl-citation.json"} </w:instrText>
      </w:r>
      <w:r w:rsidR="008F483E">
        <w:rPr>
          <w:rFonts w:ascii="Times New Roman" w:hAnsi="Times New Roman" w:cs="Times New Roman"/>
        </w:rPr>
        <w:fldChar w:fldCharType="separate"/>
      </w:r>
      <w:r w:rsidR="002D38F0" w:rsidRPr="002D38F0">
        <w:rPr>
          <w:rFonts w:ascii="Times New Roman" w:hAnsi="Times New Roman" w:cs="Times New Roman"/>
          <w:szCs w:val="24"/>
          <w:vertAlign w:val="superscript"/>
        </w:rPr>
        <w:t>312</w:t>
      </w:r>
      <w:r w:rsidR="008F483E">
        <w:rPr>
          <w:rFonts w:ascii="Times New Roman" w:hAnsi="Times New Roman" w:cs="Times New Roman"/>
        </w:rPr>
        <w:fldChar w:fldCharType="end"/>
      </w:r>
      <w:r w:rsidR="009D1FFC">
        <w:rPr>
          <w:rFonts w:ascii="Times New Roman" w:hAnsi="Times New Roman" w:cs="Times New Roman"/>
        </w:rPr>
        <w:t>.</w:t>
      </w:r>
      <w:r w:rsidR="009D1FFC" w:rsidRPr="00BD419F">
        <w:rPr>
          <w:rFonts w:ascii="Times New Roman" w:hAnsi="Times New Roman" w:cs="Times New Roman"/>
        </w:rPr>
        <w:t xml:space="preserve"> </w:t>
      </w:r>
      <w:r w:rsidR="009D1FFC">
        <w:rPr>
          <w:rFonts w:ascii="Times New Roman" w:hAnsi="Times New Roman" w:cs="Times New Roman"/>
        </w:rPr>
        <w:t>Although these types of nutrient recycling strategies have so far been limited in their commercial deployment. This, often due to policy/legislative restraints (e.g., aquaculture licenses are not adapted for co-culture or fish disease outbreaks can prevent harvest and damage macroalgae crop), logistics (e.g., access of education (e.g., requirement of farmers to understand another species or demonstratable benefits), and lack of incentives (e.g., funding and greater requirement of investment and maintenance cost)</w:t>
      </w:r>
      <w:r w:rsidR="00BF6A29">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{"citationID":"amdim697pg","properties":{"formattedCitation":"\\super 313\\nosupersub{}","plainCitation":"313","noteIndex":0},"citationItems":[{"id":1851,"uris":["http://zotero.org/users/9431846/items/LGXQSS3U"],"itemData":{"id":1851,"type":"article-journal","container-title":"Aquaculture","DOI":"10.1016/j.aquaculture.2022.738716","ISSN":"00448486","journalAbbreviation":"Aquaculture","language":"en","page":"738716","source":"DOI.org (Crossref)","title":"Factors affecting IMTA (integrated multi-trophic aquaculture) implementation on Atlantic Salmon (Salmo salar) farms","volume":"561","author":[{"family":"Sickander","given":"Omar"},{"family":"Filgueira","given":"Ramón"}],"issued":{"date-parts":[["2022",12]]}}}],"schema":"https://github.com/citation-style-language/schema/raw/master/csl-citation.json"} </w:instrText>
      </w:r>
      <w:r w:rsidR="00BF6A29">
        <w:rPr>
          <w:rFonts w:ascii="Times New Roman" w:hAnsi="Times New Roman" w:cs="Times New Roman"/>
        </w:rPr>
        <w:fldChar w:fldCharType="separate"/>
      </w:r>
      <w:r w:rsidR="002D38F0" w:rsidRPr="002D38F0">
        <w:rPr>
          <w:rFonts w:ascii="Times New Roman" w:hAnsi="Times New Roman" w:cs="Times New Roman"/>
          <w:szCs w:val="24"/>
          <w:vertAlign w:val="superscript"/>
        </w:rPr>
        <w:t>313</w:t>
      </w:r>
      <w:r w:rsidR="00BF6A29">
        <w:rPr>
          <w:rFonts w:ascii="Times New Roman" w:hAnsi="Times New Roman" w:cs="Times New Roman"/>
        </w:rPr>
        <w:fldChar w:fldCharType="end"/>
      </w:r>
      <w:r w:rsidR="009D1FFC">
        <w:rPr>
          <w:rFonts w:ascii="Times New Roman" w:hAnsi="Times New Roman" w:cs="Times New Roman"/>
        </w:rPr>
        <w:t>. Equally</w:t>
      </w:r>
      <w:r w:rsidRPr="00BD419F">
        <w:rPr>
          <w:rFonts w:ascii="Times New Roman" w:hAnsi="Times New Roman" w:cs="Times New Roman"/>
        </w:rPr>
        <w:t>, the cultivation of macroalgae and use in aquafeeds could offer a means to reduce the environmental impact through atmospheric CO</w:t>
      </w:r>
      <w:r w:rsidRPr="00BD419F">
        <w:rPr>
          <w:rFonts w:ascii="Times New Roman" w:hAnsi="Times New Roman" w:cs="Times New Roman"/>
          <w:vertAlign w:val="subscript"/>
        </w:rPr>
        <w:t>2</w:t>
      </w:r>
      <w:r w:rsidRPr="00BD419F">
        <w:rPr>
          <w:rFonts w:ascii="Times New Roman" w:hAnsi="Times New Roman" w:cs="Times New Roman"/>
        </w:rPr>
        <w:t xml:space="preserve"> capturing. The significance of such an effect has been estimated to be 2.48 million ton</w:t>
      </w:r>
      <w:r w:rsidR="00147186" w:rsidRPr="00BD419F">
        <w:rPr>
          <w:rFonts w:ascii="Times New Roman" w:hAnsi="Times New Roman" w:cs="Times New Roman"/>
        </w:rPr>
        <w:t>ne</w:t>
      </w:r>
      <w:r w:rsidRPr="00BD419F">
        <w:rPr>
          <w:rFonts w:ascii="Times New Roman" w:hAnsi="Times New Roman" w:cs="Times New Roman"/>
        </w:rPr>
        <w:t>s of CO</w:t>
      </w:r>
      <w:r w:rsidRPr="00BD419F">
        <w:rPr>
          <w:rFonts w:ascii="Times New Roman" w:hAnsi="Times New Roman" w:cs="Times New Roman"/>
          <w:vertAlign w:val="subscript"/>
        </w:rPr>
        <w:t>2</w:t>
      </w:r>
      <w:r w:rsidR="00147186" w:rsidRPr="00BD419F">
        <w:rPr>
          <w:rFonts w:ascii="Times New Roman" w:hAnsi="Times New Roman" w:cs="Times New Roman"/>
        </w:rPr>
        <w:t xml:space="preserve"> </w:t>
      </w:r>
      <w:r w:rsidRPr="00BD419F">
        <w:rPr>
          <w:rFonts w:ascii="Times New Roman" w:hAnsi="Times New Roman" w:cs="Times New Roman"/>
        </w:rPr>
        <w:t>annum</w:t>
      </w:r>
      <w:r w:rsidR="00147186" w:rsidRPr="00BD419F">
        <w:rPr>
          <w:rFonts w:ascii="Times New Roman" w:hAnsi="Times New Roman" w:cs="Times New Roman"/>
          <w:vertAlign w:val="superscript"/>
        </w:rPr>
        <w:t>-1</w:t>
      </w:r>
      <w:r w:rsidRPr="00BD419F">
        <w:rPr>
          <w:rFonts w:ascii="Times New Roman" w:hAnsi="Times New Roman" w:cs="Times New Roman"/>
        </w:rPr>
        <w:t xml:space="preserve"> being sequestered by the global macroalgae cultivation industry </w:t>
      </w:r>
      <w:r w:rsidR="003C01F8" w:rsidRPr="00BD419F">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{"citationID":"a2n6bnhc0ai","properties":{"formattedCitation":"\\super 314\\nosupersub{}","plainCitation":"314","noteIndex":0},"citationItems":[{"id":1048,"uris":["http://zotero.org/groups/4669668/items/VJMYNE2F"],"itemData":{"id":1048,"type":"article-journal","abstract":"Seaweed aquaculture, the fastest-growing component of global food production, offers a slate of opportunities to mitigate, and adapt to climate change. Seaweed farms release carbon that maybe buried in sediments or exported to the deep sea, therefore acting as a CO2 sink. The crop can also be used, in total or in part, for biofuel production, with a potential CO2 mitigation capacity, in terms of avoided emissions from fossil fuels, of about 1,500 tons CO2 km−2 year−1. Seaweed aquaculture can also help reduce the emissions from agriculture, by improving soil quality substituting synthetic fertilizer and when included in cattle fed, lowering methane emissions from cattle. Seaweed aquaculture contributes to climate change adaptation by damping wave energy and protecting shorelines, and by elevating pH and supplying oxygen to the waters, thereby locally reducing the effects of ocean acidification and de-oxygenation. The scope to expand seaweed aquaculture is, however, limited by the availability of suitable areas and competition for suitable areas with other uses, engineering systems capable of coping with rough conditions offshore, and increasing market demand for seaweed products, among other factors. Despite these limitations, seaweed farming practices can be optimized to maximize climate benefits, which may, if economically compensated, improve the income of seaweed farmers.","container-title":"Frontiers in Marine Science","ISSN":"2296-7745","source":"Frontiers","title":"Can seaweed farming play a role in climate change mitigation and adaptation?","URL":"https://www.frontiersin.org/article/10.3389/fmars.2017.00100","volume":"4","author":[{"family":"Duarte","given":"Carlos M."},{"family":"Wu","given":"Jiaping"},{"family":"Xiao","given":"Xi"},{"family":"Bruhn","given":"Annette"},{"family":"Krause-Jensen","given":"Dorte"}],"accessed":{"date-parts":[["2022",4,23]]},"issued":{"date-parts":[["2017"]]}}}],"schema":"https://github.com/citation-style-language/schema/raw/master/csl-citation.json"} </w:instrText>
      </w:r>
      <w:r w:rsidR="003C01F8" w:rsidRPr="00BD419F">
        <w:rPr>
          <w:rFonts w:ascii="Times New Roman" w:hAnsi="Times New Roman" w:cs="Times New Roman"/>
        </w:rPr>
        <w:fldChar w:fldCharType="separate"/>
      </w:r>
      <w:r w:rsidR="002D38F0" w:rsidRPr="002D38F0">
        <w:rPr>
          <w:rFonts w:ascii="Times New Roman" w:hAnsi="Times New Roman" w:cs="Times New Roman"/>
          <w:szCs w:val="24"/>
          <w:vertAlign w:val="superscript"/>
        </w:rPr>
        <w:t>314</w:t>
      </w:r>
      <w:r w:rsidR="003C01F8" w:rsidRPr="00BD419F">
        <w:rPr>
          <w:rFonts w:ascii="Times New Roman" w:hAnsi="Times New Roman" w:cs="Times New Roman"/>
        </w:rPr>
        <w:fldChar w:fldCharType="end"/>
      </w:r>
      <w:r w:rsidRPr="00BD419F">
        <w:rPr>
          <w:rFonts w:ascii="Times New Roman" w:hAnsi="Times New Roman" w:cs="Times New Roman"/>
        </w:rPr>
        <w:t xml:space="preserve">. Or another example is for every </w:t>
      </w:r>
      <w:proofErr w:type="spellStart"/>
      <w:r w:rsidRPr="00BD419F">
        <w:rPr>
          <w:rFonts w:ascii="Times New Roman" w:hAnsi="Times New Roman" w:cs="Times New Roman"/>
        </w:rPr>
        <w:t>tonne</w:t>
      </w:r>
      <w:proofErr w:type="spellEnd"/>
      <w:r w:rsidRPr="00BD419F">
        <w:rPr>
          <w:rFonts w:ascii="Times New Roman" w:hAnsi="Times New Roman" w:cs="Times New Roman"/>
        </w:rPr>
        <w:t xml:space="preserve"> of harvested sugar kelp </w:t>
      </w:r>
      <w:r w:rsidR="00832344" w:rsidRPr="00BD419F">
        <w:rPr>
          <w:rFonts w:ascii="Times New Roman" w:hAnsi="Times New Roman" w:cs="Times New Roman"/>
        </w:rPr>
        <w:t>(</w:t>
      </w:r>
      <w:r w:rsidRPr="00BD419F">
        <w:rPr>
          <w:rFonts w:ascii="Times New Roman" w:hAnsi="Times New Roman" w:cs="Times New Roman"/>
          <w:i/>
          <w:iCs/>
        </w:rPr>
        <w:t>S. latissimi</w:t>
      </w:r>
      <w:r w:rsidR="00832344" w:rsidRPr="00BD419F">
        <w:rPr>
          <w:rFonts w:ascii="Times New Roman" w:hAnsi="Times New Roman" w:cs="Times New Roman"/>
          <w:i/>
          <w:iCs/>
        </w:rPr>
        <w:t>)</w:t>
      </w:r>
      <w:r w:rsidRPr="00BD419F">
        <w:rPr>
          <w:rFonts w:ascii="Times New Roman" w:hAnsi="Times New Roman" w:cs="Times New Roman"/>
        </w:rPr>
        <w:t>, 145 kg of CO</w:t>
      </w:r>
      <w:r w:rsidRPr="00BD419F">
        <w:rPr>
          <w:rFonts w:ascii="Times New Roman" w:hAnsi="Times New Roman" w:cs="Times New Roman"/>
          <w:vertAlign w:val="subscript"/>
        </w:rPr>
        <w:t>2</w:t>
      </w:r>
      <w:r w:rsidRPr="00BD419F">
        <w:rPr>
          <w:rFonts w:ascii="Times New Roman" w:hAnsi="Times New Roman" w:cs="Times New Roman"/>
        </w:rPr>
        <w:t xml:space="preserve"> is captured </w:t>
      </w:r>
      <w:r w:rsidR="003C01F8" w:rsidRPr="00BD419F">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{"citationID":"a1uuh5vvrln","properties":{"formattedCitation":"\\super 315\\nosupersub{}","plainCitation":"315","noteIndex":0},"citationItems":[{"id":875,"uris":["http://zotero.org/groups/4669668/items/N6YLCKLR"],"itemData":{"id":875,"type":"article-journal","abstract":"Seaweed cultivation and processing industries could contribute to sustainable blue growth and the European bioeconomy. This article contributes a case study evaluation of environmental sustainability of preserved brown seaweed Saccharina latissima by means of environmental life cycle assessment of a pilot facility in Sweden. The study accounts for nutrient bioremediation and carbon capture and includes two alternative hatchery processes, a 2-ha longline cultivation, and four alternative preservation methods (hang-drying outdoors, heated air-cabinet drying, ensiling, and freezing). The study found that as a result of carbon capture and nitrogen and phosphorus uptake (bioremediation) by seaweed, more CO2 and PO4 equivalents are (temporarily) absorbed than emitted by the supply chain. The extent of emissions is most affected by preservation methods undertaken. Impact profiles of the supply chain show that the greatest impact shares result from freezing and air-cabinet drying, both the two most energy-intensive processes, followed by the cultivation infrastructure, highlighting strategic optimization opportunities. Hatchery processes, harvesting, and the low-energy ensilage and hang-drying outdoors were found to have relatively small impact shares. These findings presage the environmentally friendliness of seaweed-based products by documenting their potential to mitigate eutrophication and climate change, even when taking a life cycle perspective.","container-title":"ICES Journal of Marine Science","DOI":"10.1093/icesjms/fsaa112","ISSN":"1054-3139","issue":"1","journalAbbreviation":"ICES Journal of Marine Science","note":"number: 1","page":"451-467","source":"Silverchair","title":"A comparative environmental life cycle assessment of hatchery, cultivation, and preservation of the kelp Saccharina latissima","volume":"78","author":[{"family":"Thomas","given":"J -B E"},{"family":"Sodré Ribeiro","given":"M"},{"family":"Potting","given":"J"},{"family":"Cervin","given":"G"},{"family":"Nylund","given":"G M"},{"family":"Olsson","given":"J"},{"family":"Albers","given":"E"},{"family":"Undeland","given":"I"},{"family":"Pavia","given":"H"},{"family":"Gröndahl","given":"F"}],"issued":{"date-parts":[["2021",2,1]]}}}],"schema":"https://github.com/citation-style-language/schema/raw/master/csl-citation.json"} </w:instrText>
      </w:r>
      <w:r w:rsidR="003C01F8" w:rsidRPr="00BD419F">
        <w:rPr>
          <w:rFonts w:ascii="Times New Roman" w:hAnsi="Times New Roman" w:cs="Times New Roman"/>
        </w:rPr>
        <w:fldChar w:fldCharType="separate"/>
      </w:r>
      <w:r w:rsidR="002D38F0" w:rsidRPr="002D38F0">
        <w:rPr>
          <w:rFonts w:ascii="Times New Roman" w:hAnsi="Times New Roman" w:cs="Times New Roman"/>
          <w:szCs w:val="24"/>
          <w:vertAlign w:val="superscript"/>
        </w:rPr>
        <w:t>315</w:t>
      </w:r>
      <w:r w:rsidR="003C01F8" w:rsidRPr="00BD419F">
        <w:rPr>
          <w:rFonts w:ascii="Times New Roman" w:hAnsi="Times New Roman" w:cs="Times New Roman"/>
        </w:rPr>
        <w:fldChar w:fldCharType="end"/>
      </w:r>
      <w:r w:rsidRPr="00BD419F">
        <w:rPr>
          <w:rFonts w:ascii="Times New Roman" w:hAnsi="Times New Roman" w:cs="Times New Roman"/>
        </w:rPr>
        <w:t xml:space="preserve">. With the continuing expansion of seaweed cultivation, this impact will be more and more significant. Moreover, in comparison to the use of terrestrial plant meals for aquafeed, the cultivation and expansion of using macroalgae in feeds do not displace significant amounts of arable land to achieve the carbon capture effect. The use of </w:t>
      </w:r>
      <w:r w:rsidR="001B5A59" w:rsidRPr="00BD419F">
        <w:rPr>
          <w:rFonts w:ascii="Times New Roman" w:hAnsi="Times New Roman" w:cs="Times New Roman"/>
        </w:rPr>
        <w:t xml:space="preserve">proteinaceous </w:t>
      </w:r>
      <w:r w:rsidRPr="00BD419F">
        <w:rPr>
          <w:rFonts w:ascii="Times New Roman" w:hAnsi="Times New Roman" w:cs="Times New Roman"/>
        </w:rPr>
        <w:t xml:space="preserve">macroalgae feed ingredients could further bring down the overall environmental impact </w:t>
      </w:r>
      <w:r w:rsidR="005F187A" w:rsidRPr="00BD419F">
        <w:rPr>
          <w:rFonts w:ascii="Times New Roman" w:hAnsi="Times New Roman" w:cs="Times New Roman"/>
        </w:rPr>
        <w:t>of</w:t>
      </w:r>
      <w:r w:rsidRPr="00BD419F">
        <w:rPr>
          <w:rFonts w:ascii="Times New Roman" w:hAnsi="Times New Roman" w:cs="Times New Roman"/>
        </w:rPr>
        <w:t xml:space="preserve"> aquafeed production to mitigate the effects of this expanding industry </w:t>
      </w:r>
      <w:r w:rsidR="003C01F8" w:rsidRPr="00BD419F">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{"citationID":"a1gb1fki7eq","properties":{"formattedCitation":"\\super 316\\nosupersub{}","plainCitation":"316","noteIndex":0},"citationItems":[{"id":877,"uris":["http://zotero.org/groups/4669668/items/22GCFA5G"],"itemData":{"id":877,"type":"article-journal","abstract":"Seaweed is a key biomass for the development of a biobased economy because it contains valuable components such as proteins, sugars, nitrogen and phosphorus. This paper analyses innovative offshore seaweed cultivation for the production of biorefinery feedstock. The biomass is converted into three products: bioethanol, liquid fertilizer and protein-rich ingredient for fish feed. We performed comparative life cycle assessment of a base case and six alternative production scenarios in order to maximize the benefits and minimize the trade-offs in environmental performance of future macroalgal biorefineries (MABs). The results show that the base case provides a net reduction in climate change factors, i.e. −0.1·102 kg CO2 eq. per ha of sea cultivated despite a cumulative net energy demand of 3.9·104 MJ/ha, 13% of which originates from fossil sources. Regarding the environmental performance of the system, we obtained a reduction in marine eutrophication of −16.3 kg N eq./ha, thanks to bioextraction of nitrogen. For the base case the net impact on human toxicity (carcinogenic effects) was 2.1·10−4 comparative toxic units per ha of cultivation. The increase in human toxicity is seven times greater than the system can deal with, however reduction of materials for the cultivation lines, i.e. iron ballast, reduces human toxicity to 0.2·10−5 comparative toxic units. Externalities from the use of biofertilizer affect the non-carcinogenic effects of the system, resulting in 20.3·10−4 comparative toxic units per ha. Hotspots in the value chain show that biomass productivity is the main constraint against being competitive with other energy and protein producing technologies. Minor changes in plant design, i.e. use of stones instead of iron as ballast to weight the seeded lines, dramatically reduces human toxicity (cancer). Including engineered ecosystem services in the LCA significantly improves the results. As such, an increase in soil carbon stock represents 15% of the climate change mitigation provided by the MAB system. The study shows that MABs can contribute to a regenerative circular economy through environmental restoration and climate mitigation.","container-title":"Journal of Cleaner Production","DOI":"10.1016/j.jclepro.2016.07.195","ISSN":"0959-6526","journalAbbreviation":"Journal of Cleaner Production","language":"en","page":"1158-1169","source":"ScienceDirect","title":"Life cycle assessment of macroalgal biorefinery for the production of ethanol, proteins and fertilizers – A step towards a regenerative bioeconomy","volume":"137","author":[{"family":"Seghetta","given":"Michele"},{"family":"Hou","given":"Xiaoru"},{"family":"Bastianoni","given":"Simone"},{"family":"Bjerre","given":"Anne-Belinda"},{"family":"Thomsen","given":"Marianne"}],"issued":{"date-parts":[["2016",11,20]]}}}],"schema":"https://github.com/citation-style-language/schema/raw/master/csl-citation.json"} </w:instrText>
      </w:r>
      <w:r w:rsidR="003C01F8" w:rsidRPr="00BD419F">
        <w:rPr>
          <w:rFonts w:ascii="Times New Roman" w:hAnsi="Times New Roman" w:cs="Times New Roman"/>
        </w:rPr>
        <w:fldChar w:fldCharType="separate"/>
      </w:r>
      <w:r w:rsidR="002D38F0" w:rsidRPr="002D38F0">
        <w:rPr>
          <w:rFonts w:ascii="Times New Roman" w:hAnsi="Times New Roman" w:cs="Times New Roman"/>
          <w:szCs w:val="24"/>
          <w:vertAlign w:val="superscript"/>
        </w:rPr>
        <w:t>316</w:t>
      </w:r>
      <w:r w:rsidR="003C01F8" w:rsidRPr="00BD419F">
        <w:rPr>
          <w:rFonts w:ascii="Times New Roman" w:hAnsi="Times New Roman" w:cs="Times New Roman"/>
        </w:rPr>
        <w:fldChar w:fldCharType="end"/>
      </w:r>
      <w:r w:rsidRPr="00BD419F">
        <w:rPr>
          <w:rFonts w:ascii="Times New Roman" w:hAnsi="Times New Roman" w:cs="Times New Roman"/>
        </w:rPr>
        <w:t xml:space="preserve">. </w:t>
      </w:r>
    </w:p>
    <w:p w14:paraId="67ABACED" w14:textId="5AA121B9" w:rsidR="005D48AA" w:rsidRDefault="00D61979" w:rsidP="005D48AA">
      <w:pPr>
        <w:spacing w:line="360" w:lineRule="auto"/>
        <w:ind w:firstLine="720"/>
        <w:contextualSpacing/>
        <w:jc w:val="both"/>
        <w:rPr>
          <w:rFonts w:ascii="Times New Roman" w:hAnsi="Times New Roman" w:cs="Times New Roman"/>
        </w:rPr>
      </w:pPr>
      <w:r w:rsidRPr="00BD419F">
        <w:rPr>
          <w:rFonts w:ascii="Times New Roman" w:hAnsi="Times New Roman" w:cs="Times New Roman"/>
        </w:rPr>
        <w:t xml:space="preserve">It should be noted that there is a need to consider the type of water body that the algae </w:t>
      </w:r>
      <w:r w:rsidR="005F187A" w:rsidRPr="00BD419F">
        <w:rPr>
          <w:rFonts w:ascii="Times New Roman" w:hAnsi="Times New Roman" w:cs="Times New Roman"/>
        </w:rPr>
        <w:t xml:space="preserve">are </w:t>
      </w:r>
      <w:r w:rsidRPr="00BD419F">
        <w:rPr>
          <w:rFonts w:ascii="Times New Roman" w:hAnsi="Times New Roman" w:cs="Times New Roman"/>
        </w:rPr>
        <w:t>grown in beside</w:t>
      </w:r>
      <w:r w:rsidR="005F187A" w:rsidRPr="00BD419F">
        <w:rPr>
          <w:rFonts w:ascii="Times New Roman" w:hAnsi="Times New Roman" w:cs="Times New Roman"/>
        </w:rPr>
        <w:t>s</w:t>
      </w:r>
      <w:r w:rsidRPr="00BD419F">
        <w:rPr>
          <w:rFonts w:ascii="Times New Roman" w:hAnsi="Times New Roman" w:cs="Times New Roman"/>
        </w:rPr>
        <w:t xml:space="preserve"> its nutritional composition. This is acute in kelp species where they are often known to bioaccumulate high levels of potentially toxic metals such as arsenic, mercury, cadmium, and lead </w:t>
      </w:r>
      <w:r w:rsidR="00BD419F" w:rsidRPr="00BD419F">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{"citationID":"a2cbcnfmngh","properties":{"formattedCitation":"\\super 317\\nosupersub{}","plainCitation":"317","noteIndex":0},"citationItems":[{"id":879,"uris":["http://zotero.org/groups/4669668/items/MJFIVC5C"],"itemData":{"id":879,"type":"article-journal","abstract":"Aquaculture is the most rapidly expanding food production sector and this trend is projected to continue in the coming decades. Intensification of farming methods alongside a tendency for farming higher trophic level species has led to concerns over nutrient loading of coastal waters. Where this is the case, Integrated Multi-Trophic Aquaculture (IMTA) has been proposed as a best-practice management option for reducing environmental impact. Fed aquaculture can also affect metal concentrations of surrounding biota by acting as a point source of contamination or by altering the abiotic environment in a manner that affects the capacity of organisms to accumulate metals. Seaweeds are integral to IMTA in providing the inorganic nutrient extraction component of the system, however it is unknown whether their close proximity to other aquaculture operations facilitates increased metal accumulation. As a result, the effect of cultivation and growth environment on accumulation of metals in the kelp Laminaria digitata (Hudson) J.V. Lamouroux was investigated, providing the first comparative experimental data examining the effect of multi-species cultivation on trace metal content of macroalgae. Thalli of L. digitata growing wild, cultivated as a single species (mono-cultivated), and cultivated alongside organic Irish salmon aquaculture facilities (IMTA) were analysed for metal content (As, Ba, Cd, Co, Cu, Mn, Sb, V, Zn). Cultivation in an IMTA context raised the content of Cu, Mn and V relative to that in mono-cultivated seaweeds however concentrations of metals were within the range of those from algae collected from undisturbed wild populations. Metal levels in the seaweeds do not pose a concern over inclusion as a dietary component with the possible exception of arsenic that exceeded some legislative limits. The results of this study provide novel information that can inform policy and sustainable aquaculture management practices aimed at reducing contamination of the aquatic environment and the impact on consumers.\nStatement of relevance\nThis study provides the first comparative investigation of metals in seaweed from different cultivation environments and can be used to support best-practice management decisions involving IMTA. Laminaria digitata metal content was marginally increased for copper, manganese and vanadium at IMTA sites. Vanadium and antimony (emerging contaminants) in the commercially important seaweed L. digitata are reported for the first time.","container-title":"Aquaculture","DOI":"10.1016/j.aquaculture.2015.07.032","ISSN":"0044-8486","journalAbbreviation":"Aquaculture","language":"en","page":"234-243","source":"ScienceDirect","title":"Metal content of kelp (Laminaria digitata) co-cultivated with Atlantic salmon in an Integrated Multi-Trophic Aquaculture system","volume":"450","author":[{"family":"Ratcliff","given":"J. J."},{"family":"Wan","given":"A. H. L."},{"family":"Edwards","given":"M. D."},{"family":"Soler-Vila","given":"A."},{"family":"Johnson","given":"M. P."},{"family":"Abreu","given":"Maria H."},{"family":"Morrison","given":"L."}],"issued":{"date-parts":[["2016",1,1]]}}}],"schema":"https://github.com/citation-style-language/schema/raw/master/csl-citation.json"} </w:instrText>
      </w:r>
      <w:r w:rsidR="00BD419F" w:rsidRPr="00BD419F">
        <w:rPr>
          <w:rFonts w:ascii="Times New Roman" w:hAnsi="Times New Roman" w:cs="Times New Roman"/>
        </w:rPr>
        <w:fldChar w:fldCharType="separate"/>
      </w:r>
      <w:r w:rsidR="002D38F0" w:rsidRPr="002D38F0">
        <w:rPr>
          <w:rFonts w:ascii="Times New Roman" w:hAnsi="Times New Roman" w:cs="Times New Roman"/>
          <w:szCs w:val="24"/>
          <w:vertAlign w:val="superscript"/>
        </w:rPr>
        <w:t>317</w:t>
      </w:r>
      <w:r w:rsidR="00BD419F" w:rsidRPr="00BD419F">
        <w:rPr>
          <w:rFonts w:ascii="Times New Roman" w:hAnsi="Times New Roman" w:cs="Times New Roman"/>
        </w:rPr>
        <w:fldChar w:fldCharType="end"/>
      </w:r>
      <w:r w:rsidRPr="00BD419F">
        <w:rPr>
          <w:rFonts w:ascii="Times New Roman" w:hAnsi="Times New Roman" w:cs="Times New Roman"/>
        </w:rPr>
        <w:t xml:space="preserve">. The total element levels found in macroalgae can often exceed national and international legislative limits, e.g., EU Directive 2002/32/EC. Although, the level of concern remains </w:t>
      </w:r>
      <w:r w:rsidR="00F213A8">
        <w:rPr>
          <w:rFonts w:ascii="Times New Roman" w:hAnsi="Times New Roman" w:cs="Times New Roman"/>
        </w:rPr>
        <w:t xml:space="preserve">somewhat </w:t>
      </w:r>
      <w:r w:rsidRPr="00BD419F">
        <w:rPr>
          <w:rFonts w:ascii="Times New Roman" w:hAnsi="Times New Roman" w:cs="Times New Roman"/>
        </w:rPr>
        <w:t xml:space="preserve">unknown because many of these potentially toxic metals are often found to be bound to carbohydrates. </w:t>
      </w:r>
      <w:r w:rsidR="00CF74AA" w:rsidRPr="00BD419F">
        <w:rPr>
          <w:rFonts w:ascii="Times New Roman" w:hAnsi="Times New Roman" w:cs="Times New Roman"/>
        </w:rPr>
        <w:t>Consequently,</w:t>
      </w:r>
      <w:r w:rsidRPr="00BD419F">
        <w:rPr>
          <w:rFonts w:ascii="Times New Roman" w:hAnsi="Times New Roman" w:cs="Times New Roman"/>
        </w:rPr>
        <w:t xml:space="preserve"> limiting the metal’s toxicological effects, e.g., </w:t>
      </w:r>
      <w:proofErr w:type="spellStart"/>
      <w:r w:rsidRPr="00BD419F">
        <w:rPr>
          <w:rFonts w:ascii="Times New Roman" w:hAnsi="Times New Roman" w:cs="Times New Roman"/>
        </w:rPr>
        <w:t>arsenosugars</w:t>
      </w:r>
      <w:proofErr w:type="spellEnd"/>
      <w:r w:rsidRPr="00BD419F">
        <w:rPr>
          <w:rFonts w:ascii="Times New Roman" w:hAnsi="Times New Roman" w:cs="Times New Roman"/>
        </w:rPr>
        <w:t xml:space="preserve"> in kelps species </w:t>
      </w:r>
      <w:r w:rsidR="00BC1D87" w:rsidRPr="00BD419F">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{"citationID":"a7taroii0j","properties":{"formattedCitation":"\\super 318\\nosupersub{}","plainCitation":"318","noteIndex":0},"citationItems":[{"id":878,"uris":["http://zotero.org/groups/4669668/items/PHPUIQ7S"],"itemData":{"id":878,"type":"article-journal","abstract":"This study has measured the content of total and inorganic forms of arsenic in seaweed available on retail sale for consumption, to provide data for dietary exposure estimates and to support advice to consumers. A total of 31 samples covering five varieties of seaweed were collected from various retail outlets across London and the internet. All of the samples were purchased as dried product. For four of the five varieties, soaking was advised prior to consumption. The recommended method of preparation for each individual sample was followed, and total and inorganic arsenic were analysed both before and after preparation. The arsenic remaining in the water used for soaking was also measured. Arsenic was detected in all samples with total arsenic at concentrations ranging from 18 to 124mg/kg. Inorganic arsenic, which can cause liver cancer, was only found in the nine samples of hijiki seaweed that were analysed, at concentrations in the range 67–96mg/kg. Other types of seaweed were all found to contain less than 0.3mg/kg inorganic arsenic, which was the limit of detection for the method used. Since consumption of hijiki seaweed could significantly increase dietary exposure to inorganic arsenic, the UK Food Standards Agency (FSA) issued advice to consumers to avoid eating it.","container-title":"Food and Chemical Toxicology","DOI":"10.1016/j.fct.2007.01.007","ISSN":"0278-6915","issue":"7","journalAbbreviation":"Food and Chemical Toxicology","language":"en","note":"number: 7","page":"1263-1267","source":"ScienceDirect","title":"Arsenic in seaweed—Forms, concentration and dietary exposure","volume":"45","author":[{"family":"Rose","given":"Martin"},{"family":"Lewis","given":"John"},{"family":"Langford","given":"Nicola"},{"family":"Baxter","given":"Malcolm"},{"family":"Origgi","given":"Simona"},{"family":"Barber","given":"Matthew"},{"family":"MacBain","given":"Helen"},{"family":"Thomas","given":"Kara"}],"issued":{"date-parts":[["2007",7,1]]}}}],"schema":"https://github.com/citation-style-language/schema/raw/master/csl-citation.json"} </w:instrText>
      </w:r>
      <w:r w:rsidR="00BC1D87" w:rsidRPr="00BD419F">
        <w:rPr>
          <w:rFonts w:ascii="Times New Roman" w:hAnsi="Times New Roman" w:cs="Times New Roman"/>
        </w:rPr>
        <w:fldChar w:fldCharType="separate"/>
      </w:r>
      <w:r w:rsidR="002D38F0" w:rsidRPr="002D38F0">
        <w:rPr>
          <w:rFonts w:ascii="Times New Roman" w:hAnsi="Times New Roman" w:cs="Times New Roman"/>
          <w:szCs w:val="24"/>
          <w:vertAlign w:val="superscript"/>
        </w:rPr>
        <w:t>318</w:t>
      </w:r>
      <w:r w:rsidR="00BC1D87" w:rsidRPr="00BD419F">
        <w:rPr>
          <w:rFonts w:ascii="Times New Roman" w:hAnsi="Times New Roman" w:cs="Times New Roman"/>
        </w:rPr>
        <w:fldChar w:fldCharType="end"/>
      </w:r>
      <w:r w:rsidRPr="00BD419F">
        <w:rPr>
          <w:rFonts w:ascii="Times New Roman" w:hAnsi="Times New Roman" w:cs="Times New Roman"/>
        </w:rPr>
        <w:t xml:space="preserve">. </w:t>
      </w:r>
      <w:r w:rsidR="005D48AA">
        <w:rPr>
          <w:rFonts w:ascii="Times New Roman" w:hAnsi="Times New Roman" w:cs="Times New Roman"/>
        </w:rPr>
        <w:t xml:space="preserve">When seaweed such as </w:t>
      </w:r>
      <w:r w:rsidR="005D48AA" w:rsidRPr="00376414">
        <w:rPr>
          <w:rFonts w:ascii="Times New Roman" w:hAnsi="Times New Roman" w:cs="Times New Roman"/>
        </w:rPr>
        <w:t>sugar kelp (</w:t>
      </w:r>
      <w:r w:rsidR="005D48AA" w:rsidRPr="005500BB">
        <w:rPr>
          <w:rFonts w:ascii="Times New Roman" w:hAnsi="Times New Roman" w:cs="Times New Roman"/>
          <w:i/>
          <w:iCs/>
        </w:rPr>
        <w:t>S</w:t>
      </w:r>
      <w:r w:rsidR="005D48AA">
        <w:rPr>
          <w:rFonts w:ascii="Times New Roman" w:hAnsi="Times New Roman" w:cs="Times New Roman"/>
          <w:i/>
          <w:iCs/>
        </w:rPr>
        <w:t xml:space="preserve">. </w:t>
      </w:r>
      <w:proofErr w:type="spellStart"/>
      <w:r w:rsidR="005D48AA" w:rsidRPr="005500BB">
        <w:rPr>
          <w:rFonts w:ascii="Times New Roman" w:hAnsi="Times New Roman" w:cs="Times New Roman"/>
          <w:i/>
          <w:iCs/>
        </w:rPr>
        <w:t>latissima</w:t>
      </w:r>
      <w:proofErr w:type="spellEnd"/>
      <w:r w:rsidR="005D48AA" w:rsidRPr="00376414">
        <w:rPr>
          <w:rFonts w:ascii="Times New Roman" w:hAnsi="Times New Roman" w:cs="Times New Roman"/>
        </w:rPr>
        <w:t>)</w:t>
      </w:r>
      <w:r w:rsidR="005D48AA">
        <w:rPr>
          <w:rFonts w:ascii="Times New Roman" w:hAnsi="Times New Roman" w:cs="Times New Roman"/>
        </w:rPr>
        <w:t xml:space="preserve"> was fed to rainbow trout potentially toxic metals: ar</w:t>
      </w:r>
      <w:r w:rsidR="005D48AA" w:rsidRPr="005A4D35">
        <w:rPr>
          <w:rFonts w:ascii="Times New Roman" w:hAnsi="Times New Roman" w:cs="Times New Roman"/>
        </w:rPr>
        <w:t xml:space="preserve">senic, </w:t>
      </w:r>
      <w:r w:rsidR="005D48AA">
        <w:rPr>
          <w:rFonts w:ascii="Times New Roman" w:hAnsi="Times New Roman" w:cs="Times New Roman"/>
        </w:rPr>
        <w:t>cadmium</w:t>
      </w:r>
      <w:r w:rsidR="005D48AA" w:rsidRPr="005A4D35">
        <w:rPr>
          <w:rFonts w:ascii="Times New Roman" w:hAnsi="Times New Roman" w:cs="Times New Roman"/>
        </w:rPr>
        <w:t>,</w:t>
      </w:r>
      <w:r w:rsidR="005D48AA">
        <w:rPr>
          <w:rFonts w:ascii="Times New Roman" w:hAnsi="Times New Roman" w:cs="Times New Roman"/>
        </w:rPr>
        <w:t xml:space="preserve"> mercury,</w:t>
      </w:r>
      <w:r w:rsidR="005D48AA" w:rsidRPr="005A4D35">
        <w:rPr>
          <w:rFonts w:ascii="Times New Roman" w:hAnsi="Times New Roman" w:cs="Times New Roman"/>
        </w:rPr>
        <w:t xml:space="preserve"> and </w:t>
      </w:r>
      <w:r w:rsidR="005D48AA">
        <w:rPr>
          <w:rFonts w:ascii="Times New Roman" w:hAnsi="Times New Roman" w:cs="Times New Roman"/>
        </w:rPr>
        <w:t>lead did not affect the levels in the harvested fish fillets</w:t>
      </w:r>
      <w:r w:rsidR="000F6F0F">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{"citationID":"a27bd8p7qdr","properties":{"formattedCitation":"\\super 319\\nosupersub{}","plainCitation":"319","noteIndex":0},"citationItems":[{"id":882,"uris":["http://zotero.org/groups/4669668/items/8RVB8T69"],"itemData":{"id":882,"type":"article-journal","abstract":"This study aimed to evaluate the impact of diets including increasing amounts (1, 2 and 4%) of an iodine-rich macroalgae, Saccharina latissima, on gene expression and fillet composition of commercial-sized rainbow trout. Liver and muscle expression of genes related to growth, iodine, oxidative stress, and lipid metabolism, and the fillet content of fatty acids, cholesterol, and vitamin D3 were assessed. The highest kelp inclusion led to lower final body weight and HSI, without significant differences in mRNA transcription of genes involved in growth (ghr1, ghr2 and igf1) or iodine metabolism (dio1, thra, and thrb). A significant downregulation of an oxidative stress marker, gpx1b2, was observed in fish fed 2% S. latissima, which might suggest the need for less endogenous antioxidants. Dietary inclusion of kelp impacted lipid metabolism, with a downregulation of fatty acid synthase, accompanied by a general decrease of fatty acids in fillet. The present study demonstrated that supplementation of diets with 1 or 2% S. latissima can be achieved without detrimental effects on rainbow trout final weight. Evidence suggest a lipid-lowering effect of diets that did not compromise fillet EPA and DHA concentrations, being 3.7 times above the recommended levels for human consumption.","container-title":"Food and Chemical Toxicology","DOI":"10.1016/j.fct.2020.111332","ISSN":"0278-6915","journalAbbreviation":"Food and Chemical Toxicology","language":"en","page":"111332","source":"ScienceDirect","title":"Diets supplemented with Saccharina latissima influence the expression of genes related to lipid metabolism and oxidative stress modulating rainbow trout (Oncorhynchus mykiss) fillet composition","volume":"140","author":[{"family":"Ferreira","given":"Mariana"},{"family":"Larsen","given":"Bodil Katrine"},{"family":"Granby","given":"Kit"},{"family":"Cunha","given":"Sara C."},{"family":"Monteiro","given":"Carolina"},{"family":"Fernandes","given":"José O."},{"family":"Nunes","given":"Maria L."},{"family":"Marques","given":"António"},{"family":"Dias","given":"Jorge"},{"family":"Cunha","given":"Isabel"},{"family":"Castro","given":"L. Filipe C."},{"family":"Valente","given":"Luisa M. P."}],"issued":{"date-parts":[["2020",6,1]]}}}],"schema":"https://github.com/citation-style-language/schema/raw/master/csl-citation.json"} </w:instrText>
      </w:r>
      <w:r w:rsidR="000F6F0F">
        <w:rPr>
          <w:rFonts w:ascii="Times New Roman" w:hAnsi="Times New Roman" w:cs="Times New Roman"/>
        </w:rPr>
        <w:fldChar w:fldCharType="separate"/>
      </w:r>
      <w:r w:rsidR="002D38F0" w:rsidRPr="002D38F0">
        <w:rPr>
          <w:rFonts w:ascii="Times New Roman" w:hAnsi="Times New Roman" w:cs="Times New Roman"/>
          <w:szCs w:val="24"/>
          <w:vertAlign w:val="superscript"/>
        </w:rPr>
        <w:t>319</w:t>
      </w:r>
      <w:r w:rsidR="000F6F0F">
        <w:rPr>
          <w:rFonts w:ascii="Times New Roman" w:hAnsi="Times New Roman" w:cs="Times New Roman"/>
        </w:rPr>
        <w:fldChar w:fldCharType="end"/>
      </w:r>
      <w:r w:rsidR="000F6F0F">
        <w:rPr>
          <w:rFonts w:ascii="Times New Roman" w:hAnsi="Times New Roman" w:cs="Times New Roman"/>
        </w:rPr>
        <w:t>.</w:t>
      </w:r>
    </w:p>
    <w:p w14:paraId="0F2059D7" w14:textId="60D4113E" w:rsidR="00D61979" w:rsidRPr="00CF602F" w:rsidRDefault="00D61979" w:rsidP="00522623">
      <w:pPr>
        <w:spacing w:line="360" w:lineRule="auto"/>
        <w:ind w:firstLine="720"/>
        <w:contextualSpacing/>
        <w:jc w:val="both"/>
        <w:rPr>
          <w:rFonts w:ascii="Times New Roman" w:hAnsi="Times New Roman" w:cs="Times New Roman"/>
        </w:rPr>
      </w:pPr>
      <w:r w:rsidRPr="00BD419F">
        <w:rPr>
          <w:rFonts w:ascii="Times New Roman" w:hAnsi="Times New Roman" w:cs="Times New Roman"/>
        </w:rPr>
        <w:t>So far macroalgae have been exploited in several different forms in aquafeeds, such as dried and milled, refined, or as extracts of selected fractions. While the former requires low technology investmen</w:t>
      </w:r>
      <w:r w:rsidR="00CC257C" w:rsidRPr="00BD419F">
        <w:rPr>
          <w:rFonts w:ascii="Times New Roman" w:hAnsi="Times New Roman" w:cs="Times New Roman"/>
        </w:rPr>
        <w:t xml:space="preserve">t and </w:t>
      </w:r>
      <w:r w:rsidRPr="00BD419F">
        <w:rPr>
          <w:rFonts w:ascii="Times New Roman" w:hAnsi="Times New Roman" w:cs="Times New Roman"/>
        </w:rPr>
        <w:t>knowledge</w:t>
      </w:r>
      <w:r w:rsidR="000B4E87" w:rsidRPr="00BD419F">
        <w:rPr>
          <w:rFonts w:ascii="Times New Roman" w:hAnsi="Times New Roman" w:cs="Times New Roman"/>
        </w:rPr>
        <w:t xml:space="preserve"> </w:t>
      </w:r>
      <w:r w:rsidRPr="00BD419F">
        <w:rPr>
          <w:rFonts w:ascii="Times New Roman" w:hAnsi="Times New Roman" w:cs="Times New Roman"/>
        </w:rPr>
        <w:t>and can produce the cheapest form of the feed ingredient, there are limitations of macroalgae products having an impact on the aquafeed formulation, i.e., as a protein and lipid nutrient source. This is because a large proportion of the seaweed is composed of carbohydrates</w:t>
      </w:r>
      <w:r w:rsidR="004B242F" w:rsidRPr="00BD419F">
        <w:rPr>
          <w:rFonts w:ascii="Times New Roman" w:hAnsi="Times New Roman" w:cs="Times New Roman"/>
        </w:rPr>
        <w:t xml:space="preserve">, for example </w:t>
      </w:r>
      <w:r w:rsidRPr="00BD419F">
        <w:rPr>
          <w:rFonts w:ascii="Times New Roman" w:hAnsi="Times New Roman" w:cs="Times New Roman"/>
        </w:rPr>
        <w:t xml:space="preserve">cellulose, hemicellulose, and complex polysaccharides (e.g., alginates, fucoidan, </w:t>
      </w:r>
      <w:proofErr w:type="spellStart"/>
      <w:r w:rsidRPr="00BD419F">
        <w:rPr>
          <w:rFonts w:ascii="Times New Roman" w:hAnsi="Times New Roman" w:cs="Times New Roman"/>
        </w:rPr>
        <w:t>xylans</w:t>
      </w:r>
      <w:proofErr w:type="spellEnd"/>
      <w:r w:rsidRPr="00BD419F">
        <w:rPr>
          <w:rFonts w:ascii="Times New Roman" w:hAnsi="Times New Roman" w:cs="Times New Roman"/>
        </w:rPr>
        <w:t xml:space="preserve">, and </w:t>
      </w:r>
      <w:proofErr w:type="spellStart"/>
      <w:r w:rsidRPr="00BD419F">
        <w:rPr>
          <w:rFonts w:ascii="Times New Roman" w:hAnsi="Times New Roman" w:cs="Times New Roman"/>
        </w:rPr>
        <w:t>carrageenans</w:t>
      </w:r>
      <w:proofErr w:type="spellEnd"/>
      <w:r w:rsidRPr="00BD419F">
        <w:rPr>
          <w:rFonts w:ascii="Times New Roman" w:hAnsi="Times New Roman" w:cs="Times New Roman"/>
        </w:rPr>
        <w:t>), ranging from 1.8 to 66% dry matter</w:t>
      </w:r>
      <w:r w:rsidR="004B242F" w:rsidRPr="00BD419F">
        <w:rPr>
          <w:rFonts w:ascii="Times New Roman" w:hAnsi="Times New Roman" w:cs="Times New Roman"/>
        </w:rPr>
        <w:t xml:space="preserve"> </w:t>
      </w:r>
      <w:r w:rsidR="00BD419F" w:rsidRPr="00BD419F">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{"citationID":"a7m3rvmuvn","properties":{"formattedCitation":"\\super 320\\nosupersub{}","plainCitation":"320","noteIndex":0},"citationItems":[{"id":871,"uris":["http://zotero.org/groups/4669668/items/59F97T7Q"],"itemData":{"id":871,"type":"article-journal","abstract":"Macroalgae, commonly known as seaweed, offer a novel and added-value dietary ingredient in formulated diets for fish. Production of biomass can be achieved without reliance on expensive arable land, as seaweed may be collected from coastal regions or farmed. There are three taxonomic groups represented by the term ‘macroalgae’: Rhodophyta (red), Chlorophyta (green) and Phaeophyta (brown). Like terrestrial plants, nutritional content in macroalgae can vary greatly amongst species, genera, divisions, seasons and locations. Aside from their basic nutritional value, seaweeds contain a number of pigments, defensive and storage compounds, and secondary metabolites that could have beneficial effects on farmed fish. This review appraises the beneficial qualities of these macroalgae compounds and their potential for exploitation in commercial finfish feeds. The current knowledge of the effects of macroalgae inclusion in finfish diets is also addressed. From these &gt;50 fish feeding studies that were analysed, enhancing trends in fish growth, physiology, stress resistance, immune system and fillet muscle quality were reported. However, only a small fraction of algal species have so far been investigated as potential components in finfish diets, and furthermore, this review has identified a number of knowledge gaps that current research has yet to address. To conclude, an appraisal is made of the possible technologies employed to exploit seaweeds to an industrial level through stabilising the algal meal, enhancing the digestibility and functional food properties.","container-title":"Reviews in Aquaculture","DOI":"10.1111/raq.12241","ISSN":"1753-5131","issue":"3","language":"en","note":"number: 3\n_eprint: https://onlinelibrary.wiley.com/doi/pdf/10.1111/raq.12241","page":"458-492","source":"Wiley Online Library","title":"Macroalgae as a sustainable aquafeed ingredient","volume":"11","author":[{"family":"Wan","given":"Alex H.L."},{"family":"Davies","given":"Simon J."},{"family":"Soler-Vila","given":"Anna"},{"family":"Fitzgerald","given":"Richard"},{"family":"Johnson","given":"Mark P."}],"issued":{"date-parts":[["2019"]]}}}],"schema":"https://github.com/citation-style-language/schema/raw/master/csl-citation.json"} </w:instrText>
      </w:r>
      <w:r w:rsidR="00BD419F" w:rsidRPr="00BD419F">
        <w:rPr>
          <w:rFonts w:ascii="Times New Roman" w:hAnsi="Times New Roman" w:cs="Times New Roman"/>
        </w:rPr>
        <w:fldChar w:fldCharType="separate"/>
      </w:r>
      <w:r w:rsidR="002D38F0" w:rsidRPr="002D38F0">
        <w:rPr>
          <w:rFonts w:ascii="Times New Roman" w:hAnsi="Times New Roman" w:cs="Times New Roman"/>
          <w:szCs w:val="24"/>
          <w:vertAlign w:val="superscript"/>
        </w:rPr>
        <w:t>320</w:t>
      </w:r>
      <w:r w:rsidR="00BD419F" w:rsidRPr="00BD419F">
        <w:rPr>
          <w:rFonts w:ascii="Times New Roman" w:hAnsi="Times New Roman" w:cs="Times New Roman"/>
        </w:rPr>
        <w:fldChar w:fldCharType="end"/>
      </w:r>
      <w:r w:rsidR="00BD419F" w:rsidRPr="00BD419F">
        <w:rPr>
          <w:rFonts w:ascii="Times New Roman" w:hAnsi="Times New Roman" w:cs="Times New Roman"/>
        </w:rPr>
        <w:t xml:space="preserve"> </w:t>
      </w:r>
      <w:r w:rsidR="00745063" w:rsidRPr="00BD419F">
        <w:rPr>
          <w:rFonts w:ascii="Times New Roman" w:hAnsi="Times New Roman" w:cs="Times New Roman"/>
        </w:rPr>
        <w:t>of whi</w:t>
      </w:r>
      <w:r w:rsidR="00F47F6A" w:rsidRPr="00BD419F">
        <w:rPr>
          <w:rFonts w:ascii="Times New Roman" w:hAnsi="Times New Roman" w:cs="Times New Roman"/>
        </w:rPr>
        <w:t>ch are</w:t>
      </w:r>
      <w:r w:rsidRPr="00BD419F">
        <w:rPr>
          <w:rFonts w:ascii="Times New Roman" w:hAnsi="Times New Roman" w:cs="Times New Roman"/>
        </w:rPr>
        <w:t xml:space="preserve"> typically </w:t>
      </w:r>
      <w:r w:rsidR="00F47F6A" w:rsidRPr="00BD419F">
        <w:rPr>
          <w:rFonts w:ascii="Times New Roman" w:hAnsi="Times New Roman" w:cs="Times New Roman"/>
        </w:rPr>
        <w:t>not well dige</w:t>
      </w:r>
      <w:r w:rsidR="008A146C" w:rsidRPr="00BD419F">
        <w:rPr>
          <w:rFonts w:ascii="Times New Roman" w:hAnsi="Times New Roman" w:cs="Times New Roman"/>
        </w:rPr>
        <w:t xml:space="preserve">sted and </w:t>
      </w:r>
      <w:r w:rsidRPr="00BD419F">
        <w:rPr>
          <w:rFonts w:ascii="Times New Roman" w:hAnsi="Times New Roman" w:cs="Times New Roman"/>
        </w:rPr>
        <w:t xml:space="preserve">nutritionally unavailable to many farmed fish, especially to carnivorous species. </w:t>
      </w:r>
      <w:r w:rsidR="000B4E87" w:rsidRPr="00BD419F">
        <w:rPr>
          <w:rFonts w:ascii="Times New Roman" w:hAnsi="Times New Roman" w:cs="Times New Roman"/>
        </w:rPr>
        <w:t>I</w:t>
      </w:r>
      <w:r w:rsidRPr="00BD419F">
        <w:rPr>
          <w:rFonts w:ascii="Times New Roman" w:hAnsi="Times New Roman" w:cs="Times New Roman"/>
        </w:rPr>
        <w:t>ncreasing dietary inclusion levels to make up for the low protein content would only displace other ingredients where formulations for fish are highly conservative in terms of space for nutrient-dense diets. In general, past studies have shown that</w:t>
      </w:r>
      <w:r w:rsidRPr="00D61979">
        <w:rPr>
          <w:rFonts w:ascii="Times New Roman" w:hAnsi="Times New Roman" w:cs="Times New Roman"/>
        </w:rPr>
        <w:t xml:space="preserve"> macroalgae can form 30% of a formulated feed composition without significant detriment to fish </w:t>
      </w:r>
      <w:r w:rsidRPr="00CF602F">
        <w:rPr>
          <w:rFonts w:ascii="Times New Roman" w:hAnsi="Times New Roman" w:cs="Times New Roman"/>
        </w:rPr>
        <w:t xml:space="preserve">productivity indicators, e.g., growth performance and feed efficiency indices.     </w:t>
      </w:r>
    </w:p>
    <w:p w14:paraId="4DBF2DD2" w14:textId="28A39F9A" w:rsidR="00D61979" w:rsidRPr="00B84532" w:rsidRDefault="00D61979" w:rsidP="00522623">
      <w:pPr>
        <w:spacing w:line="360" w:lineRule="auto"/>
        <w:ind w:firstLine="720"/>
        <w:contextualSpacing/>
        <w:jc w:val="both"/>
        <w:rPr>
          <w:rFonts w:ascii="Times New Roman" w:hAnsi="Times New Roman" w:cs="Times New Roman"/>
        </w:rPr>
      </w:pPr>
      <w:r w:rsidRPr="00B84532">
        <w:rPr>
          <w:rFonts w:ascii="Times New Roman" w:hAnsi="Times New Roman" w:cs="Times New Roman"/>
        </w:rPr>
        <w:t>Biorefining methods such as the use of hydrolysis, extraction, and fermentation can all add value to the macroalgae through the reduction of the carbohydrate component and increase the bioavailability of the residual proteins. From an economic standpoint, this can dramatically add to the cost of the now protein</w:t>
      </w:r>
      <w:r w:rsidR="006F6F03" w:rsidRPr="00B84532">
        <w:rPr>
          <w:rFonts w:ascii="Times New Roman" w:hAnsi="Times New Roman" w:cs="Times New Roman"/>
        </w:rPr>
        <w:t>aceous</w:t>
      </w:r>
      <w:r w:rsidRPr="00B84532">
        <w:rPr>
          <w:rFonts w:ascii="Times New Roman" w:hAnsi="Times New Roman" w:cs="Times New Roman"/>
        </w:rPr>
        <w:t xml:space="preserve"> macroalgae feed product and limit the cost-effectiveness needed to compete against other major proteins used in aquafeeds, </w:t>
      </w:r>
      <w:r w:rsidR="00630D3E" w:rsidRPr="00B84532">
        <w:rPr>
          <w:rFonts w:ascii="Times New Roman" w:hAnsi="Times New Roman" w:cs="Times New Roman"/>
        </w:rPr>
        <w:t>such as</w:t>
      </w:r>
      <w:r w:rsidRPr="00B84532">
        <w:rPr>
          <w:rFonts w:ascii="Times New Roman" w:hAnsi="Times New Roman" w:cs="Times New Roman"/>
        </w:rPr>
        <w:t xml:space="preserve"> soy protein concentrate </w:t>
      </w:r>
      <w:r w:rsidR="003E7D3F" w:rsidRPr="00B845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{"citationID":"a3bli7sv16","properties":{"formattedCitation":"\\super 321\\nosupersub{}","plainCitation":"321","noteIndex":0},"citationItems":[{"id":883,"uris":["http://zotero.org/groups/4669668/items/DX2PT84B"],"itemData":{"id":883,"type":"article-journal","abstract":"Soy protein concentrate (SPC) is a key ingredient in fish feed and most of it originates from Brazil. However, the Brazilian soy industry has reportedly resulted in significant environmental problems including deforestation. Consequently, new sources for protein are investigated and protein extracted from farmed seaweed is considered an alternative. Therefore, we investigate how seaweed protein product (SPP) can compete against SPC as a protein ingredient for fish feed. The study uses the positioning matrix, cost analyses involving the power law, and uncertainty analysis using Monte Carlo simulations, and key research challenges are identified. The initial finding is that, with the emerging seaweed industry, the cost of producing SPP is too high to be competitive for fish feed applications. To overcome this challenge, two solutions are investigated. First, substantial investments in cultivation and processing infrastructure are needed to accomplish scale, and a break-even scale of 65,000 tonnes is suggested. The second but more promising avenue, preferably in combination with the former, is the extraction of seaweed protein and high-value seaweed components. With mannitol and laminaran as co-products to the SPP, there is a 25–30% probability of a positive bottom line. Researches on extraction processes are therefore a necessity to maximize the extraction of value-added ingredients. Over time, it is expected that the competitive position of SPP will improve due to the upscaling of the volume of production as well as better biorefinery processes.","container-title":"Journal of Applied Phycology","DOI":"10.1007/s10811-020-02234-w","ISSN":"1573-5176","issue":"6","journalAbbreviation":"J Appl Phycol","language":"en","note":"number: 6","page":"4159-4169","source":"Springer Link","title":"Strategic considerations for establishing a large-scale seaweed industry based on fish feed application: a Norwegian case study","title-short":"Strategic considerations for establishing a large-scale seaweed industry based on fish feed application","volume":"32","author":[{"family":"Emblemsvåg","given":"Jan"},{"family":"Kvadsheim","given":"Nina Pereira"},{"family":"Halfdanarson","given":"Jon"},{"family":"Koesling","given":"Matthias"},{"family":"Nystrand","given":"Bjørn Tore"},{"family":"Sunde","given":"Jan"},{"family":"Rebours","given":"Céline"}],"issued":{"date-parts":[["2020",12,1]]}}}],"schema":"https://github.com/citation-style-language/schema/raw/master/csl-citation.json"} </w:instrText>
      </w:r>
      <w:r w:rsidR="003E7D3F" w:rsidRPr="00B84532">
        <w:rPr>
          <w:rFonts w:ascii="Times New Roman" w:hAnsi="Times New Roman" w:cs="Times New Roman"/>
        </w:rPr>
        <w:fldChar w:fldCharType="separate"/>
      </w:r>
      <w:r w:rsidR="002D38F0" w:rsidRPr="002D38F0">
        <w:rPr>
          <w:rFonts w:ascii="Times New Roman" w:hAnsi="Times New Roman" w:cs="Times New Roman"/>
          <w:szCs w:val="24"/>
          <w:vertAlign w:val="superscript"/>
        </w:rPr>
        <w:t>321</w:t>
      </w:r>
      <w:r w:rsidR="003E7D3F" w:rsidRPr="00B84532">
        <w:rPr>
          <w:rFonts w:ascii="Times New Roman" w:hAnsi="Times New Roman" w:cs="Times New Roman"/>
        </w:rPr>
        <w:fldChar w:fldCharType="end"/>
      </w:r>
      <w:r w:rsidRPr="00B84532">
        <w:rPr>
          <w:rFonts w:ascii="Times New Roman" w:hAnsi="Times New Roman" w:cs="Times New Roman"/>
        </w:rPr>
        <w:t xml:space="preserve">. However, the biorefining process might not be necessarily dedicated to fish feed production but come as a by-product from another production industry, such as biofuel generation that specifically requires the carbohydrate component or from the </w:t>
      </w:r>
      <w:proofErr w:type="spellStart"/>
      <w:r w:rsidRPr="00B84532">
        <w:rPr>
          <w:rFonts w:ascii="Times New Roman" w:hAnsi="Times New Roman" w:cs="Times New Roman"/>
        </w:rPr>
        <w:t>phycocolloid</w:t>
      </w:r>
      <w:proofErr w:type="spellEnd"/>
      <w:r w:rsidRPr="00B84532">
        <w:rPr>
          <w:rFonts w:ascii="Times New Roman" w:hAnsi="Times New Roman" w:cs="Times New Roman"/>
        </w:rPr>
        <w:t xml:space="preserve"> production, if the processes could be refined to preserve the protein and lipid constituents for feed use </w:t>
      </w:r>
      <w:r w:rsidR="00375286" w:rsidRPr="00B845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{"citationID":"a1lujmb8vij","properties":{"formattedCitation":"\\super 322,323\\nosupersub{}","plainCitation":"322,323","noteIndex":0},"citationItems":[{"id":1072,"uris":["http://zotero.org/groups/4669668/items/ZFNMQZ2T"],"itemData":{"id":1072,"type":"article-journal","abstract":"Macroalgae have been commercially exploited as food and for the production of phycocolloids, but they also contain compounds with potential in pharmaceutical, nutraceutical, cosmetic, chemical and energetic applications. The biorefinery concept applied to seaweed facilitates the extraction of different constituents ensuring full utilization of resources and generating few residues through a succession of steps. Seaweed biorefineries are less advanced than those based on terrestrial biomass and the design of efficient processes requires further study. This review presents practical successful examples to obtain two or more commercially valuable components from red seaweeds. The selected processes consist on cascading stages of both conventional and alternative techniques to illustrate different possible valorization strategies.","container-title":"Marine Drugs","DOI":"10.3390/md17110620","ISSN":"1660-3397","issue":"11","language":"en","license":"http://creativecommons.org/licenses/by/3.0/","note":"number: 11\npublisher: Multidisciplinary Digital Publishing Institute","page":"620","source":"www.mdpi.com","title":"Successful approaches for a red seaweed biorefinery","volume":"17","author":[{"family":"Álvarez-Viñas","given":"Milena"},{"family":"Flórez-Fernández","given":"Noelia"},{"family":"Torres","given":"M. Dolores"},{"family":"Domínguez","given":"Herminia"}],"issued":{"date-parts":[["2019",11]]}}},{"id":884,"uris":["http://zotero.org/groups/4669668/items/JRP39XRF"],"itemData":{"id":884,"type":"article-journal","abstract":"Marine macroalgal resources are gaining importance as one of the promising feedstocks for the production of food, feed, chemicals and energy which are upwardly growing worldwide. Recent studies have convincingly demonstrated the scope and potentials of seaweeds for the production of diverse bioproducts of commercial importance. The present study demonstrates an integrated strategy for sustainable utilisation of wet brown algal biomass (Sargassum) in laboratory-scale at 1 kg batch processing yielding 541.33 ± 5.50 mL sap, 32 ± 1.5 g alginic acid, 3.8 ± 0.2 g protein concentrate and 10 ± 0.5 g cellulose. Furthermore, the effluent obtained from the process was used to produce as much as 115 ± 5 g salt. The present integrated process has several advantages over contemporary ones in terms of reduction in input chemicals, and total utilisation of feedstock with effluent management. The green matrix analysis and economic assessment suggested that the commercial-scale implementation of the process could help to reduce the energy and chemical inputs for components extraction which are the major challenges with seaweed bioprocessing.","container-title":"Journal of Cleaner Production","DOI":"10.1016/j.jclepro.2020.121359","ISSN":"0959-6526","journalAbbreviation":"Journal of Cleaner Production","language":"en","page":"121359","source":"ScienceDirect","title":"Seaweed biorefinery: A sustainable process for valorising the biomass of brown seaweed","title-short":"Seaweed biorefinery","volume":"263","author":[{"family":"Baghel","given":"Ravi S."},{"family":"Suthar","given":"Poornima"},{"family":"Gajaria","given":"Tejal K."},{"family":"Bhattacharya","given":"Sourish"},{"family":"Anil","given":"Annamma"},{"family":"Reddy","given":"C. R. K."}],"issued":{"date-parts":[["2020",8,1]]}}}],"schema":"https://github.com/citation-style-language/schema/raw/master/csl-citation.json"} </w:instrText>
      </w:r>
      <w:r w:rsidR="00375286" w:rsidRPr="00B84532">
        <w:rPr>
          <w:rFonts w:ascii="Times New Roman" w:hAnsi="Times New Roman" w:cs="Times New Roman"/>
        </w:rPr>
        <w:fldChar w:fldCharType="separate"/>
      </w:r>
      <w:r w:rsidR="002D38F0" w:rsidRPr="002D38F0">
        <w:rPr>
          <w:rFonts w:ascii="Times New Roman" w:hAnsi="Times New Roman" w:cs="Times New Roman"/>
          <w:szCs w:val="24"/>
          <w:vertAlign w:val="superscript"/>
        </w:rPr>
        <w:t>322,323</w:t>
      </w:r>
      <w:r w:rsidR="00375286" w:rsidRPr="00B84532">
        <w:rPr>
          <w:rFonts w:ascii="Times New Roman" w:hAnsi="Times New Roman" w:cs="Times New Roman"/>
        </w:rPr>
        <w:fldChar w:fldCharType="end"/>
      </w:r>
      <w:r w:rsidR="00375286" w:rsidRPr="00B84532">
        <w:rPr>
          <w:rFonts w:ascii="Times New Roman" w:hAnsi="Times New Roman" w:cs="Times New Roman"/>
        </w:rPr>
        <w:t>.</w:t>
      </w:r>
      <w:r w:rsidRPr="00B84532">
        <w:rPr>
          <w:rFonts w:ascii="Times New Roman" w:hAnsi="Times New Roman" w:cs="Times New Roman"/>
        </w:rPr>
        <w:t xml:space="preserve"> </w:t>
      </w:r>
    </w:p>
    <w:p w14:paraId="1ADF39D9" w14:textId="21387AD2" w:rsidR="00D61979" w:rsidRPr="00B84532" w:rsidRDefault="00D61979" w:rsidP="00E56FBA">
      <w:pPr>
        <w:spacing w:line="360" w:lineRule="auto"/>
        <w:ind w:firstLine="720"/>
        <w:contextualSpacing/>
        <w:jc w:val="both"/>
        <w:rPr>
          <w:rFonts w:ascii="Times New Roman" w:hAnsi="Times New Roman" w:cs="Times New Roman"/>
        </w:rPr>
      </w:pPr>
      <w:r w:rsidRPr="00CF602F">
        <w:rPr>
          <w:rFonts w:ascii="Times New Roman" w:hAnsi="Times New Roman" w:cs="Times New Roman"/>
        </w:rPr>
        <w:t xml:space="preserve">The use of macroalgae in aquafeeds can extend beyond the mere protein replacement by contributing functionality and bioactivity to fish and shrimp by interaction with the intestinal tract and related immune systems. The former </w:t>
      </w:r>
      <w:r w:rsidR="002A6A8C">
        <w:rPr>
          <w:rFonts w:ascii="Times New Roman" w:hAnsi="Times New Roman" w:cs="Times New Roman"/>
        </w:rPr>
        <w:t>is</w:t>
      </w:r>
      <w:r w:rsidR="002A6A8C" w:rsidRPr="00CF602F">
        <w:rPr>
          <w:rFonts w:ascii="Times New Roman" w:hAnsi="Times New Roman" w:cs="Times New Roman"/>
        </w:rPr>
        <w:t xml:space="preserve"> </w:t>
      </w:r>
      <w:r w:rsidRPr="00CF602F">
        <w:rPr>
          <w:rFonts w:ascii="Times New Roman" w:hAnsi="Times New Roman" w:cs="Times New Roman"/>
        </w:rPr>
        <w:t xml:space="preserve">that the </w:t>
      </w:r>
      <w:proofErr w:type="spellStart"/>
      <w:r w:rsidRPr="00CF602F">
        <w:rPr>
          <w:rFonts w:ascii="Times New Roman" w:hAnsi="Times New Roman" w:cs="Times New Roman"/>
        </w:rPr>
        <w:t>phycocolloids</w:t>
      </w:r>
      <w:proofErr w:type="spellEnd"/>
      <w:r w:rsidRPr="00CF602F">
        <w:rPr>
          <w:rFonts w:ascii="Times New Roman" w:hAnsi="Times New Roman" w:cs="Times New Roman"/>
        </w:rPr>
        <w:t xml:space="preserve"> from the algae can replace traditional binders (e.g., gums, gluten, starches, and resin) used in the feed to create feed stability when the pellet sinks through the water column. Phytogenic and polysaccharide compounds in the algae can also confer bioactivity to the host organism by inducing the antioxidant </w:t>
      </w:r>
      <w:r w:rsidR="00FB7038" w:rsidRPr="00CF602F">
        <w:rPr>
          <w:rFonts w:ascii="Times New Roman" w:hAnsi="Times New Roman" w:cs="Times New Roman"/>
        </w:rPr>
        <w:t>defense</w:t>
      </w:r>
      <w:r w:rsidRPr="00CF602F">
        <w:rPr>
          <w:rFonts w:ascii="Times New Roman" w:hAnsi="Times New Roman" w:cs="Times New Roman"/>
        </w:rPr>
        <w:t xml:space="preserve"> mechanisms and systemic response via the mucosal barrier mechanism of the gut. This can have beneficial effects </w:t>
      </w:r>
      <w:r w:rsidR="00A53944" w:rsidRPr="00CF602F">
        <w:rPr>
          <w:rFonts w:ascii="Times New Roman" w:hAnsi="Times New Roman" w:cs="Times New Roman"/>
        </w:rPr>
        <w:t>on</w:t>
      </w:r>
      <w:r w:rsidRPr="00CF602F">
        <w:rPr>
          <w:rFonts w:ascii="Times New Roman" w:hAnsi="Times New Roman" w:cs="Times New Roman"/>
        </w:rPr>
        <w:t xml:space="preserve"> skin and gill integrity that are </w:t>
      </w:r>
      <w:r w:rsidRPr="00B84532">
        <w:rPr>
          <w:rFonts w:ascii="Times New Roman" w:hAnsi="Times New Roman" w:cs="Times New Roman"/>
        </w:rPr>
        <w:t xml:space="preserve">affected by their systemic relationship. A metanalysis carried out on past research studies has shown that dietary macroalgae can enhance disease resistance and fish innate immunity through measured physiological and metabolic indicators, such as lysozyme, respiratory burst, </w:t>
      </w:r>
      <w:r w:rsidR="00A53944" w:rsidRPr="00B84532">
        <w:rPr>
          <w:rFonts w:ascii="Times New Roman" w:hAnsi="Times New Roman" w:cs="Times New Roman"/>
        </w:rPr>
        <w:t>chemolytic</w:t>
      </w:r>
      <w:r w:rsidRPr="00B84532">
        <w:rPr>
          <w:rFonts w:ascii="Times New Roman" w:hAnsi="Times New Roman" w:cs="Times New Roman"/>
        </w:rPr>
        <w:t xml:space="preserve">, and phagocytic activities </w:t>
      </w:r>
      <w:r w:rsidR="005B7E0A" w:rsidRPr="00B845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{"citationID":"a10e8sem7c2","properties":{"formattedCitation":"\\super 324\\nosupersub{}","plainCitation":"324","noteIndex":0},"citationItems":[{"id":876,"uris":["http://zotero.org/groups/4669668/items/YK9EYLHN"],"itemData":{"id":876,"type":"article-journal","abstract":"Disease is an enduring threat to aquaculture, with direct costs from outbreaks of more than US$6 billion a year. Efforts to reduce antibiotic use in aquaculture have resulted in a recent shift towards the use of immunostimulants that boost fish immune systems. Seaweeds are a potential source of unique immunostimulants because of their diverse taxonomy (11,353 species) and diverse bioactives, but there has been no synthesis of their effects on fish. A systematic review and meta-analysis of 142 peer-reviewed studies was conducted to evaluate the effects of seaweed on the innate immunity, resistance (to stress and pathogens) and growth of farmed fish. Overall, our review indicated that dietary supplementation with seaweeds or their extracts had substantial positive impacts on the health and growth of fish compared with control groups and were comparable to currently utilised immunostimulants. Dramatic effects on survival of fish during challenge experiments were detected, with an average of 33% higher survival of fish fed diets that included seaweeds or their extracts. This study provides broad evidence for the benefits of supplementing fish feed with the reviewed seaweeds or their bioactive extracts, including potential synergistic effects of supplements. However, the meta-analysis also highlighted considerable variation among studies, and between fish and seaweed species, making it difficult to extrapolate results beyond individual experiments. Future studies should focus on developing synergistic combinations of ingredients and elucidating the mode of action through isolation of seaweed bioactives, together with standardisation of experimental conditions, to fast-track the benefits of seaweed supplements for aquaculture.","container-title":"Reviews in Aquaculture","DOI":"10.1111/raq.12504","ISSN":"1753-5131","issue":"2","language":"en","note":"number: 2\n_eprint: https://onlinelibrary.wiley.com/doi/pdf/10.1111/raq.12504","page":"907-933","source":"Wiley Online Library","title":"Meta-analysis of the use of seaweeds and their extracts as immunostimulants for fish: a systematic review","title-short":"Meta-analysis of the use of seaweeds and their extracts as immunostimulants for fish","volume":"13","author":[{"family":"Thépot","given":"Valentin"},{"family":"Campbell","given":"Alexandra H."},{"family":"Rimmer","given":"Michael A"},{"family":"Paul","given":"Nicholas A"}],"issued":{"date-parts":[["2021"]]}}}],"schema":"https://github.com/citation-style-language/schema/raw/master/csl-citation.json"} </w:instrText>
      </w:r>
      <w:r w:rsidR="005B7E0A" w:rsidRPr="00B84532">
        <w:rPr>
          <w:rFonts w:ascii="Times New Roman" w:hAnsi="Times New Roman" w:cs="Times New Roman"/>
        </w:rPr>
        <w:fldChar w:fldCharType="separate"/>
      </w:r>
      <w:r w:rsidR="002D38F0" w:rsidRPr="002D38F0">
        <w:rPr>
          <w:rFonts w:ascii="Times New Roman" w:hAnsi="Times New Roman" w:cs="Times New Roman"/>
          <w:szCs w:val="24"/>
          <w:vertAlign w:val="superscript"/>
        </w:rPr>
        <w:t>324</w:t>
      </w:r>
      <w:r w:rsidR="005B7E0A" w:rsidRPr="00B84532">
        <w:rPr>
          <w:rFonts w:ascii="Times New Roman" w:hAnsi="Times New Roman" w:cs="Times New Roman"/>
        </w:rPr>
        <w:fldChar w:fldCharType="end"/>
      </w:r>
      <w:r w:rsidRPr="00B84532">
        <w:rPr>
          <w:rFonts w:ascii="Times New Roman" w:hAnsi="Times New Roman" w:cs="Times New Roman"/>
        </w:rPr>
        <w:t xml:space="preserve">. Besides macroalgae offering immunomodulation benefits, these sustainable feed ingredients can also offer a means to deliver </w:t>
      </w:r>
      <w:r w:rsidR="000644D8" w:rsidRPr="00B84532">
        <w:rPr>
          <w:rFonts w:ascii="Times New Roman" w:hAnsi="Times New Roman" w:cs="Times New Roman"/>
        </w:rPr>
        <w:t xml:space="preserve">other </w:t>
      </w:r>
      <w:r w:rsidRPr="00B84532">
        <w:rPr>
          <w:rFonts w:ascii="Times New Roman" w:hAnsi="Times New Roman" w:cs="Times New Roman"/>
        </w:rPr>
        <w:t xml:space="preserve">functional benefits through flesh pigmentation, </w:t>
      </w:r>
      <w:r w:rsidR="00293B13" w:rsidRPr="00B84532">
        <w:rPr>
          <w:rFonts w:ascii="Times New Roman" w:hAnsi="Times New Roman" w:cs="Times New Roman"/>
        </w:rPr>
        <w:t xml:space="preserve">and </w:t>
      </w:r>
      <w:r w:rsidRPr="00B84532">
        <w:rPr>
          <w:rFonts w:ascii="Times New Roman" w:hAnsi="Times New Roman" w:cs="Times New Roman"/>
        </w:rPr>
        <w:t>antioxidative a</w:t>
      </w:r>
      <w:r w:rsidR="00293B13" w:rsidRPr="00B84532">
        <w:rPr>
          <w:rFonts w:ascii="Times New Roman" w:hAnsi="Times New Roman" w:cs="Times New Roman"/>
        </w:rPr>
        <w:t>ctivity</w:t>
      </w:r>
      <w:r w:rsidRPr="00B84532">
        <w:rPr>
          <w:rFonts w:ascii="Times New Roman" w:hAnsi="Times New Roman" w:cs="Times New Roman"/>
        </w:rPr>
        <w:t xml:space="preserve"> </w:t>
      </w:r>
      <w:r w:rsidR="00CF602F" w:rsidRPr="00680DD3">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{"citationID":"amt0bsap8p","properties":{"formattedCitation":"\\super 319,325,326\\nosupersub{}","plainCitation":"319,325,326","noteIndex":0},"citationItems":[{"id":873,"uris":["http://zotero.org/groups/4669668/items/ZPE4CNVS"],"itemData":{"id":873,"type":"article-journal","abstract":"The effects of different dietary inclusion levels (0, 5 and 10%) of IMTA-cultivated Gracilaria vermiculophylla on rainbow trout growth performance and flesh quality traits were evaluated. Flesh chemical composition (moisture, protein, lipid, vitamin E and iodine contents), sensory attributes and instrumental color were determined after a feeding period of 91days with the experimental diets. The antioxidant activity of muscle carotenoids and hydrolysates was also determined by the 2,2-azino-bis-3-ethylbenzothiazoline-6-sulfonic acid (ABTS) and 2,2-diphenyl-1-picrylhydrazyl (DPPH) methods. By the end of the experiment, fish fed CTRL or G5 diet reached similar body weight (215–220g), but fish fed G10 weighed significantly less (167g). Seaweed inclusion increased flesh moisture and decreased lipid content, with significant differences between the G5 and CTRL groups. Vitamin E content varied among treatments with CTRL fed fish presenting the highest levels of α-tocopherol. Iodine levels in the flesh increased with the seaweed inclusion, with fish fed G5 doubling its iodine content (214.5μg/kg) in relation to the CTRL (111.7μg/kg). Instrumental color showed that cooked fillets from fish fed seaweed-rich diets were more luminous (L*), less yellowish (b*) and more reddish (a*) than the CTRL. The sensory evaluation showed that fish fed with seaweed had juicier fillets than the CTRL with G5 presenting the most intense (pinkish) color. The instrumental differences are balanced in such a way that the sensory panel perceived G5 as the sample with higher color intensity. Muscle carotenoid extracts presented no significant antioxidant activity through the ABTS and DPPH assays, whereas muscle hydrolysates showed similar antioxidant activity in all dietary treatments (ca. 33% through DPPH assay). The inclusion of Gracilaria sp. meal in diets for rainbow trout seems to be possible for up to 5%, as higher inclusion levels resulted in significantly smaller fish. The sensory panel perceived G5 as the sample with higher color intensity and juicier than the CTRL. Moreover, flesh iodine content doubled in fish fed G5, confirming seaweed as a natural and effective tool to increase the nutritional value of rainbow trout.\nStatement of relevance/impact of your paper to the general field of commercial aquaculture\nThis paper is relevant for the aquafeed industry and fish consumers. Fish meal has traditionally been the major dietary protein source for fish, but its reduction in aquafeeds is now a priority goal for the further expansion and sustainability of farmed fish production. Seaweeds may act as nutrient supply in fish, which in turn could ultimately function as vehicle of valuable compounds in human nutrition. This paper shows that 5% Gracilaria sp. meal can be a natural and effective tool to increase the nutritional value of rainbow trout flesh without impacting growth.","container-title":"Aquaculture","DOI":"10.1016/j.aquaculture.2015.05.004","ISSN":"0044-8486","journalAbbreviation":"Aquaculture","language":"en","page":"132-139","source":"ScienceDirect","title":"Iodine enrichment of rainbow trout flesh by dietary supplementation with the red seaweed Gracilaria vermiculophylla","volume":"446","author":[{"family":"Valente","given":"Luísa M. P."},{"family":"Rema","given":"Paulo"},{"family":"Ferraro","given":"V."},{"family":"Pintado","given":"M."},{"family":"Sousa-Pinto","given":"Isabel"},{"family":"Cunha","given":"Luís M."},{"family":"Oliveira","given":"M. B."},{"family":"Araújo","given":"Mariana"}],"issued":{"date-parts":[["2015",9,1]]}}},{"id":1030,"uris":["http://zotero.org/groups/4669668/items/F88TBYS2"],"itemData":{"id":1030,"type":"article-journal","abstract":"Supplementation of salmon (Salmo salar) diets with Ulva rigida (UR; 0, 5, 10, and 15% UR) or synthetic astaxanthin (positive control, PC) for 19-weeks preslaughter on quality indices of fresh (raw) salmon fillets was examined. Susceptibility of salmon fillets/homogenates to oxidative stress conditions (cooking/iron-ascorbate induced oxidation) was also measured. In salmon fillets stored in modified atmosphere packs (MAP; 60% N2:40% CO2) for up to 15 days at 4ºC, U. rigida increased surface “−a*” greenness and “b*” yellowness values in a dose-dependent manner resulting in a final yellow/orange flesh color. Proximate composition, pH, and lipid oxidation (fresh, cooked, and fillet homogenates) were unaffected by dietary addition of U. rigida. On Day 12, 5% UR psychrotrophic bacterial growth was lower than controls. Salmon fed 5% UR did not influence “eating quality” sensory descriptors (texture, odor, oxidation flavor, and overall acceptability) in cooked salmon fillets compared to 0% UR. Higher levels of dietary U. rigida (10 and 15% UR) were negatively correlated with color and overall acceptability descriptors. Results indicated that dietary U. rigida, at a level of 5%, may prove to be a functional ingredient in salmon feed to enhance salmon fillet quality.","container-title":"Journal of Aquatic Food Product Technology","DOI":"10.1080/10498850.2015.1046099","ISSN":"1049-8850","issue":"10","note":"number: 10\npublisher: Taylor &amp; Francis\n_eprint: https://doi.org/10.1080/10498850.2015.1046099","page":"1175-1188","source":"Taylor and Francis+NEJM","title":"Influence of green seaweed (Ulva rigida) supplementation on the quality and shelf life of Atlantic salmon fillets","volume":"26","author":[{"family":"Moroney","given":"Natasha C."},{"family":"Wan","given":"Alex H. L."},{"family":"Soler-Vila","given":"Anna"},{"family":"O’Grady","given":"Michael N."},{"family":"FitzGerald","given":"Richard D."},{"family":"Johnson","given":"Mark P."},{"family":"Kerry","given":"Joseph P."}],"issued":{"date-parts":[["2017",11,26]]}}},{"id":882,"uris":["http://zotero.org/groups/4669668/items/8RVB8T69"],"itemData":{"id":882,"type":"article-journal","abstract":"This study aimed to evaluate the impact of diets including increasing amounts (1, 2 and 4%) of an iodine-rich macroalgae, Saccharina latissima, on gene expression and fillet composition of commercial-sized rainbow trout. Liver and muscle expression of genes related to growth, iodine, oxidative stress, and lipid metabolism, and the fillet content of fatty acids, cholesterol, and vitamin D3 were assessed. The highest kelp inclusion led to lower final body weight and HSI, without significant differences in mRNA transcription of genes involved in growth (ghr1, ghr2 and igf1) or iodine metabolism (dio1, thra, and thrb). A significant downregulation of an oxidative stress marker, gpx1b2, was observed in fish fed 2% S. latissima, which might suggest the need for less endogenous antioxidants. Dietary inclusion of kelp impacted lipid metabolism, with a downregulation of fatty acid synthase, accompanied by a general decrease of fatty acids in fillet. The present study demonstrated that supplementation of diets with 1 or 2% S. latissima can be achieved without detrimental effects on rainbow trout final weight. Evidence suggest a lipid-lowering effect of diets that did not compromise fillet EPA and DHA concentrations, being 3.7 times above the recommended levels for human consumption.","container-title":"Food and Chemical Toxicology","DOI":"10.1016/j.fct.2020.111332","ISSN":"0278-6915","journalAbbreviation":"Food and Chemical Toxicology","language":"en","page":"111332","source":"ScienceDirect","title":"Diets supplemented with Saccharina latissima influence the expression of genes related to lipid metabolism and oxidative stress modulating rainbow trout (Oncorhynchus mykiss) fillet composition","volume":"140","author":[{"family":"Ferreira","given":"Mariana"},{"family":"Larsen","given":"Bodil Katrine"},{"family":"Granby","given":"Kit"},{"family":"Cunha","given":"Sara C."},{"family":"Monteiro","given":"Carolina"},{"family":"Fernandes","given":"José O."},{"family":"Nunes","given":"Maria L."},{"family":"Marques","given":"António"},{"family":"Dias","given":"Jorge"},{"family":"Cunha","given":"Isabel"},{"family":"Castro","given":"L. Filipe C."},{"family":"Valente","given":"Luisa M. P."}],"issued":{"date-parts":[["2020",6,1]]}}}],"schema":"https://github.com/citation-style-language/schema/raw/master/csl-citation.json"} </w:instrText>
      </w:r>
      <w:r w:rsidR="00CF602F" w:rsidRPr="00680DD3">
        <w:rPr>
          <w:rFonts w:ascii="Times New Roman" w:hAnsi="Times New Roman" w:cs="Times New Roman"/>
        </w:rPr>
        <w:fldChar w:fldCharType="separate"/>
      </w:r>
      <w:r w:rsidR="002D38F0" w:rsidRPr="002D38F0">
        <w:rPr>
          <w:rFonts w:ascii="Times New Roman" w:hAnsi="Times New Roman" w:cs="Times New Roman"/>
          <w:szCs w:val="24"/>
          <w:vertAlign w:val="superscript"/>
        </w:rPr>
        <w:t>319,325,326</w:t>
      </w:r>
      <w:r w:rsidR="00CF602F" w:rsidRPr="00680DD3">
        <w:rPr>
          <w:rFonts w:ascii="Times New Roman" w:hAnsi="Times New Roman" w:cs="Times New Roman"/>
        </w:rPr>
        <w:fldChar w:fldCharType="end"/>
      </w:r>
      <w:r w:rsidR="00CF602F" w:rsidRPr="00680DD3">
        <w:rPr>
          <w:rFonts w:ascii="Times New Roman" w:hAnsi="Times New Roman" w:cs="Times New Roman"/>
        </w:rPr>
        <w:t>.</w:t>
      </w:r>
      <w:r w:rsidRPr="00B84532">
        <w:rPr>
          <w:rFonts w:ascii="Times New Roman" w:hAnsi="Times New Roman" w:cs="Times New Roman"/>
        </w:rPr>
        <w:t xml:space="preserve"> </w:t>
      </w:r>
    </w:p>
    <w:p w14:paraId="00BAF8C7" w14:textId="77777777" w:rsidR="00D61979" w:rsidRPr="00CF602F" w:rsidRDefault="00D61979" w:rsidP="00522623">
      <w:pPr>
        <w:spacing w:line="360" w:lineRule="auto"/>
        <w:ind w:firstLine="720"/>
        <w:contextualSpacing/>
        <w:jc w:val="both"/>
        <w:rPr>
          <w:rFonts w:ascii="Times New Roman" w:hAnsi="Times New Roman" w:cs="Times New Roman"/>
        </w:rPr>
      </w:pPr>
      <w:r w:rsidRPr="00CF602F">
        <w:rPr>
          <w:rFonts w:ascii="Times New Roman" w:hAnsi="Times New Roman" w:cs="Times New Roman"/>
        </w:rPr>
        <w:t>Therefore, macroalgae offer a diverse range of natural marine ingredients with unique characteristics and properties. Their potential inclusion in diets for farmed fish and crustacean species would add to our portfolio of sustainable raw materials, whilst adding value and enhancing food security and safety mainly via their functional role.</w:t>
      </w:r>
    </w:p>
    <w:p w14:paraId="2472C117" w14:textId="36CC04BF" w:rsidR="008514E3" w:rsidRDefault="008514E3" w:rsidP="00522623">
      <w:pPr>
        <w:spacing w:line="360" w:lineRule="auto"/>
        <w:contextualSpacing/>
        <w:jc w:val="both"/>
        <w:rPr>
          <w:rFonts w:ascii="Times New Roman" w:hAnsi="Times New Roman" w:cs="Times New Roman"/>
          <w:b/>
          <w:bCs/>
        </w:rPr>
      </w:pPr>
    </w:p>
    <w:p w14:paraId="4BDEE129" w14:textId="49ED73A2" w:rsidR="006B589A" w:rsidRPr="006B589A" w:rsidRDefault="006B589A" w:rsidP="00522623">
      <w:pPr>
        <w:spacing w:line="360" w:lineRule="auto"/>
        <w:contextualSpacing/>
        <w:jc w:val="both"/>
        <w:rPr>
          <w:rFonts w:ascii="Times New Roman" w:hAnsi="Times New Roman" w:cs="Times New Roman"/>
          <w:b/>
          <w:bCs/>
          <w:sz w:val="28"/>
          <w:szCs w:val="28"/>
        </w:rPr>
      </w:pPr>
      <w:r w:rsidRPr="006B589A">
        <w:rPr>
          <w:rFonts w:ascii="Times New Roman" w:hAnsi="Times New Roman" w:cs="Times New Roman"/>
          <w:b/>
          <w:bCs/>
          <w:sz w:val="28"/>
          <w:szCs w:val="28"/>
        </w:rPr>
        <w:t>Consumer Perception and Acceptability</w:t>
      </w:r>
    </w:p>
    <w:p w14:paraId="3B96442C" w14:textId="76B25761" w:rsidR="000C1FA7" w:rsidRDefault="000C1FA7" w:rsidP="000C1FA7">
      <w:pPr>
        <w:spacing w:line="360" w:lineRule="auto"/>
        <w:ind w:firstLine="720"/>
        <w:contextualSpacing/>
        <w:jc w:val="both"/>
        <w:rPr>
          <w:rFonts w:ascii="Times New Roman" w:hAnsi="Times New Roman" w:cs="Times New Roman"/>
        </w:rPr>
      </w:pPr>
      <w:r w:rsidRPr="000C1FA7">
        <w:rPr>
          <w:rFonts w:ascii="Times New Roman" w:hAnsi="Times New Roman" w:cs="Times New Roman"/>
        </w:rPr>
        <w:t xml:space="preserve">Consumer </w:t>
      </w:r>
      <w:r w:rsidR="00D50FB3">
        <w:rPr>
          <w:rFonts w:ascii="Times New Roman" w:hAnsi="Times New Roman" w:cs="Times New Roman"/>
        </w:rPr>
        <w:t xml:space="preserve">perception and </w:t>
      </w:r>
      <w:r w:rsidRPr="000C1FA7">
        <w:rPr>
          <w:rFonts w:ascii="Times New Roman" w:hAnsi="Times New Roman" w:cs="Times New Roman"/>
        </w:rPr>
        <w:t>acceptance of aquaculture products is critical to the success of the industry. The preference for wild fish over farmed fish is a well-known situation, and this can be more prevalent in some parts of the world than others</w:t>
      </w:r>
      <w:r w:rsidR="000313A4">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{"citationID":"a1h09eoetmm","properties":{"formattedCitation":"\\super 327\\nosupersub{}","plainCitation":"327","noteIndex":0},"citationItems":[{"id":1648,"uris":["http://zotero.org/users/9431846/items/QEBQWNVI"],"itemData":{"id":1648,"type":"article-journal","container-title":"Reviews in Aquaculture","DOI":"10.1111/raq.12351","ISSN":"1753-5123, 1753-5131","issue":"2","journalAbbreviation":"Rev Aquacult","language":"en","page":"805-821","source":"DOI.org (Crossref)","title":"Aquaculture and sensometrics: the need to evaluate sensory attributes and the consumers’ preferences","title-short":"Aquaculture and sensometrics","volume":"12","author":[{"family":"Calanche","given":"Juan B."},{"family":"Beltrán","given":"José A."},{"family":"Hernández Arias","given":"Adrián J."}],"issued":{"date-parts":[["2020",5]]}}}],"schema":"https://github.com/citation-style-language/schema/raw/master/csl-citation.json"} </w:instrText>
      </w:r>
      <w:r w:rsidR="000313A4">
        <w:rPr>
          <w:rFonts w:ascii="Times New Roman" w:hAnsi="Times New Roman" w:cs="Times New Roman"/>
        </w:rPr>
        <w:fldChar w:fldCharType="separate"/>
      </w:r>
      <w:r w:rsidR="002D38F0" w:rsidRPr="002D38F0">
        <w:rPr>
          <w:rFonts w:ascii="Times New Roman" w:hAnsi="Times New Roman" w:cs="Times New Roman"/>
          <w:szCs w:val="24"/>
          <w:vertAlign w:val="superscript"/>
        </w:rPr>
        <w:t>327</w:t>
      </w:r>
      <w:r w:rsidR="000313A4">
        <w:rPr>
          <w:rFonts w:ascii="Times New Roman" w:hAnsi="Times New Roman" w:cs="Times New Roman"/>
        </w:rPr>
        <w:fldChar w:fldCharType="end"/>
      </w:r>
      <w:r w:rsidRPr="000C1FA7">
        <w:rPr>
          <w:rFonts w:ascii="Times New Roman" w:hAnsi="Times New Roman" w:cs="Times New Roman"/>
        </w:rPr>
        <w:t xml:space="preserve">, </w:t>
      </w:r>
      <w:r w:rsidR="00554AC2">
        <w:rPr>
          <w:rFonts w:ascii="Times New Roman" w:hAnsi="Times New Roman" w:cs="Times New Roman"/>
        </w:rPr>
        <w:t xml:space="preserve">yet, </w:t>
      </w:r>
      <w:r w:rsidRPr="000C1FA7">
        <w:rPr>
          <w:rFonts w:ascii="Times New Roman" w:hAnsi="Times New Roman" w:cs="Times New Roman"/>
        </w:rPr>
        <w:t>several studies have also shown that consumers place more value in quality than production method</w:t>
      </w:r>
      <w:r w:rsidR="00554AC2">
        <w:rPr>
          <w:rFonts w:ascii="Times New Roman" w:hAnsi="Times New Roman" w:cs="Times New Roman"/>
        </w:rPr>
        <w:t xml:space="preserve"> (i.e., wild vs. farmed)</w:t>
      </w:r>
      <w:r w:rsidR="008E4EA7">
        <w:rPr>
          <w:rFonts w:ascii="Times New Roman" w:hAnsi="Times New Roman" w:cs="Times New Roman"/>
        </w:rPr>
        <w:t xml:space="preserve"> </w:t>
      </w:r>
      <w:r w:rsidR="008E4EA7">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{"citationID":"a7lu23qdnb","properties":{"formattedCitation":"\\super 328,329\\nosupersub{}","plainCitation":"328,329","noteIndex":0},"citationItems":[{"id":1650,"uris":["http://zotero.org/users/9431846/items/5CUR5BXE"],"itemData":{"id":1650,"type":"article-journal","abstract":"Purpose\n              This study aims to gain insights into the relevance and market potential of fish origin (farmed or wild) among consumers in Belgium, Norway and Spain.\n            \n          </w:instrText>
      </w:r>
      <w:r w:rsidR="002D38F0">
        <w:rPr>
          <w:rFonts w:ascii="Times New Roman" w:hAnsi="Times New Roman" w:cs="Times New Roman" w:hint="eastAsia"/>
        </w:rPr>
        <w:instrText xml:space="preserve">  \n              Design/methodology/approach\n              \n                Cross</w:instrText>
      </w:r>
      <w:r w:rsidR="002D38F0">
        <w:rPr>
          <w:rFonts w:ascii="Times New Roman" w:hAnsi="Times New Roman" w:cs="Times New Roman" w:hint="eastAsia"/>
        </w:rPr>
        <w:instrText>‐</w:instrText>
      </w:r>
      <w:r w:rsidR="002D38F0">
        <w:rPr>
          <w:rFonts w:ascii="Times New Roman" w:hAnsi="Times New Roman" w:cs="Times New Roman" w:hint="eastAsia"/>
        </w:rPr>
        <w:instrText>sectional data were collected through a consumer survey (\n                n\n                =1,319), conducted in November</w:instrText>
      </w:r>
      <w:r w:rsidR="002D38F0">
        <w:rPr>
          <w:rFonts w:ascii="Times New Roman" w:hAnsi="Times New Roman" w:cs="Times New Roman" w:hint="eastAsia"/>
        </w:rPr>
        <w:instrText>‐</w:instrText>
      </w:r>
      <w:r w:rsidR="002D38F0">
        <w:rPr>
          <w:rFonts w:ascii="Times New Roman" w:hAnsi="Times New Roman" w:cs="Times New Roman" w:hint="eastAsia"/>
        </w:rPr>
        <w:instrText>December 2007 in three European countries: Be</w:instrText>
      </w:r>
      <w:r w:rsidR="002D38F0">
        <w:rPr>
          <w:rFonts w:ascii="Times New Roman" w:hAnsi="Times New Roman" w:cs="Times New Roman"/>
        </w:rPr>
        <w:instrText>lgium, Norway and Spain. The study describes personal and food characteristics, as well as consumer attitudes and knowledge related to fish origin. Further, these characteristics were analysed in terms of their impact on the choice of either farmed or wild fish, using bivariate analyses.\n              \n            \n            \n              Findings\n              In general, European consumers have little knowledge or awareness regarding the origin of fish. This results in uncertainty in consumers' perception of farmed fish in particular. The study is in line with previous ones suggesting that perceptions of aquaculture and farmed fish are based more on emotions than on rational considerations. Still, the perception of farmed fish is positive in general. Consumers do not prioritise fish origin as an information cue, although variation is present between different consumer groups. Consumers of predominantly farmed versus wild fish did not have a very distinct profile, which corroborates with the only</w:instrText>
      </w:r>
      <w:r w:rsidR="002D38F0">
        <w:rPr>
          <w:rFonts w:ascii="Times New Roman" w:hAnsi="Times New Roman" w:cs="Times New Roman" w:hint="eastAsia"/>
        </w:rPr>
        <w:instrText xml:space="preserve"> modest significance of fish origin as a product</w:instrText>
      </w:r>
      <w:r w:rsidR="002D38F0">
        <w:rPr>
          <w:rFonts w:ascii="Times New Roman" w:hAnsi="Times New Roman" w:cs="Times New Roman" w:hint="eastAsia"/>
        </w:rPr>
        <w:instrText>‐</w:instrText>
      </w:r>
      <w:r w:rsidR="002D38F0">
        <w:rPr>
          <w:rFonts w:ascii="Times New Roman" w:hAnsi="Times New Roman" w:cs="Times New Roman" w:hint="eastAsia"/>
        </w:rPr>
        <w:instrText>specific information cue during the fish purchase and consumption decision process.\n            \n            \n              Originality/value\n              The strength of the paper pertains to its inte</w:instrText>
      </w:r>
      <w:r w:rsidR="002D38F0">
        <w:rPr>
          <w:rFonts w:ascii="Times New Roman" w:hAnsi="Times New Roman" w:cs="Times New Roman"/>
        </w:rPr>
        <w:instrText xml:space="preserve">rnational scope, and to the diversity of countries selected in terms of relevant variables. Also, the growing relevance of aquaculture as a fish production method and farmed fish as a food product makes results and findings of the study topical and of practical relevance.","container-title":"British Food Journal","DOI":"10.1108/00070701111124005","ISSN":"0007-070X","issue":"4","language":"en","page":"535-549","source":"DOI.org (Crossref)","title":"Does fish origin matter to European consumers?: Insights from a consumer survey in Belgium, Norway and Spain","title-short":"Does fish origin matter to European consumers?","volume":"113","author":[{"family":"Vanhonacker","given":"Filiep"},{"family":"Altintzoglou","given":"Themistoklis"},{"family":"Luten","given":"Joop"},{"family":"Verbeke","given":"Wim"}],"issued":{"date-parts":[["2011",4,19]]}}},{"id":1649,"uris":["http://zotero.org/users/9431846/items/QDM7DW3W"],"itemData":{"id":1649,"type":"article-journal","container-title":"Appetite","DOI":"10.1016/j.appet.2014.03.031","ISSN":"01956663","journalAbbreviation":"Appetite","language":"en","page":"25-31","source":"DOI.org (Crossref)","title":"Consumer beliefs regarding farmed versus wild fish","volume":"79","author":[{"family":"Claret","given":"Anna"},{"family":"Guerrero","given":"Luis"},{"family":"Ginés","given":"Rafael"},{"family":"Grau","given":"Amàlia"},{"family":"Hernández","given":"M. Dolores"},{"family":"Aguirre","given":"Enaitz"},{"family":"Peleteiro","given":"José Benito"},{"family":"Fernández-Pato","given":"Carlos"},{"family":"Rodríguez-Rodríguez","given":"Carmen"}],"issued":{"date-parts":[["2014",8]]}}}],"schema":"https://github.com/citation-style-language/schema/raw/master/csl-citation.json"} </w:instrText>
      </w:r>
      <w:r w:rsidR="008E4EA7">
        <w:rPr>
          <w:rFonts w:ascii="Times New Roman" w:hAnsi="Times New Roman" w:cs="Times New Roman"/>
        </w:rPr>
        <w:fldChar w:fldCharType="separate"/>
      </w:r>
      <w:r w:rsidR="002D38F0" w:rsidRPr="002D38F0">
        <w:rPr>
          <w:rFonts w:ascii="Times New Roman" w:hAnsi="Times New Roman" w:cs="Times New Roman"/>
          <w:szCs w:val="24"/>
          <w:vertAlign w:val="superscript"/>
        </w:rPr>
        <w:t>328,329</w:t>
      </w:r>
      <w:r w:rsidR="008E4EA7">
        <w:rPr>
          <w:rFonts w:ascii="Times New Roman" w:hAnsi="Times New Roman" w:cs="Times New Roman"/>
        </w:rPr>
        <w:fldChar w:fldCharType="end"/>
      </w:r>
      <w:r w:rsidRPr="000C1FA7">
        <w:rPr>
          <w:rFonts w:ascii="Times New Roman" w:hAnsi="Times New Roman" w:cs="Times New Roman"/>
        </w:rPr>
        <w:t xml:space="preserve">. </w:t>
      </w:r>
      <w:r w:rsidR="00410A8F">
        <w:rPr>
          <w:rFonts w:ascii="Times New Roman" w:hAnsi="Times New Roman" w:cs="Times New Roman"/>
        </w:rPr>
        <w:t xml:space="preserve">Now more than ever, </w:t>
      </w:r>
      <w:r w:rsidR="00A26558">
        <w:rPr>
          <w:rFonts w:ascii="Times New Roman" w:hAnsi="Times New Roman" w:cs="Times New Roman"/>
        </w:rPr>
        <w:t xml:space="preserve">consumer awareness of responsible sourcing of products </w:t>
      </w:r>
      <w:r w:rsidR="00A77FCE">
        <w:rPr>
          <w:rFonts w:ascii="Times New Roman" w:hAnsi="Times New Roman" w:cs="Times New Roman"/>
        </w:rPr>
        <w:t xml:space="preserve">is at an all-time high. </w:t>
      </w:r>
      <w:r w:rsidR="00C032DD">
        <w:rPr>
          <w:rFonts w:ascii="Times New Roman" w:hAnsi="Times New Roman" w:cs="Times New Roman"/>
        </w:rPr>
        <w:t xml:space="preserve">For example, </w:t>
      </w:r>
      <w:r w:rsidR="00A77FCE">
        <w:rPr>
          <w:rFonts w:ascii="Times New Roman" w:hAnsi="Times New Roman" w:cs="Times New Roman"/>
        </w:rPr>
        <w:t xml:space="preserve">awareness </w:t>
      </w:r>
      <w:r w:rsidR="00C032DD">
        <w:rPr>
          <w:rFonts w:ascii="Times New Roman" w:hAnsi="Times New Roman" w:cs="Times New Roman"/>
        </w:rPr>
        <w:t xml:space="preserve">and growing concern </w:t>
      </w:r>
      <w:r w:rsidR="00A77FCE">
        <w:rPr>
          <w:rFonts w:ascii="Times New Roman" w:hAnsi="Times New Roman" w:cs="Times New Roman"/>
        </w:rPr>
        <w:t>over using soy products from the Amazon rainforest in Brazil</w:t>
      </w:r>
      <w:r w:rsidR="00011246">
        <w:rPr>
          <w:rFonts w:ascii="Times New Roman" w:hAnsi="Times New Roman" w:cs="Times New Roman"/>
        </w:rPr>
        <w:t xml:space="preserve"> </w:t>
      </w:r>
      <w:r w:rsidR="0079643F">
        <w:rPr>
          <w:rFonts w:ascii="Times New Roman" w:hAnsi="Times New Roman" w:cs="Times New Roman"/>
        </w:rPr>
        <w:t xml:space="preserve">(the </w:t>
      </w:r>
      <w:r w:rsidR="00C70E78">
        <w:rPr>
          <w:rFonts w:ascii="Times New Roman" w:hAnsi="Times New Roman" w:cs="Times New Roman"/>
        </w:rPr>
        <w:t>world’s l</w:t>
      </w:r>
      <w:r w:rsidR="0079643F">
        <w:rPr>
          <w:rFonts w:ascii="Times New Roman" w:hAnsi="Times New Roman" w:cs="Times New Roman"/>
        </w:rPr>
        <w:t>ea</w:t>
      </w:r>
      <w:r w:rsidR="00C70E78">
        <w:rPr>
          <w:rFonts w:ascii="Times New Roman" w:hAnsi="Times New Roman" w:cs="Times New Roman"/>
        </w:rPr>
        <w:t xml:space="preserve">ding soybean producer </w:t>
      </w:r>
      <w:r w:rsidR="00011246">
        <w:rPr>
          <w:rFonts w:ascii="Times New Roman" w:hAnsi="Times New Roman" w:cs="Times New Roman"/>
        </w:rPr>
        <w:t xml:space="preserve">which has led to growing pressure </w:t>
      </w:r>
      <w:r w:rsidR="000C0DA5">
        <w:rPr>
          <w:rFonts w:ascii="Times New Roman" w:hAnsi="Times New Roman" w:cs="Times New Roman"/>
        </w:rPr>
        <w:t>on governments like the European Union</w:t>
      </w:r>
      <w:r w:rsidR="00C70E78">
        <w:rPr>
          <w:rFonts w:ascii="Times New Roman" w:hAnsi="Times New Roman" w:cs="Times New Roman"/>
        </w:rPr>
        <w:t xml:space="preserve"> to limit its use</w:t>
      </w:r>
      <w:r w:rsidR="00D54F3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{"citationID":"a1ju6olpmoi","properties":{"formattedCitation":"\\super 330\\nosupersub{}","plainCitation":"330","noteIndex":0},"citationItems":[{"id":1685,"uris":["http://zotero.org/users/9431846/items/ITGBLYXE"],"itemData":{"id":1685,"type":"article-journal","container-title":"Global Environmental Change","DOI":"10.1016/j.gloenvcha.2021.102308","ISSN":"09593780","journalAbbreviation":"Global Environmental Change","language":"en","page":"102308","source":"DOI.org (Crossref)","title":"Framing the frontier – Tracing issues related to soybean expansion in transnational public spheres","volume":"69","author":[{"family":"Mempel","given":"Finn"},{"family":"Corbera","given":"Esteve"}],"issued":{"date-parts":[["2021",7]]}}}],"schema":"https://github.com/citation-style-language/schema/raw/master/csl-citation.json"} </w:instrText>
      </w:r>
      <w:r w:rsidR="00D54F32">
        <w:rPr>
          <w:rFonts w:ascii="Times New Roman" w:hAnsi="Times New Roman" w:cs="Times New Roman"/>
        </w:rPr>
        <w:fldChar w:fldCharType="separate"/>
      </w:r>
      <w:r w:rsidR="002D38F0" w:rsidRPr="002D38F0">
        <w:rPr>
          <w:rFonts w:ascii="Times New Roman" w:hAnsi="Times New Roman" w:cs="Times New Roman"/>
          <w:szCs w:val="24"/>
          <w:vertAlign w:val="superscript"/>
        </w:rPr>
        <w:t>330</w:t>
      </w:r>
      <w:r w:rsidR="00D54F32">
        <w:rPr>
          <w:rFonts w:ascii="Times New Roman" w:hAnsi="Times New Roman" w:cs="Times New Roman"/>
        </w:rPr>
        <w:fldChar w:fldCharType="end"/>
      </w:r>
      <w:r w:rsidR="00C032DD">
        <w:rPr>
          <w:rFonts w:ascii="Times New Roman" w:hAnsi="Times New Roman" w:cs="Times New Roman"/>
        </w:rPr>
        <w:t xml:space="preserve">. </w:t>
      </w:r>
      <w:r w:rsidR="00797DBF">
        <w:rPr>
          <w:rFonts w:ascii="Times New Roman" w:hAnsi="Times New Roman" w:cs="Times New Roman"/>
        </w:rPr>
        <w:t xml:space="preserve">With soybean meal as </w:t>
      </w:r>
      <w:r w:rsidR="00C70E78">
        <w:rPr>
          <w:rFonts w:ascii="Times New Roman" w:hAnsi="Times New Roman" w:cs="Times New Roman"/>
        </w:rPr>
        <w:t>the</w:t>
      </w:r>
      <w:r w:rsidR="00797DBF">
        <w:rPr>
          <w:rFonts w:ascii="Times New Roman" w:hAnsi="Times New Roman" w:cs="Times New Roman"/>
        </w:rPr>
        <w:t xml:space="preserve"> leading alternative to fishmeal in aquafeeds, </w:t>
      </w:r>
      <w:r w:rsidR="00142AE2">
        <w:rPr>
          <w:rFonts w:ascii="Times New Roman" w:hAnsi="Times New Roman" w:cs="Times New Roman"/>
        </w:rPr>
        <w:t>there are concerns about its use in aquaculture</w:t>
      </w:r>
      <w:r w:rsidR="00F9797D">
        <w:rPr>
          <w:rFonts w:ascii="Times New Roman" w:hAnsi="Times New Roman" w:cs="Times New Roman"/>
        </w:rPr>
        <w:t xml:space="preserve"> in the future</w:t>
      </w:r>
      <w:r w:rsidR="00142AE2">
        <w:rPr>
          <w:rFonts w:ascii="Times New Roman" w:hAnsi="Times New Roman" w:cs="Times New Roman"/>
        </w:rPr>
        <w:t>.</w:t>
      </w:r>
      <w:r w:rsidR="00B84935">
        <w:rPr>
          <w:rFonts w:ascii="Times New Roman" w:hAnsi="Times New Roman" w:cs="Times New Roman"/>
        </w:rPr>
        <w:t xml:space="preserve"> </w:t>
      </w:r>
      <w:r w:rsidR="007E26EB">
        <w:rPr>
          <w:rFonts w:ascii="Times New Roman" w:hAnsi="Times New Roman" w:cs="Times New Roman"/>
        </w:rPr>
        <w:t xml:space="preserve">That said, any </w:t>
      </w:r>
      <w:r w:rsidR="007C48F0">
        <w:rPr>
          <w:rFonts w:ascii="Times New Roman" w:hAnsi="Times New Roman" w:cs="Times New Roman"/>
        </w:rPr>
        <w:t xml:space="preserve">novel ingredients that have potential in aquafeeds will be under public scrutiny, </w:t>
      </w:r>
      <w:r w:rsidR="00AD0B20">
        <w:rPr>
          <w:rFonts w:ascii="Times New Roman" w:hAnsi="Times New Roman" w:cs="Times New Roman"/>
        </w:rPr>
        <w:t>such as those described in this review.</w:t>
      </w:r>
      <w:r w:rsidR="007C48F0">
        <w:rPr>
          <w:rFonts w:ascii="Times New Roman" w:hAnsi="Times New Roman" w:cs="Times New Roman"/>
        </w:rPr>
        <w:t xml:space="preserve"> </w:t>
      </w:r>
      <w:r w:rsidRPr="000C1FA7">
        <w:rPr>
          <w:rFonts w:ascii="Times New Roman" w:hAnsi="Times New Roman" w:cs="Times New Roman"/>
        </w:rPr>
        <w:t>Knowledge on consumer attitudes towards utilizing novel ingredients sourced in the CFB is still growing. It has been shown that 73% of consumers across 71 countries in the UK, EU, and Asia were willing to eat fish, chickens, or pork from animals fed on a diet containing insect protein, and 80% wanted to know more about insect utilization</w:t>
      </w:r>
      <w:r w:rsidR="001D60CF">
        <w:rPr>
          <w:rFonts w:ascii="Times New Roman" w:hAnsi="Times New Roman" w:cs="Times New Roman"/>
        </w:rPr>
        <w:t xml:space="preserve"> </w:t>
      </w:r>
      <w:r w:rsidR="001D60CF">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{"citationID":"aeb4865en8","properties":{"formattedCitation":"\\super 331\\nosupersub{}","plainCitation":"331","noteIndex":0},"citationItems":[{"id":1656,"uris":["http://zotero.org/users/9431846/items/X7LSM3VS"],"itemData":{"id":1656,"type":"article-newspaper","title":"PROteINSECT: Insects as a sustainable source of protein","URL":"https://www.proteinsect.eu/fileadmin/user_upload/press/proteinsect-whitepaper-2016.pdf","author":[{"family":"PROteINSECT","given":""}],"issued":{"date-parts":[["2016"]]}}}],"schema":"https://github.com/citation-style-language/schema/raw/master/csl-citation.json"} </w:instrText>
      </w:r>
      <w:r w:rsidR="001D60CF">
        <w:rPr>
          <w:rFonts w:ascii="Times New Roman" w:hAnsi="Times New Roman" w:cs="Times New Roman"/>
        </w:rPr>
        <w:fldChar w:fldCharType="separate"/>
      </w:r>
      <w:r w:rsidR="002D38F0" w:rsidRPr="002D38F0">
        <w:rPr>
          <w:rFonts w:ascii="Times New Roman" w:hAnsi="Times New Roman" w:cs="Times New Roman"/>
          <w:szCs w:val="24"/>
          <w:vertAlign w:val="superscript"/>
        </w:rPr>
        <w:t>331</w:t>
      </w:r>
      <w:r w:rsidR="001D60CF">
        <w:rPr>
          <w:rFonts w:ascii="Times New Roman" w:hAnsi="Times New Roman" w:cs="Times New Roman"/>
        </w:rPr>
        <w:fldChar w:fldCharType="end"/>
      </w:r>
      <w:r w:rsidRPr="000C1FA7">
        <w:rPr>
          <w:rFonts w:ascii="Times New Roman" w:hAnsi="Times New Roman" w:cs="Times New Roman"/>
        </w:rPr>
        <w:t xml:space="preserve">. Generally, most people recognized there was no or low risk to human health in eating farmed animals fed insect meal. </w:t>
      </w:r>
      <w:r w:rsidR="00A956F9">
        <w:rPr>
          <w:rFonts w:ascii="Times New Roman" w:hAnsi="Times New Roman" w:cs="Times New Roman"/>
        </w:rPr>
        <w:t xml:space="preserve">However, consumer knowledge of the basic principle of </w:t>
      </w:r>
      <w:r w:rsidR="00CB4005">
        <w:rPr>
          <w:rFonts w:ascii="Times New Roman" w:hAnsi="Times New Roman" w:cs="Times New Roman"/>
        </w:rPr>
        <w:t xml:space="preserve">scavenger ecology, and its role in the CFB, has yet to be explored, and may have challenges regarding </w:t>
      </w:r>
      <w:r w:rsidR="00CC3020">
        <w:rPr>
          <w:rFonts w:ascii="Times New Roman" w:hAnsi="Times New Roman" w:cs="Times New Roman"/>
        </w:rPr>
        <w:t xml:space="preserve">acceptance and social license in aquaculture. </w:t>
      </w:r>
      <w:r w:rsidR="00554AC2" w:rsidRPr="000C1FA7">
        <w:rPr>
          <w:rFonts w:ascii="Times New Roman" w:hAnsi="Times New Roman" w:cs="Times New Roman"/>
        </w:rPr>
        <w:t xml:space="preserve">The </w:t>
      </w:r>
      <w:r w:rsidR="00030817">
        <w:rPr>
          <w:rFonts w:ascii="Times New Roman" w:hAnsi="Times New Roman" w:cs="Times New Roman"/>
        </w:rPr>
        <w:t xml:space="preserve">factors that determine whether consumers </w:t>
      </w:r>
      <w:r w:rsidR="00317252">
        <w:rPr>
          <w:rFonts w:ascii="Times New Roman" w:hAnsi="Times New Roman" w:cs="Times New Roman"/>
        </w:rPr>
        <w:t xml:space="preserve">will buy into any novel feeds </w:t>
      </w:r>
      <w:r w:rsidR="00554AC2" w:rsidRPr="000C1FA7">
        <w:rPr>
          <w:rFonts w:ascii="Times New Roman" w:hAnsi="Times New Roman" w:cs="Times New Roman"/>
        </w:rPr>
        <w:t>have been reported to mainly depend on the type of innovation and its market acceptance</w:t>
      </w:r>
      <w:r w:rsidR="00554AC2">
        <w:rPr>
          <w:rFonts w:ascii="Times New Roman" w:hAnsi="Times New Roman" w:cs="Times New Roman"/>
        </w:rPr>
        <w:t xml:space="preserve"> </w:t>
      </w:r>
      <w:r w:rsidR="00554AC2">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{"citationID":"a2146040l7j","properties":{"formattedCitation":"\\super 332\\nosupersub{}","plainCitation":"332","noteIndex":0},"citationItems":[{"id":1653,"uris":["http://zotero.org/users/9431846/items/NVEHZ6QX"],"itemData":{"id":1653,"type":"article-journal","container-title":"Food Quality and Preference","DOI":"10.1016/j.foodqual.2012.06.007","ISSN":"09503293","issue":"1","journalAbbreviation":"Food Quality and Preference","language":"en","page":"72-84","source":"DOI.org (Crossref)","title":"Neophobia, personal consumer values and novel food acceptance","volume":"27","author":[{"family":"Barrena","given":"Ramo"},{"family":"Sánchez","given":"Mercedes"}],"issued":{"date-parts":[["2013",1]]}}}],"schema":"https://github.com/citation-style-language/schema/raw/master/csl-citation.json"} </w:instrText>
      </w:r>
      <w:r w:rsidR="00554AC2">
        <w:rPr>
          <w:rFonts w:ascii="Times New Roman" w:hAnsi="Times New Roman" w:cs="Times New Roman"/>
        </w:rPr>
        <w:fldChar w:fldCharType="separate"/>
      </w:r>
      <w:r w:rsidR="002D38F0" w:rsidRPr="002D38F0">
        <w:rPr>
          <w:rFonts w:ascii="Times New Roman" w:hAnsi="Times New Roman" w:cs="Times New Roman"/>
          <w:szCs w:val="24"/>
          <w:vertAlign w:val="superscript"/>
        </w:rPr>
        <w:t>332</w:t>
      </w:r>
      <w:r w:rsidR="00554AC2">
        <w:rPr>
          <w:rFonts w:ascii="Times New Roman" w:hAnsi="Times New Roman" w:cs="Times New Roman"/>
        </w:rPr>
        <w:fldChar w:fldCharType="end"/>
      </w:r>
      <w:r w:rsidR="00554AC2" w:rsidRPr="000C1FA7">
        <w:rPr>
          <w:rFonts w:ascii="Times New Roman" w:hAnsi="Times New Roman" w:cs="Times New Roman"/>
        </w:rPr>
        <w:t xml:space="preserve"> </w:t>
      </w:r>
      <w:r w:rsidR="00554AC2">
        <w:rPr>
          <w:rFonts w:ascii="Times New Roman" w:hAnsi="Times New Roman" w:cs="Times New Roman"/>
        </w:rPr>
        <w:t>.</w:t>
      </w:r>
    </w:p>
    <w:p w14:paraId="3771124C" w14:textId="2DA3A564" w:rsidR="00B84935" w:rsidRPr="000C1FA7" w:rsidRDefault="00B84935" w:rsidP="000515B2">
      <w:pPr>
        <w:spacing w:line="360" w:lineRule="auto"/>
        <w:ind w:firstLine="720"/>
        <w:contextualSpacing/>
        <w:jc w:val="both"/>
        <w:rPr>
          <w:rFonts w:ascii="Times New Roman" w:hAnsi="Times New Roman" w:cs="Times New Roman"/>
        </w:rPr>
      </w:pPr>
      <w:r w:rsidRPr="000C1FA7">
        <w:rPr>
          <w:rFonts w:ascii="Times New Roman" w:hAnsi="Times New Roman" w:cs="Times New Roman"/>
        </w:rPr>
        <w:t>Food safety, nutritional value, and sensory attributes are primary concerns of consumers regarding farmed fish, with diet being one of the reasons for these concerns. Several studies have investigated the impacts of novel ingredients (sourced from the CFB) on sensory perception and quality traits</w:t>
      </w:r>
      <w:r w:rsidR="00317252">
        <w:rPr>
          <w:rFonts w:ascii="Times New Roman" w:hAnsi="Times New Roman" w:cs="Times New Roman"/>
        </w:rPr>
        <w:t xml:space="preserve"> of the fish</w:t>
      </w:r>
      <w:r w:rsidRPr="000C1FA7">
        <w:rPr>
          <w:rFonts w:ascii="Times New Roman" w:hAnsi="Times New Roman" w:cs="Times New Roman"/>
        </w:rPr>
        <w:t>, as well as nutritional value. One of the most well studied examples regarding consumer acceptance and sensory perception is insect products, although even still, this area of research is still quite new. In general, analysis of sensory properties shows that there is no impact of these novel ingredients on fillet quality, perceived by untrained panelists as well as instrumental metrics (e.g.,</w:t>
      </w:r>
      <w:r>
        <w:rPr>
          <w:rFonts w:ascii="Times New Roman" w:hAnsi="Times New Roman" w:cs="Times New Roman"/>
        </w:rPr>
        <w:t xml:space="preserve"> </w:t>
      </w:r>
      <w:r>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{"citationID":"a1ma0bcjlsf","properties":{"formattedCitation":"\\super 180\\nosupersub{}","plainCitation":"180","noteIndex":0},"citationItems":[{"id":1055,"uris":["http://zotero.org/groups/4669668/items/BCYRALZD"],"itemData":{"id":1055,"type":"article-journal","abstract":"In 2018, the industrial compound feed production throughout the world was 1.103 metric billion tons, which was an increase of 3% compared to 2017. In order to meet the needs of the increasing population, a further increment in compound feed production is necessary. Conventional protein sources are no longer suitable to completely satisfy the increment of feed production in a sustainable way. Insects are one of the most promising options, due to their valuable nutritional features. This paper reviews the state-of-the-art of research on the use of insect meals and oils in aquatic, avian and other animal species diets, focusing mainly on the effects on digestibility, performance and product quality. In general, insect-derived product digestibility is affected by the insect species, the inclusion levels and by the process. Sometimes, the presence of chitin can lead to a decrease in nutrient digestibility. The same considerations are true for animal performance. As far as product quality is concerned, a dramatic effect of insect products has been recorded for the fatty acid profile, with a decrease in valuable n3 fatty acids. Sensory analyses have reported no or slight differences. Insect-derived products seem to be a good alternative to conventional feed sources and can make an important contribution to the sustainable development of the livestock industry.","container-title":"Animals","DOI":"10.3390/ani9040170","ISSN":"2076-2615","issue":"4","language":"en","license":"http://creativecommons.org/licenses/by/3.0/","note":"number: 4\npublisher: Multidisciplinary Digital Publishing Institute","page":"170","source":"www.mdpi.com","title":"Animals fed insect-based diets: state-of-the-art on digestibility, performance and product quality","title-short":"Animals fed insect-based diets","volume":"9","author":[{"family":"Gasco","given":"Laura"},{"family":"Biasato","given":"Ilaria"},{"family":"Dabbou","given":"Sihem"},{"family":"Schiavone","given":"Achille"},{"family":"Gai","given":"Francesco"}],"issued":{"date-parts":[["2019",4]]}}}],"schema":"https://github.com/citation-style-language/schema/raw/master/csl-citation.json"} </w:instrText>
      </w:r>
      <w:r>
        <w:rPr>
          <w:rFonts w:ascii="Times New Roman" w:hAnsi="Times New Roman" w:cs="Times New Roman"/>
        </w:rPr>
        <w:fldChar w:fldCharType="separate"/>
      </w:r>
      <w:r w:rsidR="002D38F0" w:rsidRPr="002D38F0">
        <w:rPr>
          <w:rFonts w:ascii="Times New Roman" w:hAnsi="Times New Roman" w:cs="Times New Roman"/>
          <w:szCs w:val="24"/>
          <w:vertAlign w:val="superscript"/>
        </w:rPr>
        <w:t>180</w:t>
      </w:r>
      <w:r>
        <w:rPr>
          <w:rFonts w:ascii="Times New Roman" w:hAnsi="Times New Roman" w:cs="Times New Roman"/>
        </w:rPr>
        <w:fldChar w:fldCharType="end"/>
      </w:r>
      <w:r w:rsidRPr="000C1FA7">
        <w:rPr>
          <w:rFonts w:ascii="Times New Roman" w:hAnsi="Times New Roman" w:cs="Times New Roman"/>
        </w:rPr>
        <w:t>). However, concerning meat and flesh quality, results are controversial, but a dramatic influence of nutritional value has been observed, such as the n-3 FA profile in salmon fed high inclusion levels of insect meals</w:t>
      </w:r>
      <w:r>
        <w:rPr>
          <w:rFonts w:ascii="Times New Roman" w:hAnsi="Times New Roman" w:cs="Times New Roman"/>
        </w:rPr>
        <w:t xml:space="preserve"> </w:t>
      </w:r>
      <w:r>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{"citationID":"a28d23thbjg","properties":{"formattedCitation":"\\super 180\\nosupersub{}","plainCitation":"180","noteIndex":0},"citationItems":[{"id":1055,"uris":["http://zotero.org/groups/4669668/items/BCYRALZD"],"itemData":{"id":1055,"type":"article-journal","abstract":"In 2018, the industrial compound feed production throughout the world was 1.103 metric billion tons, which was an increase of 3% compared to 2017. In order to meet the needs of the increasing population, a further increment in compound feed production is necessary. Conventional protein sources are no longer suitable to completely satisfy the increment of feed production in a sustainable way. Insects are one of the most promising options, due to their valuable nutritional features. This paper reviews the state-of-the-art of research on the use of insect meals and oils in aquatic, avian and other animal species diets, focusing mainly on the effects on digestibility, performance and product quality. In general, insect-derived product digestibility is affected by the insect species, the inclusion levels and by the process. Sometimes, the presence of chitin can lead to a decrease in nutrient digestibility. The same considerations are true for animal performance. As far as product quality is concerned, a dramatic effect of insect products has been recorded for the fatty acid profile, with a decrease in valuable n3 fatty acids. Sensory analyses have reported no or slight differences. Insect-derived products seem to be a good alternative to conventional feed sources and can make an important contribution to the sustainable development of the livestock industry.","container-title":"Animals","DOI":"10.3390/ani9040170","ISSN":"2076-2615","issue":"4","language":"en","license":"http://creativecommons.org/licenses/by/3.0/","note":"number: 4\npublisher: Multidisciplinary Digital Publishing Institute","page":"170","source":"www.mdpi.com","title":"Animals fed insect-based diets: state-of-the-art on digestibility, performance and product quality","title-short":"Animals fed insect-based diets","volume":"9","author":[{"family":"Gasco","given":"Laura"},{"family":"Biasato","given":"Ilaria"},{"family":"Dabbou","given":"Sihem"},{"family":"Schiavone","given":"Achille"},{"family":"Gai","given":"Francesco"}],"issued":{"date-parts":[["2019",4]]}}}],"schema":"https://github.com/citation-style-language/schema/raw/master/csl-citation.json"} </w:instrText>
      </w:r>
      <w:r>
        <w:rPr>
          <w:rFonts w:ascii="Times New Roman" w:hAnsi="Times New Roman" w:cs="Times New Roman"/>
        </w:rPr>
        <w:fldChar w:fldCharType="separate"/>
      </w:r>
      <w:r w:rsidR="002D38F0" w:rsidRPr="002D38F0">
        <w:rPr>
          <w:rFonts w:ascii="Times New Roman" w:hAnsi="Times New Roman" w:cs="Times New Roman"/>
          <w:szCs w:val="24"/>
          <w:vertAlign w:val="superscript"/>
        </w:rPr>
        <w:t>180</w:t>
      </w:r>
      <w:r>
        <w:rPr>
          <w:rFonts w:ascii="Times New Roman" w:hAnsi="Times New Roman" w:cs="Times New Roman"/>
        </w:rPr>
        <w:fldChar w:fldCharType="end"/>
      </w:r>
      <w:r w:rsidRPr="000C1FA7">
        <w:rPr>
          <w:rFonts w:ascii="Times New Roman" w:hAnsi="Times New Roman" w:cs="Times New Roman"/>
        </w:rPr>
        <w:t>.</w:t>
      </w:r>
    </w:p>
    <w:p w14:paraId="28065F1A" w14:textId="724BA325" w:rsidR="00925F37" w:rsidRDefault="007C70DD" w:rsidP="000515B2">
      <w:pPr>
        <w:spacing w:line="360" w:lineRule="auto"/>
        <w:ind w:firstLine="720"/>
        <w:contextualSpacing/>
        <w:jc w:val="both"/>
        <w:rPr>
          <w:rFonts w:ascii="Times New Roman" w:hAnsi="Times New Roman" w:cs="Times New Roman"/>
        </w:rPr>
      </w:pPr>
      <w:r w:rsidRPr="007C70DD">
        <w:rPr>
          <w:rFonts w:ascii="Times New Roman" w:hAnsi="Times New Roman" w:cs="Times New Roman"/>
        </w:rPr>
        <w:t>Consumer involvement plays a major role in the circular economy</w:t>
      </w:r>
      <w:r w:rsidR="00631C5E">
        <w:rPr>
          <w:rFonts w:ascii="Times New Roman" w:hAnsi="Times New Roman" w:cs="Times New Roman"/>
        </w:rPr>
        <w:t xml:space="preserve">, </w:t>
      </w:r>
      <w:r w:rsidRPr="007C70DD">
        <w:rPr>
          <w:rFonts w:ascii="Times New Roman" w:hAnsi="Times New Roman" w:cs="Times New Roman"/>
        </w:rPr>
        <w:t>which requires a new and more active role of consumers</w:t>
      </w:r>
      <w:r w:rsidR="00631C5E">
        <w:rPr>
          <w:rFonts w:ascii="Times New Roman" w:hAnsi="Times New Roman" w:cs="Times New Roman"/>
        </w:rPr>
        <w:t xml:space="preserve"> </w:t>
      </w:r>
      <w:r w:rsidR="00631C5E">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{"citationID":"a2k5msde91p","properties":{"formattedCitation":"\\super 333\\nosupersub{}","plainCitation":"333","noteIndex":0},"citationItems":[{"id":1654,"uris":["http://zotero.org/users/9431846/items/DBURWJUG"],"itemData":{"id":1654,"type":"article-journal","abstract":"Consumer involvement plays a major role in the circular economy (CE), which requires a new and more active role of consumers. However, consumer awareness of and interest and involvement in the CE is low. Therefore, we aimed to find the starting points for consumer involvement in activities that promote a CE by exploring consumers’ general perceptions of the CE and several practice cases. Four focus group discussions were conducted (N = 24) in the Netherlands. The group discussions showed that most consumers did not have a clear understanding of the term “circular economy,” although their associations pointed in the right direction. Perceptions, attitudes, motives and barriers in terms of advantages and disadvantages varied among the participants and were related to (1) the functionalities of the products, (2) the production system, (3) economic aspects and (4) emotions such as concern about risks. We identified four key messages: targeting with regard to behaviours, attitudes and product functionalities; aligning with emotions; linking to practical cases; and applying multidimensional CE-related behaviour in everyday life and involving consumers in its innovation. These key messages are helpful in overcoming obstacles and barriers, raising awareness and providing input for sustainable consumption and production in the CE.","container-title":"Sustainability","DOI":"10.3390/su12010286","ISSN":"2071-1050","issue":"1","journalAbbreviation":"Sustainability","language":"en","page":"286","source":"DOI.org (Crossref)","title":"Let’s Talk about Circular Economy: A Qualitative Exploration of Consumer Perceptions","title-short":"Let’s Talk about Circular Economy","volume":"12","author":[{"family":"Sijtsema","given":"Siet J."},{"family":"Snoek","given":"Harriëtte M."},{"family":"Haaster-de Winter","given":"Mariët A.","non-dropping-particle":"van"},{"family":"Dagevos","given":"Hans"}],"issued":{"date-parts":[["2019",12,30]]}}}],"schema":"https://github.com/citation-style-language/schema/raw/master/csl-citation.json"} </w:instrText>
      </w:r>
      <w:r w:rsidR="00631C5E">
        <w:rPr>
          <w:rFonts w:ascii="Times New Roman" w:hAnsi="Times New Roman" w:cs="Times New Roman"/>
        </w:rPr>
        <w:fldChar w:fldCharType="separate"/>
      </w:r>
      <w:r w:rsidR="002D38F0" w:rsidRPr="002D38F0">
        <w:rPr>
          <w:rFonts w:ascii="Times New Roman" w:hAnsi="Times New Roman" w:cs="Times New Roman"/>
          <w:szCs w:val="24"/>
          <w:vertAlign w:val="superscript"/>
        </w:rPr>
        <w:t>333</w:t>
      </w:r>
      <w:r w:rsidR="00631C5E">
        <w:rPr>
          <w:rFonts w:ascii="Times New Roman" w:hAnsi="Times New Roman" w:cs="Times New Roman"/>
        </w:rPr>
        <w:fldChar w:fldCharType="end"/>
      </w:r>
      <w:r w:rsidRPr="007C70DD">
        <w:rPr>
          <w:rFonts w:ascii="Times New Roman" w:hAnsi="Times New Roman" w:cs="Times New Roman"/>
        </w:rPr>
        <w:t xml:space="preserve">. </w:t>
      </w:r>
      <w:r w:rsidR="00631C5E" w:rsidRPr="000C1FA7">
        <w:rPr>
          <w:rFonts w:ascii="Times New Roman" w:hAnsi="Times New Roman" w:cs="Times New Roman"/>
        </w:rPr>
        <w:t xml:space="preserve">Consumer understanding, and </w:t>
      </w:r>
      <w:r w:rsidR="001A0565">
        <w:rPr>
          <w:rFonts w:ascii="Times New Roman" w:hAnsi="Times New Roman" w:cs="Times New Roman"/>
        </w:rPr>
        <w:t xml:space="preserve">possibly </w:t>
      </w:r>
      <w:r w:rsidR="00631C5E" w:rsidRPr="000C1FA7">
        <w:rPr>
          <w:rFonts w:ascii="Times New Roman" w:hAnsi="Times New Roman" w:cs="Times New Roman"/>
        </w:rPr>
        <w:t xml:space="preserve">misunderstanding, of aquafeeds containing raw materials sourced from the CFB must be addressed prior to commercial use of Aqua 3.0 feeds. </w:t>
      </w:r>
      <w:r w:rsidR="000C1FA7" w:rsidRPr="000C1FA7">
        <w:rPr>
          <w:rFonts w:ascii="Times New Roman" w:hAnsi="Times New Roman" w:cs="Times New Roman"/>
        </w:rPr>
        <w:t>This could partially be addressed by ensuring product quality is the same, or better, in terms of sensory properties</w:t>
      </w:r>
      <w:r w:rsidR="005E4C6F">
        <w:rPr>
          <w:rFonts w:ascii="Times New Roman" w:hAnsi="Times New Roman" w:cs="Times New Roman"/>
        </w:rPr>
        <w:t>, since</w:t>
      </w:r>
      <w:r w:rsidR="000C1FA7" w:rsidRPr="000C1FA7">
        <w:rPr>
          <w:rFonts w:ascii="Times New Roman" w:hAnsi="Times New Roman" w:cs="Times New Roman"/>
        </w:rPr>
        <w:t xml:space="preserve"> </w:t>
      </w:r>
      <w:r w:rsidR="005E4C6F">
        <w:rPr>
          <w:rFonts w:ascii="Times New Roman" w:hAnsi="Times New Roman" w:cs="Times New Roman"/>
        </w:rPr>
        <w:t>ap</w:t>
      </w:r>
      <w:r w:rsidR="00860CC2">
        <w:rPr>
          <w:rFonts w:ascii="Times New Roman" w:hAnsi="Times New Roman" w:cs="Times New Roman"/>
        </w:rPr>
        <w:t>pearance</w:t>
      </w:r>
      <w:r w:rsidR="000C1FA7" w:rsidRPr="000C1FA7">
        <w:rPr>
          <w:rFonts w:ascii="Times New Roman" w:hAnsi="Times New Roman" w:cs="Times New Roman"/>
        </w:rPr>
        <w:t xml:space="preserve"> is one of the first characteristics that consumers will encounter and make decisions on their purchase. </w:t>
      </w:r>
      <w:r w:rsidR="00602698">
        <w:rPr>
          <w:rFonts w:ascii="Times New Roman" w:hAnsi="Times New Roman" w:cs="Times New Roman"/>
        </w:rPr>
        <w:t xml:space="preserve">Connecting consumer response with aquaculture </w:t>
      </w:r>
      <w:r w:rsidR="00B90CCB">
        <w:rPr>
          <w:rFonts w:ascii="Times New Roman" w:hAnsi="Times New Roman" w:cs="Times New Roman"/>
        </w:rPr>
        <w:t xml:space="preserve">is important, </w:t>
      </w:r>
      <w:r w:rsidR="00292F3B">
        <w:rPr>
          <w:rFonts w:ascii="Times New Roman" w:hAnsi="Times New Roman" w:cs="Times New Roman"/>
        </w:rPr>
        <w:t xml:space="preserve">not only in terms of informing producers about consumer </w:t>
      </w:r>
      <w:r w:rsidR="00190987">
        <w:rPr>
          <w:rFonts w:ascii="Times New Roman" w:hAnsi="Times New Roman" w:cs="Times New Roman"/>
        </w:rPr>
        <w:t>demands</w:t>
      </w:r>
      <w:r w:rsidR="00292F3B">
        <w:rPr>
          <w:rFonts w:ascii="Times New Roman" w:hAnsi="Times New Roman" w:cs="Times New Roman"/>
        </w:rPr>
        <w:t xml:space="preserve"> but also for </w:t>
      </w:r>
      <w:r w:rsidR="00190987">
        <w:rPr>
          <w:rFonts w:ascii="Times New Roman" w:hAnsi="Times New Roman" w:cs="Times New Roman"/>
        </w:rPr>
        <w:t xml:space="preserve">marketing strategies </w:t>
      </w:r>
      <w:r w:rsidR="00FB330B">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{"citationID":"a2d7bgvaolo","properties":{"formattedCitation":"\\super 327\\nosupersub{}","plainCitation":"327","noteIndex":0},"citationItems":[{"id":1648,"uris":["http://zotero.org/users/9431846/items/QEBQWNVI"],"itemData":{"id":1648,"type":"article-journal","container-title":"Reviews in Aquaculture","DOI":"10.1111/raq.12351","ISSN":"1753-5123, 1753-5131","issue":"2","journalAbbreviation":"Rev Aquacult","language":"en","page":"805-821","source":"DOI.org (Crossref)","title":"Aquaculture and sensometrics: the need to evaluate sensory attributes and the consumers’ preferences","title-short":"Aquaculture and sensometrics","volume":"12","author":[{"family":"Calanche","given":"Juan B."},{"family":"Beltrán","given":"José A."},{"family":"Hernández Arias","given":"Adrián J."}],"issued":{"date-parts":[["2020",5]]}}}],"schema":"https://github.com/citation-style-language/schema/raw/master/csl-citation.json"} </w:instrText>
      </w:r>
      <w:r w:rsidR="00FB330B">
        <w:rPr>
          <w:rFonts w:ascii="Times New Roman" w:hAnsi="Times New Roman" w:cs="Times New Roman"/>
        </w:rPr>
        <w:fldChar w:fldCharType="separate"/>
      </w:r>
      <w:r w:rsidR="002D38F0" w:rsidRPr="002D38F0">
        <w:rPr>
          <w:rFonts w:ascii="Times New Roman" w:hAnsi="Times New Roman" w:cs="Times New Roman"/>
          <w:szCs w:val="24"/>
          <w:vertAlign w:val="superscript"/>
        </w:rPr>
        <w:t>327</w:t>
      </w:r>
      <w:r w:rsidR="00FB330B">
        <w:rPr>
          <w:rFonts w:ascii="Times New Roman" w:hAnsi="Times New Roman" w:cs="Times New Roman"/>
        </w:rPr>
        <w:fldChar w:fldCharType="end"/>
      </w:r>
      <w:r w:rsidR="000C1FA7" w:rsidRPr="000C1FA7">
        <w:rPr>
          <w:rFonts w:ascii="Times New Roman" w:hAnsi="Times New Roman" w:cs="Times New Roman"/>
        </w:rPr>
        <w:t xml:space="preserve">. Sensory information (e.g., organoleptic properties like texture, colour, </w:t>
      </w:r>
      <w:r w:rsidR="00190987">
        <w:rPr>
          <w:rFonts w:ascii="Times New Roman" w:hAnsi="Times New Roman" w:cs="Times New Roman"/>
        </w:rPr>
        <w:t xml:space="preserve">and </w:t>
      </w:r>
      <w:r w:rsidR="000C1FA7" w:rsidRPr="000C1FA7">
        <w:rPr>
          <w:rFonts w:ascii="Times New Roman" w:hAnsi="Times New Roman" w:cs="Times New Roman"/>
        </w:rPr>
        <w:t>taste), as well as nutritional and safety information can be used as strategic tools to satisfy consumer demand and improve understanding of aquaculture products that had been fed diets containing ingredients sourced from the CFB.</w:t>
      </w:r>
    </w:p>
    <w:p w14:paraId="1D53C78B" w14:textId="4BA27C97" w:rsidR="00F962D5" w:rsidRPr="000C1FA7" w:rsidRDefault="00925F37" w:rsidP="000515B2">
      <w:pPr>
        <w:spacing w:line="360" w:lineRule="auto"/>
        <w:ind w:firstLine="720"/>
        <w:contextualSpacing/>
        <w:jc w:val="both"/>
        <w:rPr>
          <w:rFonts w:ascii="Times New Roman" w:hAnsi="Times New Roman" w:cs="Times New Roman"/>
        </w:rPr>
      </w:pPr>
      <w:r>
        <w:rPr>
          <w:rFonts w:ascii="Times New Roman" w:hAnsi="Times New Roman" w:cs="Times New Roman"/>
        </w:rPr>
        <w:t xml:space="preserve">Presumably, </w:t>
      </w:r>
      <w:r w:rsidR="00F962D5" w:rsidRPr="00F962D5">
        <w:rPr>
          <w:rFonts w:ascii="Times New Roman" w:hAnsi="Times New Roman" w:cs="Times New Roman"/>
        </w:rPr>
        <w:t>most consumers would agree with the principles of circularity,</w:t>
      </w:r>
      <w:r w:rsidR="00512A9F">
        <w:rPr>
          <w:rFonts w:ascii="Times New Roman" w:hAnsi="Times New Roman" w:cs="Times New Roman"/>
        </w:rPr>
        <w:t xml:space="preserve"> in terms of its potential for achieving food security in a sustainable manner</w:t>
      </w:r>
      <w:r w:rsidR="004153F5">
        <w:rPr>
          <w:rFonts w:ascii="Times New Roman" w:hAnsi="Times New Roman" w:cs="Times New Roman"/>
        </w:rPr>
        <w:t>. However, m</w:t>
      </w:r>
      <w:r w:rsidR="00F962D5" w:rsidRPr="00F962D5">
        <w:rPr>
          <w:rFonts w:ascii="Times New Roman" w:hAnsi="Times New Roman" w:cs="Times New Roman"/>
        </w:rPr>
        <w:t xml:space="preserve">any consumers reject the notion of feeding ‘byproducts’ because they associate these feedstuffs with poor quality feeds, not appreciating that such ingredients provide nutritional and environmental performance value. </w:t>
      </w:r>
      <w:r w:rsidR="00B63FEA">
        <w:rPr>
          <w:rFonts w:ascii="Times New Roman" w:hAnsi="Times New Roman" w:cs="Times New Roman"/>
        </w:rPr>
        <w:t xml:space="preserve">Similarly, </w:t>
      </w:r>
      <w:r w:rsidR="00650499">
        <w:rPr>
          <w:rFonts w:ascii="Times New Roman" w:hAnsi="Times New Roman" w:cs="Times New Roman"/>
        </w:rPr>
        <w:t>many consumers do not accept genetically modified organisms, desp</w:t>
      </w:r>
      <w:r w:rsidR="00895299">
        <w:rPr>
          <w:rFonts w:ascii="Times New Roman" w:hAnsi="Times New Roman" w:cs="Times New Roman"/>
        </w:rPr>
        <w:t xml:space="preserve">ite evidence suggesting their </w:t>
      </w:r>
      <w:r w:rsidR="00A01537">
        <w:rPr>
          <w:rFonts w:ascii="Times New Roman" w:hAnsi="Times New Roman" w:cs="Times New Roman"/>
        </w:rPr>
        <w:t xml:space="preserve">role as a sustainable food source. </w:t>
      </w:r>
      <w:r w:rsidR="00941D97">
        <w:rPr>
          <w:rFonts w:ascii="Times New Roman" w:hAnsi="Times New Roman" w:cs="Times New Roman"/>
        </w:rPr>
        <w:t>This may present an issue with s</w:t>
      </w:r>
      <w:r w:rsidR="00295745" w:rsidRPr="00295745">
        <w:rPr>
          <w:rFonts w:ascii="Times New Roman" w:hAnsi="Times New Roman" w:cs="Times New Roman"/>
        </w:rPr>
        <w:t>ingle cell</w:t>
      </w:r>
      <w:r w:rsidR="00941D97">
        <w:rPr>
          <w:rFonts w:ascii="Times New Roman" w:hAnsi="Times New Roman" w:cs="Times New Roman"/>
        </w:rPr>
        <w:t>ed organisms, which</w:t>
      </w:r>
      <w:r w:rsidR="00295745" w:rsidRPr="00295745">
        <w:rPr>
          <w:rFonts w:ascii="Times New Roman" w:hAnsi="Times New Roman" w:cs="Times New Roman"/>
        </w:rPr>
        <w:t xml:space="preserve"> represent </w:t>
      </w:r>
      <w:r w:rsidR="00941D97">
        <w:rPr>
          <w:rFonts w:ascii="Times New Roman" w:hAnsi="Times New Roman" w:cs="Times New Roman"/>
        </w:rPr>
        <w:t xml:space="preserve">an </w:t>
      </w:r>
      <w:r w:rsidR="00295745" w:rsidRPr="00295745">
        <w:rPr>
          <w:rFonts w:ascii="Times New Roman" w:hAnsi="Times New Roman" w:cs="Times New Roman"/>
        </w:rPr>
        <w:t>opportunity to genetic</w:t>
      </w:r>
      <w:r w:rsidR="001546FE">
        <w:rPr>
          <w:rFonts w:ascii="Times New Roman" w:hAnsi="Times New Roman" w:cs="Times New Roman"/>
        </w:rPr>
        <w:t xml:space="preserve"> alteration (e.g., </w:t>
      </w:r>
      <w:r w:rsidR="00295745" w:rsidRPr="00295745">
        <w:rPr>
          <w:rFonts w:ascii="Times New Roman" w:hAnsi="Times New Roman" w:cs="Times New Roman"/>
        </w:rPr>
        <w:t>to produce high levels of nutrients desirable in fish feeds</w:t>
      </w:r>
      <w:r w:rsidR="001546FE">
        <w:rPr>
          <w:rFonts w:ascii="Times New Roman" w:hAnsi="Times New Roman" w:cs="Times New Roman"/>
        </w:rPr>
        <w:t>)</w:t>
      </w:r>
      <w:r w:rsidR="00295745" w:rsidRPr="00295745">
        <w:rPr>
          <w:rFonts w:ascii="Times New Roman" w:hAnsi="Times New Roman" w:cs="Times New Roman"/>
        </w:rPr>
        <w:t xml:space="preserve">. </w:t>
      </w:r>
      <w:r w:rsidR="003E241B">
        <w:rPr>
          <w:rFonts w:ascii="Times New Roman" w:hAnsi="Times New Roman" w:cs="Times New Roman"/>
        </w:rPr>
        <w:t xml:space="preserve">It is questionable whether consumers will accept these types of products, even if they are indirectly consumed (from </w:t>
      </w:r>
      <w:r w:rsidR="00ED1D13">
        <w:rPr>
          <w:rFonts w:ascii="Times New Roman" w:hAnsi="Times New Roman" w:cs="Times New Roman"/>
        </w:rPr>
        <w:t xml:space="preserve">feed to fish). </w:t>
      </w:r>
      <w:r w:rsidR="00F962D5" w:rsidRPr="00F962D5">
        <w:rPr>
          <w:rFonts w:ascii="Times New Roman" w:hAnsi="Times New Roman" w:cs="Times New Roman"/>
        </w:rPr>
        <w:t xml:space="preserve">Many consumers are increasingly aware of the need for greater environmental performance in aquafeeds, but they are not necessarily well-informed about different ingredients and their implications for sustainability in aquaculture. Embracing circularity in the production of blue foods requires the development of ingredients with the desired attributes as well as consumer education to support their adoption by the industry. </w:t>
      </w:r>
      <w:r w:rsidR="00FD0871">
        <w:rPr>
          <w:rFonts w:ascii="Times New Roman" w:hAnsi="Times New Roman" w:cs="Times New Roman"/>
        </w:rPr>
        <w:t xml:space="preserve">Going forward, </w:t>
      </w:r>
      <w:r w:rsidR="00D55330">
        <w:rPr>
          <w:rFonts w:ascii="Times New Roman" w:hAnsi="Times New Roman" w:cs="Times New Roman"/>
        </w:rPr>
        <w:t xml:space="preserve">taking consumer perspective into account </w:t>
      </w:r>
      <w:r w:rsidR="00823030">
        <w:rPr>
          <w:rFonts w:ascii="Times New Roman" w:hAnsi="Times New Roman" w:cs="Times New Roman"/>
        </w:rPr>
        <w:t>through active communi</w:t>
      </w:r>
      <w:r w:rsidR="00132BB6">
        <w:rPr>
          <w:rFonts w:ascii="Times New Roman" w:hAnsi="Times New Roman" w:cs="Times New Roman"/>
        </w:rPr>
        <w:t xml:space="preserve">cation will </w:t>
      </w:r>
      <w:r w:rsidR="00FD0871" w:rsidRPr="00FD0871">
        <w:rPr>
          <w:rFonts w:ascii="Times New Roman" w:hAnsi="Times New Roman" w:cs="Times New Roman"/>
        </w:rPr>
        <w:t xml:space="preserve">integrate the </w:t>
      </w:r>
      <w:r w:rsidR="00132BB6">
        <w:rPr>
          <w:rFonts w:ascii="Times New Roman" w:hAnsi="Times New Roman" w:cs="Times New Roman"/>
        </w:rPr>
        <w:t>consumer</w:t>
      </w:r>
      <w:r w:rsidR="00FD0871" w:rsidRPr="00FD0871">
        <w:rPr>
          <w:rFonts w:ascii="Times New Roman" w:hAnsi="Times New Roman" w:cs="Times New Roman"/>
        </w:rPr>
        <w:t xml:space="preserve"> into the value creation process</w:t>
      </w:r>
      <w:r w:rsidR="00CE1690">
        <w:rPr>
          <w:rFonts w:ascii="Times New Roman" w:hAnsi="Times New Roman" w:cs="Times New Roman"/>
        </w:rPr>
        <w:t xml:space="preserve"> will improve value and consumer uptake</w:t>
      </w:r>
      <w:r w:rsidR="000062BD">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{"citationID":"a1dv2uu9hiv","properties":{"formattedCitation":"\\super 69\\nosupersub{}","plainCitation":"69","noteIndex":0},"citationItems":[{"id":1691,"uris":["http://zotero.org/users/9431846/items/M9YJKJK5"],"itemData":{"id":1691,"type":"article-journal","container-title":"Journal of Cleaner Production","DOI":"10.1016/j.jclepro.2020.124341","ISSN":"09596526","journalAbbreviation":"Journal of Cleaner Production","language":"en","page":"124341","source":"DOI.org (Crossref)","title":"Key aspects for designing business models for a circular bioeconomy","volume":"278","author":[{"family":"Salvador","given":"Rodrigo"},{"family":"Puglieri","given":"Fabio N."},{"family":"Halog","given":"Anthony"},{"family":"Andrade","given":"Fernanda G.","dropping-particle":"de"},{"family":"Piekarski","given":"Cassiano M."},{"family":"De Francisco","given":"Antonio C."}],"issued":{"date-parts":[["2021",1]]}}}],"schema":"https://github.com/citation-style-language/schema/raw/master/csl-citation.json"} </w:instrText>
      </w:r>
      <w:r w:rsidR="000062BD">
        <w:rPr>
          <w:rFonts w:ascii="Times New Roman" w:hAnsi="Times New Roman" w:cs="Times New Roman"/>
        </w:rPr>
        <w:fldChar w:fldCharType="separate"/>
      </w:r>
      <w:r w:rsidR="002D38F0" w:rsidRPr="002D38F0">
        <w:rPr>
          <w:rFonts w:ascii="Times New Roman" w:hAnsi="Times New Roman" w:cs="Times New Roman"/>
          <w:szCs w:val="24"/>
          <w:vertAlign w:val="superscript"/>
        </w:rPr>
        <w:t>69</w:t>
      </w:r>
      <w:r w:rsidR="000062BD">
        <w:rPr>
          <w:rFonts w:ascii="Times New Roman" w:hAnsi="Times New Roman" w:cs="Times New Roman"/>
        </w:rPr>
        <w:fldChar w:fldCharType="end"/>
      </w:r>
      <w:r w:rsidR="00CE1690">
        <w:rPr>
          <w:rFonts w:ascii="Times New Roman" w:hAnsi="Times New Roman" w:cs="Times New Roman"/>
        </w:rPr>
        <w:t xml:space="preserve">. </w:t>
      </w:r>
      <w:r w:rsidR="008A2663" w:rsidRPr="008A2663">
        <w:rPr>
          <w:rFonts w:ascii="Times New Roman" w:hAnsi="Times New Roman" w:cs="Times New Roman"/>
        </w:rPr>
        <w:t xml:space="preserve">Society needs to be made aware and encouraged to engage in the consumption of </w:t>
      </w:r>
      <w:r w:rsidR="00477968">
        <w:rPr>
          <w:rFonts w:ascii="Times New Roman" w:hAnsi="Times New Roman" w:cs="Times New Roman"/>
        </w:rPr>
        <w:t>CFB</w:t>
      </w:r>
      <w:r w:rsidR="008A2663" w:rsidRPr="008A2663">
        <w:rPr>
          <w:rFonts w:ascii="Times New Roman" w:hAnsi="Times New Roman" w:cs="Times New Roman"/>
        </w:rPr>
        <w:t>-based products</w:t>
      </w:r>
      <w:r w:rsidR="00477968">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{"citationID":"a10j1st66e1","properties":{"formattedCitation":"\\super 69\\nosupersub{}","plainCitation":"69","noteIndex":0},"citationItems":[{"id":1691,"uris":["http://zotero.org/users/9431846/items/M9YJKJK5"],"itemData":{"id":1691,"type":"article-journal","container-title":"Journal of Cleaner Production","DOI":"10.1016/j.jclepro.2020.124341","ISSN":"09596526","journalAbbreviation":"Journal of Cleaner Production","language":"en","page":"124341","source":"DOI.org (Crossref)","title":"Key aspects for designing business models for a circular bioeconomy","volume":"278","author":[{"family":"Salvador","given":"Rodrigo"},{"family":"Puglieri","given":"Fabio N."},{"family":"Halog","given":"Anthony"},{"family":"Andrade","given":"Fernanda G.","dropping-particle":"de"},{"family":"Piekarski","given":"Cassiano M."},{"family":"De Francisco","given":"Antonio C."}],"issued":{"date-parts":[["2021",1]]}}}],"schema":"https://github.com/citation-style-language/schema/raw/master/csl-citation.json"} </w:instrText>
      </w:r>
      <w:r w:rsidR="00477968">
        <w:rPr>
          <w:rFonts w:ascii="Times New Roman" w:hAnsi="Times New Roman" w:cs="Times New Roman"/>
        </w:rPr>
        <w:fldChar w:fldCharType="separate"/>
      </w:r>
      <w:r w:rsidR="002D38F0" w:rsidRPr="002D38F0">
        <w:rPr>
          <w:rFonts w:ascii="Times New Roman" w:hAnsi="Times New Roman" w:cs="Times New Roman"/>
          <w:szCs w:val="24"/>
          <w:vertAlign w:val="superscript"/>
        </w:rPr>
        <w:t>69</w:t>
      </w:r>
      <w:r w:rsidR="00477968">
        <w:rPr>
          <w:rFonts w:ascii="Times New Roman" w:hAnsi="Times New Roman" w:cs="Times New Roman"/>
        </w:rPr>
        <w:fldChar w:fldCharType="end"/>
      </w:r>
      <w:r w:rsidR="008A2663" w:rsidRPr="008A2663">
        <w:rPr>
          <w:rFonts w:ascii="Times New Roman" w:hAnsi="Times New Roman" w:cs="Times New Roman"/>
        </w:rPr>
        <w:t>.</w:t>
      </w:r>
      <w:r w:rsidR="00BC396A">
        <w:rPr>
          <w:rFonts w:ascii="Times New Roman" w:hAnsi="Times New Roman" w:cs="Times New Roman"/>
        </w:rPr>
        <w:t xml:space="preserve"> </w:t>
      </w:r>
      <w:r w:rsidR="00691E40">
        <w:rPr>
          <w:rFonts w:ascii="Times New Roman" w:hAnsi="Times New Roman" w:cs="Times New Roman"/>
        </w:rPr>
        <w:t>While consumer education will play an important role, price and consistently quality will highly influence purchasing habits.</w:t>
      </w:r>
      <w:r w:rsidR="00BC396A">
        <w:rPr>
          <w:rFonts w:ascii="Times New Roman" w:hAnsi="Times New Roman" w:cs="Times New Roman"/>
        </w:rPr>
        <w:t xml:space="preserve"> </w:t>
      </w:r>
    </w:p>
    <w:p w14:paraId="1B0B6199" w14:textId="274A7F88" w:rsidR="00197B62" w:rsidRPr="00632E3C" w:rsidRDefault="00197B62" w:rsidP="00522623">
      <w:pPr>
        <w:spacing w:line="360" w:lineRule="auto"/>
        <w:contextualSpacing/>
        <w:jc w:val="both"/>
        <w:rPr>
          <w:rFonts w:ascii="Times New Roman" w:hAnsi="Times New Roman" w:cs="Times New Roman"/>
          <w:b/>
          <w:bCs/>
          <w:sz w:val="28"/>
          <w:szCs w:val="28"/>
        </w:rPr>
      </w:pPr>
      <w:r w:rsidRPr="00632E3C">
        <w:rPr>
          <w:rFonts w:ascii="Times New Roman" w:hAnsi="Times New Roman" w:cs="Times New Roman"/>
          <w:b/>
          <w:bCs/>
          <w:sz w:val="28"/>
          <w:szCs w:val="28"/>
        </w:rPr>
        <w:t>Conclusion</w:t>
      </w:r>
    </w:p>
    <w:p w14:paraId="60CCAEE8" w14:textId="52D00C4A" w:rsidR="00197B62" w:rsidRDefault="00197B62" w:rsidP="000703E1">
      <w:pPr>
        <w:spacing w:line="360" w:lineRule="auto"/>
        <w:contextualSpacing/>
        <w:jc w:val="both"/>
        <w:rPr>
          <w:rFonts w:ascii="Times New Roman" w:hAnsi="Times New Roman" w:cs="Times New Roman"/>
        </w:rPr>
      </w:pPr>
      <w:r w:rsidRPr="00197B62">
        <w:rPr>
          <w:rFonts w:ascii="Times New Roman" w:hAnsi="Times New Roman" w:cs="Times New Roman"/>
        </w:rPr>
        <w:t xml:space="preserve">Aquaculture must move towards a new paradigm where the carbon footprint and lower impacts on the environment are equal to production and profitability. </w:t>
      </w:r>
      <w:r w:rsidR="00A5404A">
        <w:rPr>
          <w:rFonts w:ascii="Times New Roman" w:hAnsi="Times New Roman" w:cs="Times New Roman"/>
        </w:rPr>
        <w:t>Nutritional resources for aquaculture that are</w:t>
      </w:r>
      <w:r w:rsidRPr="00197B62">
        <w:rPr>
          <w:rFonts w:ascii="Times New Roman" w:hAnsi="Times New Roman" w:cs="Times New Roman"/>
        </w:rPr>
        <w:t xml:space="preserve"> produced through a circular bioeconomy approach will allow for a new revolution, </w:t>
      </w:r>
      <w:r w:rsidR="00C3546E">
        <w:rPr>
          <w:rFonts w:ascii="Times New Roman" w:hAnsi="Times New Roman" w:cs="Times New Roman"/>
        </w:rPr>
        <w:t xml:space="preserve">and a more resilient and sustainable aquaculture. </w:t>
      </w:r>
      <w:r w:rsidRPr="00197B62">
        <w:rPr>
          <w:rFonts w:ascii="Times New Roman" w:hAnsi="Times New Roman" w:cs="Times New Roman"/>
        </w:rPr>
        <w:t>Using a trophic level analogy, in the last 20 years, when aquafeed</w:t>
      </w:r>
      <w:r w:rsidR="00C3546E">
        <w:rPr>
          <w:rFonts w:ascii="Times New Roman" w:hAnsi="Times New Roman" w:cs="Times New Roman"/>
        </w:rPr>
        <w:t>s</w:t>
      </w:r>
      <w:r w:rsidRPr="00197B62">
        <w:rPr>
          <w:rFonts w:ascii="Times New Roman" w:hAnsi="Times New Roman" w:cs="Times New Roman"/>
        </w:rPr>
        <w:t xml:space="preserve"> evolved into "Aquafeed 2.0", farmed carnivorous species</w:t>
      </w:r>
      <w:r w:rsidR="009A085A">
        <w:rPr>
          <w:rFonts w:ascii="Times New Roman" w:hAnsi="Times New Roman" w:cs="Times New Roman"/>
        </w:rPr>
        <w:t xml:space="preserve"> were </w:t>
      </w:r>
      <w:r w:rsidR="00311D4A">
        <w:rPr>
          <w:rFonts w:ascii="Times New Roman" w:hAnsi="Times New Roman" w:cs="Times New Roman"/>
        </w:rPr>
        <w:t>shifted to</w:t>
      </w:r>
      <w:r w:rsidRPr="00197B62">
        <w:rPr>
          <w:rFonts w:ascii="Times New Roman" w:hAnsi="Times New Roman" w:cs="Times New Roman"/>
        </w:rPr>
        <w:t xml:space="preserve"> become far more omnivorous</w:t>
      </w:r>
      <w:r w:rsidR="00E30246">
        <w:rPr>
          <w:rFonts w:ascii="Times New Roman" w:hAnsi="Times New Roman" w:cs="Times New Roman"/>
        </w:rPr>
        <w:t xml:space="preserve"> than their natural diet</w:t>
      </w:r>
      <w:r w:rsidRPr="00197B62">
        <w:rPr>
          <w:rFonts w:ascii="Times New Roman" w:hAnsi="Times New Roman" w:cs="Times New Roman"/>
        </w:rPr>
        <w:t xml:space="preserve">. </w:t>
      </w:r>
      <w:r w:rsidR="00FB578C">
        <w:rPr>
          <w:rFonts w:ascii="Times New Roman" w:hAnsi="Times New Roman" w:cs="Times New Roman"/>
        </w:rPr>
        <w:t>The</w:t>
      </w:r>
      <w:r w:rsidRPr="00197B62">
        <w:rPr>
          <w:rFonts w:ascii="Times New Roman" w:hAnsi="Times New Roman" w:cs="Times New Roman"/>
        </w:rPr>
        <w:t xml:space="preserve"> sector </w:t>
      </w:r>
      <w:r w:rsidR="00FB578C">
        <w:rPr>
          <w:rFonts w:ascii="Times New Roman" w:hAnsi="Times New Roman" w:cs="Times New Roman"/>
        </w:rPr>
        <w:t xml:space="preserve">is now </w:t>
      </w:r>
      <w:r w:rsidRPr="00197B62">
        <w:rPr>
          <w:rFonts w:ascii="Times New Roman" w:hAnsi="Times New Roman" w:cs="Times New Roman"/>
        </w:rPr>
        <w:t>further evolv</w:t>
      </w:r>
      <w:r w:rsidR="00FB578C">
        <w:rPr>
          <w:rFonts w:ascii="Times New Roman" w:hAnsi="Times New Roman" w:cs="Times New Roman"/>
        </w:rPr>
        <w:t>ing</w:t>
      </w:r>
      <w:r w:rsidRPr="00197B62">
        <w:rPr>
          <w:rFonts w:ascii="Times New Roman" w:hAnsi="Times New Roman" w:cs="Times New Roman"/>
        </w:rPr>
        <w:t xml:space="preserve"> into </w:t>
      </w:r>
      <w:r w:rsidR="00FB578C">
        <w:rPr>
          <w:rFonts w:ascii="Times New Roman" w:hAnsi="Times New Roman" w:cs="Times New Roman"/>
        </w:rPr>
        <w:t xml:space="preserve">a more </w:t>
      </w:r>
      <w:r w:rsidRPr="00197B62">
        <w:rPr>
          <w:rFonts w:ascii="Times New Roman" w:hAnsi="Times New Roman" w:cs="Times New Roman"/>
        </w:rPr>
        <w:t>scavenger</w:t>
      </w:r>
      <w:r w:rsidR="00FB578C">
        <w:rPr>
          <w:rFonts w:ascii="Times New Roman" w:hAnsi="Times New Roman" w:cs="Times New Roman"/>
        </w:rPr>
        <w:t>-based diet</w:t>
      </w:r>
      <w:r w:rsidRPr="00197B62">
        <w:rPr>
          <w:rFonts w:ascii="Times New Roman" w:hAnsi="Times New Roman" w:cs="Times New Roman"/>
        </w:rPr>
        <w:t>, which are essential in any healthy ecosystem, but currently missing in the global food system</w:t>
      </w:r>
      <w:r w:rsidR="00FB578C">
        <w:rPr>
          <w:rFonts w:ascii="Times New Roman" w:hAnsi="Times New Roman" w:cs="Times New Roman"/>
        </w:rPr>
        <w:t xml:space="preserve">. </w:t>
      </w:r>
      <w:r w:rsidR="003A283A">
        <w:rPr>
          <w:rFonts w:ascii="Times New Roman" w:hAnsi="Times New Roman" w:cs="Times New Roman"/>
        </w:rPr>
        <w:t xml:space="preserve">This is shifting </w:t>
      </w:r>
      <w:r w:rsidR="00866E27">
        <w:rPr>
          <w:rFonts w:ascii="Times New Roman" w:hAnsi="Times New Roman" w:cs="Times New Roman"/>
        </w:rPr>
        <w:t xml:space="preserve">aquafeeds into a more modern </w:t>
      </w:r>
      <w:r w:rsidRPr="00197B62">
        <w:rPr>
          <w:rFonts w:ascii="Times New Roman" w:hAnsi="Times New Roman" w:cs="Times New Roman"/>
        </w:rPr>
        <w:t>"Aquafeed 3.0"</w:t>
      </w:r>
      <w:r w:rsidR="008636FA">
        <w:rPr>
          <w:rFonts w:ascii="Times New Roman" w:hAnsi="Times New Roman" w:cs="Times New Roman"/>
        </w:rPr>
        <w:t xml:space="preserve"> platform</w:t>
      </w:r>
      <w:r w:rsidRPr="00197B62">
        <w:rPr>
          <w:rFonts w:ascii="Times New Roman" w:hAnsi="Times New Roman" w:cs="Times New Roman"/>
        </w:rPr>
        <w:t xml:space="preserve">. </w:t>
      </w:r>
      <w:r w:rsidR="000703E1">
        <w:rPr>
          <w:rFonts w:ascii="Times New Roman" w:hAnsi="Times New Roman" w:cs="Times New Roman"/>
        </w:rPr>
        <w:t>It is true that many</w:t>
      </w:r>
      <w:r w:rsidR="000703E1" w:rsidRPr="000703E1">
        <w:rPr>
          <w:rFonts w:ascii="Times New Roman" w:hAnsi="Times New Roman" w:cs="Times New Roman"/>
        </w:rPr>
        <w:t xml:space="preserve"> of the suggested ingredients are already</w:t>
      </w:r>
      <w:r w:rsidR="00C53FBB">
        <w:rPr>
          <w:rFonts w:ascii="Times New Roman" w:hAnsi="Times New Roman" w:cs="Times New Roman"/>
        </w:rPr>
        <w:t xml:space="preserve"> </w:t>
      </w:r>
      <w:r w:rsidR="00FD355A">
        <w:rPr>
          <w:rFonts w:ascii="Times New Roman" w:hAnsi="Times New Roman" w:cs="Times New Roman"/>
        </w:rPr>
        <w:t xml:space="preserve">employed </w:t>
      </w:r>
      <w:r w:rsidR="000703E1" w:rsidRPr="000703E1">
        <w:rPr>
          <w:rFonts w:ascii="Times New Roman" w:hAnsi="Times New Roman" w:cs="Times New Roman"/>
        </w:rPr>
        <w:t xml:space="preserve">in </w:t>
      </w:r>
      <w:r w:rsidR="000703E1">
        <w:rPr>
          <w:rFonts w:ascii="Times New Roman" w:hAnsi="Times New Roman" w:cs="Times New Roman"/>
        </w:rPr>
        <w:t xml:space="preserve">the aquafeed </w:t>
      </w:r>
      <w:r w:rsidR="000703E1" w:rsidRPr="000703E1">
        <w:rPr>
          <w:rFonts w:ascii="Times New Roman" w:hAnsi="Times New Roman" w:cs="Times New Roman"/>
        </w:rPr>
        <w:t>industry</w:t>
      </w:r>
      <w:r w:rsidR="000703E1">
        <w:rPr>
          <w:rFonts w:ascii="Times New Roman" w:hAnsi="Times New Roman" w:cs="Times New Roman"/>
        </w:rPr>
        <w:t xml:space="preserve"> (e.g., </w:t>
      </w:r>
      <w:r w:rsidR="000703E1" w:rsidRPr="000703E1">
        <w:rPr>
          <w:rFonts w:ascii="Times New Roman" w:hAnsi="Times New Roman" w:cs="Times New Roman"/>
        </w:rPr>
        <w:t xml:space="preserve">terrestrial animal by-products; </w:t>
      </w:r>
      <w:r w:rsidR="00E14BF5">
        <w:rPr>
          <w:rFonts w:ascii="Times New Roman" w:hAnsi="Times New Roman" w:cs="Times New Roman"/>
        </w:rPr>
        <w:t>fishery byproducts</w:t>
      </w:r>
      <w:r w:rsidR="000703E1" w:rsidRPr="000703E1">
        <w:rPr>
          <w:rFonts w:ascii="Times New Roman" w:hAnsi="Times New Roman" w:cs="Times New Roman"/>
        </w:rPr>
        <w:t>) but for moving toward the Aqua</w:t>
      </w:r>
      <w:r w:rsidR="00C53FBB">
        <w:rPr>
          <w:rFonts w:ascii="Times New Roman" w:hAnsi="Times New Roman" w:cs="Times New Roman"/>
        </w:rPr>
        <w:t>feed</w:t>
      </w:r>
      <w:r w:rsidR="000A3998">
        <w:rPr>
          <w:rFonts w:ascii="Times New Roman" w:hAnsi="Times New Roman" w:cs="Times New Roman"/>
        </w:rPr>
        <w:t xml:space="preserve"> </w:t>
      </w:r>
      <w:r w:rsidR="000703E1" w:rsidRPr="000703E1">
        <w:rPr>
          <w:rFonts w:ascii="Times New Roman" w:hAnsi="Times New Roman" w:cs="Times New Roman"/>
        </w:rPr>
        <w:t xml:space="preserve">3.0 concept, we </w:t>
      </w:r>
      <w:r w:rsidR="00032713">
        <w:rPr>
          <w:rFonts w:ascii="Times New Roman" w:hAnsi="Times New Roman" w:cs="Times New Roman"/>
        </w:rPr>
        <w:t xml:space="preserve">must push these nutritional solutions further </w:t>
      </w:r>
      <w:r w:rsidR="00A61133">
        <w:rPr>
          <w:rFonts w:ascii="Times New Roman" w:hAnsi="Times New Roman" w:cs="Times New Roman"/>
        </w:rPr>
        <w:t xml:space="preserve">with advanced research and development. </w:t>
      </w:r>
      <w:r w:rsidR="00A71B99">
        <w:rPr>
          <w:rFonts w:ascii="Times New Roman" w:hAnsi="Times New Roman" w:cs="Times New Roman"/>
        </w:rPr>
        <w:t>The circularity</w:t>
      </w:r>
      <w:r w:rsidR="000703E1" w:rsidRPr="000703E1">
        <w:rPr>
          <w:rFonts w:ascii="Times New Roman" w:hAnsi="Times New Roman" w:cs="Times New Roman"/>
        </w:rPr>
        <w:t xml:space="preserve"> concept is not just limited to the examples </w:t>
      </w:r>
      <w:r w:rsidR="00A71B99">
        <w:rPr>
          <w:rFonts w:ascii="Times New Roman" w:hAnsi="Times New Roman" w:cs="Times New Roman"/>
        </w:rPr>
        <w:t>in this review</w:t>
      </w:r>
      <w:r w:rsidR="000703E1" w:rsidRPr="000703E1">
        <w:rPr>
          <w:rFonts w:ascii="Times New Roman" w:hAnsi="Times New Roman" w:cs="Times New Roman"/>
        </w:rPr>
        <w:t xml:space="preserve"> but there </w:t>
      </w:r>
      <w:r w:rsidR="00A71B99">
        <w:rPr>
          <w:rFonts w:ascii="Times New Roman" w:hAnsi="Times New Roman" w:cs="Times New Roman"/>
        </w:rPr>
        <w:t>may</w:t>
      </w:r>
      <w:r w:rsidR="000703E1" w:rsidRPr="000703E1">
        <w:rPr>
          <w:rFonts w:ascii="Times New Roman" w:hAnsi="Times New Roman" w:cs="Times New Roman"/>
        </w:rPr>
        <w:t xml:space="preserve"> be other options</w:t>
      </w:r>
      <w:r w:rsidR="009F6CB2">
        <w:rPr>
          <w:rFonts w:ascii="Times New Roman" w:hAnsi="Times New Roman" w:cs="Times New Roman"/>
        </w:rPr>
        <w:t xml:space="preserve"> in the future, which must be assessed for their nutritional value and </w:t>
      </w:r>
      <w:r w:rsidR="00701B3B">
        <w:rPr>
          <w:rFonts w:ascii="Times New Roman" w:hAnsi="Times New Roman" w:cs="Times New Roman"/>
        </w:rPr>
        <w:t xml:space="preserve">impacts on fish nutrition and health, but also </w:t>
      </w:r>
      <w:r w:rsidR="00A62C4A">
        <w:rPr>
          <w:rFonts w:ascii="Times New Roman" w:hAnsi="Times New Roman" w:cs="Times New Roman"/>
        </w:rPr>
        <w:t xml:space="preserve">must consider </w:t>
      </w:r>
      <w:r w:rsidR="00701B3B">
        <w:rPr>
          <w:rFonts w:ascii="Times New Roman" w:hAnsi="Times New Roman" w:cs="Times New Roman"/>
        </w:rPr>
        <w:t>sustainability metrics, such as carbon footprint and energy use</w:t>
      </w:r>
      <w:r w:rsidR="000703E1" w:rsidRPr="000703E1">
        <w:rPr>
          <w:rFonts w:ascii="Times New Roman" w:hAnsi="Times New Roman" w:cs="Times New Roman"/>
        </w:rPr>
        <w:t>.</w:t>
      </w:r>
      <w:r w:rsidR="00E14BF5">
        <w:rPr>
          <w:rFonts w:ascii="Times New Roman" w:hAnsi="Times New Roman" w:cs="Times New Roman"/>
        </w:rPr>
        <w:t xml:space="preserve"> </w:t>
      </w:r>
      <w:r w:rsidR="000A3998">
        <w:rPr>
          <w:rFonts w:ascii="Times New Roman" w:hAnsi="Times New Roman" w:cs="Times New Roman"/>
        </w:rPr>
        <w:t xml:space="preserve">However, </w:t>
      </w:r>
      <w:r w:rsidR="000A3998" w:rsidRPr="000A3998">
        <w:rPr>
          <w:rFonts w:ascii="Times New Roman" w:hAnsi="Times New Roman" w:cs="Times New Roman"/>
        </w:rPr>
        <w:t xml:space="preserve">circularity </w:t>
      </w:r>
      <w:r w:rsidR="000A3998">
        <w:rPr>
          <w:rFonts w:ascii="Times New Roman" w:hAnsi="Times New Roman" w:cs="Times New Roman"/>
        </w:rPr>
        <w:t xml:space="preserve">for ingredient production </w:t>
      </w:r>
      <w:r w:rsidR="000A3998" w:rsidRPr="000A3998">
        <w:rPr>
          <w:rFonts w:ascii="Times New Roman" w:hAnsi="Times New Roman" w:cs="Times New Roman"/>
        </w:rPr>
        <w:t xml:space="preserve">can also bring out safety issues </w:t>
      </w:r>
      <w:r w:rsidR="000A3998">
        <w:rPr>
          <w:rFonts w:ascii="Times New Roman" w:hAnsi="Times New Roman" w:cs="Times New Roman"/>
        </w:rPr>
        <w:t xml:space="preserve">and </w:t>
      </w:r>
      <w:r w:rsidR="002345B3">
        <w:rPr>
          <w:rFonts w:ascii="Times New Roman" w:hAnsi="Times New Roman" w:cs="Times New Roman"/>
        </w:rPr>
        <w:t xml:space="preserve">their use may be limited due to consumer perception and </w:t>
      </w:r>
      <w:r w:rsidR="001E225C">
        <w:rPr>
          <w:rFonts w:ascii="Times New Roman" w:hAnsi="Times New Roman" w:cs="Times New Roman"/>
        </w:rPr>
        <w:t>acceptability</w:t>
      </w:r>
      <w:r w:rsidR="000A3998" w:rsidRPr="000A3998">
        <w:rPr>
          <w:rFonts w:ascii="Times New Roman" w:hAnsi="Times New Roman" w:cs="Times New Roman"/>
        </w:rPr>
        <w:t xml:space="preserve">. </w:t>
      </w:r>
      <w:r w:rsidR="004E44C1">
        <w:rPr>
          <w:rFonts w:ascii="Times New Roman" w:hAnsi="Times New Roman" w:cs="Times New Roman"/>
        </w:rPr>
        <w:t>Remedial methods to mitigate pathogens (bacteria, viruses, etc.)</w:t>
      </w:r>
      <w:r w:rsidR="00AA7E31">
        <w:rPr>
          <w:rFonts w:ascii="Times New Roman" w:hAnsi="Times New Roman" w:cs="Times New Roman"/>
        </w:rPr>
        <w:t xml:space="preserve"> and past concerns of prions (PAPs) are </w:t>
      </w:r>
      <w:proofErr w:type="gramStart"/>
      <w:r w:rsidR="00A758C2">
        <w:rPr>
          <w:rFonts w:ascii="Times New Roman" w:hAnsi="Times New Roman" w:cs="Times New Roman"/>
        </w:rPr>
        <w:t xml:space="preserve">a </w:t>
      </w:r>
      <w:r w:rsidR="00AA7E31">
        <w:rPr>
          <w:rFonts w:ascii="Times New Roman" w:hAnsi="Times New Roman" w:cs="Times New Roman"/>
        </w:rPr>
        <w:t>necessary</w:t>
      </w:r>
      <w:r w:rsidR="00A758C2">
        <w:rPr>
          <w:rFonts w:ascii="Times New Roman" w:hAnsi="Times New Roman" w:cs="Times New Roman"/>
        </w:rPr>
        <w:t xml:space="preserve"> prerequisite</w:t>
      </w:r>
      <w:proofErr w:type="gramEnd"/>
      <w:r w:rsidR="00AA7E31">
        <w:rPr>
          <w:rFonts w:ascii="Times New Roman" w:hAnsi="Times New Roman" w:cs="Times New Roman"/>
        </w:rPr>
        <w:t>.</w:t>
      </w:r>
      <w:r w:rsidR="000A3998" w:rsidRPr="000A3998">
        <w:rPr>
          <w:rFonts w:ascii="Times New Roman" w:hAnsi="Times New Roman" w:cs="Times New Roman"/>
        </w:rPr>
        <w:t xml:space="preserve"> </w:t>
      </w:r>
      <w:r w:rsidR="00033B49" w:rsidRPr="000A3998">
        <w:rPr>
          <w:rFonts w:ascii="Times New Roman" w:hAnsi="Times New Roman" w:cs="Times New Roman"/>
        </w:rPr>
        <w:t>To</w:t>
      </w:r>
      <w:r w:rsidR="000A3998" w:rsidRPr="000A3998">
        <w:rPr>
          <w:rFonts w:ascii="Times New Roman" w:hAnsi="Times New Roman" w:cs="Times New Roman"/>
        </w:rPr>
        <w:t xml:space="preserve"> fully embrace </w:t>
      </w:r>
      <w:r w:rsidR="001E225C">
        <w:rPr>
          <w:rFonts w:ascii="Times New Roman" w:hAnsi="Times New Roman" w:cs="Times New Roman"/>
        </w:rPr>
        <w:t xml:space="preserve">circularity, </w:t>
      </w:r>
      <w:r w:rsidR="000A3998" w:rsidRPr="000A3998">
        <w:rPr>
          <w:rFonts w:ascii="Times New Roman" w:hAnsi="Times New Roman" w:cs="Times New Roman"/>
        </w:rPr>
        <w:t xml:space="preserve">future ingredients </w:t>
      </w:r>
      <w:r w:rsidR="000B11B3">
        <w:rPr>
          <w:rFonts w:ascii="Times New Roman" w:hAnsi="Times New Roman" w:cs="Times New Roman"/>
        </w:rPr>
        <w:t xml:space="preserve">must be subjected to stringent </w:t>
      </w:r>
      <w:r w:rsidR="001E225C">
        <w:rPr>
          <w:rFonts w:ascii="Times New Roman" w:hAnsi="Times New Roman" w:cs="Times New Roman"/>
        </w:rPr>
        <w:t xml:space="preserve">regulatory frameworks for </w:t>
      </w:r>
      <w:r w:rsidR="00CE1808">
        <w:rPr>
          <w:rFonts w:ascii="Times New Roman" w:hAnsi="Times New Roman" w:cs="Times New Roman"/>
        </w:rPr>
        <w:t xml:space="preserve">approval to use such ingredients in </w:t>
      </w:r>
      <w:r w:rsidR="000B11B3">
        <w:rPr>
          <w:rFonts w:ascii="Times New Roman" w:hAnsi="Times New Roman" w:cs="Times New Roman"/>
        </w:rPr>
        <w:t xml:space="preserve">the next generation of </w:t>
      </w:r>
      <w:r w:rsidR="00CE1808">
        <w:rPr>
          <w:rFonts w:ascii="Times New Roman" w:hAnsi="Times New Roman" w:cs="Times New Roman"/>
        </w:rPr>
        <w:t>aquafeeds</w:t>
      </w:r>
      <w:r w:rsidR="000B11B3">
        <w:rPr>
          <w:rFonts w:ascii="Times New Roman" w:hAnsi="Times New Roman" w:cs="Times New Roman"/>
        </w:rPr>
        <w:t xml:space="preserve">. Additionally, it is of paramount importance to balance the </w:t>
      </w:r>
      <w:r w:rsidR="00CE1808">
        <w:rPr>
          <w:rFonts w:ascii="Times New Roman" w:hAnsi="Times New Roman" w:cs="Times New Roman"/>
        </w:rPr>
        <w:t xml:space="preserve">need for rigor in these systems </w:t>
      </w:r>
      <w:r w:rsidR="0083791E">
        <w:rPr>
          <w:rFonts w:ascii="Times New Roman" w:hAnsi="Times New Roman" w:cs="Times New Roman"/>
        </w:rPr>
        <w:t xml:space="preserve">that are </w:t>
      </w:r>
      <w:r w:rsidR="00967D4D">
        <w:rPr>
          <w:rFonts w:ascii="Times New Roman" w:hAnsi="Times New Roman" w:cs="Times New Roman"/>
        </w:rPr>
        <w:t>in place</w:t>
      </w:r>
      <w:r w:rsidR="0083791E">
        <w:rPr>
          <w:rFonts w:ascii="Times New Roman" w:hAnsi="Times New Roman" w:cs="Times New Roman"/>
        </w:rPr>
        <w:t xml:space="preserve"> to prevent issues down the line, e.g., safet</w:t>
      </w:r>
      <w:r w:rsidR="00967D4D">
        <w:rPr>
          <w:rFonts w:ascii="Times New Roman" w:hAnsi="Times New Roman" w:cs="Times New Roman"/>
        </w:rPr>
        <w:t xml:space="preserve">y, pathogens, contaminants. </w:t>
      </w:r>
      <w:r w:rsidR="004A13A0">
        <w:rPr>
          <w:rFonts w:ascii="Times New Roman" w:hAnsi="Times New Roman" w:cs="Times New Roman"/>
        </w:rPr>
        <w:t xml:space="preserve">Clean and </w:t>
      </w:r>
      <w:proofErr w:type="spellStart"/>
      <w:r w:rsidR="004A13A0">
        <w:rPr>
          <w:rFonts w:ascii="Times New Roman" w:hAnsi="Times New Roman" w:cs="Times New Roman"/>
        </w:rPr>
        <w:t>biosecure</w:t>
      </w:r>
      <w:proofErr w:type="spellEnd"/>
      <w:r w:rsidR="004A13A0">
        <w:rPr>
          <w:rFonts w:ascii="Times New Roman" w:hAnsi="Times New Roman" w:cs="Times New Roman"/>
        </w:rPr>
        <w:t xml:space="preserve"> sourcing and efficacy is warranted</w:t>
      </w:r>
      <w:r w:rsidR="006415EA">
        <w:rPr>
          <w:rFonts w:ascii="Times New Roman" w:hAnsi="Times New Roman" w:cs="Times New Roman"/>
        </w:rPr>
        <w:t>, including safety and compliance with international standards (FDA</w:t>
      </w:r>
      <w:r w:rsidR="00AA7E31">
        <w:rPr>
          <w:rFonts w:ascii="Times New Roman" w:hAnsi="Times New Roman" w:cs="Times New Roman"/>
        </w:rPr>
        <w:t xml:space="preserve">, </w:t>
      </w:r>
      <w:r w:rsidR="006415EA">
        <w:rPr>
          <w:rFonts w:ascii="Times New Roman" w:hAnsi="Times New Roman" w:cs="Times New Roman"/>
        </w:rPr>
        <w:t>EIFAC, CFIA, DEFRA, and global agencies)</w:t>
      </w:r>
      <w:r w:rsidR="0083791E">
        <w:rPr>
          <w:rFonts w:ascii="Times New Roman" w:hAnsi="Times New Roman" w:cs="Times New Roman"/>
        </w:rPr>
        <w:t xml:space="preserve">. </w:t>
      </w:r>
      <w:r w:rsidRPr="00197B62">
        <w:rPr>
          <w:rFonts w:ascii="Times New Roman" w:hAnsi="Times New Roman" w:cs="Times New Roman"/>
        </w:rPr>
        <w:t xml:space="preserve">This is the opportunity for sustainable and resilient aquaculture, in the face of a changing climate, constantly turbulent economies, and rapidly evolving social dynamics and expectations, to produce healthy and nutritious seafood for all. </w:t>
      </w:r>
    </w:p>
    <w:p w14:paraId="6839B62F" w14:textId="74249E48" w:rsidR="00435A53" w:rsidRDefault="00435A53" w:rsidP="00522623">
      <w:pPr>
        <w:spacing w:line="360" w:lineRule="auto"/>
        <w:contextualSpacing/>
        <w:jc w:val="both"/>
        <w:rPr>
          <w:rFonts w:ascii="Times New Roman" w:hAnsi="Times New Roman" w:cs="Times New Roman"/>
          <w:b/>
          <w:bCs/>
        </w:rPr>
      </w:pPr>
      <w:r w:rsidRPr="00435A53">
        <w:rPr>
          <w:rFonts w:ascii="Times New Roman" w:hAnsi="Times New Roman" w:cs="Times New Roman"/>
          <w:b/>
          <w:bCs/>
        </w:rPr>
        <w:t>Acknowledgements</w:t>
      </w:r>
    </w:p>
    <w:p w14:paraId="0EB497CF" w14:textId="292FC943" w:rsidR="001C3ABD" w:rsidRPr="00825ED2" w:rsidRDefault="00823655" w:rsidP="001C3ABD">
      <w:pPr>
        <w:spacing w:line="360" w:lineRule="auto"/>
        <w:contextualSpacing/>
        <w:rPr>
          <w:rFonts w:ascii="Times New Roman" w:hAnsi="Times New Roman" w:cs="Times New Roman"/>
        </w:rPr>
      </w:pPr>
      <w:r>
        <w:rPr>
          <w:rFonts w:ascii="Times New Roman" w:hAnsi="Times New Roman" w:cs="Times New Roman"/>
        </w:rPr>
        <w:t>S.M. Colombo was supported by the Natural Science and Engineering Council of Canada Discovery Grant</w:t>
      </w:r>
      <w:r w:rsidR="00A63149">
        <w:rPr>
          <w:rFonts w:ascii="Times New Roman" w:hAnsi="Times New Roman" w:cs="Times New Roman"/>
        </w:rPr>
        <w:t xml:space="preserve">. She would also like to thank Zeyu Zhang with assistance in compiling references. </w:t>
      </w:r>
      <w:r w:rsidR="008E4F1D" w:rsidRPr="008E4F1D">
        <w:rPr>
          <w:rFonts w:ascii="Times New Roman" w:hAnsi="Times New Roman" w:cs="Times New Roman"/>
        </w:rPr>
        <w:t xml:space="preserve">Koushik Roy acknowledge the funds NAZV (QK22010177) for scoping alternative feed ingredients and future feeding strategies for Czech aquaculture. </w:t>
      </w:r>
      <w:r w:rsidR="00825ED2">
        <w:rPr>
          <w:rFonts w:ascii="Times New Roman" w:hAnsi="Times New Roman" w:cs="Times New Roman"/>
        </w:rPr>
        <w:t>A.H.L</w:t>
      </w:r>
      <w:r w:rsidR="001C3ABD" w:rsidRPr="00825ED2">
        <w:rPr>
          <w:rFonts w:ascii="Times New Roman" w:hAnsi="Times New Roman" w:cs="Times New Roman"/>
        </w:rPr>
        <w:t xml:space="preserve"> Wan was </w:t>
      </w:r>
      <w:r w:rsidR="009767D8">
        <w:rPr>
          <w:rFonts w:ascii="Times New Roman" w:hAnsi="Times New Roman" w:cs="Times New Roman"/>
        </w:rPr>
        <w:t>co-</w:t>
      </w:r>
      <w:r w:rsidR="001C3ABD" w:rsidRPr="00825ED2">
        <w:rPr>
          <w:rFonts w:ascii="Times New Roman" w:hAnsi="Times New Roman" w:cs="Times New Roman"/>
        </w:rPr>
        <w:t xml:space="preserve">funded under </w:t>
      </w:r>
      <w:r w:rsidR="00A435DE">
        <w:rPr>
          <w:rFonts w:ascii="Times New Roman" w:hAnsi="Times New Roman" w:cs="Times New Roman"/>
        </w:rPr>
        <w:t xml:space="preserve">the Interreg Atlantic Area program </w:t>
      </w:r>
      <w:r w:rsidR="00110F63">
        <w:rPr>
          <w:rFonts w:ascii="Times New Roman" w:hAnsi="Times New Roman" w:cs="Times New Roman"/>
        </w:rPr>
        <w:t xml:space="preserve">through the EAPA_576/2018 NEPTUNUS project and the </w:t>
      </w:r>
      <w:proofErr w:type="spellStart"/>
      <w:r w:rsidR="001C3ABD" w:rsidRPr="00825ED2">
        <w:rPr>
          <w:rFonts w:ascii="Times New Roman" w:hAnsi="Times New Roman" w:cs="Times New Roman"/>
        </w:rPr>
        <w:t>HYDROfish</w:t>
      </w:r>
      <w:proofErr w:type="spellEnd"/>
      <w:r w:rsidR="001C3ABD" w:rsidRPr="00825ED2">
        <w:rPr>
          <w:rFonts w:ascii="Times New Roman" w:hAnsi="Times New Roman" w:cs="Times New Roman"/>
        </w:rPr>
        <w:t xml:space="preserve"> project (2019-2022) which was funded under the Disruptive Technologies Innovation Fund (DTIF), which is a €500 million fund established under Project Ireland 2040, run by the Department of Enterprise Trade and Employment with administrative support from Enterprise Ireland. </w:t>
      </w:r>
    </w:p>
    <w:p w14:paraId="3BD9202D" w14:textId="0CB82090" w:rsidR="006C09C7" w:rsidRDefault="00825ED2" w:rsidP="001C3ABD">
      <w:pPr>
        <w:spacing w:line="360" w:lineRule="auto"/>
        <w:contextualSpacing/>
        <w:rPr>
          <w:rFonts w:ascii="Times New Roman" w:hAnsi="Times New Roman" w:cs="Times New Roman"/>
        </w:rPr>
      </w:pPr>
      <w:r>
        <w:rPr>
          <w:rFonts w:ascii="Times New Roman" w:hAnsi="Times New Roman" w:cs="Times New Roman"/>
        </w:rPr>
        <w:t>M. Overland</w:t>
      </w:r>
      <w:r w:rsidR="001C3ABD" w:rsidRPr="00825ED2">
        <w:rPr>
          <w:rFonts w:ascii="Times New Roman" w:hAnsi="Times New Roman" w:cs="Times New Roman"/>
        </w:rPr>
        <w:t xml:space="preserve"> was supported by Foods of Norway, a Centre for Research-based Innovation (the Research Council of Norway; Grant No. 237841/030).</w:t>
      </w:r>
      <w:r w:rsidR="009767D8">
        <w:rPr>
          <w:rFonts w:ascii="Times New Roman" w:hAnsi="Times New Roman" w:cs="Times New Roman"/>
        </w:rPr>
        <w:t xml:space="preserve"> </w:t>
      </w:r>
    </w:p>
    <w:p w14:paraId="36B8FCB6" w14:textId="77777777" w:rsidR="006C09C7" w:rsidRDefault="006C09C7" w:rsidP="007D272E">
      <w:pPr>
        <w:spacing w:line="360" w:lineRule="auto"/>
        <w:contextualSpacing/>
        <w:rPr>
          <w:rFonts w:ascii="Times New Roman" w:hAnsi="Times New Roman" w:cs="Times New Roman"/>
          <w:b/>
          <w:bCs/>
        </w:rPr>
        <w:sectPr w:rsidR="006C09C7" w:rsidSect="007D272E">
          <w:footerReference w:type="default" r:id="rId10"/>
          <w:pgSz w:w="12240" w:h="15840"/>
          <w:pgMar w:top="1440" w:right="1440" w:bottom="1440" w:left="1440" w:header="708" w:footer="708" w:gutter="0"/>
          <w:lnNumType w:countBy="1" w:restart="continuous"/>
          <w:pgNumType w:start="0"/>
          <w:cols w:space="708"/>
          <w:titlePg/>
          <w:docGrid w:linePitch="360"/>
        </w:sectPr>
      </w:pPr>
    </w:p>
    <w:p w14:paraId="2C51ADDC" w14:textId="378D761F" w:rsidR="006C09C7" w:rsidRDefault="00F61CFE" w:rsidP="001232F7">
      <w:pPr>
        <w:suppressLineNumbers/>
        <w:spacing w:line="360" w:lineRule="auto"/>
        <w:contextualSpacing/>
        <w:rPr>
          <w:rFonts w:ascii="Times New Roman" w:hAnsi="Times New Roman" w:cs="Times New Roman"/>
          <w:b/>
          <w:bCs/>
          <w:sz w:val="28"/>
          <w:szCs w:val="28"/>
        </w:rPr>
      </w:pPr>
      <w:r w:rsidRPr="00F61CFE">
        <w:rPr>
          <w:rFonts w:ascii="Times New Roman" w:hAnsi="Times New Roman" w:cs="Times New Roman"/>
          <w:b/>
          <w:bCs/>
          <w:sz w:val="28"/>
          <w:szCs w:val="28"/>
        </w:rPr>
        <w:t>Tables and Figures</w:t>
      </w:r>
    </w:p>
    <w:p w14:paraId="4EAAFF08" w14:textId="77777777" w:rsidR="00F61CFE" w:rsidRDefault="00F61CFE" w:rsidP="00F61CFE">
      <w:pPr>
        <w:suppressLineNumbers/>
        <w:spacing w:line="276" w:lineRule="auto"/>
        <w:jc w:val="both"/>
        <w:rPr>
          <w:rFonts w:ascii="Times New Roman" w:hAnsi="Times New Roman" w:cs="Times New Roman"/>
          <w:b/>
          <w:bCs/>
        </w:rPr>
      </w:pPr>
    </w:p>
    <w:p w14:paraId="1D5C4F53" w14:textId="02428C62" w:rsidR="00F61CFE" w:rsidRDefault="00F61CFE" w:rsidP="00F61CFE">
      <w:pPr>
        <w:suppressLineNumbers/>
        <w:spacing w:line="276" w:lineRule="auto"/>
        <w:jc w:val="both"/>
        <w:rPr>
          <w:rFonts w:ascii="Times New Roman" w:hAnsi="Times New Roman" w:cs="Times New Roman"/>
          <w:b/>
          <w:bCs/>
        </w:rPr>
      </w:pPr>
      <w:r w:rsidRPr="00332246">
        <w:rPr>
          <w:rFonts w:ascii="Times New Roman" w:hAnsi="Times New Roman" w:cs="Times New Roman"/>
          <w:b/>
          <w:bCs/>
        </w:rPr>
        <w:t xml:space="preserve">Table 1 </w:t>
      </w:r>
      <w:r w:rsidRPr="00876E7F">
        <w:rPr>
          <w:rFonts w:ascii="Times New Roman" w:hAnsi="Times New Roman" w:cs="Times New Roman"/>
        </w:rPr>
        <w:t xml:space="preserve">Points in future </w:t>
      </w:r>
      <w:r w:rsidR="0059651D">
        <w:rPr>
          <w:rFonts w:ascii="Times New Roman" w:hAnsi="Times New Roman" w:cs="Times New Roman"/>
        </w:rPr>
        <w:t>Circular Bioeconomy Framework (</w:t>
      </w:r>
      <w:r w:rsidRPr="00876E7F">
        <w:rPr>
          <w:rFonts w:ascii="Times New Roman" w:hAnsi="Times New Roman" w:cs="Times New Roman"/>
        </w:rPr>
        <w:t>CBF</w:t>
      </w:r>
      <w:r w:rsidR="0059651D">
        <w:rPr>
          <w:rFonts w:ascii="Times New Roman" w:hAnsi="Times New Roman" w:cs="Times New Roman"/>
        </w:rPr>
        <w:t>)</w:t>
      </w:r>
      <w:r w:rsidRPr="00876E7F">
        <w:rPr>
          <w:rFonts w:ascii="Times New Roman" w:hAnsi="Times New Roman" w:cs="Times New Roman"/>
        </w:rPr>
        <w:t xml:space="preserve"> of food systems which could contribute to </w:t>
      </w:r>
      <w:r w:rsidR="006F5768">
        <w:rPr>
          <w:rFonts w:ascii="Times New Roman" w:hAnsi="Times New Roman" w:cs="Times New Roman"/>
        </w:rPr>
        <w:t>A</w:t>
      </w:r>
      <w:r w:rsidRPr="00876E7F">
        <w:rPr>
          <w:rFonts w:ascii="Times New Roman" w:hAnsi="Times New Roman" w:cs="Times New Roman"/>
        </w:rPr>
        <w:t>quafeed 3.0.</w:t>
      </w:r>
    </w:p>
    <w:tbl>
      <w:tblPr>
        <w:tblStyle w:val="TableGrid"/>
        <w:tblW w:w="0" w:type="auto"/>
        <w:tblLook w:val="04A0" w:firstRow="1" w:lastRow="0" w:firstColumn="1" w:lastColumn="0" w:noHBand="0" w:noVBand="1"/>
      </w:tblPr>
      <w:tblGrid>
        <w:gridCol w:w="4991"/>
        <w:gridCol w:w="7959"/>
      </w:tblGrid>
      <w:tr w:rsidR="00D8050F" w14:paraId="354BB551" w14:textId="77777777" w:rsidTr="00E26727">
        <w:tc>
          <w:tcPr>
            <w:tcW w:w="0" w:type="auto"/>
          </w:tcPr>
          <w:p w14:paraId="795BDE31" w14:textId="77777777" w:rsidR="00F61CFE" w:rsidRDefault="00F61CFE" w:rsidP="00E26727">
            <w:pPr>
              <w:spacing w:line="276" w:lineRule="auto"/>
              <w:jc w:val="center"/>
              <w:rPr>
                <w:rFonts w:ascii="Times New Roman" w:hAnsi="Times New Roman" w:cs="Times New Roman"/>
                <w:b/>
                <w:bCs/>
              </w:rPr>
            </w:pPr>
            <w:r>
              <w:rPr>
                <w:rFonts w:ascii="Times New Roman" w:hAnsi="Times New Roman" w:cs="Times New Roman"/>
                <w:b/>
                <w:bCs/>
              </w:rPr>
              <w:t>Point</w:t>
            </w:r>
          </w:p>
        </w:tc>
        <w:tc>
          <w:tcPr>
            <w:tcW w:w="0" w:type="auto"/>
          </w:tcPr>
          <w:p w14:paraId="54680319" w14:textId="77777777" w:rsidR="00F61CFE" w:rsidRDefault="00F61CFE" w:rsidP="00E26727">
            <w:pPr>
              <w:spacing w:line="276" w:lineRule="auto"/>
              <w:jc w:val="center"/>
              <w:rPr>
                <w:rFonts w:ascii="Times New Roman" w:hAnsi="Times New Roman" w:cs="Times New Roman"/>
                <w:b/>
                <w:bCs/>
              </w:rPr>
            </w:pPr>
            <w:r>
              <w:rPr>
                <w:rFonts w:ascii="Times New Roman" w:hAnsi="Times New Roman" w:cs="Times New Roman"/>
                <w:b/>
                <w:bCs/>
              </w:rPr>
              <w:t>Possible paths</w:t>
            </w:r>
          </w:p>
        </w:tc>
      </w:tr>
      <w:tr w:rsidR="00D8050F" w14:paraId="7F1299CE" w14:textId="77777777" w:rsidTr="00E26727">
        <w:tc>
          <w:tcPr>
            <w:tcW w:w="0" w:type="auto"/>
            <w:vMerge w:val="restart"/>
          </w:tcPr>
          <w:p w14:paraId="3477B919" w14:textId="77777777" w:rsidR="00F61CFE" w:rsidRPr="00D74C14" w:rsidRDefault="00F61CFE" w:rsidP="00E26727">
            <w:pPr>
              <w:spacing w:line="276" w:lineRule="auto"/>
              <w:rPr>
                <w:rFonts w:ascii="Times New Roman" w:hAnsi="Times New Roman" w:cs="Times New Roman"/>
              </w:rPr>
            </w:pPr>
            <w:r>
              <w:rPr>
                <w:rFonts w:ascii="Times New Roman" w:hAnsi="Times New Roman" w:cs="Times New Roman"/>
              </w:rPr>
              <w:t>W</w:t>
            </w:r>
            <w:r w:rsidRPr="00D74C14">
              <w:rPr>
                <w:rFonts w:ascii="Times New Roman" w:hAnsi="Times New Roman" w:cs="Times New Roman"/>
              </w:rPr>
              <w:t>aste valorization within the food system</w:t>
            </w:r>
            <w:r>
              <w:rPr>
                <w:rFonts w:ascii="Times New Roman" w:hAnsi="Times New Roman" w:cs="Times New Roman"/>
              </w:rPr>
              <w:t xml:space="preserve"> and “up to farm”.</w:t>
            </w:r>
          </w:p>
        </w:tc>
        <w:tc>
          <w:tcPr>
            <w:tcW w:w="0" w:type="auto"/>
          </w:tcPr>
          <w:p w14:paraId="7004B14C" w14:textId="2C670CF7" w:rsidR="00F61CFE" w:rsidRPr="000F2C44" w:rsidRDefault="00F61CFE" w:rsidP="00E26727">
            <w:pPr>
              <w:spacing w:line="276" w:lineRule="auto"/>
              <w:rPr>
                <w:rFonts w:ascii="Times New Roman" w:hAnsi="Times New Roman" w:cs="Times New Roman"/>
              </w:rPr>
            </w:pPr>
            <w:r w:rsidRPr="000F2C44">
              <w:rPr>
                <w:rFonts w:ascii="Times New Roman" w:hAnsi="Times New Roman" w:cs="Times New Roman"/>
              </w:rPr>
              <w:t>Re-use</w:t>
            </w:r>
            <w:r>
              <w:rPr>
                <w:rFonts w:ascii="Times New Roman" w:hAnsi="Times New Roman" w:cs="Times New Roman"/>
              </w:rPr>
              <w:t xml:space="preserve"> (or, re-manufacture)</w:t>
            </w:r>
            <w:r w:rsidRPr="000F2C44">
              <w:rPr>
                <w:rFonts w:ascii="Times New Roman" w:hAnsi="Times New Roman" w:cs="Times New Roman"/>
              </w:rPr>
              <w:t xml:space="preserve"> of by-products</w:t>
            </w:r>
            <w:r>
              <w:rPr>
                <w:rFonts w:ascii="Times New Roman" w:hAnsi="Times New Roman" w:cs="Times New Roman"/>
              </w:rPr>
              <w:t xml:space="preserve"> </w:t>
            </w:r>
            <w:r w:rsidRPr="000F2C44">
              <w:rPr>
                <w:rFonts w:ascii="Times New Roman" w:hAnsi="Times New Roman" w:cs="Times New Roman"/>
              </w:rPr>
              <w:t>from agriculture, livestock, forestry, and aquaculture</w:t>
            </w:r>
            <w:r>
              <w:rPr>
                <w:rFonts w:ascii="Times New Roman" w:hAnsi="Times New Roman" w:cs="Times New Roman"/>
              </w:rPr>
              <w:t xml:space="preserve"> farms.</w:t>
            </w:r>
          </w:p>
        </w:tc>
      </w:tr>
      <w:tr w:rsidR="00D8050F" w14:paraId="729BE148" w14:textId="77777777" w:rsidTr="00E26727">
        <w:tc>
          <w:tcPr>
            <w:tcW w:w="0" w:type="auto"/>
            <w:vMerge/>
          </w:tcPr>
          <w:p w14:paraId="07A374F1" w14:textId="77777777" w:rsidR="00F61CFE" w:rsidRDefault="00F61CFE" w:rsidP="00E26727">
            <w:pPr>
              <w:spacing w:line="276" w:lineRule="auto"/>
              <w:jc w:val="both"/>
              <w:rPr>
                <w:rFonts w:ascii="Times New Roman" w:hAnsi="Times New Roman" w:cs="Times New Roman"/>
              </w:rPr>
            </w:pPr>
          </w:p>
        </w:tc>
        <w:tc>
          <w:tcPr>
            <w:tcW w:w="0" w:type="auto"/>
          </w:tcPr>
          <w:p w14:paraId="24C9F3D4" w14:textId="77777777" w:rsidR="00F61CFE" w:rsidRPr="000F2C44" w:rsidRDefault="00F61CFE" w:rsidP="00E26727">
            <w:pPr>
              <w:spacing w:line="276" w:lineRule="auto"/>
              <w:jc w:val="both"/>
              <w:rPr>
                <w:rFonts w:ascii="Times New Roman" w:hAnsi="Times New Roman" w:cs="Times New Roman"/>
              </w:rPr>
            </w:pPr>
            <w:r>
              <w:rPr>
                <w:rFonts w:ascii="Times New Roman" w:hAnsi="Times New Roman" w:cs="Times New Roman"/>
              </w:rPr>
              <w:t xml:space="preserve">Sourcing feedstuffs from </w:t>
            </w:r>
            <w:r w:rsidRPr="000F2C44">
              <w:rPr>
                <w:rFonts w:ascii="Times New Roman" w:hAnsi="Times New Roman" w:cs="Times New Roman"/>
              </w:rPr>
              <w:t xml:space="preserve">private </w:t>
            </w:r>
            <w:r>
              <w:rPr>
                <w:rFonts w:ascii="Times New Roman" w:hAnsi="Times New Roman" w:cs="Times New Roman"/>
              </w:rPr>
              <w:t xml:space="preserve">brewery, </w:t>
            </w:r>
            <w:r w:rsidRPr="000F2C44">
              <w:rPr>
                <w:rFonts w:ascii="Times New Roman" w:hAnsi="Times New Roman" w:cs="Times New Roman"/>
              </w:rPr>
              <w:t>bio-refinery</w:t>
            </w:r>
            <w:r>
              <w:rPr>
                <w:rFonts w:ascii="Times New Roman" w:hAnsi="Times New Roman" w:cs="Times New Roman"/>
              </w:rPr>
              <w:t xml:space="preserve">, </w:t>
            </w:r>
            <w:r w:rsidRPr="000F2C44">
              <w:rPr>
                <w:rFonts w:ascii="Times New Roman" w:hAnsi="Times New Roman" w:cs="Times New Roman"/>
              </w:rPr>
              <w:t>vermicomposting</w:t>
            </w:r>
            <w:r>
              <w:rPr>
                <w:rFonts w:ascii="Times New Roman" w:hAnsi="Times New Roman" w:cs="Times New Roman"/>
              </w:rPr>
              <w:t xml:space="preserve">, insect cultivation, </w:t>
            </w:r>
            <w:r w:rsidRPr="000F2C44">
              <w:rPr>
                <w:rFonts w:ascii="Times New Roman" w:hAnsi="Times New Roman" w:cs="Times New Roman"/>
              </w:rPr>
              <w:t>biofuel farms</w:t>
            </w:r>
            <w:r>
              <w:rPr>
                <w:rFonts w:ascii="Times New Roman" w:hAnsi="Times New Roman" w:cs="Times New Roman"/>
              </w:rPr>
              <w:t xml:space="preserve"> or retail chain food wastes</w:t>
            </w:r>
            <w:r w:rsidRPr="000F2C44">
              <w:rPr>
                <w:rFonts w:ascii="Times New Roman" w:hAnsi="Times New Roman" w:cs="Times New Roman"/>
              </w:rPr>
              <w:t xml:space="preserve"> </w:t>
            </w:r>
            <w:r>
              <w:rPr>
                <w:rFonts w:ascii="Times New Roman" w:hAnsi="Times New Roman" w:cs="Times New Roman"/>
              </w:rPr>
              <w:t>which valorize wastes from any or all components of food systems.</w:t>
            </w:r>
          </w:p>
        </w:tc>
      </w:tr>
      <w:tr w:rsidR="00D8050F" w14:paraId="4D209461" w14:textId="77777777" w:rsidTr="00E26727">
        <w:tc>
          <w:tcPr>
            <w:tcW w:w="0" w:type="auto"/>
            <w:vMerge w:val="restart"/>
          </w:tcPr>
          <w:p w14:paraId="611E7C1E" w14:textId="0F5A8F9A" w:rsidR="00F61CFE" w:rsidRPr="004B613A" w:rsidRDefault="00F61CFE" w:rsidP="00E26727">
            <w:pPr>
              <w:spacing w:line="276" w:lineRule="auto"/>
              <w:rPr>
                <w:rFonts w:ascii="Times New Roman" w:hAnsi="Times New Roman" w:cs="Times New Roman"/>
              </w:rPr>
            </w:pPr>
            <w:r>
              <w:rPr>
                <w:rFonts w:ascii="Times New Roman" w:hAnsi="Times New Roman" w:cs="Times New Roman"/>
              </w:rPr>
              <w:t>Preventing</w:t>
            </w:r>
            <w:r w:rsidRPr="004B613A">
              <w:rPr>
                <w:rFonts w:ascii="Times New Roman" w:hAnsi="Times New Roman" w:cs="Times New Roman"/>
              </w:rPr>
              <w:t xml:space="preserve"> losses “from farm to fork”</w:t>
            </w:r>
            <w:r w:rsidR="00D8050F">
              <w:rPr>
                <w:rFonts w:ascii="Times New Roman" w:hAnsi="Times New Roman" w:cs="Times New Roman"/>
              </w:rPr>
              <w:t xml:space="preserve"> by increasing utilization of non-food resources in production of </w:t>
            </w:r>
            <w:proofErr w:type="gramStart"/>
            <w:r w:rsidR="00D8050F">
              <w:rPr>
                <w:rFonts w:ascii="Times New Roman" w:hAnsi="Times New Roman" w:cs="Times New Roman"/>
              </w:rPr>
              <w:t>high quality</w:t>
            </w:r>
            <w:proofErr w:type="gramEnd"/>
            <w:r w:rsidR="00D8050F">
              <w:rPr>
                <w:rFonts w:ascii="Times New Roman" w:hAnsi="Times New Roman" w:cs="Times New Roman"/>
              </w:rPr>
              <w:t xml:space="preserve"> seafood</w:t>
            </w:r>
            <w:r w:rsidRPr="004B613A">
              <w:rPr>
                <w:rFonts w:ascii="Times New Roman" w:hAnsi="Times New Roman" w:cs="Times New Roman"/>
              </w:rPr>
              <w:t xml:space="preserve"> </w:t>
            </w:r>
          </w:p>
        </w:tc>
        <w:tc>
          <w:tcPr>
            <w:tcW w:w="0" w:type="auto"/>
          </w:tcPr>
          <w:p w14:paraId="698C7991" w14:textId="77777777" w:rsidR="00F61CFE" w:rsidRPr="00A62EA0" w:rsidRDefault="00F61CFE" w:rsidP="00E26727">
            <w:pPr>
              <w:spacing w:line="276" w:lineRule="auto"/>
              <w:jc w:val="both"/>
              <w:rPr>
                <w:rFonts w:ascii="Times New Roman" w:hAnsi="Times New Roman" w:cs="Times New Roman"/>
              </w:rPr>
            </w:pPr>
            <w:r>
              <w:rPr>
                <w:rFonts w:ascii="Times New Roman" w:hAnsi="Times New Roman" w:cs="Times New Roman"/>
              </w:rPr>
              <w:t>L</w:t>
            </w:r>
            <w:r w:rsidRPr="00A62EA0">
              <w:rPr>
                <w:rFonts w:ascii="Times New Roman" w:hAnsi="Times New Roman" w:cs="Times New Roman"/>
              </w:rPr>
              <w:t>ow-cost value-added products</w:t>
            </w:r>
            <w:r>
              <w:rPr>
                <w:rFonts w:ascii="Times New Roman" w:hAnsi="Times New Roman" w:cs="Times New Roman"/>
              </w:rPr>
              <w:t xml:space="preserve"> from fish, livestock slaughter-house discards, culinary industries for the aquafeed industry.</w:t>
            </w:r>
          </w:p>
        </w:tc>
      </w:tr>
      <w:tr w:rsidR="00D8050F" w14:paraId="294478BB" w14:textId="77777777" w:rsidTr="00E26727">
        <w:tc>
          <w:tcPr>
            <w:tcW w:w="0" w:type="auto"/>
            <w:vMerge/>
          </w:tcPr>
          <w:p w14:paraId="75E92BDF" w14:textId="77777777" w:rsidR="00F61CFE" w:rsidRDefault="00F61CFE" w:rsidP="00E26727">
            <w:pPr>
              <w:spacing w:line="276" w:lineRule="auto"/>
              <w:jc w:val="both"/>
              <w:rPr>
                <w:rFonts w:ascii="Times New Roman" w:hAnsi="Times New Roman" w:cs="Times New Roman"/>
                <w:b/>
                <w:bCs/>
              </w:rPr>
            </w:pPr>
          </w:p>
        </w:tc>
        <w:tc>
          <w:tcPr>
            <w:tcW w:w="0" w:type="auto"/>
          </w:tcPr>
          <w:p w14:paraId="0D44F3AA" w14:textId="77777777" w:rsidR="00F61CFE" w:rsidRPr="00A62EA0" w:rsidRDefault="00F61CFE" w:rsidP="00E26727">
            <w:pPr>
              <w:spacing w:line="276" w:lineRule="auto"/>
              <w:jc w:val="both"/>
              <w:rPr>
                <w:rFonts w:ascii="Times New Roman" w:hAnsi="Times New Roman" w:cs="Times New Roman"/>
              </w:rPr>
            </w:pPr>
            <w:r>
              <w:rPr>
                <w:rFonts w:ascii="Times New Roman" w:hAnsi="Times New Roman" w:cs="Times New Roman"/>
              </w:rPr>
              <w:t>T</w:t>
            </w:r>
            <w:r w:rsidRPr="005B08A7">
              <w:rPr>
                <w:rFonts w:ascii="Times New Roman" w:hAnsi="Times New Roman" w:cs="Times New Roman"/>
              </w:rPr>
              <w:t xml:space="preserve">argeting high value molecules/ bioactive compounds from </w:t>
            </w:r>
            <w:r>
              <w:rPr>
                <w:rFonts w:ascii="Times New Roman" w:hAnsi="Times New Roman" w:cs="Times New Roman"/>
              </w:rPr>
              <w:t>bio-</w:t>
            </w:r>
            <w:r w:rsidRPr="005B08A7">
              <w:rPr>
                <w:rFonts w:ascii="Times New Roman" w:hAnsi="Times New Roman" w:cs="Times New Roman"/>
              </w:rPr>
              <w:t>wastes</w:t>
            </w:r>
            <w:r>
              <w:rPr>
                <w:rFonts w:ascii="Times New Roman" w:hAnsi="Times New Roman" w:cs="Times New Roman"/>
              </w:rPr>
              <w:t xml:space="preserve"> and re-integration with aquafeed industry</w:t>
            </w:r>
          </w:p>
        </w:tc>
      </w:tr>
      <w:tr w:rsidR="00D8050F" w14:paraId="02A92CF1" w14:textId="77777777" w:rsidTr="00E26727">
        <w:tc>
          <w:tcPr>
            <w:tcW w:w="0" w:type="auto"/>
            <w:vMerge w:val="restart"/>
          </w:tcPr>
          <w:p w14:paraId="42D86BB6" w14:textId="77777777" w:rsidR="00F61CFE" w:rsidRPr="000E6189" w:rsidRDefault="00F61CFE" w:rsidP="00E26727">
            <w:pPr>
              <w:spacing w:line="276" w:lineRule="auto"/>
              <w:rPr>
                <w:rFonts w:ascii="Times New Roman" w:hAnsi="Times New Roman" w:cs="Times New Roman"/>
                <w:i/>
                <w:iCs/>
              </w:rPr>
            </w:pPr>
            <w:r w:rsidRPr="000E6189">
              <w:rPr>
                <w:rFonts w:ascii="Times New Roman" w:hAnsi="Times New Roman" w:cs="Times New Roman"/>
              </w:rPr>
              <w:t>Optimizing resource use efficiency</w:t>
            </w:r>
            <w:r>
              <w:rPr>
                <w:rFonts w:ascii="Times New Roman" w:hAnsi="Times New Roman" w:cs="Times New Roman"/>
              </w:rPr>
              <w:t xml:space="preserve"> </w:t>
            </w:r>
            <w:r>
              <w:rPr>
                <w:rFonts w:ascii="Times New Roman" w:hAnsi="Times New Roman" w:cs="Times New Roman"/>
                <w:i/>
                <w:iCs/>
              </w:rPr>
              <w:t>in-situ</w:t>
            </w:r>
          </w:p>
        </w:tc>
        <w:tc>
          <w:tcPr>
            <w:tcW w:w="0" w:type="auto"/>
          </w:tcPr>
          <w:p w14:paraId="03A8ED6D" w14:textId="77777777" w:rsidR="00F61CFE" w:rsidRPr="0071744C" w:rsidRDefault="00F61CFE" w:rsidP="00E26727">
            <w:pPr>
              <w:spacing w:line="276" w:lineRule="auto"/>
              <w:jc w:val="both"/>
              <w:rPr>
                <w:rFonts w:ascii="Times New Roman" w:hAnsi="Times New Roman" w:cs="Times New Roman"/>
              </w:rPr>
            </w:pPr>
            <w:r>
              <w:rPr>
                <w:rFonts w:ascii="Times New Roman" w:hAnsi="Times New Roman" w:cs="Times New Roman"/>
              </w:rPr>
              <w:t>Live food generation by integrating trophic ecology, farm ecology, food web or multi-trophic culture, plankton ecology group model concepts.</w:t>
            </w:r>
          </w:p>
        </w:tc>
      </w:tr>
      <w:tr w:rsidR="00D8050F" w14:paraId="5DFC4260" w14:textId="77777777" w:rsidTr="00E26727">
        <w:tc>
          <w:tcPr>
            <w:tcW w:w="0" w:type="auto"/>
            <w:vMerge/>
          </w:tcPr>
          <w:p w14:paraId="2F2DD1D3" w14:textId="77777777" w:rsidR="00F61CFE" w:rsidRPr="000E6189" w:rsidRDefault="00F61CFE" w:rsidP="00E26727">
            <w:pPr>
              <w:spacing w:line="276" w:lineRule="auto"/>
              <w:rPr>
                <w:rFonts w:ascii="Times New Roman" w:hAnsi="Times New Roman" w:cs="Times New Roman"/>
              </w:rPr>
            </w:pPr>
          </w:p>
        </w:tc>
        <w:tc>
          <w:tcPr>
            <w:tcW w:w="0" w:type="auto"/>
          </w:tcPr>
          <w:p w14:paraId="0BD74EF2" w14:textId="77777777" w:rsidR="00F61CFE" w:rsidRDefault="00F61CFE" w:rsidP="00E26727">
            <w:pPr>
              <w:spacing w:line="276" w:lineRule="auto"/>
              <w:jc w:val="both"/>
              <w:rPr>
                <w:rFonts w:ascii="Times New Roman" w:hAnsi="Times New Roman" w:cs="Times New Roman"/>
              </w:rPr>
            </w:pPr>
            <w:r>
              <w:rPr>
                <w:rFonts w:ascii="Times New Roman" w:hAnsi="Times New Roman" w:cs="Times New Roman"/>
              </w:rPr>
              <w:t>Farming of aquatic species at low trophic levels. For aquatic species at higher trophic levels, implementation of forage-fish based culture practices.</w:t>
            </w:r>
          </w:p>
        </w:tc>
      </w:tr>
      <w:tr w:rsidR="00D8050F" w14:paraId="5D2AD0BF" w14:textId="77777777" w:rsidTr="00E26727">
        <w:tc>
          <w:tcPr>
            <w:tcW w:w="0" w:type="auto"/>
            <w:vMerge w:val="restart"/>
          </w:tcPr>
          <w:p w14:paraId="318B3A03" w14:textId="77777777" w:rsidR="00F61CFE" w:rsidRPr="0071744C" w:rsidRDefault="00F61CFE" w:rsidP="00E26727">
            <w:pPr>
              <w:spacing w:line="276" w:lineRule="auto"/>
              <w:rPr>
                <w:rFonts w:ascii="Times New Roman" w:hAnsi="Times New Roman" w:cs="Times New Roman"/>
                <w:i/>
                <w:iCs/>
              </w:rPr>
            </w:pPr>
            <w:r>
              <w:rPr>
                <w:rFonts w:ascii="Times New Roman" w:hAnsi="Times New Roman" w:cs="Times New Roman"/>
              </w:rPr>
              <w:t xml:space="preserve">Optimizing resource use efficiency </w:t>
            </w:r>
            <w:r>
              <w:rPr>
                <w:rFonts w:ascii="Times New Roman" w:hAnsi="Times New Roman" w:cs="Times New Roman"/>
                <w:i/>
                <w:iCs/>
              </w:rPr>
              <w:t>in-vivo</w:t>
            </w:r>
          </w:p>
        </w:tc>
        <w:tc>
          <w:tcPr>
            <w:tcW w:w="0" w:type="auto"/>
          </w:tcPr>
          <w:p w14:paraId="453D5676" w14:textId="77777777" w:rsidR="00F61CFE" w:rsidRDefault="00F61CFE" w:rsidP="00E26727">
            <w:pPr>
              <w:spacing w:line="276" w:lineRule="auto"/>
              <w:jc w:val="both"/>
              <w:rPr>
                <w:rFonts w:ascii="Times New Roman" w:hAnsi="Times New Roman" w:cs="Times New Roman"/>
                <w:b/>
                <w:bCs/>
              </w:rPr>
            </w:pPr>
            <w:r w:rsidRPr="0071744C">
              <w:rPr>
                <w:rFonts w:ascii="Times New Roman" w:hAnsi="Times New Roman" w:cs="Times New Roman"/>
              </w:rPr>
              <w:t xml:space="preserve">Identifying some locally available, circular origin feedstuffs which are data deficient, and their evaluation based on discussion with </w:t>
            </w:r>
            <w:r>
              <w:rPr>
                <w:rFonts w:ascii="Times New Roman" w:hAnsi="Times New Roman" w:cs="Times New Roman"/>
              </w:rPr>
              <w:t xml:space="preserve">aquafeed industry </w:t>
            </w:r>
            <w:r w:rsidRPr="0071744C">
              <w:rPr>
                <w:rFonts w:ascii="Times New Roman" w:hAnsi="Times New Roman" w:cs="Times New Roman"/>
              </w:rPr>
              <w:t>stakeholders</w:t>
            </w:r>
            <w:r>
              <w:rPr>
                <w:rFonts w:ascii="Times New Roman" w:hAnsi="Times New Roman" w:cs="Times New Roman"/>
              </w:rPr>
              <w:t>.</w:t>
            </w:r>
          </w:p>
        </w:tc>
      </w:tr>
      <w:tr w:rsidR="00D8050F" w14:paraId="1061804F" w14:textId="77777777" w:rsidTr="00E26727">
        <w:tc>
          <w:tcPr>
            <w:tcW w:w="0" w:type="auto"/>
            <w:vMerge/>
          </w:tcPr>
          <w:p w14:paraId="4E970E18" w14:textId="77777777" w:rsidR="00F61CFE" w:rsidRDefault="00F61CFE" w:rsidP="00E26727">
            <w:pPr>
              <w:spacing w:line="276" w:lineRule="auto"/>
              <w:jc w:val="both"/>
              <w:rPr>
                <w:rFonts w:ascii="Times New Roman" w:hAnsi="Times New Roman" w:cs="Times New Roman"/>
                <w:b/>
                <w:bCs/>
              </w:rPr>
            </w:pPr>
          </w:p>
        </w:tc>
        <w:tc>
          <w:tcPr>
            <w:tcW w:w="0" w:type="auto"/>
          </w:tcPr>
          <w:p w14:paraId="14049F57" w14:textId="77777777" w:rsidR="00F61CFE" w:rsidRDefault="00F61CFE" w:rsidP="00E26727">
            <w:pPr>
              <w:spacing w:line="276" w:lineRule="auto"/>
              <w:jc w:val="both"/>
              <w:rPr>
                <w:rFonts w:ascii="Times New Roman" w:hAnsi="Times New Roman" w:cs="Times New Roman"/>
                <w:b/>
                <w:bCs/>
              </w:rPr>
            </w:pPr>
            <w:r w:rsidRPr="0071744C">
              <w:rPr>
                <w:rFonts w:ascii="Times New Roman" w:hAnsi="Times New Roman" w:cs="Times New Roman"/>
              </w:rPr>
              <w:t xml:space="preserve">Identifying feedstuffs, formulations derived from wastes that could complement and possibly lower the usage of </w:t>
            </w:r>
            <w:r>
              <w:rPr>
                <w:rFonts w:ascii="Times New Roman" w:hAnsi="Times New Roman" w:cs="Times New Roman"/>
              </w:rPr>
              <w:t>present feedstuffs having high pressures on arable land, water, and biodiversity.</w:t>
            </w:r>
          </w:p>
        </w:tc>
      </w:tr>
    </w:tbl>
    <w:p w14:paraId="078416EB" w14:textId="68A76E89" w:rsidR="00F61CFE" w:rsidRDefault="00F61CFE" w:rsidP="00F61CFE">
      <w:pPr>
        <w:suppressLineNumbers/>
        <w:spacing w:line="276" w:lineRule="auto"/>
        <w:jc w:val="both"/>
        <w:rPr>
          <w:rFonts w:ascii="Times New Roman" w:hAnsi="Times New Roman" w:cs="Times New Roman"/>
          <w:b/>
          <w:bCs/>
        </w:rPr>
      </w:pPr>
    </w:p>
    <w:p w14:paraId="7A48634B" w14:textId="4616392B" w:rsidR="00F61CFE" w:rsidRDefault="00F61CFE" w:rsidP="00F61CFE">
      <w:pPr>
        <w:suppressLineNumbers/>
        <w:spacing w:line="276" w:lineRule="auto"/>
        <w:jc w:val="both"/>
        <w:rPr>
          <w:rFonts w:ascii="Times New Roman" w:hAnsi="Times New Roman" w:cs="Times New Roman"/>
          <w:b/>
          <w:bCs/>
        </w:rPr>
      </w:pPr>
    </w:p>
    <w:p w14:paraId="5D9C0973" w14:textId="46237105" w:rsidR="00F61CFE" w:rsidRDefault="00F61CFE" w:rsidP="00F61CFE">
      <w:pPr>
        <w:suppressLineNumbers/>
        <w:spacing w:line="276" w:lineRule="auto"/>
        <w:jc w:val="both"/>
        <w:rPr>
          <w:rFonts w:ascii="Times New Roman" w:hAnsi="Times New Roman" w:cs="Times New Roman"/>
          <w:b/>
          <w:bCs/>
        </w:rPr>
      </w:pPr>
    </w:p>
    <w:p w14:paraId="58B3AA67" w14:textId="7F9D063C" w:rsidR="00F61CFE" w:rsidRDefault="00F61CFE" w:rsidP="00F61CFE">
      <w:pPr>
        <w:suppressLineNumbers/>
        <w:spacing w:line="276" w:lineRule="auto"/>
        <w:jc w:val="both"/>
        <w:rPr>
          <w:rFonts w:ascii="Times New Roman" w:hAnsi="Times New Roman" w:cs="Times New Roman"/>
          <w:b/>
          <w:bCs/>
        </w:rPr>
      </w:pPr>
    </w:p>
    <w:p w14:paraId="46051D50" w14:textId="4D426718" w:rsidR="00F61CFE" w:rsidRDefault="00F61CFE" w:rsidP="00F61CFE">
      <w:pPr>
        <w:suppressLineNumbers/>
        <w:spacing w:line="276" w:lineRule="auto"/>
        <w:jc w:val="both"/>
        <w:rPr>
          <w:rFonts w:ascii="Times New Roman" w:hAnsi="Times New Roman" w:cs="Times New Roman"/>
          <w:b/>
          <w:bCs/>
        </w:rPr>
      </w:pPr>
    </w:p>
    <w:p w14:paraId="0779E62E" w14:textId="6A8019BF" w:rsidR="00F61CFE" w:rsidRDefault="00F61CFE" w:rsidP="00F61CFE">
      <w:pPr>
        <w:suppressLineNumbers/>
        <w:spacing w:line="276" w:lineRule="auto"/>
        <w:jc w:val="both"/>
        <w:rPr>
          <w:rFonts w:ascii="Times New Roman" w:hAnsi="Times New Roman" w:cs="Times New Roman"/>
          <w:b/>
          <w:bCs/>
        </w:rPr>
      </w:pPr>
    </w:p>
    <w:p w14:paraId="4F68A694" w14:textId="7CCB4EB5" w:rsidR="00F61CFE" w:rsidRDefault="00F61CFE" w:rsidP="00F61CFE">
      <w:pPr>
        <w:suppressLineNumbers/>
        <w:spacing w:line="276" w:lineRule="auto"/>
        <w:jc w:val="both"/>
        <w:rPr>
          <w:rFonts w:ascii="Times New Roman" w:hAnsi="Times New Roman" w:cs="Times New Roman"/>
          <w:b/>
          <w:bCs/>
        </w:rPr>
      </w:pPr>
    </w:p>
    <w:p w14:paraId="723D00BD" w14:textId="77777777" w:rsidR="00876E7F" w:rsidRDefault="00876E7F" w:rsidP="00E7556F">
      <w:pPr>
        <w:spacing w:line="276" w:lineRule="auto"/>
        <w:jc w:val="both"/>
        <w:rPr>
          <w:rFonts w:ascii="Times New Roman" w:hAnsi="Times New Roman" w:cs="Times New Roman"/>
          <w:b/>
          <w:bCs/>
        </w:rPr>
        <w:sectPr w:rsidR="00876E7F" w:rsidSect="00E26727">
          <w:pgSz w:w="15840" w:h="12240" w:orient="landscape"/>
          <w:pgMar w:top="1440" w:right="1440" w:bottom="1440" w:left="1440" w:header="708" w:footer="708" w:gutter="0"/>
          <w:cols w:space="708"/>
          <w:docGrid w:linePitch="360"/>
        </w:sectPr>
      </w:pPr>
    </w:p>
    <w:p w14:paraId="53BA08F7" w14:textId="336116A0" w:rsidR="00E7556F" w:rsidRPr="00876E7F" w:rsidRDefault="00E7556F" w:rsidP="00B41942">
      <w:pPr>
        <w:suppressLineNumbers/>
        <w:spacing w:line="276" w:lineRule="auto"/>
        <w:jc w:val="both"/>
        <w:rPr>
          <w:rFonts w:ascii="Times New Roman" w:hAnsi="Times New Roman" w:cs="Times New Roman"/>
          <w:b/>
          <w:bCs/>
        </w:rPr>
      </w:pPr>
      <w:r w:rsidRPr="00D65D91">
        <w:rPr>
          <w:rFonts w:ascii="Times New Roman" w:hAnsi="Times New Roman" w:cs="Times New Roman"/>
          <w:b/>
          <w:bCs/>
        </w:rPr>
        <w:t xml:space="preserve">Fig. </w:t>
      </w:r>
      <w:r w:rsidRPr="00332246">
        <w:rPr>
          <w:rFonts w:ascii="Times New Roman" w:hAnsi="Times New Roman" w:cs="Times New Roman"/>
          <w:b/>
          <w:bCs/>
        </w:rPr>
        <w:t>1</w:t>
      </w:r>
      <w:r w:rsidRPr="00D65D91">
        <w:rPr>
          <w:rFonts w:ascii="Times New Roman" w:hAnsi="Times New Roman" w:cs="Times New Roman"/>
          <w:b/>
          <w:bCs/>
        </w:rPr>
        <w:t xml:space="preserve">: </w:t>
      </w:r>
      <w:r w:rsidRPr="00332246">
        <w:rPr>
          <w:rFonts w:ascii="Times New Roman" w:hAnsi="Times New Roman" w:cs="Times New Roman"/>
          <w:b/>
          <w:bCs/>
        </w:rPr>
        <w:t xml:space="preserve">A futuristic resource (e.g., nutrients) flow scheme and increased complexities in an aquaculture-centric food system adopting CBF for sustainably produced, circular-origin blue foods. </w:t>
      </w:r>
      <w:r w:rsidRPr="00332246">
        <w:rPr>
          <w:rFonts w:ascii="Times New Roman" w:hAnsi="Times New Roman" w:cs="Times New Roman"/>
        </w:rPr>
        <w:t>Source</w:t>
      </w:r>
      <w:r w:rsidRPr="00D65D91">
        <w:rPr>
          <w:rFonts w:ascii="Times New Roman" w:hAnsi="Times New Roman" w:cs="Times New Roman"/>
        </w:rPr>
        <w:t xml:space="preserve">: </w:t>
      </w:r>
      <w:r>
        <w:rPr>
          <w:rFonts w:ascii="Times New Roman" w:hAnsi="Times New Roman" w:cs="Times New Roman"/>
        </w:rPr>
        <w:t>author</w:t>
      </w:r>
      <w:r w:rsidR="00161DDB">
        <w:rPr>
          <w:rFonts w:ascii="Times New Roman" w:hAnsi="Times New Roman" w:cs="Times New Roman"/>
        </w:rPr>
        <w:t xml:space="preserve"> </w:t>
      </w:r>
      <w:r w:rsidR="00161DDB" w:rsidRPr="00161DDB">
        <w:rPr>
          <w:rFonts w:ascii="Times New Roman" w:hAnsi="Times New Roman" w:cs="Times New Roman"/>
        </w:rPr>
        <w:fldChar w:fldCharType="begin"/>
      </w:r>
      <w:r w:rsidR="002D38F0">
        <w:rPr>
          <w:rFonts w:ascii="Times New Roman" w:hAnsi="Times New Roman" w:cs="Times New Roman"/>
        </w:rPr>
        <w:instrText xml:space="preserve"> ADDIN ZOTERO_ITEM CSL_CITATION {"citationID":"a1uphf8rq9n","properties":{"formattedCitation":"\\super 334\\nosupersub{}","plainCitation":"334","noteIndex":0},"citationItems":[{"id":1003,"uris":["http://zotero.org/groups/4669668/items/GUKS35I2"],"itemData":{"id":1003,"type":"thesis","publisher":"University of South Bohemia in Ceske Budejovice","title":"Circular and sustainable fish nutrition","author":[{"family":"Roy","given":"Koushik"}],"issued":{"date-parts":[["2022"]]}}}],"schema":"https://github.com/citation-style-language/schema/raw/master/csl-citation.json"} </w:instrText>
      </w:r>
      <w:r w:rsidR="00161DDB" w:rsidRPr="00161DDB">
        <w:rPr>
          <w:rFonts w:ascii="Times New Roman" w:hAnsi="Times New Roman" w:cs="Times New Roman"/>
        </w:rPr>
        <w:fldChar w:fldCharType="separate"/>
      </w:r>
      <w:r w:rsidR="002D38F0" w:rsidRPr="002D38F0">
        <w:rPr>
          <w:rFonts w:ascii="Times New Roman" w:hAnsi="Times New Roman" w:cs="Times New Roman"/>
          <w:szCs w:val="24"/>
          <w:vertAlign w:val="superscript"/>
        </w:rPr>
        <w:t>334</w:t>
      </w:r>
      <w:r w:rsidR="00161DDB" w:rsidRPr="00161DDB">
        <w:rPr>
          <w:rFonts w:ascii="Times New Roman" w:hAnsi="Times New Roman" w:cs="Times New Roman"/>
        </w:rPr>
        <w:fldChar w:fldCharType="end"/>
      </w:r>
      <w:r w:rsidRPr="00161DDB">
        <w:rPr>
          <w:rFonts w:ascii="Times New Roman" w:hAnsi="Times New Roman" w:cs="Times New Roman"/>
        </w:rPr>
        <w:t>.</w:t>
      </w:r>
    </w:p>
    <w:p w14:paraId="1E9778E1" w14:textId="01F791BB" w:rsidR="00F61CFE" w:rsidRDefault="00F61CFE" w:rsidP="00F61CFE">
      <w:pPr>
        <w:suppressLineNumbers/>
        <w:spacing w:line="276" w:lineRule="auto"/>
        <w:jc w:val="both"/>
        <w:rPr>
          <w:rFonts w:ascii="Times New Roman" w:hAnsi="Times New Roman" w:cs="Times New Roman"/>
          <w:b/>
          <w:bCs/>
        </w:rPr>
      </w:pPr>
    </w:p>
    <w:p w14:paraId="6902E58D" w14:textId="3AD0682B" w:rsidR="001B06C2" w:rsidRDefault="001B06C2" w:rsidP="00F61CFE">
      <w:pPr>
        <w:suppressLineNumbers/>
        <w:spacing w:line="276" w:lineRule="auto"/>
        <w:jc w:val="both"/>
        <w:rPr>
          <w:rFonts w:ascii="Times New Roman" w:hAnsi="Times New Roman" w:cs="Times New Roman"/>
          <w:b/>
          <w:bCs/>
        </w:rPr>
        <w:sectPr w:rsidR="001B06C2" w:rsidSect="001B06C2">
          <w:pgSz w:w="15840" w:h="12240" w:orient="landscape"/>
          <w:pgMar w:top="1440" w:right="1440" w:bottom="1440" w:left="1440" w:header="708" w:footer="708" w:gutter="0"/>
          <w:pgNumType w:start="0"/>
          <w:cols w:space="708"/>
          <w:titlePg/>
          <w:docGrid w:linePitch="360"/>
        </w:sectPr>
      </w:pPr>
      <w:r>
        <w:rPr>
          <w:rFonts w:ascii="Times New Roman" w:hAnsi="Times New Roman" w:cs="Times New Roman"/>
          <w:b/>
          <w:bCs/>
          <w:noProof/>
          <w:lang w:val="en-CA" w:eastAsia="en-CA"/>
        </w:rPr>
        <w:drawing>
          <wp:inline distT="0" distB="0" distL="0" distR="0" wp14:anchorId="6838FEED" wp14:editId="65846EC6">
            <wp:extent cx="8229600" cy="4629150"/>
            <wp:effectExtent l="0" t="0" r="0"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8229600" cy="4629150"/>
                    </a:xfrm>
                    <a:prstGeom prst="rect">
                      <a:avLst/>
                    </a:prstGeom>
                  </pic:spPr>
                </pic:pic>
              </a:graphicData>
            </a:graphic>
          </wp:inline>
        </w:drawing>
      </w:r>
    </w:p>
    <w:p w14:paraId="57245937" w14:textId="38E8825C" w:rsidR="00AA77DD" w:rsidRPr="00671D77" w:rsidRDefault="00AA77DD" w:rsidP="002D16A4">
      <w:pPr>
        <w:spacing w:line="276" w:lineRule="auto"/>
        <w:jc w:val="both"/>
        <w:rPr>
          <w:rFonts w:ascii="Times New Roman" w:hAnsi="Times New Roman" w:cs="Times New Roman"/>
          <w:b/>
          <w:bCs/>
          <w:sz w:val="28"/>
          <w:szCs w:val="28"/>
        </w:rPr>
      </w:pPr>
      <w:r w:rsidRPr="00671D77">
        <w:rPr>
          <w:rFonts w:ascii="Times New Roman" w:hAnsi="Times New Roman" w:cs="Times New Roman"/>
          <w:b/>
          <w:bCs/>
          <w:sz w:val="28"/>
          <w:szCs w:val="28"/>
        </w:rPr>
        <w:t>References</w:t>
      </w:r>
    </w:p>
    <w:p w14:paraId="1B023BF8" w14:textId="77777777" w:rsidR="002D38F0" w:rsidRDefault="00E07698" w:rsidP="002D38F0">
      <w:pPr>
        <w:pStyle w:val="Bibliography"/>
      </w:pPr>
      <w:r w:rsidRPr="00671D77">
        <w:rPr>
          <w:vertAlign w:val="superscript"/>
        </w:rPr>
        <w:fldChar w:fldCharType="begin"/>
      </w:r>
      <w:r w:rsidR="002D38F0">
        <w:rPr>
          <w:vertAlign w:val="superscript"/>
        </w:rPr>
        <w:instrText xml:space="preserve"> ADDIN ZOTERO_BIBL {"uncited":[],"omitted":[],"custom":[]} CSL_BIBLIOGRAPHY </w:instrText>
      </w:r>
      <w:r w:rsidRPr="00671D77">
        <w:rPr>
          <w:vertAlign w:val="superscript"/>
        </w:rPr>
        <w:fldChar w:fldCharType="separate"/>
      </w:r>
      <w:r w:rsidR="002D38F0">
        <w:t>1.</w:t>
      </w:r>
      <w:r w:rsidR="002D38F0">
        <w:tab/>
        <w:t xml:space="preserve">Harness the world’s aquatic ‘blue’ food systems to help end hunger. </w:t>
      </w:r>
      <w:r w:rsidR="002D38F0">
        <w:rPr>
          <w:i/>
          <w:iCs/>
        </w:rPr>
        <w:t>Nature</w:t>
      </w:r>
      <w:r w:rsidR="002D38F0">
        <w:t xml:space="preserve"> </w:t>
      </w:r>
      <w:r w:rsidR="002D38F0">
        <w:rPr>
          <w:b/>
          <w:bCs/>
        </w:rPr>
        <w:t>597</w:t>
      </w:r>
      <w:r w:rsidR="002D38F0">
        <w:t>, 303–303 (2021).</w:t>
      </w:r>
    </w:p>
    <w:p w14:paraId="3FC368E5" w14:textId="77777777" w:rsidR="002D38F0" w:rsidRDefault="002D38F0" w:rsidP="002D38F0">
      <w:pPr>
        <w:pStyle w:val="Bibliography"/>
      </w:pPr>
      <w:r>
        <w:t>2.</w:t>
      </w:r>
      <w:r>
        <w:tab/>
        <w:t>FAO Fisheries &amp; Aquaculture. https://www.fao.org/fishery/en/global-search?q=statistics%20global-aquaculture-production%20en&amp;lang=en (2022).</w:t>
      </w:r>
    </w:p>
    <w:p w14:paraId="469BDDD3" w14:textId="77777777" w:rsidR="002D38F0" w:rsidRDefault="002D38F0" w:rsidP="002D38F0">
      <w:pPr>
        <w:pStyle w:val="Bibliography"/>
      </w:pPr>
      <w:r>
        <w:t>3.</w:t>
      </w:r>
      <w:r>
        <w:tab/>
      </w:r>
      <w:r>
        <w:rPr>
          <w:i/>
          <w:iCs/>
        </w:rPr>
        <w:t>In Brief to The State of World Fisheries and Aquaculture 2022</w:t>
      </w:r>
      <w:r>
        <w:t>. (FAO, 2022). doi:10.4060/cc0463en.</w:t>
      </w:r>
    </w:p>
    <w:p w14:paraId="6499D02D" w14:textId="77777777" w:rsidR="002D38F0" w:rsidRDefault="002D38F0" w:rsidP="002D38F0">
      <w:pPr>
        <w:pStyle w:val="Bibliography"/>
      </w:pPr>
      <w:r>
        <w:t>4.</w:t>
      </w:r>
      <w:r>
        <w:tab/>
      </w:r>
      <w:proofErr w:type="spellStart"/>
      <w:r>
        <w:t>Gephart</w:t>
      </w:r>
      <w:proofErr w:type="spellEnd"/>
      <w:r>
        <w:t xml:space="preserve">, J. A. </w:t>
      </w:r>
      <w:r>
        <w:rPr>
          <w:i/>
          <w:iCs/>
        </w:rPr>
        <w:t>et al.</w:t>
      </w:r>
      <w:r>
        <w:t xml:space="preserve"> Environmental performance of blue foods. </w:t>
      </w:r>
      <w:r>
        <w:rPr>
          <w:i/>
          <w:iCs/>
        </w:rPr>
        <w:t>Nature</w:t>
      </w:r>
      <w:r>
        <w:t xml:space="preserve"> </w:t>
      </w:r>
      <w:r>
        <w:rPr>
          <w:b/>
          <w:bCs/>
        </w:rPr>
        <w:t>597</w:t>
      </w:r>
      <w:r>
        <w:t>, 360–365 (2021).</w:t>
      </w:r>
    </w:p>
    <w:p w14:paraId="7BD43718" w14:textId="77777777" w:rsidR="002D38F0" w:rsidRDefault="002D38F0" w:rsidP="002D38F0">
      <w:pPr>
        <w:pStyle w:val="Bibliography"/>
      </w:pPr>
      <w:r>
        <w:t>5.</w:t>
      </w:r>
      <w:r>
        <w:tab/>
      </w:r>
      <w:proofErr w:type="spellStart"/>
      <w:r>
        <w:t>Tacon</w:t>
      </w:r>
      <w:proofErr w:type="spellEnd"/>
      <w:r>
        <w:t xml:space="preserve">, A. G. J. &amp; Metian, M. Feed matters: satisfying the feed demand of aquaculture. </w:t>
      </w:r>
      <w:r>
        <w:rPr>
          <w:i/>
          <w:iCs/>
        </w:rPr>
        <w:t xml:space="preserve">Rev. Fish. Sci. </w:t>
      </w:r>
      <w:proofErr w:type="spellStart"/>
      <w:r>
        <w:rPr>
          <w:i/>
          <w:iCs/>
        </w:rPr>
        <w:t>Aquac</w:t>
      </w:r>
      <w:proofErr w:type="spellEnd"/>
      <w:r>
        <w:rPr>
          <w:i/>
          <w:iCs/>
        </w:rPr>
        <w:t>.</w:t>
      </w:r>
      <w:r>
        <w:t xml:space="preserve"> </w:t>
      </w:r>
      <w:r>
        <w:rPr>
          <w:b/>
          <w:bCs/>
        </w:rPr>
        <w:t>23</w:t>
      </w:r>
      <w:r>
        <w:t>, 1–10 (2015).</w:t>
      </w:r>
    </w:p>
    <w:p w14:paraId="17529160" w14:textId="77777777" w:rsidR="002D38F0" w:rsidRDefault="002D38F0" w:rsidP="002D38F0">
      <w:pPr>
        <w:pStyle w:val="Bibliography"/>
      </w:pPr>
      <w:r>
        <w:t>6.</w:t>
      </w:r>
      <w:r>
        <w:tab/>
        <w:t xml:space="preserve">Hua, K. </w:t>
      </w:r>
      <w:r>
        <w:rPr>
          <w:i/>
          <w:iCs/>
        </w:rPr>
        <w:t>et al.</w:t>
      </w:r>
      <w:r>
        <w:t xml:space="preserve"> The future of aquatic protein: implications for protein sources in aquaculture diets. </w:t>
      </w:r>
      <w:r>
        <w:rPr>
          <w:i/>
          <w:iCs/>
        </w:rPr>
        <w:t>One Earth</w:t>
      </w:r>
      <w:r>
        <w:t xml:space="preserve"> </w:t>
      </w:r>
      <w:r>
        <w:rPr>
          <w:b/>
          <w:bCs/>
        </w:rPr>
        <w:t>1</w:t>
      </w:r>
      <w:r>
        <w:t>, 316–329 (2019).</w:t>
      </w:r>
    </w:p>
    <w:p w14:paraId="559FDAE1" w14:textId="77777777" w:rsidR="002D38F0" w:rsidRDefault="002D38F0" w:rsidP="002D38F0">
      <w:pPr>
        <w:pStyle w:val="Bibliography"/>
      </w:pPr>
      <w:r>
        <w:t>7.</w:t>
      </w:r>
      <w:r>
        <w:tab/>
        <w:t xml:space="preserve">Naylor, R. L. </w:t>
      </w:r>
      <w:r>
        <w:rPr>
          <w:i/>
          <w:iCs/>
        </w:rPr>
        <w:t>et al.</w:t>
      </w:r>
      <w:r>
        <w:t xml:space="preserve"> A 20-year retrospective review of global aquaculture. </w:t>
      </w:r>
      <w:r>
        <w:rPr>
          <w:i/>
          <w:iCs/>
        </w:rPr>
        <w:t>Nature</w:t>
      </w:r>
      <w:r>
        <w:t xml:space="preserve"> </w:t>
      </w:r>
      <w:r>
        <w:rPr>
          <w:b/>
          <w:bCs/>
        </w:rPr>
        <w:t>591</w:t>
      </w:r>
      <w:r>
        <w:t>, 551–563 (2021).</w:t>
      </w:r>
    </w:p>
    <w:p w14:paraId="709CBCC2" w14:textId="77777777" w:rsidR="002D38F0" w:rsidRDefault="002D38F0" w:rsidP="002D38F0">
      <w:pPr>
        <w:pStyle w:val="Bibliography"/>
      </w:pPr>
      <w:r>
        <w:t>8.</w:t>
      </w:r>
      <w:r>
        <w:tab/>
        <w:t xml:space="preserve">Colombo, S. M. Chapter 2 - Physiological considerations in shifting carnivorous fishes to plant-based diets. in </w:t>
      </w:r>
      <w:r>
        <w:rPr>
          <w:i/>
          <w:iCs/>
        </w:rPr>
        <w:t>Fish Physiology</w:t>
      </w:r>
      <w:r>
        <w:t xml:space="preserve"> (eds. Benfey, T. J., Farrell, A. P. &amp; </w:t>
      </w:r>
      <w:proofErr w:type="spellStart"/>
      <w:r>
        <w:t>Brauner</w:t>
      </w:r>
      <w:proofErr w:type="spellEnd"/>
      <w:r>
        <w:t>, C. J.) vol. 38 53–82 (Academic Press, 2020).</w:t>
      </w:r>
    </w:p>
    <w:p w14:paraId="48024235" w14:textId="77777777" w:rsidR="002D38F0" w:rsidRDefault="002D38F0" w:rsidP="002D38F0">
      <w:pPr>
        <w:pStyle w:val="Bibliography"/>
      </w:pPr>
      <w:r>
        <w:t>9.</w:t>
      </w:r>
      <w:r>
        <w:tab/>
        <w:t xml:space="preserve">Fry, J. P. </w:t>
      </w:r>
      <w:r>
        <w:rPr>
          <w:i/>
          <w:iCs/>
        </w:rPr>
        <w:t>et al.</w:t>
      </w:r>
      <w:r>
        <w:t xml:space="preserve"> Environmental health impacts of feeding crops to farmed fish. </w:t>
      </w:r>
      <w:r>
        <w:rPr>
          <w:i/>
          <w:iCs/>
        </w:rPr>
        <w:t>Environ. Int.</w:t>
      </w:r>
      <w:r>
        <w:t xml:space="preserve"> </w:t>
      </w:r>
      <w:r>
        <w:rPr>
          <w:b/>
          <w:bCs/>
        </w:rPr>
        <w:t>91</w:t>
      </w:r>
      <w:r>
        <w:t>, 201–214 (2016).</w:t>
      </w:r>
    </w:p>
    <w:p w14:paraId="19B2BC1B" w14:textId="77777777" w:rsidR="002D38F0" w:rsidRDefault="002D38F0" w:rsidP="002D38F0">
      <w:pPr>
        <w:pStyle w:val="Bibliography"/>
      </w:pPr>
      <w:r>
        <w:t>10.</w:t>
      </w:r>
      <w:r>
        <w:tab/>
      </w:r>
      <w:proofErr w:type="spellStart"/>
      <w:r>
        <w:t>Pahlow</w:t>
      </w:r>
      <w:proofErr w:type="spellEnd"/>
      <w:r>
        <w:t xml:space="preserve">, M., van </w:t>
      </w:r>
      <w:proofErr w:type="spellStart"/>
      <w:r>
        <w:t>Oel</w:t>
      </w:r>
      <w:proofErr w:type="spellEnd"/>
      <w:r>
        <w:t xml:space="preserve">, P. R., </w:t>
      </w:r>
      <w:proofErr w:type="spellStart"/>
      <w:r>
        <w:t>Mekonnen</w:t>
      </w:r>
      <w:proofErr w:type="spellEnd"/>
      <w:r>
        <w:t xml:space="preserve">, M. M. &amp; Hoekstra, A. Y. Increasing pressure on freshwater resources due to terrestrial feed ingredients for aquaculture production. </w:t>
      </w:r>
      <w:r>
        <w:rPr>
          <w:i/>
          <w:iCs/>
        </w:rPr>
        <w:t>Sci. Total Environ.</w:t>
      </w:r>
      <w:r>
        <w:t xml:space="preserve"> </w:t>
      </w:r>
      <w:r>
        <w:rPr>
          <w:b/>
          <w:bCs/>
        </w:rPr>
        <w:t>536</w:t>
      </w:r>
      <w:r>
        <w:t>, 847–857 (2015).</w:t>
      </w:r>
    </w:p>
    <w:p w14:paraId="78E70AE8" w14:textId="77777777" w:rsidR="002D38F0" w:rsidRDefault="002D38F0" w:rsidP="002D38F0">
      <w:pPr>
        <w:pStyle w:val="Bibliography"/>
      </w:pPr>
      <w:r>
        <w:t>11.</w:t>
      </w:r>
      <w:r>
        <w:tab/>
      </w:r>
      <w:proofErr w:type="spellStart"/>
      <w:r>
        <w:t>Troell</w:t>
      </w:r>
      <w:proofErr w:type="spellEnd"/>
      <w:r>
        <w:t xml:space="preserve">, M. </w:t>
      </w:r>
      <w:r>
        <w:rPr>
          <w:i/>
          <w:iCs/>
        </w:rPr>
        <w:t>et al.</w:t>
      </w:r>
      <w:r>
        <w:t xml:space="preserve"> Does aquaculture add resilience to the global food system? </w:t>
      </w:r>
      <w:r>
        <w:rPr>
          <w:i/>
          <w:iCs/>
        </w:rPr>
        <w:t>Proc. Natl. Acad. Sci.</w:t>
      </w:r>
      <w:r>
        <w:t xml:space="preserve"> </w:t>
      </w:r>
      <w:r>
        <w:rPr>
          <w:b/>
          <w:bCs/>
        </w:rPr>
        <w:t>111</w:t>
      </w:r>
      <w:r>
        <w:t>, 13257–13263 (2014).</w:t>
      </w:r>
    </w:p>
    <w:p w14:paraId="529A61D6" w14:textId="77777777" w:rsidR="002D38F0" w:rsidRDefault="002D38F0" w:rsidP="002D38F0">
      <w:pPr>
        <w:pStyle w:val="Bibliography"/>
      </w:pPr>
      <w:r>
        <w:t>12.</w:t>
      </w:r>
      <w:r>
        <w:tab/>
      </w:r>
      <w:proofErr w:type="spellStart"/>
      <w:r>
        <w:t>Panserat</w:t>
      </w:r>
      <w:proofErr w:type="spellEnd"/>
      <w:r>
        <w:t xml:space="preserve">, S., </w:t>
      </w:r>
      <w:proofErr w:type="spellStart"/>
      <w:r>
        <w:t>Marandel</w:t>
      </w:r>
      <w:proofErr w:type="spellEnd"/>
      <w:r>
        <w:t xml:space="preserve">, L., </w:t>
      </w:r>
      <w:proofErr w:type="spellStart"/>
      <w:r>
        <w:t>Seiliez</w:t>
      </w:r>
      <w:proofErr w:type="spellEnd"/>
      <w:r>
        <w:t xml:space="preserve">, I. &amp; Skiba-Cassy, S. New insights on intermediary metabolism for a better understanding of nutrition in teleosts. </w:t>
      </w:r>
      <w:proofErr w:type="spellStart"/>
      <w:r>
        <w:rPr>
          <w:i/>
          <w:iCs/>
        </w:rPr>
        <w:t>Annu</w:t>
      </w:r>
      <w:proofErr w:type="spellEnd"/>
      <w:r>
        <w:rPr>
          <w:i/>
          <w:iCs/>
        </w:rPr>
        <w:t xml:space="preserve">. Rev. Anim. </w:t>
      </w:r>
      <w:proofErr w:type="spellStart"/>
      <w:r>
        <w:rPr>
          <w:i/>
          <w:iCs/>
        </w:rPr>
        <w:t>Biosci</w:t>
      </w:r>
      <w:proofErr w:type="spellEnd"/>
      <w:r>
        <w:rPr>
          <w:i/>
          <w:iCs/>
        </w:rPr>
        <w:t>.</w:t>
      </w:r>
      <w:r>
        <w:t xml:space="preserve"> </w:t>
      </w:r>
      <w:r>
        <w:rPr>
          <w:b/>
          <w:bCs/>
        </w:rPr>
        <w:t>7</w:t>
      </w:r>
      <w:r>
        <w:t>, 195–220 (2019).</w:t>
      </w:r>
    </w:p>
    <w:p w14:paraId="07A83CD1" w14:textId="77777777" w:rsidR="002D38F0" w:rsidRDefault="002D38F0" w:rsidP="002D38F0">
      <w:pPr>
        <w:pStyle w:val="Bibliography"/>
      </w:pPr>
      <w:r>
        <w:t>13.</w:t>
      </w:r>
      <w:r>
        <w:tab/>
        <w:t xml:space="preserve">Colombo, S. M., </w:t>
      </w:r>
      <w:proofErr w:type="spellStart"/>
      <w:r>
        <w:t>Foroutani</w:t>
      </w:r>
      <w:proofErr w:type="spellEnd"/>
      <w:r>
        <w:t xml:space="preserve">, M. B. &amp; Parrish, C. C. </w:t>
      </w:r>
      <w:proofErr w:type="gramStart"/>
      <w:r>
        <w:t>Fats</w:t>
      </w:r>
      <w:proofErr w:type="gramEnd"/>
      <w:r>
        <w:t xml:space="preserve"> and oils in aquafeed formulations. in </w:t>
      </w:r>
      <w:r>
        <w:rPr>
          <w:i/>
          <w:iCs/>
        </w:rPr>
        <w:t>Bailey’s Industrial Oil and Fat Products</w:t>
      </w:r>
      <w:r>
        <w:t xml:space="preserve"> 1–28 (John Wiley &amp; Sons, Ltd, 2020). doi:10.1002/047167849X.bio095.</w:t>
      </w:r>
    </w:p>
    <w:p w14:paraId="5C31CAE2" w14:textId="77777777" w:rsidR="002D38F0" w:rsidRDefault="002D38F0" w:rsidP="002D38F0">
      <w:pPr>
        <w:pStyle w:val="Bibliography"/>
      </w:pPr>
      <w:r>
        <w:t>14.</w:t>
      </w:r>
      <w:r>
        <w:tab/>
        <w:t xml:space="preserve">Francis, G., </w:t>
      </w:r>
      <w:proofErr w:type="spellStart"/>
      <w:r>
        <w:t>Makkar</w:t>
      </w:r>
      <w:proofErr w:type="spellEnd"/>
      <w:r>
        <w:t xml:space="preserve">, H. P. S. &amp; Becker, K. Antinutritional factors present in plant-derived alternate fish feed ingredients and their effects in fish. </w:t>
      </w:r>
      <w:r>
        <w:rPr>
          <w:i/>
          <w:iCs/>
        </w:rPr>
        <w:t>Aquaculture</w:t>
      </w:r>
      <w:r>
        <w:t xml:space="preserve"> </w:t>
      </w:r>
      <w:r>
        <w:rPr>
          <w:b/>
          <w:bCs/>
        </w:rPr>
        <w:t>199</w:t>
      </w:r>
      <w:r>
        <w:t>, 197–227 (2001).</w:t>
      </w:r>
    </w:p>
    <w:p w14:paraId="7D411956" w14:textId="77777777" w:rsidR="002D38F0" w:rsidRDefault="002D38F0" w:rsidP="002D38F0">
      <w:pPr>
        <w:pStyle w:val="Bibliography"/>
      </w:pPr>
      <w:r>
        <w:t>15.</w:t>
      </w:r>
      <w:r>
        <w:tab/>
        <w:t xml:space="preserve">Gatlin, D. M. </w:t>
      </w:r>
      <w:r>
        <w:rPr>
          <w:i/>
          <w:iCs/>
        </w:rPr>
        <w:t>et al.</w:t>
      </w:r>
      <w:r>
        <w:t xml:space="preserve"> Expanding the utilization of sustainable plant products in aquafeeds: a review. </w:t>
      </w:r>
      <w:proofErr w:type="spellStart"/>
      <w:r>
        <w:rPr>
          <w:i/>
          <w:iCs/>
        </w:rPr>
        <w:t>Aquac</w:t>
      </w:r>
      <w:proofErr w:type="spellEnd"/>
      <w:r>
        <w:rPr>
          <w:i/>
          <w:iCs/>
        </w:rPr>
        <w:t>. Res.</w:t>
      </w:r>
      <w:r>
        <w:t xml:space="preserve"> </w:t>
      </w:r>
      <w:r>
        <w:rPr>
          <w:b/>
          <w:bCs/>
        </w:rPr>
        <w:t>38</w:t>
      </w:r>
      <w:r>
        <w:t>, 551–579 (2007).</w:t>
      </w:r>
    </w:p>
    <w:p w14:paraId="45760542" w14:textId="77777777" w:rsidR="002D38F0" w:rsidRDefault="002D38F0" w:rsidP="002D38F0">
      <w:pPr>
        <w:pStyle w:val="Bibliography"/>
      </w:pPr>
      <w:r>
        <w:t>16.</w:t>
      </w:r>
      <w:r>
        <w:tab/>
      </w:r>
      <w:proofErr w:type="spellStart"/>
      <w:r>
        <w:t>Tacon</w:t>
      </w:r>
      <w:proofErr w:type="spellEnd"/>
      <w:r>
        <w:t xml:space="preserve">, A. G. J., Metian, M. &amp; </w:t>
      </w:r>
      <w:proofErr w:type="spellStart"/>
      <w:r>
        <w:t>McNevin</w:t>
      </w:r>
      <w:proofErr w:type="spellEnd"/>
      <w:r>
        <w:t xml:space="preserve">, A. A. Future Feeds: Suggested Guidelines for Sustainable Development. </w:t>
      </w:r>
      <w:r>
        <w:rPr>
          <w:i/>
          <w:iCs/>
        </w:rPr>
        <w:t xml:space="preserve">Rev. Fish. Sci. </w:t>
      </w:r>
      <w:proofErr w:type="spellStart"/>
      <w:r>
        <w:rPr>
          <w:i/>
          <w:iCs/>
        </w:rPr>
        <w:t>Aquac</w:t>
      </w:r>
      <w:proofErr w:type="spellEnd"/>
      <w:r>
        <w:rPr>
          <w:i/>
          <w:iCs/>
        </w:rPr>
        <w:t>.</w:t>
      </w:r>
      <w:r>
        <w:t xml:space="preserve"> </w:t>
      </w:r>
      <w:r>
        <w:rPr>
          <w:b/>
          <w:bCs/>
        </w:rPr>
        <w:t>30</w:t>
      </w:r>
      <w:r>
        <w:t>, 135–142 (2022).</w:t>
      </w:r>
    </w:p>
    <w:p w14:paraId="5BB4891F" w14:textId="77777777" w:rsidR="002D38F0" w:rsidRDefault="002D38F0" w:rsidP="002D38F0">
      <w:pPr>
        <w:pStyle w:val="Bibliography"/>
      </w:pPr>
      <w:r>
        <w:t>17.</w:t>
      </w:r>
      <w:r>
        <w:tab/>
        <w:t xml:space="preserve">Froehlich, H. E., Gentry, R. R. &amp; Halpern, B. S. Global change in marine aquaculture production potential under climate change. </w:t>
      </w:r>
      <w:r>
        <w:rPr>
          <w:i/>
          <w:iCs/>
        </w:rPr>
        <w:t xml:space="preserve">Nat. Ecol. </w:t>
      </w:r>
      <w:proofErr w:type="spellStart"/>
      <w:r>
        <w:rPr>
          <w:i/>
          <w:iCs/>
        </w:rPr>
        <w:t>Evol</w:t>
      </w:r>
      <w:proofErr w:type="spellEnd"/>
      <w:r>
        <w:rPr>
          <w:i/>
          <w:iCs/>
        </w:rPr>
        <w:t>.</w:t>
      </w:r>
      <w:r>
        <w:t xml:space="preserve"> </w:t>
      </w:r>
      <w:r>
        <w:rPr>
          <w:b/>
          <w:bCs/>
        </w:rPr>
        <w:t>2</w:t>
      </w:r>
      <w:r>
        <w:t>, 1745–1750 (2018).</w:t>
      </w:r>
    </w:p>
    <w:p w14:paraId="37FD436D" w14:textId="77777777" w:rsidR="002D38F0" w:rsidRDefault="002D38F0" w:rsidP="002D38F0">
      <w:pPr>
        <w:pStyle w:val="Bibliography"/>
      </w:pPr>
      <w:r>
        <w:t>18.</w:t>
      </w:r>
      <w:r>
        <w:tab/>
      </w:r>
      <w:proofErr w:type="spellStart"/>
      <w:r>
        <w:t>Pernet</w:t>
      </w:r>
      <w:proofErr w:type="spellEnd"/>
      <w:r>
        <w:t xml:space="preserve">, F. &amp; </w:t>
      </w:r>
      <w:proofErr w:type="spellStart"/>
      <w:r>
        <w:t>Browman</w:t>
      </w:r>
      <w:proofErr w:type="spellEnd"/>
      <w:r>
        <w:t xml:space="preserve">, H. I. The future is now: marine aquaculture in the </w:t>
      </w:r>
      <w:proofErr w:type="spellStart"/>
      <w:r>
        <w:t>anthropocene</w:t>
      </w:r>
      <w:proofErr w:type="spellEnd"/>
      <w:r>
        <w:t xml:space="preserve">. </w:t>
      </w:r>
      <w:r>
        <w:rPr>
          <w:i/>
          <w:iCs/>
        </w:rPr>
        <w:t>ICES J. Mar. Sci.</w:t>
      </w:r>
      <w:r>
        <w:t xml:space="preserve"> </w:t>
      </w:r>
      <w:r>
        <w:rPr>
          <w:b/>
          <w:bCs/>
        </w:rPr>
        <w:t>78</w:t>
      </w:r>
      <w:r>
        <w:t>, 315–322 (2021).</w:t>
      </w:r>
    </w:p>
    <w:p w14:paraId="0A108C49" w14:textId="77777777" w:rsidR="002D38F0" w:rsidRDefault="002D38F0" w:rsidP="002D38F0">
      <w:pPr>
        <w:pStyle w:val="Bibliography"/>
      </w:pPr>
      <w:r>
        <w:t>19.</w:t>
      </w:r>
      <w:r>
        <w:tab/>
      </w:r>
      <w:proofErr w:type="spellStart"/>
      <w:r>
        <w:t>Barange</w:t>
      </w:r>
      <w:proofErr w:type="spellEnd"/>
      <w:r>
        <w:t xml:space="preserve">, M. </w:t>
      </w:r>
      <w:r>
        <w:rPr>
          <w:i/>
          <w:iCs/>
        </w:rPr>
        <w:t>et al.</w:t>
      </w:r>
      <w:r>
        <w:t xml:space="preserve"> Impacts of climate change on fisheries and aquaculture: synthesis of </w:t>
      </w:r>
      <w:proofErr w:type="spellStart"/>
      <w:r>
        <w:t>currrent</w:t>
      </w:r>
      <w:proofErr w:type="spellEnd"/>
      <w:r>
        <w:t xml:space="preserve"> knowledge, </w:t>
      </w:r>
      <w:proofErr w:type="gramStart"/>
      <w:r>
        <w:t>adaptation</w:t>
      </w:r>
      <w:proofErr w:type="gramEnd"/>
      <w:r>
        <w:t xml:space="preserve"> and mitigation options. </w:t>
      </w:r>
      <w:r>
        <w:rPr>
          <w:i/>
          <w:iCs/>
        </w:rPr>
        <w:t xml:space="preserve">FAO Fish. </w:t>
      </w:r>
      <w:proofErr w:type="spellStart"/>
      <w:r>
        <w:rPr>
          <w:i/>
          <w:iCs/>
        </w:rPr>
        <w:t>Aquac</w:t>
      </w:r>
      <w:proofErr w:type="spellEnd"/>
      <w:r>
        <w:rPr>
          <w:i/>
          <w:iCs/>
        </w:rPr>
        <w:t xml:space="preserve">. Tech. Pap. FAO </w:t>
      </w:r>
      <w:proofErr w:type="spellStart"/>
      <w:r>
        <w:rPr>
          <w:i/>
          <w:iCs/>
        </w:rPr>
        <w:t>Eng</w:t>
      </w:r>
      <w:proofErr w:type="spellEnd"/>
      <w:r>
        <w:rPr>
          <w:i/>
          <w:iCs/>
        </w:rPr>
        <w:t xml:space="preserve"> No 627</w:t>
      </w:r>
      <w:r>
        <w:t xml:space="preserve"> (2018).</w:t>
      </w:r>
    </w:p>
    <w:p w14:paraId="37E27E46" w14:textId="77777777" w:rsidR="002D38F0" w:rsidRDefault="002D38F0" w:rsidP="002D38F0">
      <w:pPr>
        <w:pStyle w:val="Bibliography"/>
      </w:pPr>
      <w:r>
        <w:t>20.</w:t>
      </w:r>
      <w:r>
        <w:tab/>
      </w:r>
      <w:proofErr w:type="spellStart"/>
      <w:r>
        <w:t>Pörtner</w:t>
      </w:r>
      <w:proofErr w:type="spellEnd"/>
      <w:r>
        <w:t xml:space="preserve">, H.-O. </w:t>
      </w:r>
      <w:r>
        <w:rPr>
          <w:i/>
          <w:iCs/>
        </w:rPr>
        <w:t>et al.</w:t>
      </w:r>
      <w:r>
        <w:t xml:space="preserve"> The ocean and cryosphere in a changing climate. </w:t>
      </w:r>
      <w:r>
        <w:rPr>
          <w:i/>
          <w:iCs/>
        </w:rPr>
        <w:t xml:space="preserve">IPCC Spec. Rep. Ocean Cryosphere Chang. </w:t>
      </w:r>
      <w:proofErr w:type="spellStart"/>
      <w:r>
        <w:rPr>
          <w:i/>
          <w:iCs/>
        </w:rPr>
        <w:t>Clim</w:t>
      </w:r>
      <w:proofErr w:type="spellEnd"/>
      <w:r>
        <w:rPr>
          <w:i/>
          <w:iCs/>
        </w:rPr>
        <w:t>.</w:t>
      </w:r>
      <w:r>
        <w:t xml:space="preserve"> (2019).</w:t>
      </w:r>
    </w:p>
    <w:p w14:paraId="07130E49" w14:textId="77777777" w:rsidR="002D38F0" w:rsidRDefault="002D38F0" w:rsidP="002D38F0">
      <w:pPr>
        <w:pStyle w:val="Bibliography"/>
      </w:pPr>
      <w:r>
        <w:t>21.</w:t>
      </w:r>
      <w:r>
        <w:tab/>
        <w:t xml:space="preserve">Willett, W. </w:t>
      </w:r>
      <w:r>
        <w:rPr>
          <w:i/>
          <w:iCs/>
        </w:rPr>
        <w:t>et al.</w:t>
      </w:r>
      <w:r>
        <w:t xml:space="preserve"> Food in the Anthropocene: the EAT–Lancet Commission on healthy diets from sustainable food systems. </w:t>
      </w:r>
      <w:r>
        <w:rPr>
          <w:i/>
          <w:iCs/>
        </w:rPr>
        <w:t>The Lancet</w:t>
      </w:r>
      <w:r>
        <w:t xml:space="preserve"> </w:t>
      </w:r>
      <w:r>
        <w:rPr>
          <w:b/>
          <w:bCs/>
        </w:rPr>
        <w:t>393</w:t>
      </w:r>
      <w:r>
        <w:t>, 447–492 (2019).</w:t>
      </w:r>
    </w:p>
    <w:p w14:paraId="0117CB9C" w14:textId="77777777" w:rsidR="002D38F0" w:rsidRDefault="002D38F0" w:rsidP="002D38F0">
      <w:pPr>
        <w:pStyle w:val="Bibliography"/>
      </w:pPr>
      <w:r>
        <w:t>22.</w:t>
      </w:r>
      <w:r>
        <w:tab/>
        <w:t xml:space="preserve">Maire, E. </w:t>
      </w:r>
      <w:r>
        <w:rPr>
          <w:i/>
          <w:iCs/>
        </w:rPr>
        <w:t>et al.</w:t>
      </w:r>
      <w:r>
        <w:t xml:space="preserve"> Micronutrient supply from global marine fisheries under climate change and overfishing. </w:t>
      </w:r>
      <w:proofErr w:type="spellStart"/>
      <w:r>
        <w:rPr>
          <w:i/>
          <w:iCs/>
        </w:rPr>
        <w:t>Curr</w:t>
      </w:r>
      <w:proofErr w:type="spellEnd"/>
      <w:r>
        <w:rPr>
          <w:i/>
          <w:iCs/>
        </w:rPr>
        <w:t>. Biol.</w:t>
      </w:r>
      <w:r>
        <w:t xml:space="preserve"> </w:t>
      </w:r>
      <w:r>
        <w:rPr>
          <w:b/>
          <w:bCs/>
        </w:rPr>
        <w:t>31</w:t>
      </w:r>
      <w:r>
        <w:t>, 4132-4138.e3 (2021).</w:t>
      </w:r>
    </w:p>
    <w:p w14:paraId="08EABEEC" w14:textId="77777777" w:rsidR="002D38F0" w:rsidRDefault="002D38F0" w:rsidP="002D38F0">
      <w:pPr>
        <w:pStyle w:val="Bibliography"/>
      </w:pPr>
      <w:r>
        <w:t>23.</w:t>
      </w:r>
      <w:r>
        <w:tab/>
        <w:t xml:space="preserve">Laborde, D., Martin, W., </w:t>
      </w:r>
      <w:proofErr w:type="spellStart"/>
      <w:r>
        <w:t>Swinnen</w:t>
      </w:r>
      <w:proofErr w:type="spellEnd"/>
      <w:r>
        <w:t xml:space="preserve">, J. &amp; Vos, R. COVID-19 risks to global food security. </w:t>
      </w:r>
      <w:r>
        <w:rPr>
          <w:i/>
          <w:iCs/>
        </w:rPr>
        <w:t>Science</w:t>
      </w:r>
      <w:r>
        <w:t xml:space="preserve"> </w:t>
      </w:r>
      <w:r>
        <w:rPr>
          <w:b/>
          <w:bCs/>
        </w:rPr>
        <w:t>369</w:t>
      </w:r>
      <w:r>
        <w:t>, 500–502 (2020).</w:t>
      </w:r>
    </w:p>
    <w:p w14:paraId="30AB0D66" w14:textId="77777777" w:rsidR="002D38F0" w:rsidRDefault="002D38F0" w:rsidP="002D38F0">
      <w:pPr>
        <w:pStyle w:val="Bibliography"/>
      </w:pPr>
      <w:r>
        <w:t>24.</w:t>
      </w:r>
      <w:r>
        <w:tab/>
        <w:t xml:space="preserve">Rumsey, G. L. History of Early Diet Development in Fish Culture, 1000 B.C. to A.D. 1955. </w:t>
      </w:r>
      <w:r>
        <w:rPr>
          <w:i/>
          <w:iCs/>
        </w:rPr>
        <w:t>Progress. Fish-Cult.</w:t>
      </w:r>
      <w:r>
        <w:t xml:space="preserve"> </w:t>
      </w:r>
      <w:r>
        <w:rPr>
          <w:b/>
          <w:bCs/>
        </w:rPr>
        <w:t>56</w:t>
      </w:r>
      <w:r>
        <w:t>, 1–6 (1994).</w:t>
      </w:r>
    </w:p>
    <w:p w14:paraId="2D2DC0BC" w14:textId="77777777" w:rsidR="002D38F0" w:rsidRDefault="002D38F0" w:rsidP="002D38F0">
      <w:pPr>
        <w:pStyle w:val="Bibliography"/>
      </w:pPr>
      <w:r>
        <w:t>25.</w:t>
      </w:r>
      <w:r>
        <w:tab/>
      </w:r>
      <w:r>
        <w:rPr>
          <w:i/>
          <w:iCs/>
        </w:rPr>
        <w:t>Fish nutrition</w:t>
      </w:r>
      <w:r>
        <w:t>. (Elsevier, 2021).</w:t>
      </w:r>
    </w:p>
    <w:p w14:paraId="4F47B0BE" w14:textId="77777777" w:rsidR="002D38F0" w:rsidRDefault="002D38F0" w:rsidP="002D38F0">
      <w:pPr>
        <w:pStyle w:val="Bibliography"/>
      </w:pPr>
      <w:r>
        <w:t>26.</w:t>
      </w:r>
      <w:r>
        <w:tab/>
        <w:t xml:space="preserve">Cottrell, R. S. </w:t>
      </w:r>
      <w:r>
        <w:rPr>
          <w:i/>
          <w:iCs/>
        </w:rPr>
        <w:t>et al.</w:t>
      </w:r>
      <w:r>
        <w:t xml:space="preserve"> Time to rethink trophic levels in aquaculture policy. </w:t>
      </w:r>
      <w:r>
        <w:rPr>
          <w:i/>
          <w:iCs/>
        </w:rPr>
        <w:t xml:space="preserve">Rev. </w:t>
      </w:r>
      <w:proofErr w:type="spellStart"/>
      <w:r>
        <w:rPr>
          <w:i/>
          <w:iCs/>
        </w:rPr>
        <w:t>Aquac</w:t>
      </w:r>
      <w:proofErr w:type="spellEnd"/>
      <w:r>
        <w:rPr>
          <w:i/>
          <w:iCs/>
        </w:rPr>
        <w:t>.</w:t>
      </w:r>
      <w:r>
        <w:t xml:space="preserve"> </w:t>
      </w:r>
      <w:r>
        <w:rPr>
          <w:b/>
          <w:bCs/>
        </w:rPr>
        <w:t>13</w:t>
      </w:r>
      <w:r>
        <w:t>, 1583–1593 (2021).</w:t>
      </w:r>
    </w:p>
    <w:p w14:paraId="0C545350" w14:textId="77777777" w:rsidR="002D38F0" w:rsidRDefault="002D38F0" w:rsidP="002D38F0">
      <w:pPr>
        <w:pStyle w:val="Bibliography"/>
      </w:pPr>
      <w:r>
        <w:t>27.</w:t>
      </w:r>
      <w:r>
        <w:tab/>
        <w:t xml:space="preserve">European Commission. </w:t>
      </w:r>
      <w:r>
        <w:rPr>
          <w:i/>
          <w:iCs/>
        </w:rPr>
        <w:t>EU Bioeconomy Strategy Progress Report</w:t>
      </w:r>
      <w:r>
        <w:t>. https://ec.europa.eu/info/sites/default/files/research_and_innovation/research_by_area/documents/ec_rtd_eu-bioeconomy-strategy-progress.pdf (2022).</w:t>
      </w:r>
    </w:p>
    <w:p w14:paraId="1A0CDD9C" w14:textId="77777777" w:rsidR="002D38F0" w:rsidRDefault="002D38F0" w:rsidP="002D38F0">
      <w:pPr>
        <w:pStyle w:val="Bibliography"/>
      </w:pPr>
      <w:r>
        <w:t>28.</w:t>
      </w:r>
      <w:r>
        <w:tab/>
        <w:t xml:space="preserve">Colombo, S. M. &amp; Turchini, G. M. ‘Aquafeed 3.0’: creating a more resilient aquaculture industry with a circular bioeconomy framework. </w:t>
      </w:r>
      <w:r>
        <w:rPr>
          <w:i/>
          <w:iCs/>
        </w:rPr>
        <w:t xml:space="preserve">Rev. </w:t>
      </w:r>
      <w:proofErr w:type="spellStart"/>
      <w:r>
        <w:rPr>
          <w:i/>
          <w:iCs/>
        </w:rPr>
        <w:t>Aquac</w:t>
      </w:r>
      <w:proofErr w:type="spellEnd"/>
      <w:r>
        <w:rPr>
          <w:i/>
          <w:iCs/>
        </w:rPr>
        <w:t>.</w:t>
      </w:r>
      <w:r>
        <w:t xml:space="preserve"> </w:t>
      </w:r>
      <w:r>
        <w:rPr>
          <w:b/>
          <w:bCs/>
        </w:rPr>
        <w:t>13</w:t>
      </w:r>
      <w:r>
        <w:t>, 1156–1158 (2021).</w:t>
      </w:r>
    </w:p>
    <w:p w14:paraId="7A9E7053" w14:textId="77777777" w:rsidR="002D38F0" w:rsidRDefault="002D38F0" w:rsidP="002D38F0">
      <w:pPr>
        <w:pStyle w:val="Bibliography"/>
      </w:pPr>
      <w:r>
        <w:t>29.</w:t>
      </w:r>
      <w:r>
        <w:tab/>
        <w:t xml:space="preserve">de Boer, I. J. &amp; van </w:t>
      </w:r>
      <w:proofErr w:type="spellStart"/>
      <w:r>
        <w:t>Ittersum</w:t>
      </w:r>
      <w:proofErr w:type="spellEnd"/>
      <w:r>
        <w:t xml:space="preserve">, M. K. </w:t>
      </w:r>
      <w:r>
        <w:rPr>
          <w:i/>
          <w:iCs/>
        </w:rPr>
        <w:t>Circularity in agricultural production</w:t>
      </w:r>
      <w:r>
        <w:t>. (2018).</w:t>
      </w:r>
    </w:p>
    <w:p w14:paraId="2B482B5F" w14:textId="77777777" w:rsidR="002D38F0" w:rsidRDefault="002D38F0" w:rsidP="002D38F0">
      <w:pPr>
        <w:pStyle w:val="Bibliography"/>
      </w:pPr>
      <w:r>
        <w:t>30.</w:t>
      </w:r>
      <w:r>
        <w:tab/>
        <w:t xml:space="preserve">Roy, K., Turkmen, S. &amp; Turchini, G. M. Triggering circularity in aquaculture – an introductory virtual special issue. </w:t>
      </w:r>
      <w:r>
        <w:rPr>
          <w:i/>
          <w:iCs/>
        </w:rPr>
        <w:t>Review in Aquaculture</w:t>
      </w:r>
      <w:r>
        <w:t xml:space="preserve"> https://onlinelibrary.wiley.com/page/journal/17535131/homepage/circularity-in-aquaculture-introduction (2021) doi:10.1111/(ISSN)1753-5131.</w:t>
      </w:r>
    </w:p>
    <w:p w14:paraId="0AB4A1DF" w14:textId="77777777" w:rsidR="002D38F0" w:rsidRDefault="002D38F0" w:rsidP="002D38F0">
      <w:pPr>
        <w:pStyle w:val="Bibliography"/>
      </w:pPr>
      <w:r>
        <w:t>31.</w:t>
      </w:r>
      <w:r>
        <w:tab/>
        <w:t xml:space="preserve">Commission, E. Food, Bioeconomy, Natural Resources, Agriculture and Environment. </w:t>
      </w:r>
      <w:r>
        <w:rPr>
          <w:i/>
          <w:iCs/>
        </w:rPr>
        <w:t>European Commission - European Commission</w:t>
      </w:r>
      <w:r>
        <w:t xml:space="preserve"> https://ec.europa.eu/info/research-and-innovation/funding/funding-opportunities/funding-programmes-and-open-calls/horizon-europe/cluster-6-food-bioeconomy-natural-resources-agriculture-and-environment_en (2019).</w:t>
      </w:r>
    </w:p>
    <w:p w14:paraId="4EB2B0FE" w14:textId="77777777" w:rsidR="002D38F0" w:rsidRDefault="002D38F0" w:rsidP="002D38F0">
      <w:pPr>
        <w:pStyle w:val="Bibliography"/>
      </w:pPr>
      <w:r>
        <w:t>32.</w:t>
      </w:r>
      <w:r>
        <w:tab/>
        <w:t xml:space="preserve">Commission, E. </w:t>
      </w:r>
      <w:r>
        <w:rPr>
          <w:i/>
          <w:iCs/>
        </w:rPr>
        <w:t>Food 2030 pathways for action: research and innovation policy as a driver for sustainable, healthy, and inclusive food systems</w:t>
      </w:r>
      <w:r>
        <w:t>. (European Union Luxembourg, 2020).</w:t>
      </w:r>
    </w:p>
    <w:p w14:paraId="383CD6F7" w14:textId="77777777" w:rsidR="002D38F0" w:rsidRDefault="002D38F0" w:rsidP="002D38F0">
      <w:pPr>
        <w:pStyle w:val="Bibliography"/>
      </w:pPr>
      <w:r>
        <w:t>33.</w:t>
      </w:r>
      <w:r>
        <w:tab/>
      </w:r>
      <w:proofErr w:type="spellStart"/>
      <w:r>
        <w:t>Reike</w:t>
      </w:r>
      <w:proofErr w:type="spellEnd"/>
      <w:r>
        <w:t xml:space="preserve">, D., Vermeulen, W. J. &amp; </w:t>
      </w:r>
      <w:proofErr w:type="spellStart"/>
      <w:r>
        <w:t>Witjes</w:t>
      </w:r>
      <w:proofErr w:type="spellEnd"/>
      <w:r>
        <w:t xml:space="preserve">, S. The circular economy: new or refurbished as CE </w:t>
      </w:r>
      <w:proofErr w:type="gramStart"/>
      <w:r>
        <w:t>3.0?—</w:t>
      </w:r>
      <w:proofErr w:type="gramEnd"/>
      <w:r>
        <w:t xml:space="preserve">exploring controversies in the conceptualization of the circular economy through a focus on history and resource value retention options. </w:t>
      </w:r>
      <w:proofErr w:type="spellStart"/>
      <w:r>
        <w:rPr>
          <w:i/>
          <w:iCs/>
        </w:rPr>
        <w:t>Resour</w:t>
      </w:r>
      <w:proofErr w:type="spellEnd"/>
      <w:r>
        <w:rPr>
          <w:i/>
          <w:iCs/>
        </w:rPr>
        <w:t xml:space="preserve">. </w:t>
      </w:r>
      <w:proofErr w:type="spellStart"/>
      <w:r>
        <w:rPr>
          <w:i/>
          <w:iCs/>
        </w:rPr>
        <w:t>Conserv</w:t>
      </w:r>
      <w:proofErr w:type="spellEnd"/>
      <w:r>
        <w:rPr>
          <w:i/>
          <w:iCs/>
        </w:rPr>
        <w:t xml:space="preserve">. </w:t>
      </w:r>
      <w:proofErr w:type="spellStart"/>
      <w:r>
        <w:rPr>
          <w:i/>
          <w:iCs/>
        </w:rPr>
        <w:t>Recycl</w:t>
      </w:r>
      <w:proofErr w:type="spellEnd"/>
      <w:r>
        <w:rPr>
          <w:i/>
          <w:iCs/>
        </w:rPr>
        <w:t>.</w:t>
      </w:r>
      <w:r>
        <w:t xml:space="preserve"> </w:t>
      </w:r>
      <w:r>
        <w:rPr>
          <w:b/>
          <w:bCs/>
        </w:rPr>
        <w:t>135</w:t>
      </w:r>
      <w:r>
        <w:t>, 246–264 (2018).</w:t>
      </w:r>
    </w:p>
    <w:p w14:paraId="110FA1A4" w14:textId="77777777" w:rsidR="002D38F0" w:rsidRDefault="002D38F0" w:rsidP="002D38F0">
      <w:pPr>
        <w:pStyle w:val="Bibliography"/>
      </w:pPr>
      <w:r>
        <w:t>34.</w:t>
      </w:r>
      <w:r>
        <w:tab/>
        <w:t xml:space="preserve">Muscat, A. </w:t>
      </w:r>
      <w:r>
        <w:rPr>
          <w:i/>
          <w:iCs/>
        </w:rPr>
        <w:t>et al.</w:t>
      </w:r>
      <w:r>
        <w:t xml:space="preserve"> Principles, </w:t>
      </w:r>
      <w:proofErr w:type="gramStart"/>
      <w:r>
        <w:t>drivers</w:t>
      </w:r>
      <w:proofErr w:type="gramEnd"/>
      <w:r>
        <w:t xml:space="preserve"> and opportunities of a circular bioeconomy. </w:t>
      </w:r>
      <w:r>
        <w:rPr>
          <w:i/>
          <w:iCs/>
        </w:rPr>
        <w:t>Nat. Food</w:t>
      </w:r>
      <w:r>
        <w:t xml:space="preserve"> </w:t>
      </w:r>
      <w:r>
        <w:rPr>
          <w:b/>
          <w:bCs/>
        </w:rPr>
        <w:t>2</w:t>
      </w:r>
      <w:r>
        <w:t>, 561–566 (2021).</w:t>
      </w:r>
    </w:p>
    <w:p w14:paraId="1FB8D73D" w14:textId="77777777" w:rsidR="002D38F0" w:rsidRDefault="002D38F0" w:rsidP="002D38F0">
      <w:pPr>
        <w:pStyle w:val="Bibliography"/>
      </w:pPr>
      <w:r>
        <w:t>35.</w:t>
      </w:r>
      <w:r>
        <w:tab/>
      </w:r>
      <w:proofErr w:type="spellStart"/>
      <w:r>
        <w:t>Aschemann-Witzel</w:t>
      </w:r>
      <w:proofErr w:type="spellEnd"/>
      <w:r>
        <w:t xml:space="preserve">, J. &amp; </w:t>
      </w:r>
      <w:proofErr w:type="spellStart"/>
      <w:r>
        <w:t>Peschel</w:t>
      </w:r>
      <w:proofErr w:type="spellEnd"/>
      <w:r>
        <w:t xml:space="preserve">, A. O. How circular will you eat? The sustainability challenge in food and consumer reaction to either waste-to-value or yet underused novel ingredients in food. </w:t>
      </w:r>
      <w:r>
        <w:rPr>
          <w:i/>
          <w:iCs/>
        </w:rPr>
        <w:t>Food Qual. Prefer.</w:t>
      </w:r>
      <w:r>
        <w:t xml:space="preserve"> </w:t>
      </w:r>
      <w:r>
        <w:rPr>
          <w:b/>
          <w:bCs/>
        </w:rPr>
        <w:t>77</w:t>
      </w:r>
      <w:r>
        <w:t>, 15–20 (2019).</w:t>
      </w:r>
    </w:p>
    <w:p w14:paraId="1125FDA7" w14:textId="77777777" w:rsidR="002D38F0" w:rsidRDefault="002D38F0" w:rsidP="002D38F0">
      <w:pPr>
        <w:pStyle w:val="Bibliography"/>
      </w:pPr>
      <w:r>
        <w:t>36.</w:t>
      </w:r>
      <w:r>
        <w:tab/>
        <w:t xml:space="preserve">Aubin, J. </w:t>
      </w:r>
      <w:r>
        <w:rPr>
          <w:i/>
          <w:iCs/>
        </w:rPr>
        <w:t>et al.</w:t>
      </w:r>
      <w:r>
        <w:t xml:space="preserve"> Implementing ecological intensification in fish farming: definition and principles from contrasting experiences. </w:t>
      </w:r>
      <w:r>
        <w:rPr>
          <w:i/>
          <w:iCs/>
        </w:rPr>
        <w:t xml:space="preserve">Rev. </w:t>
      </w:r>
      <w:proofErr w:type="spellStart"/>
      <w:r>
        <w:rPr>
          <w:i/>
          <w:iCs/>
        </w:rPr>
        <w:t>Aquac</w:t>
      </w:r>
      <w:proofErr w:type="spellEnd"/>
      <w:r>
        <w:rPr>
          <w:i/>
          <w:iCs/>
        </w:rPr>
        <w:t>.</w:t>
      </w:r>
      <w:r>
        <w:t xml:space="preserve"> </w:t>
      </w:r>
      <w:r>
        <w:rPr>
          <w:b/>
          <w:bCs/>
        </w:rPr>
        <w:t>11</w:t>
      </w:r>
      <w:r>
        <w:t>, 149–167 (2019).</w:t>
      </w:r>
    </w:p>
    <w:p w14:paraId="7980B5DF" w14:textId="77777777" w:rsidR="002D38F0" w:rsidRDefault="002D38F0" w:rsidP="002D38F0">
      <w:pPr>
        <w:pStyle w:val="Bibliography"/>
      </w:pPr>
      <w:r>
        <w:t>37.</w:t>
      </w:r>
      <w:r>
        <w:tab/>
      </w:r>
      <w:proofErr w:type="spellStart"/>
      <w:r>
        <w:t>Bodirsky</w:t>
      </w:r>
      <w:proofErr w:type="spellEnd"/>
      <w:r>
        <w:t xml:space="preserve">, B. L. </w:t>
      </w:r>
      <w:r>
        <w:rPr>
          <w:i/>
          <w:iCs/>
        </w:rPr>
        <w:t>et al.</w:t>
      </w:r>
      <w:r>
        <w:t xml:space="preserve"> Integrating degrowth and efficiency perspectives enables an emission-neutral food system by 2100. </w:t>
      </w:r>
      <w:r>
        <w:rPr>
          <w:i/>
          <w:iCs/>
        </w:rPr>
        <w:t>Nat. Food</w:t>
      </w:r>
      <w:r>
        <w:t xml:space="preserve"> </w:t>
      </w:r>
      <w:r>
        <w:rPr>
          <w:b/>
          <w:bCs/>
        </w:rPr>
        <w:t>3</w:t>
      </w:r>
      <w:r>
        <w:t>, 341–348 (2022).</w:t>
      </w:r>
    </w:p>
    <w:p w14:paraId="59CE33C8" w14:textId="77777777" w:rsidR="002D38F0" w:rsidRDefault="002D38F0" w:rsidP="002D38F0">
      <w:pPr>
        <w:pStyle w:val="Bibliography"/>
      </w:pPr>
      <w:r>
        <w:t>38.</w:t>
      </w:r>
      <w:r>
        <w:tab/>
        <w:t xml:space="preserve">Campbell, B. M. </w:t>
      </w:r>
      <w:r>
        <w:rPr>
          <w:i/>
          <w:iCs/>
        </w:rPr>
        <w:t>et al.</w:t>
      </w:r>
      <w:r>
        <w:t xml:space="preserve"> Agriculture production as a major driver of the Earth system exceeding planetary boundaries. </w:t>
      </w:r>
      <w:r>
        <w:rPr>
          <w:i/>
          <w:iCs/>
        </w:rPr>
        <w:t>Ecol. Soc.</w:t>
      </w:r>
      <w:r>
        <w:t xml:space="preserve"> </w:t>
      </w:r>
      <w:r>
        <w:rPr>
          <w:b/>
          <w:bCs/>
        </w:rPr>
        <w:t>22</w:t>
      </w:r>
      <w:r>
        <w:t>, (2017).</w:t>
      </w:r>
    </w:p>
    <w:p w14:paraId="56A55E97" w14:textId="77777777" w:rsidR="002D38F0" w:rsidRDefault="002D38F0" w:rsidP="002D38F0">
      <w:pPr>
        <w:pStyle w:val="Bibliography"/>
      </w:pPr>
      <w:r>
        <w:t>39.</w:t>
      </w:r>
      <w:r>
        <w:tab/>
      </w:r>
      <w:proofErr w:type="spellStart"/>
      <w:r>
        <w:t>Frehner</w:t>
      </w:r>
      <w:proofErr w:type="spellEnd"/>
      <w:r>
        <w:t xml:space="preserve">, A. </w:t>
      </w:r>
      <w:r>
        <w:rPr>
          <w:i/>
          <w:iCs/>
        </w:rPr>
        <w:t>et al.</w:t>
      </w:r>
      <w:r>
        <w:t xml:space="preserve"> The compatibility of circularity and national dietary recommendations for animal products in five European countries: a modelling analysis on nutritional feasibility, climate impact, and land use. </w:t>
      </w:r>
      <w:r>
        <w:rPr>
          <w:i/>
          <w:iCs/>
        </w:rPr>
        <w:t>Lancet Planet. Health</w:t>
      </w:r>
      <w:r>
        <w:t xml:space="preserve"> </w:t>
      </w:r>
      <w:r>
        <w:rPr>
          <w:b/>
          <w:bCs/>
        </w:rPr>
        <w:t>6</w:t>
      </w:r>
      <w:r>
        <w:t>, e475–e483 (2022).</w:t>
      </w:r>
    </w:p>
    <w:p w14:paraId="212AA604" w14:textId="77777777" w:rsidR="002D38F0" w:rsidRDefault="002D38F0" w:rsidP="002D38F0">
      <w:pPr>
        <w:pStyle w:val="Bibliography"/>
      </w:pPr>
      <w:r>
        <w:t>40.</w:t>
      </w:r>
      <w:r>
        <w:tab/>
      </w:r>
      <w:proofErr w:type="spellStart"/>
      <w:r>
        <w:t>Gerten</w:t>
      </w:r>
      <w:proofErr w:type="spellEnd"/>
      <w:r>
        <w:t xml:space="preserve">, D. </w:t>
      </w:r>
      <w:r>
        <w:rPr>
          <w:i/>
          <w:iCs/>
        </w:rPr>
        <w:t>et al.</w:t>
      </w:r>
      <w:r>
        <w:t xml:space="preserve"> Feeding ten billion people is possible within four terrestrial planetary boundaries. </w:t>
      </w:r>
      <w:r>
        <w:rPr>
          <w:i/>
          <w:iCs/>
        </w:rPr>
        <w:t>Nat. Sustain.</w:t>
      </w:r>
      <w:r>
        <w:t xml:space="preserve"> </w:t>
      </w:r>
      <w:r>
        <w:rPr>
          <w:b/>
          <w:bCs/>
        </w:rPr>
        <w:t>3</w:t>
      </w:r>
      <w:r>
        <w:t>, 200–208 (2020).</w:t>
      </w:r>
    </w:p>
    <w:p w14:paraId="7C2FB527" w14:textId="77777777" w:rsidR="002D38F0" w:rsidRDefault="002D38F0" w:rsidP="002D38F0">
      <w:pPr>
        <w:pStyle w:val="Bibliography"/>
      </w:pPr>
      <w:r>
        <w:t>41.</w:t>
      </w:r>
      <w:r>
        <w:tab/>
      </w:r>
      <w:proofErr w:type="spellStart"/>
      <w:r>
        <w:t>Girotto</w:t>
      </w:r>
      <w:proofErr w:type="spellEnd"/>
      <w:r>
        <w:t xml:space="preserve">, F. &amp; Piazza, L. Food waste bioconversion into new food: A </w:t>
      </w:r>
      <w:proofErr w:type="gramStart"/>
      <w:r>
        <w:t>mini-review</w:t>
      </w:r>
      <w:proofErr w:type="gramEnd"/>
      <w:r>
        <w:t xml:space="preserve"> on nutrients circularity in the production of mushrooms, microalgae and insects. </w:t>
      </w:r>
      <w:r>
        <w:rPr>
          <w:i/>
          <w:iCs/>
        </w:rPr>
        <w:t xml:space="preserve">Waste </w:t>
      </w:r>
      <w:proofErr w:type="spellStart"/>
      <w:r>
        <w:rPr>
          <w:i/>
          <w:iCs/>
        </w:rPr>
        <w:t>Manag</w:t>
      </w:r>
      <w:proofErr w:type="spellEnd"/>
      <w:r>
        <w:rPr>
          <w:i/>
          <w:iCs/>
        </w:rPr>
        <w:t>. Res.</w:t>
      </w:r>
      <w:r>
        <w:t xml:space="preserve"> </w:t>
      </w:r>
      <w:r>
        <w:rPr>
          <w:b/>
          <w:bCs/>
        </w:rPr>
        <w:t>40</w:t>
      </w:r>
      <w:r>
        <w:t>, 47–53 (2022).</w:t>
      </w:r>
    </w:p>
    <w:p w14:paraId="4D4580DE" w14:textId="77777777" w:rsidR="002D38F0" w:rsidRDefault="002D38F0" w:rsidP="002D38F0">
      <w:pPr>
        <w:pStyle w:val="Bibliography"/>
      </w:pPr>
      <w:r>
        <w:t>42.</w:t>
      </w:r>
      <w:r>
        <w:tab/>
      </w:r>
      <w:proofErr w:type="spellStart"/>
      <w:r>
        <w:t>Regueiro</w:t>
      </w:r>
      <w:proofErr w:type="spellEnd"/>
      <w:r>
        <w:t xml:space="preserve">, L. </w:t>
      </w:r>
      <w:r>
        <w:rPr>
          <w:i/>
          <w:iCs/>
        </w:rPr>
        <w:t>et al.</w:t>
      </w:r>
      <w:r>
        <w:t xml:space="preserve"> Opportunities and limitations for the introduction of circular economy principles in EU aquaculture based on the regulatory framework. </w:t>
      </w:r>
      <w:r>
        <w:rPr>
          <w:i/>
          <w:iCs/>
        </w:rPr>
        <w:t>J. Ind. Ecol.</w:t>
      </w:r>
      <w:r>
        <w:t xml:space="preserve"> </w:t>
      </w:r>
      <w:r>
        <w:rPr>
          <w:b/>
          <w:bCs/>
        </w:rPr>
        <w:t>n/a</w:t>
      </w:r>
      <w:r>
        <w:t>, (2021).</w:t>
      </w:r>
    </w:p>
    <w:p w14:paraId="7E6DAD78" w14:textId="77777777" w:rsidR="002D38F0" w:rsidRDefault="002D38F0" w:rsidP="002D38F0">
      <w:pPr>
        <w:pStyle w:val="Bibliography"/>
      </w:pPr>
      <w:r>
        <w:t>43.</w:t>
      </w:r>
      <w:r>
        <w:tab/>
        <w:t xml:space="preserve">Van </w:t>
      </w:r>
      <w:proofErr w:type="spellStart"/>
      <w:r>
        <w:t>Selm</w:t>
      </w:r>
      <w:proofErr w:type="spellEnd"/>
      <w:r>
        <w:t xml:space="preserve">, B. </w:t>
      </w:r>
      <w:r>
        <w:rPr>
          <w:i/>
          <w:iCs/>
        </w:rPr>
        <w:t>et al.</w:t>
      </w:r>
      <w:r>
        <w:t xml:space="preserve"> Circularity in animal production requires a change in the EAT-Lancet diet in Europe. </w:t>
      </w:r>
      <w:r>
        <w:rPr>
          <w:i/>
          <w:iCs/>
        </w:rPr>
        <w:t>Nat. Food</w:t>
      </w:r>
      <w:r>
        <w:t xml:space="preserve"> </w:t>
      </w:r>
      <w:r>
        <w:rPr>
          <w:b/>
          <w:bCs/>
        </w:rPr>
        <w:t>3</w:t>
      </w:r>
      <w:r>
        <w:t>, 66–73 (2022).</w:t>
      </w:r>
    </w:p>
    <w:p w14:paraId="50A4D937" w14:textId="77777777" w:rsidR="002D38F0" w:rsidRDefault="002D38F0" w:rsidP="002D38F0">
      <w:pPr>
        <w:pStyle w:val="Bibliography"/>
      </w:pPr>
      <w:r>
        <w:t>44.</w:t>
      </w:r>
      <w:r>
        <w:tab/>
        <w:t xml:space="preserve">WWF-WRAP. </w:t>
      </w:r>
      <w:r>
        <w:rPr>
          <w:i/>
          <w:iCs/>
        </w:rPr>
        <w:t>Halving Food Loss and Waste in the EU by 2030: the major steps needed to accelerate progress</w:t>
      </w:r>
      <w:r>
        <w:t>. 72 (2020).</w:t>
      </w:r>
    </w:p>
    <w:p w14:paraId="5F2E004D" w14:textId="77777777" w:rsidR="002D38F0" w:rsidRDefault="002D38F0" w:rsidP="002D38F0">
      <w:pPr>
        <w:pStyle w:val="Bibliography"/>
      </w:pPr>
      <w:r>
        <w:t>45.</w:t>
      </w:r>
      <w:r>
        <w:tab/>
      </w:r>
      <w:proofErr w:type="spellStart"/>
      <w:r>
        <w:t>Dagevos</w:t>
      </w:r>
      <w:proofErr w:type="spellEnd"/>
      <w:r>
        <w:t xml:space="preserve">, H. &amp; </w:t>
      </w:r>
      <w:proofErr w:type="spellStart"/>
      <w:r>
        <w:t>Lauwere</w:t>
      </w:r>
      <w:proofErr w:type="spellEnd"/>
      <w:r>
        <w:t xml:space="preserve">, C. de. Circular Business Models and Circular Agriculture: Perceptions and Practices of Dutch Farmers. </w:t>
      </w:r>
      <w:r>
        <w:rPr>
          <w:i/>
          <w:iCs/>
        </w:rPr>
        <w:t>Sustainability</w:t>
      </w:r>
      <w:r>
        <w:t xml:space="preserve"> </w:t>
      </w:r>
      <w:r>
        <w:rPr>
          <w:b/>
          <w:bCs/>
        </w:rPr>
        <w:t>13</w:t>
      </w:r>
      <w:r>
        <w:t>, 1282 (2021).</w:t>
      </w:r>
    </w:p>
    <w:p w14:paraId="02CE6457" w14:textId="77777777" w:rsidR="002D38F0" w:rsidRDefault="002D38F0" w:rsidP="002D38F0">
      <w:pPr>
        <w:pStyle w:val="Bibliography"/>
      </w:pPr>
      <w:r>
        <w:t>46.</w:t>
      </w:r>
      <w:r>
        <w:tab/>
      </w:r>
      <w:proofErr w:type="spellStart"/>
      <w:r>
        <w:t>D’Abramo</w:t>
      </w:r>
      <w:proofErr w:type="spellEnd"/>
      <w:r>
        <w:t xml:space="preserve">, L. R. &amp; Zeigler, T. R. Development of aquafeeds: Reflections and future perspectives I. The foundational years: 1940-1979. </w:t>
      </w:r>
      <w:r>
        <w:rPr>
          <w:i/>
          <w:iCs/>
        </w:rPr>
        <w:t xml:space="preserve">Aquafeed Adv. Process. </w:t>
      </w:r>
      <w:proofErr w:type="spellStart"/>
      <w:r>
        <w:rPr>
          <w:i/>
          <w:iCs/>
        </w:rPr>
        <w:t>Formul</w:t>
      </w:r>
      <w:proofErr w:type="spellEnd"/>
      <w:r>
        <w:rPr>
          <w:i/>
          <w:iCs/>
        </w:rPr>
        <w:t>.</w:t>
      </w:r>
      <w:r>
        <w:t xml:space="preserve"> </w:t>
      </w:r>
      <w:r>
        <w:rPr>
          <w:b/>
          <w:bCs/>
        </w:rPr>
        <w:t>14</w:t>
      </w:r>
      <w:r>
        <w:t>, 39–43 (2022).</w:t>
      </w:r>
    </w:p>
    <w:p w14:paraId="42EC1354" w14:textId="77777777" w:rsidR="002D38F0" w:rsidRDefault="002D38F0" w:rsidP="002D38F0">
      <w:pPr>
        <w:pStyle w:val="Bibliography"/>
      </w:pPr>
      <w:r>
        <w:t>47.</w:t>
      </w:r>
      <w:r>
        <w:tab/>
        <w:t xml:space="preserve">Naylor, R. L. </w:t>
      </w:r>
      <w:r>
        <w:rPr>
          <w:i/>
          <w:iCs/>
        </w:rPr>
        <w:t>et al.</w:t>
      </w:r>
      <w:r>
        <w:t xml:space="preserve"> Effect of aquaculture on world fish supplies. </w:t>
      </w:r>
      <w:r>
        <w:rPr>
          <w:i/>
          <w:iCs/>
        </w:rPr>
        <w:t>Nature</w:t>
      </w:r>
      <w:r>
        <w:t xml:space="preserve"> </w:t>
      </w:r>
      <w:r>
        <w:rPr>
          <w:b/>
          <w:bCs/>
        </w:rPr>
        <w:t>405</w:t>
      </w:r>
      <w:r>
        <w:t>, 1017–1024 (2000).</w:t>
      </w:r>
    </w:p>
    <w:p w14:paraId="75AE606C" w14:textId="77777777" w:rsidR="002D38F0" w:rsidRDefault="002D38F0" w:rsidP="002D38F0">
      <w:pPr>
        <w:pStyle w:val="Bibliography"/>
      </w:pPr>
      <w:r>
        <w:t>48.</w:t>
      </w:r>
      <w:r>
        <w:tab/>
        <w:t xml:space="preserve">Kabir, K. A., </w:t>
      </w:r>
      <w:proofErr w:type="spellStart"/>
      <w:r>
        <w:t>Schrama</w:t>
      </w:r>
      <w:proofErr w:type="spellEnd"/>
      <w:r>
        <w:t xml:space="preserve">, J. W., </w:t>
      </w:r>
      <w:proofErr w:type="spellStart"/>
      <w:r>
        <w:t>Verreth</w:t>
      </w:r>
      <w:proofErr w:type="spellEnd"/>
      <w:r>
        <w:t xml:space="preserve">, J. A. J., Phillips, M. J. &amp; </w:t>
      </w:r>
      <w:proofErr w:type="spellStart"/>
      <w:r>
        <w:t>Verdegem</w:t>
      </w:r>
      <w:proofErr w:type="spellEnd"/>
      <w:r>
        <w:t xml:space="preserve">, M. C. J. Effect of dietary protein to energy ratio on performance of </w:t>
      </w:r>
      <w:proofErr w:type="spellStart"/>
      <w:r>
        <w:t>nile</w:t>
      </w:r>
      <w:proofErr w:type="spellEnd"/>
      <w:r>
        <w:t xml:space="preserve"> tilapia and food web enhancement in semi-intensive pond aquaculture. </w:t>
      </w:r>
      <w:r>
        <w:rPr>
          <w:i/>
          <w:iCs/>
        </w:rPr>
        <w:t>Aquaculture</w:t>
      </w:r>
      <w:r>
        <w:t xml:space="preserve"> </w:t>
      </w:r>
      <w:r>
        <w:rPr>
          <w:b/>
          <w:bCs/>
        </w:rPr>
        <w:t>499</w:t>
      </w:r>
      <w:r>
        <w:t>, 235–242 (2019).</w:t>
      </w:r>
    </w:p>
    <w:p w14:paraId="3DB5F716" w14:textId="77777777" w:rsidR="002D38F0" w:rsidRDefault="002D38F0" w:rsidP="002D38F0">
      <w:pPr>
        <w:pStyle w:val="Bibliography"/>
      </w:pPr>
      <w:r>
        <w:t>49.</w:t>
      </w:r>
      <w:r>
        <w:tab/>
        <w:t xml:space="preserve">Kabir, K. A., </w:t>
      </w:r>
      <w:proofErr w:type="spellStart"/>
      <w:r>
        <w:t>Verdegem</w:t>
      </w:r>
      <w:proofErr w:type="spellEnd"/>
      <w:r>
        <w:t xml:space="preserve">, M. C. J., </w:t>
      </w:r>
      <w:proofErr w:type="spellStart"/>
      <w:r>
        <w:t>Verreth</w:t>
      </w:r>
      <w:proofErr w:type="spellEnd"/>
      <w:r>
        <w:t xml:space="preserve">, J. A. J., Phillips, M. J. &amp; </w:t>
      </w:r>
      <w:proofErr w:type="spellStart"/>
      <w:r>
        <w:t>Schrama</w:t>
      </w:r>
      <w:proofErr w:type="spellEnd"/>
      <w:r>
        <w:t xml:space="preserve">, J. W. Dietary non-starch polysaccharides influenced natural food web and fish production in semi-intensive pond culture of Nile tilapia. </w:t>
      </w:r>
      <w:r>
        <w:rPr>
          <w:i/>
          <w:iCs/>
        </w:rPr>
        <w:t>Aquaculture</w:t>
      </w:r>
      <w:r>
        <w:t xml:space="preserve"> </w:t>
      </w:r>
      <w:r>
        <w:rPr>
          <w:b/>
          <w:bCs/>
        </w:rPr>
        <w:t>528</w:t>
      </w:r>
      <w:r>
        <w:t>, 735506 (2020).</w:t>
      </w:r>
    </w:p>
    <w:p w14:paraId="08D4D78B" w14:textId="77777777" w:rsidR="002D38F0" w:rsidRDefault="002D38F0" w:rsidP="002D38F0">
      <w:pPr>
        <w:pStyle w:val="Bibliography"/>
      </w:pPr>
      <w:r>
        <w:t>50.</w:t>
      </w:r>
      <w:r>
        <w:tab/>
        <w:t xml:space="preserve">Aubin, J., </w:t>
      </w:r>
      <w:proofErr w:type="spellStart"/>
      <w:r>
        <w:t>Papatryphon</w:t>
      </w:r>
      <w:proofErr w:type="spellEnd"/>
      <w:r>
        <w:t xml:space="preserve">, E., van der Werf, H. M. G. &amp; </w:t>
      </w:r>
      <w:proofErr w:type="spellStart"/>
      <w:r>
        <w:t>Chatzifotis</w:t>
      </w:r>
      <w:proofErr w:type="spellEnd"/>
      <w:r>
        <w:t xml:space="preserve">, S. Assessment of the environmental impact of carnivorous finfish production systems using life cycle assessment. </w:t>
      </w:r>
      <w:r>
        <w:rPr>
          <w:i/>
          <w:iCs/>
        </w:rPr>
        <w:t>J. Clean. Prod.</w:t>
      </w:r>
      <w:r>
        <w:t xml:space="preserve"> </w:t>
      </w:r>
      <w:r>
        <w:rPr>
          <w:b/>
          <w:bCs/>
        </w:rPr>
        <w:t>17</w:t>
      </w:r>
      <w:r>
        <w:t>, 354–361 (2009).</w:t>
      </w:r>
    </w:p>
    <w:p w14:paraId="685DAD16" w14:textId="77777777" w:rsidR="002D38F0" w:rsidRDefault="002D38F0" w:rsidP="002D38F0">
      <w:pPr>
        <w:pStyle w:val="Bibliography"/>
      </w:pPr>
      <w:r>
        <w:t>51.</w:t>
      </w:r>
      <w:r>
        <w:tab/>
        <w:t xml:space="preserve">Biermann, G. &amp; Geist, J. Life cycle assessment of common carp (Cyprinus </w:t>
      </w:r>
      <w:proofErr w:type="spellStart"/>
      <w:r>
        <w:t>carpio</w:t>
      </w:r>
      <w:proofErr w:type="spellEnd"/>
      <w:r>
        <w:t xml:space="preserve"> L.) – A comparison of the environmental impacts of conventional and organic carp aquaculture in Germany. </w:t>
      </w:r>
      <w:r>
        <w:rPr>
          <w:i/>
          <w:iCs/>
        </w:rPr>
        <w:t>Aquaculture</w:t>
      </w:r>
      <w:r>
        <w:t xml:space="preserve"> </w:t>
      </w:r>
      <w:r>
        <w:rPr>
          <w:b/>
          <w:bCs/>
        </w:rPr>
        <w:t>501</w:t>
      </w:r>
      <w:r>
        <w:t>, 404–415 (2019).</w:t>
      </w:r>
    </w:p>
    <w:p w14:paraId="6CC60AAB" w14:textId="77777777" w:rsidR="002D38F0" w:rsidRDefault="002D38F0" w:rsidP="002D38F0">
      <w:pPr>
        <w:pStyle w:val="Bibliography"/>
      </w:pPr>
      <w:r>
        <w:t>52.</w:t>
      </w:r>
      <w:r>
        <w:tab/>
      </w:r>
      <w:proofErr w:type="spellStart"/>
      <w:r>
        <w:t>Henriksson</w:t>
      </w:r>
      <w:proofErr w:type="spellEnd"/>
      <w:r>
        <w:t xml:space="preserve">, P. J. G. </w:t>
      </w:r>
      <w:r>
        <w:rPr>
          <w:i/>
          <w:iCs/>
        </w:rPr>
        <w:t>et al.</w:t>
      </w:r>
      <w:r>
        <w:t xml:space="preserve"> Product Carbon Footprints and Their Uncertainties in Comparative Decision Contexts. </w:t>
      </w:r>
      <w:r>
        <w:rPr>
          <w:i/>
          <w:iCs/>
        </w:rPr>
        <w:t>PLOS ONE</w:t>
      </w:r>
      <w:r>
        <w:t xml:space="preserve"> </w:t>
      </w:r>
      <w:r>
        <w:rPr>
          <w:b/>
          <w:bCs/>
        </w:rPr>
        <w:t>10</w:t>
      </w:r>
      <w:r>
        <w:t>, e0121221 (2015).</w:t>
      </w:r>
    </w:p>
    <w:p w14:paraId="04942E9F" w14:textId="77777777" w:rsidR="002D38F0" w:rsidRDefault="002D38F0" w:rsidP="002D38F0">
      <w:pPr>
        <w:pStyle w:val="Bibliography"/>
      </w:pPr>
      <w:r>
        <w:t>53.</w:t>
      </w:r>
      <w:r>
        <w:tab/>
      </w:r>
      <w:proofErr w:type="spellStart"/>
      <w:r>
        <w:t>Mungkung</w:t>
      </w:r>
      <w:proofErr w:type="spellEnd"/>
      <w:r>
        <w:t xml:space="preserve">, R. </w:t>
      </w:r>
      <w:r>
        <w:rPr>
          <w:i/>
          <w:iCs/>
        </w:rPr>
        <w:t>et al.</w:t>
      </w:r>
      <w:r>
        <w:t xml:space="preserve"> Life Cycle Assessment for environmentally sustainable aquaculture management: a case study of combined aquaculture systems for carp and tilapia. </w:t>
      </w:r>
      <w:r>
        <w:rPr>
          <w:i/>
          <w:iCs/>
        </w:rPr>
        <w:t>J. Clean. Prod.</w:t>
      </w:r>
      <w:r>
        <w:t xml:space="preserve"> </w:t>
      </w:r>
      <w:r>
        <w:rPr>
          <w:b/>
          <w:bCs/>
        </w:rPr>
        <w:t>57</w:t>
      </w:r>
      <w:r>
        <w:t>, 249–256 (2013).</w:t>
      </w:r>
    </w:p>
    <w:p w14:paraId="43CD3DD6" w14:textId="77777777" w:rsidR="002D38F0" w:rsidRDefault="002D38F0" w:rsidP="002D38F0">
      <w:pPr>
        <w:pStyle w:val="Bibliography"/>
      </w:pPr>
      <w:r>
        <w:t>54.</w:t>
      </w:r>
      <w:r>
        <w:tab/>
      </w:r>
      <w:proofErr w:type="spellStart"/>
      <w:r>
        <w:t>Papatryphon</w:t>
      </w:r>
      <w:proofErr w:type="spellEnd"/>
      <w:r>
        <w:t xml:space="preserve">, E., Petit, J., Van der Werf, H. M. G. &amp; Kaushik, S. J. </w:t>
      </w:r>
      <w:r>
        <w:rPr>
          <w:i/>
          <w:iCs/>
        </w:rPr>
        <w:t xml:space="preserve">Life cycle assessment of trout farming in </w:t>
      </w:r>
      <w:proofErr w:type="spellStart"/>
      <w:r>
        <w:rPr>
          <w:i/>
          <w:iCs/>
        </w:rPr>
        <w:t>france</w:t>
      </w:r>
      <w:proofErr w:type="spellEnd"/>
      <w:r>
        <w:rPr>
          <w:i/>
          <w:iCs/>
        </w:rPr>
        <w:t>: a farm level approach</w:t>
      </w:r>
      <w:r>
        <w:t>. 71 (2004).</w:t>
      </w:r>
    </w:p>
    <w:p w14:paraId="33CA1DCC" w14:textId="77777777" w:rsidR="002D38F0" w:rsidRDefault="002D38F0" w:rsidP="002D38F0">
      <w:pPr>
        <w:pStyle w:val="Bibliography"/>
      </w:pPr>
      <w:r>
        <w:t>55.</w:t>
      </w:r>
      <w:r>
        <w:tab/>
      </w:r>
      <w:proofErr w:type="spellStart"/>
      <w:r>
        <w:t>Bohnes</w:t>
      </w:r>
      <w:proofErr w:type="spellEnd"/>
      <w:r>
        <w:t xml:space="preserve">, F. A., </w:t>
      </w:r>
      <w:proofErr w:type="spellStart"/>
      <w:r>
        <w:t>Hauschild</w:t>
      </w:r>
      <w:proofErr w:type="spellEnd"/>
      <w:r>
        <w:t xml:space="preserve">, M. Z., Schlundt, J. &amp; Laurent, A. Life cycle assessments of aquaculture systems: a critical review of reported findings with recommendations for policy and system development. </w:t>
      </w:r>
      <w:r>
        <w:rPr>
          <w:i/>
          <w:iCs/>
        </w:rPr>
        <w:t xml:space="preserve">Rev. </w:t>
      </w:r>
      <w:proofErr w:type="spellStart"/>
      <w:r>
        <w:rPr>
          <w:i/>
          <w:iCs/>
        </w:rPr>
        <w:t>Aquac</w:t>
      </w:r>
      <w:proofErr w:type="spellEnd"/>
      <w:r>
        <w:rPr>
          <w:i/>
          <w:iCs/>
        </w:rPr>
        <w:t>.</w:t>
      </w:r>
      <w:r>
        <w:t xml:space="preserve"> </w:t>
      </w:r>
      <w:r>
        <w:rPr>
          <w:b/>
          <w:bCs/>
        </w:rPr>
        <w:t>11</w:t>
      </w:r>
      <w:r>
        <w:t>, 1061–1079 (2019).</w:t>
      </w:r>
    </w:p>
    <w:p w14:paraId="6BE5F9E4" w14:textId="77777777" w:rsidR="002D38F0" w:rsidRDefault="002D38F0" w:rsidP="002D38F0">
      <w:pPr>
        <w:pStyle w:val="Bibliography"/>
      </w:pPr>
      <w:r>
        <w:t>56.</w:t>
      </w:r>
      <w:r>
        <w:tab/>
        <w:t xml:space="preserve">Newton, R. W. &amp; Little, D. C. Mapping the impacts of farmed Scottish salmon from a life cycle perspective. </w:t>
      </w:r>
      <w:r>
        <w:rPr>
          <w:i/>
          <w:iCs/>
        </w:rPr>
        <w:t>Int. J. Life Cycle Assess.</w:t>
      </w:r>
      <w:r>
        <w:t xml:space="preserve"> </w:t>
      </w:r>
      <w:r>
        <w:rPr>
          <w:b/>
          <w:bCs/>
        </w:rPr>
        <w:t>23</w:t>
      </w:r>
      <w:r>
        <w:t>, 1018–1029 (2018).</w:t>
      </w:r>
    </w:p>
    <w:p w14:paraId="70B09769" w14:textId="77777777" w:rsidR="002D38F0" w:rsidRDefault="002D38F0" w:rsidP="002D38F0">
      <w:pPr>
        <w:pStyle w:val="Bibliography"/>
      </w:pPr>
      <w:r>
        <w:t>57.</w:t>
      </w:r>
      <w:r>
        <w:tab/>
        <w:t xml:space="preserve">Pelletier, N. </w:t>
      </w:r>
      <w:r>
        <w:rPr>
          <w:i/>
          <w:iCs/>
        </w:rPr>
        <w:t>et al.</w:t>
      </w:r>
      <w:r>
        <w:t xml:space="preserve"> Not all salmon are created equal: life cycle assessment (LCA) of global salmon farming systems. </w:t>
      </w:r>
      <w:r>
        <w:rPr>
          <w:i/>
          <w:iCs/>
        </w:rPr>
        <w:t>Environ. Sci. Technol.</w:t>
      </w:r>
      <w:r>
        <w:t xml:space="preserve"> </w:t>
      </w:r>
      <w:r>
        <w:rPr>
          <w:b/>
          <w:bCs/>
        </w:rPr>
        <w:t>43</w:t>
      </w:r>
      <w:r>
        <w:t>, 8730–8736 (2009).</w:t>
      </w:r>
    </w:p>
    <w:p w14:paraId="41AD9373" w14:textId="77777777" w:rsidR="002D38F0" w:rsidRDefault="002D38F0" w:rsidP="002D38F0">
      <w:pPr>
        <w:pStyle w:val="Bibliography"/>
      </w:pPr>
      <w:r>
        <w:t>58.</w:t>
      </w:r>
      <w:r>
        <w:tab/>
      </w:r>
      <w:proofErr w:type="spellStart"/>
      <w:r>
        <w:t>Boissy</w:t>
      </w:r>
      <w:proofErr w:type="spellEnd"/>
      <w:r>
        <w:t xml:space="preserve">, J. </w:t>
      </w:r>
      <w:r>
        <w:rPr>
          <w:i/>
          <w:iCs/>
        </w:rPr>
        <w:t>et al.</w:t>
      </w:r>
      <w:r>
        <w:t xml:space="preserve"> Environmental impacts of plant-based salmonid diets at feed and farm scales. </w:t>
      </w:r>
      <w:r>
        <w:rPr>
          <w:i/>
          <w:iCs/>
        </w:rPr>
        <w:t>Aquaculture</w:t>
      </w:r>
      <w:r>
        <w:t xml:space="preserve"> </w:t>
      </w:r>
      <w:r>
        <w:rPr>
          <w:b/>
          <w:bCs/>
        </w:rPr>
        <w:t>321</w:t>
      </w:r>
      <w:r>
        <w:t>, 61–70 (2011).</w:t>
      </w:r>
    </w:p>
    <w:p w14:paraId="3AFE89CE" w14:textId="77777777" w:rsidR="002D38F0" w:rsidRDefault="002D38F0" w:rsidP="002D38F0">
      <w:pPr>
        <w:pStyle w:val="Bibliography"/>
      </w:pPr>
      <w:r>
        <w:t>59.</w:t>
      </w:r>
      <w:r>
        <w:tab/>
        <w:t xml:space="preserve">Antony Jesu Prabhu, P. </w:t>
      </w:r>
      <w:r>
        <w:rPr>
          <w:i/>
          <w:iCs/>
        </w:rPr>
        <w:t>et al.</w:t>
      </w:r>
      <w:r>
        <w:t xml:space="preserve"> Dietary ingredient composition alters </w:t>
      </w:r>
      <w:proofErr w:type="spellStart"/>
      <w:r>
        <w:t>faecal</w:t>
      </w:r>
      <w:proofErr w:type="spellEnd"/>
      <w:r>
        <w:t xml:space="preserve"> characteristics and waste production in common carp reared in recirculation system. </w:t>
      </w:r>
      <w:r>
        <w:rPr>
          <w:i/>
          <w:iCs/>
        </w:rPr>
        <w:t>Aquaculture</w:t>
      </w:r>
      <w:r>
        <w:t xml:space="preserve"> </w:t>
      </w:r>
      <w:r>
        <w:rPr>
          <w:b/>
          <w:bCs/>
        </w:rPr>
        <w:t>512</w:t>
      </w:r>
      <w:r>
        <w:t>, 734357 (2019).</w:t>
      </w:r>
    </w:p>
    <w:p w14:paraId="51F9744F" w14:textId="77777777" w:rsidR="002D38F0" w:rsidRDefault="002D38F0" w:rsidP="002D38F0">
      <w:pPr>
        <w:pStyle w:val="Bibliography"/>
      </w:pPr>
      <w:r>
        <w:t>60.</w:t>
      </w:r>
      <w:r>
        <w:tab/>
      </w:r>
      <w:proofErr w:type="spellStart"/>
      <w:r>
        <w:t>Kokou</w:t>
      </w:r>
      <w:proofErr w:type="spellEnd"/>
      <w:r>
        <w:t xml:space="preserve">, F. &amp; </w:t>
      </w:r>
      <w:proofErr w:type="spellStart"/>
      <w:r>
        <w:t>Fountoulaki</w:t>
      </w:r>
      <w:proofErr w:type="spellEnd"/>
      <w:r>
        <w:t xml:space="preserve">, E. Aquaculture waste production associated with antinutrient presence in common fish feed plant ingredients. </w:t>
      </w:r>
      <w:r>
        <w:rPr>
          <w:i/>
          <w:iCs/>
        </w:rPr>
        <w:t>Aquaculture</w:t>
      </w:r>
      <w:r>
        <w:t xml:space="preserve"> </w:t>
      </w:r>
      <w:r>
        <w:rPr>
          <w:b/>
          <w:bCs/>
        </w:rPr>
        <w:t>495</w:t>
      </w:r>
      <w:r>
        <w:t>, 295–310 (2018).</w:t>
      </w:r>
    </w:p>
    <w:p w14:paraId="69EFD7AF" w14:textId="77777777" w:rsidR="002D38F0" w:rsidRDefault="002D38F0" w:rsidP="002D38F0">
      <w:pPr>
        <w:pStyle w:val="Bibliography"/>
      </w:pPr>
      <w:r>
        <w:t>61.</w:t>
      </w:r>
      <w:r>
        <w:tab/>
      </w:r>
      <w:proofErr w:type="spellStart"/>
      <w:r>
        <w:t>Tacon</w:t>
      </w:r>
      <w:proofErr w:type="spellEnd"/>
      <w:r>
        <w:t xml:space="preserve">, A. G. J. Trends in Global Aquaculture and Aquafeed Production: 2000–2017. </w:t>
      </w:r>
      <w:r>
        <w:rPr>
          <w:i/>
          <w:iCs/>
        </w:rPr>
        <w:t xml:space="preserve">Rev. Fish. Sci. </w:t>
      </w:r>
      <w:proofErr w:type="spellStart"/>
      <w:r>
        <w:rPr>
          <w:i/>
          <w:iCs/>
        </w:rPr>
        <w:t>Aquac</w:t>
      </w:r>
      <w:proofErr w:type="spellEnd"/>
      <w:r>
        <w:rPr>
          <w:i/>
          <w:iCs/>
        </w:rPr>
        <w:t>.</w:t>
      </w:r>
      <w:r>
        <w:t xml:space="preserve"> </w:t>
      </w:r>
      <w:r>
        <w:rPr>
          <w:b/>
          <w:bCs/>
        </w:rPr>
        <w:t>28</w:t>
      </w:r>
      <w:r>
        <w:t>, 43–56 (2020).</w:t>
      </w:r>
    </w:p>
    <w:p w14:paraId="31323E60" w14:textId="77777777" w:rsidR="002D38F0" w:rsidRDefault="002D38F0" w:rsidP="002D38F0">
      <w:pPr>
        <w:pStyle w:val="Bibliography"/>
      </w:pPr>
      <w:r>
        <w:t>62.</w:t>
      </w:r>
      <w:r>
        <w:tab/>
        <w:t xml:space="preserve">Boyd, C. E. </w:t>
      </w:r>
      <w:r>
        <w:rPr>
          <w:i/>
          <w:iCs/>
        </w:rPr>
        <w:t>et al.</w:t>
      </w:r>
      <w:r>
        <w:t xml:space="preserve"> Achieving sustainable aquaculture: Historical and current perspectives and future needs and challenges. </w:t>
      </w:r>
      <w:r>
        <w:rPr>
          <w:i/>
          <w:iCs/>
        </w:rPr>
        <w:t xml:space="preserve">J. World </w:t>
      </w:r>
      <w:proofErr w:type="spellStart"/>
      <w:r>
        <w:rPr>
          <w:i/>
          <w:iCs/>
        </w:rPr>
        <w:t>Aquac</w:t>
      </w:r>
      <w:proofErr w:type="spellEnd"/>
      <w:r>
        <w:rPr>
          <w:i/>
          <w:iCs/>
        </w:rPr>
        <w:t>. Soc.</w:t>
      </w:r>
      <w:r>
        <w:t xml:space="preserve"> </w:t>
      </w:r>
      <w:r>
        <w:rPr>
          <w:b/>
          <w:bCs/>
        </w:rPr>
        <w:t>51</w:t>
      </w:r>
      <w:r>
        <w:t>, 578–633 (2020).</w:t>
      </w:r>
    </w:p>
    <w:p w14:paraId="6F8FAEA1" w14:textId="77777777" w:rsidR="002D38F0" w:rsidRDefault="002D38F0" w:rsidP="002D38F0">
      <w:pPr>
        <w:pStyle w:val="Bibliography"/>
      </w:pPr>
      <w:r>
        <w:t>63.</w:t>
      </w:r>
      <w:r>
        <w:tab/>
        <w:t xml:space="preserve">Van </w:t>
      </w:r>
      <w:proofErr w:type="spellStart"/>
      <w:r>
        <w:t>Zanten</w:t>
      </w:r>
      <w:proofErr w:type="spellEnd"/>
      <w:r>
        <w:t xml:space="preserve">, H. H. E. </w:t>
      </w:r>
      <w:r>
        <w:rPr>
          <w:i/>
          <w:iCs/>
        </w:rPr>
        <w:t>et al.</w:t>
      </w:r>
      <w:r>
        <w:t xml:space="preserve"> Defining a land boundary for sustainable livestock consumption. </w:t>
      </w:r>
      <w:r>
        <w:rPr>
          <w:i/>
          <w:iCs/>
        </w:rPr>
        <w:t>Glob. Change Biol.</w:t>
      </w:r>
      <w:r>
        <w:t xml:space="preserve"> </w:t>
      </w:r>
      <w:r>
        <w:rPr>
          <w:b/>
          <w:bCs/>
        </w:rPr>
        <w:t>24</w:t>
      </w:r>
      <w:r>
        <w:t>, 4185–4194 (2018).</w:t>
      </w:r>
    </w:p>
    <w:p w14:paraId="762B5ACF" w14:textId="77777777" w:rsidR="002D38F0" w:rsidRDefault="002D38F0" w:rsidP="002D38F0">
      <w:pPr>
        <w:pStyle w:val="Bibliography"/>
      </w:pPr>
      <w:r>
        <w:t>64.</w:t>
      </w:r>
      <w:r>
        <w:tab/>
        <w:t xml:space="preserve">Woodgate, S. L., Wan, A. H., Hartnett, F., Wilkinson, R. G. &amp; Davies, S. J. The </w:t>
      </w:r>
      <w:proofErr w:type="spellStart"/>
      <w:r>
        <w:t>utilisation</w:t>
      </w:r>
      <w:proofErr w:type="spellEnd"/>
      <w:r>
        <w:t xml:space="preserve"> of European processed animal proteins as safe, </w:t>
      </w:r>
      <w:proofErr w:type="gramStart"/>
      <w:r>
        <w:t>sustainable</w:t>
      </w:r>
      <w:proofErr w:type="gramEnd"/>
      <w:r>
        <w:t xml:space="preserve"> and circular ingredients for global aquafeeds. </w:t>
      </w:r>
      <w:r>
        <w:rPr>
          <w:i/>
          <w:iCs/>
        </w:rPr>
        <w:t xml:space="preserve">Rev. </w:t>
      </w:r>
      <w:proofErr w:type="spellStart"/>
      <w:r>
        <w:rPr>
          <w:i/>
          <w:iCs/>
        </w:rPr>
        <w:t>Aquac</w:t>
      </w:r>
      <w:proofErr w:type="spellEnd"/>
      <w:r>
        <w:rPr>
          <w:i/>
          <w:iCs/>
        </w:rPr>
        <w:t>.</w:t>
      </w:r>
      <w:r>
        <w:t xml:space="preserve"> (2022).</w:t>
      </w:r>
    </w:p>
    <w:p w14:paraId="7847AF02" w14:textId="77777777" w:rsidR="002D38F0" w:rsidRDefault="002D38F0" w:rsidP="002D38F0">
      <w:pPr>
        <w:pStyle w:val="Bibliography"/>
      </w:pPr>
      <w:r>
        <w:t>65.</w:t>
      </w:r>
      <w:r>
        <w:tab/>
      </w:r>
      <w:proofErr w:type="spellStart"/>
      <w:r>
        <w:t>Aspevik</w:t>
      </w:r>
      <w:proofErr w:type="spellEnd"/>
      <w:r>
        <w:t xml:space="preserve">, T. </w:t>
      </w:r>
      <w:r>
        <w:rPr>
          <w:i/>
          <w:iCs/>
        </w:rPr>
        <w:t>et al.</w:t>
      </w:r>
      <w:r>
        <w:t xml:space="preserve"> Valorization of proteins from co-and by-products from the fish and meat industry. </w:t>
      </w:r>
      <w:r>
        <w:rPr>
          <w:i/>
          <w:iCs/>
        </w:rPr>
        <w:t>Chem. Chem. Technol. Waste Valorization</w:t>
      </w:r>
      <w:r>
        <w:t xml:space="preserve"> 123–150 (2017).</w:t>
      </w:r>
    </w:p>
    <w:p w14:paraId="7111CAA6" w14:textId="77777777" w:rsidR="002D38F0" w:rsidRDefault="002D38F0" w:rsidP="002D38F0">
      <w:pPr>
        <w:pStyle w:val="Bibliography"/>
      </w:pPr>
      <w:r>
        <w:t>66.</w:t>
      </w:r>
      <w:r>
        <w:tab/>
      </w:r>
      <w:proofErr w:type="spellStart"/>
      <w:r>
        <w:t>Damborg</w:t>
      </w:r>
      <w:proofErr w:type="spellEnd"/>
      <w:r>
        <w:t xml:space="preserve">, V. K., </w:t>
      </w:r>
      <w:proofErr w:type="spellStart"/>
      <w:r>
        <w:t>Stødkilde</w:t>
      </w:r>
      <w:proofErr w:type="spellEnd"/>
      <w:r>
        <w:t xml:space="preserve">, L., Jensen, S. K. &amp; </w:t>
      </w:r>
      <w:proofErr w:type="spellStart"/>
      <w:r>
        <w:t>Weisbjerg</w:t>
      </w:r>
      <w:proofErr w:type="spellEnd"/>
      <w:r>
        <w:t xml:space="preserve">, M. R. Protein value and degradation characteristics of pulp </w:t>
      </w:r>
      <w:proofErr w:type="spellStart"/>
      <w:r>
        <w:t>fibre</w:t>
      </w:r>
      <w:proofErr w:type="spellEnd"/>
      <w:r>
        <w:t xml:space="preserve"> fractions from screw pressed grass, clover, and lucerne. </w:t>
      </w:r>
      <w:r>
        <w:rPr>
          <w:i/>
          <w:iCs/>
        </w:rPr>
        <w:t>Anim. Feed Sci. Technol.</w:t>
      </w:r>
      <w:r>
        <w:t xml:space="preserve"> </w:t>
      </w:r>
      <w:r>
        <w:rPr>
          <w:b/>
          <w:bCs/>
        </w:rPr>
        <w:t>244</w:t>
      </w:r>
      <w:r>
        <w:t>, 93–103 (2018).</w:t>
      </w:r>
    </w:p>
    <w:p w14:paraId="529823EF" w14:textId="77777777" w:rsidR="002D38F0" w:rsidRDefault="002D38F0" w:rsidP="002D38F0">
      <w:pPr>
        <w:pStyle w:val="Bibliography"/>
      </w:pPr>
      <w:r>
        <w:t>67.</w:t>
      </w:r>
      <w:r>
        <w:tab/>
        <w:t xml:space="preserve">Aiyar, A. &amp; </w:t>
      </w:r>
      <w:proofErr w:type="spellStart"/>
      <w:r>
        <w:t>Pingali</w:t>
      </w:r>
      <w:proofErr w:type="spellEnd"/>
      <w:r>
        <w:t xml:space="preserve">, P. </w:t>
      </w:r>
      <w:proofErr w:type="gramStart"/>
      <w:r>
        <w:t>Pandemics</w:t>
      </w:r>
      <w:proofErr w:type="gramEnd"/>
      <w:r>
        <w:t xml:space="preserve"> and food systems - towards a proactive food safety approach to disease prevention &amp; management. </w:t>
      </w:r>
      <w:r>
        <w:rPr>
          <w:i/>
          <w:iCs/>
        </w:rPr>
        <w:t xml:space="preserve">Food </w:t>
      </w:r>
      <w:proofErr w:type="spellStart"/>
      <w:r>
        <w:rPr>
          <w:i/>
          <w:iCs/>
        </w:rPr>
        <w:t>Secur</w:t>
      </w:r>
      <w:proofErr w:type="spellEnd"/>
      <w:r>
        <w:rPr>
          <w:i/>
          <w:iCs/>
        </w:rPr>
        <w:t>.</w:t>
      </w:r>
      <w:r>
        <w:t xml:space="preserve"> </w:t>
      </w:r>
      <w:r>
        <w:rPr>
          <w:b/>
          <w:bCs/>
        </w:rPr>
        <w:t>12</w:t>
      </w:r>
      <w:r>
        <w:t>, 749–756 (2020).</w:t>
      </w:r>
    </w:p>
    <w:p w14:paraId="31A77BBD" w14:textId="77777777" w:rsidR="002D38F0" w:rsidRDefault="002D38F0" w:rsidP="002D38F0">
      <w:pPr>
        <w:pStyle w:val="Bibliography"/>
      </w:pPr>
      <w:r>
        <w:t>68.</w:t>
      </w:r>
      <w:r>
        <w:tab/>
        <w:t xml:space="preserve">Rohr, J. R. </w:t>
      </w:r>
      <w:r>
        <w:rPr>
          <w:i/>
          <w:iCs/>
        </w:rPr>
        <w:t>et al.</w:t>
      </w:r>
      <w:r>
        <w:t xml:space="preserve"> Emerging human infectious diseases and the links to global food production. </w:t>
      </w:r>
      <w:r>
        <w:rPr>
          <w:i/>
          <w:iCs/>
        </w:rPr>
        <w:t>Nat. Sustain.</w:t>
      </w:r>
      <w:r>
        <w:t xml:space="preserve"> </w:t>
      </w:r>
      <w:r>
        <w:rPr>
          <w:b/>
          <w:bCs/>
        </w:rPr>
        <w:t>2</w:t>
      </w:r>
      <w:r>
        <w:t>, 445–456 (2019).</w:t>
      </w:r>
    </w:p>
    <w:p w14:paraId="0142DB6E" w14:textId="77777777" w:rsidR="002D38F0" w:rsidRDefault="002D38F0" w:rsidP="002D38F0">
      <w:pPr>
        <w:pStyle w:val="Bibliography"/>
      </w:pPr>
      <w:r>
        <w:t>69.</w:t>
      </w:r>
      <w:r>
        <w:tab/>
        <w:t xml:space="preserve">Salvador, R. </w:t>
      </w:r>
      <w:r>
        <w:rPr>
          <w:i/>
          <w:iCs/>
        </w:rPr>
        <w:t>et al.</w:t>
      </w:r>
      <w:r>
        <w:t xml:space="preserve"> Key aspects for designing business models for a circular bioeconomy. </w:t>
      </w:r>
      <w:r>
        <w:rPr>
          <w:i/>
          <w:iCs/>
        </w:rPr>
        <w:t>J. Clean. Prod.</w:t>
      </w:r>
      <w:r>
        <w:t xml:space="preserve"> </w:t>
      </w:r>
      <w:r>
        <w:rPr>
          <w:b/>
          <w:bCs/>
        </w:rPr>
        <w:t>278</w:t>
      </w:r>
      <w:r>
        <w:t>, 124341 (2021).</w:t>
      </w:r>
    </w:p>
    <w:p w14:paraId="7CE8AF4C" w14:textId="77777777" w:rsidR="002D38F0" w:rsidRDefault="002D38F0" w:rsidP="002D38F0">
      <w:pPr>
        <w:pStyle w:val="Bibliography"/>
      </w:pPr>
      <w:r>
        <w:t>70.</w:t>
      </w:r>
      <w:r>
        <w:tab/>
        <w:t xml:space="preserve">Gray, R. S. &amp; </w:t>
      </w:r>
      <w:proofErr w:type="spellStart"/>
      <w:r>
        <w:t>Torshizi</w:t>
      </w:r>
      <w:proofErr w:type="spellEnd"/>
      <w:r>
        <w:t xml:space="preserve">, M. Update to agriculture, transportation, and the COVID‐19 crisis. </w:t>
      </w:r>
      <w:r>
        <w:rPr>
          <w:i/>
          <w:iCs/>
        </w:rPr>
        <w:t xml:space="preserve">Can. J. Agric. Econ. Can. </w:t>
      </w:r>
      <w:proofErr w:type="spellStart"/>
      <w:r>
        <w:rPr>
          <w:i/>
          <w:iCs/>
        </w:rPr>
        <w:t>Agroeconomie</w:t>
      </w:r>
      <w:proofErr w:type="spellEnd"/>
      <w:r>
        <w:t xml:space="preserve"> </w:t>
      </w:r>
      <w:r>
        <w:rPr>
          <w:b/>
          <w:bCs/>
        </w:rPr>
        <w:t>69</w:t>
      </w:r>
      <w:r>
        <w:t>, 281–289 (2021).</w:t>
      </w:r>
    </w:p>
    <w:p w14:paraId="0599FA7D" w14:textId="77777777" w:rsidR="002D38F0" w:rsidRDefault="002D38F0" w:rsidP="002D38F0">
      <w:pPr>
        <w:pStyle w:val="Bibliography"/>
      </w:pPr>
      <w:r>
        <w:t>71.</w:t>
      </w:r>
      <w:r>
        <w:tab/>
        <w:t xml:space="preserve">Blanco, M., Sotelo, C. G., </w:t>
      </w:r>
      <w:proofErr w:type="spellStart"/>
      <w:r>
        <w:t>Chapela</w:t>
      </w:r>
      <w:proofErr w:type="spellEnd"/>
      <w:r>
        <w:t xml:space="preserve">, M. J. &amp; Pérez-Martín, R. I. Towards sustainable and efficient use of fishery resources: present and future trends. </w:t>
      </w:r>
      <w:r>
        <w:rPr>
          <w:i/>
          <w:iCs/>
        </w:rPr>
        <w:t>Trends Food Sci. Technol.</w:t>
      </w:r>
      <w:r>
        <w:t xml:space="preserve"> </w:t>
      </w:r>
      <w:r>
        <w:rPr>
          <w:b/>
          <w:bCs/>
        </w:rPr>
        <w:t>18</w:t>
      </w:r>
      <w:r>
        <w:t>, 29–36 (2007).</w:t>
      </w:r>
    </w:p>
    <w:p w14:paraId="7F2B406F" w14:textId="77777777" w:rsidR="002D38F0" w:rsidRDefault="002D38F0" w:rsidP="002D38F0">
      <w:pPr>
        <w:pStyle w:val="Bibliography"/>
      </w:pPr>
      <w:r>
        <w:t>72.</w:t>
      </w:r>
      <w:r>
        <w:tab/>
        <w:t xml:space="preserve">Ramakrishna, R., Shipton, T. A., Hasan, M. R. &amp; Food and Agriculture Organization of the United Nations. </w:t>
      </w:r>
      <w:r>
        <w:rPr>
          <w:i/>
          <w:iCs/>
        </w:rPr>
        <w:t>Feeding and feed management of Indian major carps in Andhra Pradesh, India</w:t>
      </w:r>
      <w:r>
        <w:t>. (Food and Agriculture Organization of the United Nations, 2013).</w:t>
      </w:r>
    </w:p>
    <w:p w14:paraId="3953D6EA" w14:textId="77777777" w:rsidR="002D38F0" w:rsidRDefault="002D38F0" w:rsidP="002D38F0">
      <w:pPr>
        <w:pStyle w:val="Bibliography"/>
      </w:pPr>
      <w:r>
        <w:t>73.</w:t>
      </w:r>
      <w:r>
        <w:tab/>
        <w:t xml:space="preserve">Wong, M. H., Mo, W. Y., Wai-Ming, C., Cheng, Z. &amp; Man, Y. B. Recycle food wastes into high quality fish feeds for safe and quality fish production. </w:t>
      </w:r>
      <w:r>
        <w:rPr>
          <w:i/>
          <w:iCs/>
        </w:rPr>
        <w:t xml:space="preserve">Environ. </w:t>
      </w:r>
      <w:proofErr w:type="spellStart"/>
      <w:r>
        <w:rPr>
          <w:i/>
          <w:iCs/>
        </w:rPr>
        <w:t>Pollut</w:t>
      </w:r>
      <w:proofErr w:type="spellEnd"/>
      <w:r>
        <w:rPr>
          <w:i/>
          <w:iCs/>
        </w:rPr>
        <w:t>.</w:t>
      </w:r>
      <w:r>
        <w:t xml:space="preserve"> </w:t>
      </w:r>
      <w:r>
        <w:rPr>
          <w:b/>
          <w:bCs/>
        </w:rPr>
        <w:t>219</w:t>
      </w:r>
      <w:r>
        <w:t>, 631–638 (2016).</w:t>
      </w:r>
    </w:p>
    <w:p w14:paraId="60689AC2" w14:textId="77777777" w:rsidR="002D38F0" w:rsidRDefault="002D38F0" w:rsidP="002D38F0">
      <w:pPr>
        <w:pStyle w:val="Bibliography"/>
      </w:pPr>
      <w:r>
        <w:t>74.</w:t>
      </w:r>
      <w:r>
        <w:tab/>
        <w:t>Jaffa, M. R. The use of bakery wastes as a nutritional source for fish. (Aston University, 1983).</w:t>
      </w:r>
    </w:p>
    <w:p w14:paraId="2805F6D2" w14:textId="77777777" w:rsidR="002D38F0" w:rsidRDefault="002D38F0" w:rsidP="002D38F0">
      <w:pPr>
        <w:pStyle w:val="Bibliography"/>
      </w:pPr>
      <w:r>
        <w:t>75.</w:t>
      </w:r>
      <w:r>
        <w:tab/>
        <w:t xml:space="preserve">Sorensen, M., Nguyen, G., </w:t>
      </w:r>
      <w:proofErr w:type="spellStart"/>
      <w:r>
        <w:t>Storebakken</w:t>
      </w:r>
      <w:proofErr w:type="spellEnd"/>
      <w:r>
        <w:t xml:space="preserve">, T. &amp; Overland, M. Starch source, screw configuration and injection of steam into the barrel affect the physical quality of extruded fish feed. </w:t>
      </w:r>
      <w:proofErr w:type="spellStart"/>
      <w:r>
        <w:rPr>
          <w:i/>
          <w:iCs/>
        </w:rPr>
        <w:t>Aquac</w:t>
      </w:r>
      <w:proofErr w:type="spellEnd"/>
      <w:r>
        <w:rPr>
          <w:i/>
          <w:iCs/>
        </w:rPr>
        <w:t>. Res.</w:t>
      </w:r>
      <w:r>
        <w:t xml:space="preserve"> </w:t>
      </w:r>
      <w:r>
        <w:rPr>
          <w:b/>
          <w:bCs/>
        </w:rPr>
        <w:t>41</w:t>
      </w:r>
      <w:r>
        <w:t>, 419–432 (2010).</w:t>
      </w:r>
    </w:p>
    <w:p w14:paraId="07DA90D0" w14:textId="77777777" w:rsidR="002D38F0" w:rsidRDefault="002D38F0" w:rsidP="002D38F0">
      <w:pPr>
        <w:pStyle w:val="Bibliography"/>
      </w:pPr>
      <w:r>
        <w:t>76.</w:t>
      </w:r>
      <w:r>
        <w:tab/>
      </w:r>
      <w:proofErr w:type="spellStart"/>
      <w:r>
        <w:t>Podoskina</w:t>
      </w:r>
      <w:proofErr w:type="spellEnd"/>
      <w:r>
        <w:t xml:space="preserve">, T. A., </w:t>
      </w:r>
      <w:proofErr w:type="spellStart"/>
      <w:r>
        <w:t>Podoskin</w:t>
      </w:r>
      <w:proofErr w:type="spellEnd"/>
      <w:r>
        <w:t xml:space="preserve">, A. G. &amp; </w:t>
      </w:r>
      <w:proofErr w:type="spellStart"/>
      <w:r>
        <w:t>Bekina</w:t>
      </w:r>
      <w:proofErr w:type="spellEnd"/>
      <w:r>
        <w:t xml:space="preserve">, E. N. Efficiency of utilization of some potato starch modifications by rainbow trout (Oncorhynchus mykiss). </w:t>
      </w:r>
      <w:r>
        <w:rPr>
          <w:i/>
          <w:iCs/>
        </w:rPr>
        <w:t>Aquaculture</w:t>
      </w:r>
      <w:r>
        <w:t xml:space="preserve"> </w:t>
      </w:r>
      <w:r>
        <w:rPr>
          <w:b/>
          <w:bCs/>
        </w:rPr>
        <w:t>152</w:t>
      </w:r>
      <w:r>
        <w:t>, 235–248 (1997).</w:t>
      </w:r>
    </w:p>
    <w:p w14:paraId="66F229B7" w14:textId="77777777" w:rsidR="002D38F0" w:rsidRDefault="002D38F0" w:rsidP="002D38F0">
      <w:pPr>
        <w:pStyle w:val="Bibliography"/>
      </w:pPr>
      <w:r>
        <w:t>77.</w:t>
      </w:r>
      <w:r>
        <w:tab/>
        <w:t xml:space="preserve">Evans, E. &amp; Messerschmidt, U. Review: Sugar beets as a substitute for grain for lactating dairy cattle. </w:t>
      </w:r>
      <w:r>
        <w:rPr>
          <w:i/>
          <w:iCs/>
        </w:rPr>
        <w:t xml:space="preserve">J. Anim. Sci. </w:t>
      </w:r>
      <w:proofErr w:type="spellStart"/>
      <w:r>
        <w:rPr>
          <w:i/>
          <w:iCs/>
        </w:rPr>
        <w:t>Biotechnol</w:t>
      </w:r>
      <w:proofErr w:type="spellEnd"/>
      <w:r>
        <w:rPr>
          <w:i/>
          <w:iCs/>
        </w:rPr>
        <w:t>.</w:t>
      </w:r>
      <w:r>
        <w:t xml:space="preserve"> </w:t>
      </w:r>
      <w:r>
        <w:rPr>
          <w:b/>
          <w:bCs/>
        </w:rPr>
        <w:t>8</w:t>
      </w:r>
      <w:r>
        <w:t>, (2017).</w:t>
      </w:r>
    </w:p>
    <w:p w14:paraId="73374D7C" w14:textId="77777777" w:rsidR="002D38F0" w:rsidRDefault="002D38F0" w:rsidP="002D38F0">
      <w:pPr>
        <w:pStyle w:val="Bibliography"/>
      </w:pPr>
      <w:r>
        <w:t>78.</w:t>
      </w:r>
      <w:r>
        <w:tab/>
        <w:t xml:space="preserve">San Martin, D. </w:t>
      </w:r>
      <w:r>
        <w:rPr>
          <w:i/>
          <w:iCs/>
        </w:rPr>
        <w:t>et al.</w:t>
      </w:r>
      <w:r>
        <w:t xml:space="preserve"> Brewers’ Spent Yeast and Grain Protein Hydrolysates as Second-Generation Feedstuff for Aquaculture Feed. </w:t>
      </w:r>
      <w:r>
        <w:rPr>
          <w:i/>
          <w:iCs/>
        </w:rPr>
        <w:t>Waste Biomass Valorization</w:t>
      </w:r>
      <w:r>
        <w:t xml:space="preserve"> </w:t>
      </w:r>
      <w:r>
        <w:rPr>
          <w:b/>
          <w:bCs/>
        </w:rPr>
        <w:t>11</w:t>
      </w:r>
      <w:r>
        <w:t>, 5307–5320 (2020).</w:t>
      </w:r>
    </w:p>
    <w:p w14:paraId="2BA47F7D" w14:textId="77777777" w:rsidR="002D38F0" w:rsidRDefault="002D38F0" w:rsidP="002D38F0">
      <w:pPr>
        <w:pStyle w:val="Bibliography"/>
      </w:pPr>
      <w:r>
        <w:t>79.</w:t>
      </w:r>
      <w:r>
        <w:tab/>
      </w:r>
      <w:proofErr w:type="spellStart"/>
      <w:r>
        <w:t>Revesz</w:t>
      </w:r>
      <w:proofErr w:type="spellEnd"/>
      <w:r>
        <w:t xml:space="preserve">, N. </w:t>
      </w:r>
      <w:r>
        <w:rPr>
          <w:i/>
          <w:iCs/>
        </w:rPr>
        <w:t>et al.</w:t>
      </w:r>
      <w:r>
        <w:t xml:space="preserve"> Protein replacement with dried distiller’s grain with </w:t>
      </w:r>
      <w:proofErr w:type="spellStart"/>
      <w:r>
        <w:t>solubles</w:t>
      </w:r>
      <w:proofErr w:type="spellEnd"/>
      <w:r>
        <w:t xml:space="preserve"> (DDGS) in practical diet of common carp (Cyprinus </w:t>
      </w:r>
      <w:proofErr w:type="spellStart"/>
      <w:r>
        <w:t>carpio</w:t>
      </w:r>
      <w:proofErr w:type="spellEnd"/>
      <w:r>
        <w:t xml:space="preserve">). </w:t>
      </w:r>
      <w:proofErr w:type="spellStart"/>
      <w:r>
        <w:rPr>
          <w:i/>
          <w:iCs/>
        </w:rPr>
        <w:t>Aquac</w:t>
      </w:r>
      <w:proofErr w:type="spellEnd"/>
      <w:r>
        <w:rPr>
          <w:i/>
          <w:iCs/>
        </w:rPr>
        <w:t xml:space="preserve">. </w:t>
      </w:r>
      <w:proofErr w:type="spellStart"/>
      <w:r>
        <w:rPr>
          <w:i/>
          <w:iCs/>
        </w:rPr>
        <w:t>Aquar</w:t>
      </w:r>
      <w:proofErr w:type="spellEnd"/>
      <w:r>
        <w:rPr>
          <w:i/>
          <w:iCs/>
        </w:rPr>
        <w:t xml:space="preserve">. </w:t>
      </w:r>
      <w:proofErr w:type="spellStart"/>
      <w:r>
        <w:rPr>
          <w:i/>
          <w:iCs/>
        </w:rPr>
        <w:t>Conserv</w:t>
      </w:r>
      <w:proofErr w:type="spellEnd"/>
      <w:r>
        <w:rPr>
          <w:i/>
          <w:iCs/>
        </w:rPr>
        <w:t>. Legis.</w:t>
      </w:r>
      <w:r>
        <w:t xml:space="preserve"> </w:t>
      </w:r>
      <w:r>
        <w:rPr>
          <w:b/>
          <w:bCs/>
        </w:rPr>
        <w:t>12</w:t>
      </w:r>
      <w:r>
        <w:t>, 1174–1188 (2019).</w:t>
      </w:r>
    </w:p>
    <w:p w14:paraId="60BBB88C" w14:textId="77777777" w:rsidR="002D38F0" w:rsidRDefault="002D38F0" w:rsidP="002D38F0">
      <w:pPr>
        <w:pStyle w:val="Bibliography"/>
      </w:pPr>
      <w:r>
        <w:t>80.</w:t>
      </w:r>
      <w:r>
        <w:tab/>
        <w:t xml:space="preserve">Estevez, A., </w:t>
      </w:r>
      <w:proofErr w:type="spellStart"/>
      <w:r>
        <w:t>Padrell</w:t>
      </w:r>
      <w:proofErr w:type="spellEnd"/>
      <w:r>
        <w:t xml:space="preserve">, L., </w:t>
      </w:r>
      <w:proofErr w:type="spellStart"/>
      <w:r>
        <w:t>Inarra</w:t>
      </w:r>
      <w:proofErr w:type="spellEnd"/>
      <w:r>
        <w:t xml:space="preserve">, B., </w:t>
      </w:r>
      <w:proofErr w:type="spellStart"/>
      <w:r>
        <w:t>Orive</w:t>
      </w:r>
      <w:proofErr w:type="spellEnd"/>
      <w:r>
        <w:t xml:space="preserve">, M. &amp; San Martin, D. Brewery by-products (yeast and spent grain) as protein sources in gilthead seabream (Sparus </w:t>
      </w:r>
      <w:proofErr w:type="spellStart"/>
      <w:r>
        <w:t>aurata</w:t>
      </w:r>
      <w:proofErr w:type="spellEnd"/>
      <w:r>
        <w:t xml:space="preserve">) feeds. </w:t>
      </w:r>
      <w:r>
        <w:rPr>
          <w:i/>
          <w:iCs/>
        </w:rPr>
        <w:t>Aquaculture</w:t>
      </w:r>
      <w:r>
        <w:t xml:space="preserve"> </w:t>
      </w:r>
      <w:r>
        <w:rPr>
          <w:b/>
          <w:bCs/>
        </w:rPr>
        <w:t>543</w:t>
      </w:r>
      <w:r>
        <w:t>, (2021).</w:t>
      </w:r>
    </w:p>
    <w:p w14:paraId="1CA3C068" w14:textId="77777777" w:rsidR="002D38F0" w:rsidRDefault="002D38F0" w:rsidP="002D38F0">
      <w:pPr>
        <w:pStyle w:val="Bibliography"/>
      </w:pPr>
      <w:r>
        <w:t>81.</w:t>
      </w:r>
      <w:r>
        <w:tab/>
        <w:t xml:space="preserve">Dawood, M. A. O. </w:t>
      </w:r>
      <w:r>
        <w:rPr>
          <w:i/>
          <w:iCs/>
        </w:rPr>
        <w:t>et al.</w:t>
      </w:r>
      <w:r>
        <w:t xml:space="preserve"> Fruit processing by-products in the aquafeed industry: A feasible strategy for aquaculture sustainability. </w:t>
      </w:r>
      <w:r>
        <w:rPr>
          <w:i/>
          <w:iCs/>
        </w:rPr>
        <w:t xml:space="preserve">Rev. </w:t>
      </w:r>
      <w:proofErr w:type="spellStart"/>
      <w:r>
        <w:rPr>
          <w:i/>
          <w:iCs/>
        </w:rPr>
        <w:t>Aquac</w:t>
      </w:r>
      <w:proofErr w:type="spellEnd"/>
      <w:r>
        <w:rPr>
          <w:i/>
          <w:iCs/>
        </w:rPr>
        <w:t>.</w:t>
      </w:r>
      <w:r>
        <w:t xml:space="preserve"> (2022) doi:10.1111/raq.12680.</w:t>
      </w:r>
    </w:p>
    <w:p w14:paraId="51191EB0" w14:textId="77777777" w:rsidR="002D38F0" w:rsidRDefault="002D38F0" w:rsidP="002D38F0">
      <w:pPr>
        <w:pStyle w:val="Bibliography"/>
      </w:pPr>
      <w:r>
        <w:t>82.</w:t>
      </w:r>
      <w:r>
        <w:tab/>
      </w:r>
      <w:proofErr w:type="spellStart"/>
      <w:r>
        <w:t>Agboola</w:t>
      </w:r>
      <w:proofErr w:type="spellEnd"/>
      <w:r>
        <w:t xml:space="preserve">, J. O., Øverland, M., </w:t>
      </w:r>
      <w:proofErr w:type="spellStart"/>
      <w:r>
        <w:t>Skrede</w:t>
      </w:r>
      <w:proofErr w:type="spellEnd"/>
      <w:r>
        <w:t xml:space="preserve">, A. &amp; Hansen, J. Ø. Yeast as major protein-rich ingredient in aquafeeds: a review of the implications for aquaculture production. </w:t>
      </w:r>
      <w:r>
        <w:rPr>
          <w:i/>
          <w:iCs/>
        </w:rPr>
        <w:t xml:space="preserve">Rev. </w:t>
      </w:r>
      <w:proofErr w:type="spellStart"/>
      <w:r>
        <w:rPr>
          <w:i/>
          <w:iCs/>
        </w:rPr>
        <w:t>Aquac</w:t>
      </w:r>
      <w:proofErr w:type="spellEnd"/>
      <w:r>
        <w:rPr>
          <w:i/>
          <w:iCs/>
        </w:rPr>
        <w:t>.</w:t>
      </w:r>
      <w:r>
        <w:t xml:space="preserve"> </w:t>
      </w:r>
      <w:r>
        <w:rPr>
          <w:b/>
          <w:bCs/>
        </w:rPr>
        <w:t>13</w:t>
      </w:r>
      <w:r>
        <w:t>, 949–970 (2021).</w:t>
      </w:r>
    </w:p>
    <w:p w14:paraId="4BBB15A9" w14:textId="77777777" w:rsidR="002D38F0" w:rsidRDefault="002D38F0" w:rsidP="002D38F0">
      <w:pPr>
        <w:pStyle w:val="Bibliography"/>
      </w:pPr>
      <w:r>
        <w:t>83.</w:t>
      </w:r>
      <w:r>
        <w:tab/>
        <w:t xml:space="preserve">Colombo, S. M., Zhang, Z., Wong, D. F. &amp; Yuan, Z. Hydrolysis lignin as a multifunctional additive in Atlantic salmon feed improves fish growth performance and pellet quality and shifts gut microbiome. </w:t>
      </w:r>
      <w:proofErr w:type="spellStart"/>
      <w:r>
        <w:rPr>
          <w:i/>
          <w:iCs/>
        </w:rPr>
        <w:t>Aquac</w:t>
      </w:r>
      <w:proofErr w:type="spellEnd"/>
      <w:r>
        <w:rPr>
          <w:i/>
          <w:iCs/>
        </w:rPr>
        <w:t xml:space="preserve">. </w:t>
      </w:r>
      <w:proofErr w:type="spellStart"/>
      <w:r>
        <w:rPr>
          <w:i/>
          <w:iCs/>
        </w:rPr>
        <w:t>Nutr</w:t>
      </w:r>
      <w:proofErr w:type="spellEnd"/>
      <w:r>
        <w:rPr>
          <w:i/>
          <w:iCs/>
        </w:rPr>
        <w:t>.</w:t>
      </w:r>
      <w:r>
        <w:t xml:space="preserve"> </w:t>
      </w:r>
      <w:r>
        <w:rPr>
          <w:b/>
          <w:bCs/>
        </w:rPr>
        <w:t>26</w:t>
      </w:r>
      <w:r>
        <w:t>, 1353–1368 (2020).</w:t>
      </w:r>
    </w:p>
    <w:p w14:paraId="633AD86C" w14:textId="77777777" w:rsidR="002D38F0" w:rsidRDefault="002D38F0" w:rsidP="002D38F0">
      <w:pPr>
        <w:pStyle w:val="Bibliography"/>
      </w:pPr>
      <w:r>
        <w:t>84.</w:t>
      </w:r>
      <w:r>
        <w:tab/>
      </w:r>
      <w:proofErr w:type="spellStart"/>
      <w:r>
        <w:t>Yossa</w:t>
      </w:r>
      <w:proofErr w:type="spellEnd"/>
      <w:r>
        <w:t xml:space="preserve">, R., Levesque, S., </w:t>
      </w:r>
      <w:proofErr w:type="spellStart"/>
      <w:r>
        <w:t>Groman</w:t>
      </w:r>
      <w:proofErr w:type="spellEnd"/>
      <w:r>
        <w:t xml:space="preserve">, D. B. &amp; Lora, J. H. Preliminary evaluation of purified lignin and hemicellulose as prebiotics candidates for Atlantic Salmon, </w:t>
      </w:r>
      <w:r>
        <w:rPr>
          <w:i/>
          <w:iCs/>
        </w:rPr>
        <w:t xml:space="preserve">Salmo </w:t>
      </w:r>
      <w:proofErr w:type="spellStart"/>
      <w:r>
        <w:rPr>
          <w:i/>
          <w:iCs/>
        </w:rPr>
        <w:t>salar</w:t>
      </w:r>
      <w:proofErr w:type="spellEnd"/>
      <w:r>
        <w:t xml:space="preserve"> L. </w:t>
      </w:r>
      <w:r>
        <w:rPr>
          <w:i/>
          <w:iCs/>
        </w:rPr>
        <w:t xml:space="preserve">J. Appl. </w:t>
      </w:r>
      <w:proofErr w:type="spellStart"/>
      <w:r>
        <w:rPr>
          <w:i/>
          <w:iCs/>
        </w:rPr>
        <w:t>Aquac</w:t>
      </w:r>
      <w:proofErr w:type="spellEnd"/>
      <w:r>
        <w:rPr>
          <w:i/>
          <w:iCs/>
        </w:rPr>
        <w:t>.</w:t>
      </w:r>
      <w:r>
        <w:t xml:space="preserve"> </w:t>
      </w:r>
      <w:r>
        <w:rPr>
          <w:b/>
          <w:bCs/>
        </w:rPr>
        <w:t>30</w:t>
      </w:r>
      <w:r>
        <w:t>, 256–271 (2018).</w:t>
      </w:r>
    </w:p>
    <w:p w14:paraId="638D93E1" w14:textId="77777777" w:rsidR="002D38F0" w:rsidRDefault="002D38F0" w:rsidP="002D38F0">
      <w:pPr>
        <w:pStyle w:val="Bibliography"/>
      </w:pPr>
      <w:r>
        <w:t>85.</w:t>
      </w:r>
      <w:r>
        <w:tab/>
        <w:t xml:space="preserve">Tseng, M.-L., Chiu, A. S. F., Chien, C.-F. &amp; Tan, R. R. </w:t>
      </w:r>
      <w:proofErr w:type="gramStart"/>
      <w:r>
        <w:t>Pathways</w:t>
      </w:r>
      <w:proofErr w:type="gramEnd"/>
      <w:r>
        <w:t xml:space="preserve"> and barriers to circularity in food systems. </w:t>
      </w:r>
      <w:proofErr w:type="spellStart"/>
      <w:r>
        <w:rPr>
          <w:i/>
          <w:iCs/>
        </w:rPr>
        <w:t>Resour</w:t>
      </w:r>
      <w:proofErr w:type="spellEnd"/>
      <w:r>
        <w:rPr>
          <w:i/>
          <w:iCs/>
        </w:rPr>
        <w:t xml:space="preserve">. </w:t>
      </w:r>
      <w:proofErr w:type="spellStart"/>
      <w:r>
        <w:rPr>
          <w:i/>
          <w:iCs/>
        </w:rPr>
        <w:t>Conserv</w:t>
      </w:r>
      <w:proofErr w:type="spellEnd"/>
      <w:r>
        <w:rPr>
          <w:i/>
          <w:iCs/>
        </w:rPr>
        <w:t xml:space="preserve">. </w:t>
      </w:r>
      <w:proofErr w:type="spellStart"/>
      <w:r>
        <w:rPr>
          <w:i/>
          <w:iCs/>
        </w:rPr>
        <w:t>Recycl</w:t>
      </w:r>
      <w:proofErr w:type="spellEnd"/>
      <w:r>
        <w:rPr>
          <w:i/>
          <w:iCs/>
        </w:rPr>
        <w:t>.</w:t>
      </w:r>
      <w:r>
        <w:t xml:space="preserve"> </w:t>
      </w:r>
      <w:r>
        <w:rPr>
          <w:b/>
          <w:bCs/>
        </w:rPr>
        <w:t>143</w:t>
      </w:r>
      <w:r>
        <w:t>, 236–237 (2019).</w:t>
      </w:r>
    </w:p>
    <w:p w14:paraId="496F071D" w14:textId="77777777" w:rsidR="002D38F0" w:rsidRDefault="002D38F0" w:rsidP="002D38F0">
      <w:pPr>
        <w:pStyle w:val="Bibliography"/>
      </w:pPr>
      <w:r>
        <w:t>86.</w:t>
      </w:r>
      <w:r>
        <w:tab/>
        <w:t xml:space="preserve">Turchini, G. M., Trushenski, J. T. &amp; Glencross, B. D. Thoughts for the future of aquaculture nutrition: realigning perspectives to reflect contemporary issues related to judicious use of marine resources in aquafeeds. </w:t>
      </w:r>
      <w:r>
        <w:rPr>
          <w:i/>
          <w:iCs/>
        </w:rPr>
        <w:t xml:space="preserve">North Am. J. </w:t>
      </w:r>
      <w:proofErr w:type="spellStart"/>
      <w:r>
        <w:rPr>
          <w:i/>
          <w:iCs/>
        </w:rPr>
        <w:t>Aquac</w:t>
      </w:r>
      <w:proofErr w:type="spellEnd"/>
      <w:r>
        <w:rPr>
          <w:i/>
          <w:iCs/>
        </w:rPr>
        <w:t>.</w:t>
      </w:r>
      <w:r>
        <w:t xml:space="preserve"> </w:t>
      </w:r>
      <w:r>
        <w:rPr>
          <w:b/>
          <w:bCs/>
        </w:rPr>
        <w:t>81</w:t>
      </w:r>
      <w:r>
        <w:t>, 13–39 (2019).</w:t>
      </w:r>
    </w:p>
    <w:p w14:paraId="4370BE59" w14:textId="77777777" w:rsidR="002D38F0" w:rsidRDefault="002D38F0" w:rsidP="002D38F0">
      <w:pPr>
        <w:pStyle w:val="Bibliography"/>
      </w:pPr>
      <w:r>
        <w:t>87.</w:t>
      </w:r>
      <w:r>
        <w:tab/>
        <w:t xml:space="preserve">Barton, P. S. &amp; Evans, M. J. Insect biodiversity meets ecosystem function: differential effects of habitat and insects on carrion decomposition. </w:t>
      </w:r>
      <w:r>
        <w:rPr>
          <w:i/>
          <w:iCs/>
        </w:rPr>
        <w:t xml:space="preserve">Ecol. </w:t>
      </w:r>
      <w:proofErr w:type="spellStart"/>
      <w:r>
        <w:rPr>
          <w:i/>
          <w:iCs/>
        </w:rPr>
        <w:t>Entomol</w:t>
      </w:r>
      <w:proofErr w:type="spellEnd"/>
      <w:r>
        <w:rPr>
          <w:i/>
          <w:iCs/>
        </w:rPr>
        <w:t>.</w:t>
      </w:r>
      <w:r>
        <w:t xml:space="preserve"> </w:t>
      </w:r>
      <w:r>
        <w:rPr>
          <w:b/>
          <w:bCs/>
        </w:rPr>
        <w:t>42</w:t>
      </w:r>
      <w:r>
        <w:t>, 364–374 (2017).</w:t>
      </w:r>
    </w:p>
    <w:p w14:paraId="57433BDD" w14:textId="77777777" w:rsidR="002D38F0" w:rsidRDefault="002D38F0" w:rsidP="002D38F0">
      <w:pPr>
        <w:pStyle w:val="Bibliography"/>
      </w:pPr>
      <w:r>
        <w:t>88.</w:t>
      </w:r>
      <w:r>
        <w:tab/>
        <w:t xml:space="preserve">Wilson, E. E. &amp; </w:t>
      </w:r>
      <w:proofErr w:type="spellStart"/>
      <w:r>
        <w:t>Wolkovich</w:t>
      </w:r>
      <w:proofErr w:type="spellEnd"/>
      <w:r>
        <w:t xml:space="preserve">, E. M. Scavenging: how carnivores and carrion structure communities. </w:t>
      </w:r>
      <w:r>
        <w:rPr>
          <w:i/>
          <w:iCs/>
        </w:rPr>
        <w:t xml:space="preserve">Trends Ecol. </w:t>
      </w:r>
      <w:proofErr w:type="spellStart"/>
      <w:r>
        <w:rPr>
          <w:i/>
          <w:iCs/>
        </w:rPr>
        <w:t>Evol</w:t>
      </w:r>
      <w:proofErr w:type="spellEnd"/>
      <w:r>
        <w:rPr>
          <w:i/>
          <w:iCs/>
        </w:rPr>
        <w:t>.</w:t>
      </w:r>
      <w:r>
        <w:t xml:space="preserve"> </w:t>
      </w:r>
      <w:r>
        <w:rPr>
          <w:b/>
          <w:bCs/>
        </w:rPr>
        <w:t>26</w:t>
      </w:r>
      <w:r>
        <w:t>, 129–135 (2011).</w:t>
      </w:r>
    </w:p>
    <w:p w14:paraId="495C7DD4" w14:textId="77777777" w:rsidR="002D38F0" w:rsidRDefault="002D38F0" w:rsidP="002D38F0">
      <w:pPr>
        <w:pStyle w:val="Bibliography"/>
      </w:pPr>
      <w:r>
        <w:t>89.</w:t>
      </w:r>
      <w:r>
        <w:tab/>
        <w:t xml:space="preserve">Hill, J. E., </w:t>
      </w:r>
      <w:proofErr w:type="spellStart"/>
      <w:r>
        <w:t>DeVault</w:t>
      </w:r>
      <w:proofErr w:type="spellEnd"/>
      <w:r>
        <w:t xml:space="preserve">, T. L., Beasley, J. C., Rhodes Jr, O. E. &amp; </w:t>
      </w:r>
      <w:proofErr w:type="spellStart"/>
      <w:r>
        <w:t>Belant</w:t>
      </w:r>
      <w:proofErr w:type="spellEnd"/>
      <w:r>
        <w:t xml:space="preserve">, J. L. Effects of vulture exclusion on carrion consumption by facultative scavengers. </w:t>
      </w:r>
      <w:r>
        <w:rPr>
          <w:i/>
          <w:iCs/>
        </w:rPr>
        <w:t xml:space="preserve">Ecol. </w:t>
      </w:r>
      <w:proofErr w:type="spellStart"/>
      <w:r>
        <w:rPr>
          <w:i/>
          <w:iCs/>
        </w:rPr>
        <w:t>Evol</w:t>
      </w:r>
      <w:proofErr w:type="spellEnd"/>
      <w:r>
        <w:rPr>
          <w:i/>
          <w:iCs/>
        </w:rPr>
        <w:t>.</w:t>
      </w:r>
      <w:r>
        <w:t xml:space="preserve"> </w:t>
      </w:r>
      <w:r>
        <w:rPr>
          <w:b/>
          <w:bCs/>
        </w:rPr>
        <w:t>8</w:t>
      </w:r>
      <w:r>
        <w:t>, 2518–2526 (2018).</w:t>
      </w:r>
    </w:p>
    <w:p w14:paraId="7C54011C" w14:textId="77777777" w:rsidR="002D38F0" w:rsidRDefault="002D38F0" w:rsidP="002D38F0">
      <w:pPr>
        <w:pStyle w:val="Bibliography"/>
      </w:pPr>
      <w:r>
        <w:t>90.</w:t>
      </w:r>
      <w:r>
        <w:tab/>
        <w:t xml:space="preserve">Vicente, J. &amp; </w:t>
      </w:r>
      <w:proofErr w:type="spellStart"/>
      <w:r>
        <w:t>VerCauteren</w:t>
      </w:r>
      <w:proofErr w:type="spellEnd"/>
      <w:r>
        <w:t xml:space="preserve">, K. The Role of Scavenging in Disease Dynamics. in </w:t>
      </w:r>
      <w:r>
        <w:rPr>
          <w:i/>
          <w:iCs/>
        </w:rPr>
        <w:t>Carrion Ecology and Management</w:t>
      </w:r>
      <w:r>
        <w:t xml:space="preserve"> (eds. Olea, P. P., Mateo-Tomás, P. &amp; Sánchez-Zapata, J. A.) 161–182 (Springer International Publishing, 2019). doi:10.1007/978-3-030-16501-7_7.</w:t>
      </w:r>
    </w:p>
    <w:p w14:paraId="3DBB79DF" w14:textId="77777777" w:rsidR="002D38F0" w:rsidRDefault="002D38F0" w:rsidP="002D38F0">
      <w:pPr>
        <w:pStyle w:val="Bibliography"/>
      </w:pPr>
      <w:r>
        <w:t>91.</w:t>
      </w:r>
      <w:r>
        <w:tab/>
        <w:t xml:space="preserve">Pereira, L. M., Owen-Smith, N. &amp; </w:t>
      </w:r>
      <w:proofErr w:type="spellStart"/>
      <w:r>
        <w:t>Moleón</w:t>
      </w:r>
      <w:proofErr w:type="spellEnd"/>
      <w:r>
        <w:t xml:space="preserve">, M. Facultative predation and scavenging by mammalian carnivores: seasonal, </w:t>
      </w:r>
      <w:proofErr w:type="gramStart"/>
      <w:r>
        <w:t>regional</w:t>
      </w:r>
      <w:proofErr w:type="gramEnd"/>
      <w:r>
        <w:t xml:space="preserve"> and intra-guild comparisons. </w:t>
      </w:r>
      <w:r>
        <w:rPr>
          <w:i/>
          <w:iCs/>
        </w:rPr>
        <w:t>Mammal Rev.</w:t>
      </w:r>
      <w:r>
        <w:t xml:space="preserve"> </w:t>
      </w:r>
      <w:r>
        <w:rPr>
          <w:b/>
          <w:bCs/>
        </w:rPr>
        <w:t>44</w:t>
      </w:r>
      <w:r>
        <w:t>, 44–55 (2014).</w:t>
      </w:r>
    </w:p>
    <w:p w14:paraId="5C3F2CA9" w14:textId="77777777" w:rsidR="002D38F0" w:rsidRDefault="002D38F0" w:rsidP="002D38F0">
      <w:pPr>
        <w:pStyle w:val="Bibliography"/>
      </w:pPr>
      <w:r>
        <w:t>92.</w:t>
      </w:r>
      <w:r>
        <w:tab/>
      </w:r>
      <w:proofErr w:type="spellStart"/>
      <w:r>
        <w:t>DeVault</w:t>
      </w:r>
      <w:proofErr w:type="spellEnd"/>
      <w:r>
        <w:t xml:space="preserve">, T. L., Rhodes, J. &amp; </w:t>
      </w:r>
      <w:proofErr w:type="spellStart"/>
      <w:r>
        <w:t>Shivik</w:t>
      </w:r>
      <w:proofErr w:type="spellEnd"/>
      <w:r>
        <w:t xml:space="preserve">, J. A. Scavenging by vertebrates: behavioral, ecological, and evolutionary perspectives on an important energy transfer pathway in terrestrial ecosystems. </w:t>
      </w:r>
      <w:r>
        <w:rPr>
          <w:i/>
          <w:iCs/>
        </w:rPr>
        <w:t>Oikos</w:t>
      </w:r>
      <w:r>
        <w:t xml:space="preserve"> </w:t>
      </w:r>
      <w:r>
        <w:rPr>
          <w:b/>
          <w:bCs/>
        </w:rPr>
        <w:t>102</w:t>
      </w:r>
      <w:r>
        <w:t>, 225–234 (2003).</w:t>
      </w:r>
    </w:p>
    <w:p w14:paraId="7EA148A0" w14:textId="77777777" w:rsidR="002D38F0" w:rsidRDefault="002D38F0" w:rsidP="002D38F0">
      <w:pPr>
        <w:pStyle w:val="Bibliography"/>
      </w:pPr>
      <w:r>
        <w:t>93.</w:t>
      </w:r>
      <w:r>
        <w:tab/>
        <w:t xml:space="preserve">Ben-David, M., Hanley, T. A., Klein, D. R. &amp; Schell, D. M. Seasonal changes in diets of coastal and riverine mink: the role of spawning Pacific salmon. </w:t>
      </w:r>
      <w:r>
        <w:rPr>
          <w:i/>
          <w:iCs/>
        </w:rPr>
        <w:t>Can. J. Zool.</w:t>
      </w:r>
      <w:r>
        <w:t xml:space="preserve"> </w:t>
      </w:r>
      <w:r>
        <w:rPr>
          <w:b/>
          <w:bCs/>
        </w:rPr>
        <w:t>75</w:t>
      </w:r>
      <w:r>
        <w:t>, 803–811 (1997).</w:t>
      </w:r>
    </w:p>
    <w:p w14:paraId="0C6C1E49" w14:textId="77777777" w:rsidR="002D38F0" w:rsidRDefault="002D38F0" w:rsidP="002D38F0">
      <w:pPr>
        <w:pStyle w:val="Bibliography"/>
      </w:pPr>
      <w:r>
        <w:t>94.</w:t>
      </w:r>
      <w:r>
        <w:tab/>
        <w:t xml:space="preserve">Handler, K. S. </w:t>
      </w:r>
      <w:r>
        <w:rPr>
          <w:i/>
          <w:iCs/>
        </w:rPr>
        <w:t>et al.</w:t>
      </w:r>
      <w:r>
        <w:t xml:space="preserve"> Temporal resource partitioning of wildebeest carcasses by scavengers after riverine mass mortality events. </w:t>
      </w:r>
      <w:r>
        <w:rPr>
          <w:i/>
          <w:iCs/>
        </w:rPr>
        <w:t>Ecosphere</w:t>
      </w:r>
      <w:r>
        <w:t xml:space="preserve"> </w:t>
      </w:r>
      <w:r>
        <w:rPr>
          <w:b/>
          <w:bCs/>
        </w:rPr>
        <w:t>12</w:t>
      </w:r>
      <w:r>
        <w:t>, e03326 (2021).</w:t>
      </w:r>
    </w:p>
    <w:p w14:paraId="2AD2893F" w14:textId="77777777" w:rsidR="002D38F0" w:rsidRDefault="002D38F0" w:rsidP="002D38F0">
      <w:pPr>
        <w:pStyle w:val="Bibliography"/>
      </w:pPr>
      <w:r>
        <w:t>95.</w:t>
      </w:r>
      <w:r>
        <w:tab/>
        <w:t xml:space="preserve">Mateo-Tomás, P. </w:t>
      </w:r>
      <w:r>
        <w:rPr>
          <w:i/>
          <w:iCs/>
        </w:rPr>
        <w:t>et al.</w:t>
      </w:r>
      <w:r>
        <w:t xml:space="preserve"> From regional to global patterns in vertebrate scavenger communities subsidized by big game hunting. </w:t>
      </w:r>
      <w:r>
        <w:rPr>
          <w:i/>
          <w:iCs/>
        </w:rPr>
        <w:t xml:space="preserve">Divers. </w:t>
      </w:r>
      <w:proofErr w:type="spellStart"/>
      <w:r>
        <w:rPr>
          <w:i/>
          <w:iCs/>
        </w:rPr>
        <w:t>Distrib</w:t>
      </w:r>
      <w:proofErr w:type="spellEnd"/>
      <w:r>
        <w:rPr>
          <w:i/>
          <w:iCs/>
        </w:rPr>
        <w:t>.</w:t>
      </w:r>
      <w:r>
        <w:t xml:space="preserve"> </w:t>
      </w:r>
      <w:r>
        <w:rPr>
          <w:b/>
          <w:bCs/>
        </w:rPr>
        <w:t>21</w:t>
      </w:r>
      <w:r>
        <w:t>, 913–924 (2015).</w:t>
      </w:r>
    </w:p>
    <w:p w14:paraId="69E80E99" w14:textId="77777777" w:rsidR="002D38F0" w:rsidRDefault="002D38F0" w:rsidP="002D38F0">
      <w:pPr>
        <w:pStyle w:val="Bibliography"/>
      </w:pPr>
      <w:r>
        <w:t>96.</w:t>
      </w:r>
      <w:r>
        <w:tab/>
      </w:r>
      <w:proofErr w:type="spellStart"/>
      <w:r>
        <w:t>Jędrzejewski</w:t>
      </w:r>
      <w:proofErr w:type="spellEnd"/>
      <w:r>
        <w:t xml:space="preserve">, W. &amp; </w:t>
      </w:r>
      <w:proofErr w:type="spellStart"/>
      <w:r>
        <w:t>Jędrzejewska</w:t>
      </w:r>
      <w:proofErr w:type="spellEnd"/>
      <w:r>
        <w:t xml:space="preserve">, B. Foraging and diet of the red fox Vulpes </w:t>
      </w:r>
      <w:proofErr w:type="spellStart"/>
      <w:r>
        <w:t>vulpes</w:t>
      </w:r>
      <w:proofErr w:type="spellEnd"/>
      <w:r>
        <w:t xml:space="preserve"> in relation to variable food resources in </w:t>
      </w:r>
      <w:proofErr w:type="spellStart"/>
      <w:r>
        <w:t>Biatowieza</w:t>
      </w:r>
      <w:proofErr w:type="spellEnd"/>
      <w:r>
        <w:t xml:space="preserve"> National Park, Poland. </w:t>
      </w:r>
      <w:proofErr w:type="spellStart"/>
      <w:r>
        <w:rPr>
          <w:i/>
          <w:iCs/>
        </w:rPr>
        <w:t>Ecography</w:t>
      </w:r>
      <w:proofErr w:type="spellEnd"/>
      <w:r>
        <w:t xml:space="preserve"> </w:t>
      </w:r>
      <w:r>
        <w:rPr>
          <w:b/>
          <w:bCs/>
        </w:rPr>
        <w:t>15</w:t>
      </w:r>
      <w:r>
        <w:t>, 212–220 (1992).</w:t>
      </w:r>
    </w:p>
    <w:p w14:paraId="06850630" w14:textId="77777777" w:rsidR="002D38F0" w:rsidRDefault="002D38F0" w:rsidP="002D38F0">
      <w:pPr>
        <w:pStyle w:val="Bibliography"/>
      </w:pPr>
      <w:r>
        <w:t>97.</w:t>
      </w:r>
      <w:r>
        <w:tab/>
        <w:t xml:space="preserve">Peers, M. J., Majchrzak, Y. N., </w:t>
      </w:r>
      <w:proofErr w:type="spellStart"/>
      <w:r>
        <w:t>Konkolics</w:t>
      </w:r>
      <w:proofErr w:type="spellEnd"/>
      <w:r>
        <w:t xml:space="preserve">, S. M., </w:t>
      </w:r>
      <w:proofErr w:type="spellStart"/>
      <w:r>
        <w:t>Boonstra</w:t>
      </w:r>
      <w:proofErr w:type="spellEnd"/>
      <w:r>
        <w:t xml:space="preserve">, R. &amp; Boutin, S. Scavenging by Snowshoe hares (Lepus americanus) in Yukon, Canada. </w:t>
      </w:r>
      <w:r>
        <w:rPr>
          <w:i/>
          <w:iCs/>
        </w:rPr>
        <w:t>Northwest. Nat.</w:t>
      </w:r>
      <w:r>
        <w:t xml:space="preserve"> </w:t>
      </w:r>
      <w:r>
        <w:rPr>
          <w:b/>
          <w:bCs/>
        </w:rPr>
        <w:t>99</w:t>
      </w:r>
      <w:r>
        <w:t>, 232–235 (2018).</w:t>
      </w:r>
    </w:p>
    <w:p w14:paraId="384B038E" w14:textId="77777777" w:rsidR="002D38F0" w:rsidRDefault="002D38F0" w:rsidP="002D38F0">
      <w:pPr>
        <w:pStyle w:val="Bibliography"/>
      </w:pPr>
      <w:r>
        <w:t>98.</w:t>
      </w:r>
      <w:r>
        <w:tab/>
        <w:t xml:space="preserve">Carter, D. O., </w:t>
      </w:r>
      <w:proofErr w:type="spellStart"/>
      <w:r>
        <w:t>Yellowlees</w:t>
      </w:r>
      <w:proofErr w:type="spellEnd"/>
      <w:r>
        <w:t xml:space="preserve">, D. &amp; Tibbett, M. Cadaver decomposition in terrestrial ecosystems. </w:t>
      </w:r>
      <w:proofErr w:type="spellStart"/>
      <w:r>
        <w:rPr>
          <w:i/>
          <w:iCs/>
        </w:rPr>
        <w:t>Naturwissenschaften</w:t>
      </w:r>
      <w:proofErr w:type="spellEnd"/>
      <w:r>
        <w:t xml:space="preserve"> </w:t>
      </w:r>
      <w:r>
        <w:rPr>
          <w:b/>
          <w:bCs/>
        </w:rPr>
        <w:t>94</w:t>
      </w:r>
      <w:r>
        <w:t>, 12–24 (2007).</w:t>
      </w:r>
    </w:p>
    <w:p w14:paraId="30D42731" w14:textId="77777777" w:rsidR="002D38F0" w:rsidRDefault="002D38F0" w:rsidP="002D38F0">
      <w:pPr>
        <w:pStyle w:val="Bibliography"/>
      </w:pPr>
      <w:r>
        <w:t>99.</w:t>
      </w:r>
      <w:r>
        <w:tab/>
      </w:r>
      <w:proofErr w:type="spellStart"/>
      <w:r>
        <w:t>Moleón</w:t>
      </w:r>
      <w:proofErr w:type="spellEnd"/>
      <w:r>
        <w:t xml:space="preserve">, M., Sánchez-Zapata, J. A., Sebastián-González, E. &amp; Owen-Smith, N. Carcass size shapes the structure and functioning of an African scavenging assemblage. </w:t>
      </w:r>
      <w:r>
        <w:rPr>
          <w:i/>
          <w:iCs/>
        </w:rPr>
        <w:t>Oikos</w:t>
      </w:r>
      <w:r>
        <w:t xml:space="preserve"> </w:t>
      </w:r>
      <w:r>
        <w:rPr>
          <w:b/>
          <w:bCs/>
        </w:rPr>
        <w:t>124</w:t>
      </w:r>
      <w:r>
        <w:t>, 1391–1403 (2015).</w:t>
      </w:r>
    </w:p>
    <w:p w14:paraId="55F05D03" w14:textId="77777777" w:rsidR="002D38F0" w:rsidRDefault="002D38F0" w:rsidP="002D38F0">
      <w:pPr>
        <w:pStyle w:val="Bibliography"/>
      </w:pPr>
      <w:r>
        <w:t>100.</w:t>
      </w:r>
      <w:r>
        <w:tab/>
      </w:r>
      <w:proofErr w:type="spellStart"/>
      <w:r>
        <w:t>Moleón</w:t>
      </w:r>
      <w:proofErr w:type="spellEnd"/>
      <w:r>
        <w:t xml:space="preserve">, M. </w:t>
      </w:r>
      <w:r>
        <w:rPr>
          <w:i/>
          <w:iCs/>
        </w:rPr>
        <w:t>et al.</w:t>
      </w:r>
      <w:r>
        <w:t xml:space="preserve"> Carnivore carcasses are avoided by carnivores. </w:t>
      </w:r>
      <w:r>
        <w:rPr>
          <w:i/>
          <w:iCs/>
        </w:rPr>
        <w:t>J. Anim. Ecol.</w:t>
      </w:r>
      <w:r>
        <w:t xml:space="preserve"> </w:t>
      </w:r>
      <w:r>
        <w:rPr>
          <w:b/>
          <w:bCs/>
        </w:rPr>
        <w:t>86</w:t>
      </w:r>
      <w:r>
        <w:t>, 1179–1191 (2017).</w:t>
      </w:r>
    </w:p>
    <w:p w14:paraId="012D309C" w14:textId="77777777" w:rsidR="002D38F0" w:rsidRDefault="002D38F0" w:rsidP="002D38F0">
      <w:pPr>
        <w:pStyle w:val="Bibliography"/>
      </w:pPr>
      <w:r>
        <w:t>101.</w:t>
      </w:r>
      <w:r>
        <w:tab/>
        <w:t xml:space="preserve">El-Sayed, A.-F. M. </w:t>
      </w:r>
      <w:r>
        <w:rPr>
          <w:i/>
          <w:iCs/>
        </w:rPr>
        <w:t>Tilapia culture</w:t>
      </w:r>
      <w:r>
        <w:t>. (Elsevier/Academic Press, 2020).</w:t>
      </w:r>
    </w:p>
    <w:p w14:paraId="3DAE6F18" w14:textId="77777777" w:rsidR="002D38F0" w:rsidRDefault="002D38F0" w:rsidP="002D38F0">
      <w:pPr>
        <w:pStyle w:val="Bibliography"/>
      </w:pPr>
      <w:r>
        <w:t>102.</w:t>
      </w:r>
      <w:r>
        <w:tab/>
        <w:t xml:space="preserve">Dam, C. T. M. </w:t>
      </w:r>
      <w:r>
        <w:rPr>
          <w:i/>
          <w:iCs/>
        </w:rPr>
        <w:t>et al.</w:t>
      </w:r>
      <w:r>
        <w:t xml:space="preserve"> Apparent digestibility of raw materials by yellowtail kingfish (Seriola </w:t>
      </w:r>
      <w:proofErr w:type="spellStart"/>
      <w:r>
        <w:t>lalandi</w:t>
      </w:r>
      <w:proofErr w:type="spellEnd"/>
      <w:r>
        <w:t xml:space="preserve">). </w:t>
      </w:r>
      <w:r>
        <w:rPr>
          <w:i/>
          <w:iCs/>
        </w:rPr>
        <w:t>Aquaculture</w:t>
      </w:r>
      <w:r>
        <w:t xml:space="preserve"> </w:t>
      </w:r>
      <w:r>
        <w:rPr>
          <w:b/>
          <w:bCs/>
        </w:rPr>
        <w:t>511</w:t>
      </w:r>
      <w:r>
        <w:t>, 734233 (2019).</w:t>
      </w:r>
    </w:p>
    <w:p w14:paraId="67E8BBD1" w14:textId="77777777" w:rsidR="002D38F0" w:rsidRDefault="002D38F0" w:rsidP="002D38F0">
      <w:pPr>
        <w:pStyle w:val="Bibliography"/>
      </w:pPr>
      <w:r>
        <w:t>103.</w:t>
      </w:r>
      <w:r>
        <w:tab/>
        <w:t xml:space="preserve">Selva, N., </w:t>
      </w:r>
      <w:proofErr w:type="spellStart"/>
      <w:r>
        <w:t>Jedrzejewska</w:t>
      </w:r>
      <w:proofErr w:type="spellEnd"/>
      <w:r>
        <w:t xml:space="preserve">, B., </w:t>
      </w:r>
      <w:proofErr w:type="spellStart"/>
      <w:r>
        <w:t>Jedrzejewski</w:t>
      </w:r>
      <w:proofErr w:type="spellEnd"/>
      <w:r>
        <w:t xml:space="preserve">, W. &amp; </w:t>
      </w:r>
      <w:proofErr w:type="spellStart"/>
      <w:r>
        <w:t>Wajrak</w:t>
      </w:r>
      <w:proofErr w:type="spellEnd"/>
      <w:r>
        <w:t xml:space="preserve">, A. Scavenging on European bison carcasses in </w:t>
      </w:r>
      <w:proofErr w:type="spellStart"/>
      <w:r>
        <w:t>Bialowieza</w:t>
      </w:r>
      <w:proofErr w:type="spellEnd"/>
      <w:r>
        <w:t xml:space="preserve"> primeval forest (eastern Poland). </w:t>
      </w:r>
      <w:proofErr w:type="spellStart"/>
      <w:r>
        <w:rPr>
          <w:i/>
          <w:iCs/>
        </w:rPr>
        <w:t>Ecoscience</w:t>
      </w:r>
      <w:proofErr w:type="spellEnd"/>
      <w:r>
        <w:t xml:space="preserve"> </w:t>
      </w:r>
      <w:r>
        <w:rPr>
          <w:b/>
          <w:bCs/>
        </w:rPr>
        <w:t>10</w:t>
      </w:r>
      <w:r>
        <w:t>, 303–311 (2003).</w:t>
      </w:r>
    </w:p>
    <w:p w14:paraId="667A2CE5" w14:textId="77777777" w:rsidR="002D38F0" w:rsidRDefault="002D38F0" w:rsidP="002D38F0">
      <w:pPr>
        <w:pStyle w:val="Bibliography"/>
      </w:pPr>
      <w:r>
        <w:t>104.</w:t>
      </w:r>
      <w:r>
        <w:tab/>
      </w:r>
      <w:proofErr w:type="spellStart"/>
      <w:r>
        <w:t>Wilmers</w:t>
      </w:r>
      <w:proofErr w:type="spellEnd"/>
      <w:r>
        <w:t xml:space="preserve">, C. C., </w:t>
      </w:r>
      <w:proofErr w:type="spellStart"/>
      <w:r>
        <w:t>Stahler</w:t>
      </w:r>
      <w:proofErr w:type="spellEnd"/>
      <w:r>
        <w:t xml:space="preserve">, D. R., Crabtree, R. L., Smith, D. W. &amp; Getz, W. M. Resource dispersion and consumer dominance: scavenging at wolf- and hunter-killed carcasses in Greater Yellowstone, USA. </w:t>
      </w:r>
      <w:r>
        <w:rPr>
          <w:i/>
          <w:iCs/>
        </w:rPr>
        <w:t>Ecol. Lett.</w:t>
      </w:r>
      <w:r>
        <w:t xml:space="preserve"> </w:t>
      </w:r>
      <w:r>
        <w:rPr>
          <w:b/>
          <w:bCs/>
        </w:rPr>
        <w:t>6</w:t>
      </w:r>
      <w:r>
        <w:t>, 996–1003 (2003).</w:t>
      </w:r>
    </w:p>
    <w:p w14:paraId="78194393" w14:textId="77777777" w:rsidR="002D38F0" w:rsidRDefault="002D38F0" w:rsidP="002D38F0">
      <w:pPr>
        <w:pStyle w:val="Bibliography"/>
      </w:pPr>
      <w:r>
        <w:t>105.</w:t>
      </w:r>
      <w:r>
        <w:tab/>
        <w:t xml:space="preserve">Cortés-Avizanda, A., Selva, N., </w:t>
      </w:r>
      <w:proofErr w:type="spellStart"/>
      <w:r>
        <w:t>Carrete</w:t>
      </w:r>
      <w:proofErr w:type="spellEnd"/>
      <w:r>
        <w:t xml:space="preserve">, M. &amp; </w:t>
      </w:r>
      <w:proofErr w:type="spellStart"/>
      <w:r>
        <w:t>Donázar</w:t>
      </w:r>
      <w:proofErr w:type="spellEnd"/>
      <w:r>
        <w:t xml:space="preserve">, J. A. Effects of carrion resources on herbivore spatial distribution are mediated by facultative scavengers. </w:t>
      </w:r>
      <w:r>
        <w:rPr>
          <w:i/>
          <w:iCs/>
        </w:rPr>
        <w:t>Basic Appl. Ecol.</w:t>
      </w:r>
      <w:r>
        <w:t xml:space="preserve"> </w:t>
      </w:r>
      <w:r>
        <w:rPr>
          <w:b/>
          <w:bCs/>
        </w:rPr>
        <w:t>10</w:t>
      </w:r>
      <w:r>
        <w:t>, 265–272 (2009).</w:t>
      </w:r>
    </w:p>
    <w:p w14:paraId="7C425E4D" w14:textId="77777777" w:rsidR="002D38F0" w:rsidRDefault="002D38F0" w:rsidP="002D38F0">
      <w:pPr>
        <w:pStyle w:val="Bibliography"/>
      </w:pPr>
      <w:r>
        <w:t>106.</w:t>
      </w:r>
      <w:r>
        <w:tab/>
        <w:t xml:space="preserve">FAO, F. The state of world fisheries and aquaculture 2020. Sustainability in action. </w:t>
      </w:r>
      <w:r>
        <w:rPr>
          <w:i/>
          <w:iCs/>
        </w:rPr>
        <w:t>Rome</w:t>
      </w:r>
      <w:r>
        <w:t xml:space="preserve"> (2020).</w:t>
      </w:r>
    </w:p>
    <w:p w14:paraId="1928B293" w14:textId="77777777" w:rsidR="002D38F0" w:rsidRDefault="002D38F0" w:rsidP="002D38F0">
      <w:pPr>
        <w:pStyle w:val="Bibliography"/>
      </w:pPr>
      <w:r>
        <w:t>107.</w:t>
      </w:r>
      <w:r>
        <w:tab/>
      </w:r>
      <w:proofErr w:type="spellStart"/>
      <w:r>
        <w:t>Savoca</w:t>
      </w:r>
      <w:proofErr w:type="spellEnd"/>
      <w:r>
        <w:t xml:space="preserve">, M. S. </w:t>
      </w:r>
      <w:r>
        <w:rPr>
          <w:i/>
          <w:iCs/>
        </w:rPr>
        <w:t>et al.</w:t>
      </w:r>
      <w:r>
        <w:t xml:space="preserve"> Comprehensive bycatch assessment in US fisheries for prioritizing management. </w:t>
      </w:r>
      <w:r>
        <w:rPr>
          <w:i/>
          <w:iCs/>
        </w:rPr>
        <w:t>Nat. Sustain.</w:t>
      </w:r>
      <w:r>
        <w:t xml:space="preserve"> </w:t>
      </w:r>
      <w:r>
        <w:rPr>
          <w:b/>
          <w:bCs/>
        </w:rPr>
        <w:t>3</w:t>
      </w:r>
      <w:r>
        <w:t>, 472–480 (2020).</w:t>
      </w:r>
    </w:p>
    <w:p w14:paraId="49577BF5" w14:textId="77777777" w:rsidR="002D38F0" w:rsidRDefault="002D38F0" w:rsidP="002D38F0">
      <w:pPr>
        <w:pStyle w:val="Bibliography"/>
      </w:pPr>
      <w:r>
        <w:t>108.</w:t>
      </w:r>
      <w:r>
        <w:tab/>
        <w:t xml:space="preserve">Stevens, J. R., Newton, R. W., </w:t>
      </w:r>
      <w:proofErr w:type="spellStart"/>
      <w:r>
        <w:t>Tlusty</w:t>
      </w:r>
      <w:proofErr w:type="spellEnd"/>
      <w:r>
        <w:t xml:space="preserve">, M. &amp; Little, D. C. The rise of aquaculture by-products: Increasing food production, value, and sustainability through strategic </w:t>
      </w:r>
      <w:proofErr w:type="spellStart"/>
      <w:r>
        <w:t>utilisation</w:t>
      </w:r>
      <w:proofErr w:type="spellEnd"/>
      <w:r>
        <w:t xml:space="preserve">. </w:t>
      </w:r>
      <w:r>
        <w:rPr>
          <w:i/>
          <w:iCs/>
        </w:rPr>
        <w:t>Mar. Policy</w:t>
      </w:r>
      <w:r>
        <w:t xml:space="preserve"> </w:t>
      </w:r>
      <w:r>
        <w:rPr>
          <w:b/>
          <w:bCs/>
        </w:rPr>
        <w:t>90</w:t>
      </w:r>
      <w:r>
        <w:t>, 115–124 (2018).</w:t>
      </w:r>
    </w:p>
    <w:p w14:paraId="3C3B3594" w14:textId="77777777" w:rsidR="002D38F0" w:rsidRDefault="002D38F0" w:rsidP="002D38F0">
      <w:pPr>
        <w:pStyle w:val="Bibliography"/>
      </w:pPr>
      <w:r>
        <w:t>109.</w:t>
      </w:r>
      <w:r>
        <w:tab/>
        <w:t xml:space="preserve">Archer, M., Watson, R., Garret, A. &amp; Large, M. </w:t>
      </w:r>
      <w:r>
        <w:rPr>
          <w:i/>
          <w:iCs/>
        </w:rPr>
        <w:t>Strategic framework for seafood waste management</w:t>
      </w:r>
      <w:r>
        <w:t>. (2005).</w:t>
      </w:r>
    </w:p>
    <w:p w14:paraId="468344DC" w14:textId="77777777" w:rsidR="002D38F0" w:rsidRDefault="002D38F0" w:rsidP="002D38F0">
      <w:pPr>
        <w:pStyle w:val="Bibliography"/>
      </w:pPr>
      <w:r>
        <w:t>110.</w:t>
      </w:r>
      <w:r>
        <w:tab/>
        <w:t xml:space="preserve">Nguyen, T. T., Zhang, W., Barber, A. R., </w:t>
      </w:r>
      <w:proofErr w:type="spellStart"/>
      <w:r>
        <w:t>Su</w:t>
      </w:r>
      <w:proofErr w:type="spellEnd"/>
      <w:r>
        <w:t>, P. &amp; He, S. Microwave-intensified enzymatic deproteinization of Australian rock lobster shells (</w:t>
      </w:r>
      <w:proofErr w:type="spellStart"/>
      <w:r>
        <w:t>Jasus</w:t>
      </w:r>
      <w:proofErr w:type="spellEnd"/>
      <w:r>
        <w:t xml:space="preserve"> </w:t>
      </w:r>
      <w:proofErr w:type="spellStart"/>
      <w:r>
        <w:t>edwardsii</w:t>
      </w:r>
      <w:proofErr w:type="spellEnd"/>
      <w:r>
        <w:t xml:space="preserve">) for the efficient recovery of protein hydrolysate as food functional nutrients. </w:t>
      </w:r>
      <w:r>
        <w:rPr>
          <w:i/>
          <w:iCs/>
        </w:rPr>
        <w:t>Food Bioprocess Technol.</w:t>
      </w:r>
      <w:r>
        <w:t xml:space="preserve"> </w:t>
      </w:r>
      <w:r>
        <w:rPr>
          <w:b/>
          <w:bCs/>
        </w:rPr>
        <w:t>9</w:t>
      </w:r>
      <w:r>
        <w:t>, 628–636 (2016).</w:t>
      </w:r>
    </w:p>
    <w:p w14:paraId="34F57A73" w14:textId="77777777" w:rsidR="002D38F0" w:rsidRDefault="002D38F0" w:rsidP="002D38F0">
      <w:pPr>
        <w:pStyle w:val="Bibliography"/>
      </w:pPr>
      <w:r>
        <w:t>111.</w:t>
      </w:r>
      <w:r>
        <w:tab/>
      </w:r>
      <w:proofErr w:type="spellStart"/>
      <w:r>
        <w:t>Cretton</w:t>
      </w:r>
      <w:proofErr w:type="spellEnd"/>
      <w:r>
        <w:t xml:space="preserve">, M., Malanga, G., </w:t>
      </w:r>
      <w:proofErr w:type="spellStart"/>
      <w:r>
        <w:t>Mazzuca</w:t>
      </w:r>
      <w:proofErr w:type="spellEnd"/>
      <w:r>
        <w:t xml:space="preserve"> </w:t>
      </w:r>
      <w:proofErr w:type="spellStart"/>
      <w:r>
        <w:t>Sobczuk</w:t>
      </w:r>
      <w:proofErr w:type="spellEnd"/>
      <w:r>
        <w:t xml:space="preserve">, T. &amp; </w:t>
      </w:r>
      <w:proofErr w:type="spellStart"/>
      <w:r>
        <w:t>Mazzuca</w:t>
      </w:r>
      <w:proofErr w:type="spellEnd"/>
      <w:r>
        <w:t xml:space="preserve">, M. Lipid fraction from industrial crustacean waste and its potential as a supplement for the feed industry: a case study in </w:t>
      </w:r>
      <w:proofErr w:type="spellStart"/>
      <w:r>
        <w:t>argentine</w:t>
      </w:r>
      <w:proofErr w:type="spellEnd"/>
      <w:r>
        <w:t xml:space="preserve"> </w:t>
      </w:r>
      <w:proofErr w:type="spellStart"/>
      <w:r>
        <w:t>patagonia</w:t>
      </w:r>
      <w:proofErr w:type="spellEnd"/>
      <w:r>
        <w:t xml:space="preserve">. </w:t>
      </w:r>
      <w:r>
        <w:rPr>
          <w:i/>
          <w:iCs/>
        </w:rPr>
        <w:t>Waste Biomass Valorization</w:t>
      </w:r>
      <w:r>
        <w:t xml:space="preserve"> </w:t>
      </w:r>
      <w:r>
        <w:rPr>
          <w:b/>
          <w:bCs/>
        </w:rPr>
        <w:t>12</w:t>
      </w:r>
      <w:r>
        <w:t>, 2311–2319 (2021).</w:t>
      </w:r>
    </w:p>
    <w:p w14:paraId="48674F0A" w14:textId="77777777" w:rsidR="002D38F0" w:rsidRDefault="002D38F0" w:rsidP="002D38F0">
      <w:pPr>
        <w:pStyle w:val="Bibliography"/>
      </w:pPr>
      <w:r>
        <w:t>112.</w:t>
      </w:r>
      <w:r>
        <w:tab/>
        <w:t xml:space="preserve">Mo, W. Y., Man, Y. B. &amp; Wong, M. H. Use of food waste, fish waste and food processing waste for China’s aquaculture industry: Needs and challenge. </w:t>
      </w:r>
      <w:r>
        <w:rPr>
          <w:i/>
          <w:iCs/>
        </w:rPr>
        <w:t>Sci. Total Environ.</w:t>
      </w:r>
      <w:r>
        <w:t xml:space="preserve"> </w:t>
      </w:r>
      <w:r>
        <w:rPr>
          <w:b/>
          <w:bCs/>
        </w:rPr>
        <w:t>613–614</w:t>
      </w:r>
      <w:r>
        <w:t>, 635–643 (2018).</w:t>
      </w:r>
    </w:p>
    <w:p w14:paraId="3E50147D" w14:textId="77777777" w:rsidR="002D38F0" w:rsidRDefault="002D38F0" w:rsidP="002D38F0">
      <w:pPr>
        <w:pStyle w:val="Bibliography"/>
      </w:pPr>
      <w:r>
        <w:t>113.</w:t>
      </w:r>
      <w:r>
        <w:tab/>
      </w:r>
      <w:proofErr w:type="spellStart"/>
      <w:r>
        <w:t>Aas</w:t>
      </w:r>
      <w:proofErr w:type="spellEnd"/>
      <w:r>
        <w:t xml:space="preserve">, T. S., </w:t>
      </w:r>
      <w:proofErr w:type="spellStart"/>
      <w:r>
        <w:t>Ytrestøyl</w:t>
      </w:r>
      <w:proofErr w:type="spellEnd"/>
      <w:r>
        <w:t xml:space="preserve">, T. &amp; </w:t>
      </w:r>
      <w:proofErr w:type="spellStart"/>
      <w:r>
        <w:t>Åsgård</w:t>
      </w:r>
      <w:proofErr w:type="spellEnd"/>
      <w:r>
        <w:t xml:space="preserve">, T. Utilization of feed resources in the production of Atlantic salmon (Salmo </w:t>
      </w:r>
      <w:proofErr w:type="spellStart"/>
      <w:r>
        <w:t>salar</w:t>
      </w:r>
      <w:proofErr w:type="spellEnd"/>
      <w:r>
        <w:t xml:space="preserve">) in Norway: An update for 2016. </w:t>
      </w:r>
      <w:proofErr w:type="spellStart"/>
      <w:r>
        <w:rPr>
          <w:i/>
          <w:iCs/>
        </w:rPr>
        <w:t>Aquac</w:t>
      </w:r>
      <w:proofErr w:type="spellEnd"/>
      <w:r>
        <w:rPr>
          <w:i/>
          <w:iCs/>
        </w:rPr>
        <w:t>. Rep.</w:t>
      </w:r>
      <w:r>
        <w:t xml:space="preserve"> </w:t>
      </w:r>
      <w:r>
        <w:rPr>
          <w:b/>
          <w:bCs/>
        </w:rPr>
        <w:t>15</w:t>
      </w:r>
      <w:r>
        <w:t>, 100216 (2019).</w:t>
      </w:r>
    </w:p>
    <w:p w14:paraId="212EE1CB" w14:textId="77777777" w:rsidR="002D38F0" w:rsidRDefault="002D38F0" w:rsidP="002D38F0">
      <w:pPr>
        <w:pStyle w:val="Bibliography"/>
      </w:pPr>
      <w:r>
        <w:t>114.</w:t>
      </w:r>
      <w:r>
        <w:tab/>
      </w:r>
      <w:proofErr w:type="spellStart"/>
      <w:r>
        <w:t>Lionetto</w:t>
      </w:r>
      <w:proofErr w:type="spellEnd"/>
      <w:r>
        <w:t xml:space="preserve">, F. &amp; Esposito </w:t>
      </w:r>
      <w:proofErr w:type="spellStart"/>
      <w:r>
        <w:t>Corcione</w:t>
      </w:r>
      <w:proofErr w:type="spellEnd"/>
      <w:r>
        <w:t xml:space="preserve">, C. Recent applications of biopolymers derived from fish industry waste in food packaging. </w:t>
      </w:r>
      <w:r>
        <w:rPr>
          <w:i/>
          <w:iCs/>
        </w:rPr>
        <w:t>Polymers</w:t>
      </w:r>
      <w:r>
        <w:t xml:space="preserve"> </w:t>
      </w:r>
      <w:r>
        <w:rPr>
          <w:b/>
          <w:bCs/>
        </w:rPr>
        <w:t>13</w:t>
      </w:r>
      <w:r>
        <w:t>, 2337 (2021).</w:t>
      </w:r>
    </w:p>
    <w:p w14:paraId="1E98EF2E" w14:textId="77777777" w:rsidR="002D38F0" w:rsidRDefault="002D38F0" w:rsidP="002D38F0">
      <w:pPr>
        <w:pStyle w:val="Bibliography"/>
      </w:pPr>
      <w:r>
        <w:t>115.</w:t>
      </w:r>
      <w:r>
        <w:tab/>
      </w:r>
      <w:proofErr w:type="spellStart"/>
      <w:r>
        <w:t>Paone</w:t>
      </w:r>
      <w:proofErr w:type="spellEnd"/>
      <w:r>
        <w:t xml:space="preserve">, E. </w:t>
      </w:r>
      <w:r>
        <w:rPr>
          <w:i/>
          <w:iCs/>
        </w:rPr>
        <w:t>et al.</w:t>
      </w:r>
      <w:r>
        <w:t xml:space="preserve"> Towards the anchovy biorefinery: biogas production from anchovy processing waste after fish oil extraction with biobased limonene. </w:t>
      </w:r>
      <w:r>
        <w:rPr>
          <w:i/>
          <w:iCs/>
        </w:rPr>
        <w:t>Sustainability</w:t>
      </w:r>
      <w:r>
        <w:t xml:space="preserve"> </w:t>
      </w:r>
      <w:r>
        <w:rPr>
          <w:b/>
          <w:bCs/>
        </w:rPr>
        <w:t>13</w:t>
      </w:r>
      <w:r>
        <w:t>, 2428 (2021).</w:t>
      </w:r>
    </w:p>
    <w:p w14:paraId="6C1C87A8" w14:textId="77777777" w:rsidR="002D38F0" w:rsidRDefault="002D38F0" w:rsidP="002D38F0">
      <w:pPr>
        <w:pStyle w:val="Bibliography"/>
      </w:pPr>
      <w:r>
        <w:t>116.</w:t>
      </w:r>
      <w:r>
        <w:tab/>
      </w:r>
      <w:proofErr w:type="spellStart"/>
      <w:r>
        <w:t>Abejón</w:t>
      </w:r>
      <w:proofErr w:type="spellEnd"/>
      <w:r>
        <w:t>, R., Belleville, M. P., Sanchez-</w:t>
      </w:r>
      <w:proofErr w:type="spellStart"/>
      <w:r>
        <w:t>Marcano</w:t>
      </w:r>
      <w:proofErr w:type="spellEnd"/>
      <w:r>
        <w:t xml:space="preserve">, J., </w:t>
      </w:r>
      <w:proofErr w:type="spellStart"/>
      <w:r>
        <w:t>Garea</w:t>
      </w:r>
      <w:proofErr w:type="spellEnd"/>
      <w:r>
        <w:t xml:space="preserve">, A. &amp; </w:t>
      </w:r>
      <w:proofErr w:type="spellStart"/>
      <w:r>
        <w:t>Irabien</w:t>
      </w:r>
      <w:proofErr w:type="spellEnd"/>
      <w:r>
        <w:t xml:space="preserve">, A. Optimal design of industrial scale continuous process for fractionation by membrane technologies of protein hydrolysate derived from fish wastes. </w:t>
      </w:r>
      <w:r>
        <w:rPr>
          <w:i/>
          <w:iCs/>
        </w:rPr>
        <w:t xml:space="preserve">Sep. </w:t>
      </w:r>
      <w:proofErr w:type="spellStart"/>
      <w:r>
        <w:rPr>
          <w:i/>
          <w:iCs/>
        </w:rPr>
        <w:t>Purif</w:t>
      </w:r>
      <w:proofErr w:type="spellEnd"/>
      <w:r>
        <w:rPr>
          <w:i/>
          <w:iCs/>
        </w:rPr>
        <w:t>. Technol.</w:t>
      </w:r>
      <w:r>
        <w:t xml:space="preserve"> </w:t>
      </w:r>
      <w:r>
        <w:rPr>
          <w:b/>
          <w:bCs/>
        </w:rPr>
        <w:t>197</w:t>
      </w:r>
      <w:r>
        <w:t>, 137–146 (2018).</w:t>
      </w:r>
    </w:p>
    <w:p w14:paraId="1D8D30F8" w14:textId="77777777" w:rsidR="002D38F0" w:rsidRDefault="002D38F0" w:rsidP="002D38F0">
      <w:pPr>
        <w:pStyle w:val="Bibliography"/>
      </w:pPr>
      <w:r>
        <w:t>117.</w:t>
      </w:r>
      <w:r>
        <w:tab/>
        <w:t xml:space="preserve">Ferraro, V. </w:t>
      </w:r>
      <w:r>
        <w:rPr>
          <w:i/>
          <w:iCs/>
        </w:rPr>
        <w:t>et al.</w:t>
      </w:r>
      <w:r>
        <w:t xml:space="preserve"> Extraction of high added value biological compounds from sardine, sardine-type fish and mackerel canning residues — A review. </w:t>
      </w:r>
      <w:r>
        <w:rPr>
          <w:i/>
          <w:iCs/>
        </w:rPr>
        <w:t>Mater. Sci. Eng. C</w:t>
      </w:r>
      <w:r>
        <w:t xml:space="preserve"> </w:t>
      </w:r>
      <w:r>
        <w:rPr>
          <w:b/>
          <w:bCs/>
        </w:rPr>
        <w:t>33</w:t>
      </w:r>
      <w:r>
        <w:t>, 3111–3120 (2013).</w:t>
      </w:r>
    </w:p>
    <w:p w14:paraId="4C9C542A" w14:textId="77777777" w:rsidR="002D38F0" w:rsidRDefault="002D38F0" w:rsidP="002D38F0">
      <w:pPr>
        <w:pStyle w:val="Bibliography"/>
      </w:pPr>
      <w:r>
        <w:t>118.</w:t>
      </w:r>
      <w:r>
        <w:tab/>
        <w:t xml:space="preserve">Okada, T. &amp; Morrissey, M. T. </w:t>
      </w:r>
      <w:proofErr w:type="gramStart"/>
      <w:r>
        <w:t>Recovery</w:t>
      </w:r>
      <w:proofErr w:type="gramEnd"/>
      <w:r>
        <w:t xml:space="preserve"> and characterization of sardine oil extracted by pH adjustment. </w:t>
      </w:r>
      <w:r>
        <w:rPr>
          <w:i/>
          <w:iCs/>
        </w:rPr>
        <w:t>J. Agric. Food Chem.</w:t>
      </w:r>
      <w:r>
        <w:t xml:space="preserve"> </w:t>
      </w:r>
      <w:r>
        <w:rPr>
          <w:b/>
          <w:bCs/>
        </w:rPr>
        <w:t>55</w:t>
      </w:r>
      <w:r>
        <w:t>, 1808–1813 (2007).</w:t>
      </w:r>
    </w:p>
    <w:p w14:paraId="2455A055" w14:textId="77777777" w:rsidR="002D38F0" w:rsidRDefault="002D38F0" w:rsidP="002D38F0">
      <w:pPr>
        <w:pStyle w:val="Bibliography"/>
      </w:pPr>
      <w:r>
        <w:t>119.</w:t>
      </w:r>
      <w:r>
        <w:tab/>
        <w:t xml:space="preserve">Egerton, S. </w:t>
      </w:r>
      <w:r>
        <w:rPr>
          <w:i/>
          <w:iCs/>
        </w:rPr>
        <w:t>et al.</w:t>
      </w:r>
      <w:r>
        <w:t xml:space="preserve"> Replacing fishmeal with plant protein in Atlantic salmon (Salmo </w:t>
      </w:r>
      <w:proofErr w:type="spellStart"/>
      <w:r>
        <w:t>salar</w:t>
      </w:r>
      <w:proofErr w:type="spellEnd"/>
      <w:r>
        <w:t xml:space="preserve">) diets by supplementation with fish protein hydrolysate. </w:t>
      </w:r>
      <w:r>
        <w:rPr>
          <w:i/>
          <w:iCs/>
        </w:rPr>
        <w:t>Sci. Rep.</w:t>
      </w:r>
      <w:r>
        <w:t xml:space="preserve"> </w:t>
      </w:r>
      <w:r>
        <w:rPr>
          <w:b/>
          <w:bCs/>
        </w:rPr>
        <w:t>10</w:t>
      </w:r>
      <w:r>
        <w:t>, 4194 (2020).</w:t>
      </w:r>
    </w:p>
    <w:p w14:paraId="03F4A4E4" w14:textId="77777777" w:rsidR="002D38F0" w:rsidRDefault="002D38F0" w:rsidP="002D38F0">
      <w:pPr>
        <w:pStyle w:val="Bibliography"/>
      </w:pPr>
      <w:r>
        <w:t>120.</w:t>
      </w:r>
      <w:r>
        <w:tab/>
      </w:r>
      <w:proofErr w:type="spellStart"/>
      <w:r>
        <w:t>Siddik</w:t>
      </w:r>
      <w:proofErr w:type="spellEnd"/>
      <w:r>
        <w:t xml:space="preserve">, M. A. B., </w:t>
      </w:r>
      <w:proofErr w:type="spellStart"/>
      <w:r>
        <w:t>Howieson</w:t>
      </w:r>
      <w:proofErr w:type="spellEnd"/>
      <w:r>
        <w:t xml:space="preserve">, J., </w:t>
      </w:r>
      <w:proofErr w:type="spellStart"/>
      <w:r>
        <w:t>Fotedar</w:t>
      </w:r>
      <w:proofErr w:type="spellEnd"/>
      <w:r>
        <w:t xml:space="preserve">, R. &amp; Partridge, G. J. Enzymatic fish protein hydrolysates in finfish aquaculture: a review. </w:t>
      </w:r>
      <w:r>
        <w:rPr>
          <w:i/>
          <w:iCs/>
        </w:rPr>
        <w:t xml:space="preserve">Rev. </w:t>
      </w:r>
      <w:proofErr w:type="spellStart"/>
      <w:r>
        <w:rPr>
          <w:i/>
          <w:iCs/>
        </w:rPr>
        <w:t>Aquac</w:t>
      </w:r>
      <w:proofErr w:type="spellEnd"/>
      <w:r>
        <w:rPr>
          <w:i/>
          <w:iCs/>
        </w:rPr>
        <w:t>.</w:t>
      </w:r>
      <w:r>
        <w:t xml:space="preserve"> </w:t>
      </w:r>
      <w:r>
        <w:rPr>
          <w:b/>
          <w:bCs/>
        </w:rPr>
        <w:t>13</w:t>
      </w:r>
      <w:r>
        <w:t>, 406–430 (2021).</w:t>
      </w:r>
    </w:p>
    <w:p w14:paraId="5B66614B" w14:textId="77777777" w:rsidR="002D38F0" w:rsidRDefault="002D38F0" w:rsidP="002D38F0">
      <w:pPr>
        <w:pStyle w:val="Bibliography"/>
      </w:pPr>
      <w:r>
        <w:t>121.</w:t>
      </w:r>
      <w:r>
        <w:tab/>
        <w:t>Abdel-</w:t>
      </w:r>
      <w:proofErr w:type="spellStart"/>
      <w:r>
        <w:t>Ghany</w:t>
      </w:r>
      <w:proofErr w:type="spellEnd"/>
      <w:r>
        <w:t xml:space="preserve">, H. M. &amp; Salem, M. E.-S. Effects of dietary chitosan supplementation on farmed fish; a review. </w:t>
      </w:r>
      <w:r>
        <w:rPr>
          <w:i/>
          <w:iCs/>
        </w:rPr>
        <w:t xml:space="preserve">Rev. </w:t>
      </w:r>
      <w:proofErr w:type="spellStart"/>
      <w:r>
        <w:rPr>
          <w:i/>
          <w:iCs/>
        </w:rPr>
        <w:t>Aquac</w:t>
      </w:r>
      <w:proofErr w:type="spellEnd"/>
      <w:r>
        <w:rPr>
          <w:i/>
          <w:iCs/>
        </w:rPr>
        <w:t>.</w:t>
      </w:r>
      <w:r>
        <w:t xml:space="preserve"> </w:t>
      </w:r>
      <w:r>
        <w:rPr>
          <w:b/>
          <w:bCs/>
        </w:rPr>
        <w:t>12</w:t>
      </w:r>
      <w:r>
        <w:t>, 438–452 (2020).</w:t>
      </w:r>
    </w:p>
    <w:p w14:paraId="01AF695E" w14:textId="77777777" w:rsidR="002D38F0" w:rsidRDefault="002D38F0" w:rsidP="002D38F0">
      <w:pPr>
        <w:pStyle w:val="Bibliography"/>
      </w:pPr>
      <w:r>
        <w:t>122.</w:t>
      </w:r>
      <w:r>
        <w:tab/>
        <w:t xml:space="preserve">Saini, R. K., Moon, S. H. &amp; </w:t>
      </w:r>
      <w:proofErr w:type="spellStart"/>
      <w:r>
        <w:t>Keum</w:t>
      </w:r>
      <w:proofErr w:type="spellEnd"/>
      <w:r>
        <w:t xml:space="preserve">, Y.-S. An updated review on use of tomato pomace and crustacean processing waste to recover commercially vital carotenoids. </w:t>
      </w:r>
      <w:r>
        <w:rPr>
          <w:i/>
          <w:iCs/>
        </w:rPr>
        <w:t>Food Res. Int.</w:t>
      </w:r>
      <w:r>
        <w:t xml:space="preserve"> </w:t>
      </w:r>
      <w:r>
        <w:rPr>
          <w:b/>
          <w:bCs/>
        </w:rPr>
        <w:t>108</w:t>
      </w:r>
      <w:r>
        <w:t>, 516–529 (2018).</w:t>
      </w:r>
    </w:p>
    <w:p w14:paraId="4169FCF0" w14:textId="77777777" w:rsidR="002D38F0" w:rsidRDefault="002D38F0" w:rsidP="002D38F0">
      <w:pPr>
        <w:pStyle w:val="Bibliography"/>
      </w:pPr>
      <w:r>
        <w:t>123.</w:t>
      </w:r>
      <w:r>
        <w:tab/>
      </w:r>
      <w:proofErr w:type="spellStart"/>
      <w:r>
        <w:t>Routray</w:t>
      </w:r>
      <w:proofErr w:type="spellEnd"/>
      <w:r>
        <w:t xml:space="preserve">, W., Dave, D., Cheema, S. K., Ramakrishnan, V. V. &amp; </w:t>
      </w:r>
      <w:proofErr w:type="spellStart"/>
      <w:r>
        <w:t>Pohling</w:t>
      </w:r>
      <w:proofErr w:type="spellEnd"/>
      <w:r>
        <w:t xml:space="preserve">, J. Biorefinery approach and environment-friendly extraction for sustainable production of astaxanthin from marine wastes. </w:t>
      </w:r>
      <w:r>
        <w:rPr>
          <w:i/>
          <w:iCs/>
        </w:rPr>
        <w:t xml:space="preserve">Crit. Rev. </w:t>
      </w:r>
      <w:proofErr w:type="spellStart"/>
      <w:r>
        <w:rPr>
          <w:i/>
          <w:iCs/>
        </w:rPr>
        <w:t>Biotechnol</w:t>
      </w:r>
      <w:proofErr w:type="spellEnd"/>
      <w:r>
        <w:rPr>
          <w:i/>
          <w:iCs/>
        </w:rPr>
        <w:t>.</w:t>
      </w:r>
      <w:r>
        <w:t xml:space="preserve"> </w:t>
      </w:r>
      <w:r>
        <w:rPr>
          <w:b/>
          <w:bCs/>
        </w:rPr>
        <w:t>39</w:t>
      </w:r>
      <w:r>
        <w:t>, 469–488 (2019).</w:t>
      </w:r>
    </w:p>
    <w:p w14:paraId="1A19491A" w14:textId="77777777" w:rsidR="002D38F0" w:rsidRDefault="002D38F0" w:rsidP="002D38F0">
      <w:pPr>
        <w:pStyle w:val="Bibliography"/>
      </w:pPr>
      <w:r>
        <w:t>124.</w:t>
      </w:r>
      <w:r>
        <w:tab/>
        <w:t xml:space="preserve">Iizuka, A. </w:t>
      </w:r>
      <w:r>
        <w:rPr>
          <w:i/>
          <w:iCs/>
        </w:rPr>
        <w:t>et al.</w:t>
      </w:r>
      <w:r>
        <w:t xml:space="preserve"> Recycling of shellfish wastes with a combined process of carbonate production and methane fermentation. </w:t>
      </w:r>
      <w:r>
        <w:rPr>
          <w:i/>
          <w:iCs/>
        </w:rPr>
        <w:t xml:space="preserve">J. Chem. Eng. </w:t>
      </w:r>
      <w:proofErr w:type="spellStart"/>
      <w:r>
        <w:rPr>
          <w:i/>
          <w:iCs/>
        </w:rPr>
        <w:t>Jpn</w:t>
      </w:r>
      <w:proofErr w:type="spellEnd"/>
      <w:r>
        <w:rPr>
          <w:i/>
          <w:iCs/>
        </w:rPr>
        <w:t>.</w:t>
      </w:r>
      <w:r>
        <w:t xml:space="preserve"> </w:t>
      </w:r>
      <w:r>
        <w:rPr>
          <w:b/>
          <w:bCs/>
        </w:rPr>
        <w:t>42</w:t>
      </w:r>
      <w:r>
        <w:t>, s43–s49 (2009).</w:t>
      </w:r>
    </w:p>
    <w:p w14:paraId="5716209E" w14:textId="77777777" w:rsidR="002D38F0" w:rsidRDefault="002D38F0" w:rsidP="002D38F0">
      <w:pPr>
        <w:pStyle w:val="Bibliography"/>
      </w:pPr>
      <w:r>
        <w:t>125.</w:t>
      </w:r>
      <w:r>
        <w:tab/>
      </w:r>
      <w:proofErr w:type="spellStart"/>
      <w:r>
        <w:t>Laso</w:t>
      </w:r>
      <w:proofErr w:type="spellEnd"/>
      <w:r>
        <w:t xml:space="preserve">, J. </w:t>
      </w:r>
      <w:r>
        <w:rPr>
          <w:i/>
          <w:iCs/>
        </w:rPr>
        <w:t>et al.</w:t>
      </w:r>
      <w:r>
        <w:t xml:space="preserve"> Achieving Sustainability of the Seafood Sector in the European Atlantic Area by Addressing Eco-Social Challenges: The NEPTUNUS Project. </w:t>
      </w:r>
      <w:r>
        <w:rPr>
          <w:i/>
          <w:iCs/>
        </w:rPr>
        <w:t>Sustainability</w:t>
      </w:r>
      <w:r>
        <w:t xml:space="preserve"> </w:t>
      </w:r>
      <w:r>
        <w:rPr>
          <w:b/>
          <w:bCs/>
        </w:rPr>
        <w:t>14</w:t>
      </w:r>
      <w:r>
        <w:t>, 3054 (2022).</w:t>
      </w:r>
    </w:p>
    <w:p w14:paraId="06EE33C1" w14:textId="77777777" w:rsidR="002D38F0" w:rsidRDefault="002D38F0" w:rsidP="002D38F0">
      <w:pPr>
        <w:pStyle w:val="Bibliography"/>
      </w:pPr>
      <w:r>
        <w:t>126.</w:t>
      </w:r>
      <w:r>
        <w:tab/>
      </w:r>
      <w:proofErr w:type="spellStart"/>
      <w:r>
        <w:t>Toldrá</w:t>
      </w:r>
      <w:proofErr w:type="spellEnd"/>
      <w:r>
        <w:t xml:space="preserve">, F., Mora, L. &amp; </w:t>
      </w:r>
      <w:proofErr w:type="spellStart"/>
      <w:r>
        <w:t>Reig</w:t>
      </w:r>
      <w:proofErr w:type="spellEnd"/>
      <w:r>
        <w:t xml:space="preserve">, M. New insights into meat by-product utilization. </w:t>
      </w:r>
      <w:r>
        <w:rPr>
          <w:i/>
          <w:iCs/>
        </w:rPr>
        <w:t>Meat Sci.</w:t>
      </w:r>
      <w:r>
        <w:t xml:space="preserve"> </w:t>
      </w:r>
      <w:r>
        <w:rPr>
          <w:b/>
          <w:bCs/>
        </w:rPr>
        <w:t>120</w:t>
      </w:r>
      <w:r>
        <w:t>, 54–59 (2016).</w:t>
      </w:r>
    </w:p>
    <w:p w14:paraId="7B442B3B" w14:textId="77777777" w:rsidR="002D38F0" w:rsidRDefault="002D38F0" w:rsidP="002D38F0">
      <w:pPr>
        <w:pStyle w:val="Bibliography"/>
      </w:pPr>
      <w:r>
        <w:t>127.</w:t>
      </w:r>
      <w:r>
        <w:tab/>
        <w:t xml:space="preserve">World Bank. Meat processing and rendering. in </w:t>
      </w:r>
      <w:r>
        <w:rPr>
          <w:i/>
          <w:iCs/>
        </w:rPr>
        <w:t>Pollution prevention and abatement handbook</w:t>
      </w:r>
      <w:r>
        <w:t xml:space="preserve"> 337–340 (The World Bank, 1998). doi:10.1596/0-8213-3638-X.</w:t>
      </w:r>
    </w:p>
    <w:p w14:paraId="013B7883" w14:textId="77777777" w:rsidR="002D38F0" w:rsidRDefault="002D38F0" w:rsidP="002D38F0">
      <w:pPr>
        <w:pStyle w:val="Bibliography"/>
      </w:pPr>
      <w:r>
        <w:t>128.</w:t>
      </w:r>
      <w:r>
        <w:tab/>
        <w:t xml:space="preserve">Marti, D. L., Johnson, R. J. &amp; Mathews Jr, K. H. Where’s the (not) meat? Byproducts from beef and pork production. </w:t>
      </w:r>
      <w:r>
        <w:rPr>
          <w:i/>
          <w:iCs/>
        </w:rPr>
        <w:t xml:space="preserve">J. </w:t>
      </w:r>
      <w:proofErr w:type="spellStart"/>
      <w:r>
        <w:rPr>
          <w:i/>
          <w:iCs/>
        </w:rPr>
        <w:t>Curr</w:t>
      </w:r>
      <w:proofErr w:type="spellEnd"/>
      <w:r>
        <w:rPr>
          <w:i/>
          <w:iCs/>
        </w:rPr>
        <w:t>. Issues Glob.</w:t>
      </w:r>
      <w:r>
        <w:t xml:space="preserve"> </w:t>
      </w:r>
      <w:r>
        <w:rPr>
          <w:b/>
          <w:bCs/>
        </w:rPr>
        <w:t>5</w:t>
      </w:r>
      <w:r>
        <w:t>, 397 (2011).</w:t>
      </w:r>
    </w:p>
    <w:p w14:paraId="618AF9A7" w14:textId="77777777" w:rsidR="002D38F0" w:rsidRDefault="002D38F0" w:rsidP="002D38F0">
      <w:pPr>
        <w:pStyle w:val="Bibliography"/>
      </w:pPr>
      <w:r>
        <w:t>129.</w:t>
      </w:r>
      <w:r>
        <w:tab/>
      </w:r>
      <w:proofErr w:type="spellStart"/>
      <w:r>
        <w:t>Hertrampf</w:t>
      </w:r>
      <w:proofErr w:type="spellEnd"/>
      <w:r>
        <w:t xml:space="preserve">, J. W. &amp; Piedad-Pascual, F. </w:t>
      </w:r>
      <w:r>
        <w:rPr>
          <w:i/>
          <w:iCs/>
        </w:rPr>
        <w:t>Handbook on ingredients for aquaculture feeds</w:t>
      </w:r>
      <w:r>
        <w:t>. (Springer Dordrecht, 2000).</w:t>
      </w:r>
    </w:p>
    <w:p w14:paraId="2B986120" w14:textId="77777777" w:rsidR="002D38F0" w:rsidRDefault="002D38F0" w:rsidP="002D38F0">
      <w:pPr>
        <w:pStyle w:val="Bibliography"/>
      </w:pPr>
      <w:r>
        <w:t>130.</w:t>
      </w:r>
      <w:r>
        <w:tab/>
      </w:r>
      <w:proofErr w:type="spellStart"/>
      <w:r>
        <w:t>Bellagamba</w:t>
      </w:r>
      <w:proofErr w:type="spellEnd"/>
      <w:r>
        <w:t xml:space="preserve">, F., </w:t>
      </w:r>
      <w:proofErr w:type="spellStart"/>
      <w:r>
        <w:t>Caprino</w:t>
      </w:r>
      <w:proofErr w:type="spellEnd"/>
      <w:r>
        <w:t xml:space="preserve">, F., </w:t>
      </w:r>
      <w:proofErr w:type="spellStart"/>
      <w:r>
        <w:t>Mentasti</w:t>
      </w:r>
      <w:proofErr w:type="spellEnd"/>
      <w:r>
        <w:t xml:space="preserve">, T., </w:t>
      </w:r>
      <w:proofErr w:type="spellStart"/>
      <w:r>
        <w:t>Vasconi</w:t>
      </w:r>
      <w:proofErr w:type="spellEnd"/>
      <w:r>
        <w:t xml:space="preserve">, M. &amp; Moretti, V. M. The impact of processing on amino acid racemization and protein quality in processed animal proteins of poultry origin. </w:t>
      </w:r>
      <w:r>
        <w:rPr>
          <w:i/>
          <w:iCs/>
        </w:rPr>
        <w:t>Ital. J. Anim. Sci.</w:t>
      </w:r>
      <w:r>
        <w:t xml:space="preserve"> </w:t>
      </w:r>
      <w:r>
        <w:rPr>
          <w:b/>
          <w:bCs/>
        </w:rPr>
        <w:t>14</w:t>
      </w:r>
      <w:r>
        <w:t>, 3770 (2015).</w:t>
      </w:r>
    </w:p>
    <w:p w14:paraId="0FD2C552" w14:textId="77777777" w:rsidR="002D38F0" w:rsidRDefault="002D38F0" w:rsidP="002D38F0">
      <w:pPr>
        <w:pStyle w:val="Bibliography"/>
      </w:pPr>
      <w:r>
        <w:t>131.</w:t>
      </w:r>
      <w:r>
        <w:tab/>
        <w:t xml:space="preserve">Meeker, D. L. &amp; Hamilton, C. R. An overview of the rendering industry. </w:t>
      </w:r>
      <w:r>
        <w:rPr>
          <w:i/>
          <w:iCs/>
        </w:rPr>
        <w:t>Essent. Render.</w:t>
      </w:r>
      <w:r>
        <w:t xml:space="preserve"> 1–16 (2006).</w:t>
      </w:r>
    </w:p>
    <w:p w14:paraId="23E89336" w14:textId="77777777" w:rsidR="002D38F0" w:rsidRDefault="002D38F0" w:rsidP="002D38F0">
      <w:pPr>
        <w:pStyle w:val="Bibliography"/>
      </w:pPr>
      <w:r>
        <w:t>132.</w:t>
      </w:r>
      <w:r>
        <w:tab/>
        <w:t xml:space="preserve">Li, M. H., Robinson, E. H. &amp; Lim, C. E. Use of meatpacking by-products in fish diets. in </w:t>
      </w:r>
      <w:r>
        <w:rPr>
          <w:i/>
          <w:iCs/>
        </w:rPr>
        <w:t>Alternative protein sources in aquaculture diets</w:t>
      </w:r>
      <w:r>
        <w:t xml:space="preserve"> (eds. Lim, C. E., Webster, C. D. &amp; Lee, C. S.) 95–116 (The Haworth Press New York, NY, 2008).</w:t>
      </w:r>
    </w:p>
    <w:p w14:paraId="2C644FD7" w14:textId="77777777" w:rsidR="002D38F0" w:rsidRDefault="002D38F0" w:rsidP="002D38F0">
      <w:pPr>
        <w:pStyle w:val="Bibliography"/>
      </w:pPr>
      <w:r>
        <w:t>133.</w:t>
      </w:r>
      <w:r>
        <w:tab/>
        <w:t xml:space="preserve">Gasco, L. </w:t>
      </w:r>
      <w:r>
        <w:rPr>
          <w:i/>
          <w:iCs/>
        </w:rPr>
        <w:t>et al.</w:t>
      </w:r>
      <w:r>
        <w:t xml:space="preserve"> Fishmeal alternative protein sources for aquaculture feeds. in </w:t>
      </w:r>
      <w:r>
        <w:rPr>
          <w:i/>
          <w:iCs/>
        </w:rPr>
        <w:t>Feeds for the Aquaculture Sector: Current Situation and Alternative Sources</w:t>
      </w:r>
      <w:r>
        <w:t xml:space="preserve"> (eds. Gasco, L. et al.) 1–28 (Springer International Publishing, 2018). doi:10.1007/978-3-319-77941-6_1.</w:t>
      </w:r>
    </w:p>
    <w:p w14:paraId="1F57C10D" w14:textId="77777777" w:rsidR="002D38F0" w:rsidRDefault="002D38F0" w:rsidP="002D38F0">
      <w:pPr>
        <w:pStyle w:val="Bibliography"/>
      </w:pPr>
      <w:r>
        <w:t>134.</w:t>
      </w:r>
      <w:r>
        <w:tab/>
        <w:t>Oliva-</w:t>
      </w:r>
      <w:proofErr w:type="spellStart"/>
      <w:r>
        <w:t>Teles</w:t>
      </w:r>
      <w:proofErr w:type="spellEnd"/>
      <w:r>
        <w:t xml:space="preserve">, A., Enes, P. &amp; Peres, H. 8 - Replacing fishmeal and fish oil in industrial aquafeeds for carnivorous fish. in </w:t>
      </w:r>
      <w:r>
        <w:rPr>
          <w:i/>
          <w:iCs/>
        </w:rPr>
        <w:t>Feed and Feeding Practices in Aquaculture</w:t>
      </w:r>
      <w:r>
        <w:t xml:space="preserve"> (ed. Davis, D. A.) 203–233 (Woodhead Publishing, 2015). doi:10.1016/B978-0-08-100506-4.00008-8.</w:t>
      </w:r>
    </w:p>
    <w:p w14:paraId="0495D051" w14:textId="77777777" w:rsidR="002D38F0" w:rsidRDefault="002D38F0" w:rsidP="002D38F0">
      <w:pPr>
        <w:pStyle w:val="Bibliography"/>
      </w:pPr>
      <w:r>
        <w:t>135.</w:t>
      </w:r>
      <w:r>
        <w:tab/>
      </w:r>
      <w:proofErr w:type="spellStart"/>
      <w:r>
        <w:t>Tacon</w:t>
      </w:r>
      <w:proofErr w:type="spellEnd"/>
      <w:r>
        <w:t xml:space="preserve">, A. G. J., Hasan, M. R. &amp; Metian, M. Demand and supply of feed ingredients for farmed fish and crustaceans: Trends and prospects. </w:t>
      </w:r>
      <w:r>
        <w:rPr>
          <w:i/>
          <w:iCs/>
        </w:rPr>
        <w:t xml:space="preserve">FAO Fish. </w:t>
      </w:r>
      <w:proofErr w:type="spellStart"/>
      <w:r>
        <w:rPr>
          <w:i/>
          <w:iCs/>
        </w:rPr>
        <w:t>Aquac</w:t>
      </w:r>
      <w:proofErr w:type="spellEnd"/>
      <w:r>
        <w:rPr>
          <w:i/>
          <w:iCs/>
        </w:rPr>
        <w:t>. Tech. Pap.</w:t>
      </w:r>
      <w:r>
        <w:t xml:space="preserve"> </w:t>
      </w:r>
      <w:proofErr w:type="gramStart"/>
      <w:r>
        <w:t>I,III</w:t>
      </w:r>
      <w:proofErr w:type="gramEnd"/>
      <w:r>
        <w:t>,IV,VIII,IX,X,XI,XII,1-69,71-87 (2011).</w:t>
      </w:r>
    </w:p>
    <w:p w14:paraId="02655692" w14:textId="77777777" w:rsidR="002D38F0" w:rsidRDefault="002D38F0" w:rsidP="002D38F0">
      <w:pPr>
        <w:pStyle w:val="Bibliography"/>
      </w:pPr>
      <w:r>
        <w:t>136.</w:t>
      </w:r>
      <w:r>
        <w:tab/>
        <w:t xml:space="preserve">NRA. Pocket information manual: a buyer’s guide to rendered products. </w:t>
      </w:r>
      <w:r>
        <w:rPr>
          <w:i/>
          <w:iCs/>
        </w:rPr>
        <w:t>Natl. Render. Assoc. Alex. VA</w:t>
      </w:r>
      <w:r>
        <w:t xml:space="preserve"> (2003).</w:t>
      </w:r>
    </w:p>
    <w:p w14:paraId="04B6D9C9" w14:textId="77777777" w:rsidR="002D38F0" w:rsidRDefault="002D38F0" w:rsidP="002D38F0">
      <w:pPr>
        <w:pStyle w:val="Bibliography"/>
      </w:pPr>
      <w:r>
        <w:t>137.</w:t>
      </w:r>
      <w:r>
        <w:tab/>
        <w:t xml:space="preserve">Yu, Y. Replacement of fish meal with poultry by-product meal and hydrolyzed feather meal in feeds for finfish. in </w:t>
      </w:r>
      <w:r>
        <w:rPr>
          <w:i/>
          <w:iCs/>
        </w:rPr>
        <w:t>Alternative protein sources in aquaculture diets</w:t>
      </w:r>
      <w:r>
        <w:t xml:space="preserve"> (eds. Lim, C. E., Webster, C. D. &amp; Lee, C. S.) 51–93 (The Haworth Press New York, NY, 2008).</w:t>
      </w:r>
    </w:p>
    <w:p w14:paraId="75CDB714" w14:textId="77777777" w:rsidR="002D38F0" w:rsidRDefault="002D38F0" w:rsidP="002D38F0">
      <w:pPr>
        <w:pStyle w:val="Bibliography"/>
      </w:pPr>
      <w:r>
        <w:t>138.</w:t>
      </w:r>
      <w:r>
        <w:tab/>
        <w:t xml:space="preserve">Riche, M. Nitrogen utilization from diets with refined and blended poultry by-products as partial fish meal replacements in diets for low-salinity cultured Florida pompano, </w:t>
      </w:r>
      <w:proofErr w:type="spellStart"/>
      <w:r>
        <w:t>Trachinotus</w:t>
      </w:r>
      <w:proofErr w:type="spellEnd"/>
      <w:r>
        <w:t xml:space="preserve"> </w:t>
      </w:r>
      <w:proofErr w:type="spellStart"/>
      <w:r>
        <w:t>carolinus</w:t>
      </w:r>
      <w:proofErr w:type="spellEnd"/>
      <w:r>
        <w:t xml:space="preserve">. </w:t>
      </w:r>
      <w:r>
        <w:rPr>
          <w:i/>
          <w:iCs/>
        </w:rPr>
        <w:t>Aquaculture</w:t>
      </w:r>
      <w:r>
        <w:t xml:space="preserve"> </w:t>
      </w:r>
      <w:r>
        <w:rPr>
          <w:b/>
          <w:bCs/>
        </w:rPr>
        <w:t>435</w:t>
      </w:r>
      <w:r>
        <w:t>, 458–466 (2015).</w:t>
      </w:r>
    </w:p>
    <w:p w14:paraId="6FF580E6" w14:textId="77777777" w:rsidR="002D38F0" w:rsidRDefault="002D38F0" w:rsidP="002D38F0">
      <w:pPr>
        <w:pStyle w:val="Bibliography"/>
      </w:pPr>
      <w:r>
        <w:t>139.</w:t>
      </w:r>
      <w:r>
        <w:tab/>
        <w:t xml:space="preserve">Ge, B. </w:t>
      </w:r>
      <w:r>
        <w:rPr>
          <w:i/>
          <w:iCs/>
        </w:rPr>
        <w:t>et al.</w:t>
      </w:r>
      <w:r>
        <w:t xml:space="preserve"> Retrospective analysis of Salmonella, Campylobacter, Escherichia coli, and Enterococcus in animal feed ingredients. </w:t>
      </w:r>
      <w:r>
        <w:rPr>
          <w:i/>
          <w:iCs/>
        </w:rPr>
        <w:t xml:space="preserve">Foodborne </w:t>
      </w:r>
      <w:proofErr w:type="spellStart"/>
      <w:r>
        <w:rPr>
          <w:i/>
          <w:iCs/>
        </w:rPr>
        <w:t>Pathog</w:t>
      </w:r>
      <w:proofErr w:type="spellEnd"/>
      <w:r>
        <w:rPr>
          <w:i/>
          <w:iCs/>
        </w:rPr>
        <w:t>. Dis.</w:t>
      </w:r>
      <w:r>
        <w:t xml:space="preserve"> </w:t>
      </w:r>
      <w:r>
        <w:rPr>
          <w:b/>
          <w:bCs/>
        </w:rPr>
        <w:t>10</w:t>
      </w:r>
      <w:r>
        <w:t>, 684–691 (2013).</w:t>
      </w:r>
    </w:p>
    <w:p w14:paraId="385EF835" w14:textId="77777777" w:rsidR="002D38F0" w:rsidRDefault="002D38F0" w:rsidP="002D38F0">
      <w:pPr>
        <w:pStyle w:val="Bibliography"/>
      </w:pPr>
      <w:r>
        <w:t>140.</w:t>
      </w:r>
      <w:r>
        <w:tab/>
        <w:t xml:space="preserve">Rocker, M. M. </w:t>
      </w:r>
      <w:r>
        <w:rPr>
          <w:i/>
          <w:iCs/>
        </w:rPr>
        <w:t>et al.</w:t>
      </w:r>
      <w:r>
        <w:t xml:space="preserve"> Poultry offal meal production conditions impact meal quality and digestibility in Atlantic salmon (Salmo </w:t>
      </w:r>
      <w:proofErr w:type="spellStart"/>
      <w:r>
        <w:t>salar</w:t>
      </w:r>
      <w:proofErr w:type="spellEnd"/>
      <w:r>
        <w:t xml:space="preserve">). </w:t>
      </w:r>
      <w:r>
        <w:rPr>
          <w:i/>
          <w:iCs/>
        </w:rPr>
        <w:t>Aquaculture</w:t>
      </w:r>
      <w:r>
        <w:t xml:space="preserve"> </w:t>
      </w:r>
      <w:r>
        <w:rPr>
          <w:b/>
          <w:bCs/>
        </w:rPr>
        <w:t>542</w:t>
      </w:r>
      <w:r>
        <w:t>, 736909 (2021).</w:t>
      </w:r>
    </w:p>
    <w:p w14:paraId="2E64DE73" w14:textId="77777777" w:rsidR="002D38F0" w:rsidRDefault="002D38F0" w:rsidP="002D38F0">
      <w:pPr>
        <w:pStyle w:val="Bibliography"/>
      </w:pPr>
      <w:r>
        <w:t>141.</w:t>
      </w:r>
      <w:r>
        <w:tab/>
      </w:r>
      <w:proofErr w:type="spellStart"/>
      <w:r>
        <w:t>Tacon</w:t>
      </w:r>
      <w:proofErr w:type="spellEnd"/>
      <w:r>
        <w:t xml:space="preserve">, A. G., Metian, M. &amp; Hasan, M. R. </w:t>
      </w:r>
      <w:r>
        <w:rPr>
          <w:i/>
          <w:iCs/>
        </w:rPr>
        <w:t>Feed ingredients and fertilizers for farmed aquatic animals: sources and composition.</w:t>
      </w:r>
      <w:r>
        <w:t xml:space="preserve"> (Food and Agriculture Organization of the United Nations (FAO), 2009).</w:t>
      </w:r>
    </w:p>
    <w:p w14:paraId="6EB6A968" w14:textId="77777777" w:rsidR="002D38F0" w:rsidRDefault="002D38F0" w:rsidP="002D38F0">
      <w:pPr>
        <w:pStyle w:val="Bibliography"/>
      </w:pPr>
      <w:r>
        <w:t>142.</w:t>
      </w:r>
      <w:r>
        <w:tab/>
      </w:r>
      <w:proofErr w:type="spellStart"/>
      <w:r>
        <w:t>Heuzé</w:t>
      </w:r>
      <w:proofErr w:type="spellEnd"/>
      <w:r>
        <w:t xml:space="preserve">, V. &amp; Tran, G. Blood meal. </w:t>
      </w:r>
      <w:proofErr w:type="spellStart"/>
      <w:r>
        <w:rPr>
          <w:i/>
          <w:iCs/>
        </w:rPr>
        <w:t>Feedipedia</w:t>
      </w:r>
      <w:proofErr w:type="spellEnd"/>
      <w:r>
        <w:t xml:space="preserve"> (2016).</w:t>
      </w:r>
    </w:p>
    <w:p w14:paraId="708DED7E" w14:textId="77777777" w:rsidR="002D38F0" w:rsidRDefault="002D38F0" w:rsidP="002D38F0">
      <w:pPr>
        <w:pStyle w:val="Bibliography"/>
      </w:pPr>
      <w:r>
        <w:t>143.</w:t>
      </w:r>
      <w:r>
        <w:tab/>
        <w:t xml:space="preserve">Campos, I., Pinheiro Valente, L. M., Matos, E., Marques, P. &amp; Freire, F. Life-cycle assessment of animal feed ingredients: Poultry fat, poultry by-product meal and hydrolyzed feather meal. </w:t>
      </w:r>
      <w:r>
        <w:rPr>
          <w:i/>
          <w:iCs/>
        </w:rPr>
        <w:t>J. Clean. Prod.</w:t>
      </w:r>
      <w:r>
        <w:t xml:space="preserve"> </w:t>
      </w:r>
      <w:r>
        <w:rPr>
          <w:b/>
          <w:bCs/>
        </w:rPr>
        <w:t>252</w:t>
      </w:r>
      <w:r>
        <w:t>, 119845 (2020).</w:t>
      </w:r>
    </w:p>
    <w:p w14:paraId="0FDCFE93" w14:textId="77777777" w:rsidR="002D38F0" w:rsidRDefault="002D38F0" w:rsidP="002D38F0">
      <w:pPr>
        <w:pStyle w:val="Bibliography"/>
      </w:pPr>
      <w:r>
        <w:t>144.</w:t>
      </w:r>
      <w:r>
        <w:tab/>
        <w:t xml:space="preserve">Emery, J. A., </w:t>
      </w:r>
      <w:proofErr w:type="spellStart"/>
      <w:r>
        <w:t>Smullen</w:t>
      </w:r>
      <w:proofErr w:type="spellEnd"/>
      <w:r>
        <w:t xml:space="preserve">, R. P. &amp; Turchini, G. M. Tallow in Atlantic salmon feed. </w:t>
      </w:r>
      <w:r>
        <w:rPr>
          <w:i/>
          <w:iCs/>
        </w:rPr>
        <w:t>Aquaculture</w:t>
      </w:r>
      <w:r>
        <w:t xml:space="preserve"> </w:t>
      </w:r>
      <w:r>
        <w:rPr>
          <w:b/>
          <w:bCs/>
        </w:rPr>
        <w:t>422–423</w:t>
      </w:r>
      <w:r>
        <w:t>, 98–108 (2014).</w:t>
      </w:r>
    </w:p>
    <w:p w14:paraId="2C1F145C" w14:textId="77777777" w:rsidR="002D38F0" w:rsidRDefault="002D38F0" w:rsidP="002D38F0">
      <w:pPr>
        <w:pStyle w:val="Bibliography"/>
      </w:pPr>
      <w:r>
        <w:t>145.</w:t>
      </w:r>
      <w:r>
        <w:tab/>
      </w:r>
      <w:proofErr w:type="spellStart"/>
      <w:r>
        <w:t>Rombenso</w:t>
      </w:r>
      <w:proofErr w:type="spellEnd"/>
      <w:r>
        <w:t xml:space="preserve">, A. N., Turchini, G. M. &amp; Trushenski, J. T. The omega-3 sparing effect of saturated fatty acids: A reason to reconsider common knowledge of fish oil replacement. </w:t>
      </w:r>
      <w:r>
        <w:rPr>
          <w:i/>
          <w:iCs/>
        </w:rPr>
        <w:t xml:space="preserve">Rev. </w:t>
      </w:r>
      <w:proofErr w:type="spellStart"/>
      <w:r>
        <w:rPr>
          <w:i/>
          <w:iCs/>
        </w:rPr>
        <w:t>Aquac</w:t>
      </w:r>
      <w:proofErr w:type="spellEnd"/>
      <w:r>
        <w:rPr>
          <w:i/>
          <w:iCs/>
        </w:rPr>
        <w:t>.</w:t>
      </w:r>
      <w:r>
        <w:t xml:space="preserve"> </w:t>
      </w:r>
      <w:r>
        <w:rPr>
          <w:b/>
          <w:bCs/>
        </w:rPr>
        <w:t>14</w:t>
      </w:r>
      <w:r>
        <w:t>, 213–217 (2021).</w:t>
      </w:r>
    </w:p>
    <w:p w14:paraId="3F5CE7C9" w14:textId="77777777" w:rsidR="002D38F0" w:rsidRDefault="002D38F0" w:rsidP="002D38F0">
      <w:pPr>
        <w:pStyle w:val="Bibliography"/>
      </w:pPr>
      <w:r>
        <w:t>146.</w:t>
      </w:r>
      <w:r>
        <w:tab/>
        <w:t xml:space="preserve">Bureau, D. P. &amp; Meeker, D. L. Terrestrial animal fats. </w:t>
      </w:r>
      <w:r>
        <w:rPr>
          <w:i/>
          <w:iCs/>
        </w:rPr>
        <w:t xml:space="preserve">Fish Oil Replace. Altern. Lipid Sources </w:t>
      </w:r>
      <w:proofErr w:type="spellStart"/>
      <w:r>
        <w:rPr>
          <w:i/>
          <w:iCs/>
        </w:rPr>
        <w:t>Aquac</w:t>
      </w:r>
      <w:proofErr w:type="spellEnd"/>
      <w:r>
        <w:rPr>
          <w:i/>
          <w:iCs/>
        </w:rPr>
        <w:t>. Feeds CRC Press Boca Raton FL</w:t>
      </w:r>
      <w:r>
        <w:t xml:space="preserve"> 245–266 (2010).</w:t>
      </w:r>
    </w:p>
    <w:p w14:paraId="6A34E61B" w14:textId="77777777" w:rsidR="002D38F0" w:rsidRDefault="002D38F0" w:rsidP="002D38F0">
      <w:pPr>
        <w:pStyle w:val="Bibliography"/>
      </w:pPr>
      <w:r>
        <w:t>147.</w:t>
      </w:r>
      <w:r>
        <w:tab/>
        <w:t xml:space="preserve">Shirley, R. B. &amp; Parsons, C. M. Effect of ash content on protein quality of meat and bone meal. </w:t>
      </w:r>
      <w:r>
        <w:rPr>
          <w:i/>
          <w:iCs/>
        </w:rPr>
        <w:t>Poult. Sci.</w:t>
      </w:r>
      <w:r>
        <w:t xml:space="preserve"> </w:t>
      </w:r>
      <w:r>
        <w:rPr>
          <w:b/>
          <w:bCs/>
        </w:rPr>
        <w:t>80</w:t>
      </w:r>
      <w:r>
        <w:t>, 626–632 (2001).</w:t>
      </w:r>
    </w:p>
    <w:p w14:paraId="0A6C7CB8" w14:textId="77777777" w:rsidR="002D38F0" w:rsidRDefault="002D38F0" w:rsidP="002D38F0">
      <w:pPr>
        <w:pStyle w:val="Bibliography"/>
      </w:pPr>
      <w:r>
        <w:t>148.</w:t>
      </w:r>
      <w:r>
        <w:tab/>
      </w:r>
      <w:proofErr w:type="spellStart"/>
      <w:r>
        <w:t>Rombenso</w:t>
      </w:r>
      <w:proofErr w:type="spellEnd"/>
      <w:r>
        <w:t xml:space="preserve">, A. N., Turchini, G. M. &amp; Trushenski, J. T. The omega-3 sparing effect of saturated fatty acids: A reason to reconsider common knowledge of fish oil replacement. </w:t>
      </w:r>
      <w:r>
        <w:rPr>
          <w:i/>
          <w:iCs/>
        </w:rPr>
        <w:t xml:space="preserve">Rev. </w:t>
      </w:r>
      <w:proofErr w:type="spellStart"/>
      <w:r>
        <w:rPr>
          <w:i/>
          <w:iCs/>
        </w:rPr>
        <w:t>Aquac</w:t>
      </w:r>
      <w:proofErr w:type="spellEnd"/>
      <w:r>
        <w:rPr>
          <w:i/>
          <w:iCs/>
        </w:rPr>
        <w:t>.</w:t>
      </w:r>
      <w:r>
        <w:t xml:space="preserve"> </w:t>
      </w:r>
      <w:r>
        <w:rPr>
          <w:b/>
          <w:bCs/>
        </w:rPr>
        <w:t>14</w:t>
      </w:r>
      <w:r>
        <w:t>, 213–217 (2022).</w:t>
      </w:r>
    </w:p>
    <w:p w14:paraId="7EF94953" w14:textId="77777777" w:rsidR="002D38F0" w:rsidRDefault="002D38F0" w:rsidP="002D38F0">
      <w:pPr>
        <w:pStyle w:val="Bibliography"/>
      </w:pPr>
      <w:r>
        <w:t>149.</w:t>
      </w:r>
      <w:r>
        <w:tab/>
      </w:r>
      <w:proofErr w:type="spellStart"/>
      <w:r>
        <w:t>Ockerman</w:t>
      </w:r>
      <w:proofErr w:type="spellEnd"/>
      <w:r>
        <w:t xml:space="preserve">, H. W. &amp; Hansen, C. L. </w:t>
      </w:r>
      <w:r>
        <w:rPr>
          <w:i/>
          <w:iCs/>
        </w:rPr>
        <w:t>Animal by-product processing &amp; utilization</w:t>
      </w:r>
      <w:r>
        <w:t>. (CRC Press, 2000). doi:10.1201/9781482293920.</w:t>
      </w:r>
    </w:p>
    <w:p w14:paraId="3C7EF4FB" w14:textId="77777777" w:rsidR="002D38F0" w:rsidRDefault="002D38F0" w:rsidP="002D38F0">
      <w:pPr>
        <w:pStyle w:val="Bibliography"/>
      </w:pPr>
      <w:r>
        <w:t>150.</w:t>
      </w:r>
      <w:r>
        <w:tab/>
        <w:t xml:space="preserve">Dong, F. M. </w:t>
      </w:r>
      <w:r>
        <w:rPr>
          <w:i/>
          <w:iCs/>
        </w:rPr>
        <w:t>et al.</w:t>
      </w:r>
      <w:r>
        <w:t xml:space="preserve"> Chemical composition and protein digestibility of poultry by-product meals for salmonid diets. </w:t>
      </w:r>
      <w:r>
        <w:rPr>
          <w:i/>
          <w:iCs/>
        </w:rPr>
        <w:t>Aquaculture</w:t>
      </w:r>
      <w:r>
        <w:t xml:space="preserve"> </w:t>
      </w:r>
      <w:r>
        <w:rPr>
          <w:b/>
          <w:bCs/>
        </w:rPr>
        <w:t>116</w:t>
      </w:r>
      <w:r>
        <w:t>, 149–158 (1993).</w:t>
      </w:r>
    </w:p>
    <w:p w14:paraId="6D891686" w14:textId="77777777" w:rsidR="002D38F0" w:rsidRDefault="002D38F0" w:rsidP="002D38F0">
      <w:pPr>
        <w:pStyle w:val="Bibliography"/>
      </w:pPr>
      <w:r>
        <w:t>151.</w:t>
      </w:r>
      <w:r>
        <w:tab/>
        <w:t xml:space="preserve">Lewis, M. J. </w:t>
      </w:r>
      <w:r>
        <w:rPr>
          <w:i/>
          <w:iCs/>
        </w:rPr>
        <w:t>et al.</w:t>
      </w:r>
      <w:r>
        <w:t xml:space="preserve"> A comparison of in-vivo and in-vitro methods for assessing the digestibility of poultry by-product meals using barramundi (lates calcarifer); impacts of cooking temperature and raw material freshness. </w:t>
      </w:r>
      <w:r>
        <w:rPr>
          <w:i/>
          <w:iCs/>
        </w:rPr>
        <w:t>Aquaculture</w:t>
      </w:r>
      <w:r>
        <w:t xml:space="preserve"> </w:t>
      </w:r>
      <w:r>
        <w:rPr>
          <w:b/>
          <w:bCs/>
        </w:rPr>
        <w:t>498</w:t>
      </w:r>
      <w:r>
        <w:t>, 187–200 (2019).</w:t>
      </w:r>
    </w:p>
    <w:p w14:paraId="3F320E9D" w14:textId="77777777" w:rsidR="002D38F0" w:rsidRDefault="002D38F0" w:rsidP="002D38F0">
      <w:pPr>
        <w:pStyle w:val="Bibliography"/>
      </w:pPr>
      <w:r>
        <w:t>152.</w:t>
      </w:r>
      <w:r>
        <w:tab/>
        <w:t xml:space="preserve">Friedman, M. Chemistry, biochemistry, nutrition, and microbiology of </w:t>
      </w:r>
      <w:proofErr w:type="spellStart"/>
      <w:r>
        <w:t>lysinoalanine</w:t>
      </w:r>
      <w:proofErr w:type="spellEnd"/>
      <w:r>
        <w:t xml:space="preserve">, lanthionine, and </w:t>
      </w:r>
      <w:proofErr w:type="spellStart"/>
      <w:r>
        <w:t>histidinoalanine</w:t>
      </w:r>
      <w:proofErr w:type="spellEnd"/>
      <w:r>
        <w:t xml:space="preserve"> in food and other proteins. </w:t>
      </w:r>
      <w:r>
        <w:rPr>
          <w:i/>
          <w:iCs/>
        </w:rPr>
        <w:t>J. Agric. Food Chem.</w:t>
      </w:r>
      <w:r>
        <w:t xml:space="preserve"> </w:t>
      </w:r>
      <w:r>
        <w:rPr>
          <w:b/>
          <w:bCs/>
        </w:rPr>
        <w:t>47</w:t>
      </w:r>
      <w:r>
        <w:t>, 1295–1319 (1999).</w:t>
      </w:r>
    </w:p>
    <w:p w14:paraId="7E67614B" w14:textId="77777777" w:rsidR="002D38F0" w:rsidRDefault="002D38F0" w:rsidP="002D38F0">
      <w:pPr>
        <w:pStyle w:val="Bibliography"/>
      </w:pPr>
      <w:r>
        <w:t>153.</w:t>
      </w:r>
      <w:r>
        <w:tab/>
        <w:t xml:space="preserve">Gilani, G. S., Cockell, K. A. &amp; </w:t>
      </w:r>
      <w:proofErr w:type="spellStart"/>
      <w:r>
        <w:t>Sepehr</w:t>
      </w:r>
      <w:proofErr w:type="spellEnd"/>
      <w:r>
        <w:t xml:space="preserve">, E. Effects of antinutritional factors on protein digestibility and amino acid availability in foods. </w:t>
      </w:r>
      <w:r>
        <w:rPr>
          <w:i/>
          <w:iCs/>
        </w:rPr>
        <w:t>J. AOAC Int.</w:t>
      </w:r>
      <w:r>
        <w:t xml:space="preserve"> </w:t>
      </w:r>
      <w:r>
        <w:rPr>
          <w:b/>
          <w:bCs/>
        </w:rPr>
        <w:t>88</w:t>
      </w:r>
      <w:r>
        <w:t>, 967–987 (2005).</w:t>
      </w:r>
    </w:p>
    <w:p w14:paraId="5F0C664B" w14:textId="77777777" w:rsidR="002D38F0" w:rsidRDefault="002D38F0" w:rsidP="002D38F0">
      <w:pPr>
        <w:pStyle w:val="Bibliography"/>
      </w:pPr>
      <w:r>
        <w:t>154.</w:t>
      </w:r>
      <w:r>
        <w:tab/>
      </w:r>
      <w:proofErr w:type="spellStart"/>
      <w:r>
        <w:t>Batterham</w:t>
      </w:r>
      <w:proofErr w:type="spellEnd"/>
      <w:r>
        <w:t xml:space="preserve">, E. S., Darnell, R. E., Herbert, L. S. &amp; Major, E. J. Effect of pressure and temperature on the availability of lysine in meat and bone meal as determined by slope-ratio assays with growing pigs, </w:t>
      </w:r>
      <w:proofErr w:type="gramStart"/>
      <w:r>
        <w:t>rats</w:t>
      </w:r>
      <w:proofErr w:type="gramEnd"/>
      <w:r>
        <w:t xml:space="preserve"> and chicks and by chemical techniques. </w:t>
      </w:r>
      <w:r>
        <w:rPr>
          <w:i/>
          <w:iCs/>
        </w:rPr>
        <w:t xml:space="preserve">Br. J. </w:t>
      </w:r>
      <w:proofErr w:type="spellStart"/>
      <w:r>
        <w:rPr>
          <w:i/>
          <w:iCs/>
        </w:rPr>
        <w:t>Nutr</w:t>
      </w:r>
      <w:proofErr w:type="spellEnd"/>
      <w:r>
        <w:rPr>
          <w:i/>
          <w:iCs/>
        </w:rPr>
        <w:t>.</w:t>
      </w:r>
      <w:r>
        <w:t xml:space="preserve"> </w:t>
      </w:r>
      <w:r>
        <w:rPr>
          <w:b/>
          <w:bCs/>
        </w:rPr>
        <w:t>55</w:t>
      </w:r>
      <w:r>
        <w:t>, 441–453 (1986).</w:t>
      </w:r>
    </w:p>
    <w:p w14:paraId="79BD2262" w14:textId="77777777" w:rsidR="002D38F0" w:rsidRDefault="002D38F0" w:rsidP="002D38F0">
      <w:pPr>
        <w:pStyle w:val="Bibliography"/>
      </w:pPr>
      <w:r>
        <w:t>155.</w:t>
      </w:r>
      <w:r>
        <w:tab/>
        <w:t xml:space="preserve">Bureau, D. Rendered products in fish aquaculture feeds. </w:t>
      </w:r>
      <w:r>
        <w:rPr>
          <w:i/>
          <w:iCs/>
        </w:rPr>
        <w:t>Essent. Render. Anim. -Prod. Ind.</w:t>
      </w:r>
      <w:r>
        <w:t xml:space="preserve"> (2006).</w:t>
      </w:r>
    </w:p>
    <w:p w14:paraId="67DD1351" w14:textId="77777777" w:rsidR="002D38F0" w:rsidRDefault="002D38F0" w:rsidP="002D38F0">
      <w:pPr>
        <w:pStyle w:val="Bibliography"/>
      </w:pPr>
      <w:r>
        <w:t>156.</w:t>
      </w:r>
      <w:r>
        <w:tab/>
      </w:r>
      <w:proofErr w:type="spellStart"/>
      <w:r>
        <w:t>Galkanda-Arachchige</w:t>
      </w:r>
      <w:proofErr w:type="spellEnd"/>
      <w:r>
        <w:t xml:space="preserve">, H. S. C., Wilson, A. E. &amp; Davis, D. A. Success of fishmeal replacement through poultry by-product meal in aquaculture feed formulations: a meta-analysis. </w:t>
      </w:r>
      <w:r>
        <w:rPr>
          <w:i/>
          <w:iCs/>
        </w:rPr>
        <w:t xml:space="preserve">Rev. </w:t>
      </w:r>
      <w:proofErr w:type="spellStart"/>
      <w:r>
        <w:rPr>
          <w:i/>
          <w:iCs/>
        </w:rPr>
        <w:t>Aquac</w:t>
      </w:r>
      <w:proofErr w:type="spellEnd"/>
      <w:r>
        <w:rPr>
          <w:i/>
          <w:iCs/>
        </w:rPr>
        <w:t>.</w:t>
      </w:r>
      <w:r>
        <w:t xml:space="preserve"> </w:t>
      </w:r>
      <w:r>
        <w:rPr>
          <w:b/>
          <w:bCs/>
        </w:rPr>
        <w:t>12</w:t>
      </w:r>
      <w:r>
        <w:t>, 1624–1636 (2019).</w:t>
      </w:r>
    </w:p>
    <w:p w14:paraId="273B053C" w14:textId="77777777" w:rsidR="002D38F0" w:rsidRDefault="002D38F0" w:rsidP="002D38F0">
      <w:pPr>
        <w:pStyle w:val="Bibliography"/>
      </w:pPr>
      <w:r>
        <w:t>157.</w:t>
      </w:r>
      <w:r>
        <w:tab/>
        <w:t xml:space="preserve">Lim, C., Webster, C. D. &amp; Lee, C.-S. </w:t>
      </w:r>
      <w:r>
        <w:rPr>
          <w:i/>
          <w:iCs/>
        </w:rPr>
        <w:t>Alternative protein sources in aquaculture diets</w:t>
      </w:r>
      <w:r>
        <w:t>. (Haworth Press New York, 2008).</w:t>
      </w:r>
    </w:p>
    <w:p w14:paraId="1E449D79" w14:textId="77777777" w:rsidR="002D38F0" w:rsidRDefault="002D38F0" w:rsidP="002D38F0">
      <w:pPr>
        <w:pStyle w:val="Bibliography"/>
      </w:pPr>
      <w:r>
        <w:t>158.</w:t>
      </w:r>
      <w:r>
        <w:tab/>
        <w:t xml:space="preserve">Trushenski, J. T. &amp; Lochmann, R. T. Potential, </w:t>
      </w:r>
      <w:proofErr w:type="gramStart"/>
      <w:r>
        <w:t>implications</w:t>
      </w:r>
      <w:proofErr w:type="gramEnd"/>
      <w:r>
        <w:t xml:space="preserve"> and solutions regarding the use of rendered animal fats in aquafeeds. </w:t>
      </w:r>
      <w:r>
        <w:rPr>
          <w:i/>
          <w:iCs/>
        </w:rPr>
        <w:t>Am. J. Anim. Vet. Sci.</w:t>
      </w:r>
      <w:r>
        <w:t xml:space="preserve"> </w:t>
      </w:r>
      <w:r>
        <w:rPr>
          <w:b/>
          <w:bCs/>
        </w:rPr>
        <w:t>4</w:t>
      </w:r>
      <w:r>
        <w:t>, 108–128 (2009).</w:t>
      </w:r>
    </w:p>
    <w:p w14:paraId="4959FA28" w14:textId="77777777" w:rsidR="002D38F0" w:rsidRDefault="002D38F0" w:rsidP="002D38F0">
      <w:pPr>
        <w:pStyle w:val="Bibliography"/>
      </w:pPr>
      <w:r>
        <w:t>159.</w:t>
      </w:r>
      <w:r>
        <w:tab/>
        <w:t xml:space="preserve">Guo, J., Wang, Y. &amp; Bureau, D. p. Inclusion of rendered animal ingredients as fishmeal substitutes in practical diets for cuneate drum, </w:t>
      </w:r>
      <w:proofErr w:type="spellStart"/>
      <w:r>
        <w:t>Nibea</w:t>
      </w:r>
      <w:proofErr w:type="spellEnd"/>
      <w:r>
        <w:t xml:space="preserve"> </w:t>
      </w:r>
      <w:proofErr w:type="spellStart"/>
      <w:r>
        <w:t>miichthioides</w:t>
      </w:r>
      <w:proofErr w:type="spellEnd"/>
      <w:r>
        <w:t xml:space="preserve"> (Chu, Lo et Wu). </w:t>
      </w:r>
      <w:proofErr w:type="spellStart"/>
      <w:r>
        <w:rPr>
          <w:i/>
          <w:iCs/>
        </w:rPr>
        <w:t>Aquac</w:t>
      </w:r>
      <w:proofErr w:type="spellEnd"/>
      <w:r>
        <w:rPr>
          <w:i/>
          <w:iCs/>
        </w:rPr>
        <w:t xml:space="preserve">. </w:t>
      </w:r>
      <w:proofErr w:type="spellStart"/>
      <w:r>
        <w:rPr>
          <w:i/>
          <w:iCs/>
        </w:rPr>
        <w:t>Nutr</w:t>
      </w:r>
      <w:proofErr w:type="spellEnd"/>
      <w:r>
        <w:rPr>
          <w:i/>
          <w:iCs/>
        </w:rPr>
        <w:t>.</w:t>
      </w:r>
      <w:r>
        <w:t xml:space="preserve"> </w:t>
      </w:r>
      <w:r>
        <w:rPr>
          <w:b/>
          <w:bCs/>
        </w:rPr>
        <w:t>13</w:t>
      </w:r>
      <w:r>
        <w:t>, 81–87 (2007).</w:t>
      </w:r>
    </w:p>
    <w:p w14:paraId="1BDEAA26" w14:textId="77777777" w:rsidR="002D38F0" w:rsidRDefault="002D38F0" w:rsidP="002D38F0">
      <w:pPr>
        <w:pStyle w:val="Bibliography"/>
      </w:pPr>
      <w:r>
        <w:t>160.</w:t>
      </w:r>
      <w:r>
        <w:tab/>
      </w:r>
      <w:proofErr w:type="spellStart"/>
      <w:r>
        <w:t>Sugiura</w:t>
      </w:r>
      <w:proofErr w:type="spellEnd"/>
      <w:r>
        <w:t xml:space="preserve">, S. H., Dong, F. M., Rathbone, C. K. &amp; Hardy, R. W. Apparent protein digestibility and mineral availabilities in various feed ingredients for salmonid feeds. </w:t>
      </w:r>
      <w:r>
        <w:rPr>
          <w:i/>
          <w:iCs/>
        </w:rPr>
        <w:t>Aquaculture</w:t>
      </w:r>
      <w:r>
        <w:t xml:space="preserve"> </w:t>
      </w:r>
      <w:r>
        <w:rPr>
          <w:b/>
          <w:bCs/>
        </w:rPr>
        <w:t>159</w:t>
      </w:r>
      <w:r>
        <w:t>, 177–202 (1998).</w:t>
      </w:r>
    </w:p>
    <w:p w14:paraId="48323092" w14:textId="77777777" w:rsidR="002D38F0" w:rsidRDefault="002D38F0" w:rsidP="002D38F0">
      <w:pPr>
        <w:pStyle w:val="Bibliography"/>
      </w:pPr>
      <w:r>
        <w:t>161.</w:t>
      </w:r>
      <w:r>
        <w:tab/>
        <w:t xml:space="preserve">El-Sayed, A.-F. M. Total replacement of fish meal with animal protein sources in Nile tilapia, Oreochromis </w:t>
      </w:r>
      <w:proofErr w:type="spellStart"/>
      <w:r>
        <w:t>niloticus</w:t>
      </w:r>
      <w:proofErr w:type="spellEnd"/>
      <w:r>
        <w:t xml:space="preserve"> (L.), feeds. </w:t>
      </w:r>
      <w:proofErr w:type="spellStart"/>
      <w:r>
        <w:rPr>
          <w:i/>
          <w:iCs/>
        </w:rPr>
        <w:t>Aquac</w:t>
      </w:r>
      <w:proofErr w:type="spellEnd"/>
      <w:r>
        <w:rPr>
          <w:i/>
          <w:iCs/>
        </w:rPr>
        <w:t>. Res.</w:t>
      </w:r>
      <w:r>
        <w:t xml:space="preserve"> </w:t>
      </w:r>
      <w:r>
        <w:rPr>
          <w:b/>
          <w:bCs/>
        </w:rPr>
        <w:t>29</w:t>
      </w:r>
      <w:r>
        <w:t>, 275–280 (1998).</w:t>
      </w:r>
    </w:p>
    <w:p w14:paraId="487E36CB" w14:textId="77777777" w:rsidR="002D38F0" w:rsidRDefault="002D38F0" w:rsidP="002D38F0">
      <w:pPr>
        <w:pStyle w:val="Bibliography"/>
      </w:pPr>
      <w:r>
        <w:t>162.</w:t>
      </w:r>
      <w:r>
        <w:tab/>
        <w:t xml:space="preserve">Sullivan, J. A. &amp; </w:t>
      </w:r>
      <w:proofErr w:type="spellStart"/>
      <w:r>
        <w:t>Reigh</w:t>
      </w:r>
      <w:proofErr w:type="spellEnd"/>
      <w:r>
        <w:t>, R. C. Apparent digestibility of selected feedstuffs in diets for hybrid striped bass (</w:t>
      </w:r>
      <w:proofErr w:type="spellStart"/>
      <w:r>
        <w:t>Morone</w:t>
      </w:r>
      <w:proofErr w:type="spellEnd"/>
      <w:r>
        <w:t xml:space="preserve"> saxatilis </w:t>
      </w:r>
      <w:r>
        <w:rPr>
          <w:rFonts w:ascii="Segoe UI Symbol" w:hAnsi="Segoe UI Symbol" w:cs="Segoe UI Symbol"/>
        </w:rPr>
        <w:t>♀</w:t>
      </w:r>
      <w:r>
        <w:t xml:space="preserve"> X </w:t>
      </w:r>
      <w:proofErr w:type="spellStart"/>
      <w:r>
        <w:t>Morone</w:t>
      </w:r>
      <w:proofErr w:type="spellEnd"/>
      <w:r>
        <w:t xml:space="preserve"> chrysops </w:t>
      </w:r>
      <w:r>
        <w:rPr>
          <w:rFonts w:ascii="Segoe UI Symbol" w:hAnsi="Segoe UI Symbol" w:cs="Segoe UI Symbol"/>
        </w:rPr>
        <w:t>♂</w:t>
      </w:r>
      <w:r>
        <w:t xml:space="preserve">). </w:t>
      </w:r>
      <w:r>
        <w:rPr>
          <w:i/>
          <w:iCs/>
        </w:rPr>
        <w:t>Aquaculture</w:t>
      </w:r>
      <w:r>
        <w:t xml:space="preserve"> </w:t>
      </w:r>
      <w:r>
        <w:rPr>
          <w:b/>
          <w:bCs/>
        </w:rPr>
        <w:t>138</w:t>
      </w:r>
      <w:r>
        <w:t>, 313–322 (1995).</w:t>
      </w:r>
    </w:p>
    <w:p w14:paraId="2D08D6D9" w14:textId="77777777" w:rsidR="002D38F0" w:rsidRDefault="002D38F0" w:rsidP="002D38F0">
      <w:pPr>
        <w:pStyle w:val="Bibliography"/>
      </w:pPr>
      <w:r>
        <w:t>163.</w:t>
      </w:r>
      <w:r>
        <w:tab/>
        <w:t xml:space="preserve">Bureau, D. P., Harris, A. M. &amp; Cho, C. Y. Apparent digestibility of rendered animal protein ingredients for rainbow trout (Oncorhynchus mykiss). </w:t>
      </w:r>
      <w:r>
        <w:rPr>
          <w:i/>
          <w:iCs/>
        </w:rPr>
        <w:t>Aquaculture</w:t>
      </w:r>
      <w:r>
        <w:t xml:space="preserve"> </w:t>
      </w:r>
      <w:r>
        <w:rPr>
          <w:b/>
          <w:bCs/>
        </w:rPr>
        <w:t>180</w:t>
      </w:r>
      <w:r>
        <w:t>, 345–358 (1999).</w:t>
      </w:r>
    </w:p>
    <w:p w14:paraId="47271926" w14:textId="77777777" w:rsidR="002D38F0" w:rsidRDefault="002D38F0" w:rsidP="002D38F0">
      <w:pPr>
        <w:pStyle w:val="Bibliography"/>
      </w:pPr>
      <w:r>
        <w:t>164.</w:t>
      </w:r>
      <w:r>
        <w:tab/>
      </w:r>
      <w:proofErr w:type="spellStart"/>
      <w:r>
        <w:t>Kirimi</w:t>
      </w:r>
      <w:proofErr w:type="spellEnd"/>
      <w:r>
        <w:t xml:space="preserve">, J., </w:t>
      </w:r>
      <w:proofErr w:type="spellStart"/>
      <w:r>
        <w:t>Musalia</w:t>
      </w:r>
      <w:proofErr w:type="spellEnd"/>
      <w:r>
        <w:t xml:space="preserve">, L., Magana, A. &amp; </w:t>
      </w:r>
      <w:proofErr w:type="spellStart"/>
      <w:r>
        <w:t>Munguti</w:t>
      </w:r>
      <w:proofErr w:type="spellEnd"/>
      <w:r>
        <w:t xml:space="preserve">, J. Performance of </w:t>
      </w:r>
      <w:proofErr w:type="spellStart"/>
      <w:r>
        <w:t>nile</w:t>
      </w:r>
      <w:proofErr w:type="spellEnd"/>
      <w:r>
        <w:t xml:space="preserve"> tilapia (Oreochromis </w:t>
      </w:r>
      <w:proofErr w:type="spellStart"/>
      <w:r>
        <w:t>niloticus</w:t>
      </w:r>
      <w:proofErr w:type="spellEnd"/>
      <w:r>
        <w:t xml:space="preserve">) fed diets containing blood meal as a replacement of fish meal. </w:t>
      </w:r>
      <w:r>
        <w:rPr>
          <w:i/>
          <w:iCs/>
        </w:rPr>
        <w:t>J. Agric. Sci.</w:t>
      </w:r>
      <w:r>
        <w:t xml:space="preserve"> </w:t>
      </w:r>
      <w:r>
        <w:rPr>
          <w:b/>
          <w:bCs/>
        </w:rPr>
        <w:t>8</w:t>
      </w:r>
      <w:r>
        <w:t>, p79 (2016).</w:t>
      </w:r>
    </w:p>
    <w:p w14:paraId="41FCAA3C" w14:textId="77777777" w:rsidR="002D38F0" w:rsidRDefault="002D38F0" w:rsidP="002D38F0">
      <w:pPr>
        <w:pStyle w:val="Bibliography"/>
      </w:pPr>
      <w:r>
        <w:t>165.</w:t>
      </w:r>
      <w:r>
        <w:tab/>
      </w:r>
      <w:proofErr w:type="spellStart"/>
      <w:r>
        <w:t>Hatlen</w:t>
      </w:r>
      <w:proofErr w:type="spellEnd"/>
      <w:r>
        <w:t xml:space="preserve">, B. </w:t>
      </w:r>
      <w:r>
        <w:rPr>
          <w:i/>
          <w:iCs/>
        </w:rPr>
        <w:t>et al.</w:t>
      </w:r>
      <w:r>
        <w:t xml:space="preserve"> Growth performance, feed utilization and product quality in slaughter size Atlantic salmon (Salmo </w:t>
      </w:r>
      <w:proofErr w:type="spellStart"/>
      <w:r>
        <w:t>salar</w:t>
      </w:r>
      <w:proofErr w:type="spellEnd"/>
      <w:r>
        <w:t xml:space="preserve"> L.) fed a diet with porcine blood meal, poultry oil and salmon oil. </w:t>
      </w:r>
      <w:proofErr w:type="spellStart"/>
      <w:r>
        <w:rPr>
          <w:i/>
          <w:iCs/>
        </w:rPr>
        <w:t>Aquac</w:t>
      </w:r>
      <w:proofErr w:type="spellEnd"/>
      <w:r>
        <w:rPr>
          <w:i/>
          <w:iCs/>
        </w:rPr>
        <w:t xml:space="preserve">. </w:t>
      </w:r>
      <w:proofErr w:type="spellStart"/>
      <w:r>
        <w:rPr>
          <w:i/>
          <w:iCs/>
        </w:rPr>
        <w:t>Nutr</w:t>
      </w:r>
      <w:proofErr w:type="spellEnd"/>
      <w:r>
        <w:rPr>
          <w:i/>
          <w:iCs/>
        </w:rPr>
        <w:t>.</w:t>
      </w:r>
      <w:r>
        <w:t xml:space="preserve"> </w:t>
      </w:r>
      <w:r>
        <w:rPr>
          <w:b/>
          <w:bCs/>
        </w:rPr>
        <w:t>19</w:t>
      </w:r>
      <w:r>
        <w:t>, 573–584 (2013).</w:t>
      </w:r>
    </w:p>
    <w:p w14:paraId="151B9B10" w14:textId="77777777" w:rsidR="002D38F0" w:rsidRDefault="002D38F0" w:rsidP="002D38F0">
      <w:pPr>
        <w:pStyle w:val="Bibliography"/>
      </w:pPr>
      <w:r>
        <w:t>166.</w:t>
      </w:r>
      <w:r>
        <w:tab/>
        <w:t xml:space="preserve">Turchini, G. m. </w:t>
      </w:r>
      <w:r>
        <w:rPr>
          <w:i/>
          <w:iCs/>
        </w:rPr>
        <w:t>et al.</w:t>
      </w:r>
      <w:r>
        <w:t xml:space="preserve"> Seven fish oil substitutes over a rainbow trout grow-out cycle: I) Effects on performance and fatty acid metabolism. </w:t>
      </w:r>
      <w:proofErr w:type="spellStart"/>
      <w:r>
        <w:rPr>
          <w:i/>
          <w:iCs/>
        </w:rPr>
        <w:t>Aquac</w:t>
      </w:r>
      <w:proofErr w:type="spellEnd"/>
      <w:r>
        <w:rPr>
          <w:i/>
          <w:iCs/>
        </w:rPr>
        <w:t xml:space="preserve">. </w:t>
      </w:r>
      <w:proofErr w:type="spellStart"/>
      <w:r>
        <w:rPr>
          <w:i/>
          <w:iCs/>
        </w:rPr>
        <w:t>Nutr</w:t>
      </w:r>
      <w:proofErr w:type="spellEnd"/>
      <w:r>
        <w:rPr>
          <w:i/>
          <w:iCs/>
        </w:rPr>
        <w:t>.</w:t>
      </w:r>
      <w:r>
        <w:t xml:space="preserve"> </w:t>
      </w:r>
      <w:r>
        <w:rPr>
          <w:b/>
          <w:bCs/>
        </w:rPr>
        <w:t>19</w:t>
      </w:r>
      <w:r>
        <w:t>, 82–94 (2013).</w:t>
      </w:r>
    </w:p>
    <w:p w14:paraId="5F18716E" w14:textId="77777777" w:rsidR="002D38F0" w:rsidRDefault="002D38F0" w:rsidP="002D38F0">
      <w:pPr>
        <w:pStyle w:val="Bibliography"/>
      </w:pPr>
      <w:r>
        <w:t>167.</w:t>
      </w:r>
      <w:r>
        <w:tab/>
        <w:t xml:space="preserve">Rao, M., Bast, A. &amp; de Boer, A. Valorized food processing by-products in the EU: finding the balance between safety, nutrition, and sustainability. </w:t>
      </w:r>
      <w:r>
        <w:rPr>
          <w:i/>
          <w:iCs/>
        </w:rPr>
        <w:t>Sustainability</w:t>
      </w:r>
      <w:r>
        <w:t xml:space="preserve"> </w:t>
      </w:r>
      <w:r>
        <w:rPr>
          <w:b/>
          <w:bCs/>
        </w:rPr>
        <w:t>13</w:t>
      </w:r>
      <w:r>
        <w:t>, 4428 (2021).</w:t>
      </w:r>
    </w:p>
    <w:p w14:paraId="47C460C7" w14:textId="77777777" w:rsidR="002D38F0" w:rsidRDefault="002D38F0" w:rsidP="002D38F0">
      <w:pPr>
        <w:pStyle w:val="Bibliography"/>
      </w:pPr>
      <w:r>
        <w:t>168.</w:t>
      </w:r>
      <w:r>
        <w:tab/>
      </w:r>
      <w:proofErr w:type="spellStart"/>
      <w:r>
        <w:t>Henchion</w:t>
      </w:r>
      <w:proofErr w:type="spellEnd"/>
      <w:r>
        <w:t xml:space="preserve">, M., McCarthy, M. &amp; O’Callaghan, J. Transforming beef by-products into valuable ingredients: which spell/recipe to use? </w:t>
      </w:r>
      <w:r>
        <w:rPr>
          <w:i/>
          <w:iCs/>
        </w:rPr>
        <w:t xml:space="preserve">Front. </w:t>
      </w:r>
      <w:proofErr w:type="spellStart"/>
      <w:r>
        <w:rPr>
          <w:i/>
          <w:iCs/>
        </w:rPr>
        <w:t>Nutr</w:t>
      </w:r>
      <w:proofErr w:type="spellEnd"/>
      <w:r>
        <w:rPr>
          <w:i/>
          <w:iCs/>
        </w:rPr>
        <w:t>.</w:t>
      </w:r>
      <w:r>
        <w:t xml:space="preserve"> </w:t>
      </w:r>
      <w:r>
        <w:rPr>
          <w:b/>
          <w:bCs/>
        </w:rPr>
        <w:t>3</w:t>
      </w:r>
      <w:r>
        <w:t>, (2016).</w:t>
      </w:r>
    </w:p>
    <w:p w14:paraId="53C187A3" w14:textId="77777777" w:rsidR="002D38F0" w:rsidRDefault="002D38F0" w:rsidP="002D38F0">
      <w:pPr>
        <w:pStyle w:val="Bibliography"/>
      </w:pPr>
      <w:r>
        <w:t>169.</w:t>
      </w:r>
      <w:r>
        <w:tab/>
      </w:r>
      <w:proofErr w:type="spellStart"/>
      <w:r>
        <w:t>Rozin</w:t>
      </w:r>
      <w:proofErr w:type="spellEnd"/>
      <w:r>
        <w:t xml:space="preserve">, P. &amp; Fallon, A. E. A perspective on disgust. </w:t>
      </w:r>
      <w:r>
        <w:rPr>
          <w:i/>
          <w:iCs/>
        </w:rPr>
        <w:t>Psychol. Rev.</w:t>
      </w:r>
      <w:r>
        <w:t xml:space="preserve"> </w:t>
      </w:r>
      <w:r>
        <w:rPr>
          <w:b/>
          <w:bCs/>
        </w:rPr>
        <w:t>94</w:t>
      </w:r>
      <w:r>
        <w:t>, 23–41 (1987).</w:t>
      </w:r>
    </w:p>
    <w:p w14:paraId="427D4DC8" w14:textId="77777777" w:rsidR="002D38F0" w:rsidRDefault="002D38F0" w:rsidP="002D38F0">
      <w:pPr>
        <w:pStyle w:val="Bibliography"/>
      </w:pPr>
      <w:r>
        <w:t>170.</w:t>
      </w:r>
      <w:r>
        <w:tab/>
        <w:t xml:space="preserve">Gasco, L., </w:t>
      </w:r>
      <w:proofErr w:type="spellStart"/>
      <w:r>
        <w:t>Biancarosa</w:t>
      </w:r>
      <w:proofErr w:type="spellEnd"/>
      <w:r>
        <w:t xml:space="preserve">, I. &amp; </w:t>
      </w:r>
      <w:proofErr w:type="spellStart"/>
      <w:r>
        <w:t>Liland</w:t>
      </w:r>
      <w:proofErr w:type="spellEnd"/>
      <w:r>
        <w:t xml:space="preserve">, N. S. From waste to feed: A review of recent knowledge on insects as producers of protein and fat for animal feeds. </w:t>
      </w:r>
      <w:proofErr w:type="spellStart"/>
      <w:r>
        <w:rPr>
          <w:i/>
          <w:iCs/>
        </w:rPr>
        <w:t>Curr</w:t>
      </w:r>
      <w:proofErr w:type="spellEnd"/>
      <w:r>
        <w:rPr>
          <w:i/>
          <w:iCs/>
        </w:rPr>
        <w:t xml:space="preserve">. </w:t>
      </w:r>
      <w:proofErr w:type="spellStart"/>
      <w:r>
        <w:rPr>
          <w:i/>
          <w:iCs/>
        </w:rPr>
        <w:t>Opin</w:t>
      </w:r>
      <w:proofErr w:type="spellEnd"/>
      <w:r>
        <w:rPr>
          <w:i/>
          <w:iCs/>
        </w:rPr>
        <w:t>. Green Sustain. Chem.</w:t>
      </w:r>
      <w:r>
        <w:t xml:space="preserve"> </w:t>
      </w:r>
      <w:r>
        <w:rPr>
          <w:b/>
          <w:bCs/>
        </w:rPr>
        <w:t>23</w:t>
      </w:r>
      <w:r>
        <w:t>, 67–79 (2020).</w:t>
      </w:r>
    </w:p>
    <w:p w14:paraId="5C1DDC21" w14:textId="77777777" w:rsidR="002D38F0" w:rsidRDefault="002D38F0" w:rsidP="002D38F0">
      <w:pPr>
        <w:pStyle w:val="Bibliography"/>
      </w:pPr>
      <w:r>
        <w:t>171.</w:t>
      </w:r>
      <w:r>
        <w:tab/>
        <w:t xml:space="preserve">Hua, K. A meta-analysis of the effects of replacing fish meals with insect meals on growth performance of fish. </w:t>
      </w:r>
      <w:r>
        <w:rPr>
          <w:i/>
          <w:iCs/>
        </w:rPr>
        <w:t>Aquaculture</w:t>
      </w:r>
      <w:r>
        <w:t xml:space="preserve"> </w:t>
      </w:r>
      <w:r>
        <w:rPr>
          <w:b/>
          <w:bCs/>
        </w:rPr>
        <w:t>530</w:t>
      </w:r>
      <w:r>
        <w:t>, 735732 (2021).</w:t>
      </w:r>
    </w:p>
    <w:p w14:paraId="0092BC1A" w14:textId="77777777" w:rsidR="002D38F0" w:rsidRDefault="002D38F0" w:rsidP="002D38F0">
      <w:pPr>
        <w:pStyle w:val="Bibliography"/>
      </w:pPr>
      <w:r>
        <w:t>172.</w:t>
      </w:r>
      <w:r>
        <w:tab/>
        <w:t xml:space="preserve">Lock, E.-J., </w:t>
      </w:r>
      <w:proofErr w:type="spellStart"/>
      <w:r>
        <w:t>Biancarosa</w:t>
      </w:r>
      <w:proofErr w:type="spellEnd"/>
      <w:r>
        <w:t xml:space="preserve">, I. &amp; Gasco, L. Insects as raw materials in compound feed for aquaculture. in </w:t>
      </w:r>
      <w:r>
        <w:rPr>
          <w:i/>
          <w:iCs/>
        </w:rPr>
        <w:t>Edible Insects in Sustainable Food Systems</w:t>
      </w:r>
      <w:r>
        <w:t xml:space="preserve"> (eds. Halloran, A., Flore, R., </w:t>
      </w:r>
      <w:proofErr w:type="spellStart"/>
      <w:r>
        <w:t>Vantomme</w:t>
      </w:r>
      <w:proofErr w:type="spellEnd"/>
      <w:r>
        <w:t xml:space="preserve">, P. &amp; </w:t>
      </w:r>
      <w:proofErr w:type="spellStart"/>
      <w:r>
        <w:t>Roos</w:t>
      </w:r>
      <w:proofErr w:type="spellEnd"/>
      <w:r>
        <w:t>, N.) 263–276 (Springer International Publishing, 2018). doi:10.1007/978-3-319-74011-9_16.</w:t>
      </w:r>
    </w:p>
    <w:p w14:paraId="1846EA52" w14:textId="77777777" w:rsidR="002D38F0" w:rsidRDefault="002D38F0" w:rsidP="002D38F0">
      <w:pPr>
        <w:pStyle w:val="Bibliography"/>
      </w:pPr>
      <w:r>
        <w:t>173.</w:t>
      </w:r>
      <w:r>
        <w:tab/>
        <w:t xml:space="preserve">Nogales-Mérida, S. </w:t>
      </w:r>
      <w:r>
        <w:rPr>
          <w:i/>
          <w:iCs/>
        </w:rPr>
        <w:t>et al.</w:t>
      </w:r>
      <w:r>
        <w:t xml:space="preserve"> Insect meals in fish nutrition. </w:t>
      </w:r>
      <w:r>
        <w:rPr>
          <w:i/>
          <w:iCs/>
        </w:rPr>
        <w:t xml:space="preserve">Rev. </w:t>
      </w:r>
      <w:proofErr w:type="spellStart"/>
      <w:r>
        <w:rPr>
          <w:i/>
          <w:iCs/>
        </w:rPr>
        <w:t>Aquac</w:t>
      </w:r>
      <w:proofErr w:type="spellEnd"/>
      <w:r>
        <w:rPr>
          <w:i/>
          <w:iCs/>
        </w:rPr>
        <w:t>.</w:t>
      </w:r>
      <w:r>
        <w:t xml:space="preserve"> </w:t>
      </w:r>
      <w:r>
        <w:rPr>
          <w:b/>
          <w:bCs/>
        </w:rPr>
        <w:t>11</w:t>
      </w:r>
      <w:r>
        <w:t>, 1080–1103 (2019).</w:t>
      </w:r>
    </w:p>
    <w:p w14:paraId="7397FA18" w14:textId="77777777" w:rsidR="002D38F0" w:rsidRDefault="002D38F0" w:rsidP="002D38F0">
      <w:pPr>
        <w:pStyle w:val="Bibliography"/>
      </w:pPr>
      <w:r>
        <w:t>174.</w:t>
      </w:r>
      <w:r>
        <w:tab/>
        <w:t xml:space="preserve">van Huis, A. Insects as food and feed, a new emerging agricultural sector: a review. </w:t>
      </w:r>
      <w:r>
        <w:rPr>
          <w:i/>
          <w:iCs/>
        </w:rPr>
        <w:t>J. Insects Food Feed</w:t>
      </w:r>
      <w:r>
        <w:t xml:space="preserve"> </w:t>
      </w:r>
      <w:r>
        <w:rPr>
          <w:b/>
          <w:bCs/>
        </w:rPr>
        <w:t>6</w:t>
      </w:r>
      <w:r>
        <w:t>, 27–44 (2020).</w:t>
      </w:r>
    </w:p>
    <w:p w14:paraId="286259CD" w14:textId="77777777" w:rsidR="002D38F0" w:rsidRDefault="002D38F0" w:rsidP="002D38F0">
      <w:pPr>
        <w:pStyle w:val="Bibliography"/>
      </w:pPr>
      <w:r>
        <w:t>175.</w:t>
      </w:r>
      <w:r>
        <w:tab/>
        <w:t xml:space="preserve">Henry, M. A., Gai, F., Enes, P., </w:t>
      </w:r>
      <w:proofErr w:type="spellStart"/>
      <w:r>
        <w:t>Peréz</w:t>
      </w:r>
      <w:proofErr w:type="spellEnd"/>
      <w:r>
        <w:t xml:space="preserve">-Jiménez, A. &amp; Gasco, L. Effect of partial dietary replacement of fishmeal by yellow mealworm (Tenebrio </w:t>
      </w:r>
      <w:proofErr w:type="spellStart"/>
      <w:r>
        <w:t>molitor</w:t>
      </w:r>
      <w:proofErr w:type="spellEnd"/>
      <w:r>
        <w:t xml:space="preserve">) larvae meal on the innate immune response and intestinal antioxidant enzymes of rainbow trout (Oncorhynchus mykiss). </w:t>
      </w:r>
      <w:r>
        <w:rPr>
          <w:i/>
          <w:iCs/>
        </w:rPr>
        <w:t>Fish Shellfish Immunol.</w:t>
      </w:r>
      <w:r>
        <w:t xml:space="preserve"> </w:t>
      </w:r>
      <w:r>
        <w:rPr>
          <w:b/>
          <w:bCs/>
        </w:rPr>
        <w:t>83</w:t>
      </w:r>
      <w:r>
        <w:t>, 308–313 (2018).</w:t>
      </w:r>
    </w:p>
    <w:p w14:paraId="601BDF11" w14:textId="77777777" w:rsidR="002D38F0" w:rsidRDefault="002D38F0" w:rsidP="002D38F0">
      <w:pPr>
        <w:pStyle w:val="Bibliography"/>
      </w:pPr>
      <w:r>
        <w:t>176.</w:t>
      </w:r>
      <w:r>
        <w:tab/>
        <w:t xml:space="preserve">Gasco, L., </w:t>
      </w:r>
      <w:proofErr w:type="spellStart"/>
      <w:r>
        <w:t>Józefiak</w:t>
      </w:r>
      <w:proofErr w:type="spellEnd"/>
      <w:r>
        <w:t xml:space="preserve">, A. &amp; Henry, M. Beyond the protein concept: health aspects of using edible insects on animals. </w:t>
      </w:r>
      <w:r>
        <w:rPr>
          <w:i/>
          <w:iCs/>
        </w:rPr>
        <w:t>J. Insects Food Feed</w:t>
      </w:r>
      <w:r>
        <w:t xml:space="preserve"> </w:t>
      </w:r>
      <w:r>
        <w:rPr>
          <w:b/>
          <w:bCs/>
        </w:rPr>
        <w:t>7</w:t>
      </w:r>
      <w:r>
        <w:t>, 715–741 (2021).</w:t>
      </w:r>
    </w:p>
    <w:p w14:paraId="284987F6" w14:textId="77777777" w:rsidR="002D38F0" w:rsidRDefault="002D38F0" w:rsidP="002D38F0">
      <w:pPr>
        <w:pStyle w:val="Bibliography"/>
      </w:pPr>
      <w:r>
        <w:t>177.</w:t>
      </w:r>
      <w:r>
        <w:tab/>
      </w:r>
      <w:proofErr w:type="spellStart"/>
      <w:r>
        <w:t>Hawkey</w:t>
      </w:r>
      <w:proofErr w:type="spellEnd"/>
      <w:r>
        <w:t>, K. J., Lopez-</w:t>
      </w:r>
      <w:proofErr w:type="spellStart"/>
      <w:r>
        <w:t>Viso</w:t>
      </w:r>
      <w:proofErr w:type="spellEnd"/>
      <w:r>
        <w:t xml:space="preserve">, C., </w:t>
      </w:r>
      <w:proofErr w:type="spellStart"/>
      <w:r>
        <w:t>Brameld</w:t>
      </w:r>
      <w:proofErr w:type="spellEnd"/>
      <w:r>
        <w:t xml:space="preserve">, J. M., Parr, T. &amp; Salter, A. M. Insects: a potential source of protein and other nutrients for feed and food. </w:t>
      </w:r>
      <w:proofErr w:type="spellStart"/>
      <w:r>
        <w:rPr>
          <w:i/>
          <w:iCs/>
        </w:rPr>
        <w:t>Annu</w:t>
      </w:r>
      <w:proofErr w:type="spellEnd"/>
      <w:r>
        <w:rPr>
          <w:i/>
          <w:iCs/>
        </w:rPr>
        <w:t xml:space="preserve">. Rev. Anim. </w:t>
      </w:r>
      <w:proofErr w:type="spellStart"/>
      <w:r>
        <w:rPr>
          <w:i/>
          <w:iCs/>
        </w:rPr>
        <w:t>Biosci</w:t>
      </w:r>
      <w:proofErr w:type="spellEnd"/>
      <w:r>
        <w:rPr>
          <w:i/>
          <w:iCs/>
        </w:rPr>
        <w:t>.</w:t>
      </w:r>
      <w:r>
        <w:t xml:space="preserve"> </w:t>
      </w:r>
      <w:r>
        <w:rPr>
          <w:b/>
          <w:bCs/>
        </w:rPr>
        <w:t>9</w:t>
      </w:r>
      <w:r>
        <w:t>, 333–354 (2021).</w:t>
      </w:r>
    </w:p>
    <w:p w14:paraId="27F1BAB7" w14:textId="77777777" w:rsidR="002D38F0" w:rsidRDefault="002D38F0" w:rsidP="002D38F0">
      <w:pPr>
        <w:pStyle w:val="Bibliography"/>
      </w:pPr>
      <w:r>
        <w:t>178.</w:t>
      </w:r>
      <w:r>
        <w:tab/>
      </w:r>
      <w:proofErr w:type="spellStart"/>
      <w:r>
        <w:t>Oonincx</w:t>
      </w:r>
      <w:proofErr w:type="spellEnd"/>
      <w:r>
        <w:t xml:space="preserve">, D. g. a. b. &amp; Finke, M. d. Nutritional value of insects and ways to manipulate their composition. </w:t>
      </w:r>
      <w:r>
        <w:rPr>
          <w:i/>
          <w:iCs/>
        </w:rPr>
        <w:t>J. Insects Food Feed</w:t>
      </w:r>
      <w:r>
        <w:t xml:space="preserve"> </w:t>
      </w:r>
      <w:r>
        <w:rPr>
          <w:b/>
          <w:bCs/>
        </w:rPr>
        <w:t>7</w:t>
      </w:r>
      <w:r>
        <w:t>, 639–659 (2021).</w:t>
      </w:r>
    </w:p>
    <w:p w14:paraId="7F94C9DB" w14:textId="77777777" w:rsidR="002D38F0" w:rsidRDefault="002D38F0" w:rsidP="002D38F0">
      <w:pPr>
        <w:pStyle w:val="Bibliography"/>
      </w:pPr>
      <w:r>
        <w:t>179.</w:t>
      </w:r>
      <w:r>
        <w:tab/>
      </w:r>
      <w:proofErr w:type="spellStart"/>
      <w:r>
        <w:t>Jongema</w:t>
      </w:r>
      <w:proofErr w:type="spellEnd"/>
      <w:r>
        <w:t xml:space="preserve">, Y. List of edible insects of the world (April 1, 2017). </w:t>
      </w:r>
      <w:r>
        <w:rPr>
          <w:i/>
          <w:iCs/>
        </w:rPr>
        <w:t>WUR</w:t>
      </w:r>
      <w:r>
        <w:t xml:space="preserve"> https://www.wur.nl/en/Research-Results/Chair-groups/Plant-Sciences/Laboratory-of-Entomology/Edible-insects/Worldwide-species-list.htm (2017).</w:t>
      </w:r>
    </w:p>
    <w:p w14:paraId="0A10CC6D" w14:textId="77777777" w:rsidR="002D38F0" w:rsidRDefault="002D38F0" w:rsidP="002D38F0">
      <w:pPr>
        <w:pStyle w:val="Bibliography"/>
      </w:pPr>
      <w:r>
        <w:t>180.</w:t>
      </w:r>
      <w:r>
        <w:tab/>
        <w:t xml:space="preserve">Gasco, L., </w:t>
      </w:r>
      <w:proofErr w:type="spellStart"/>
      <w:r>
        <w:t>Biasato</w:t>
      </w:r>
      <w:proofErr w:type="spellEnd"/>
      <w:r>
        <w:t xml:space="preserve">, I., </w:t>
      </w:r>
      <w:proofErr w:type="spellStart"/>
      <w:r>
        <w:t>Dabbou</w:t>
      </w:r>
      <w:proofErr w:type="spellEnd"/>
      <w:r>
        <w:t xml:space="preserve">, S., Schiavone, A. &amp; Gai, F. Animals fed insect-based diets: state-of-the-art on digestibility, </w:t>
      </w:r>
      <w:proofErr w:type="gramStart"/>
      <w:r>
        <w:t>performance</w:t>
      </w:r>
      <w:proofErr w:type="gramEnd"/>
      <w:r>
        <w:t xml:space="preserve"> and product quality. </w:t>
      </w:r>
      <w:r>
        <w:rPr>
          <w:i/>
          <w:iCs/>
        </w:rPr>
        <w:t>Animals</w:t>
      </w:r>
      <w:r>
        <w:t xml:space="preserve"> </w:t>
      </w:r>
      <w:r>
        <w:rPr>
          <w:b/>
          <w:bCs/>
        </w:rPr>
        <w:t>9</w:t>
      </w:r>
      <w:r>
        <w:t>, 170 (2019).</w:t>
      </w:r>
    </w:p>
    <w:p w14:paraId="417F1A6F" w14:textId="77777777" w:rsidR="002D38F0" w:rsidRDefault="002D38F0" w:rsidP="002D38F0">
      <w:pPr>
        <w:pStyle w:val="Bibliography"/>
      </w:pPr>
      <w:r>
        <w:t>181.</w:t>
      </w:r>
      <w:r>
        <w:tab/>
        <w:t xml:space="preserve">Barragan-Fonseca, K. B., </w:t>
      </w:r>
      <w:proofErr w:type="spellStart"/>
      <w:r>
        <w:t>Dicke</w:t>
      </w:r>
      <w:proofErr w:type="spellEnd"/>
      <w:r>
        <w:t>, M. &amp; van Loon, J. J. A. Influence of larval density and dietary nutrient concentration on performance, body protein, and fat contents of black soldier fly larvae (</w:t>
      </w:r>
      <w:proofErr w:type="spellStart"/>
      <w:r>
        <w:t>Hermetia</w:t>
      </w:r>
      <w:proofErr w:type="spellEnd"/>
      <w:r>
        <w:t xml:space="preserve"> </w:t>
      </w:r>
      <w:proofErr w:type="spellStart"/>
      <w:r>
        <w:t>illucens</w:t>
      </w:r>
      <w:proofErr w:type="spellEnd"/>
      <w:r>
        <w:t xml:space="preserve">). </w:t>
      </w:r>
      <w:proofErr w:type="spellStart"/>
      <w:r>
        <w:rPr>
          <w:i/>
          <w:iCs/>
        </w:rPr>
        <w:t>Entomol</w:t>
      </w:r>
      <w:proofErr w:type="spellEnd"/>
      <w:r>
        <w:rPr>
          <w:i/>
          <w:iCs/>
        </w:rPr>
        <w:t>. Exp. Appl.</w:t>
      </w:r>
      <w:r>
        <w:t xml:space="preserve"> </w:t>
      </w:r>
      <w:r>
        <w:rPr>
          <w:b/>
          <w:bCs/>
        </w:rPr>
        <w:t>166</w:t>
      </w:r>
      <w:r>
        <w:t>, 761–770 (2018).</w:t>
      </w:r>
    </w:p>
    <w:p w14:paraId="4425EDF0" w14:textId="77777777" w:rsidR="002D38F0" w:rsidRDefault="002D38F0" w:rsidP="002D38F0">
      <w:pPr>
        <w:pStyle w:val="Bibliography"/>
      </w:pPr>
      <w:r>
        <w:t>182.</w:t>
      </w:r>
      <w:r>
        <w:tab/>
      </w:r>
      <w:proofErr w:type="spellStart"/>
      <w:r>
        <w:t>Bellezza</w:t>
      </w:r>
      <w:proofErr w:type="spellEnd"/>
      <w:r>
        <w:t xml:space="preserve"> </w:t>
      </w:r>
      <w:proofErr w:type="spellStart"/>
      <w:r>
        <w:t>Oddon</w:t>
      </w:r>
      <w:proofErr w:type="spellEnd"/>
      <w:r>
        <w:t xml:space="preserve">, S., </w:t>
      </w:r>
      <w:proofErr w:type="spellStart"/>
      <w:r>
        <w:t>Biasato</w:t>
      </w:r>
      <w:proofErr w:type="spellEnd"/>
      <w:r>
        <w:t xml:space="preserve">, I. &amp; Gasco, L. Isoenergetic-practical and semi-purified diets for protein requirement determination in </w:t>
      </w:r>
      <w:proofErr w:type="spellStart"/>
      <w:r>
        <w:t>Hermetia</w:t>
      </w:r>
      <w:proofErr w:type="spellEnd"/>
      <w:r>
        <w:t xml:space="preserve"> </w:t>
      </w:r>
      <w:proofErr w:type="spellStart"/>
      <w:r>
        <w:t>illucens</w:t>
      </w:r>
      <w:proofErr w:type="spellEnd"/>
      <w:r>
        <w:t xml:space="preserve"> larvae: consequences on life history traits. </w:t>
      </w:r>
      <w:r>
        <w:rPr>
          <w:i/>
          <w:iCs/>
        </w:rPr>
        <w:t xml:space="preserve">J. Anim. Sci. </w:t>
      </w:r>
      <w:proofErr w:type="spellStart"/>
      <w:r>
        <w:rPr>
          <w:i/>
          <w:iCs/>
        </w:rPr>
        <w:t>Biotechnol</w:t>
      </w:r>
      <w:proofErr w:type="spellEnd"/>
      <w:r>
        <w:rPr>
          <w:i/>
          <w:iCs/>
        </w:rPr>
        <w:t>.</w:t>
      </w:r>
      <w:r>
        <w:t xml:space="preserve"> </w:t>
      </w:r>
      <w:r>
        <w:rPr>
          <w:b/>
          <w:bCs/>
        </w:rPr>
        <w:t>13</w:t>
      </w:r>
      <w:r>
        <w:t>, 17 (2022).</w:t>
      </w:r>
    </w:p>
    <w:p w14:paraId="7E25F350" w14:textId="77777777" w:rsidR="002D38F0" w:rsidRDefault="002D38F0" w:rsidP="002D38F0">
      <w:pPr>
        <w:pStyle w:val="Bibliography"/>
      </w:pPr>
      <w:r>
        <w:t>183.</w:t>
      </w:r>
      <w:r>
        <w:tab/>
      </w:r>
      <w:proofErr w:type="spellStart"/>
      <w:r>
        <w:t>Taufek</w:t>
      </w:r>
      <w:proofErr w:type="spellEnd"/>
      <w:r>
        <w:t xml:space="preserve">, N. M. </w:t>
      </w:r>
      <w:r>
        <w:rPr>
          <w:i/>
          <w:iCs/>
        </w:rPr>
        <w:t>et al.</w:t>
      </w:r>
      <w:r>
        <w:t xml:space="preserve"> Apparent digestibility coefficients and amino acid availability of cricket meal, </w:t>
      </w:r>
      <w:proofErr w:type="spellStart"/>
      <w:r>
        <w:t>Gryllus</w:t>
      </w:r>
      <w:proofErr w:type="spellEnd"/>
      <w:r>
        <w:t xml:space="preserve"> </w:t>
      </w:r>
      <w:proofErr w:type="spellStart"/>
      <w:r>
        <w:t>bimaculatus</w:t>
      </w:r>
      <w:proofErr w:type="spellEnd"/>
      <w:r>
        <w:t xml:space="preserve">, and fishmeal in African catfish, </w:t>
      </w:r>
      <w:proofErr w:type="spellStart"/>
      <w:r>
        <w:t>Clarias</w:t>
      </w:r>
      <w:proofErr w:type="spellEnd"/>
      <w:r>
        <w:t xml:space="preserve"> </w:t>
      </w:r>
      <w:proofErr w:type="spellStart"/>
      <w:r>
        <w:t>gariepinus</w:t>
      </w:r>
      <w:proofErr w:type="spellEnd"/>
      <w:r>
        <w:t xml:space="preserve">, diet. </w:t>
      </w:r>
      <w:r>
        <w:rPr>
          <w:i/>
          <w:iCs/>
        </w:rPr>
        <w:t xml:space="preserve">J. World </w:t>
      </w:r>
      <w:proofErr w:type="spellStart"/>
      <w:r>
        <w:rPr>
          <w:i/>
          <w:iCs/>
        </w:rPr>
        <w:t>Aquac</w:t>
      </w:r>
      <w:proofErr w:type="spellEnd"/>
      <w:r>
        <w:rPr>
          <w:i/>
          <w:iCs/>
        </w:rPr>
        <w:t>. Soc.</w:t>
      </w:r>
      <w:r>
        <w:t xml:space="preserve"> </w:t>
      </w:r>
      <w:r>
        <w:rPr>
          <w:b/>
          <w:bCs/>
        </w:rPr>
        <w:t>47</w:t>
      </w:r>
      <w:r>
        <w:t>, 798–805 (2016).</w:t>
      </w:r>
    </w:p>
    <w:p w14:paraId="10F4502E" w14:textId="77777777" w:rsidR="002D38F0" w:rsidRDefault="002D38F0" w:rsidP="002D38F0">
      <w:pPr>
        <w:pStyle w:val="Bibliography"/>
      </w:pPr>
      <w:r>
        <w:t>184.</w:t>
      </w:r>
      <w:r>
        <w:tab/>
      </w:r>
      <w:proofErr w:type="spellStart"/>
      <w:r>
        <w:t>Taufek</w:t>
      </w:r>
      <w:proofErr w:type="spellEnd"/>
      <w:r>
        <w:t xml:space="preserve">, N. M. </w:t>
      </w:r>
      <w:r>
        <w:rPr>
          <w:i/>
          <w:iCs/>
        </w:rPr>
        <w:t>et al.</w:t>
      </w:r>
      <w:r>
        <w:t xml:space="preserve"> Inclusion of cricket (</w:t>
      </w:r>
      <w:proofErr w:type="spellStart"/>
      <w:r>
        <w:t>Gryllus</w:t>
      </w:r>
      <w:proofErr w:type="spellEnd"/>
      <w:r>
        <w:t xml:space="preserve"> </w:t>
      </w:r>
      <w:proofErr w:type="spellStart"/>
      <w:r>
        <w:t>bimaculatus</w:t>
      </w:r>
      <w:proofErr w:type="spellEnd"/>
      <w:r>
        <w:t>) meal in African catfish (</w:t>
      </w:r>
      <w:proofErr w:type="spellStart"/>
      <w:r>
        <w:t>Clarias</w:t>
      </w:r>
      <w:proofErr w:type="spellEnd"/>
      <w:r>
        <w:t xml:space="preserve"> </w:t>
      </w:r>
      <w:proofErr w:type="spellStart"/>
      <w:r>
        <w:t>gariepinus</w:t>
      </w:r>
      <w:proofErr w:type="spellEnd"/>
      <w:r>
        <w:t xml:space="preserve">) feed influences disease resistance. </w:t>
      </w:r>
      <w:r>
        <w:rPr>
          <w:i/>
          <w:iCs/>
        </w:rPr>
        <w:t>J. Fish.</w:t>
      </w:r>
      <w:r>
        <w:t xml:space="preserve"> </w:t>
      </w:r>
      <w:r>
        <w:rPr>
          <w:b/>
          <w:bCs/>
        </w:rPr>
        <w:t>6</w:t>
      </w:r>
      <w:r>
        <w:t>, 623–631 (2018).</w:t>
      </w:r>
    </w:p>
    <w:p w14:paraId="07B4C1F7" w14:textId="77777777" w:rsidR="002D38F0" w:rsidRDefault="002D38F0" w:rsidP="002D38F0">
      <w:pPr>
        <w:pStyle w:val="Bibliography"/>
      </w:pPr>
      <w:r>
        <w:t>185.</w:t>
      </w:r>
      <w:r>
        <w:tab/>
      </w:r>
      <w:proofErr w:type="spellStart"/>
      <w:r>
        <w:t>Jeong</w:t>
      </w:r>
      <w:proofErr w:type="spellEnd"/>
      <w:r>
        <w:t xml:space="preserve">, S.-M. </w:t>
      </w:r>
      <w:r>
        <w:rPr>
          <w:i/>
          <w:iCs/>
        </w:rPr>
        <w:t>et al.</w:t>
      </w:r>
      <w:r>
        <w:t xml:space="preserve"> Nutritional evaluation of cricket, </w:t>
      </w:r>
      <w:proofErr w:type="spellStart"/>
      <w:r>
        <w:t>Gryllus</w:t>
      </w:r>
      <w:proofErr w:type="spellEnd"/>
      <w:r>
        <w:t xml:space="preserve"> </w:t>
      </w:r>
      <w:proofErr w:type="spellStart"/>
      <w:r>
        <w:t>bimaculatus</w:t>
      </w:r>
      <w:proofErr w:type="spellEnd"/>
      <w:r>
        <w:t xml:space="preserve">, meal as fish meal substitute for olive flounder, </w:t>
      </w:r>
      <w:proofErr w:type="spellStart"/>
      <w:r>
        <w:t>Paralichthys</w:t>
      </w:r>
      <w:proofErr w:type="spellEnd"/>
      <w:r>
        <w:t xml:space="preserve"> </w:t>
      </w:r>
      <w:proofErr w:type="spellStart"/>
      <w:r>
        <w:t>olivaceus</w:t>
      </w:r>
      <w:proofErr w:type="spellEnd"/>
      <w:r>
        <w:t xml:space="preserve">, juveniles. </w:t>
      </w:r>
      <w:r>
        <w:rPr>
          <w:i/>
          <w:iCs/>
        </w:rPr>
        <w:t xml:space="preserve">J. World </w:t>
      </w:r>
      <w:proofErr w:type="spellStart"/>
      <w:r>
        <w:rPr>
          <w:i/>
          <w:iCs/>
        </w:rPr>
        <w:t>Aquac</w:t>
      </w:r>
      <w:proofErr w:type="spellEnd"/>
      <w:r>
        <w:rPr>
          <w:i/>
          <w:iCs/>
        </w:rPr>
        <w:t>. Soc.</w:t>
      </w:r>
      <w:r>
        <w:t xml:space="preserve"> </w:t>
      </w:r>
      <w:r>
        <w:rPr>
          <w:b/>
          <w:bCs/>
        </w:rPr>
        <w:t>52</w:t>
      </w:r>
      <w:r>
        <w:t>, 859–880 (2021).</w:t>
      </w:r>
    </w:p>
    <w:p w14:paraId="3C81DE9F" w14:textId="77777777" w:rsidR="002D38F0" w:rsidRDefault="002D38F0" w:rsidP="002D38F0">
      <w:pPr>
        <w:pStyle w:val="Bibliography"/>
      </w:pPr>
      <w:r>
        <w:t>186.</w:t>
      </w:r>
      <w:r>
        <w:tab/>
      </w:r>
      <w:proofErr w:type="spellStart"/>
      <w:r>
        <w:t>Tilami</w:t>
      </w:r>
      <w:proofErr w:type="spellEnd"/>
      <w:r>
        <w:t xml:space="preserve">, S. K. </w:t>
      </w:r>
      <w:r>
        <w:rPr>
          <w:i/>
          <w:iCs/>
        </w:rPr>
        <w:t>et al.</w:t>
      </w:r>
      <w:r>
        <w:t xml:space="preserve"> Insect meal as a partial replacement for fish meal in a formulated diet for perch </w:t>
      </w:r>
      <w:proofErr w:type="spellStart"/>
      <w:r>
        <w:t>Perca</w:t>
      </w:r>
      <w:proofErr w:type="spellEnd"/>
      <w:r>
        <w:t xml:space="preserve"> </w:t>
      </w:r>
      <w:proofErr w:type="spellStart"/>
      <w:r>
        <w:t>fluviatilis</w:t>
      </w:r>
      <w:proofErr w:type="spellEnd"/>
      <w:r>
        <w:t xml:space="preserve">. </w:t>
      </w:r>
      <w:r>
        <w:rPr>
          <w:i/>
          <w:iCs/>
        </w:rPr>
        <w:t xml:space="preserve">Turk. J. Fish. </w:t>
      </w:r>
      <w:proofErr w:type="spellStart"/>
      <w:r>
        <w:rPr>
          <w:i/>
          <w:iCs/>
        </w:rPr>
        <w:t>Aquat</w:t>
      </w:r>
      <w:proofErr w:type="spellEnd"/>
      <w:r>
        <w:rPr>
          <w:i/>
          <w:iCs/>
        </w:rPr>
        <w:t>. Sci.</w:t>
      </w:r>
      <w:r>
        <w:t xml:space="preserve"> </w:t>
      </w:r>
      <w:r>
        <w:rPr>
          <w:b/>
          <w:bCs/>
        </w:rPr>
        <w:t>20</w:t>
      </w:r>
      <w:r>
        <w:t>, 867–878 (2020).</w:t>
      </w:r>
    </w:p>
    <w:p w14:paraId="5D4654F3" w14:textId="77777777" w:rsidR="002D38F0" w:rsidRDefault="002D38F0" w:rsidP="002D38F0">
      <w:pPr>
        <w:pStyle w:val="Bibliography"/>
      </w:pPr>
      <w:r>
        <w:t>187.</w:t>
      </w:r>
      <w:r>
        <w:tab/>
        <w:t xml:space="preserve">Jabir, M. A. R., Jabir, S. A. R. &amp; </w:t>
      </w:r>
      <w:proofErr w:type="spellStart"/>
      <w:r>
        <w:t>Vikineswary</w:t>
      </w:r>
      <w:proofErr w:type="spellEnd"/>
      <w:r>
        <w:t>, S. Nutritive potential and utilization of super worm (</w:t>
      </w:r>
      <w:proofErr w:type="spellStart"/>
      <w:r>
        <w:t>Zophobas</w:t>
      </w:r>
      <w:proofErr w:type="spellEnd"/>
      <w:r>
        <w:t xml:space="preserve"> </w:t>
      </w:r>
      <w:proofErr w:type="spellStart"/>
      <w:r>
        <w:t>morio</w:t>
      </w:r>
      <w:proofErr w:type="spellEnd"/>
      <w:r>
        <w:t xml:space="preserve">) meal in the diet of Nile tilapia (Oreochromis </w:t>
      </w:r>
      <w:proofErr w:type="spellStart"/>
      <w:r>
        <w:t>niloticus</w:t>
      </w:r>
      <w:proofErr w:type="spellEnd"/>
      <w:r>
        <w:t xml:space="preserve">) juvenile. </w:t>
      </w:r>
      <w:r>
        <w:rPr>
          <w:i/>
          <w:iCs/>
        </w:rPr>
        <w:t xml:space="preserve">Afr. J. </w:t>
      </w:r>
      <w:proofErr w:type="spellStart"/>
      <w:r>
        <w:rPr>
          <w:i/>
          <w:iCs/>
        </w:rPr>
        <w:t>Biotechnol</w:t>
      </w:r>
      <w:proofErr w:type="spellEnd"/>
      <w:r>
        <w:rPr>
          <w:i/>
          <w:iCs/>
        </w:rPr>
        <w:t>.</w:t>
      </w:r>
      <w:r>
        <w:t xml:space="preserve"> </w:t>
      </w:r>
      <w:r>
        <w:rPr>
          <w:b/>
          <w:bCs/>
        </w:rPr>
        <w:t>11</w:t>
      </w:r>
      <w:r>
        <w:t>, 6592–6598 (2012).</w:t>
      </w:r>
    </w:p>
    <w:p w14:paraId="6E35CA49" w14:textId="77777777" w:rsidR="002D38F0" w:rsidRDefault="002D38F0" w:rsidP="002D38F0">
      <w:pPr>
        <w:pStyle w:val="Bibliography"/>
      </w:pPr>
      <w:r>
        <w:t>188.</w:t>
      </w:r>
      <w:r>
        <w:tab/>
        <w:t xml:space="preserve">Fontes, T. V. </w:t>
      </w:r>
      <w:r>
        <w:rPr>
          <w:i/>
          <w:iCs/>
        </w:rPr>
        <w:t>et al.</w:t>
      </w:r>
      <w:r>
        <w:t xml:space="preserve"> Digestibility of insect meals for </w:t>
      </w:r>
      <w:proofErr w:type="spellStart"/>
      <w:r>
        <w:t>nile</w:t>
      </w:r>
      <w:proofErr w:type="spellEnd"/>
      <w:r>
        <w:t xml:space="preserve"> tilapia fingerlings. </w:t>
      </w:r>
      <w:r>
        <w:rPr>
          <w:i/>
          <w:iCs/>
        </w:rPr>
        <w:t>Animals</w:t>
      </w:r>
      <w:r>
        <w:t xml:space="preserve"> </w:t>
      </w:r>
      <w:r>
        <w:rPr>
          <w:b/>
          <w:bCs/>
        </w:rPr>
        <w:t>9</w:t>
      </w:r>
      <w:r>
        <w:t>, 181 (2019).</w:t>
      </w:r>
    </w:p>
    <w:p w14:paraId="209E54D2" w14:textId="77777777" w:rsidR="002D38F0" w:rsidRDefault="002D38F0" w:rsidP="002D38F0">
      <w:pPr>
        <w:pStyle w:val="Bibliography"/>
      </w:pPr>
      <w:r>
        <w:t>189.</w:t>
      </w:r>
      <w:r>
        <w:tab/>
        <w:t xml:space="preserve">Alves, A. P. do C., </w:t>
      </w:r>
      <w:proofErr w:type="spellStart"/>
      <w:r>
        <w:t>Paulino</w:t>
      </w:r>
      <w:proofErr w:type="spellEnd"/>
      <w:r>
        <w:t xml:space="preserve">, R. R., Pereira, R. T., da Costa, D. V. &amp; e Rosa, P. V. Nile tilapia fed insect meal: Growth and innate immune response in different times under lipopolysaccharide challenge. </w:t>
      </w:r>
      <w:proofErr w:type="spellStart"/>
      <w:r>
        <w:rPr>
          <w:i/>
          <w:iCs/>
        </w:rPr>
        <w:t>Aquac</w:t>
      </w:r>
      <w:proofErr w:type="spellEnd"/>
      <w:r>
        <w:rPr>
          <w:i/>
          <w:iCs/>
        </w:rPr>
        <w:t>. Res.</w:t>
      </w:r>
      <w:r>
        <w:t xml:space="preserve"> </w:t>
      </w:r>
      <w:r>
        <w:rPr>
          <w:b/>
          <w:bCs/>
        </w:rPr>
        <w:t>52</w:t>
      </w:r>
      <w:r>
        <w:t>, 529–540 (2020).</w:t>
      </w:r>
    </w:p>
    <w:p w14:paraId="7528D154" w14:textId="77777777" w:rsidR="002D38F0" w:rsidRDefault="002D38F0" w:rsidP="002D38F0">
      <w:pPr>
        <w:pStyle w:val="Bibliography"/>
      </w:pPr>
      <w:r>
        <w:t>190.</w:t>
      </w:r>
      <w:r>
        <w:tab/>
      </w:r>
      <w:proofErr w:type="spellStart"/>
      <w:r>
        <w:t>Mikołajczak</w:t>
      </w:r>
      <w:proofErr w:type="spellEnd"/>
      <w:r>
        <w:t xml:space="preserve">, Z., Rawski, M., </w:t>
      </w:r>
      <w:proofErr w:type="spellStart"/>
      <w:r>
        <w:t>Mazurkiewicz</w:t>
      </w:r>
      <w:proofErr w:type="spellEnd"/>
      <w:r>
        <w:t xml:space="preserve">, J., </w:t>
      </w:r>
      <w:proofErr w:type="spellStart"/>
      <w:r>
        <w:t>Kierończyk</w:t>
      </w:r>
      <w:proofErr w:type="spellEnd"/>
      <w:r>
        <w:t xml:space="preserve">, B. &amp; </w:t>
      </w:r>
      <w:proofErr w:type="spellStart"/>
      <w:r>
        <w:t>Józefiak</w:t>
      </w:r>
      <w:proofErr w:type="spellEnd"/>
      <w:r>
        <w:t xml:space="preserve">, D. The effect of hydrolyzed insect meals in sea trout fingerling (Salmo trutta m. trutta) diets on growth performance, </w:t>
      </w:r>
      <w:proofErr w:type="gramStart"/>
      <w:r>
        <w:t>microbiota</w:t>
      </w:r>
      <w:proofErr w:type="gramEnd"/>
      <w:r>
        <w:t xml:space="preserve"> and biochemical blood parameters. </w:t>
      </w:r>
      <w:r>
        <w:rPr>
          <w:i/>
          <w:iCs/>
        </w:rPr>
        <w:t>Animals</w:t>
      </w:r>
      <w:r>
        <w:t xml:space="preserve"> </w:t>
      </w:r>
      <w:r>
        <w:rPr>
          <w:b/>
          <w:bCs/>
        </w:rPr>
        <w:t>10</w:t>
      </w:r>
      <w:r>
        <w:t>, 1031 (2020).</w:t>
      </w:r>
    </w:p>
    <w:p w14:paraId="39F389F0" w14:textId="77777777" w:rsidR="002D38F0" w:rsidRDefault="002D38F0" w:rsidP="002D38F0">
      <w:pPr>
        <w:pStyle w:val="Bibliography"/>
      </w:pPr>
      <w:r>
        <w:t>191.</w:t>
      </w:r>
      <w:r>
        <w:tab/>
        <w:t xml:space="preserve">Karthick Raja, P., </w:t>
      </w:r>
      <w:proofErr w:type="spellStart"/>
      <w:r>
        <w:t>Aanand</w:t>
      </w:r>
      <w:proofErr w:type="spellEnd"/>
      <w:r>
        <w:t xml:space="preserve">, S., Stephen </w:t>
      </w:r>
      <w:proofErr w:type="spellStart"/>
      <w:r>
        <w:t>Sampathkumar</w:t>
      </w:r>
      <w:proofErr w:type="spellEnd"/>
      <w:r>
        <w:t xml:space="preserve">, J. &amp; </w:t>
      </w:r>
      <w:proofErr w:type="spellStart"/>
      <w:r>
        <w:t>Padmavathy</w:t>
      </w:r>
      <w:proofErr w:type="spellEnd"/>
      <w:r>
        <w:t xml:space="preserve">, P. Silkworm pupae meal as alternative source of protein in fish feed. </w:t>
      </w:r>
      <w:r>
        <w:rPr>
          <w:i/>
          <w:iCs/>
        </w:rPr>
        <w:t xml:space="preserve">J. </w:t>
      </w:r>
      <w:proofErr w:type="spellStart"/>
      <w:r>
        <w:rPr>
          <w:i/>
          <w:iCs/>
        </w:rPr>
        <w:t>Entomol</w:t>
      </w:r>
      <w:proofErr w:type="spellEnd"/>
      <w:r>
        <w:rPr>
          <w:i/>
          <w:iCs/>
        </w:rPr>
        <w:t>. Zool. Stud.</w:t>
      </w:r>
      <w:r>
        <w:t xml:space="preserve"> </w:t>
      </w:r>
      <w:r>
        <w:rPr>
          <w:b/>
          <w:bCs/>
        </w:rPr>
        <w:t>7</w:t>
      </w:r>
      <w:r>
        <w:t>, 78–85 (2019).</w:t>
      </w:r>
    </w:p>
    <w:p w14:paraId="4EFF90EE" w14:textId="77777777" w:rsidR="002D38F0" w:rsidRDefault="002D38F0" w:rsidP="002D38F0">
      <w:pPr>
        <w:pStyle w:val="Bibliography"/>
      </w:pPr>
      <w:r>
        <w:t>192.</w:t>
      </w:r>
      <w:r>
        <w:tab/>
      </w:r>
      <w:proofErr w:type="spellStart"/>
      <w:r>
        <w:t>Freccia</w:t>
      </w:r>
      <w:proofErr w:type="spellEnd"/>
      <w:r>
        <w:t xml:space="preserve">, A., </w:t>
      </w:r>
      <w:proofErr w:type="spellStart"/>
      <w:r>
        <w:t>Tubin</w:t>
      </w:r>
      <w:proofErr w:type="spellEnd"/>
      <w:r>
        <w:t xml:space="preserve">, J. S. B., </w:t>
      </w:r>
      <w:proofErr w:type="spellStart"/>
      <w:r>
        <w:t>Rombenso</w:t>
      </w:r>
      <w:proofErr w:type="spellEnd"/>
      <w:r>
        <w:t xml:space="preserve">, A. N. &amp; </w:t>
      </w:r>
      <w:proofErr w:type="spellStart"/>
      <w:r>
        <w:t>Emerenciano</w:t>
      </w:r>
      <w:proofErr w:type="spellEnd"/>
      <w:r>
        <w:t xml:space="preserve">, M. G. C. Insects in aquaculture nutrition: an emerging eco-friendly approach or commercial reality? in </w:t>
      </w:r>
      <w:r>
        <w:rPr>
          <w:i/>
          <w:iCs/>
        </w:rPr>
        <w:t>Emerging Technologies, Environment and Research for Sustainable Aquaculture</w:t>
      </w:r>
      <w:r>
        <w:t xml:space="preserve"> 1–14 (</w:t>
      </w:r>
      <w:proofErr w:type="spellStart"/>
      <w:r>
        <w:t>IntechOpen</w:t>
      </w:r>
      <w:proofErr w:type="spellEnd"/>
      <w:r>
        <w:t xml:space="preserve"> London, UK, 2020).</w:t>
      </w:r>
    </w:p>
    <w:p w14:paraId="3D67E502" w14:textId="77777777" w:rsidR="002D38F0" w:rsidRDefault="002D38F0" w:rsidP="002D38F0">
      <w:pPr>
        <w:pStyle w:val="Bibliography"/>
      </w:pPr>
      <w:r>
        <w:t>193.</w:t>
      </w:r>
      <w:r>
        <w:tab/>
        <w:t xml:space="preserve">Ravi, H. K. </w:t>
      </w:r>
      <w:r>
        <w:rPr>
          <w:i/>
          <w:iCs/>
        </w:rPr>
        <w:t>et al.</w:t>
      </w:r>
      <w:r>
        <w:t xml:space="preserve"> Larvae mediated valorization of industrial, agriculture and food wastes: biorefinery concept through bioconversion, processes, procedures, and products. </w:t>
      </w:r>
      <w:r>
        <w:rPr>
          <w:i/>
          <w:iCs/>
        </w:rPr>
        <w:t>Processes</w:t>
      </w:r>
      <w:r>
        <w:t xml:space="preserve"> </w:t>
      </w:r>
      <w:r>
        <w:rPr>
          <w:b/>
          <w:bCs/>
        </w:rPr>
        <w:t>8</w:t>
      </w:r>
      <w:r>
        <w:t>, 857 (2020).</w:t>
      </w:r>
    </w:p>
    <w:p w14:paraId="55C962CE" w14:textId="77777777" w:rsidR="002D38F0" w:rsidRDefault="002D38F0" w:rsidP="002D38F0">
      <w:pPr>
        <w:pStyle w:val="Bibliography"/>
      </w:pPr>
      <w:r>
        <w:t>194.</w:t>
      </w:r>
      <w:r>
        <w:tab/>
        <w:t xml:space="preserve">Gasco, L. </w:t>
      </w:r>
      <w:r>
        <w:rPr>
          <w:i/>
          <w:iCs/>
        </w:rPr>
        <w:t>et al.</w:t>
      </w:r>
      <w:r>
        <w:t xml:space="preserve"> Insect and fish by-products as sustainable alternatives to conventional animal proteins in animal nutrition. </w:t>
      </w:r>
      <w:r>
        <w:rPr>
          <w:i/>
          <w:iCs/>
        </w:rPr>
        <w:t>Ital. J. Anim. Sci.</w:t>
      </w:r>
      <w:r>
        <w:t xml:space="preserve"> </w:t>
      </w:r>
      <w:r>
        <w:rPr>
          <w:b/>
          <w:bCs/>
        </w:rPr>
        <w:t>19</w:t>
      </w:r>
      <w:r>
        <w:t>, 360–372 (2020).</w:t>
      </w:r>
    </w:p>
    <w:p w14:paraId="29E053F3" w14:textId="77777777" w:rsidR="002D38F0" w:rsidRDefault="002D38F0" w:rsidP="002D38F0">
      <w:pPr>
        <w:pStyle w:val="Bibliography"/>
      </w:pPr>
      <w:r>
        <w:t>195.</w:t>
      </w:r>
      <w:r>
        <w:tab/>
      </w:r>
      <w:proofErr w:type="spellStart"/>
      <w:r>
        <w:t>Pinotti</w:t>
      </w:r>
      <w:proofErr w:type="spellEnd"/>
      <w:r>
        <w:t xml:space="preserve">, L. &amp; </w:t>
      </w:r>
      <w:proofErr w:type="spellStart"/>
      <w:r>
        <w:t>Ottoboni</w:t>
      </w:r>
      <w:proofErr w:type="spellEnd"/>
      <w:r>
        <w:t xml:space="preserve">, M. Substrate as insect feed for bio-mass production. </w:t>
      </w:r>
      <w:r>
        <w:rPr>
          <w:i/>
          <w:iCs/>
        </w:rPr>
        <w:t>J. Insects Food Feed</w:t>
      </w:r>
      <w:r>
        <w:t xml:space="preserve"> </w:t>
      </w:r>
      <w:r>
        <w:rPr>
          <w:b/>
          <w:bCs/>
        </w:rPr>
        <w:t>7</w:t>
      </w:r>
      <w:r>
        <w:t>, 585–596 (2021).</w:t>
      </w:r>
    </w:p>
    <w:p w14:paraId="1E016653" w14:textId="77777777" w:rsidR="002D38F0" w:rsidRDefault="002D38F0" w:rsidP="002D38F0">
      <w:pPr>
        <w:pStyle w:val="Bibliography"/>
      </w:pPr>
      <w:r>
        <w:t>196.</w:t>
      </w:r>
      <w:r>
        <w:tab/>
        <w:t xml:space="preserve">Fowles, T. M. &amp; Nansen, C. Insect-based bioconversion: value from food waste. in </w:t>
      </w:r>
      <w:r>
        <w:rPr>
          <w:i/>
          <w:iCs/>
        </w:rPr>
        <w:t>Food Waste Management: Solving the Wicked Problem</w:t>
      </w:r>
      <w:r>
        <w:t xml:space="preserve"> (eds. </w:t>
      </w:r>
      <w:proofErr w:type="spellStart"/>
      <w:r>
        <w:t>Närvänen</w:t>
      </w:r>
      <w:proofErr w:type="spellEnd"/>
      <w:r>
        <w:t xml:space="preserve">, E., </w:t>
      </w:r>
      <w:proofErr w:type="spellStart"/>
      <w:r>
        <w:t>Mesiranta</w:t>
      </w:r>
      <w:proofErr w:type="spellEnd"/>
      <w:r>
        <w:t>, N., Mattila, M. &amp; Heikkinen, A.) 321–346 (Springer International Publishing, 2020). doi:10.1007/978-3-030-20561-4_12.</w:t>
      </w:r>
    </w:p>
    <w:p w14:paraId="36BF37D9" w14:textId="77777777" w:rsidR="002D38F0" w:rsidRDefault="002D38F0" w:rsidP="002D38F0">
      <w:pPr>
        <w:pStyle w:val="Bibliography"/>
      </w:pPr>
      <w:r>
        <w:t>197.</w:t>
      </w:r>
      <w:r>
        <w:tab/>
      </w:r>
      <w:proofErr w:type="spellStart"/>
      <w:r>
        <w:t>Sangiorgio</w:t>
      </w:r>
      <w:proofErr w:type="spellEnd"/>
      <w:r>
        <w:t xml:space="preserve">, P. </w:t>
      </w:r>
      <w:r>
        <w:rPr>
          <w:i/>
          <w:iCs/>
        </w:rPr>
        <w:t>et al.</w:t>
      </w:r>
      <w:r>
        <w:t xml:space="preserve"> </w:t>
      </w:r>
      <w:proofErr w:type="spellStart"/>
      <w:r>
        <w:t>Valorisation</w:t>
      </w:r>
      <w:proofErr w:type="spellEnd"/>
      <w:r>
        <w:t xml:space="preserve"> of agri-food waste and mealworms rearing residues for improving the sustainability of Tenebrio </w:t>
      </w:r>
      <w:proofErr w:type="spellStart"/>
      <w:r>
        <w:t>molitor</w:t>
      </w:r>
      <w:proofErr w:type="spellEnd"/>
      <w:r>
        <w:t xml:space="preserve"> industrial production. </w:t>
      </w:r>
      <w:r>
        <w:rPr>
          <w:i/>
          <w:iCs/>
        </w:rPr>
        <w:t>J. Insects Food Feed</w:t>
      </w:r>
      <w:r>
        <w:t xml:space="preserve"> 1–16 (2021) doi:10.3920/JIFF2021.0101.</w:t>
      </w:r>
    </w:p>
    <w:p w14:paraId="60CE546D" w14:textId="77777777" w:rsidR="002D38F0" w:rsidRDefault="002D38F0" w:rsidP="002D38F0">
      <w:pPr>
        <w:pStyle w:val="Bibliography"/>
      </w:pPr>
      <w:r>
        <w:t>198.</w:t>
      </w:r>
      <w:r>
        <w:tab/>
        <w:t xml:space="preserve">Ojha, S., </w:t>
      </w:r>
      <w:proofErr w:type="spellStart"/>
      <w:r>
        <w:t>Bußler</w:t>
      </w:r>
      <w:proofErr w:type="spellEnd"/>
      <w:r>
        <w:t xml:space="preserve">, S. &amp; Schlüter, O. K. Food waste </w:t>
      </w:r>
      <w:proofErr w:type="spellStart"/>
      <w:r>
        <w:t>valorisation</w:t>
      </w:r>
      <w:proofErr w:type="spellEnd"/>
      <w:r>
        <w:t xml:space="preserve"> and circular economy concepts in insect production and processing. </w:t>
      </w:r>
      <w:r>
        <w:rPr>
          <w:i/>
          <w:iCs/>
        </w:rPr>
        <w:t xml:space="preserve">Waste </w:t>
      </w:r>
      <w:proofErr w:type="spellStart"/>
      <w:r>
        <w:rPr>
          <w:i/>
          <w:iCs/>
        </w:rPr>
        <w:t>Manag</w:t>
      </w:r>
      <w:proofErr w:type="spellEnd"/>
      <w:r>
        <w:rPr>
          <w:i/>
          <w:iCs/>
        </w:rPr>
        <w:t>.</w:t>
      </w:r>
      <w:r>
        <w:t xml:space="preserve"> </w:t>
      </w:r>
      <w:r>
        <w:rPr>
          <w:b/>
          <w:bCs/>
        </w:rPr>
        <w:t>118</w:t>
      </w:r>
      <w:r>
        <w:t>, 600–609 (2020).</w:t>
      </w:r>
    </w:p>
    <w:p w14:paraId="6689B635" w14:textId="77777777" w:rsidR="002D38F0" w:rsidRDefault="002D38F0" w:rsidP="002D38F0">
      <w:pPr>
        <w:pStyle w:val="Bibliography"/>
      </w:pPr>
      <w:r>
        <w:t>199.</w:t>
      </w:r>
      <w:r>
        <w:tab/>
      </w:r>
      <w:proofErr w:type="spellStart"/>
      <w:r>
        <w:t>Sogari</w:t>
      </w:r>
      <w:proofErr w:type="spellEnd"/>
      <w:r>
        <w:t xml:space="preserve">, G., Amato, M., </w:t>
      </w:r>
      <w:proofErr w:type="spellStart"/>
      <w:r>
        <w:t>Biasato</w:t>
      </w:r>
      <w:proofErr w:type="spellEnd"/>
      <w:r>
        <w:t xml:space="preserve">, I., Chiesa, S. &amp; Gasco, L. The potential role of insects as feed: a multi-perspective review. </w:t>
      </w:r>
      <w:r>
        <w:rPr>
          <w:i/>
          <w:iCs/>
        </w:rPr>
        <w:t>Animals</w:t>
      </w:r>
      <w:r>
        <w:t xml:space="preserve"> </w:t>
      </w:r>
      <w:r>
        <w:rPr>
          <w:b/>
          <w:bCs/>
        </w:rPr>
        <w:t>9</w:t>
      </w:r>
      <w:r>
        <w:t>, 119 (2019).</w:t>
      </w:r>
    </w:p>
    <w:p w14:paraId="4C1FFC93" w14:textId="77777777" w:rsidR="002D38F0" w:rsidRDefault="002D38F0" w:rsidP="002D38F0">
      <w:pPr>
        <w:pStyle w:val="Bibliography"/>
      </w:pPr>
      <w:r>
        <w:t>200.</w:t>
      </w:r>
      <w:r>
        <w:tab/>
        <w:t xml:space="preserve">van Huis, A. &amp; </w:t>
      </w:r>
      <w:proofErr w:type="spellStart"/>
      <w:r>
        <w:t>Oonincx</w:t>
      </w:r>
      <w:proofErr w:type="spellEnd"/>
      <w:r>
        <w:t xml:space="preserve">, D. G. A. B. The environmental sustainability of insects as food and feed. A review. </w:t>
      </w:r>
      <w:proofErr w:type="spellStart"/>
      <w:r>
        <w:rPr>
          <w:i/>
          <w:iCs/>
        </w:rPr>
        <w:t>Agron</w:t>
      </w:r>
      <w:proofErr w:type="spellEnd"/>
      <w:r>
        <w:rPr>
          <w:i/>
          <w:iCs/>
        </w:rPr>
        <w:t>. Sustain. Dev.</w:t>
      </w:r>
      <w:r>
        <w:t xml:space="preserve"> </w:t>
      </w:r>
      <w:r>
        <w:rPr>
          <w:b/>
          <w:bCs/>
        </w:rPr>
        <w:t>37</w:t>
      </w:r>
      <w:r>
        <w:t>, 43 (2017).</w:t>
      </w:r>
    </w:p>
    <w:p w14:paraId="02296DC5" w14:textId="77777777" w:rsidR="002D38F0" w:rsidRDefault="002D38F0" w:rsidP="002D38F0">
      <w:pPr>
        <w:pStyle w:val="Bibliography"/>
      </w:pPr>
      <w:r>
        <w:t>201.</w:t>
      </w:r>
      <w:r>
        <w:tab/>
      </w:r>
      <w:proofErr w:type="spellStart"/>
      <w:r>
        <w:t>Allegretti</w:t>
      </w:r>
      <w:proofErr w:type="spellEnd"/>
      <w:r>
        <w:t xml:space="preserve">, G., </w:t>
      </w:r>
      <w:proofErr w:type="spellStart"/>
      <w:r>
        <w:t>Talamini</w:t>
      </w:r>
      <w:proofErr w:type="spellEnd"/>
      <w:r>
        <w:t xml:space="preserve">, E., Schmidt, V., </w:t>
      </w:r>
      <w:proofErr w:type="spellStart"/>
      <w:r>
        <w:t>Bogorni</w:t>
      </w:r>
      <w:proofErr w:type="spellEnd"/>
      <w:r>
        <w:t xml:space="preserve">, P. C. &amp; Ortega, E. Insect as feed: An </w:t>
      </w:r>
      <w:proofErr w:type="spellStart"/>
      <w:r>
        <w:t>emergy</w:t>
      </w:r>
      <w:proofErr w:type="spellEnd"/>
      <w:r>
        <w:t xml:space="preserve"> assessment of insect meal as a sustainable protein source for the Brazilian poultry industry. </w:t>
      </w:r>
      <w:r>
        <w:rPr>
          <w:i/>
          <w:iCs/>
        </w:rPr>
        <w:t>J. Clean. Prod.</w:t>
      </w:r>
      <w:r>
        <w:t xml:space="preserve"> </w:t>
      </w:r>
      <w:r>
        <w:rPr>
          <w:b/>
          <w:bCs/>
        </w:rPr>
        <w:t>171</w:t>
      </w:r>
      <w:r>
        <w:t>, 403–412 (2018).</w:t>
      </w:r>
    </w:p>
    <w:p w14:paraId="0A64D44B" w14:textId="77777777" w:rsidR="002D38F0" w:rsidRDefault="002D38F0" w:rsidP="002D38F0">
      <w:pPr>
        <w:pStyle w:val="Bibliography"/>
      </w:pPr>
      <w:r>
        <w:t>202.</w:t>
      </w:r>
      <w:r>
        <w:tab/>
        <w:t xml:space="preserve">Smetana, S., Schmitt, E. &amp; </w:t>
      </w:r>
      <w:proofErr w:type="spellStart"/>
      <w:r>
        <w:t>Mathys</w:t>
      </w:r>
      <w:proofErr w:type="spellEnd"/>
      <w:r>
        <w:t xml:space="preserve">, A. Sustainable use of </w:t>
      </w:r>
      <w:proofErr w:type="spellStart"/>
      <w:r>
        <w:t>Hermetia</w:t>
      </w:r>
      <w:proofErr w:type="spellEnd"/>
      <w:r>
        <w:t xml:space="preserve"> </w:t>
      </w:r>
      <w:proofErr w:type="spellStart"/>
      <w:r>
        <w:t>illucens</w:t>
      </w:r>
      <w:proofErr w:type="spellEnd"/>
      <w:r>
        <w:t xml:space="preserve"> insect biomass for feed and food: Attributional and consequential life cycle assessment. </w:t>
      </w:r>
      <w:proofErr w:type="spellStart"/>
      <w:r>
        <w:rPr>
          <w:i/>
          <w:iCs/>
        </w:rPr>
        <w:t>Resour</w:t>
      </w:r>
      <w:proofErr w:type="spellEnd"/>
      <w:r>
        <w:rPr>
          <w:i/>
          <w:iCs/>
        </w:rPr>
        <w:t xml:space="preserve">. </w:t>
      </w:r>
      <w:proofErr w:type="spellStart"/>
      <w:r>
        <w:rPr>
          <w:i/>
          <w:iCs/>
        </w:rPr>
        <w:t>Conserv</w:t>
      </w:r>
      <w:proofErr w:type="spellEnd"/>
      <w:r>
        <w:rPr>
          <w:i/>
          <w:iCs/>
        </w:rPr>
        <w:t xml:space="preserve">. </w:t>
      </w:r>
      <w:proofErr w:type="spellStart"/>
      <w:r>
        <w:rPr>
          <w:i/>
          <w:iCs/>
        </w:rPr>
        <w:t>Recycl</w:t>
      </w:r>
      <w:proofErr w:type="spellEnd"/>
      <w:r>
        <w:rPr>
          <w:i/>
          <w:iCs/>
        </w:rPr>
        <w:t>.</w:t>
      </w:r>
      <w:r>
        <w:t xml:space="preserve"> </w:t>
      </w:r>
      <w:r>
        <w:rPr>
          <w:b/>
          <w:bCs/>
        </w:rPr>
        <w:t>144</w:t>
      </w:r>
      <w:r>
        <w:t>, 285–296 (2019).</w:t>
      </w:r>
    </w:p>
    <w:p w14:paraId="5930FDCA" w14:textId="77777777" w:rsidR="002D38F0" w:rsidRDefault="002D38F0" w:rsidP="002D38F0">
      <w:pPr>
        <w:pStyle w:val="Bibliography"/>
      </w:pPr>
      <w:r>
        <w:t>203.</w:t>
      </w:r>
      <w:r>
        <w:tab/>
      </w:r>
      <w:proofErr w:type="spellStart"/>
      <w:r>
        <w:t>Cadinu</w:t>
      </w:r>
      <w:proofErr w:type="spellEnd"/>
      <w:r>
        <w:t xml:space="preserve">, L. A., Barra, P., Torre, F., </w:t>
      </w:r>
      <w:proofErr w:type="spellStart"/>
      <w:r>
        <w:t>Delogu</w:t>
      </w:r>
      <w:proofErr w:type="spellEnd"/>
      <w:r>
        <w:t xml:space="preserve">, F. &amp; </w:t>
      </w:r>
      <w:proofErr w:type="spellStart"/>
      <w:r>
        <w:t>Madau</w:t>
      </w:r>
      <w:proofErr w:type="spellEnd"/>
      <w:r>
        <w:t xml:space="preserve">, F. A. Insect rearing: potential, challenges, and circularity. </w:t>
      </w:r>
      <w:r>
        <w:rPr>
          <w:i/>
          <w:iCs/>
        </w:rPr>
        <w:t>Sustainability</w:t>
      </w:r>
      <w:r>
        <w:t xml:space="preserve"> </w:t>
      </w:r>
      <w:r>
        <w:rPr>
          <w:b/>
          <w:bCs/>
        </w:rPr>
        <w:t>12</w:t>
      </w:r>
      <w:r>
        <w:t>, 4567 (2020).</w:t>
      </w:r>
    </w:p>
    <w:p w14:paraId="47851639" w14:textId="77777777" w:rsidR="002D38F0" w:rsidRDefault="002D38F0" w:rsidP="002D38F0">
      <w:pPr>
        <w:pStyle w:val="Bibliography"/>
      </w:pPr>
      <w:r>
        <w:t>204.</w:t>
      </w:r>
      <w:r>
        <w:tab/>
        <w:t xml:space="preserve">Barroso, F. G. </w:t>
      </w:r>
      <w:r>
        <w:rPr>
          <w:i/>
          <w:iCs/>
        </w:rPr>
        <w:t>et al.</w:t>
      </w:r>
      <w:r>
        <w:t xml:space="preserve"> Insects as food: Enrichment of larvae of </w:t>
      </w:r>
      <w:proofErr w:type="spellStart"/>
      <w:r>
        <w:t>Hermetia</w:t>
      </w:r>
      <w:proofErr w:type="spellEnd"/>
      <w:r>
        <w:t xml:space="preserve"> </w:t>
      </w:r>
      <w:proofErr w:type="spellStart"/>
      <w:r>
        <w:t>illucens</w:t>
      </w:r>
      <w:proofErr w:type="spellEnd"/>
      <w:r>
        <w:t xml:space="preserve"> with omega 3 fatty acids by means of dietary modifications. </w:t>
      </w:r>
      <w:r>
        <w:rPr>
          <w:i/>
          <w:iCs/>
        </w:rPr>
        <w:t>J. Food Compos. Anal.</w:t>
      </w:r>
      <w:r>
        <w:t xml:space="preserve"> </w:t>
      </w:r>
      <w:r>
        <w:rPr>
          <w:b/>
          <w:bCs/>
        </w:rPr>
        <w:t>62</w:t>
      </w:r>
      <w:r>
        <w:t>, 8–13 (2017).</w:t>
      </w:r>
    </w:p>
    <w:p w14:paraId="57B2702F" w14:textId="77777777" w:rsidR="002D38F0" w:rsidRDefault="002D38F0" w:rsidP="002D38F0">
      <w:pPr>
        <w:pStyle w:val="Bibliography"/>
      </w:pPr>
      <w:r>
        <w:t>205.</w:t>
      </w:r>
      <w:r>
        <w:tab/>
        <w:t xml:space="preserve">Barroso, F. G. </w:t>
      </w:r>
      <w:r>
        <w:rPr>
          <w:i/>
          <w:iCs/>
        </w:rPr>
        <w:t>et al.</w:t>
      </w:r>
      <w:r>
        <w:t xml:space="preserve"> Production of n-3-rich insects by bioaccumulation of fishery waste. </w:t>
      </w:r>
      <w:r>
        <w:rPr>
          <w:i/>
          <w:iCs/>
        </w:rPr>
        <w:t>J. Food Compos. Anal.</w:t>
      </w:r>
      <w:r>
        <w:t xml:space="preserve"> </w:t>
      </w:r>
      <w:r>
        <w:rPr>
          <w:b/>
          <w:bCs/>
        </w:rPr>
        <w:t>82</w:t>
      </w:r>
      <w:r>
        <w:t>, 103237 (2019).</w:t>
      </w:r>
    </w:p>
    <w:p w14:paraId="73868EFE" w14:textId="77777777" w:rsidR="002D38F0" w:rsidRDefault="002D38F0" w:rsidP="002D38F0">
      <w:pPr>
        <w:pStyle w:val="Bibliography"/>
      </w:pPr>
      <w:r>
        <w:t>206.</w:t>
      </w:r>
      <w:r>
        <w:tab/>
      </w:r>
      <w:proofErr w:type="spellStart"/>
      <w:r>
        <w:t>Danieli</w:t>
      </w:r>
      <w:proofErr w:type="spellEnd"/>
      <w:r>
        <w:t xml:space="preserve">, P. P., </w:t>
      </w:r>
      <w:proofErr w:type="spellStart"/>
      <w:r>
        <w:t>Lussiana</w:t>
      </w:r>
      <w:proofErr w:type="spellEnd"/>
      <w:r>
        <w:t>, C., Gasco, L., Amici, A. &amp; Ronchi, B. The Effects of Diet Formulation on the Yield, Proximate Composition, and Fatty Acid Profile of the Black Soldier Fly (</w:t>
      </w:r>
      <w:proofErr w:type="spellStart"/>
      <w:r>
        <w:t>Hermetia</w:t>
      </w:r>
      <w:proofErr w:type="spellEnd"/>
      <w:r>
        <w:t xml:space="preserve"> </w:t>
      </w:r>
      <w:proofErr w:type="spellStart"/>
      <w:r>
        <w:t>illucens</w:t>
      </w:r>
      <w:proofErr w:type="spellEnd"/>
      <w:r>
        <w:t xml:space="preserve"> L.) Prepupae Intended for Animal Feed. </w:t>
      </w:r>
      <w:r>
        <w:rPr>
          <w:i/>
          <w:iCs/>
        </w:rPr>
        <w:t>Animals</w:t>
      </w:r>
      <w:r>
        <w:t xml:space="preserve"> </w:t>
      </w:r>
      <w:r>
        <w:rPr>
          <w:b/>
          <w:bCs/>
        </w:rPr>
        <w:t>9</w:t>
      </w:r>
      <w:r>
        <w:t>, 178 (2019).</w:t>
      </w:r>
    </w:p>
    <w:p w14:paraId="0C2890E6" w14:textId="77777777" w:rsidR="002D38F0" w:rsidRDefault="002D38F0" w:rsidP="002D38F0">
      <w:pPr>
        <w:pStyle w:val="Bibliography"/>
      </w:pPr>
      <w:r>
        <w:t>207.</w:t>
      </w:r>
      <w:r>
        <w:tab/>
        <w:t xml:space="preserve">Ewald, N. </w:t>
      </w:r>
      <w:r>
        <w:rPr>
          <w:i/>
          <w:iCs/>
        </w:rPr>
        <w:t>et al.</w:t>
      </w:r>
      <w:r>
        <w:t xml:space="preserve"> Fatty acid composition of black soldier fly larvae (</w:t>
      </w:r>
      <w:proofErr w:type="spellStart"/>
      <w:r>
        <w:t>Hermetia</w:t>
      </w:r>
      <w:proofErr w:type="spellEnd"/>
      <w:r>
        <w:t xml:space="preserve"> </w:t>
      </w:r>
      <w:proofErr w:type="spellStart"/>
      <w:r>
        <w:t>illucens</w:t>
      </w:r>
      <w:proofErr w:type="spellEnd"/>
      <w:r>
        <w:t xml:space="preserve">) – Possibilities and limitations for modification through diet. </w:t>
      </w:r>
      <w:r>
        <w:rPr>
          <w:i/>
          <w:iCs/>
        </w:rPr>
        <w:t xml:space="preserve">Waste </w:t>
      </w:r>
      <w:proofErr w:type="spellStart"/>
      <w:r>
        <w:rPr>
          <w:i/>
          <w:iCs/>
        </w:rPr>
        <w:t>Manag</w:t>
      </w:r>
      <w:proofErr w:type="spellEnd"/>
      <w:r>
        <w:rPr>
          <w:i/>
          <w:iCs/>
        </w:rPr>
        <w:t>.</w:t>
      </w:r>
      <w:r>
        <w:t xml:space="preserve"> </w:t>
      </w:r>
      <w:r>
        <w:rPr>
          <w:b/>
          <w:bCs/>
        </w:rPr>
        <w:t>102</w:t>
      </w:r>
      <w:r>
        <w:t>, 40–47 (2020).</w:t>
      </w:r>
    </w:p>
    <w:p w14:paraId="0B4B8D51" w14:textId="77777777" w:rsidR="002D38F0" w:rsidRDefault="002D38F0" w:rsidP="002D38F0">
      <w:pPr>
        <w:pStyle w:val="Bibliography"/>
      </w:pPr>
      <w:r>
        <w:t>208.</w:t>
      </w:r>
      <w:r>
        <w:tab/>
      </w:r>
      <w:proofErr w:type="spellStart"/>
      <w:r>
        <w:t>Liland</w:t>
      </w:r>
      <w:proofErr w:type="spellEnd"/>
      <w:r>
        <w:t xml:space="preserve">, N. S. </w:t>
      </w:r>
      <w:r>
        <w:rPr>
          <w:i/>
          <w:iCs/>
        </w:rPr>
        <w:t>et al.</w:t>
      </w:r>
      <w:r>
        <w:t xml:space="preserve"> Modulation of nutrient composition of black soldier fly (</w:t>
      </w:r>
      <w:proofErr w:type="spellStart"/>
      <w:r>
        <w:t>Hermetia</w:t>
      </w:r>
      <w:proofErr w:type="spellEnd"/>
      <w:r>
        <w:t xml:space="preserve"> </w:t>
      </w:r>
      <w:proofErr w:type="spellStart"/>
      <w:r>
        <w:t>illucens</w:t>
      </w:r>
      <w:proofErr w:type="spellEnd"/>
      <w:r>
        <w:t xml:space="preserve">) larvae by feeding seaweed-enriched media. </w:t>
      </w:r>
      <w:r>
        <w:rPr>
          <w:i/>
          <w:iCs/>
        </w:rPr>
        <w:t>PLOS ONE</w:t>
      </w:r>
      <w:r>
        <w:t xml:space="preserve"> </w:t>
      </w:r>
      <w:r>
        <w:rPr>
          <w:b/>
          <w:bCs/>
        </w:rPr>
        <w:t>12</w:t>
      </w:r>
      <w:r>
        <w:t>, e0183188 (2017).</w:t>
      </w:r>
    </w:p>
    <w:p w14:paraId="6C791405" w14:textId="77777777" w:rsidR="002D38F0" w:rsidRDefault="002D38F0" w:rsidP="002D38F0">
      <w:pPr>
        <w:pStyle w:val="Bibliography"/>
      </w:pPr>
      <w:r>
        <w:t>209.</w:t>
      </w:r>
      <w:r>
        <w:tab/>
        <w:t xml:space="preserve">Fuso, A. </w:t>
      </w:r>
      <w:r>
        <w:rPr>
          <w:i/>
          <w:iCs/>
        </w:rPr>
        <w:t>et al.</w:t>
      </w:r>
      <w:r>
        <w:t xml:space="preserve"> Effect of the rearing substrate on total protein and amino acid composition in black soldier fly. </w:t>
      </w:r>
      <w:r>
        <w:rPr>
          <w:i/>
          <w:iCs/>
        </w:rPr>
        <w:t>Foods</w:t>
      </w:r>
      <w:r>
        <w:t xml:space="preserve"> </w:t>
      </w:r>
      <w:r>
        <w:rPr>
          <w:b/>
          <w:bCs/>
        </w:rPr>
        <w:t>10</w:t>
      </w:r>
      <w:r>
        <w:t>, 1773 (2021).</w:t>
      </w:r>
    </w:p>
    <w:p w14:paraId="7C01FB79" w14:textId="77777777" w:rsidR="002D38F0" w:rsidRDefault="002D38F0" w:rsidP="002D38F0">
      <w:pPr>
        <w:pStyle w:val="Bibliography"/>
      </w:pPr>
      <w:r>
        <w:t>210.</w:t>
      </w:r>
      <w:r>
        <w:tab/>
        <w:t xml:space="preserve">Ravi, H. K. </w:t>
      </w:r>
      <w:r>
        <w:rPr>
          <w:i/>
          <w:iCs/>
        </w:rPr>
        <w:t>et al.</w:t>
      </w:r>
      <w:r>
        <w:t xml:space="preserve"> Alternative solvents for lipid extraction and their effect on protein quality in black soldier fly (</w:t>
      </w:r>
      <w:proofErr w:type="spellStart"/>
      <w:r>
        <w:t>Hermetia</w:t>
      </w:r>
      <w:proofErr w:type="spellEnd"/>
      <w:r>
        <w:t xml:space="preserve"> </w:t>
      </w:r>
      <w:proofErr w:type="spellStart"/>
      <w:r>
        <w:t>illucens</w:t>
      </w:r>
      <w:proofErr w:type="spellEnd"/>
      <w:r>
        <w:t xml:space="preserve">) larvae. </w:t>
      </w:r>
      <w:r>
        <w:rPr>
          <w:i/>
          <w:iCs/>
        </w:rPr>
        <w:t>J. Clean. Prod.</w:t>
      </w:r>
      <w:r>
        <w:t xml:space="preserve"> </w:t>
      </w:r>
      <w:r>
        <w:rPr>
          <w:b/>
          <w:bCs/>
        </w:rPr>
        <w:t>238</w:t>
      </w:r>
      <w:r>
        <w:t>, 117861 (2019).</w:t>
      </w:r>
    </w:p>
    <w:p w14:paraId="7319544E" w14:textId="77777777" w:rsidR="002D38F0" w:rsidRDefault="002D38F0" w:rsidP="002D38F0">
      <w:pPr>
        <w:pStyle w:val="Bibliography"/>
      </w:pPr>
      <w:r>
        <w:t>211.</w:t>
      </w:r>
      <w:r>
        <w:tab/>
      </w:r>
      <w:proofErr w:type="spellStart"/>
      <w:r>
        <w:t>Caligiani</w:t>
      </w:r>
      <w:proofErr w:type="spellEnd"/>
      <w:r>
        <w:t xml:space="preserve">, A. </w:t>
      </w:r>
      <w:r>
        <w:rPr>
          <w:i/>
          <w:iCs/>
        </w:rPr>
        <w:t>et al.</w:t>
      </w:r>
      <w:r>
        <w:t xml:space="preserve"> Influence of the killing method of the black soldier fly on its lipid composition. </w:t>
      </w:r>
      <w:r>
        <w:rPr>
          <w:i/>
          <w:iCs/>
        </w:rPr>
        <w:t>Food Res. Int.</w:t>
      </w:r>
      <w:r>
        <w:t xml:space="preserve"> </w:t>
      </w:r>
      <w:r>
        <w:rPr>
          <w:b/>
          <w:bCs/>
        </w:rPr>
        <w:t>116</w:t>
      </w:r>
      <w:r>
        <w:t>, 276–282 (2019).</w:t>
      </w:r>
    </w:p>
    <w:p w14:paraId="2DC41E36" w14:textId="77777777" w:rsidR="002D38F0" w:rsidRDefault="002D38F0" w:rsidP="002D38F0">
      <w:pPr>
        <w:pStyle w:val="Bibliography"/>
      </w:pPr>
      <w:r>
        <w:t>212.</w:t>
      </w:r>
      <w:r>
        <w:tab/>
      </w:r>
      <w:proofErr w:type="spellStart"/>
      <w:r>
        <w:t>Hashizume</w:t>
      </w:r>
      <w:proofErr w:type="spellEnd"/>
      <w:r>
        <w:t xml:space="preserve">, A. </w:t>
      </w:r>
      <w:r>
        <w:rPr>
          <w:i/>
          <w:iCs/>
        </w:rPr>
        <w:t>et al.</w:t>
      </w:r>
      <w:r>
        <w:t xml:space="preserve"> Housefly (Musca domestica) Larvae Preparations after Removing the Hydrophobic Fraction Are Effective Alternatives to Fish Meal in Aquaculture Feed for Red Seabream (</w:t>
      </w:r>
      <w:proofErr w:type="spellStart"/>
      <w:r>
        <w:t>Pagrus</w:t>
      </w:r>
      <w:proofErr w:type="spellEnd"/>
      <w:r>
        <w:t xml:space="preserve"> major). </w:t>
      </w:r>
      <w:r>
        <w:rPr>
          <w:i/>
          <w:iCs/>
        </w:rPr>
        <w:t>Fishes</w:t>
      </w:r>
      <w:r>
        <w:t xml:space="preserve"> </w:t>
      </w:r>
      <w:r>
        <w:rPr>
          <w:b/>
          <w:bCs/>
        </w:rPr>
        <w:t>4</w:t>
      </w:r>
      <w:r>
        <w:t>, 38 (2019).</w:t>
      </w:r>
    </w:p>
    <w:p w14:paraId="57C7CA6B" w14:textId="77777777" w:rsidR="002D38F0" w:rsidRDefault="002D38F0" w:rsidP="002D38F0">
      <w:pPr>
        <w:pStyle w:val="Bibliography"/>
      </w:pPr>
      <w:r>
        <w:t>213.</w:t>
      </w:r>
      <w:r>
        <w:tab/>
      </w:r>
      <w:proofErr w:type="spellStart"/>
      <w:r>
        <w:t>Bordignon</w:t>
      </w:r>
      <w:proofErr w:type="spellEnd"/>
      <w:r>
        <w:t xml:space="preserve">, F. </w:t>
      </w:r>
      <w:r>
        <w:rPr>
          <w:i/>
          <w:iCs/>
        </w:rPr>
        <w:t>et al.</w:t>
      </w:r>
      <w:r>
        <w:t xml:space="preserve"> Performance and fillet traits of rainbow trout (Oncorhynchus mykiss) fed different levels of </w:t>
      </w:r>
      <w:proofErr w:type="spellStart"/>
      <w:r>
        <w:t>Hermetia</w:t>
      </w:r>
      <w:proofErr w:type="spellEnd"/>
      <w:r>
        <w:t xml:space="preserve"> </w:t>
      </w:r>
      <w:proofErr w:type="spellStart"/>
      <w:r>
        <w:t>illucens</w:t>
      </w:r>
      <w:proofErr w:type="spellEnd"/>
      <w:r>
        <w:t xml:space="preserve"> meal in a low-tech aquaponic system. </w:t>
      </w:r>
      <w:r>
        <w:rPr>
          <w:i/>
          <w:iCs/>
        </w:rPr>
        <w:t>Aquaculture</w:t>
      </w:r>
      <w:r>
        <w:t xml:space="preserve"> </w:t>
      </w:r>
      <w:r>
        <w:rPr>
          <w:b/>
          <w:bCs/>
        </w:rPr>
        <w:t>546</w:t>
      </w:r>
      <w:r>
        <w:t>, 737279 (2022).</w:t>
      </w:r>
    </w:p>
    <w:p w14:paraId="26AD4BAE" w14:textId="77777777" w:rsidR="002D38F0" w:rsidRDefault="002D38F0" w:rsidP="002D38F0">
      <w:pPr>
        <w:pStyle w:val="Bibliography"/>
      </w:pPr>
      <w:r>
        <w:t>214.</w:t>
      </w:r>
      <w:r>
        <w:tab/>
      </w:r>
      <w:proofErr w:type="spellStart"/>
      <w:r>
        <w:t>Caimi</w:t>
      </w:r>
      <w:proofErr w:type="spellEnd"/>
      <w:r>
        <w:t xml:space="preserve">, C. </w:t>
      </w:r>
      <w:r>
        <w:rPr>
          <w:i/>
          <w:iCs/>
        </w:rPr>
        <w:t>et al.</w:t>
      </w:r>
      <w:r>
        <w:t xml:space="preserve"> First insights on black soldier fly (</w:t>
      </w:r>
      <w:proofErr w:type="spellStart"/>
      <w:r>
        <w:t>Hermetia</w:t>
      </w:r>
      <w:proofErr w:type="spellEnd"/>
      <w:r>
        <w:t xml:space="preserve"> </w:t>
      </w:r>
      <w:proofErr w:type="spellStart"/>
      <w:r>
        <w:t>illucens</w:t>
      </w:r>
      <w:proofErr w:type="spellEnd"/>
      <w:r>
        <w:t xml:space="preserve"> l.) larvae meal dietary administration in </w:t>
      </w:r>
      <w:proofErr w:type="spellStart"/>
      <w:r>
        <w:t>siberian</w:t>
      </w:r>
      <w:proofErr w:type="spellEnd"/>
      <w:r>
        <w:t xml:space="preserve"> sturgeon (Acipenser </w:t>
      </w:r>
      <w:proofErr w:type="spellStart"/>
      <w:r>
        <w:t>baerii</w:t>
      </w:r>
      <w:proofErr w:type="spellEnd"/>
      <w:r>
        <w:t xml:space="preserve"> </w:t>
      </w:r>
      <w:proofErr w:type="spellStart"/>
      <w:r>
        <w:t>brandt</w:t>
      </w:r>
      <w:proofErr w:type="spellEnd"/>
      <w:r>
        <w:t xml:space="preserve">) juveniles. </w:t>
      </w:r>
      <w:r>
        <w:rPr>
          <w:i/>
          <w:iCs/>
        </w:rPr>
        <w:t>Aquaculture</w:t>
      </w:r>
      <w:r>
        <w:t xml:space="preserve"> </w:t>
      </w:r>
      <w:r>
        <w:rPr>
          <w:b/>
          <w:bCs/>
        </w:rPr>
        <w:t>515</w:t>
      </w:r>
      <w:r>
        <w:t>, 734539 (2020).</w:t>
      </w:r>
    </w:p>
    <w:p w14:paraId="613D1FC3" w14:textId="77777777" w:rsidR="002D38F0" w:rsidRDefault="002D38F0" w:rsidP="002D38F0">
      <w:pPr>
        <w:pStyle w:val="Bibliography"/>
      </w:pPr>
      <w:r>
        <w:t>215.</w:t>
      </w:r>
      <w:r>
        <w:tab/>
      </w:r>
      <w:proofErr w:type="spellStart"/>
      <w:r>
        <w:t>Caimi</w:t>
      </w:r>
      <w:proofErr w:type="spellEnd"/>
      <w:r>
        <w:t xml:space="preserve">, C. </w:t>
      </w:r>
      <w:r>
        <w:rPr>
          <w:i/>
          <w:iCs/>
        </w:rPr>
        <w:t>et al.</w:t>
      </w:r>
      <w:r>
        <w:t xml:space="preserve"> Dietary inclusion of a partially defatted black soldier fly (</w:t>
      </w:r>
      <w:proofErr w:type="spellStart"/>
      <w:r>
        <w:t>Hermetia</w:t>
      </w:r>
      <w:proofErr w:type="spellEnd"/>
      <w:r>
        <w:t xml:space="preserve"> </w:t>
      </w:r>
      <w:proofErr w:type="spellStart"/>
      <w:r>
        <w:t>illucens</w:t>
      </w:r>
      <w:proofErr w:type="spellEnd"/>
      <w:r>
        <w:t xml:space="preserve">) larva meal in low fishmeal-based diets for rainbow trout (Oncorhynchus mykiss). </w:t>
      </w:r>
      <w:r>
        <w:rPr>
          <w:i/>
          <w:iCs/>
        </w:rPr>
        <w:t xml:space="preserve">J. Anim. Sci. </w:t>
      </w:r>
      <w:proofErr w:type="spellStart"/>
      <w:r>
        <w:rPr>
          <w:i/>
          <w:iCs/>
        </w:rPr>
        <w:t>Biotechnol</w:t>
      </w:r>
      <w:proofErr w:type="spellEnd"/>
      <w:r>
        <w:rPr>
          <w:i/>
          <w:iCs/>
        </w:rPr>
        <w:t>.</w:t>
      </w:r>
      <w:r>
        <w:t xml:space="preserve"> </w:t>
      </w:r>
      <w:r>
        <w:rPr>
          <w:b/>
          <w:bCs/>
        </w:rPr>
        <w:t>12</w:t>
      </w:r>
      <w:r>
        <w:t>, 50 (2021).</w:t>
      </w:r>
    </w:p>
    <w:p w14:paraId="00F8559C" w14:textId="77777777" w:rsidR="002D38F0" w:rsidRDefault="002D38F0" w:rsidP="002D38F0">
      <w:pPr>
        <w:pStyle w:val="Bibliography"/>
      </w:pPr>
      <w:r>
        <w:t>216.</w:t>
      </w:r>
      <w:r>
        <w:tab/>
      </w:r>
      <w:proofErr w:type="spellStart"/>
      <w:r>
        <w:t>Chemello</w:t>
      </w:r>
      <w:proofErr w:type="spellEnd"/>
      <w:r>
        <w:t xml:space="preserve">, G. </w:t>
      </w:r>
      <w:r>
        <w:rPr>
          <w:i/>
          <w:iCs/>
        </w:rPr>
        <w:t>et al.</w:t>
      </w:r>
      <w:r>
        <w:t xml:space="preserve"> Partially defatted </w:t>
      </w:r>
      <w:proofErr w:type="spellStart"/>
      <w:r>
        <w:t>tenebrio</w:t>
      </w:r>
      <w:proofErr w:type="spellEnd"/>
      <w:r>
        <w:t xml:space="preserve"> </w:t>
      </w:r>
      <w:proofErr w:type="spellStart"/>
      <w:r>
        <w:t>molitor</w:t>
      </w:r>
      <w:proofErr w:type="spellEnd"/>
      <w:r>
        <w:t xml:space="preserve"> larva meal in diets for grow-out rainbow trout, Oncorhynchus mykiss (</w:t>
      </w:r>
      <w:proofErr w:type="spellStart"/>
      <w:r>
        <w:t>Walbaum</w:t>
      </w:r>
      <w:proofErr w:type="spellEnd"/>
      <w:r>
        <w:t xml:space="preserve">): effects on growth performance, diet digestibility and metabolic responses. </w:t>
      </w:r>
      <w:r>
        <w:rPr>
          <w:i/>
          <w:iCs/>
        </w:rPr>
        <w:t>Animals</w:t>
      </w:r>
      <w:r>
        <w:t xml:space="preserve"> </w:t>
      </w:r>
      <w:r>
        <w:rPr>
          <w:b/>
          <w:bCs/>
        </w:rPr>
        <w:t>10</w:t>
      </w:r>
      <w:r>
        <w:t>, 229 (2020).</w:t>
      </w:r>
    </w:p>
    <w:p w14:paraId="51F8E603" w14:textId="77777777" w:rsidR="002D38F0" w:rsidRDefault="002D38F0" w:rsidP="002D38F0">
      <w:pPr>
        <w:pStyle w:val="Bibliography"/>
      </w:pPr>
      <w:r>
        <w:t>217.</w:t>
      </w:r>
      <w:r>
        <w:tab/>
        <w:t xml:space="preserve">Dumas, A., Raggi, T., </w:t>
      </w:r>
      <w:proofErr w:type="spellStart"/>
      <w:r>
        <w:t>Barkhouse</w:t>
      </w:r>
      <w:proofErr w:type="spellEnd"/>
      <w:r>
        <w:t xml:space="preserve">, J., Lewis, E. &amp; </w:t>
      </w:r>
      <w:proofErr w:type="spellStart"/>
      <w:r>
        <w:t>Weltzien</w:t>
      </w:r>
      <w:proofErr w:type="spellEnd"/>
      <w:r>
        <w:t>, E. The oil fraction and partially defatted meal of black soldier fly larvae (</w:t>
      </w:r>
      <w:proofErr w:type="spellStart"/>
      <w:r>
        <w:t>Hermetia</w:t>
      </w:r>
      <w:proofErr w:type="spellEnd"/>
      <w:r>
        <w:t xml:space="preserve"> </w:t>
      </w:r>
      <w:proofErr w:type="spellStart"/>
      <w:r>
        <w:t>illucens</w:t>
      </w:r>
      <w:proofErr w:type="spellEnd"/>
      <w:r>
        <w:t xml:space="preserve">) affect differently growth performance, feed efficiency, nutrient deposition, blood glucose and lipid digestibility of rainbow trout (Oncorhynchus mykiss). </w:t>
      </w:r>
      <w:r>
        <w:rPr>
          <w:i/>
          <w:iCs/>
        </w:rPr>
        <w:t>Aquaculture</w:t>
      </w:r>
      <w:r>
        <w:t xml:space="preserve"> </w:t>
      </w:r>
      <w:r>
        <w:rPr>
          <w:b/>
          <w:bCs/>
        </w:rPr>
        <w:t>492</w:t>
      </w:r>
      <w:r>
        <w:t>, 24–34 (2018).</w:t>
      </w:r>
    </w:p>
    <w:p w14:paraId="549CDE9A" w14:textId="77777777" w:rsidR="002D38F0" w:rsidRDefault="002D38F0" w:rsidP="002D38F0">
      <w:pPr>
        <w:pStyle w:val="Bibliography"/>
      </w:pPr>
      <w:r>
        <w:t>218.</w:t>
      </w:r>
      <w:r>
        <w:tab/>
      </w:r>
      <w:proofErr w:type="spellStart"/>
      <w:r>
        <w:t>Guerreiro</w:t>
      </w:r>
      <w:proofErr w:type="spellEnd"/>
      <w:r>
        <w:t xml:space="preserve">, I. </w:t>
      </w:r>
      <w:r>
        <w:rPr>
          <w:i/>
          <w:iCs/>
        </w:rPr>
        <w:t>et al.</w:t>
      </w:r>
      <w:r>
        <w:t xml:space="preserve"> Catching black soldier fly for meagre: Growth, whole-body fatty acid profile and metabolic responses. </w:t>
      </w:r>
      <w:r>
        <w:rPr>
          <w:i/>
          <w:iCs/>
        </w:rPr>
        <w:t>Aquaculture</w:t>
      </w:r>
      <w:r>
        <w:t xml:space="preserve"> </w:t>
      </w:r>
      <w:r>
        <w:rPr>
          <w:b/>
          <w:bCs/>
        </w:rPr>
        <w:t>516</w:t>
      </w:r>
      <w:r>
        <w:t>, 734613 (2020).</w:t>
      </w:r>
    </w:p>
    <w:p w14:paraId="21149343" w14:textId="77777777" w:rsidR="002D38F0" w:rsidRDefault="002D38F0" w:rsidP="002D38F0">
      <w:pPr>
        <w:pStyle w:val="Bibliography"/>
      </w:pPr>
      <w:r>
        <w:t>219.</w:t>
      </w:r>
      <w:r>
        <w:tab/>
      </w:r>
      <w:proofErr w:type="spellStart"/>
      <w:r>
        <w:t>Guerreiro</w:t>
      </w:r>
      <w:proofErr w:type="spellEnd"/>
      <w:r>
        <w:t xml:space="preserve">, I. </w:t>
      </w:r>
      <w:r>
        <w:rPr>
          <w:i/>
          <w:iCs/>
        </w:rPr>
        <w:t>et al.</w:t>
      </w:r>
      <w:r>
        <w:t xml:space="preserve"> Digestive enzyme activity and nutrient digestibility in meagre (</w:t>
      </w:r>
      <w:proofErr w:type="spellStart"/>
      <w:r>
        <w:t>Argyrosomus</w:t>
      </w:r>
      <w:proofErr w:type="spellEnd"/>
      <w:r>
        <w:t xml:space="preserve"> regius) fed increasing levels of black soldier fly meal (</w:t>
      </w:r>
      <w:proofErr w:type="spellStart"/>
      <w:r>
        <w:t>Hermetia</w:t>
      </w:r>
      <w:proofErr w:type="spellEnd"/>
      <w:r>
        <w:t xml:space="preserve"> </w:t>
      </w:r>
      <w:proofErr w:type="spellStart"/>
      <w:r>
        <w:t>illucens</w:t>
      </w:r>
      <w:proofErr w:type="spellEnd"/>
      <w:r>
        <w:t xml:space="preserve">). </w:t>
      </w:r>
      <w:proofErr w:type="spellStart"/>
      <w:r>
        <w:rPr>
          <w:i/>
          <w:iCs/>
        </w:rPr>
        <w:t>Aquac</w:t>
      </w:r>
      <w:proofErr w:type="spellEnd"/>
      <w:r>
        <w:rPr>
          <w:i/>
          <w:iCs/>
        </w:rPr>
        <w:t xml:space="preserve">. </w:t>
      </w:r>
      <w:proofErr w:type="spellStart"/>
      <w:r>
        <w:rPr>
          <w:i/>
          <w:iCs/>
        </w:rPr>
        <w:t>Nutr</w:t>
      </w:r>
      <w:proofErr w:type="spellEnd"/>
      <w:r>
        <w:rPr>
          <w:i/>
          <w:iCs/>
        </w:rPr>
        <w:t>.</w:t>
      </w:r>
      <w:r>
        <w:t xml:space="preserve"> </w:t>
      </w:r>
      <w:r>
        <w:rPr>
          <w:b/>
          <w:bCs/>
        </w:rPr>
        <w:t>27</w:t>
      </w:r>
      <w:r>
        <w:t>, 142–152 (2021).</w:t>
      </w:r>
    </w:p>
    <w:p w14:paraId="2D623899" w14:textId="77777777" w:rsidR="002D38F0" w:rsidRDefault="002D38F0" w:rsidP="002D38F0">
      <w:pPr>
        <w:pStyle w:val="Bibliography"/>
      </w:pPr>
      <w:r>
        <w:t>220.</w:t>
      </w:r>
      <w:r>
        <w:tab/>
      </w:r>
      <w:proofErr w:type="spellStart"/>
      <w:r>
        <w:t>Roncarati</w:t>
      </w:r>
      <w:proofErr w:type="spellEnd"/>
      <w:r>
        <w:t xml:space="preserve">, A., Gasco, L., </w:t>
      </w:r>
      <w:proofErr w:type="spellStart"/>
      <w:r>
        <w:t>Parisi</w:t>
      </w:r>
      <w:proofErr w:type="spellEnd"/>
      <w:r>
        <w:t xml:space="preserve">, G. &amp; </w:t>
      </w:r>
      <w:proofErr w:type="spellStart"/>
      <w:r>
        <w:t>Terova</w:t>
      </w:r>
      <w:proofErr w:type="spellEnd"/>
      <w:r>
        <w:t xml:space="preserve">, G. Growth performance of common catfish (Ameiurus melas Raf.) fingerlings fed mealworm (Tenebrio </w:t>
      </w:r>
      <w:proofErr w:type="spellStart"/>
      <w:r>
        <w:t>molitor</w:t>
      </w:r>
      <w:proofErr w:type="spellEnd"/>
      <w:r>
        <w:t xml:space="preserve">) diet. </w:t>
      </w:r>
      <w:r>
        <w:rPr>
          <w:i/>
          <w:iCs/>
        </w:rPr>
        <w:t>J. Insects Food Feed</w:t>
      </w:r>
      <w:r>
        <w:t xml:space="preserve"> </w:t>
      </w:r>
      <w:r>
        <w:rPr>
          <w:b/>
          <w:bCs/>
        </w:rPr>
        <w:t>1</w:t>
      </w:r>
      <w:r>
        <w:t>, 233–240 (2015).</w:t>
      </w:r>
    </w:p>
    <w:p w14:paraId="2C221575" w14:textId="77777777" w:rsidR="002D38F0" w:rsidRDefault="002D38F0" w:rsidP="002D38F0">
      <w:pPr>
        <w:pStyle w:val="Bibliography"/>
      </w:pPr>
      <w:r>
        <w:t>221.</w:t>
      </w:r>
      <w:r>
        <w:tab/>
        <w:t xml:space="preserve">Stejskal, V. </w:t>
      </w:r>
      <w:r>
        <w:rPr>
          <w:i/>
          <w:iCs/>
        </w:rPr>
        <w:t>et al.</w:t>
      </w:r>
      <w:r>
        <w:t xml:space="preserve"> Partially defatted </w:t>
      </w:r>
      <w:proofErr w:type="spellStart"/>
      <w:r>
        <w:t>hermetia</w:t>
      </w:r>
      <w:proofErr w:type="spellEnd"/>
      <w:r>
        <w:t xml:space="preserve"> </w:t>
      </w:r>
      <w:proofErr w:type="spellStart"/>
      <w:r>
        <w:t>illucens</w:t>
      </w:r>
      <w:proofErr w:type="spellEnd"/>
      <w:r>
        <w:t xml:space="preserve"> larva meal in diet of </w:t>
      </w:r>
      <w:proofErr w:type="spellStart"/>
      <w:r>
        <w:t>eurasian</w:t>
      </w:r>
      <w:proofErr w:type="spellEnd"/>
      <w:r>
        <w:t xml:space="preserve"> perch (</w:t>
      </w:r>
      <w:proofErr w:type="spellStart"/>
      <w:r>
        <w:t>Perca</w:t>
      </w:r>
      <w:proofErr w:type="spellEnd"/>
      <w:r>
        <w:t xml:space="preserve"> </w:t>
      </w:r>
      <w:proofErr w:type="spellStart"/>
      <w:r>
        <w:t>fluviatilis</w:t>
      </w:r>
      <w:proofErr w:type="spellEnd"/>
      <w:r>
        <w:t xml:space="preserve">) juveniles. </w:t>
      </w:r>
      <w:r>
        <w:rPr>
          <w:i/>
          <w:iCs/>
        </w:rPr>
        <w:t>Animals</w:t>
      </w:r>
      <w:r>
        <w:t xml:space="preserve"> </w:t>
      </w:r>
      <w:r>
        <w:rPr>
          <w:b/>
          <w:bCs/>
        </w:rPr>
        <w:t>10</w:t>
      </w:r>
      <w:r>
        <w:t>, 1876 (2020).</w:t>
      </w:r>
    </w:p>
    <w:p w14:paraId="329DF51C" w14:textId="77777777" w:rsidR="002D38F0" w:rsidRDefault="002D38F0" w:rsidP="002D38F0">
      <w:pPr>
        <w:pStyle w:val="Bibliography"/>
      </w:pPr>
      <w:r>
        <w:t>222.</w:t>
      </w:r>
      <w:r>
        <w:tab/>
        <w:t xml:space="preserve">Wang, G. </w:t>
      </w:r>
      <w:r>
        <w:rPr>
          <w:i/>
          <w:iCs/>
        </w:rPr>
        <w:t>et al.</w:t>
      </w:r>
      <w:r>
        <w:t xml:space="preserve"> Evaluation of defatted black soldier fly (</w:t>
      </w:r>
      <w:proofErr w:type="spellStart"/>
      <w:r>
        <w:t>Hermetia</w:t>
      </w:r>
      <w:proofErr w:type="spellEnd"/>
      <w:r>
        <w:t xml:space="preserve"> </w:t>
      </w:r>
      <w:proofErr w:type="spellStart"/>
      <w:r>
        <w:t>illucens</w:t>
      </w:r>
      <w:proofErr w:type="spellEnd"/>
      <w:r>
        <w:t xml:space="preserve"> L.) larvae meal as an alternative protein ingredient for juvenile Japanese seabass (</w:t>
      </w:r>
      <w:proofErr w:type="spellStart"/>
      <w:r>
        <w:t>Lateolabrax</w:t>
      </w:r>
      <w:proofErr w:type="spellEnd"/>
      <w:r>
        <w:t xml:space="preserve"> japonicus) diets. </w:t>
      </w:r>
      <w:r>
        <w:rPr>
          <w:i/>
          <w:iCs/>
        </w:rPr>
        <w:t>Aquaculture</w:t>
      </w:r>
      <w:r>
        <w:t xml:space="preserve"> </w:t>
      </w:r>
      <w:r>
        <w:rPr>
          <w:b/>
          <w:bCs/>
        </w:rPr>
        <w:t>507</w:t>
      </w:r>
      <w:r>
        <w:t>, 144–154 (2019).</w:t>
      </w:r>
    </w:p>
    <w:p w14:paraId="70D0F136" w14:textId="77777777" w:rsidR="002D38F0" w:rsidRDefault="002D38F0" w:rsidP="002D38F0">
      <w:pPr>
        <w:pStyle w:val="Bibliography"/>
      </w:pPr>
      <w:r>
        <w:t>223.</w:t>
      </w:r>
      <w:r>
        <w:tab/>
        <w:t xml:space="preserve">Pulido, L. </w:t>
      </w:r>
      <w:r>
        <w:rPr>
          <w:i/>
          <w:iCs/>
        </w:rPr>
        <w:t>et al.</w:t>
      </w:r>
      <w:r>
        <w:t xml:space="preserve"> Effect of dietary black soldier fly larvae meal on fatty acid composition of lipids and sn-2 position of triglycerides of marketable size gilthead sea bream fillets. </w:t>
      </w:r>
      <w:r>
        <w:rPr>
          <w:i/>
          <w:iCs/>
        </w:rPr>
        <w:t>Aquaculture</w:t>
      </w:r>
      <w:r>
        <w:t xml:space="preserve"> </w:t>
      </w:r>
      <w:r>
        <w:rPr>
          <w:b/>
          <w:bCs/>
        </w:rPr>
        <w:t>546</w:t>
      </w:r>
      <w:r>
        <w:t>, 737351 (2022).</w:t>
      </w:r>
    </w:p>
    <w:p w14:paraId="1AC28DBF" w14:textId="77777777" w:rsidR="002D38F0" w:rsidRDefault="002D38F0" w:rsidP="002D38F0">
      <w:pPr>
        <w:pStyle w:val="Bibliography"/>
      </w:pPr>
      <w:r>
        <w:t>224.</w:t>
      </w:r>
      <w:r>
        <w:tab/>
        <w:t xml:space="preserve">Tran, H. Q. </w:t>
      </w:r>
      <w:r>
        <w:rPr>
          <w:i/>
          <w:iCs/>
        </w:rPr>
        <w:t>et al.</w:t>
      </w:r>
      <w:r>
        <w:t xml:space="preserve"> Production performance, nutrient digestibility, serum biochemistry, fillet composition, intestinal </w:t>
      </w:r>
      <w:proofErr w:type="gramStart"/>
      <w:r>
        <w:t>microbiota</w:t>
      </w:r>
      <w:proofErr w:type="gramEnd"/>
      <w:r>
        <w:t xml:space="preserve"> and environmental impacts of European perch (</w:t>
      </w:r>
      <w:proofErr w:type="spellStart"/>
      <w:r>
        <w:t>Perca</w:t>
      </w:r>
      <w:proofErr w:type="spellEnd"/>
      <w:r>
        <w:t xml:space="preserve"> </w:t>
      </w:r>
      <w:proofErr w:type="spellStart"/>
      <w:r>
        <w:t>fluviatilis</w:t>
      </w:r>
      <w:proofErr w:type="spellEnd"/>
      <w:r>
        <w:t xml:space="preserve">) fed defatted mealworm (Tenebrio </w:t>
      </w:r>
      <w:proofErr w:type="spellStart"/>
      <w:r>
        <w:t>molitor</w:t>
      </w:r>
      <w:proofErr w:type="spellEnd"/>
      <w:r>
        <w:t xml:space="preserve">). </w:t>
      </w:r>
      <w:r>
        <w:rPr>
          <w:i/>
          <w:iCs/>
        </w:rPr>
        <w:t>Aquaculture</w:t>
      </w:r>
      <w:r>
        <w:t xml:space="preserve"> </w:t>
      </w:r>
      <w:r>
        <w:rPr>
          <w:b/>
          <w:bCs/>
        </w:rPr>
        <w:t>547</w:t>
      </w:r>
      <w:r>
        <w:t>, 737499 (2022).</w:t>
      </w:r>
    </w:p>
    <w:p w14:paraId="34C485DF" w14:textId="77777777" w:rsidR="002D38F0" w:rsidRDefault="002D38F0" w:rsidP="002D38F0">
      <w:pPr>
        <w:pStyle w:val="Bibliography"/>
      </w:pPr>
      <w:r>
        <w:t>225.</w:t>
      </w:r>
      <w:r>
        <w:tab/>
      </w:r>
      <w:proofErr w:type="spellStart"/>
      <w:r>
        <w:t>Ido</w:t>
      </w:r>
      <w:proofErr w:type="spellEnd"/>
      <w:r>
        <w:t xml:space="preserve">, A. </w:t>
      </w:r>
      <w:r>
        <w:rPr>
          <w:i/>
          <w:iCs/>
        </w:rPr>
        <w:t>et al.</w:t>
      </w:r>
      <w:r>
        <w:t xml:space="preserve"> Replacement of fish meal by defatted yellow mealworm (Tenebrio </w:t>
      </w:r>
      <w:proofErr w:type="spellStart"/>
      <w:r>
        <w:t>molitor</w:t>
      </w:r>
      <w:proofErr w:type="spellEnd"/>
      <w:r>
        <w:t>) larvae in diet improves growth performance and disease resistance in red seabream (</w:t>
      </w:r>
      <w:proofErr w:type="spellStart"/>
      <w:r>
        <w:t>Pargus</w:t>
      </w:r>
      <w:proofErr w:type="spellEnd"/>
      <w:r>
        <w:t xml:space="preserve"> major). </w:t>
      </w:r>
      <w:r>
        <w:rPr>
          <w:i/>
          <w:iCs/>
        </w:rPr>
        <w:t>Animals</w:t>
      </w:r>
      <w:r>
        <w:t xml:space="preserve"> </w:t>
      </w:r>
      <w:r>
        <w:rPr>
          <w:b/>
          <w:bCs/>
        </w:rPr>
        <w:t>9</w:t>
      </w:r>
      <w:r>
        <w:t>, 100 (2019).</w:t>
      </w:r>
    </w:p>
    <w:p w14:paraId="7250794D" w14:textId="77777777" w:rsidR="002D38F0" w:rsidRDefault="002D38F0" w:rsidP="002D38F0">
      <w:pPr>
        <w:pStyle w:val="Bibliography"/>
      </w:pPr>
      <w:r>
        <w:t>226.</w:t>
      </w:r>
      <w:r>
        <w:tab/>
        <w:t xml:space="preserve">Li, Y. </w:t>
      </w:r>
      <w:r>
        <w:rPr>
          <w:i/>
          <w:iCs/>
        </w:rPr>
        <w:t>et al.</w:t>
      </w:r>
      <w:r>
        <w:t xml:space="preserve"> Total replacement of fish meal with black soldier fly (</w:t>
      </w:r>
      <w:proofErr w:type="spellStart"/>
      <w:r>
        <w:t>Hermetia</w:t>
      </w:r>
      <w:proofErr w:type="spellEnd"/>
      <w:r>
        <w:t xml:space="preserve"> </w:t>
      </w:r>
      <w:proofErr w:type="spellStart"/>
      <w:r>
        <w:t>illucens</w:t>
      </w:r>
      <w:proofErr w:type="spellEnd"/>
      <w:r>
        <w:t xml:space="preserve">) larvae meal does not compromise the gut health of Atlantic salmon (Salmo </w:t>
      </w:r>
      <w:proofErr w:type="spellStart"/>
      <w:r>
        <w:t>salar</w:t>
      </w:r>
      <w:proofErr w:type="spellEnd"/>
      <w:r>
        <w:t xml:space="preserve">). </w:t>
      </w:r>
      <w:r>
        <w:rPr>
          <w:i/>
          <w:iCs/>
        </w:rPr>
        <w:t>Aquaculture</w:t>
      </w:r>
      <w:r>
        <w:t xml:space="preserve"> </w:t>
      </w:r>
      <w:r>
        <w:rPr>
          <w:b/>
          <w:bCs/>
        </w:rPr>
        <w:t>520</w:t>
      </w:r>
      <w:r>
        <w:t>, 734967 (2020).</w:t>
      </w:r>
    </w:p>
    <w:p w14:paraId="144A6F25" w14:textId="77777777" w:rsidR="002D38F0" w:rsidRDefault="002D38F0" w:rsidP="002D38F0">
      <w:pPr>
        <w:pStyle w:val="Bibliography"/>
      </w:pPr>
      <w:r>
        <w:t>227.</w:t>
      </w:r>
      <w:r>
        <w:tab/>
      </w:r>
      <w:proofErr w:type="spellStart"/>
      <w:r>
        <w:t>Mastoraki</w:t>
      </w:r>
      <w:proofErr w:type="spellEnd"/>
      <w:r>
        <w:t xml:space="preserve">, M. </w:t>
      </w:r>
      <w:r>
        <w:rPr>
          <w:i/>
          <w:iCs/>
        </w:rPr>
        <w:t>et al.</w:t>
      </w:r>
      <w:r>
        <w:t xml:space="preserve"> A comparative study on the effect of fish meal substitution with three different insect meals on growth, body composition and metabolism of European sea bass (</w:t>
      </w:r>
      <w:proofErr w:type="spellStart"/>
      <w:r>
        <w:t>Dicentrarchus</w:t>
      </w:r>
      <w:proofErr w:type="spellEnd"/>
      <w:r>
        <w:t xml:space="preserve"> </w:t>
      </w:r>
      <w:proofErr w:type="spellStart"/>
      <w:r>
        <w:t>labrax</w:t>
      </w:r>
      <w:proofErr w:type="spellEnd"/>
      <w:r>
        <w:t xml:space="preserve"> L.). </w:t>
      </w:r>
      <w:r>
        <w:rPr>
          <w:i/>
          <w:iCs/>
        </w:rPr>
        <w:t>Aquaculture</w:t>
      </w:r>
      <w:r>
        <w:t xml:space="preserve"> </w:t>
      </w:r>
      <w:r>
        <w:rPr>
          <w:b/>
          <w:bCs/>
        </w:rPr>
        <w:t>528</w:t>
      </w:r>
      <w:r>
        <w:t>, 735511 (2020).</w:t>
      </w:r>
    </w:p>
    <w:p w14:paraId="06968EC6" w14:textId="77777777" w:rsidR="002D38F0" w:rsidRDefault="002D38F0" w:rsidP="002D38F0">
      <w:pPr>
        <w:pStyle w:val="Bibliography"/>
      </w:pPr>
      <w:r>
        <w:t>228.</w:t>
      </w:r>
      <w:r>
        <w:tab/>
      </w:r>
      <w:proofErr w:type="spellStart"/>
      <w:r>
        <w:t>Rimoldi</w:t>
      </w:r>
      <w:proofErr w:type="spellEnd"/>
      <w:r>
        <w:t xml:space="preserve">, S., Gini, E., </w:t>
      </w:r>
      <w:proofErr w:type="spellStart"/>
      <w:r>
        <w:t>Iannini</w:t>
      </w:r>
      <w:proofErr w:type="spellEnd"/>
      <w:r>
        <w:t xml:space="preserve">, F., Gasco, L. &amp; </w:t>
      </w:r>
      <w:proofErr w:type="spellStart"/>
      <w:r>
        <w:t>Terova</w:t>
      </w:r>
      <w:proofErr w:type="spellEnd"/>
      <w:r>
        <w:t xml:space="preserve">, G. The effects of dietary insect meal from </w:t>
      </w:r>
      <w:proofErr w:type="spellStart"/>
      <w:r>
        <w:t>Hermetia</w:t>
      </w:r>
      <w:proofErr w:type="spellEnd"/>
      <w:r>
        <w:t xml:space="preserve"> </w:t>
      </w:r>
      <w:proofErr w:type="spellStart"/>
      <w:r>
        <w:t>illucens</w:t>
      </w:r>
      <w:proofErr w:type="spellEnd"/>
      <w:r>
        <w:t xml:space="preserve"> prepupae on autochthonous gut microbiota of rainbow trout (Oncorhynchus mykiss). </w:t>
      </w:r>
      <w:r>
        <w:rPr>
          <w:i/>
          <w:iCs/>
        </w:rPr>
        <w:t>Animals</w:t>
      </w:r>
      <w:r>
        <w:t xml:space="preserve"> </w:t>
      </w:r>
      <w:r>
        <w:rPr>
          <w:b/>
          <w:bCs/>
        </w:rPr>
        <w:t>9</w:t>
      </w:r>
      <w:r>
        <w:t>, 143 (2019).</w:t>
      </w:r>
    </w:p>
    <w:p w14:paraId="58EFFB79" w14:textId="77777777" w:rsidR="002D38F0" w:rsidRDefault="002D38F0" w:rsidP="002D38F0">
      <w:pPr>
        <w:pStyle w:val="Bibliography"/>
      </w:pPr>
      <w:r>
        <w:t>229.</w:t>
      </w:r>
      <w:r>
        <w:tab/>
      </w:r>
      <w:proofErr w:type="spellStart"/>
      <w:r>
        <w:t>Rimoldi</w:t>
      </w:r>
      <w:proofErr w:type="spellEnd"/>
      <w:r>
        <w:t xml:space="preserve">, S., </w:t>
      </w:r>
      <w:proofErr w:type="spellStart"/>
      <w:r>
        <w:t>Antonini</w:t>
      </w:r>
      <w:proofErr w:type="spellEnd"/>
      <w:r>
        <w:t xml:space="preserve">, M., Gasco, L., Moroni, F. &amp; </w:t>
      </w:r>
      <w:proofErr w:type="spellStart"/>
      <w:r>
        <w:t>Terova</w:t>
      </w:r>
      <w:proofErr w:type="spellEnd"/>
      <w:r>
        <w:t xml:space="preserve">, G. Intestinal microbial communities of rainbow trout (Oncorhynchus mykiss) may be improved by feeding a </w:t>
      </w:r>
      <w:proofErr w:type="spellStart"/>
      <w:r>
        <w:t>Hermetia</w:t>
      </w:r>
      <w:proofErr w:type="spellEnd"/>
      <w:r>
        <w:t xml:space="preserve"> </w:t>
      </w:r>
      <w:proofErr w:type="spellStart"/>
      <w:r>
        <w:t>illucens</w:t>
      </w:r>
      <w:proofErr w:type="spellEnd"/>
      <w:r>
        <w:t xml:space="preserve"> meal/low-fishmeal diet. </w:t>
      </w:r>
      <w:r>
        <w:rPr>
          <w:i/>
          <w:iCs/>
        </w:rPr>
        <w:t xml:space="preserve">Fish Physiol. </w:t>
      </w:r>
      <w:proofErr w:type="spellStart"/>
      <w:r>
        <w:rPr>
          <w:i/>
          <w:iCs/>
        </w:rPr>
        <w:t>Biochem</w:t>
      </w:r>
      <w:proofErr w:type="spellEnd"/>
      <w:r>
        <w:rPr>
          <w:i/>
          <w:iCs/>
        </w:rPr>
        <w:t>.</w:t>
      </w:r>
      <w:r>
        <w:t xml:space="preserve"> </w:t>
      </w:r>
      <w:r>
        <w:rPr>
          <w:b/>
          <w:bCs/>
        </w:rPr>
        <w:t>47</w:t>
      </w:r>
      <w:r>
        <w:t>, 365–380 (2021).</w:t>
      </w:r>
    </w:p>
    <w:p w14:paraId="098F3DFB" w14:textId="77777777" w:rsidR="002D38F0" w:rsidRDefault="002D38F0" w:rsidP="002D38F0">
      <w:pPr>
        <w:pStyle w:val="Bibliography"/>
      </w:pPr>
      <w:r>
        <w:t>230.</w:t>
      </w:r>
      <w:r>
        <w:tab/>
      </w:r>
      <w:proofErr w:type="spellStart"/>
      <w:r>
        <w:t>Terova</w:t>
      </w:r>
      <w:proofErr w:type="spellEnd"/>
      <w:r>
        <w:t xml:space="preserve">, G. </w:t>
      </w:r>
      <w:r>
        <w:rPr>
          <w:i/>
          <w:iCs/>
        </w:rPr>
        <w:t>et al.</w:t>
      </w:r>
      <w:r>
        <w:t xml:space="preserve"> Effects of full replacement of dietary fishmeal with insect meal from Tenebrio </w:t>
      </w:r>
      <w:proofErr w:type="spellStart"/>
      <w:r>
        <w:t>molitor</w:t>
      </w:r>
      <w:proofErr w:type="spellEnd"/>
      <w:r>
        <w:t xml:space="preserve"> on rainbow trout gut and skin microbiota. </w:t>
      </w:r>
      <w:r>
        <w:rPr>
          <w:i/>
          <w:iCs/>
        </w:rPr>
        <w:t xml:space="preserve">J. Anim. Sci. </w:t>
      </w:r>
      <w:proofErr w:type="spellStart"/>
      <w:r>
        <w:rPr>
          <w:i/>
          <w:iCs/>
        </w:rPr>
        <w:t>Biotechnol</w:t>
      </w:r>
      <w:proofErr w:type="spellEnd"/>
      <w:r>
        <w:rPr>
          <w:i/>
          <w:iCs/>
        </w:rPr>
        <w:t>.</w:t>
      </w:r>
      <w:r>
        <w:t xml:space="preserve"> </w:t>
      </w:r>
      <w:r>
        <w:rPr>
          <w:b/>
          <w:bCs/>
        </w:rPr>
        <w:t>12</w:t>
      </w:r>
      <w:r>
        <w:t>, 30 (2021).</w:t>
      </w:r>
    </w:p>
    <w:p w14:paraId="574984AC" w14:textId="77777777" w:rsidR="002D38F0" w:rsidRDefault="002D38F0" w:rsidP="002D38F0">
      <w:pPr>
        <w:pStyle w:val="Bibliography"/>
      </w:pPr>
      <w:r>
        <w:t>231.</w:t>
      </w:r>
      <w:r>
        <w:tab/>
      </w:r>
      <w:proofErr w:type="spellStart"/>
      <w:r>
        <w:t>Weththasinghe</w:t>
      </w:r>
      <w:proofErr w:type="spellEnd"/>
      <w:r>
        <w:t xml:space="preserve">, P. </w:t>
      </w:r>
      <w:r>
        <w:rPr>
          <w:i/>
          <w:iCs/>
        </w:rPr>
        <w:t>et al.</w:t>
      </w:r>
      <w:r>
        <w:t xml:space="preserve"> Modulation of Atlantic salmon (Salmo </w:t>
      </w:r>
      <w:proofErr w:type="spellStart"/>
      <w:r>
        <w:t>salar</w:t>
      </w:r>
      <w:proofErr w:type="spellEnd"/>
      <w:r>
        <w:t>) gut microbiota composition and predicted metabolic capacity by feeding diets with processed black soldier fly (</w:t>
      </w:r>
      <w:proofErr w:type="spellStart"/>
      <w:r>
        <w:t>Hermetia</w:t>
      </w:r>
      <w:proofErr w:type="spellEnd"/>
      <w:r>
        <w:t xml:space="preserve"> </w:t>
      </w:r>
      <w:proofErr w:type="spellStart"/>
      <w:r>
        <w:t>illucens</w:t>
      </w:r>
      <w:proofErr w:type="spellEnd"/>
      <w:r>
        <w:t xml:space="preserve">) larvae meals and fractions. </w:t>
      </w:r>
      <w:r>
        <w:rPr>
          <w:i/>
          <w:iCs/>
        </w:rPr>
        <w:t>Anim. Microbiome</w:t>
      </w:r>
      <w:r>
        <w:t xml:space="preserve"> </w:t>
      </w:r>
      <w:r>
        <w:rPr>
          <w:b/>
          <w:bCs/>
        </w:rPr>
        <w:t>4</w:t>
      </w:r>
      <w:r>
        <w:t>, 9 (2022).</w:t>
      </w:r>
    </w:p>
    <w:p w14:paraId="3A73A70E" w14:textId="77777777" w:rsidR="002D38F0" w:rsidRDefault="002D38F0" w:rsidP="002D38F0">
      <w:pPr>
        <w:pStyle w:val="Bibliography"/>
      </w:pPr>
      <w:r>
        <w:t>232.</w:t>
      </w:r>
      <w:r>
        <w:tab/>
      </w:r>
      <w:proofErr w:type="spellStart"/>
      <w:r>
        <w:t>Chemello</w:t>
      </w:r>
      <w:proofErr w:type="spellEnd"/>
      <w:r>
        <w:t xml:space="preserve">, G. </w:t>
      </w:r>
      <w:r>
        <w:rPr>
          <w:i/>
          <w:iCs/>
        </w:rPr>
        <w:t>et al.</w:t>
      </w:r>
      <w:r>
        <w:t xml:space="preserve"> Effects of Tenebrio </w:t>
      </w:r>
      <w:proofErr w:type="spellStart"/>
      <w:r>
        <w:t>molitor</w:t>
      </w:r>
      <w:proofErr w:type="spellEnd"/>
      <w:r>
        <w:t xml:space="preserve"> larvae meal inclusion in rainbow trout feed: myogenesis-related gene expression and </w:t>
      </w:r>
      <w:proofErr w:type="spellStart"/>
      <w:r>
        <w:t>histomorphological</w:t>
      </w:r>
      <w:proofErr w:type="spellEnd"/>
      <w:r>
        <w:t xml:space="preserve"> features. </w:t>
      </w:r>
      <w:r>
        <w:rPr>
          <w:i/>
          <w:iCs/>
        </w:rPr>
        <w:t>Ital. J. Anim. Sci.</w:t>
      </w:r>
      <w:r>
        <w:t xml:space="preserve"> </w:t>
      </w:r>
      <w:r>
        <w:rPr>
          <w:b/>
          <w:bCs/>
        </w:rPr>
        <w:t>20</w:t>
      </w:r>
      <w:r>
        <w:t>, 1211–1221 (2021).</w:t>
      </w:r>
    </w:p>
    <w:p w14:paraId="01DCA57F" w14:textId="77777777" w:rsidR="002D38F0" w:rsidRDefault="002D38F0" w:rsidP="002D38F0">
      <w:pPr>
        <w:pStyle w:val="Bibliography"/>
      </w:pPr>
      <w:r>
        <w:t>233.</w:t>
      </w:r>
      <w:r>
        <w:tab/>
      </w:r>
      <w:proofErr w:type="spellStart"/>
      <w:r>
        <w:t>Terova</w:t>
      </w:r>
      <w:proofErr w:type="spellEnd"/>
      <w:r>
        <w:t xml:space="preserve">, G., </w:t>
      </w:r>
      <w:proofErr w:type="spellStart"/>
      <w:r>
        <w:t>Ceccotti</w:t>
      </w:r>
      <w:proofErr w:type="spellEnd"/>
      <w:r>
        <w:t xml:space="preserve">, C., </w:t>
      </w:r>
      <w:proofErr w:type="spellStart"/>
      <w:r>
        <w:t>Ascione</w:t>
      </w:r>
      <w:proofErr w:type="spellEnd"/>
      <w:r>
        <w:t xml:space="preserve">, C., Gasco, L. &amp; </w:t>
      </w:r>
      <w:proofErr w:type="spellStart"/>
      <w:r>
        <w:t>Rimoldi</w:t>
      </w:r>
      <w:proofErr w:type="spellEnd"/>
      <w:r>
        <w:t xml:space="preserve">, S. Effects of partially defatted </w:t>
      </w:r>
      <w:proofErr w:type="spellStart"/>
      <w:r>
        <w:t>Hermetia</w:t>
      </w:r>
      <w:proofErr w:type="spellEnd"/>
      <w:r>
        <w:t xml:space="preserve"> </w:t>
      </w:r>
      <w:proofErr w:type="spellStart"/>
      <w:r>
        <w:t>illucens</w:t>
      </w:r>
      <w:proofErr w:type="spellEnd"/>
      <w:r>
        <w:t xml:space="preserve"> meal in rainbow trout diet on hepatic methionine metabolism. </w:t>
      </w:r>
      <w:r>
        <w:rPr>
          <w:i/>
          <w:iCs/>
        </w:rPr>
        <w:t>Animals</w:t>
      </w:r>
      <w:r>
        <w:t xml:space="preserve"> </w:t>
      </w:r>
      <w:r>
        <w:rPr>
          <w:b/>
          <w:bCs/>
        </w:rPr>
        <w:t>10</w:t>
      </w:r>
      <w:r>
        <w:t>, 1059 (2020).</w:t>
      </w:r>
    </w:p>
    <w:p w14:paraId="08C5B1B6" w14:textId="77777777" w:rsidR="002D38F0" w:rsidRDefault="002D38F0" w:rsidP="002D38F0">
      <w:pPr>
        <w:pStyle w:val="Bibliography"/>
      </w:pPr>
      <w:r>
        <w:t>234.</w:t>
      </w:r>
      <w:r>
        <w:tab/>
      </w:r>
      <w:proofErr w:type="spellStart"/>
      <w:r>
        <w:t>Weththasinghe</w:t>
      </w:r>
      <w:proofErr w:type="spellEnd"/>
      <w:r>
        <w:t xml:space="preserve">, P., Hansen, J. Ø., </w:t>
      </w:r>
      <w:proofErr w:type="spellStart"/>
      <w:r>
        <w:t>Mydland</w:t>
      </w:r>
      <w:proofErr w:type="spellEnd"/>
      <w:r>
        <w:t>, L. T. &amp; Øverland, M. A systematic meta-</w:t>
      </w:r>
      <w:proofErr w:type="gramStart"/>
      <w:r>
        <w:t>analysis based</w:t>
      </w:r>
      <w:proofErr w:type="gramEnd"/>
      <w:r>
        <w:t xml:space="preserve"> review on black soldier fly (</w:t>
      </w:r>
      <w:proofErr w:type="spellStart"/>
      <w:r>
        <w:t>Hermetia</w:t>
      </w:r>
      <w:proofErr w:type="spellEnd"/>
      <w:r>
        <w:t xml:space="preserve"> </w:t>
      </w:r>
      <w:proofErr w:type="spellStart"/>
      <w:r>
        <w:t>illucens</w:t>
      </w:r>
      <w:proofErr w:type="spellEnd"/>
      <w:r>
        <w:t xml:space="preserve">) as a novel protein source for salmonids. </w:t>
      </w:r>
      <w:r>
        <w:rPr>
          <w:i/>
          <w:iCs/>
        </w:rPr>
        <w:t xml:space="preserve">Rev. </w:t>
      </w:r>
      <w:proofErr w:type="spellStart"/>
      <w:r>
        <w:rPr>
          <w:i/>
          <w:iCs/>
        </w:rPr>
        <w:t>Aquac</w:t>
      </w:r>
      <w:proofErr w:type="spellEnd"/>
      <w:r>
        <w:rPr>
          <w:i/>
          <w:iCs/>
        </w:rPr>
        <w:t>.</w:t>
      </w:r>
      <w:r>
        <w:t xml:space="preserve"> </w:t>
      </w:r>
      <w:r>
        <w:rPr>
          <w:b/>
          <w:bCs/>
        </w:rPr>
        <w:t>14</w:t>
      </w:r>
      <w:r>
        <w:t>, 938–956 (2021).</w:t>
      </w:r>
    </w:p>
    <w:p w14:paraId="233F4BEB" w14:textId="77777777" w:rsidR="002D38F0" w:rsidRDefault="002D38F0" w:rsidP="002D38F0">
      <w:pPr>
        <w:pStyle w:val="Bibliography"/>
      </w:pPr>
      <w:r>
        <w:t>235.</w:t>
      </w:r>
      <w:r>
        <w:tab/>
        <w:t xml:space="preserve">Choi, I.-H. </w:t>
      </w:r>
      <w:r>
        <w:rPr>
          <w:i/>
          <w:iCs/>
        </w:rPr>
        <w:t>et al.</w:t>
      </w:r>
      <w:r>
        <w:t xml:space="preserve"> Replacing fish meal by mealworm (</w:t>
      </w:r>
      <w:r>
        <w:rPr>
          <w:i/>
          <w:iCs/>
        </w:rPr>
        <w:t xml:space="preserve">Tenebrio </w:t>
      </w:r>
      <w:proofErr w:type="spellStart"/>
      <w:r>
        <w:rPr>
          <w:i/>
          <w:iCs/>
        </w:rPr>
        <w:t>molitor</w:t>
      </w:r>
      <w:proofErr w:type="spellEnd"/>
      <w:r>
        <w:t>) on the growth performance and immunologic responses of white shrimp (</w:t>
      </w:r>
      <w:proofErr w:type="spellStart"/>
      <w:r>
        <w:rPr>
          <w:i/>
          <w:iCs/>
        </w:rPr>
        <w:t>Litopenaeus</w:t>
      </w:r>
      <w:proofErr w:type="spellEnd"/>
      <w:r>
        <w:rPr>
          <w:i/>
          <w:iCs/>
        </w:rPr>
        <w:t xml:space="preserve"> </w:t>
      </w:r>
      <w:proofErr w:type="spellStart"/>
      <w:r>
        <w:rPr>
          <w:i/>
          <w:iCs/>
        </w:rPr>
        <w:t>vannamei</w:t>
      </w:r>
      <w:proofErr w:type="spellEnd"/>
      <w:r>
        <w:t xml:space="preserve">). </w:t>
      </w:r>
      <w:r>
        <w:rPr>
          <w:i/>
          <w:iCs/>
        </w:rPr>
        <w:t>Acta Sci. Anim. Sci.</w:t>
      </w:r>
      <w:r>
        <w:t xml:space="preserve"> </w:t>
      </w:r>
      <w:r>
        <w:rPr>
          <w:b/>
          <w:bCs/>
        </w:rPr>
        <w:t>40</w:t>
      </w:r>
      <w:r>
        <w:t>, (2018).</w:t>
      </w:r>
    </w:p>
    <w:p w14:paraId="4E5034B4" w14:textId="77777777" w:rsidR="002D38F0" w:rsidRDefault="002D38F0" w:rsidP="002D38F0">
      <w:pPr>
        <w:pStyle w:val="Bibliography"/>
      </w:pPr>
      <w:r>
        <w:t>236.</w:t>
      </w:r>
      <w:r>
        <w:tab/>
        <w:t xml:space="preserve">Cummins, V. C. </w:t>
      </w:r>
      <w:r>
        <w:rPr>
          <w:i/>
          <w:iCs/>
        </w:rPr>
        <w:t>et al.</w:t>
      </w:r>
      <w:r>
        <w:t xml:space="preserve"> Evaluation of black soldier fly (</w:t>
      </w:r>
      <w:proofErr w:type="spellStart"/>
      <w:r>
        <w:t>Hermetia</w:t>
      </w:r>
      <w:proofErr w:type="spellEnd"/>
      <w:r>
        <w:t xml:space="preserve"> </w:t>
      </w:r>
      <w:proofErr w:type="spellStart"/>
      <w:r>
        <w:t>illucens</w:t>
      </w:r>
      <w:proofErr w:type="spellEnd"/>
      <w:r>
        <w:t>) larvae meal as partial or total replacement of marine fish meal in practical diets for Pacific white shrimp (</w:t>
      </w:r>
      <w:proofErr w:type="spellStart"/>
      <w:r>
        <w:t>Litopenaeus</w:t>
      </w:r>
      <w:proofErr w:type="spellEnd"/>
      <w:r>
        <w:t xml:space="preserve"> </w:t>
      </w:r>
      <w:proofErr w:type="spellStart"/>
      <w:r>
        <w:t>vannamei</w:t>
      </w:r>
      <w:proofErr w:type="spellEnd"/>
      <w:r>
        <w:t xml:space="preserve">). </w:t>
      </w:r>
      <w:r>
        <w:rPr>
          <w:i/>
          <w:iCs/>
        </w:rPr>
        <w:t>Aquaculture</w:t>
      </w:r>
      <w:r>
        <w:t xml:space="preserve"> </w:t>
      </w:r>
      <w:r>
        <w:rPr>
          <w:b/>
          <w:bCs/>
        </w:rPr>
        <w:t>473</w:t>
      </w:r>
      <w:r>
        <w:t>, 337–344 (2017).</w:t>
      </w:r>
    </w:p>
    <w:p w14:paraId="7602ACC6" w14:textId="77777777" w:rsidR="002D38F0" w:rsidRDefault="002D38F0" w:rsidP="002D38F0">
      <w:pPr>
        <w:pStyle w:val="Bibliography"/>
      </w:pPr>
      <w:r>
        <w:t>237.</w:t>
      </w:r>
      <w:r>
        <w:tab/>
        <w:t xml:space="preserve">Panini, R. L. </w:t>
      </w:r>
      <w:r>
        <w:rPr>
          <w:i/>
          <w:iCs/>
        </w:rPr>
        <w:t>et al.</w:t>
      </w:r>
      <w:r>
        <w:t xml:space="preserve"> Potential use of mealworms as an alternative protein source for Pacific white shrimp: Digestibility and performance. </w:t>
      </w:r>
      <w:r>
        <w:rPr>
          <w:i/>
          <w:iCs/>
        </w:rPr>
        <w:t>Aquaculture</w:t>
      </w:r>
      <w:r>
        <w:t xml:space="preserve"> </w:t>
      </w:r>
      <w:r>
        <w:rPr>
          <w:b/>
          <w:bCs/>
        </w:rPr>
        <w:t>473</w:t>
      </w:r>
      <w:r>
        <w:t>, 115–120 (2017).</w:t>
      </w:r>
    </w:p>
    <w:p w14:paraId="5FAB261B" w14:textId="77777777" w:rsidR="002D38F0" w:rsidRDefault="002D38F0" w:rsidP="002D38F0">
      <w:pPr>
        <w:pStyle w:val="Bibliography"/>
      </w:pPr>
      <w:r>
        <w:t>238.</w:t>
      </w:r>
      <w:r>
        <w:tab/>
      </w:r>
      <w:proofErr w:type="spellStart"/>
      <w:r>
        <w:t>Rahimnejad</w:t>
      </w:r>
      <w:proofErr w:type="spellEnd"/>
      <w:r>
        <w:t xml:space="preserve">, S. </w:t>
      </w:r>
      <w:r>
        <w:rPr>
          <w:i/>
          <w:iCs/>
        </w:rPr>
        <w:t>et al.</w:t>
      </w:r>
      <w:r>
        <w:t xml:space="preserve"> Replacement of fish meal with defatted silkworm (Bombyx mori L.) pupae meal in diets for Pacific white shrimp (</w:t>
      </w:r>
      <w:proofErr w:type="spellStart"/>
      <w:r>
        <w:t>Litopenaeus</w:t>
      </w:r>
      <w:proofErr w:type="spellEnd"/>
      <w:r>
        <w:t xml:space="preserve"> </w:t>
      </w:r>
      <w:proofErr w:type="spellStart"/>
      <w:r>
        <w:t>vannamei</w:t>
      </w:r>
      <w:proofErr w:type="spellEnd"/>
      <w:r>
        <w:t xml:space="preserve">). </w:t>
      </w:r>
      <w:r>
        <w:rPr>
          <w:i/>
          <w:iCs/>
        </w:rPr>
        <w:t>Aquaculture</w:t>
      </w:r>
      <w:r>
        <w:t xml:space="preserve"> </w:t>
      </w:r>
      <w:r>
        <w:rPr>
          <w:b/>
          <w:bCs/>
        </w:rPr>
        <w:t>510</w:t>
      </w:r>
      <w:r>
        <w:t>, 150–159 (2019).</w:t>
      </w:r>
    </w:p>
    <w:p w14:paraId="43E1D584" w14:textId="77777777" w:rsidR="002D38F0" w:rsidRDefault="002D38F0" w:rsidP="002D38F0">
      <w:pPr>
        <w:pStyle w:val="Bibliography"/>
      </w:pPr>
      <w:r>
        <w:t>239.</w:t>
      </w:r>
      <w:r>
        <w:tab/>
        <w:t xml:space="preserve">Motte, C. </w:t>
      </w:r>
      <w:r>
        <w:rPr>
          <w:i/>
          <w:iCs/>
        </w:rPr>
        <w:t>et al.</w:t>
      </w:r>
      <w:r>
        <w:t xml:space="preserve"> Replacing fish meal with defatted insect meal (yellow mealworm Tenebrio </w:t>
      </w:r>
      <w:proofErr w:type="spellStart"/>
      <w:r>
        <w:t>molitor</w:t>
      </w:r>
      <w:proofErr w:type="spellEnd"/>
      <w:r>
        <w:t>) improves the growth and immunity of pacific white shrimp (</w:t>
      </w:r>
      <w:proofErr w:type="spellStart"/>
      <w:r>
        <w:t>Litopenaeus</w:t>
      </w:r>
      <w:proofErr w:type="spellEnd"/>
      <w:r>
        <w:t xml:space="preserve"> </w:t>
      </w:r>
      <w:proofErr w:type="spellStart"/>
      <w:r>
        <w:t>vannamei</w:t>
      </w:r>
      <w:proofErr w:type="spellEnd"/>
      <w:r>
        <w:t xml:space="preserve">). </w:t>
      </w:r>
      <w:r>
        <w:rPr>
          <w:i/>
          <w:iCs/>
        </w:rPr>
        <w:t>Animals</w:t>
      </w:r>
      <w:r>
        <w:t xml:space="preserve"> </w:t>
      </w:r>
      <w:r>
        <w:rPr>
          <w:b/>
          <w:bCs/>
        </w:rPr>
        <w:t>9</w:t>
      </w:r>
      <w:r>
        <w:t>, 258 (2019).</w:t>
      </w:r>
    </w:p>
    <w:p w14:paraId="49C8FE85" w14:textId="77777777" w:rsidR="002D38F0" w:rsidRDefault="002D38F0" w:rsidP="002D38F0">
      <w:pPr>
        <w:pStyle w:val="Bibliography"/>
      </w:pPr>
      <w:r>
        <w:t>240.</w:t>
      </w:r>
      <w:r>
        <w:tab/>
        <w:t xml:space="preserve">Boulos, S., </w:t>
      </w:r>
      <w:proofErr w:type="spellStart"/>
      <w:r>
        <w:t>Tännler</w:t>
      </w:r>
      <w:proofErr w:type="spellEnd"/>
      <w:r>
        <w:t xml:space="preserve">, A. &amp; </w:t>
      </w:r>
      <w:proofErr w:type="spellStart"/>
      <w:r>
        <w:t>Nyström</w:t>
      </w:r>
      <w:proofErr w:type="spellEnd"/>
      <w:r>
        <w:t xml:space="preserve">, L. Nitrogen-to-protein conversion factors for edible insects on the </w:t>
      </w:r>
      <w:proofErr w:type="spellStart"/>
      <w:r>
        <w:t>swiss</w:t>
      </w:r>
      <w:proofErr w:type="spellEnd"/>
      <w:r>
        <w:t xml:space="preserve"> market: T. </w:t>
      </w:r>
      <w:proofErr w:type="spellStart"/>
      <w:r>
        <w:t>molitor</w:t>
      </w:r>
      <w:proofErr w:type="spellEnd"/>
      <w:r>
        <w:t xml:space="preserve">, A. </w:t>
      </w:r>
      <w:proofErr w:type="spellStart"/>
      <w:r>
        <w:t>domesticus</w:t>
      </w:r>
      <w:proofErr w:type="spellEnd"/>
      <w:r>
        <w:t xml:space="preserve">, and L. </w:t>
      </w:r>
      <w:proofErr w:type="spellStart"/>
      <w:r>
        <w:t>migratoria</w:t>
      </w:r>
      <w:proofErr w:type="spellEnd"/>
      <w:r>
        <w:t xml:space="preserve">. </w:t>
      </w:r>
      <w:r>
        <w:rPr>
          <w:i/>
          <w:iCs/>
        </w:rPr>
        <w:t xml:space="preserve">Front. </w:t>
      </w:r>
      <w:proofErr w:type="spellStart"/>
      <w:r>
        <w:rPr>
          <w:i/>
          <w:iCs/>
        </w:rPr>
        <w:t>Nutr</w:t>
      </w:r>
      <w:proofErr w:type="spellEnd"/>
      <w:r>
        <w:rPr>
          <w:i/>
          <w:iCs/>
        </w:rPr>
        <w:t>.</w:t>
      </w:r>
      <w:r>
        <w:t xml:space="preserve"> </w:t>
      </w:r>
      <w:r>
        <w:rPr>
          <w:b/>
          <w:bCs/>
        </w:rPr>
        <w:t>7</w:t>
      </w:r>
      <w:r>
        <w:t>, (2020).</w:t>
      </w:r>
    </w:p>
    <w:p w14:paraId="3ED91ECA" w14:textId="77777777" w:rsidR="002D38F0" w:rsidRDefault="002D38F0" w:rsidP="002D38F0">
      <w:pPr>
        <w:pStyle w:val="Bibliography"/>
      </w:pPr>
      <w:r>
        <w:t>241.</w:t>
      </w:r>
      <w:r>
        <w:tab/>
        <w:t xml:space="preserve">Janssen, R. H., </w:t>
      </w:r>
      <w:proofErr w:type="spellStart"/>
      <w:r>
        <w:t>Vincken</w:t>
      </w:r>
      <w:proofErr w:type="spellEnd"/>
      <w:r>
        <w:t xml:space="preserve">, J.-P., van den Broek, L. A. M., </w:t>
      </w:r>
      <w:proofErr w:type="spellStart"/>
      <w:r>
        <w:t>Fogliano</w:t>
      </w:r>
      <w:proofErr w:type="spellEnd"/>
      <w:r>
        <w:t xml:space="preserve">, V. &amp; </w:t>
      </w:r>
      <w:proofErr w:type="spellStart"/>
      <w:r>
        <w:t>Lakemond</w:t>
      </w:r>
      <w:proofErr w:type="spellEnd"/>
      <w:r>
        <w:t xml:space="preserve">, C. M. M. Nitrogen-to-protein conversion factors for three edible insects: Tenebrio </w:t>
      </w:r>
      <w:proofErr w:type="spellStart"/>
      <w:r>
        <w:t>molitor</w:t>
      </w:r>
      <w:proofErr w:type="spellEnd"/>
      <w:r>
        <w:t xml:space="preserve">, </w:t>
      </w:r>
      <w:proofErr w:type="spellStart"/>
      <w:r>
        <w:t>Alphitobius</w:t>
      </w:r>
      <w:proofErr w:type="spellEnd"/>
      <w:r>
        <w:t xml:space="preserve"> </w:t>
      </w:r>
      <w:proofErr w:type="spellStart"/>
      <w:r>
        <w:t>diaperinus</w:t>
      </w:r>
      <w:proofErr w:type="spellEnd"/>
      <w:r>
        <w:t xml:space="preserve">, and </w:t>
      </w:r>
      <w:proofErr w:type="spellStart"/>
      <w:r>
        <w:t>Hermetia</w:t>
      </w:r>
      <w:proofErr w:type="spellEnd"/>
      <w:r>
        <w:t xml:space="preserve"> </w:t>
      </w:r>
      <w:proofErr w:type="spellStart"/>
      <w:r>
        <w:t>illucens</w:t>
      </w:r>
      <w:proofErr w:type="spellEnd"/>
      <w:r>
        <w:t xml:space="preserve">. </w:t>
      </w:r>
      <w:r>
        <w:rPr>
          <w:i/>
          <w:iCs/>
        </w:rPr>
        <w:t>J. Agric. Food Chem.</w:t>
      </w:r>
      <w:r>
        <w:t xml:space="preserve"> </w:t>
      </w:r>
      <w:r>
        <w:rPr>
          <w:b/>
          <w:bCs/>
        </w:rPr>
        <w:t>65</w:t>
      </w:r>
      <w:r>
        <w:t>, 2275–2278 (2017).</w:t>
      </w:r>
    </w:p>
    <w:p w14:paraId="2A7F097F" w14:textId="77777777" w:rsidR="002D38F0" w:rsidRDefault="002D38F0" w:rsidP="002D38F0">
      <w:pPr>
        <w:pStyle w:val="Bibliography"/>
      </w:pPr>
      <w:r>
        <w:t>242.</w:t>
      </w:r>
      <w:r>
        <w:tab/>
      </w:r>
      <w:proofErr w:type="spellStart"/>
      <w:r>
        <w:t>Ritvanen</w:t>
      </w:r>
      <w:proofErr w:type="spellEnd"/>
      <w:r>
        <w:t xml:space="preserve">, T., </w:t>
      </w:r>
      <w:proofErr w:type="spellStart"/>
      <w:r>
        <w:t>Pastell</w:t>
      </w:r>
      <w:proofErr w:type="spellEnd"/>
      <w:r>
        <w:t xml:space="preserve">, H., Welling, A. &amp; </w:t>
      </w:r>
      <w:proofErr w:type="spellStart"/>
      <w:r>
        <w:t>Raatikainen</w:t>
      </w:r>
      <w:proofErr w:type="spellEnd"/>
      <w:r>
        <w:t xml:space="preserve">, M. The nitrogen-to-protein conversion factor of two cricket species - Acheta </w:t>
      </w:r>
      <w:proofErr w:type="spellStart"/>
      <w:r>
        <w:t>domesticus</w:t>
      </w:r>
      <w:proofErr w:type="spellEnd"/>
      <w:r>
        <w:t xml:space="preserve"> and </w:t>
      </w:r>
      <w:proofErr w:type="spellStart"/>
      <w:r>
        <w:t>Gryllus</w:t>
      </w:r>
      <w:proofErr w:type="spellEnd"/>
      <w:r>
        <w:t xml:space="preserve"> </w:t>
      </w:r>
      <w:proofErr w:type="spellStart"/>
      <w:r>
        <w:t>bimaculatus</w:t>
      </w:r>
      <w:proofErr w:type="spellEnd"/>
      <w:r>
        <w:t xml:space="preserve">. </w:t>
      </w:r>
      <w:r>
        <w:rPr>
          <w:i/>
          <w:iCs/>
        </w:rPr>
        <w:t>Agric. Food Sci.</w:t>
      </w:r>
      <w:r>
        <w:t xml:space="preserve"> </w:t>
      </w:r>
      <w:r>
        <w:rPr>
          <w:b/>
          <w:bCs/>
        </w:rPr>
        <w:t>29</w:t>
      </w:r>
      <w:r>
        <w:t>, 1–5 (2020).</w:t>
      </w:r>
    </w:p>
    <w:p w14:paraId="669C0601" w14:textId="77777777" w:rsidR="002D38F0" w:rsidRDefault="002D38F0" w:rsidP="002D38F0">
      <w:pPr>
        <w:pStyle w:val="Bibliography"/>
      </w:pPr>
      <w:r>
        <w:t>243.</w:t>
      </w:r>
      <w:r>
        <w:tab/>
        <w:t xml:space="preserve">Cohn, Z., </w:t>
      </w:r>
      <w:proofErr w:type="spellStart"/>
      <w:r>
        <w:t>Latty</w:t>
      </w:r>
      <w:proofErr w:type="spellEnd"/>
      <w:r>
        <w:t xml:space="preserve">, T. &amp; Abbas, A. Understanding dietary carbohydrates in black soldier fly larvae treatment of organic waste in the circular economy. </w:t>
      </w:r>
      <w:r>
        <w:rPr>
          <w:i/>
          <w:iCs/>
        </w:rPr>
        <w:t xml:space="preserve">Waste </w:t>
      </w:r>
      <w:proofErr w:type="spellStart"/>
      <w:r>
        <w:rPr>
          <w:i/>
          <w:iCs/>
        </w:rPr>
        <w:t>Manag</w:t>
      </w:r>
      <w:proofErr w:type="spellEnd"/>
      <w:r>
        <w:rPr>
          <w:i/>
          <w:iCs/>
        </w:rPr>
        <w:t>.</w:t>
      </w:r>
      <w:r>
        <w:t xml:space="preserve"> </w:t>
      </w:r>
      <w:r>
        <w:rPr>
          <w:b/>
          <w:bCs/>
        </w:rPr>
        <w:t>137</w:t>
      </w:r>
      <w:r>
        <w:t>, 9–19 (2022).</w:t>
      </w:r>
    </w:p>
    <w:p w14:paraId="0A9F4F66" w14:textId="77777777" w:rsidR="002D38F0" w:rsidRDefault="002D38F0" w:rsidP="002D38F0">
      <w:pPr>
        <w:pStyle w:val="Bibliography"/>
      </w:pPr>
      <w:r>
        <w:t>244.</w:t>
      </w:r>
      <w:r>
        <w:tab/>
        <w:t xml:space="preserve">Gold, M. </w:t>
      </w:r>
      <w:r>
        <w:rPr>
          <w:i/>
          <w:iCs/>
        </w:rPr>
        <w:t>et al.</w:t>
      </w:r>
      <w:r>
        <w:t xml:space="preserve"> Biowaste treatment with black soldier fly larvae: Increasing performance through the formulation of biowastes based on protein and carbohydrates. </w:t>
      </w:r>
      <w:r>
        <w:rPr>
          <w:i/>
          <w:iCs/>
        </w:rPr>
        <w:t xml:space="preserve">Waste </w:t>
      </w:r>
      <w:proofErr w:type="spellStart"/>
      <w:r>
        <w:rPr>
          <w:i/>
          <w:iCs/>
        </w:rPr>
        <w:t>Manag</w:t>
      </w:r>
      <w:proofErr w:type="spellEnd"/>
      <w:r>
        <w:rPr>
          <w:i/>
          <w:iCs/>
        </w:rPr>
        <w:t>.</w:t>
      </w:r>
      <w:r>
        <w:t xml:space="preserve"> </w:t>
      </w:r>
      <w:r>
        <w:rPr>
          <w:b/>
          <w:bCs/>
        </w:rPr>
        <w:t>102</w:t>
      </w:r>
      <w:r>
        <w:t>, 319–329 (2020).</w:t>
      </w:r>
    </w:p>
    <w:p w14:paraId="1CB5B946" w14:textId="77777777" w:rsidR="002D38F0" w:rsidRDefault="002D38F0" w:rsidP="002D38F0">
      <w:pPr>
        <w:pStyle w:val="Bibliography"/>
      </w:pPr>
      <w:r>
        <w:t>245.</w:t>
      </w:r>
      <w:r>
        <w:tab/>
        <w:t xml:space="preserve">Rumbos, C. I., </w:t>
      </w:r>
      <w:proofErr w:type="spellStart"/>
      <w:r>
        <w:t>Karapanagiotidis</w:t>
      </w:r>
      <w:proofErr w:type="spellEnd"/>
      <w:r>
        <w:t xml:space="preserve">, I. T., </w:t>
      </w:r>
      <w:proofErr w:type="spellStart"/>
      <w:r>
        <w:t>Mente</w:t>
      </w:r>
      <w:proofErr w:type="spellEnd"/>
      <w:r>
        <w:t xml:space="preserve">, E., </w:t>
      </w:r>
      <w:proofErr w:type="spellStart"/>
      <w:r>
        <w:t>Psofakis</w:t>
      </w:r>
      <w:proofErr w:type="spellEnd"/>
      <w:r>
        <w:t xml:space="preserve">, P. &amp; </w:t>
      </w:r>
      <w:proofErr w:type="spellStart"/>
      <w:r>
        <w:t>Athanassiou</w:t>
      </w:r>
      <w:proofErr w:type="spellEnd"/>
      <w:r>
        <w:t xml:space="preserve">, C. G. Evaluation of various commodities for the development of the yellow mealworm, Tenebrio </w:t>
      </w:r>
      <w:proofErr w:type="spellStart"/>
      <w:r>
        <w:t>molitor</w:t>
      </w:r>
      <w:proofErr w:type="spellEnd"/>
      <w:r>
        <w:t xml:space="preserve">. </w:t>
      </w:r>
      <w:r>
        <w:rPr>
          <w:i/>
          <w:iCs/>
        </w:rPr>
        <w:t>Sci. Rep.</w:t>
      </w:r>
      <w:r>
        <w:t xml:space="preserve"> </w:t>
      </w:r>
      <w:r>
        <w:rPr>
          <w:b/>
          <w:bCs/>
        </w:rPr>
        <w:t>10</w:t>
      </w:r>
      <w:r>
        <w:t>, 11224 (2020).</w:t>
      </w:r>
    </w:p>
    <w:p w14:paraId="02917545" w14:textId="77777777" w:rsidR="002D38F0" w:rsidRDefault="002D38F0" w:rsidP="002D38F0">
      <w:pPr>
        <w:pStyle w:val="Bibliography"/>
      </w:pPr>
      <w:r>
        <w:t>246.</w:t>
      </w:r>
      <w:r>
        <w:tab/>
      </w:r>
      <w:proofErr w:type="spellStart"/>
      <w:r>
        <w:t>Bellezza</w:t>
      </w:r>
      <w:proofErr w:type="spellEnd"/>
      <w:r>
        <w:t xml:space="preserve"> </w:t>
      </w:r>
      <w:proofErr w:type="spellStart"/>
      <w:r>
        <w:t>Oddon</w:t>
      </w:r>
      <w:proofErr w:type="spellEnd"/>
      <w:r>
        <w:t xml:space="preserve">, S., </w:t>
      </w:r>
      <w:proofErr w:type="spellStart"/>
      <w:r>
        <w:t>Biasato</w:t>
      </w:r>
      <w:proofErr w:type="spellEnd"/>
      <w:r>
        <w:t xml:space="preserve">, I., </w:t>
      </w:r>
      <w:proofErr w:type="spellStart"/>
      <w:r>
        <w:t>Resconi</w:t>
      </w:r>
      <w:proofErr w:type="spellEnd"/>
      <w:r>
        <w:t xml:space="preserve">, A. &amp; Gasco, L. Determination of lipid requirements in black soldier fly through semi-purified diets. </w:t>
      </w:r>
      <w:r>
        <w:rPr>
          <w:i/>
          <w:iCs/>
        </w:rPr>
        <w:t>Sci. Rep.</w:t>
      </w:r>
      <w:r>
        <w:t xml:space="preserve"> </w:t>
      </w:r>
      <w:r>
        <w:rPr>
          <w:b/>
          <w:bCs/>
        </w:rPr>
        <w:t>12</w:t>
      </w:r>
      <w:r>
        <w:t>, 10922 (2022).</w:t>
      </w:r>
    </w:p>
    <w:p w14:paraId="214C8C72" w14:textId="77777777" w:rsidR="002D38F0" w:rsidRDefault="002D38F0" w:rsidP="002D38F0">
      <w:pPr>
        <w:pStyle w:val="Bibliography"/>
      </w:pPr>
      <w:r>
        <w:t>247.</w:t>
      </w:r>
      <w:r>
        <w:tab/>
        <w:t xml:space="preserve">IPIFF. </w:t>
      </w:r>
      <w:r>
        <w:rPr>
          <w:i/>
          <w:iCs/>
        </w:rPr>
        <w:t xml:space="preserve">The European insect sector today: challenges, </w:t>
      </w:r>
      <w:proofErr w:type="gramStart"/>
      <w:r>
        <w:rPr>
          <w:i/>
          <w:iCs/>
        </w:rPr>
        <w:t>opportunities</w:t>
      </w:r>
      <w:proofErr w:type="gramEnd"/>
      <w:r>
        <w:rPr>
          <w:i/>
          <w:iCs/>
        </w:rPr>
        <w:t xml:space="preserve"> and regulatory landscape. IPIFF vision paper on the future of the insect sector towards 2030</w:t>
      </w:r>
      <w:r>
        <w:t>. (2019).</w:t>
      </w:r>
    </w:p>
    <w:p w14:paraId="10B4A39F" w14:textId="77777777" w:rsidR="002D38F0" w:rsidRDefault="002D38F0" w:rsidP="002D38F0">
      <w:pPr>
        <w:pStyle w:val="Bibliography"/>
      </w:pPr>
      <w:r>
        <w:t>248.</w:t>
      </w:r>
      <w:r>
        <w:tab/>
      </w:r>
      <w:proofErr w:type="spellStart"/>
      <w:r>
        <w:t>AllTech</w:t>
      </w:r>
      <w:proofErr w:type="spellEnd"/>
      <w:r>
        <w:t xml:space="preserve"> Agri-Food Outlook. </w:t>
      </w:r>
      <w:r>
        <w:rPr>
          <w:i/>
          <w:iCs/>
        </w:rPr>
        <w:t>What does global feed production reveal about the future of agri-food?</w:t>
      </w:r>
      <w:r>
        <w:t xml:space="preserve"> https://www.alltech.com/agri-food-outlook (2022).</w:t>
      </w:r>
    </w:p>
    <w:p w14:paraId="7CF5C9B3" w14:textId="77777777" w:rsidR="002D38F0" w:rsidRDefault="002D38F0" w:rsidP="002D38F0">
      <w:pPr>
        <w:pStyle w:val="Bibliography"/>
      </w:pPr>
      <w:r>
        <w:t>249.</w:t>
      </w:r>
      <w:r>
        <w:tab/>
        <w:t xml:space="preserve">De Jong, B. &amp; </w:t>
      </w:r>
      <w:proofErr w:type="spellStart"/>
      <w:r>
        <w:t>Nikolik</w:t>
      </w:r>
      <w:proofErr w:type="spellEnd"/>
      <w:r>
        <w:t xml:space="preserve">, G. </w:t>
      </w:r>
      <w:r>
        <w:rPr>
          <w:i/>
          <w:iCs/>
        </w:rPr>
        <w:t>No Longer Crawling: Insect Protein to Come of Age in the 2020s: Scaling up Is on the Horizon.</w:t>
      </w:r>
      <w:r>
        <w:t xml:space="preserve"> https://www.allaboutfeed.net/wp-content/uploads/2021/03/Rabobank_No-Longer-Crawling-Insect-Protein-to-Come-of-Age-in-the-2020s.pdf (2021).</w:t>
      </w:r>
    </w:p>
    <w:p w14:paraId="7C47C80B" w14:textId="77777777" w:rsidR="002D38F0" w:rsidRDefault="002D38F0" w:rsidP="002D38F0">
      <w:pPr>
        <w:pStyle w:val="Bibliography"/>
      </w:pPr>
      <w:r>
        <w:t>250.</w:t>
      </w:r>
      <w:r>
        <w:tab/>
        <w:t xml:space="preserve">IPIFF. </w:t>
      </w:r>
      <w:r>
        <w:rPr>
          <w:i/>
          <w:iCs/>
        </w:rPr>
        <w:t>An overview of the European market of insects as feed. International Platform of Insects for Food and Feed</w:t>
      </w:r>
      <w:r>
        <w:t>. https://ipiff.org/wp-content/uploads/2021/04/Apr-27-2021-IPIFF_The-European-market-of-insects-as-feed.pdf (2021).</w:t>
      </w:r>
    </w:p>
    <w:p w14:paraId="68D23D1D" w14:textId="77777777" w:rsidR="002D38F0" w:rsidRDefault="002D38F0" w:rsidP="002D38F0">
      <w:pPr>
        <w:pStyle w:val="Bibliography"/>
      </w:pPr>
      <w:r>
        <w:t>251.</w:t>
      </w:r>
      <w:r>
        <w:tab/>
        <w:t xml:space="preserve">Smetana, S., </w:t>
      </w:r>
      <w:proofErr w:type="spellStart"/>
      <w:r>
        <w:t>Spykman</w:t>
      </w:r>
      <w:proofErr w:type="spellEnd"/>
      <w:r>
        <w:t xml:space="preserve">, R. &amp; Heinz, V. Environmental aspects of insect mass production. </w:t>
      </w:r>
      <w:r>
        <w:rPr>
          <w:i/>
          <w:iCs/>
        </w:rPr>
        <w:t>J. Insects Food Feed</w:t>
      </w:r>
      <w:r>
        <w:t xml:space="preserve"> </w:t>
      </w:r>
      <w:r>
        <w:rPr>
          <w:b/>
          <w:bCs/>
        </w:rPr>
        <w:t>7</w:t>
      </w:r>
      <w:r>
        <w:t>, 553–571 (2021).</w:t>
      </w:r>
    </w:p>
    <w:p w14:paraId="647F69C2" w14:textId="77777777" w:rsidR="002D38F0" w:rsidRDefault="002D38F0" w:rsidP="002D38F0">
      <w:pPr>
        <w:pStyle w:val="Bibliography"/>
      </w:pPr>
      <w:r>
        <w:t>252.</w:t>
      </w:r>
      <w:r>
        <w:tab/>
      </w:r>
      <w:proofErr w:type="spellStart"/>
      <w:r>
        <w:t>Lähteenmäki-Uutela</w:t>
      </w:r>
      <w:proofErr w:type="spellEnd"/>
      <w:r>
        <w:t xml:space="preserve">, A., </w:t>
      </w:r>
      <w:proofErr w:type="spellStart"/>
      <w:r>
        <w:t>Marimuthu</w:t>
      </w:r>
      <w:proofErr w:type="spellEnd"/>
      <w:r>
        <w:t xml:space="preserve">, S. B. &amp; Meijer, N. Regulations on insects as food and feed: a global comparison. </w:t>
      </w:r>
      <w:r>
        <w:rPr>
          <w:i/>
          <w:iCs/>
        </w:rPr>
        <w:t>J. Insects Food Feed</w:t>
      </w:r>
      <w:r>
        <w:t xml:space="preserve"> </w:t>
      </w:r>
      <w:r>
        <w:rPr>
          <w:b/>
          <w:bCs/>
        </w:rPr>
        <w:t>7</w:t>
      </w:r>
      <w:r>
        <w:t>, 849–856 (2021).</w:t>
      </w:r>
    </w:p>
    <w:p w14:paraId="07092AB8" w14:textId="77777777" w:rsidR="002D38F0" w:rsidRDefault="002D38F0" w:rsidP="002D38F0">
      <w:pPr>
        <w:pStyle w:val="Bibliography"/>
      </w:pPr>
      <w:r>
        <w:t>253.</w:t>
      </w:r>
      <w:r>
        <w:tab/>
      </w:r>
      <w:proofErr w:type="spellStart"/>
      <w:r>
        <w:t>Guiné</w:t>
      </w:r>
      <w:proofErr w:type="spellEnd"/>
      <w:r>
        <w:t xml:space="preserve">, R. P. F., Correia, P., Coelho, C. &amp; Costa, C. A. The role of edible insects to mitigate challenges for sustainability. </w:t>
      </w:r>
      <w:r>
        <w:rPr>
          <w:i/>
          <w:iCs/>
        </w:rPr>
        <w:t>Open Agric.</w:t>
      </w:r>
      <w:r>
        <w:t xml:space="preserve"> </w:t>
      </w:r>
      <w:r>
        <w:rPr>
          <w:b/>
          <w:bCs/>
        </w:rPr>
        <w:t>6</w:t>
      </w:r>
      <w:r>
        <w:t>, 24–36 (2021).</w:t>
      </w:r>
    </w:p>
    <w:p w14:paraId="05B89643" w14:textId="77777777" w:rsidR="002D38F0" w:rsidRDefault="002D38F0" w:rsidP="002D38F0">
      <w:pPr>
        <w:pStyle w:val="Bibliography"/>
      </w:pPr>
      <w:r>
        <w:t>254.</w:t>
      </w:r>
      <w:r>
        <w:tab/>
      </w:r>
      <w:proofErr w:type="spellStart"/>
      <w:r>
        <w:t>Alaviuhkola</w:t>
      </w:r>
      <w:proofErr w:type="spellEnd"/>
      <w:r>
        <w:t xml:space="preserve">, T., Korhonen, I., Partanen, J. &amp; </w:t>
      </w:r>
      <w:proofErr w:type="spellStart"/>
      <w:r>
        <w:t>Lampila</w:t>
      </w:r>
      <w:proofErr w:type="spellEnd"/>
      <w:r>
        <w:t xml:space="preserve">, M. </w:t>
      </w:r>
      <w:proofErr w:type="spellStart"/>
      <w:r>
        <w:t>Pekilo</w:t>
      </w:r>
      <w:proofErr w:type="spellEnd"/>
      <w:r>
        <w:t xml:space="preserve"> protein in the nutrition of growing-finishing pigs. </w:t>
      </w:r>
      <w:r>
        <w:rPr>
          <w:i/>
          <w:iCs/>
        </w:rPr>
        <w:t>Acta Agric. Scand.</w:t>
      </w:r>
      <w:r>
        <w:t xml:space="preserve"> </w:t>
      </w:r>
      <w:r>
        <w:rPr>
          <w:b/>
          <w:bCs/>
        </w:rPr>
        <w:t>25</w:t>
      </w:r>
      <w:r>
        <w:t>, 301–305 (1975).</w:t>
      </w:r>
    </w:p>
    <w:p w14:paraId="15692B69" w14:textId="77777777" w:rsidR="002D38F0" w:rsidRDefault="002D38F0" w:rsidP="002D38F0">
      <w:pPr>
        <w:pStyle w:val="Bibliography"/>
      </w:pPr>
      <w:r>
        <w:t>255.</w:t>
      </w:r>
      <w:r>
        <w:tab/>
      </w:r>
      <w:proofErr w:type="spellStart"/>
      <w:r>
        <w:t>Atack</w:t>
      </w:r>
      <w:proofErr w:type="spellEnd"/>
      <w:r>
        <w:t xml:space="preserve">, T. H., Jauncey, K. &amp; Matty, A. J. The utilization of some single cell proteins by fingerling mirror carp (Cyprinus </w:t>
      </w:r>
      <w:proofErr w:type="spellStart"/>
      <w:r>
        <w:t>carpio</w:t>
      </w:r>
      <w:proofErr w:type="spellEnd"/>
      <w:r>
        <w:t xml:space="preserve">). </w:t>
      </w:r>
      <w:r>
        <w:rPr>
          <w:i/>
          <w:iCs/>
        </w:rPr>
        <w:t>Aquaculture</w:t>
      </w:r>
      <w:r>
        <w:t xml:space="preserve"> </w:t>
      </w:r>
      <w:r>
        <w:rPr>
          <w:b/>
          <w:bCs/>
        </w:rPr>
        <w:t>18</w:t>
      </w:r>
      <w:r>
        <w:t>, 337–348 (1979).</w:t>
      </w:r>
    </w:p>
    <w:p w14:paraId="7EB30EEB" w14:textId="77777777" w:rsidR="002D38F0" w:rsidRDefault="002D38F0" w:rsidP="002D38F0">
      <w:pPr>
        <w:pStyle w:val="Bibliography"/>
      </w:pPr>
      <w:r>
        <w:t>256.</w:t>
      </w:r>
      <w:r>
        <w:tab/>
        <w:t xml:space="preserve">Beck, H., </w:t>
      </w:r>
      <w:proofErr w:type="spellStart"/>
      <w:r>
        <w:t>Gropp</w:t>
      </w:r>
      <w:proofErr w:type="spellEnd"/>
      <w:r>
        <w:t xml:space="preserve">, J., </w:t>
      </w:r>
      <w:proofErr w:type="spellStart"/>
      <w:r>
        <w:t>Koops</w:t>
      </w:r>
      <w:proofErr w:type="spellEnd"/>
      <w:r>
        <w:t xml:space="preserve">, H. &amp; </w:t>
      </w:r>
      <w:proofErr w:type="spellStart"/>
      <w:r>
        <w:t>Tiews</w:t>
      </w:r>
      <w:proofErr w:type="spellEnd"/>
      <w:r>
        <w:t xml:space="preserve">, K. Single cell proteins in trout diets. in </w:t>
      </w:r>
      <w:r>
        <w:rPr>
          <w:i/>
          <w:iCs/>
        </w:rPr>
        <w:t xml:space="preserve">Finfish Nutrition and Feed Technology 2nd ed, </w:t>
      </w:r>
      <w:proofErr w:type="spellStart"/>
      <w:r>
        <w:rPr>
          <w:i/>
          <w:iCs/>
        </w:rPr>
        <w:t>Heenemann</w:t>
      </w:r>
      <w:proofErr w:type="spellEnd"/>
      <w:r>
        <w:rPr>
          <w:i/>
          <w:iCs/>
        </w:rPr>
        <w:t>, Berlin, Germany</w:t>
      </w:r>
      <w:r>
        <w:t xml:space="preserve"> (eds. </w:t>
      </w:r>
      <w:proofErr w:type="spellStart"/>
      <w:r>
        <w:t>Halver</w:t>
      </w:r>
      <w:proofErr w:type="spellEnd"/>
      <w:r>
        <w:t xml:space="preserve">, J. E. &amp; </w:t>
      </w:r>
      <w:proofErr w:type="spellStart"/>
      <w:r>
        <w:t>Tiews</w:t>
      </w:r>
      <w:proofErr w:type="spellEnd"/>
      <w:r>
        <w:t>, K.) 269–280 (FAO, 1979).</w:t>
      </w:r>
    </w:p>
    <w:p w14:paraId="36503AEB" w14:textId="77777777" w:rsidR="002D38F0" w:rsidRDefault="002D38F0" w:rsidP="002D38F0">
      <w:pPr>
        <w:pStyle w:val="Bibliography"/>
      </w:pPr>
      <w:r>
        <w:t>257.</w:t>
      </w:r>
      <w:r>
        <w:tab/>
        <w:t xml:space="preserve">Bergstrom, E. Experiments on the use of single cell proteins in Atlantic salmon diets. in </w:t>
      </w:r>
      <w:r>
        <w:rPr>
          <w:i/>
          <w:iCs/>
        </w:rPr>
        <w:t>FAO, Rome (Italy). Fisheries Dept. Symposium on Finfish Nutrition and Feed Technology. Hamburg (Germany, FR). 20 Jun 1978.</w:t>
      </w:r>
      <w:r>
        <w:t xml:space="preserve"> (1978).</w:t>
      </w:r>
    </w:p>
    <w:p w14:paraId="3EF1126D" w14:textId="77777777" w:rsidR="002D38F0" w:rsidRDefault="002D38F0" w:rsidP="002D38F0">
      <w:pPr>
        <w:pStyle w:val="Bibliography"/>
      </w:pPr>
      <w:r>
        <w:t>258.</w:t>
      </w:r>
      <w:r>
        <w:tab/>
      </w:r>
      <w:proofErr w:type="spellStart"/>
      <w:r>
        <w:t>Hepher</w:t>
      </w:r>
      <w:proofErr w:type="spellEnd"/>
      <w:r>
        <w:t xml:space="preserve">, B., Sandbank, E. &amp; </w:t>
      </w:r>
      <w:proofErr w:type="spellStart"/>
      <w:r>
        <w:t>Shelef</w:t>
      </w:r>
      <w:proofErr w:type="spellEnd"/>
      <w:r>
        <w:t>, G. Alternative protein sources for warmwater fish diets. (1978).</w:t>
      </w:r>
    </w:p>
    <w:p w14:paraId="415CBD42" w14:textId="77777777" w:rsidR="002D38F0" w:rsidRDefault="002D38F0" w:rsidP="002D38F0">
      <w:pPr>
        <w:pStyle w:val="Bibliography"/>
      </w:pPr>
      <w:r>
        <w:t>259.</w:t>
      </w:r>
      <w:r>
        <w:tab/>
      </w:r>
      <w:proofErr w:type="spellStart"/>
      <w:r>
        <w:t>Hoshiai</w:t>
      </w:r>
      <w:proofErr w:type="spellEnd"/>
      <w:r>
        <w:t xml:space="preserve">, K. Protein </w:t>
      </w:r>
      <w:proofErr w:type="spellStart"/>
      <w:r>
        <w:t>aus</w:t>
      </w:r>
      <w:proofErr w:type="spellEnd"/>
      <w:r>
        <w:t xml:space="preserve"> petroleum. </w:t>
      </w:r>
      <w:r>
        <w:rPr>
          <w:i/>
          <w:iCs/>
        </w:rPr>
        <w:t xml:space="preserve">Chem. </w:t>
      </w:r>
      <w:proofErr w:type="spellStart"/>
      <w:r>
        <w:rPr>
          <w:i/>
          <w:iCs/>
        </w:rPr>
        <w:t>Informationsdienst</w:t>
      </w:r>
      <w:proofErr w:type="spellEnd"/>
      <w:r>
        <w:t xml:space="preserve"> </w:t>
      </w:r>
      <w:r>
        <w:rPr>
          <w:b/>
          <w:bCs/>
        </w:rPr>
        <w:t>3</w:t>
      </w:r>
      <w:r>
        <w:t>, no-no (1972).</w:t>
      </w:r>
    </w:p>
    <w:p w14:paraId="1DD568C4" w14:textId="77777777" w:rsidR="002D38F0" w:rsidRDefault="002D38F0" w:rsidP="002D38F0">
      <w:pPr>
        <w:pStyle w:val="Bibliography"/>
      </w:pPr>
      <w:r>
        <w:t>260.</w:t>
      </w:r>
      <w:r>
        <w:tab/>
        <w:t xml:space="preserve">Matty, A. J. &amp; Smith, P. Evaluation of a yeast, a </w:t>
      </w:r>
      <w:proofErr w:type="gramStart"/>
      <w:r>
        <w:t>bacterium</w:t>
      </w:r>
      <w:proofErr w:type="gramEnd"/>
      <w:r>
        <w:t xml:space="preserve"> and an alga as a protein source for rainbow trout: I. Effect of protein level on growth, gross conversion efficiency and protein conversion efficiency. </w:t>
      </w:r>
      <w:r>
        <w:rPr>
          <w:i/>
          <w:iCs/>
        </w:rPr>
        <w:t>Aquaculture</w:t>
      </w:r>
      <w:r>
        <w:t xml:space="preserve"> </w:t>
      </w:r>
      <w:r>
        <w:rPr>
          <w:b/>
          <w:bCs/>
        </w:rPr>
        <w:t>14</w:t>
      </w:r>
      <w:r>
        <w:t>, 235–246 (1978).</w:t>
      </w:r>
    </w:p>
    <w:p w14:paraId="1F20EE3D" w14:textId="77777777" w:rsidR="002D38F0" w:rsidRDefault="002D38F0" w:rsidP="002D38F0">
      <w:pPr>
        <w:pStyle w:val="Bibliography"/>
      </w:pPr>
      <w:r>
        <w:t>261.</w:t>
      </w:r>
      <w:r>
        <w:tab/>
        <w:t xml:space="preserve">Roth, F. X. Microorganisms as a source of protein for animal nutrition. </w:t>
      </w:r>
      <w:r>
        <w:rPr>
          <w:i/>
          <w:iCs/>
        </w:rPr>
        <w:t xml:space="preserve">Adv. Agric. </w:t>
      </w:r>
      <w:proofErr w:type="spellStart"/>
      <w:r>
        <w:rPr>
          <w:i/>
          <w:iCs/>
        </w:rPr>
        <w:t>Microbiol</w:t>
      </w:r>
      <w:proofErr w:type="spellEnd"/>
      <w:r>
        <w:rPr>
          <w:i/>
          <w:iCs/>
        </w:rPr>
        <w:t xml:space="preserve">. NS </w:t>
      </w:r>
      <w:proofErr w:type="spellStart"/>
      <w:r>
        <w:rPr>
          <w:i/>
          <w:iCs/>
        </w:rPr>
        <w:t>Subba</w:t>
      </w:r>
      <w:proofErr w:type="spellEnd"/>
      <w:r>
        <w:rPr>
          <w:i/>
          <w:iCs/>
        </w:rPr>
        <w:t xml:space="preserve"> Rao</w:t>
      </w:r>
      <w:r>
        <w:t xml:space="preserve"> (1982).</w:t>
      </w:r>
    </w:p>
    <w:p w14:paraId="4D605521" w14:textId="77777777" w:rsidR="002D38F0" w:rsidRDefault="002D38F0" w:rsidP="002D38F0">
      <w:pPr>
        <w:pStyle w:val="Bibliography"/>
      </w:pPr>
      <w:r>
        <w:t>262.</w:t>
      </w:r>
      <w:r>
        <w:tab/>
      </w:r>
      <w:proofErr w:type="spellStart"/>
      <w:r>
        <w:t>Soeder</w:t>
      </w:r>
      <w:proofErr w:type="spellEnd"/>
      <w:r>
        <w:t xml:space="preserve">, C. J. An historical outline of applied algology. in </w:t>
      </w:r>
      <w:r>
        <w:rPr>
          <w:i/>
          <w:iCs/>
        </w:rPr>
        <w:t>CRC Handbook of Microalgal Mass Culture</w:t>
      </w:r>
      <w:r>
        <w:t xml:space="preserve"> (CRC Press, 1986).</w:t>
      </w:r>
    </w:p>
    <w:p w14:paraId="03AEAAF5" w14:textId="77777777" w:rsidR="002D38F0" w:rsidRDefault="002D38F0" w:rsidP="002D38F0">
      <w:pPr>
        <w:pStyle w:val="Bibliography"/>
      </w:pPr>
      <w:r>
        <w:t>263.</w:t>
      </w:r>
      <w:r>
        <w:tab/>
        <w:t xml:space="preserve">Stringer, D. A. Industrial </w:t>
      </w:r>
      <w:proofErr w:type="gramStart"/>
      <w:r>
        <w:t>development</w:t>
      </w:r>
      <w:proofErr w:type="gramEnd"/>
      <w:r>
        <w:t xml:space="preserve"> and evaluation of new protein sources: Micro-organisms. </w:t>
      </w:r>
      <w:r>
        <w:rPr>
          <w:i/>
          <w:iCs/>
        </w:rPr>
        <w:t xml:space="preserve">Proc. </w:t>
      </w:r>
      <w:proofErr w:type="spellStart"/>
      <w:r>
        <w:rPr>
          <w:i/>
          <w:iCs/>
        </w:rPr>
        <w:t>Nutr</w:t>
      </w:r>
      <w:proofErr w:type="spellEnd"/>
      <w:r>
        <w:rPr>
          <w:i/>
          <w:iCs/>
        </w:rPr>
        <w:t>. Soc.</w:t>
      </w:r>
      <w:r>
        <w:t xml:space="preserve"> </w:t>
      </w:r>
      <w:r>
        <w:rPr>
          <w:b/>
          <w:bCs/>
        </w:rPr>
        <w:t>41</w:t>
      </w:r>
      <w:r>
        <w:t>, 289–300 (1982).</w:t>
      </w:r>
    </w:p>
    <w:p w14:paraId="5EE135EB" w14:textId="77777777" w:rsidR="002D38F0" w:rsidRDefault="002D38F0" w:rsidP="002D38F0">
      <w:pPr>
        <w:pStyle w:val="Bibliography"/>
      </w:pPr>
      <w:r>
        <w:t>264.</w:t>
      </w:r>
      <w:r>
        <w:tab/>
      </w:r>
      <w:proofErr w:type="spellStart"/>
      <w:r>
        <w:t>Vananuvat</w:t>
      </w:r>
      <w:proofErr w:type="spellEnd"/>
      <w:r>
        <w:t xml:space="preserve">, P. &amp; </w:t>
      </w:r>
      <w:proofErr w:type="spellStart"/>
      <w:r>
        <w:t>Balloun</w:t>
      </w:r>
      <w:proofErr w:type="spellEnd"/>
      <w:r>
        <w:t xml:space="preserve">, S. L. Value of yeast protein for poultry feeds. </w:t>
      </w:r>
      <w:r>
        <w:rPr>
          <w:i/>
          <w:iCs/>
        </w:rPr>
        <w:t xml:space="preserve">C R C Crit. Rev. Food Sci. </w:t>
      </w:r>
      <w:proofErr w:type="spellStart"/>
      <w:r>
        <w:rPr>
          <w:i/>
          <w:iCs/>
        </w:rPr>
        <w:t>Nutr</w:t>
      </w:r>
      <w:proofErr w:type="spellEnd"/>
      <w:r>
        <w:rPr>
          <w:i/>
          <w:iCs/>
        </w:rPr>
        <w:t>.</w:t>
      </w:r>
      <w:r>
        <w:t xml:space="preserve"> </w:t>
      </w:r>
      <w:r>
        <w:rPr>
          <w:b/>
          <w:bCs/>
        </w:rPr>
        <w:t>9</w:t>
      </w:r>
      <w:r>
        <w:t>, 325–343 (1977).</w:t>
      </w:r>
    </w:p>
    <w:p w14:paraId="00DE6C11" w14:textId="77777777" w:rsidR="002D38F0" w:rsidRDefault="002D38F0" w:rsidP="002D38F0">
      <w:pPr>
        <w:pStyle w:val="Bibliography"/>
      </w:pPr>
      <w:r>
        <w:t>265.</w:t>
      </w:r>
      <w:r>
        <w:tab/>
        <w:t xml:space="preserve">Westlake, R. Large-scale continuous production of single cell protein. </w:t>
      </w:r>
      <w:r>
        <w:rPr>
          <w:i/>
          <w:iCs/>
        </w:rPr>
        <w:t>Chem. Ing. Tech.</w:t>
      </w:r>
      <w:r>
        <w:t xml:space="preserve"> </w:t>
      </w:r>
      <w:r>
        <w:rPr>
          <w:b/>
          <w:bCs/>
        </w:rPr>
        <w:t>58</w:t>
      </w:r>
      <w:r>
        <w:t>, 934–937 (1986).</w:t>
      </w:r>
    </w:p>
    <w:p w14:paraId="6FE466AB" w14:textId="77777777" w:rsidR="002D38F0" w:rsidRDefault="002D38F0" w:rsidP="002D38F0">
      <w:pPr>
        <w:pStyle w:val="Bibliography"/>
      </w:pPr>
      <w:r>
        <w:t>266.</w:t>
      </w:r>
      <w:r>
        <w:tab/>
      </w:r>
      <w:proofErr w:type="spellStart"/>
      <w:r>
        <w:t>Adarme</w:t>
      </w:r>
      <w:proofErr w:type="spellEnd"/>
      <w:r>
        <w:t xml:space="preserve">-Vega, T. C. </w:t>
      </w:r>
      <w:r>
        <w:rPr>
          <w:i/>
          <w:iCs/>
        </w:rPr>
        <w:t>et al.</w:t>
      </w:r>
      <w:r>
        <w:t xml:space="preserve"> Microalgal </w:t>
      </w:r>
      <w:proofErr w:type="spellStart"/>
      <w:r>
        <w:t>biofactories</w:t>
      </w:r>
      <w:proofErr w:type="spellEnd"/>
      <w:r>
        <w:t xml:space="preserve">: a promising approach towards sustainable omega-3 fatty acid production. </w:t>
      </w:r>
      <w:proofErr w:type="spellStart"/>
      <w:r>
        <w:rPr>
          <w:i/>
          <w:iCs/>
        </w:rPr>
        <w:t>Microb</w:t>
      </w:r>
      <w:proofErr w:type="spellEnd"/>
      <w:r>
        <w:rPr>
          <w:i/>
          <w:iCs/>
        </w:rPr>
        <w:t>. Cell Factories</w:t>
      </w:r>
      <w:r>
        <w:t xml:space="preserve"> </w:t>
      </w:r>
      <w:r>
        <w:rPr>
          <w:b/>
          <w:bCs/>
        </w:rPr>
        <w:t>11</w:t>
      </w:r>
      <w:r>
        <w:t>, 96 (2012).</w:t>
      </w:r>
    </w:p>
    <w:p w14:paraId="2843AB8E" w14:textId="77777777" w:rsidR="002D38F0" w:rsidRDefault="002D38F0" w:rsidP="002D38F0">
      <w:pPr>
        <w:pStyle w:val="Bibliography"/>
      </w:pPr>
      <w:r>
        <w:t>267.</w:t>
      </w:r>
      <w:r>
        <w:tab/>
        <w:t xml:space="preserve">Couture, J. L. </w:t>
      </w:r>
      <w:r>
        <w:rPr>
          <w:i/>
          <w:iCs/>
        </w:rPr>
        <w:t>et al.</w:t>
      </w:r>
      <w:r>
        <w:t xml:space="preserve"> Environmental benefits of novel nonhuman food inputs to salmon feeds. </w:t>
      </w:r>
      <w:r>
        <w:rPr>
          <w:i/>
          <w:iCs/>
        </w:rPr>
        <w:t>Environ. Sci. Technol.</w:t>
      </w:r>
      <w:r>
        <w:t xml:space="preserve"> </w:t>
      </w:r>
      <w:r>
        <w:rPr>
          <w:b/>
          <w:bCs/>
        </w:rPr>
        <w:t>53</w:t>
      </w:r>
      <w:r>
        <w:t>, 1967–1975 (2019).</w:t>
      </w:r>
    </w:p>
    <w:p w14:paraId="47192826" w14:textId="77777777" w:rsidR="002D38F0" w:rsidRDefault="002D38F0" w:rsidP="002D38F0">
      <w:pPr>
        <w:pStyle w:val="Bibliography"/>
      </w:pPr>
      <w:r>
        <w:t>268.</w:t>
      </w:r>
      <w:r>
        <w:tab/>
        <w:t xml:space="preserve">Karimi, S., </w:t>
      </w:r>
      <w:proofErr w:type="spellStart"/>
      <w:r>
        <w:t>Mahboobi</w:t>
      </w:r>
      <w:proofErr w:type="spellEnd"/>
      <w:r>
        <w:t xml:space="preserve"> </w:t>
      </w:r>
      <w:proofErr w:type="spellStart"/>
      <w:r>
        <w:t>Soofiani</w:t>
      </w:r>
      <w:proofErr w:type="spellEnd"/>
      <w:r>
        <w:t xml:space="preserve">, N., </w:t>
      </w:r>
      <w:proofErr w:type="spellStart"/>
      <w:r>
        <w:t>Mahboubi</w:t>
      </w:r>
      <w:proofErr w:type="spellEnd"/>
      <w:r>
        <w:t xml:space="preserve">, A. &amp; </w:t>
      </w:r>
      <w:proofErr w:type="spellStart"/>
      <w:r>
        <w:t>Taherzadeh</w:t>
      </w:r>
      <w:proofErr w:type="spellEnd"/>
      <w:r>
        <w:t xml:space="preserve">, M. J. Use of organic wastes and industrial by-products to produce filamentous fungi with potential as aqua-feed ingredients. </w:t>
      </w:r>
      <w:r>
        <w:rPr>
          <w:i/>
          <w:iCs/>
        </w:rPr>
        <w:t>Sustainability</w:t>
      </w:r>
      <w:r>
        <w:t xml:space="preserve"> </w:t>
      </w:r>
      <w:r>
        <w:rPr>
          <w:b/>
          <w:bCs/>
        </w:rPr>
        <w:t>10</w:t>
      </w:r>
      <w:r>
        <w:t>, 3296 (2018).</w:t>
      </w:r>
    </w:p>
    <w:p w14:paraId="2B26112C" w14:textId="77777777" w:rsidR="002D38F0" w:rsidRDefault="002D38F0" w:rsidP="002D38F0">
      <w:pPr>
        <w:pStyle w:val="Bibliography"/>
      </w:pPr>
      <w:r>
        <w:t>269.</w:t>
      </w:r>
      <w:r>
        <w:tab/>
      </w:r>
      <w:proofErr w:type="spellStart"/>
      <w:r>
        <w:t>Spalvins</w:t>
      </w:r>
      <w:proofErr w:type="spellEnd"/>
      <w:r>
        <w:t xml:space="preserve">, K., </w:t>
      </w:r>
      <w:proofErr w:type="spellStart"/>
      <w:r>
        <w:t>Zihare</w:t>
      </w:r>
      <w:proofErr w:type="spellEnd"/>
      <w:r>
        <w:t xml:space="preserve">, L. &amp; </w:t>
      </w:r>
      <w:proofErr w:type="spellStart"/>
      <w:r>
        <w:t>Blumberga</w:t>
      </w:r>
      <w:proofErr w:type="spellEnd"/>
      <w:r>
        <w:t xml:space="preserve">, D. Single cell protein production from waste biomass: comparison of various industrial by-products. </w:t>
      </w:r>
      <w:r>
        <w:rPr>
          <w:i/>
          <w:iCs/>
        </w:rPr>
        <w:t>Energy Procedia</w:t>
      </w:r>
      <w:r>
        <w:t xml:space="preserve"> </w:t>
      </w:r>
      <w:r>
        <w:rPr>
          <w:b/>
          <w:bCs/>
        </w:rPr>
        <w:t>147</w:t>
      </w:r>
      <w:r>
        <w:t>, 409–418 (2018).</w:t>
      </w:r>
    </w:p>
    <w:p w14:paraId="6E6D96E1" w14:textId="77777777" w:rsidR="002D38F0" w:rsidRDefault="002D38F0" w:rsidP="002D38F0">
      <w:pPr>
        <w:pStyle w:val="Bibliography"/>
      </w:pPr>
      <w:r>
        <w:t>270.</w:t>
      </w:r>
      <w:r>
        <w:tab/>
      </w:r>
      <w:proofErr w:type="spellStart"/>
      <w:r>
        <w:t>Spalvins</w:t>
      </w:r>
      <w:proofErr w:type="spellEnd"/>
      <w:r>
        <w:t xml:space="preserve">, K., </w:t>
      </w:r>
      <w:proofErr w:type="spellStart"/>
      <w:r>
        <w:t>Ivanovs</w:t>
      </w:r>
      <w:proofErr w:type="spellEnd"/>
      <w:r>
        <w:t xml:space="preserve">, K. &amp; </w:t>
      </w:r>
      <w:proofErr w:type="spellStart"/>
      <w:r>
        <w:t>Blumberga</w:t>
      </w:r>
      <w:proofErr w:type="spellEnd"/>
      <w:r>
        <w:t xml:space="preserve">, D. Single cell protein production from waste biomass: review of various agricultural by-products. </w:t>
      </w:r>
      <w:proofErr w:type="spellStart"/>
      <w:r>
        <w:rPr>
          <w:i/>
          <w:iCs/>
        </w:rPr>
        <w:t>Agron</w:t>
      </w:r>
      <w:proofErr w:type="spellEnd"/>
      <w:r>
        <w:rPr>
          <w:i/>
          <w:iCs/>
        </w:rPr>
        <w:t>. Res.</w:t>
      </w:r>
      <w:r>
        <w:t xml:space="preserve"> </w:t>
      </w:r>
      <w:r>
        <w:rPr>
          <w:b/>
          <w:bCs/>
        </w:rPr>
        <w:t>16</w:t>
      </w:r>
      <w:r>
        <w:t>, 1493–1508 (2018).</w:t>
      </w:r>
    </w:p>
    <w:p w14:paraId="7D422408" w14:textId="77777777" w:rsidR="002D38F0" w:rsidRDefault="002D38F0" w:rsidP="002D38F0">
      <w:pPr>
        <w:pStyle w:val="Bibliography"/>
      </w:pPr>
      <w:r>
        <w:t>271.</w:t>
      </w:r>
      <w:r>
        <w:tab/>
      </w:r>
      <w:proofErr w:type="spellStart"/>
      <w:r>
        <w:t>Takors</w:t>
      </w:r>
      <w:proofErr w:type="spellEnd"/>
      <w:r>
        <w:t xml:space="preserve">, R. </w:t>
      </w:r>
      <w:r>
        <w:rPr>
          <w:i/>
          <w:iCs/>
        </w:rPr>
        <w:t>et al.</w:t>
      </w:r>
      <w:r>
        <w:t xml:space="preserve"> Using gas mixtures of CO, CO2 and H2 as microbial substrates: the </w:t>
      </w:r>
      <w:proofErr w:type="gramStart"/>
      <w:r>
        <w:t>do’s</w:t>
      </w:r>
      <w:proofErr w:type="gramEnd"/>
      <w:r>
        <w:t xml:space="preserve"> and don’ts of successful technology transfer from laboratory to production scale. </w:t>
      </w:r>
      <w:proofErr w:type="spellStart"/>
      <w:r>
        <w:rPr>
          <w:i/>
          <w:iCs/>
        </w:rPr>
        <w:t>Microb</w:t>
      </w:r>
      <w:proofErr w:type="spellEnd"/>
      <w:r>
        <w:rPr>
          <w:i/>
          <w:iCs/>
        </w:rPr>
        <w:t xml:space="preserve">. </w:t>
      </w:r>
      <w:proofErr w:type="spellStart"/>
      <w:r>
        <w:rPr>
          <w:i/>
          <w:iCs/>
        </w:rPr>
        <w:t>Biotechnol</w:t>
      </w:r>
      <w:proofErr w:type="spellEnd"/>
      <w:r>
        <w:rPr>
          <w:i/>
          <w:iCs/>
        </w:rPr>
        <w:t>.</w:t>
      </w:r>
      <w:r>
        <w:t xml:space="preserve"> </w:t>
      </w:r>
      <w:r>
        <w:rPr>
          <w:b/>
          <w:bCs/>
        </w:rPr>
        <w:t>11</w:t>
      </w:r>
      <w:r>
        <w:t>, 606–625 (2018).</w:t>
      </w:r>
    </w:p>
    <w:p w14:paraId="6D6D2F21" w14:textId="77777777" w:rsidR="002D38F0" w:rsidRDefault="002D38F0" w:rsidP="002D38F0">
      <w:pPr>
        <w:pStyle w:val="Bibliography"/>
      </w:pPr>
      <w:r>
        <w:t>272.</w:t>
      </w:r>
      <w:r>
        <w:tab/>
      </w:r>
      <w:proofErr w:type="spellStart"/>
      <w:r>
        <w:t>Matassa</w:t>
      </w:r>
      <w:proofErr w:type="spellEnd"/>
      <w:r>
        <w:t xml:space="preserve">, S. </w:t>
      </w:r>
      <w:r>
        <w:rPr>
          <w:i/>
          <w:iCs/>
        </w:rPr>
        <w:t>et al.</w:t>
      </w:r>
      <w:r>
        <w:t xml:space="preserve"> Upcycling of biowaste carbon and nutrients in line with consumer confidence: the “full gas” route to single cell protein. </w:t>
      </w:r>
      <w:r>
        <w:rPr>
          <w:i/>
          <w:iCs/>
        </w:rPr>
        <w:t>Green Chem.</w:t>
      </w:r>
      <w:r>
        <w:t xml:space="preserve"> </w:t>
      </w:r>
      <w:r>
        <w:rPr>
          <w:b/>
          <w:bCs/>
        </w:rPr>
        <w:t>22</w:t>
      </w:r>
      <w:r>
        <w:t>, 4912–4929 (2020).</w:t>
      </w:r>
    </w:p>
    <w:p w14:paraId="10B5F84E" w14:textId="77777777" w:rsidR="002D38F0" w:rsidRDefault="002D38F0" w:rsidP="002D38F0">
      <w:pPr>
        <w:pStyle w:val="Bibliography"/>
      </w:pPr>
      <w:r>
        <w:t>273.</w:t>
      </w:r>
      <w:r>
        <w:tab/>
        <w:t xml:space="preserve">Gupta, A., Barrow, C. J. &amp; Puri, M. Multiproduct biorefinery from marine thraustochytrids towards a circular bioeconomy. </w:t>
      </w:r>
      <w:r>
        <w:rPr>
          <w:i/>
          <w:iCs/>
        </w:rPr>
        <w:t xml:space="preserve">Trends </w:t>
      </w:r>
      <w:proofErr w:type="spellStart"/>
      <w:r>
        <w:rPr>
          <w:i/>
          <w:iCs/>
        </w:rPr>
        <w:t>Biotechnol</w:t>
      </w:r>
      <w:proofErr w:type="spellEnd"/>
      <w:r>
        <w:rPr>
          <w:i/>
          <w:iCs/>
        </w:rPr>
        <w:t>.</w:t>
      </w:r>
      <w:r>
        <w:t xml:space="preserve"> </w:t>
      </w:r>
      <w:r>
        <w:rPr>
          <w:b/>
          <w:bCs/>
        </w:rPr>
        <w:t>40</w:t>
      </w:r>
      <w:r>
        <w:t>, 448–462 (2022).</w:t>
      </w:r>
    </w:p>
    <w:p w14:paraId="300390CB" w14:textId="77777777" w:rsidR="002D38F0" w:rsidRDefault="002D38F0" w:rsidP="002D38F0">
      <w:pPr>
        <w:pStyle w:val="Bibliography"/>
      </w:pPr>
      <w:r>
        <w:t>274.</w:t>
      </w:r>
      <w:r>
        <w:tab/>
        <w:t xml:space="preserve">Sharif, M. </w:t>
      </w:r>
      <w:r>
        <w:rPr>
          <w:i/>
          <w:iCs/>
        </w:rPr>
        <w:t>et al.</w:t>
      </w:r>
      <w:r>
        <w:t xml:space="preserve"> Single cell protein: Sources, mechanism of production, nutritional </w:t>
      </w:r>
      <w:proofErr w:type="gramStart"/>
      <w:r>
        <w:t>value</w:t>
      </w:r>
      <w:proofErr w:type="gramEnd"/>
      <w:r>
        <w:t xml:space="preserve"> and its uses in aquaculture nutrition. </w:t>
      </w:r>
      <w:r>
        <w:rPr>
          <w:i/>
          <w:iCs/>
        </w:rPr>
        <w:t>Aquaculture</w:t>
      </w:r>
      <w:r>
        <w:t xml:space="preserve"> </w:t>
      </w:r>
      <w:r>
        <w:rPr>
          <w:b/>
          <w:bCs/>
        </w:rPr>
        <w:t>531</w:t>
      </w:r>
      <w:r>
        <w:t>, 735885 (2021).</w:t>
      </w:r>
    </w:p>
    <w:p w14:paraId="13D68807" w14:textId="77777777" w:rsidR="002D38F0" w:rsidRDefault="002D38F0" w:rsidP="002D38F0">
      <w:pPr>
        <w:pStyle w:val="Bibliography"/>
      </w:pPr>
      <w:r>
        <w:t>275.</w:t>
      </w:r>
      <w:r>
        <w:tab/>
      </w:r>
      <w:proofErr w:type="spellStart"/>
      <w:r>
        <w:t>Campanati</w:t>
      </w:r>
      <w:proofErr w:type="spellEnd"/>
      <w:r>
        <w:t xml:space="preserve">, C., Willer, D., Schubert, J. &amp; Aldridge, D. C. Sustainable intensification of aquaculture through nutrient recycling and circular economies: more fish, less waste, blue growth. </w:t>
      </w:r>
      <w:r>
        <w:rPr>
          <w:i/>
          <w:iCs/>
        </w:rPr>
        <w:t xml:space="preserve">Rev. Fish. Sci. </w:t>
      </w:r>
      <w:proofErr w:type="spellStart"/>
      <w:r>
        <w:rPr>
          <w:i/>
          <w:iCs/>
        </w:rPr>
        <w:t>Aquac</w:t>
      </w:r>
      <w:proofErr w:type="spellEnd"/>
      <w:r>
        <w:rPr>
          <w:i/>
          <w:iCs/>
        </w:rPr>
        <w:t>.</w:t>
      </w:r>
      <w:r>
        <w:t xml:space="preserve"> </w:t>
      </w:r>
      <w:r>
        <w:rPr>
          <w:b/>
          <w:bCs/>
        </w:rPr>
        <w:t>30</w:t>
      </w:r>
      <w:r>
        <w:t>, 143–169 (2022).</w:t>
      </w:r>
    </w:p>
    <w:p w14:paraId="282D2493" w14:textId="77777777" w:rsidR="002D38F0" w:rsidRDefault="002D38F0" w:rsidP="002D38F0">
      <w:pPr>
        <w:pStyle w:val="Bibliography"/>
      </w:pPr>
      <w:r>
        <w:t>276.</w:t>
      </w:r>
      <w:r>
        <w:tab/>
        <w:t xml:space="preserve">Rebecca S. </w:t>
      </w:r>
      <w:proofErr w:type="spellStart"/>
      <w:r>
        <w:t>Thombre</w:t>
      </w:r>
      <w:proofErr w:type="spellEnd"/>
      <w:r>
        <w:t xml:space="preserve"> &amp; Joshi, S. Industrial production and applications of yeast and yeast products. in </w:t>
      </w:r>
      <w:r>
        <w:rPr>
          <w:i/>
          <w:iCs/>
        </w:rPr>
        <w:t>Industrial Biotechnology</w:t>
      </w:r>
      <w:r>
        <w:t xml:space="preserve"> 59–79 (2017).</w:t>
      </w:r>
    </w:p>
    <w:p w14:paraId="66E0DF6F" w14:textId="77777777" w:rsidR="002D38F0" w:rsidRDefault="002D38F0" w:rsidP="002D38F0">
      <w:pPr>
        <w:pStyle w:val="Bibliography"/>
      </w:pPr>
      <w:r>
        <w:t>277.</w:t>
      </w:r>
      <w:r>
        <w:tab/>
        <w:t xml:space="preserve">Jacob-Lopes, E., </w:t>
      </w:r>
      <w:proofErr w:type="spellStart"/>
      <w:r>
        <w:t>Maroneze</w:t>
      </w:r>
      <w:proofErr w:type="spellEnd"/>
      <w:r>
        <w:t xml:space="preserve">, M. M., Queiroz, M. I. &amp; </w:t>
      </w:r>
      <w:proofErr w:type="spellStart"/>
      <w:r>
        <w:t>Zepka</w:t>
      </w:r>
      <w:proofErr w:type="spellEnd"/>
      <w:r>
        <w:t xml:space="preserve">, L. Q. </w:t>
      </w:r>
      <w:r>
        <w:rPr>
          <w:i/>
          <w:iCs/>
        </w:rPr>
        <w:t>Handbook of microalgae-based processes and products: fundamentals and advances in energy, food, feed, fertilizer, and bioactive compounds</w:t>
      </w:r>
      <w:r>
        <w:t>. (Academic Press, 2020).</w:t>
      </w:r>
    </w:p>
    <w:p w14:paraId="5BE8A2D4" w14:textId="77777777" w:rsidR="002D38F0" w:rsidRDefault="002D38F0" w:rsidP="002D38F0">
      <w:pPr>
        <w:pStyle w:val="Bibliography"/>
      </w:pPr>
      <w:r>
        <w:t>278.</w:t>
      </w:r>
      <w:r>
        <w:tab/>
      </w:r>
      <w:proofErr w:type="spellStart"/>
      <w:r>
        <w:t>Akoijam</w:t>
      </w:r>
      <w:proofErr w:type="spellEnd"/>
      <w:r>
        <w:t xml:space="preserve">, N., </w:t>
      </w:r>
      <w:proofErr w:type="spellStart"/>
      <w:r>
        <w:t>Kalita</w:t>
      </w:r>
      <w:proofErr w:type="spellEnd"/>
      <w:r>
        <w:t xml:space="preserve">, D. &amp; Joshi, S. R. Bacteria and Their Industrial Importance. in </w:t>
      </w:r>
      <w:r>
        <w:rPr>
          <w:i/>
          <w:iCs/>
        </w:rPr>
        <w:t>Industrial Microbiology and Biotechnology</w:t>
      </w:r>
      <w:r>
        <w:t xml:space="preserve"> (ed. Verma, P.) 63–79 (Springer Singapore, 2022). doi:10.1007/978-981-16-5214-1_2.</w:t>
      </w:r>
    </w:p>
    <w:p w14:paraId="06BB8260" w14:textId="77777777" w:rsidR="002D38F0" w:rsidRDefault="002D38F0" w:rsidP="002D38F0">
      <w:pPr>
        <w:pStyle w:val="Bibliography"/>
      </w:pPr>
      <w:r>
        <w:t>279.</w:t>
      </w:r>
      <w:r>
        <w:tab/>
        <w:t xml:space="preserve">Pal, R. &amp; Choudhury, A. K. </w:t>
      </w:r>
      <w:r>
        <w:rPr>
          <w:i/>
          <w:iCs/>
        </w:rPr>
        <w:t xml:space="preserve">An Introduction to </w:t>
      </w:r>
      <w:proofErr w:type="spellStart"/>
      <w:r>
        <w:rPr>
          <w:i/>
          <w:iCs/>
        </w:rPr>
        <w:t>Phytoplanktons</w:t>
      </w:r>
      <w:proofErr w:type="spellEnd"/>
      <w:r>
        <w:rPr>
          <w:i/>
          <w:iCs/>
        </w:rPr>
        <w:t>: Diversity and Ecology</w:t>
      </w:r>
      <w:r>
        <w:t>. (Springer India, 2014). doi:10.1007/978-81-322-1838-8.</w:t>
      </w:r>
    </w:p>
    <w:p w14:paraId="62854ACE" w14:textId="77777777" w:rsidR="002D38F0" w:rsidRDefault="002D38F0" w:rsidP="002D38F0">
      <w:pPr>
        <w:pStyle w:val="Bibliography"/>
      </w:pPr>
      <w:r>
        <w:t>280.</w:t>
      </w:r>
      <w:r>
        <w:tab/>
        <w:t xml:space="preserve">Norton, T. A., </w:t>
      </w:r>
      <w:proofErr w:type="spellStart"/>
      <w:r>
        <w:t>Melkonian</w:t>
      </w:r>
      <w:proofErr w:type="spellEnd"/>
      <w:r>
        <w:t xml:space="preserve">, M. &amp; Andersen, R. A. Algal biodiversity. </w:t>
      </w:r>
      <w:proofErr w:type="spellStart"/>
      <w:r>
        <w:rPr>
          <w:i/>
          <w:iCs/>
        </w:rPr>
        <w:t>Phycologia</w:t>
      </w:r>
      <w:proofErr w:type="spellEnd"/>
      <w:r>
        <w:t xml:space="preserve"> </w:t>
      </w:r>
      <w:r>
        <w:rPr>
          <w:b/>
          <w:bCs/>
        </w:rPr>
        <w:t>35</w:t>
      </w:r>
      <w:r>
        <w:t>, 308–326 (1996).</w:t>
      </w:r>
    </w:p>
    <w:p w14:paraId="2E93A7F0" w14:textId="77777777" w:rsidR="002D38F0" w:rsidRDefault="002D38F0" w:rsidP="002D38F0">
      <w:pPr>
        <w:pStyle w:val="Bibliography"/>
      </w:pPr>
      <w:r>
        <w:t>281.</w:t>
      </w:r>
      <w:r>
        <w:tab/>
        <w:t xml:space="preserve">Guedes, A. C., Sousa-Pinto, I. &amp; </w:t>
      </w:r>
      <w:proofErr w:type="spellStart"/>
      <w:r>
        <w:t>Malcata</w:t>
      </w:r>
      <w:proofErr w:type="spellEnd"/>
      <w:r>
        <w:t xml:space="preserve">, F. X. Chapter 8 - Application of Microalgae Protein to Aquafeed. in </w:t>
      </w:r>
      <w:r>
        <w:rPr>
          <w:i/>
          <w:iCs/>
        </w:rPr>
        <w:t>Handbook of Marine Microalgae</w:t>
      </w:r>
      <w:r>
        <w:t xml:space="preserve"> (ed. Kim, S.-K.) 93–125 (Academic Press, 2015). doi:10.1016/B978-0-12-800776-1.00008-X.</w:t>
      </w:r>
    </w:p>
    <w:p w14:paraId="719E79A0" w14:textId="77777777" w:rsidR="002D38F0" w:rsidRDefault="002D38F0" w:rsidP="002D38F0">
      <w:pPr>
        <w:pStyle w:val="Bibliography"/>
      </w:pPr>
      <w:r>
        <w:t>282.</w:t>
      </w:r>
      <w:r>
        <w:tab/>
      </w:r>
      <w:proofErr w:type="spellStart"/>
      <w:r>
        <w:t>Moomaw</w:t>
      </w:r>
      <w:proofErr w:type="spellEnd"/>
      <w:r>
        <w:t xml:space="preserve">, W., </w:t>
      </w:r>
      <w:proofErr w:type="spellStart"/>
      <w:r>
        <w:t>Berzin</w:t>
      </w:r>
      <w:proofErr w:type="spellEnd"/>
      <w:r>
        <w:t xml:space="preserve">, I. &amp; </w:t>
      </w:r>
      <w:proofErr w:type="spellStart"/>
      <w:r>
        <w:t>Tzachor</w:t>
      </w:r>
      <w:proofErr w:type="spellEnd"/>
      <w:r>
        <w:t xml:space="preserve">, A. Cutting Out the Middle Fish: Marine Microalgae as the Next Sustainable Omega-3 Fatty Acids and Protein Source. </w:t>
      </w:r>
      <w:r>
        <w:rPr>
          <w:i/>
          <w:iCs/>
        </w:rPr>
        <w:t xml:space="preserve">Ind. </w:t>
      </w:r>
      <w:proofErr w:type="spellStart"/>
      <w:r>
        <w:rPr>
          <w:i/>
          <w:iCs/>
        </w:rPr>
        <w:t>Biotechnol</w:t>
      </w:r>
      <w:proofErr w:type="spellEnd"/>
      <w:r>
        <w:rPr>
          <w:i/>
          <w:iCs/>
        </w:rPr>
        <w:t>.</w:t>
      </w:r>
      <w:r>
        <w:t xml:space="preserve"> </w:t>
      </w:r>
      <w:r>
        <w:rPr>
          <w:b/>
          <w:bCs/>
        </w:rPr>
        <w:t>13</w:t>
      </w:r>
      <w:r>
        <w:t>, 234–243 (2017).</w:t>
      </w:r>
    </w:p>
    <w:p w14:paraId="67ACEE5A" w14:textId="77777777" w:rsidR="002D38F0" w:rsidRDefault="002D38F0" w:rsidP="002D38F0">
      <w:pPr>
        <w:pStyle w:val="Bibliography"/>
      </w:pPr>
      <w:r>
        <w:t>283.</w:t>
      </w:r>
      <w:r>
        <w:tab/>
        <w:t xml:space="preserve">Shah, M. R. </w:t>
      </w:r>
      <w:r>
        <w:rPr>
          <w:i/>
          <w:iCs/>
        </w:rPr>
        <w:t>et al.</w:t>
      </w:r>
      <w:r>
        <w:t xml:space="preserve"> Microalgae in aquafeeds for a sustainable aquaculture industry. </w:t>
      </w:r>
      <w:r>
        <w:rPr>
          <w:i/>
          <w:iCs/>
        </w:rPr>
        <w:t xml:space="preserve">J. Appl. </w:t>
      </w:r>
      <w:proofErr w:type="spellStart"/>
      <w:r>
        <w:rPr>
          <w:i/>
          <w:iCs/>
        </w:rPr>
        <w:t>Phycol</w:t>
      </w:r>
      <w:proofErr w:type="spellEnd"/>
      <w:r>
        <w:rPr>
          <w:i/>
          <w:iCs/>
        </w:rPr>
        <w:t>.</w:t>
      </w:r>
      <w:r>
        <w:t xml:space="preserve"> </w:t>
      </w:r>
      <w:r>
        <w:rPr>
          <w:b/>
          <w:bCs/>
        </w:rPr>
        <w:t>30</w:t>
      </w:r>
      <w:r>
        <w:t>, 197–213 (2018).</w:t>
      </w:r>
    </w:p>
    <w:p w14:paraId="7040DD04" w14:textId="77777777" w:rsidR="002D38F0" w:rsidRDefault="002D38F0" w:rsidP="002D38F0">
      <w:pPr>
        <w:pStyle w:val="Bibliography"/>
      </w:pPr>
      <w:r>
        <w:t>284.</w:t>
      </w:r>
      <w:r>
        <w:tab/>
        <w:t xml:space="preserve">Tibbetts, S. M. The potential for ‘next-generation’, microalgae-based feed ingredients for salmonid aquaculture in context of the blue revolution. in </w:t>
      </w:r>
      <w:r>
        <w:rPr>
          <w:i/>
          <w:iCs/>
        </w:rPr>
        <w:t>Microalgal Biotechnology</w:t>
      </w:r>
      <w:r>
        <w:t xml:space="preserve"> (eds. Jacob-Lopes, E., </w:t>
      </w:r>
      <w:proofErr w:type="spellStart"/>
      <w:r>
        <w:t>Zepka</w:t>
      </w:r>
      <w:proofErr w:type="spellEnd"/>
      <w:r>
        <w:t>, L. Q. &amp; Queiroz, M. I.) (</w:t>
      </w:r>
      <w:proofErr w:type="spellStart"/>
      <w:r>
        <w:t>IntechOpen</w:t>
      </w:r>
      <w:proofErr w:type="spellEnd"/>
      <w:r>
        <w:t>, 2018). doi:10.5772/intechopen.73551.</w:t>
      </w:r>
    </w:p>
    <w:p w14:paraId="036BD8FE" w14:textId="77777777" w:rsidR="002D38F0" w:rsidRDefault="002D38F0" w:rsidP="002D38F0">
      <w:pPr>
        <w:pStyle w:val="Bibliography"/>
      </w:pPr>
      <w:r>
        <w:t>285.</w:t>
      </w:r>
      <w:r>
        <w:tab/>
        <w:t xml:space="preserve">Ansari, F. A., </w:t>
      </w:r>
      <w:proofErr w:type="spellStart"/>
      <w:r>
        <w:t>Guldhe</w:t>
      </w:r>
      <w:proofErr w:type="spellEnd"/>
      <w:r>
        <w:t xml:space="preserve">, A., Gupta, S. K., Rawat, I. &amp; </w:t>
      </w:r>
      <w:proofErr w:type="spellStart"/>
      <w:r>
        <w:t>Bux</w:t>
      </w:r>
      <w:proofErr w:type="spellEnd"/>
      <w:r>
        <w:t xml:space="preserve">, F. Improving the feasibility of aquaculture feed by using microalgae. </w:t>
      </w:r>
      <w:r>
        <w:rPr>
          <w:i/>
          <w:iCs/>
        </w:rPr>
        <w:t xml:space="preserve">Environ. Sci. </w:t>
      </w:r>
      <w:proofErr w:type="spellStart"/>
      <w:r>
        <w:rPr>
          <w:i/>
          <w:iCs/>
        </w:rPr>
        <w:t>Pollut</w:t>
      </w:r>
      <w:proofErr w:type="spellEnd"/>
      <w:r>
        <w:rPr>
          <w:i/>
          <w:iCs/>
        </w:rPr>
        <w:t>. Res.</w:t>
      </w:r>
      <w:r>
        <w:t xml:space="preserve"> </w:t>
      </w:r>
      <w:r>
        <w:rPr>
          <w:b/>
          <w:bCs/>
        </w:rPr>
        <w:t>28</w:t>
      </w:r>
      <w:r>
        <w:t>, 43234–43257 (2021).</w:t>
      </w:r>
    </w:p>
    <w:p w14:paraId="5B704989" w14:textId="77777777" w:rsidR="002D38F0" w:rsidRDefault="002D38F0" w:rsidP="002D38F0">
      <w:pPr>
        <w:pStyle w:val="Bibliography"/>
      </w:pPr>
      <w:r>
        <w:t>286.</w:t>
      </w:r>
      <w:r>
        <w:tab/>
        <w:t xml:space="preserve">Valente, L. M. P. </w:t>
      </w:r>
      <w:r>
        <w:rPr>
          <w:i/>
          <w:iCs/>
        </w:rPr>
        <w:t>et al.</w:t>
      </w:r>
      <w:r>
        <w:t xml:space="preserve"> Chapter 9 - Microalgae as feed ingredients for livestock production and aquaculture. in </w:t>
      </w:r>
      <w:r>
        <w:rPr>
          <w:i/>
          <w:iCs/>
        </w:rPr>
        <w:t>Microalgae</w:t>
      </w:r>
      <w:r>
        <w:t xml:space="preserve"> (ed. </w:t>
      </w:r>
      <w:proofErr w:type="spellStart"/>
      <w:r>
        <w:t>Galanakis</w:t>
      </w:r>
      <w:proofErr w:type="spellEnd"/>
      <w:r>
        <w:t>, C. M.) 239–312 (Academic Press, 2021). doi:10.1016/B978-0-12-821218-9.00009-8.</w:t>
      </w:r>
    </w:p>
    <w:p w14:paraId="7DC1EE9F" w14:textId="77777777" w:rsidR="002D38F0" w:rsidRDefault="002D38F0" w:rsidP="002D38F0">
      <w:pPr>
        <w:pStyle w:val="Bibliography"/>
      </w:pPr>
      <w:r>
        <w:t>287.</w:t>
      </w:r>
      <w:r>
        <w:tab/>
        <w:t xml:space="preserve">Ahmad, A., W. Hassan, S. &amp; Banat, F. An overview of microalgae biomass as a sustainable aquaculture feed ingredient: food security and circular economy. </w:t>
      </w:r>
      <w:r>
        <w:rPr>
          <w:i/>
          <w:iCs/>
        </w:rPr>
        <w:t>Bioengineered</w:t>
      </w:r>
      <w:r>
        <w:t xml:space="preserve"> </w:t>
      </w:r>
      <w:r>
        <w:rPr>
          <w:b/>
          <w:bCs/>
        </w:rPr>
        <w:t>13</w:t>
      </w:r>
      <w:r>
        <w:t>, 9521–9547 (2022).</w:t>
      </w:r>
    </w:p>
    <w:p w14:paraId="13EC5282" w14:textId="77777777" w:rsidR="002D38F0" w:rsidRDefault="002D38F0" w:rsidP="002D38F0">
      <w:pPr>
        <w:pStyle w:val="Bibliography"/>
      </w:pPr>
      <w:r>
        <w:t>288.</w:t>
      </w:r>
      <w:r>
        <w:tab/>
      </w:r>
      <w:r>
        <w:rPr>
          <w:i/>
          <w:iCs/>
        </w:rPr>
        <w:t>Principles of Fermentation Technology</w:t>
      </w:r>
      <w:r>
        <w:t>. (Elsevier, 2017). doi:10.1016/C2013-0-00186-7.</w:t>
      </w:r>
    </w:p>
    <w:p w14:paraId="6C260BBB" w14:textId="77777777" w:rsidR="002D38F0" w:rsidRDefault="002D38F0" w:rsidP="002D38F0">
      <w:pPr>
        <w:pStyle w:val="Bibliography"/>
      </w:pPr>
      <w:r>
        <w:t>289.</w:t>
      </w:r>
      <w:r>
        <w:tab/>
        <w:t xml:space="preserve">Sprague, M., Betancor, M. B. &amp; </w:t>
      </w:r>
      <w:proofErr w:type="spellStart"/>
      <w:r>
        <w:t>Tocher</w:t>
      </w:r>
      <w:proofErr w:type="spellEnd"/>
      <w:r>
        <w:t xml:space="preserve">, D. R. Microbial and genetically engineered oils as replacements for fish oil in aquaculture feeds. </w:t>
      </w:r>
      <w:proofErr w:type="spellStart"/>
      <w:r>
        <w:rPr>
          <w:i/>
          <w:iCs/>
        </w:rPr>
        <w:t>Biotechnol</w:t>
      </w:r>
      <w:proofErr w:type="spellEnd"/>
      <w:r>
        <w:rPr>
          <w:i/>
          <w:iCs/>
        </w:rPr>
        <w:t>. Lett.</w:t>
      </w:r>
      <w:r>
        <w:t xml:space="preserve"> </w:t>
      </w:r>
      <w:r>
        <w:rPr>
          <w:b/>
          <w:bCs/>
        </w:rPr>
        <w:t>39</w:t>
      </w:r>
      <w:r>
        <w:t>, 1599–1609 (2017).</w:t>
      </w:r>
    </w:p>
    <w:p w14:paraId="0A9D0238" w14:textId="77777777" w:rsidR="002D38F0" w:rsidRDefault="002D38F0" w:rsidP="002D38F0">
      <w:pPr>
        <w:pStyle w:val="Bibliography"/>
      </w:pPr>
      <w:r>
        <w:t>290.</w:t>
      </w:r>
      <w:r>
        <w:tab/>
        <w:t xml:space="preserve">Glencross, B. D., Huyben, D. &amp; </w:t>
      </w:r>
      <w:proofErr w:type="spellStart"/>
      <w:r>
        <w:t>Schrama</w:t>
      </w:r>
      <w:proofErr w:type="spellEnd"/>
      <w:r>
        <w:t xml:space="preserve">, J. W. The Application of Single-Cell Ingredients in Aquaculture Feeds—A Review. </w:t>
      </w:r>
      <w:r>
        <w:rPr>
          <w:i/>
          <w:iCs/>
        </w:rPr>
        <w:t>Fishes</w:t>
      </w:r>
      <w:r>
        <w:t xml:space="preserve"> </w:t>
      </w:r>
      <w:r>
        <w:rPr>
          <w:b/>
          <w:bCs/>
        </w:rPr>
        <w:t>5</w:t>
      </w:r>
      <w:r>
        <w:t>, 22 (2020).</w:t>
      </w:r>
    </w:p>
    <w:p w14:paraId="446AC66E" w14:textId="77777777" w:rsidR="002D38F0" w:rsidRDefault="002D38F0" w:rsidP="002D38F0">
      <w:pPr>
        <w:pStyle w:val="Bibliography"/>
      </w:pPr>
      <w:r>
        <w:t>291.</w:t>
      </w:r>
      <w:r>
        <w:tab/>
        <w:t xml:space="preserve">Jones, S. W., </w:t>
      </w:r>
      <w:proofErr w:type="spellStart"/>
      <w:r>
        <w:t>Karpol</w:t>
      </w:r>
      <w:proofErr w:type="spellEnd"/>
      <w:r>
        <w:t xml:space="preserve">, A., Friedman, S., Maru, B. T. &amp; Tracy, B. P. Recent advances in single cell protein use as a feed ingredient in aquaculture. </w:t>
      </w:r>
      <w:proofErr w:type="spellStart"/>
      <w:r>
        <w:rPr>
          <w:i/>
          <w:iCs/>
        </w:rPr>
        <w:t>Curr</w:t>
      </w:r>
      <w:proofErr w:type="spellEnd"/>
      <w:r>
        <w:rPr>
          <w:i/>
          <w:iCs/>
        </w:rPr>
        <w:t xml:space="preserve">. </w:t>
      </w:r>
      <w:proofErr w:type="spellStart"/>
      <w:r>
        <w:rPr>
          <w:i/>
          <w:iCs/>
        </w:rPr>
        <w:t>Opin</w:t>
      </w:r>
      <w:proofErr w:type="spellEnd"/>
      <w:r>
        <w:rPr>
          <w:i/>
          <w:iCs/>
        </w:rPr>
        <w:t xml:space="preserve">. </w:t>
      </w:r>
      <w:proofErr w:type="spellStart"/>
      <w:r>
        <w:rPr>
          <w:i/>
          <w:iCs/>
        </w:rPr>
        <w:t>Biotechnol</w:t>
      </w:r>
      <w:proofErr w:type="spellEnd"/>
      <w:r>
        <w:rPr>
          <w:i/>
          <w:iCs/>
        </w:rPr>
        <w:t>.</w:t>
      </w:r>
      <w:r>
        <w:t xml:space="preserve"> </w:t>
      </w:r>
      <w:r>
        <w:rPr>
          <w:b/>
          <w:bCs/>
        </w:rPr>
        <w:t>61</w:t>
      </w:r>
      <w:r>
        <w:t>, 189–197 (2020).</w:t>
      </w:r>
    </w:p>
    <w:p w14:paraId="4F4B4A9E" w14:textId="77777777" w:rsidR="002D38F0" w:rsidRDefault="002D38F0" w:rsidP="002D38F0">
      <w:pPr>
        <w:pStyle w:val="Bibliography"/>
      </w:pPr>
      <w:r>
        <w:t>292.</w:t>
      </w:r>
      <w:r>
        <w:tab/>
      </w:r>
      <w:proofErr w:type="spellStart"/>
      <w:r>
        <w:t>Jannathulla</w:t>
      </w:r>
      <w:proofErr w:type="spellEnd"/>
      <w:r>
        <w:t xml:space="preserve">, R., </w:t>
      </w:r>
      <w:proofErr w:type="spellStart"/>
      <w:r>
        <w:t>Sravanthi</w:t>
      </w:r>
      <w:proofErr w:type="spellEnd"/>
      <w:r>
        <w:t xml:space="preserve">, O., </w:t>
      </w:r>
      <w:proofErr w:type="spellStart"/>
      <w:r>
        <w:t>Moomeen</w:t>
      </w:r>
      <w:proofErr w:type="spellEnd"/>
      <w:r>
        <w:t xml:space="preserve">, S., </w:t>
      </w:r>
      <w:proofErr w:type="spellStart"/>
      <w:r>
        <w:t>Gopikrishna</w:t>
      </w:r>
      <w:proofErr w:type="spellEnd"/>
      <w:r>
        <w:t xml:space="preserve">, G. &amp; </w:t>
      </w:r>
      <w:proofErr w:type="spellStart"/>
      <w:r>
        <w:t>Dayal</w:t>
      </w:r>
      <w:proofErr w:type="spellEnd"/>
      <w:r>
        <w:t xml:space="preserve">, J. S. Microbial products in terms of isolates, whole-cell biomass, and live organisms as aquafeed ingredients: production, nutritional values, and market potential—a review. </w:t>
      </w:r>
      <w:proofErr w:type="spellStart"/>
      <w:r>
        <w:rPr>
          <w:i/>
          <w:iCs/>
        </w:rPr>
        <w:t>Aquac</w:t>
      </w:r>
      <w:proofErr w:type="spellEnd"/>
      <w:r>
        <w:rPr>
          <w:i/>
          <w:iCs/>
        </w:rPr>
        <w:t>. Int.</w:t>
      </w:r>
      <w:r>
        <w:t xml:space="preserve"> </w:t>
      </w:r>
      <w:r>
        <w:rPr>
          <w:b/>
          <w:bCs/>
        </w:rPr>
        <w:t>29</w:t>
      </w:r>
      <w:r>
        <w:t>, 623–650 (2021).</w:t>
      </w:r>
    </w:p>
    <w:p w14:paraId="167A7561" w14:textId="77777777" w:rsidR="002D38F0" w:rsidRDefault="002D38F0" w:rsidP="002D38F0">
      <w:pPr>
        <w:pStyle w:val="Bibliography"/>
      </w:pPr>
      <w:r>
        <w:t>293.</w:t>
      </w:r>
      <w:r>
        <w:tab/>
        <w:t xml:space="preserve">Nagappan, S. </w:t>
      </w:r>
      <w:r>
        <w:rPr>
          <w:i/>
          <w:iCs/>
        </w:rPr>
        <w:t>et al.</w:t>
      </w:r>
      <w:r>
        <w:t xml:space="preserve"> Potential of microalgae as a sustainable feed ingredient for aquaculture. </w:t>
      </w:r>
      <w:r>
        <w:rPr>
          <w:i/>
          <w:iCs/>
        </w:rPr>
        <w:t xml:space="preserve">J. </w:t>
      </w:r>
      <w:proofErr w:type="spellStart"/>
      <w:r>
        <w:rPr>
          <w:i/>
          <w:iCs/>
        </w:rPr>
        <w:t>Biotechnol</w:t>
      </w:r>
      <w:proofErr w:type="spellEnd"/>
      <w:r>
        <w:rPr>
          <w:i/>
          <w:iCs/>
        </w:rPr>
        <w:t>.</w:t>
      </w:r>
      <w:r>
        <w:t xml:space="preserve"> </w:t>
      </w:r>
      <w:r>
        <w:rPr>
          <w:b/>
          <w:bCs/>
        </w:rPr>
        <w:t>341</w:t>
      </w:r>
      <w:r>
        <w:t>, 1–20 (2021).</w:t>
      </w:r>
    </w:p>
    <w:p w14:paraId="72F5C5E1" w14:textId="77777777" w:rsidR="002D38F0" w:rsidRDefault="002D38F0" w:rsidP="002D38F0">
      <w:pPr>
        <w:pStyle w:val="Bibliography"/>
      </w:pPr>
      <w:r>
        <w:t>294.</w:t>
      </w:r>
      <w:r>
        <w:tab/>
        <w:t xml:space="preserve">Lux Research. </w:t>
      </w:r>
      <w:r>
        <w:rPr>
          <w:i/>
          <w:iCs/>
        </w:rPr>
        <w:t>Future Fish Feed: Forecasting Alternative Aqua Feed Ingredients</w:t>
      </w:r>
      <w:r>
        <w:t>. https://www.seafoodsource.com/news/aquaculture/new-report-explores-the-future-of-alternative-aquafeed-ingredients (2019).</w:t>
      </w:r>
    </w:p>
    <w:p w14:paraId="59B5390E" w14:textId="77777777" w:rsidR="002D38F0" w:rsidRDefault="002D38F0" w:rsidP="002D38F0">
      <w:pPr>
        <w:pStyle w:val="Bibliography"/>
      </w:pPr>
      <w:r>
        <w:t>295.</w:t>
      </w:r>
      <w:r>
        <w:tab/>
      </w:r>
      <w:proofErr w:type="spellStart"/>
      <w:r>
        <w:t>Acién</w:t>
      </w:r>
      <w:proofErr w:type="spellEnd"/>
      <w:r>
        <w:t xml:space="preserve">, F. G. </w:t>
      </w:r>
      <w:r>
        <w:rPr>
          <w:i/>
          <w:iCs/>
        </w:rPr>
        <w:t>et al.</w:t>
      </w:r>
      <w:r>
        <w:t xml:space="preserve"> 20 - Economics of microalgae production. in </w:t>
      </w:r>
      <w:r>
        <w:rPr>
          <w:i/>
          <w:iCs/>
        </w:rPr>
        <w:t>Microalgae-Based Biofuels and Bioproducts</w:t>
      </w:r>
      <w:r>
        <w:t xml:space="preserve"> (eds. Gonzalez-Fernandez, C. &amp; Muñoz, R.) 485–503 (Woodhead Publishing, 2017). doi:10.1016/B978-0-08-101023-5.00020-0.</w:t>
      </w:r>
    </w:p>
    <w:p w14:paraId="185AB2B8" w14:textId="77777777" w:rsidR="002D38F0" w:rsidRDefault="002D38F0" w:rsidP="002D38F0">
      <w:pPr>
        <w:pStyle w:val="Bibliography"/>
      </w:pPr>
      <w:r>
        <w:t>296.</w:t>
      </w:r>
      <w:r>
        <w:tab/>
        <w:t xml:space="preserve">Ruiz, J., </w:t>
      </w:r>
      <w:proofErr w:type="spellStart"/>
      <w:r>
        <w:t>Wijffels</w:t>
      </w:r>
      <w:proofErr w:type="spellEnd"/>
      <w:r>
        <w:t xml:space="preserve">, R. H., Dominguez, M. &amp; Barbosa, M. J. Heterotrophic vs autotrophic production of microalgae: Bringing some light into the everlasting cost controversy. </w:t>
      </w:r>
      <w:r>
        <w:rPr>
          <w:i/>
          <w:iCs/>
        </w:rPr>
        <w:t>Algal Res.</w:t>
      </w:r>
      <w:r>
        <w:t xml:space="preserve"> </w:t>
      </w:r>
      <w:r>
        <w:rPr>
          <w:b/>
          <w:bCs/>
        </w:rPr>
        <w:t>64</w:t>
      </w:r>
      <w:r>
        <w:t>, 102698 (2022).</w:t>
      </w:r>
    </w:p>
    <w:p w14:paraId="6A86EE25" w14:textId="77777777" w:rsidR="002D38F0" w:rsidRDefault="002D38F0" w:rsidP="002D38F0">
      <w:pPr>
        <w:pStyle w:val="Bibliography"/>
      </w:pPr>
      <w:r>
        <w:t>297.</w:t>
      </w:r>
      <w:r>
        <w:tab/>
        <w:t xml:space="preserve">Davis, D., </w:t>
      </w:r>
      <w:proofErr w:type="spellStart"/>
      <w:r>
        <w:t>Morão</w:t>
      </w:r>
      <w:proofErr w:type="spellEnd"/>
      <w:r>
        <w:t xml:space="preserve">, A., Johnson, J. K. &amp; Shen, L. Life cycle assessment of heterotrophic </w:t>
      </w:r>
      <w:proofErr w:type="gramStart"/>
      <w:r>
        <w:t>algae omega-3</w:t>
      </w:r>
      <w:proofErr w:type="gramEnd"/>
      <w:r>
        <w:t xml:space="preserve">. </w:t>
      </w:r>
      <w:r>
        <w:rPr>
          <w:i/>
          <w:iCs/>
        </w:rPr>
        <w:t>Algal Res.</w:t>
      </w:r>
      <w:r>
        <w:t xml:space="preserve"> </w:t>
      </w:r>
      <w:r>
        <w:rPr>
          <w:b/>
          <w:bCs/>
        </w:rPr>
        <w:t>60</w:t>
      </w:r>
      <w:r>
        <w:t>, 102494 (2021).</w:t>
      </w:r>
    </w:p>
    <w:p w14:paraId="556AEF36" w14:textId="77777777" w:rsidR="002D38F0" w:rsidRDefault="002D38F0" w:rsidP="002D38F0">
      <w:pPr>
        <w:pStyle w:val="Bibliography"/>
      </w:pPr>
      <w:r>
        <w:t>298.</w:t>
      </w:r>
      <w:r>
        <w:tab/>
        <w:t xml:space="preserve">Hart, B. &amp; Colombo, S. M. Effects of a novel weakened whole-cell form of Haematococcus </w:t>
      </w:r>
      <w:proofErr w:type="spellStart"/>
      <w:r>
        <w:t>pluvialis</w:t>
      </w:r>
      <w:proofErr w:type="spellEnd"/>
      <w:r>
        <w:t xml:space="preserve"> on flesh pigmentation of rainbow trout (Oncorhynchus mykiss) when compared to synthetic astaxanthin. </w:t>
      </w:r>
      <w:proofErr w:type="spellStart"/>
      <w:r>
        <w:rPr>
          <w:i/>
          <w:iCs/>
        </w:rPr>
        <w:t>Aquac</w:t>
      </w:r>
      <w:proofErr w:type="spellEnd"/>
      <w:r>
        <w:rPr>
          <w:i/>
          <w:iCs/>
        </w:rPr>
        <w:t>. Res.</w:t>
      </w:r>
      <w:r>
        <w:t xml:space="preserve"> </w:t>
      </w:r>
      <w:r>
        <w:rPr>
          <w:b/>
          <w:bCs/>
        </w:rPr>
        <w:t>53</w:t>
      </w:r>
      <w:r>
        <w:t>, 2408–2419 (2022).</w:t>
      </w:r>
    </w:p>
    <w:p w14:paraId="0267C86E" w14:textId="77777777" w:rsidR="002D38F0" w:rsidRDefault="002D38F0" w:rsidP="002D38F0">
      <w:pPr>
        <w:pStyle w:val="Bibliography"/>
      </w:pPr>
      <w:r>
        <w:t>299.</w:t>
      </w:r>
      <w:r>
        <w:tab/>
        <w:t xml:space="preserve">Øverland, M., Karlsson, A., </w:t>
      </w:r>
      <w:proofErr w:type="spellStart"/>
      <w:r>
        <w:t>Mydland</w:t>
      </w:r>
      <w:proofErr w:type="spellEnd"/>
      <w:r>
        <w:t xml:space="preserve">, L. T., </w:t>
      </w:r>
      <w:proofErr w:type="spellStart"/>
      <w:r>
        <w:t>Romarheim</w:t>
      </w:r>
      <w:proofErr w:type="spellEnd"/>
      <w:r>
        <w:t xml:space="preserve">, O. H. &amp; </w:t>
      </w:r>
      <w:proofErr w:type="spellStart"/>
      <w:r>
        <w:t>Skrede</w:t>
      </w:r>
      <w:proofErr w:type="spellEnd"/>
      <w:r>
        <w:t xml:space="preserve">, A. Evaluation of Candida utilis, </w:t>
      </w:r>
      <w:proofErr w:type="spellStart"/>
      <w:r>
        <w:t>Kluyveromyces</w:t>
      </w:r>
      <w:proofErr w:type="spellEnd"/>
      <w:r>
        <w:t xml:space="preserve"> </w:t>
      </w:r>
      <w:proofErr w:type="spellStart"/>
      <w:r>
        <w:t>marxianus</w:t>
      </w:r>
      <w:proofErr w:type="spellEnd"/>
      <w:r>
        <w:t xml:space="preserve"> and Saccharomyces cerevisiae yeasts as protein sources in diets for Atlantic salmon (Salmo </w:t>
      </w:r>
      <w:proofErr w:type="spellStart"/>
      <w:r>
        <w:t>salar</w:t>
      </w:r>
      <w:proofErr w:type="spellEnd"/>
      <w:r>
        <w:t xml:space="preserve">). </w:t>
      </w:r>
      <w:r>
        <w:rPr>
          <w:i/>
          <w:iCs/>
        </w:rPr>
        <w:t>Aquaculture</w:t>
      </w:r>
      <w:r>
        <w:t xml:space="preserve"> </w:t>
      </w:r>
      <w:r>
        <w:rPr>
          <w:b/>
          <w:bCs/>
        </w:rPr>
        <w:t>402–403</w:t>
      </w:r>
      <w:r>
        <w:t>, 1–7 (2013).</w:t>
      </w:r>
    </w:p>
    <w:p w14:paraId="6280E752" w14:textId="77777777" w:rsidR="002D38F0" w:rsidRDefault="002D38F0" w:rsidP="002D38F0">
      <w:pPr>
        <w:pStyle w:val="Bibliography"/>
      </w:pPr>
      <w:r>
        <w:t>300.</w:t>
      </w:r>
      <w:r>
        <w:tab/>
        <w:t xml:space="preserve">Meena, D. K. </w:t>
      </w:r>
      <w:r>
        <w:rPr>
          <w:i/>
          <w:iCs/>
        </w:rPr>
        <w:t>et al.</w:t>
      </w:r>
      <w:r>
        <w:t xml:space="preserve"> Beta-glucan: an ideal immunostimulant in aquaculture (a review). </w:t>
      </w:r>
      <w:r>
        <w:rPr>
          <w:i/>
          <w:iCs/>
        </w:rPr>
        <w:t xml:space="preserve">Fish Physiol. </w:t>
      </w:r>
      <w:proofErr w:type="spellStart"/>
      <w:r>
        <w:rPr>
          <w:i/>
          <w:iCs/>
        </w:rPr>
        <w:t>Biochem</w:t>
      </w:r>
      <w:proofErr w:type="spellEnd"/>
      <w:r>
        <w:rPr>
          <w:i/>
          <w:iCs/>
        </w:rPr>
        <w:t>.</w:t>
      </w:r>
      <w:r>
        <w:t xml:space="preserve"> </w:t>
      </w:r>
      <w:r>
        <w:rPr>
          <w:b/>
          <w:bCs/>
        </w:rPr>
        <w:t>39</w:t>
      </w:r>
      <w:r>
        <w:t>, 431–457 (2013).</w:t>
      </w:r>
    </w:p>
    <w:p w14:paraId="063719F3" w14:textId="77777777" w:rsidR="002D38F0" w:rsidRDefault="002D38F0" w:rsidP="002D38F0">
      <w:pPr>
        <w:pStyle w:val="Bibliography"/>
      </w:pPr>
      <w:r>
        <w:t>301.</w:t>
      </w:r>
      <w:r>
        <w:tab/>
      </w:r>
      <w:proofErr w:type="spellStart"/>
      <w:r>
        <w:t>Shurson</w:t>
      </w:r>
      <w:proofErr w:type="spellEnd"/>
      <w:r>
        <w:t xml:space="preserve">, G. C. Yeast and yeast derivatives in feed additives and ingredients: Sources, characteristics, animal responses, and quantification methods. </w:t>
      </w:r>
      <w:r>
        <w:rPr>
          <w:i/>
          <w:iCs/>
        </w:rPr>
        <w:t>Anim. Feed Sci. Technol.</w:t>
      </w:r>
      <w:r>
        <w:t xml:space="preserve"> </w:t>
      </w:r>
      <w:r>
        <w:rPr>
          <w:b/>
          <w:bCs/>
        </w:rPr>
        <w:t>235</w:t>
      </w:r>
      <w:r>
        <w:t>, 60–76 (2018).</w:t>
      </w:r>
    </w:p>
    <w:p w14:paraId="0AEB2BA3" w14:textId="77777777" w:rsidR="002D38F0" w:rsidRDefault="002D38F0" w:rsidP="002D38F0">
      <w:pPr>
        <w:pStyle w:val="Bibliography"/>
      </w:pPr>
      <w:r>
        <w:t>302.</w:t>
      </w:r>
      <w:r>
        <w:tab/>
        <w:t xml:space="preserve">Mac </w:t>
      </w:r>
      <w:proofErr w:type="spellStart"/>
      <w:r>
        <w:t>Monagail</w:t>
      </w:r>
      <w:proofErr w:type="spellEnd"/>
      <w:r>
        <w:t xml:space="preserve">, M., Cornish, L., Morrison, L., Araújo, R. &amp; Critchley, A. T. Sustainable harvesting of wild seaweed resources. </w:t>
      </w:r>
      <w:r>
        <w:rPr>
          <w:i/>
          <w:iCs/>
        </w:rPr>
        <w:t xml:space="preserve">Eur. J. </w:t>
      </w:r>
      <w:proofErr w:type="spellStart"/>
      <w:r>
        <w:rPr>
          <w:i/>
          <w:iCs/>
        </w:rPr>
        <w:t>Phycol</w:t>
      </w:r>
      <w:proofErr w:type="spellEnd"/>
      <w:r>
        <w:rPr>
          <w:i/>
          <w:iCs/>
        </w:rPr>
        <w:t>.</w:t>
      </w:r>
      <w:r>
        <w:t xml:space="preserve"> </w:t>
      </w:r>
      <w:r>
        <w:rPr>
          <w:b/>
          <w:bCs/>
        </w:rPr>
        <w:t>52</w:t>
      </w:r>
      <w:r>
        <w:t>, 371–390 (2017).</w:t>
      </w:r>
    </w:p>
    <w:p w14:paraId="7AF5D411" w14:textId="77777777" w:rsidR="002D38F0" w:rsidRDefault="002D38F0" w:rsidP="002D38F0">
      <w:pPr>
        <w:pStyle w:val="Bibliography"/>
      </w:pPr>
      <w:r>
        <w:t>303.</w:t>
      </w:r>
      <w:r>
        <w:tab/>
        <w:t xml:space="preserve">Packer, M. A., Harris, G. C. &amp; Adams, S. L. Food and Feed Applications of Algae. in </w:t>
      </w:r>
      <w:r>
        <w:rPr>
          <w:i/>
          <w:iCs/>
        </w:rPr>
        <w:t>Algae Biotechnology</w:t>
      </w:r>
      <w:r>
        <w:t xml:space="preserve"> (eds. </w:t>
      </w:r>
      <w:proofErr w:type="spellStart"/>
      <w:r>
        <w:t>Bux</w:t>
      </w:r>
      <w:proofErr w:type="spellEnd"/>
      <w:r>
        <w:t xml:space="preserve">, F. &amp; </w:t>
      </w:r>
      <w:proofErr w:type="spellStart"/>
      <w:r>
        <w:t>Chisti</w:t>
      </w:r>
      <w:proofErr w:type="spellEnd"/>
      <w:r>
        <w:t>, Y.) 217–247 (Springer International Publishing, 2016). doi:10.1007/978-3-319-12334-9_12.</w:t>
      </w:r>
    </w:p>
    <w:p w14:paraId="43D597CC" w14:textId="77777777" w:rsidR="002D38F0" w:rsidRDefault="002D38F0" w:rsidP="002D38F0">
      <w:pPr>
        <w:pStyle w:val="Bibliography"/>
      </w:pPr>
      <w:r>
        <w:t>304.</w:t>
      </w:r>
      <w:r>
        <w:tab/>
      </w:r>
      <w:proofErr w:type="spellStart"/>
      <w:r>
        <w:t>Guiry</w:t>
      </w:r>
      <w:proofErr w:type="spellEnd"/>
      <w:r>
        <w:t xml:space="preserve">, M. D. &amp; </w:t>
      </w:r>
      <w:proofErr w:type="spellStart"/>
      <w:r>
        <w:t>Guiry</w:t>
      </w:r>
      <w:proofErr w:type="spellEnd"/>
      <w:r>
        <w:t xml:space="preserve">, G. M. </w:t>
      </w:r>
      <w:proofErr w:type="spellStart"/>
      <w:r>
        <w:t>AlgaeBase</w:t>
      </w:r>
      <w:proofErr w:type="spellEnd"/>
      <w:r>
        <w:t>. World-wide electronic publication, National university of Ireland, Galway. (2021).</w:t>
      </w:r>
    </w:p>
    <w:p w14:paraId="742D3E41" w14:textId="77777777" w:rsidR="002D38F0" w:rsidRDefault="002D38F0" w:rsidP="002D38F0">
      <w:pPr>
        <w:pStyle w:val="Bibliography"/>
      </w:pPr>
      <w:r>
        <w:t>305.</w:t>
      </w:r>
      <w:r>
        <w:tab/>
        <w:t xml:space="preserve">Hu, Z.-M. </w:t>
      </w:r>
      <w:r>
        <w:rPr>
          <w:i/>
          <w:iCs/>
        </w:rPr>
        <w:t>et al.</w:t>
      </w:r>
      <w:r>
        <w:t xml:space="preserve"> Kelp aquaculture in China: a </w:t>
      </w:r>
      <w:proofErr w:type="gramStart"/>
      <w:r>
        <w:t>retrospective and future prospects</w:t>
      </w:r>
      <w:proofErr w:type="gramEnd"/>
      <w:r>
        <w:t xml:space="preserve">. </w:t>
      </w:r>
      <w:r>
        <w:rPr>
          <w:i/>
          <w:iCs/>
        </w:rPr>
        <w:t xml:space="preserve">Rev. </w:t>
      </w:r>
      <w:proofErr w:type="spellStart"/>
      <w:r>
        <w:rPr>
          <w:i/>
          <w:iCs/>
        </w:rPr>
        <w:t>Aquac</w:t>
      </w:r>
      <w:proofErr w:type="spellEnd"/>
      <w:r>
        <w:rPr>
          <w:i/>
          <w:iCs/>
        </w:rPr>
        <w:t>.</w:t>
      </w:r>
      <w:r>
        <w:t xml:space="preserve"> </w:t>
      </w:r>
      <w:r>
        <w:rPr>
          <w:b/>
          <w:bCs/>
        </w:rPr>
        <w:t>13</w:t>
      </w:r>
      <w:r>
        <w:t>, 1324–1351 (2021).</w:t>
      </w:r>
    </w:p>
    <w:p w14:paraId="06BA38F4" w14:textId="77777777" w:rsidR="002D38F0" w:rsidRDefault="002D38F0" w:rsidP="002D38F0">
      <w:pPr>
        <w:pStyle w:val="Bibliography"/>
      </w:pPr>
      <w:r>
        <w:t>306.</w:t>
      </w:r>
      <w:r>
        <w:tab/>
        <w:t xml:space="preserve">Valero, M. </w:t>
      </w:r>
      <w:r>
        <w:rPr>
          <w:i/>
          <w:iCs/>
        </w:rPr>
        <w:t>et al.</w:t>
      </w:r>
      <w:r>
        <w:t xml:space="preserve"> Perspectives on domestication research for sustainable seaweed aquaculture. </w:t>
      </w:r>
      <w:proofErr w:type="spellStart"/>
      <w:r>
        <w:rPr>
          <w:i/>
          <w:iCs/>
        </w:rPr>
        <w:t>Perspect</w:t>
      </w:r>
      <w:proofErr w:type="spellEnd"/>
      <w:r>
        <w:rPr>
          <w:i/>
          <w:iCs/>
        </w:rPr>
        <w:t xml:space="preserve">. </w:t>
      </w:r>
      <w:proofErr w:type="spellStart"/>
      <w:r>
        <w:rPr>
          <w:i/>
          <w:iCs/>
        </w:rPr>
        <w:t>Phycol</w:t>
      </w:r>
      <w:proofErr w:type="spellEnd"/>
      <w:r>
        <w:rPr>
          <w:i/>
          <w:iCs/>
        </w:rPr>
        <w:t>.</w:t>
      </w:r>
      <w:r>
        <w:t xml:space="preserve"> </w:t>
      </w:r>
      <w:r>
        <w:rPr>
          <w:b/>
          <w:bCs/>
        </w:rPr>
        <w:t>4</w:t>
      </w:r>
      <w:r>
        <w:t>, 33–46 (2017).</w:t>
      </w:r>
    </w:p>
    <w:p w14:paraId="3127AD80" w14:textId="77777777" w:rsidR="002D38F0" w:rsidRDefault="002D38F0" w:rsidP="002D38F0">
      <w:pPr>
        <w:pStyle w:val="Bibliography"/>
      </w:pPr>
      <w:r>
        <w:t>307.</w:t>
      </w:r>
      <w:r>
        <w:tab/>
        <w:t xml:space="preserve">Ward, G. M. </w:t>
      </w:r>
      <w:r>
        <w:rPr>
          <w:i/>
          <w:iCs/>
        </w:rPr>
        <w:t>et al.</w:t>
      </w:r>
      <w:r>
        <w:t xml:space="preserve"> A review of reported seaweed diseases and pests in aquaculture in Asia. </w:t>
      </w:r>
      <w:r>
        <w:rPr>
          <w:i/>
          <w:iCs/>
        </w:rPr>
        <w:t xml:space="preserve">J. World </w:t>
      </w:r>
      <w:proofErr w:type="spellStart"/>
      <w:r>
        <w:rPr>
          <w:i/>
          <w:iCs/>
        </w:rPr>
        <w:t>Aquac</w:t>
      </w:r>
      <w:proofErr w:type="spellEnd"/>
      <w:r>
        <w:rPr>
          <w:i/>
          <w:iCs/>
        </w:rPr>
        <w:t>. Soc.</w:t>
      </w:r>
      <w:r>
        <w:t xml:space="preserve"> </w:t>
      </w:r>
      <w:r>
        <w:rPr>
          <w:b/>
          <w:bCs/>
        </w:rPr>
        <w:t>51</w:t>
      </w:r>
      <w:r>
        <w:t>, 815–828 (2020).</w:t>
      </w:r>
    </w:p>
    <w:p w14:paraId="5A37DE91" w14:textId="77777777" w:rsidR="002D38F0" w:rsidRDefault="002D38F0" w:rsidP="002D38F0">
      <w:pPr>
        <w:pStyle w:val="Bibliography"/>
      </w:pPr>
      <w:r>
        <w:t>308.</w:t>
      </w:r>
      <w:r>
        <w:tab/>
        <w:t xml:space="preserve">Kim, G. H., Moon, K.-H., Kim, J.-Y., Shim, J. &amp; </w:t>
      </w:r>
      <w:proofErr w:type="spellStart"/>
      <w:r>
        <w:t>Klochkova</w:t>
      </w:r>
      <w:proofErr w:type="spellEnd"/>
      <w:r>
        <w:t xml:space="preserve">, T. A. A revaluation of algal diseases in Korean </w:t>
      </w:r>
      <w:proofErr w:type="spellStart"/>
      <w:r>
        <w:t>Pyropia</w:t>
      </w:r>
      <w:proofErr w:type="spellEnd"/>
      <w:r>
        <w:t xml:space="preserve"> (</w:t>
      </w:r>
      <w:proofErr w:type="spellStart"/>
      <w:r>
        <w:t>Porphyra</w:t>
      </w:r>
      <w:proofErr w:type="spellEnd"/>
      <w:r>
        <w:t xml:space="preserve">) sea farms and their economic impact. </w:t>
      </w:r>
      <w:r>
        <w:rPr>
          <w:i/>
          <w:iCs/>
        </w:rPr>
        <w:t>ALGAE</w:t>
      </w:r>
      <w:r>
        <w:t xml:space="preserve"> </w:t>
      </w:r>
      <w:r>
        <w:rPr>
          <w:b/>
          <w:bCs/>
        </w:rPr>
        <w:t>29</w:t>
      </w:r>
      <w:r>
        <w:t>, 249–265 (2014).</w:t>
      </w:r>
    </w:p>
    <w:p w14:paraId="2C623D10" w14:textId="77777777" w:rsidR="002D38F0" w:rsidRDefault="002D38F0" w:rsidP="002D38F0">
      <w:pPr>
        <w:pStyle w:val="Bibliography"/>
      </w:pPr>
      <w:r>
        <w:t>309.</w:t>
      </w:r>
      <w:r>
        <w:tab/>
      </w:r>
      <w:proofErr w:type="spellStart"/>
      <w:r>
        <w:t>Tsiresy</w:t>
      </w:r>
      <w:proofErr w:type="spellEnd"/>
      <w:r>
        <w:t xml:space="preserve">, G. </w:t>
      </w:r>
      <w:r>
        <w:rPr>
          <w:i/>
          <w:iCs/>
        </w:rPr>
        <w:t>et al.</w:t>
      </w:r>
      <w:r>
        <w:t xml:space="preserve"> Phenology of farmed seaweed </w:t>
      </w:r>
      <w:proofErr w:type="spellStart"/>
      <w:r>
        <w:t>Kappaphycus</w:t>
      </w:r>
      <w:proofErr w:type="spellEnd"/>
      <w:r>
        <w:t xml:space="preserve"> </w:t>
      </w:r>
      <w:proofErr w:type="spellStart"/>
      <w:r>
        <w:t>alvarezii</w:t>
      </w:r>
      <w:proofErr w:type="spellEnd"/>
      <w:r>
        <w:t xml:space="preserve"> infestation by the parasitic epiphyte </w:t>
      </w:r>
      <w:proofErr w:type="spellStart"/>
      <w:r>
        <w:t>Polysiphonia</w:t>
      </w:r>
      <w:proofErr w:type="spellEnd"/>
      <w:r>
        <w:t xml:space="preserve"> sp. in Madagascar. </w:t>
      </w:r>
      <w:r>
        <w:rPr>
          <w:i/>
          <w:iCs/>
        </w:rPr>
        <w:t xml:space="preserve">J. Appl. </w:t>
      </w:r>
      <w:proofErr w:type="spellStart"/>
      <w:r>
        <w:rPr>
          <w:i/>
          <w:iCs/>
        </w:rPr>
        <w:t>Phycol</w:t>
      </w:r>
      <w:proofErr w:type="spellEnd"/>
      <w:r>
        <w:rPr>
          <w:i/>
          <w:iCs/>
        </w:rPr>
        <w:t>.</w:t>
      </w:r>
      <w:r>
        <w:t xml:space="preserve"> </w:t>
      </w:r>
      <w:r>
        <w:rPr>
          <w:b/>
          <w:bCs/>
        </w:rPr>
        <w:t>28</w:t>
      </w:r>
      <w:r>
        <w:t>, 2903–2914 (2016).</w:t>
      </w:r>
    </w:p>
    <w:p w14:paraId="4FCD673A" w14:textId="77777777" w:rsidR="002D38F0" w:rsidRDefault="002D38F0" w:rsidP="002D38F0">
      <w:pPr>
        <w:pStyle w:val="Bibliography"/>
      </w:pPr>
      <w:r>
        <w:t>310.</w:t>
      </w:r>
      <w:r>
        <w:tab/>
        <w:t xml:space="preserve">Xiao, X. </w:t>
      </w:r>
      <w:r>
        <w:rPr>
          <w:i/>
          <w:iCs/>
        </w:rPr>
        <w:t>et al.</w:t>
      </w:r>
      <w:r>
        <w:t xml:space="preserve"> Nutrient removal from Chinese coastal waters by large-scale seaweed aquaculture. </w:t>
      </w:r>
      <w:r>
        <w:rPr>
          <w:i/>
          <w:iCs/>
        </w:rPr>
        <w:t>Sci. Rep.</w:t>
      </w:r>
      <w:r>
        <w:t xml:space="preserve"> </w:t>
      </w:r>
      <w:r>
        <w:rPr>
          <w:b/>
          <w:bCs/>
        </w:rPr>
        <w:t>7</w:t>
      </w:r>
      <w:r>
        <w:t>, 46613 (2017).</w:t>
      </w:r>
    </w:p>
    <w:p w14:paraId="15FE02CD" w14:textId="77777777" w:rsidR="002D38F0" w:rsidRDefault="002D38F0" w:rsidP="002D38F0">
      <w:pPr>
        <w:pStyle w:val="Bibliography"/>
      </w:pPr>
      <w:r>
        <w:t>311.</w:t>
      </w:r>
      <w:r>
        <w:tab/>
      </w:r>
      <w:proofErr w:type="spellStart"/>
      <w:r>
        <w:t>Neveux</w:t>
      </w:r>
      <w:proofErr w:type="spellEnd"/>
      <w:r>
        <w:t xml:space="preserve">, N., Bolton, J. J., Bruhn, A., Roberts, D. A. &amp; Ras, M. The bioremediation potential of seaweeds: recycling nitrogen, phosphorus, and other waste products. in </w:t>
      </w:r>
      <w:r>
        <w:rPr>
          <w:i/>
          <w:iCs/>
        </w:rPr>
        <w:t>Blue Biotechnology</w:t>
      </w:r>
      <w:r>
        <w:t xml:space="preserve"> 217–239 (Wiley-VCH Verlag GmbH &amp; Co. </w:t>
      </w:r>
      <w:proofErr w:type="spellStart"/>
      <w:r>
        <w:t>KGaA</w:t>
      </w:r>
      <w:proofErr w:type="spellEnd"/>
      <w:r>
        <w:t xml:space="preserve">, 2018). </w:t>
      </w:r>
      <w:proofErr w:type="gramStart"/>
      <w:r>
        <w:t>doi:10.1002/9783527801718.ch7</w:t>
      </w:r>
      <w:proofErr w:type="gramEnd"/>
      <w:r>
        <w:t>.</w:t>
      </w:r>
    </w:p>
    <w:p w14:paraId="4CBE2712" w14:textId="77777777" w:rsidR="002D38F0" w:rsidRDefault="002D38F0" w:rsidP="002D38F0">
      <w:pPr>
        <w:pStyle w:val="Bibliography"/>
      </w:pPr>
      <w:r>
        <w:t>312.</w:t>
      </w:r>
      <w:r>
        <w:tab/>
        <w:t xml:space="preserve">Chopin, T. &amp; </w:t>
      </w:r>
      <w:proofErr w:type="spellStart"/>
      <w:r>
        <w:t>Tacon</w:t>
      </w:r>
      <w:proofErr w:type="spellEnd"/>
      <w:r>
        <w:t xml:space="preserve">, A. G. J. Importance of Seaweeds and Extractive Species in Global Aquaculture Production. </w:t>
      </w:r>
      <w:r>
        <w:rPr>
          <w:i/>
          <w:iCs/>
        </w:rPr>
        <w:t xml:space="preserve">Rev. Fish. Sci. </w:t>
      </w:r>
      <w:proofErr w:type="spellStart"/>
      <w:r>
        <w:rPr>
          <w:i/>
          <w:iCs/>
        </w:rPr>
        <w:t>Aquac</w:t>
      </w:r>
      <w:proofErr w:type="spellEnd"/>
      <w:r>
        <w:rPr>
          <w:i/>
          <w:iCs/>
        </w:rPr>
        <w:t>.</w:t>
      </w:r>
      <w:r>
        <w:t xml:space="preserve"> </w:t>
      </w:r>
      <w:r>
        <w:rPr>
          <w:b/>
          <w:bCs/>
        </w:rPr>
        <w:t>29</w:t>
      </w:r>
      <w:r>
        <w:t>, 139–148 (2021).</w:t>
      </w:r>
    </w:p>
    <w:p w14:paraId="35EDCB03" w14:textId="77777777" w:rsidR="002D38F0" w:rsidRDefault="002D38F0" w:rsidP="002D38F0">
      <w:pPr>
        <w:pStyle w:val="Bibliography"/>
      </w:pPr>
      <w:r>
        <w:t>313.</w:t>
      </w:r>
      <w:r>
        <w:tab/>
      </w:r>
      <w:proofErr w:type="spellStart"/>
      <w:r>
        <w:t>Sickander</w:t>
      </w:r>
      <w:proofErr w:type="spellEnd"/>
      <w:r>
        <w:t xml:space="preserve">, O. &amp; Filgueira, R. Factors affecting IMTA (integrated multi-trophic aquaculture) implementation on Atlantic Salmon (Salmo </w:t>
      </w:r>
      <w:proofErr w:type="spellStart"/>
      <w:r>
        <w:t>salar</w:t>
      </w:r>
      <w:proofErr w:type="spellEnd"/>
      <w:r>
        <w:t xml:space="preserve">) farms. </w:t>
      </w:r>
      <w:r>
        <w:rPr>
          <w:i/>
          <w:iCs/>
        </w:rPr>
        <w:t>Aquaculture</w:t>
      </w:r>
      <w:r>
        <w:t xml:space="preserve"> </w:t>
      </w:r>
      <w:r>
        <w:rPr>
          <w:b/>
          <w:bCs/>
        </w:rPr>
        <w:t>561</w:t>
      </w:r>
      <w:r>
        <w:t>, 738716 (2022).</w:t>
      </w:r>
    </w:p>
    <w:p w14:paraId="7E91F406" w14:textId="77777777" w:rsidR="002D38F0" w:rsidRDefault="002D38F0" w:rsidP="002D38F0">
      <w:pPr>
        <w:pStyle w:val="Bibliography"/>
      </w:pPr>
      <w:r>
        <w:t>314.</w:t>
      </w:r>
      <w:r>
        <w:tab/>
        <w:t xml:space="preserve">Duarte, C. M., Wu, J., Xiao, X., Bruhn, A. &amp; Krause-Jensen, D. Can seaweed farming play a role in climate change mitigation and adaptation? </w:t>
      </w:r>
      <w:r>
        <w:rPr>
          <w:i/>
          <w:iCs/>
        </w:rPr>
        <w:t>Front. Mar. Sci.</w:t>
      </w:r>
      <w:r>
        <w:t xml:space="preserve"> </w:t>
      </w:r>
      <w:r>
        <w:rPr>
          <w:b/>
          <w:bCs/>
        </w:rPr>
        <w:t>4</w:t>
      </w:r>
      <w:r>
        <w:t>, (2017).</w:t>
      </w:r>
    </w:p>
    <w:p w14:paraId="404B8463" w14:textId="77777777" w:rsidR="002D38F0" w:rsidRDefault="002D38F0" w:rsidP="002D38F0">
      <w:pPr>
        <w:pStyle w:val="Bibliography"/>
      </w:pPr>
      <w:r>
        <w:t>315.</w:t>
      </w:r>
      <w:r>
        <w:tab/>
        <w:t xml:space="preserve">Thomas, J.-B. E. </w:t>
      </w:r>
      <w:r>
        <w:rPr>
          <w:i/>
          <w:iCs/>
        </w:rPr>
        <w:t>et al.</w:t>
      </w:r>
      <w:r>
        <w:t xml:space="preserve"> A comparative environmental life cycle assessment of hatchery, cultivation, and preservation of the kelp Saccharina </w:t>
      </w:r>
      <w:proofErr w:type="spellStart"/>
      <w:r>
        <w:t>latissima</w:t>
      </w:r>
      <w:proofErr w:type="spellEnd"/>
      <w:r>
        <w:t xml:space="preserve">. </w:t>
      </w:r>
      <w:r>
        <w:rPr>
          <w:i/>
          <w:iCs/>
        </w:rPr>
        <w:t>ICES J. Mar. Sci.</w:t>
      </w:r>
      <w:r>
        <w:t xml:space="preserve"> </w:t>
      </w:r>
      <w:r>
        <w:rPr>
          <w:b/>
          <w:bCs/>
        </w:rPr>
        <w:t>78</w:t>
      </w:r>
      <w:r>
        <w:t>, 451–467 (2021).</w:t>
      </w:r>
    </w:p>
    <w:p w14:paraId="2C22ADB2" w14:textId="77777777" w:rsidR="002D38F0" w:rsidRDefault="002D38F0" w:rsidP="002D38F0">
      <w:pPr>
        <w:pStyle w:val="Bibliography"/>
      </w:pPr>
      <w:r>
        <w:t>316.</w:t>
      </w:r>
      <w:r>
        <w:tab/>
      </w:r>
      <w:proofErr w:type="spellStart"/>
      <w:r>
        <w:t>Seghetta</w:t>
      </w:r>
      <w:proofErr w:type="spellEnd"/>
      <w:r>
        <w:t xml:space="preserve">, M., Hou, X., </w:t>
      </w:r>
      <w:proofErr w:type="spellStart"/>
      <w:r>
        <w:t>Bastianoni</w:t>
      </w:r>
      <w:proofErr w:type="spellEnd"/>
      <w:r>
        <w:t xml:space="preserve">, S., </w:t>
      </w:r>
      <w:proofErr w:type="spellStart"/>
      <w:r>
        <w:t>Bjerre</w:t>
      </w:r>
      <w:proofErr w:type="spellEnd"/>
      <w:r>
        <w:t xml:space="preserve">, A.-B. &amp; Thomsen, M. Life cycle assessment of macroalgal biorefinery </w:t>
      </w:r>
      <w:proofErr w:type="gramStart"/>
      <w:r>
        <w:t>for the production of</w:t>
      </w:r>
      <w:proofErr w:type="gramEnd"/>
      <w:r>
        <w:t xml:space="preserve"> ethanol, proteins and fertilizers – A step towards a regenerative bioeconomy. </w:t>
      </w:r>
      <w:r>
        <w:rPr>
          <w:i/>
          <w:iCs/>
        </w:rPr>
        <w:t>J. Clean. Prod.</w:t>
      </w:r>
      <w:r>
        <w:t xml:space="preserve"> </w:t>
      </w:r>
      <w:r>
        <w:rPr>
          <w:b/>
          <w:bCs/>
        </w:rPr>
        <w:t>137</w:t>
      </w:r>
      <w:r>
        <w:t>, 1158–1169 (2016).</w:t>
      </w:r>
    </w:p>
    <w:p w14:paraId="496E5670" w14:textId="77777777" w:rsidR="002D38F0" w:rsidRDefault="002D38F0" w:rsidP="002D38F0">
      <w:pPr>
        <w:pStyle w:val="Bibliography"/>
      </w:pPr>
      <w:r>
        <w:t>317.</w:t>
      </w:r>
      <w:r>
        <w:tab/>
        <w:t xml:space="preserve">Ratcliff, J. J. </w:t>
      </w:r>
      <w:r>
        <w:rPr>
          <w:i/>
          <w:iCs/>
        </w:rPr>
        <w:t>et al.</w:t>
      </w:r>
      <w:r>
        <w:t xml:space="preserve"> Metal content of kelp (Laminaria digitata) co-cultivated with Atlantic salmon in an Integrated Multi-Trophic Aquaculture system. </w:t>
      </w:r>
      <w:r>
        <w:rPr>
          <w:i/>
          <w:iCs/>
        </w:rPr>
        <w:t>Aquaculture</w:t>
      </w:r>
      <w:r>
        <w:t xml:space="preserve"> </w:t>
      </w:r>
      <w:r>
        <w:rPr>
          <w:b/>
          <w:bCs/>
        </w:rPr>
        <w:t>450</w:t>
      </w:r>
      <w:r>
        <w:t>, 234–243 (2016).</w:t>
      </w:r>
    </w:p>
    <w:p w14:paraId="28F6D92F" w14:textId="77777777" w:rsidR="002D38F0" w:rsidRDefault="002D38F0" w:rsidP="002D38F0">
      <w:pPr>
        <w:pStyle w:val="Bibliography"/>
      </w:pPr>
      <w:r>
        <w:t>318.</w:t>
      </w:r>
      <w:r>
        <w:tab/>
        <w:t xml:space="preserve">Rose, M. </w:t>
      </w:r>
      <w:r>
        <w:rPr>
          <w:i/>
          <w:iCs/>
        </w:rPr>
        <w:t>et al.</w:t>
      </w:r>
      <w:r>
        <w:t xml:space="preserve"> Arsenic in seaweed—Forms, </w:t>
      </w:r>
      <w:proofErr w:type="gramStart"/>
      <w:r>
        <w:t>concentration</w:t>
      </w:r>
      <w:proofErr w:type="gramEnd"/>
      <w:r>
        <w:t xml:space="preserve"> and dietary exposure. </w:t>
      </w:r>
      <w:r>
        <w:rPr>
          <w:i/>
          <w:iCs/>
        </w:rPr>
        <w:t xml:space="preserve">Food Chem. </w:t>
      </w:r>
      <w:proofErr w:type="spellStart"/>
      <w:r>
        <w:rPr>
          <w:i/>
          <w:iCs/>
        </w:rPr>
        <w:t>Toxicol</w:t>
      </w:r>
      <w:proofErr w:type="spellEnd"/>
      <w:r>
        <w:rPr>
          <w:i/>
          <w:iCs/>
        </w:rPr>
        <w:t>.</w:t>
      </w:r>
      <w:r>
        <w:t xml:space="preserve"> </w:t>
      </w:r>
      <w:r>
        <w:rPr>
          <w:b/>
          <w:bCs/>
        </w:rPr>
        <w:t>45</w:t>
      </w:r>
      <w:r>
        <w:t>, 1263–1267 (2007).</w:t>
      </w:r>
    </w:p>
    <w:p w14:paraId="20F6B964" w14:textId="77777777" w:rsidR="002D38F0" w:rsidRDefault="002D38F0" w:rsidP="002D38F0">
      <w:pPr>
        <w:pStyle w:val="Bibliography"/>
      </w:pPr>
      <w:r>
        <w:t>319.</w:t>
      </w:r>
      <w:r>
        <w:tab/>
        <w:t xml:space="preserve">Ferreira, M. </w:t>
      </w:r>
      <w:r>
        <w:rPr>
          <w:i/>
          <w:iCs/>
        </w:rPr>
        <w:t>et al.</w:t>
      </w:r>
      <w:r>
        <w:t xml:space="preserve"> Diets supplemented with Saccharina </w:t>
      </w:r>
      <w:proofErr w:type="spellStart"/>
      <w:r>
        <w:t>latissima</w:t>
      </w:r>
      <w:proofErr w:type="spellEnd"/>
      <w:r>
        <w:t xml:space="preserve"> influence the expression of genes related to lipid metabolism and oxidative stress modulating rainbow trout (Oncorhynchus mykiss) fillet composition. </w:t>
      </w:r>
      <w:r>
        <w:rPr>
          <w:i/>
          <w:iCs/>
        </w:rPr>
        <w:t xml:space="preserve">Food Chem. </w:t>
      </w:r>
      <w:proofErr w:type="spellStart"/>
      <w:r>
        <w:rPr>
          <w:i/>
          <w:iCs/>
        </w:rPr>
        <w:t>Toxicol</w:t>
      </w:r>
      <w:proofErr w:type="spellEnd"/>
      <w:r>
        <w:rPr>
          <w:i/>
          <w:iCs/>
        </w:rPr>
        <w:t>.</w:t>
      </w:r>
      <w:r>
        <w:t xml:space="preserve"> </w:t>
      </w:r>
      <w:r>
        <w:rPr>
          <w:b/>
          <w:bCs/>
        </w:rPr>
        <w:t>140</w:t>
      </w:r>
      <w:r>
        <w:t>, 111332 (2020).</w:t>
      </w:r>
    </w:p>
    <w:p w14:paraId="3432F896" w14:textId="77777777" w:rsidR="002D38F0" w:rsidRDefault="002D38F0" w:rsidP="002D38F0">
      <w:pPr>
        <w:pStyle w:val="Bibliography"/>
      </w:pPr>
      <w:r>
        <w:t>320.</w:t>
      </w:r>
      <w:r>
        <w:tab/>
        <w:t xml:space="preserve">Wan, A. H. L., Davies, S. J., Soler-Vila, A., Fitzgerald, R. &amp; Johnson, M. P. Macroalgae as a sustainable aquafeed ingredient. </w:t>
      </w:r>
      <w:r>
        <w:rPr>
          <w:i/>
          <w:iCs/>
        </w:rPr>
        <w:t xml:space="preserve">Rev. </w:t>
      </w:r>
      <w:proofErr w:type="spellStart"/>
      <w:r>
        <w:rPr>
          <w:i/>
          <w:iCs/>
        </w:rPr>
        <w:t>Aquac</w:t>
      </w:r>
      <w:proofErr w:type="spellEnd"/>
      <w:r>
        <w:rPr>
          <w:i/>
          <w:iCs/>
        </w:rPr>
        <w:t>.</w:t>
      </w:r>
      <w:r>
        <w:t xml:space="preserve"> </w:t>
      </w:r>
      <w:r>
        <w:rPr>
          <w:b/>
          <w:bCs/>
        </w:rPr>
        <w:t>11</w:t>
      </w:r>
      <w:r>
        <w:t>, 458–492 (2019).</w:t>
      </w:r>
    </w:p>
    <w:p w14:paraId="2277625E" w14:textId="77777777" w:rsidR="002D38F0" w:rsidRDefault="002D38F0" w:rsidP="002D38F0">
      <w:pPr>
        <w:pStyle w:val="Bibliography"/>
      </w:pPr>
      <w:r>
        <w:t>321.</w:t>
      </w:r>
      <w:r>
        <w:tab/>
      </w:r>
      <w:proofErr w:type="spellStart"/>
      <w:r>
        <w:t>Emblemsvåg</w:t>
      </w:r>
      <w:proofErr w:type="spellEnd"/>
      <w:r>
        <w:t xml:space="preserve">, J. </w:t>
      </w:r>
      <w:r>
        <w:rPr>
          <w:i/>
          <w:iCs/>
        </w:rPr>
        <w:t>et al.</w:t>
      </w:r>
      <w:r>
        <w:t xml:space="preserve"> Strategic considerations for establishing a large-scale seaweed industry based on fish feed application: a Norwegian case study. </w:t>
      </w:r>
      <w:r>
        <w:rPr>
          <w:i/>
          <w:iCs/>
        </w:rPr>
        <w:t xml:space="preserve">J. Appl. </w:t>
      </w:r>
      <w:proofErr w:type="spellStart"/>
      <w:r>
        <w:rPr>
          <w:i/>
          <w:iCs/>
        </w:rPr>
        <w:t>Phycol</w:t>
      </w:r>
      <w:proofErr w:type="spellEnd"/>
      <w:r>
        <w:rPr>
          <w:i/>
          <w:iCs/>
        </w:rPr>
        <w:t>.</w:t>
      </w:r>
      <w:r>
        <w:t xml:space="preserve"> </w:t>
      </w:r>
      <w:r>
        <w:rPr>
          <w:b/>
          <w:bCs/>
        </w:rPr>
        <w:t>32</w:t>
      </w:r>
      <w:r>
        <w:t>, 4159–4169 (2020).</w:t>
      </w:r>
    </w:p>
    <w:p w14:paraId="59057BC0" w14:textId="77777777" w:rsidR="002D38F0" w:rsidRDefault="002D38F0" w:rsidP="002D38F0">
      <w:pPr>
        <w:pStyle w:val="Bibliography"/>
      </w:pPr>
      <w:r>
        <w:t>322.</w:t>
      </w:r>
      <w:r>
        <w:tab/>
        <w:t>Álvarez-</w:t>
      </w:r>
      <w:proofErr w:type="spellStart"/>
      <w:r>
        <w:t>Viñas</w:t>
      </w:r>
      <w:proofErr w:type="spellEnd"/>
      <w:r>
        <w:t xml:space="preserve">, M., </w:t>
      </w:r>
      <w:proofErr w:type="spellStart"/>
      <w:r>
        <w:t>Flórez</w:t>
      </w:r>
      <w:proofErr w:type="spellEnd"/>
      <w:r>
        <w:t xml:space="preserve">-Fernández, N., Torres, M. D. &amp; Domínguez, H. Successful approaches for a red seaweed biorefinery. </w:t>
      </w:r>
      <w:r>
        <w:rPr>
          <w:i/>
          <w:iCs/>
        </w:rPr>
        <w:t>Mar. Drugs</w:t>
      </w:r>
      <w:r>
        <w:t xml:space="preserve"> </w:t>
      </w:r>
      <w:r>
        <w:rPr>
          <w:b/>
          <w:bCs/>
        </w:rPr>
        <w:t>17</w:t>
      </w:r>
      <w:r>
        <w:t>, 620 (2019).</w:t>
      </w:r>
    </w:p>
    <w:p w14:paraId="42695927" w14:textId="77777777" w:rsidR="002D38F0" w:rsidRDefault="002D38F0" w:rsidP="002D38F0">
      <w:pPr>
        <w:pStyle w:val="Bibliography"/>
      </w:pPr>
      <w:r>
        <w:t>323.</w:t>
      </w:r>
      <w:r>
        <w:tab/>
      </w:r>
      <w:proofErr w:type="spellStart"/>
      <w:r>
        <w:t>Baghel</w:t>
      </w:r>
      <w:proofErr w:type="spellEnd"/>
      <w:r>
        <w:t xml:space="preserve">, R. S. </w:t>
      </w:r>
      <w:r>
        <w:rPr>
          <w:i/>
          <w:iCs/>
        </w:rPr>
        <w:t>et al.</w:t>
      </w:r>
      <w:r>
        <w:t xml:space="preserve"> Seaweed biorefinery: A sustainable process for </w:t>
      </w:r>
      <w:proofErr w:type="spellStart"/>
      <w:r>
        <w:t>valorising</w:t>
      </w:r>
      <w:proofErr w:type="spellEnd"/>
      <w:r>
        <w:t xml:space="preserve"> the biomass of brown seaweed. </w:t>
      </w:r>
      <w:r>
        <w:rPr>
          <w:i/>
          <w:iCs/>
        </w:rPr>
        <w:t>J. Clean. Prod.</w:t>
      </w:r>
      <w:r>
        <w:t xml:space="preserve"> </w:t>
      </w:r>
      <w:r>
        <w:rPr>
          <w:b/>
          <w:bCs/>
        </w:rPr>
        <w:t>263</w:t>
      </w:r>
      <w:r>
        <w:t>, 121359 (2020).</w:t>
      </w:r>
    </w:p>
    <w:p w14:paraId="5E8E164A" w14:textId="77777777" w:rsidR="002D38F0" w:rsidRDefault="002D38F0" w:rsidP="002D38F0">
      <w:pPr>
        <w:pStyle w:val="Bibliography"/>
      </w:pPr>
      <w:r>
        <w:t>324.</w:t>
      </w:r>
      <w:r>
        <w:tab/>
      </w:r>
      <w:proofErr w:type="spellStart"/>
      <w:r>
        <w:t>Thépot</w:t>
      </w:r>
      <w:proofErr w:type="spellEnd"/>
      <w:r>
        <w:t xml:space="preserve">, V., Campbell, A. H., </w:t>
      </w:r>
      <w:proofErr w:type="spellStart"/>
      <w:r>
        <w:t>Rimmer</w:t>
      </w:r>
      <w:proofErr w:type="spellEnd"/>
      <w:r>
        <w:t xml:space="preserve">, M. A. &amp; Paul, N. A. Meta-analysis of the use of seaweeds and their extracts as immunostimulants for fish: a systematic review. </w:t>
      </w:r>
      <w:r>
        <w:rPr>
          <w:i/>
          <w:iCs/>
        </w:rPr>
        <w:t xml:space="preserve">Rev. </w:t>
      </w:r>
      <w:proofErr w:type="spellStart"/>
      <w:r>
        <w:rPr>
          <w:i/>
          <w:iCs/>
        </w:rPr>
        <w:t>Aquac</w:t>
      </w:r>
      <w:proofErr w:type="spellEnd"/>
      <w:r>
        <w:rPr>
          <w:i/>
          <w:iCs/>
        </w:rPr>
        <w:t>.</w:t>
      </w:r>
      <w:r>
        <w:t xml:space="preserve"> </w:t>
      </w:r>
      <w:r>
        <w:rPr>
          <w:b/>
          <w:bCs/>
        </w:rPr>
        <w:t>13</w:t>
      </w:r>
      <w:r>
        <w:t>, 907–933 (2021).</w:t>
      </w:r>
    </w:p>
    <w:p w14:paraId="0BFA0F05" w14:textId="77777777" w:rsidR="002D38F0" w:rsidRDefault="002D38F0" w:rsidP="002D38F0">
      <w:pPr>
        <w:pStyle w:val="Bibliography"/>
      </w:pPr>
      <w:r>
        <w:t>325.</w:t>
      </w:r>
      <w:r>
        <w:tab/>
        <w:t xml:space="preserve">Valente, L. M. P. </w:t>
      </w:r>
      <w:r>
        <w:rPr>
          <w:i/>
          <w:iCs/>
        </w:rPr>
        <w:t>et al.</w:t>
      </w:r>
      <w:r>
        <w:t xml:space="preserve"> Iodine enrichment of rainbow trout flesh by dietary supplementation with the red seaweed </w:t>
      </w:r>
      <w:proofErr w:type="spellStart"/>
      <w:r>
        <w:t>Gracilaria</w:t>
      </w:r>
      <w:proofErr w:type="spellEnd"/>
      <w:r>
        <w:t xml:space="preserve"> </w:t>
      </w:r>
      <w:proofErr w:type="spellStart"/>
      <w:r>
        <w:t>vermiculophylla</w:t>
      </w:r>
      <w:proofErr w:type="spellEnd"/>
      <w:r>
        <w:t xml:space="preserve">. </w:t>
      </w:r>
      <w:r>
        <w:rPr>
          <w:i/>
          <w:iCs/>
        </w:rPr>
        <w:t>Aquaculture</w:t>
      </w:r>
      <w:r>
        <w:t xml:space="preserve"> </w:t>
      </w:r>
      <w:r>
        <w:rPr>
          <w:b/>
          <w:bCs/>
        </w:rPr>
        <w:t>446</w:t>
      </w:r>
      <w:r>
        <w:t>, 132–139 (2015).</w:t>
      </w:r>
    </w:p>
    <w:p w14:paraId="131EE924" w14:textId="77777777" w:rsidR="002D38F0" w:rsidRDefault="002D38F0" w:rsidP="002D38F0">
      <w:pPr>
        <w:pStyle w:val="Bibliography"/>
      </w:pPr>
      <w:r>
        <w:t>326.</w:t>
      </w:r>
      <w:r>
        <w:tab/>
        <w:t xml:space="preserve">Moroney, N. C. </w:t>
      </w:r>
      <w:r>
        <w:rPr>
          <w:i/>
          <w:iCs/>
        </w:rPr>
        <w:t>et al.</w:t>
      </w:r>
      <w:r>
        <w:t xml:space="preserve"> Influence of green seaweed (Ulva rigida) supplementation on the quality and shelf life of Atlantic salmon fillets. </w:t>
      </w:r>
      <w:r>
        <w:rPr>
          <w:i/>
          <w:iCs/>
        </w:rPr>
        <w:t xml:space="preserve">J. </w:t>
      </w:r>
      <w:proofErr w:type="spellStart"/>
      <w:r>
        <w:rPr>
          <w:i/>
          <w:iCs/>
        </w:rPr>
        <w:t>Aquat</w:t>
      </w:r>
      <w:proofErr w:type="spellEnd"/>
      <w:r>
        <w:rPr>
          <w:i/>
          <w:iCs/>
        </w:rPr>
        <w:t>. Food Prod. Technol.</w:t>
      </w:r>
      <w:r>
        <w:t xml:space="preserve"> </w:t>
      </w:r>
      <w:r>
        <w:rPr>
          <w:b/>
          <w:bCs/>
        </w:rPr>
        <w:t>26</w:t>
      </w:r>
      <w:r>
        <w:t>, 1175–1188 (2017).</w:t>
      </w:r>
    </w:p>
    <w:p w14:paraId="23E2D801" w14:textId="77777777" w:rsidR="002D38F0" w:rsidRDefault="002D38F0" w:rsidP="002D38F0">
      <w:pPr>
        <w:pStyle w:val="Bibliography"/>
      </w:pPr>
      <w:r>
        <w:t>327.</w:t>
      </w:r>
      <w:r>
        <w:tab/>
      </w:r>
      <w:proofErr w:type="spellStart"/>
      <w:r>
        <w:t>Calanche</w:t>
      </w:r>
      <w:proofErr w:type="spellEnd"/>
      <w:r>
        <w:t xml:space="preserve">, J. B., </w:t>
      </w:r>
      <w:proofErr w:type="spellStart"/>
      <w:r>
        <w:t>Beltrán</w:t>
      </w:r>
      <w:proofErr w:type="spellEnd"/>
      <w:r>
        <w:t xml:space="preserve">, J. A. &amp; Hernández Arias, A. J. Aquaculture and </w:t>
      </w:r>
      <w:proofErr w:type="spellStart"/>
      <w:r>
        <w:t>sensometrics</w:t>
      </w:r>
      <w:proofErr w:type="spellEnd"/>
      <w:r>
        <w:t xml:space="preserve">: the need to evaluate sensory attributes and the consumers’ preferences. </w:t>
      </w:r>
      <w:r>
        <w:rPr>
          <w:i/>
          <w:iCs/>
        </w:rPr>
        <w:t xml:space="preserve">Rev. </w:t>
      </w:r>
      <w:proofErr w:type="spellStart"/>
      <w:r>
        <w:rPr>
          <w:i/>
          <w:iCs/>
        </w:rPr>
        <w:t>Aquac</w:t>
      </w:r>
      <w:proofErr w:type="spellEnd"/>
      <w:r>
        <w:rPr>
          <w:i/>
          <w:iCs/>
        </w:rPr>
        <w:t>.</w:t>
      </w:r>
      <w:r>
        <w:t xml:space="preserve"> </w:t>
      </w:r>
      <w:r>
        <w:rPr>
          <w:b/>
          <w:bCs/>
        </w:rPr>
        <w:t>12</w:t>
      </w:r>
      <w:r>
        <w:t>, 805–821 (2020).</w:t>
      </w:r>
    </w:p>
    <w:p w14:paraId="5085749B" w14:textId="77777777" w:rsidR="002D38F0" w:rsidRDefault="002D38F0" w:rsidP="002D38F0">
      <w:pPr>
        <w:pStyle w:val="Bibliography"/>
      </w:pPr>
      <w:r>
        <w:t>328.</w:t>
      </w:r>
      <w:r>
        <w:tab/>
      </w:r>
      <w:proofErr w:type="spellStart"/>
      <w:r>
        <w:t>Vanhonacker</w:t>
      </w:r>
      <w:proofErr w:type="spellEnd"/>
      <w:r>
        <w:t xml:space="preserve">, F., </w:t>
      </w:r>
      <w:proofErr w:type="spellStart"/>
      <w:r>
        <w:t>Altintzoglou</w:t>
      </w:r>
      <w:proofErr w:type="spellEnd"/>
      <w:r>
        <w:t xml:space="preserve">, T., </w:t>
      </w:r>
      <w:proofErr w:type="spellStart"/>
      <w:r>
        <w:t>Luten</w:t>
      </w:r>
      <w:proofErr w:type="spellEnd"/>
      <w:r>
        <w:t xml:space="preserve">, J. &amp; Verbeke, W. Does fish origin matter to European </w:t>
      </w:r>
      <w:proofErr w:type="gramStart"/>
      <w:r>
        <w:t>consumers?:</w:t>
      </w:r>
      <w:proofErr w:type="gramEnd"/>
      <w:r>
        <w:t xml:space="preserve"> Insights from a consumer survey in Belgium, Norway and Spain. </w:t>
      </w:r>
      <w:r>
        <w:rPr>
          <w:i/>
          <w:iCs/>
        </w:rPr>
        <w:t>Br. Food J.</w:t>
      </w:r>
      <w:r>
        <w:t xml:space="preserve"> </w:t>
      </w:r>
      <w:r>
        <w:rPr>
          <w:b/>
          <w:bCs/>
        </w:rPr>
        <w:t>113</w:t>
      </w:r>
      <w:r>
        <w:t>, 535–549 (2011).</w:t>
      </w:r>
    </w:p>
    <w:p w14:paraId="2AD73AC6" w14:textId="77777777" w:rsidR="002D38F0" w:rsidRDefault="002D38F0" w:rsidP="002D38F0">
      <w:pPr>
        <w:pStyle w:val="Bibliography"/>
      </w:pPr>
      <w:r>
        <w:t>329.</w:t>
      </w:r>
      <w:r>
        <w:tab/>
        <w:t xml:space="preserve">Claret, A. </w:t>
      </w:r>
      <w:r>
        <w:rPr>
          <w:i/>
          <w:iCs/>
        </w:rPr>
        <w:t>et al.</w:t>
      </w:r>
      <w:r>
        <w:t xml:space="preserve"> Consumer beliefs regarding farmed versus wild fish. </w:t>
      </w:r>
      <w:r>
        <w:rPr>
          <w:i/>
          <w:iCs/>
        </w:rPr>
        <w:t>Appetite</w:t>
      </w:r>
      <w:r>
        <w:t xml:space="preserve"> </w:t>
      </w:r>
      <w:r>
        <w:rPr>
          <w:b/>
          <w:bCs/>
        </w:rPr>
        <w:t>79</w:t>
      </w:r>
      <w:r>
        <w:t>, 25–31 (2014).</w:t>
      </w:r>
    </w:p>
    <w:p w14:paraId="1DF676F4" w14:textId="77777777" w:rsidR="002D38F0" w:rsidRDefault="002D38F0" w:rsidP="002D38F0">
      <w:pPr>
        <w:pStyle w:val="Bibliography"/>
      </w:pPr>
      <w:r>
        <w:t>330.</w:t>
      </w:r>
      <w:r>
        <w:tab/>
      </w:r>
      <w:proofErr w:type="spellStart"/>
      <w:r>
        <w:t>Mempel</w:t>
      </w:r>
      <w:proofErr w:type="spellEnd"/>
      <w:r>
        <w:t xml:space="preserve">, F. &amp; </w:t>
      </w:r>
      <w:proofErr w:type="spellStart"/>
      <w:r>
        <w:t>Corbera</w:t>
      </w:r>
      <w:proofErr w:type="spellEnd"/>
      <w:r>
        <w:t xml:space="preserve">, E. Framing the frontier – Tracing issues related to soybean expansion in transnational public spheres. </w:t>
      </w:r>
      <w:r>
        <w:rPr>
          <w:i/>
          <w:iCs/>
        </w:rPr>
        <w:t>Glob. Environ. Change</w:t>
      </w:r>
      <w:r>
        <w:t xml:space="preserve"> </w:t>
      </w:r>
      <w:r>
        <w:rPr>
          <w:b/>
          <w:bCs/>
        </w:rPr>
        <w:t>69</w:t>
      </w:r>
      <w:r>
        <w:t>, 102308 (2021).</w:t>
      </w:r>
    </w:p>
    <w:p w14:paraId="133E2AE3" w14:textId="77777777" w:rsidR="002D38F0" w:rsidRDefault="002D38F0" w:rsidP="002D38F0">
      <w:pPr>
        <w:pStyle w:val="Bibliography"/>
      </w:pPr>
      <w:r>
        <w:t>331.</w:t>
      </w:r>
      <w:r>
        <w:tab/>
      </w:r>
      <w:proofErr w:type="spellStart"/>
      <w:r>
        <w:t>PROteINSECT</w:t>
      </w:r>
      <w:proofErr w:type="spellEnd"/>
      <w:r>
        <w:t xml:space="preserve">. </w:t>
      </w:r>
      <w:proofErr w:type="spellStart"/>
      <w:r>
        <w:t>PROteINSECT</w:t>
      </w:r>
      <w:proofErr w:type="spellEnd"/>
      <w:r>
        <w:t>: Insects as a sustainable source of protein. (2016).</w:t>
      </w:r>
    </w:p>
    <w:p w14:paraId="52FFFB70" w14:textId="77777777" w:rsidR="002D38F0" w:rsidRDefault="002D38F0" w:rsidP="002D38F0">
      <w:pPr>
        <w:pStyle w:val="Bibliography"/>
      </w:pPr>
      <w:r>
        <w:t>332.</w:t>
      </w:r>
      <w:r>
        <w:tab/>
      </w:r>
      <w:proofErr w:type="spellStart"/>
      <w:r>
        <w:t>Barrena</w:t>
      </w:r>
      <w:proofErr w:type="spellEnd"/>
      <w:r>
        <w:t xml:space="preserve">, R. &amp; Sánchez, M. Neophobia, personal consumer values and novel food acceptance. </w:t>
      </w:r>
      <w:r>
        <w:rPr>
          <w:i/>
          <w:iCs/>
        </w:rPr>
        <w:t>Food Qual. Prefer.</w:t>
      </w:r>
      <w:r>
        <w:t xml:space="preserve"> </w:t>
      </w:r>
      <w:r>
        <w:rPr>
          <w:b/>
          <w:bCs/>
        </w:rPr>
        <w:t>27</w:t>
      </w:r>
      <w:r>
        <w:t>, 72–84 (2013).</w:t>
      </w:r>
    </w:p>
    <w:p w14:paraId="415DE1A3" w14:textId="77777777" w:rsidR="002D38F0" w:rsidRDefault="002D38F0" w:rsidP="002D38F0">
      <w:pPr>
        <w:pStyle w:val="Bibliography"/>
      </w:pPr>
      <w:r>
        <w:t>333.</w:t>
      </w:r>
      <w:r>
        <w:tab/>
      </w:r>
      <w:proofErr w:type="spellStart"/>
      <w:r>
        <w:t>Sijtsema</w:t>
      </w:r>
      <w:proofErr w:type="spellEnd"/>
      <w:r>
        <w:t xml:space="preserve">, S. J., Snoek, H. M., van </w:t>
      </w:r>
      <w:proofErr w:type="spellStart"/>
      <w:r>
        <w:t>Haaster</w:t>
      </w:r>
      <w:proofErr w:type="spellEnd"/>
      <w:r>
        <w:t xml:space="preserve">-de Winter, M. A. &amp; </w:t>
      </w:r>
      <w:proofErr w:type="spellStart"/>
      <w:r>
        <w:t>Dagevos</w:t>
      </w:r>
      <w:proofErr w:type="spellEnd"/>
      <w:r>
        <w:t xml:space="preserve">, H. Let’s Talk about Circular Economy: A Qualitative Exploration of Consumer Perceptions. </w:t>
      </w:r>
      <w:r>
        <w:rPr>
          <w:i/>
          <w:iCs/>
        </w:rPr>
        <w:t>Sustainability</w:t>
      </w:r>
      <w:r>
        <w:t xml:space="preserve"> </w:t>
      </w:r>
      <w:r>
        <w:rPr>
          <w:b/>
          <w:bCs/>
        </w:rPr>
        <w:t>12</w:t>
      </w:r>
      <w:r>
        <w:t>, 286 (2019).</w:t>
      </w:r>
    </w:p>
    <w:p w14:paraId="49A5FDE9" w14:textId="77777777" w:rsidR="002D38F0" w:rsidRDefault="002D38F0" w:rsidP="002D38F0">
      <w:pPr>
        <w:pStyle w:val="Bibliography"/>
      </w:pPr>
      <w:r>
        <w:t>334.</w:t>
      </w:r>
      <w:r>
        <w:tab/>
        <w:t xml:space="preserve">Roy, K. </w:t>
      </w:r>
      <w:proofErr w:type="gramStart"/>
      <w:r>
        <w:t>Circular</w:t>
      </w:r>
      <w:proofErr w:type="gramEnd"/>
      <w:r>
        <w:t xml:space="preserve"> and sustainable fish nutrition. (University of South Bohemia in Ceske Budejovice, 2022).</w:t>
      </w:r>
    </w:p>
    <w:p w14:paraId="0834A003" w14:textId="341026D5" w:rsidR="00A50152" w:rsidRPr="00671D77" w:rsidRDefault="00E07698" w:rsidP="002D16A4">
      <w:pPr>
        <w:rPr>
          <w:rFonts w:ascii="Times New Roman" w:hAnsi="Times New Roman" w:cs="Times New Roman"/>
          <w:vertAlign w:val="superscript"/>
        </w:rPr>
      </w:pPr>
      <w:r w:rsidRPr="00671D77">
        <w:rPr>
          <w:rFonts w:ascii="Times New Roman" w:hAnsi="Times New Roman" w:cs="Times New Roman"/>
          <w:vertAlign w:val="superscript"/>
        </w:rPr>
        <w:fldChar w:fldCharType="end"/>
      </w:r>
    </w:p>
    <w:p w14:paraId="0D891FA7" w14:textId="60900C34" w:rsidR="00A50152" w:rsidRPr="00671D77" w:rsidRDefault="00A50152" w:rsidP="002D16A4">
      <w:pPr>
        <w:rPr>
          <w:rFonts w:ascii="Times New Roman" w:hAnsi="Times New Roman" w:cs="Times New Roman"/>
          <w:vertAlign w:val="superscript"/>
        </w:rPr>
      </w:pPr>
    </w:p>
    <w:p w14:paraId="11310C1F" w14:textId="21AAC3F3" w:rsidR="00A50152" w:rsidRPr="00671D77" w:rsidRDefault="00A50152" w:rsidP="002D16A4">
      <w:pPr>
        <w:rPr>
          <w:rFonts w:ascii="Times New Roman" w:hAnsi="Times New Roman" w:cs="Times New Roman"/>
          <w:vertAlign w:val="superscript"/>
        </w:rPr>
      </w:pPr>
    </w:p>
    <w:p w14:paraId="2F2C0E15" w14:textId="4824F613" w:rsidR="00A50152" w:rsidRPr="00671D77" w:rsidRDefault="00A50152" w:rsidP="002D16A4">
      <w:pPr>
        <w:rPr>
          <w:rFonts w:ascii="Times New Roman" w:hAnsi="Times New Roman" w:cs="Times New Roman"/>
          <w:vertAlign w:val="superscript"/>
        </w:rPr>
      </w:pPr>
    </w:p>
    <w:p w14:paraId="4D010474" w14:textId="3B14AFE8" w:rsidR="00A50152" w:rsidRPr="00671D77" w:rsidRDefault="00A50152" w:rsidP="002D16A4">
      <w:pPr>
        <w:rPr>
          <w:rFonts w:ascii="Times New Roman" w:hAnsi="Times New Roman" w:cs="Times New Roman"/>
          <w:vertAlign w:val="superscript"/>
        </w:rPr>
      </w:pPr>
    </w:p>
    <w:p w14:paraId="23AD21FD" w14:textId="43FD9E0F" w:rsidR="00A50152" w:rsidRPr="00671D77" w:rsidRDefault="00A50152" w:rsidP="002D16A4">
      <w:pPr>
        <w:rPr>
          <w:rFonts w:ascii="Times New Roman" w:hAnsi="Times New Roman" w:cs="Times New Roman"/>
          <w:vertAlign w:val="superscript"/>
        </w:rPr>
      </w:pPr>
    </w:p>
    <w:p w14:paraId="73A5734C" w14:textId="2D452040" w:rsidR="00A50152" w:rsidRPr="00671D77" w:rsidRDefault="00A50152" w:rsidP="002D16A4">
      <w:pPr>
        <w:rPr>
          <w:rFonts w:ascii="Times New Roman" w:hAnsi="Times New Roman" w:cs="Times New Roman"/>
          <w:vertAlign w:val="superscript"/>
        </w:rPr>
      </w:pPr>
    </w:p>
    <w:p w14:paraId="4FF2F19E" w14:textId="362C2758" w:rsidR="00A50152" w:rsidRPr="00671D77" w:rsidRDefault="00A50152" w:rsidP="002D16A4">
      <w:pPr>
        <w:rPr>
          <w:rFonts w:ascii="Times New Roman" w:hAnsi="Times New Roman" w:cs="Times New Roman"/>
          <w:vertAlign w:val="superscript"/>
        </w:rPr>
      </w:pPr>
    </w:p>
    <w:p w14:paraId="56EE38DA" w14:textId="0C07F3E4" w:rsidR="00A50152" w:rsidRPr="00671D77" w:rsidRDefault="00A50152" w:rsidP="002D16A4">
      <w:pPr>
        <w:rPr>
          <w:rFonts w:ascii="Times New Roman" w:hAnsi="Times New Roman" w:cs="Times New Roman"/>
          <w:vertAlign w:val="superscript"/>
        </w:rPr>
      </w:pPr>
    </w:p>
    <w:p w14:paraId="28242C80" w14:textId="77777777" w:rsidR="00A50152" w:rsidRPr="00671D77" w:rsidRDefault="00A50152" w:rsidP="002D16A4">
      <w:pPr>
        <w:rPr>
          <w:rFonts w:ascii="Times New Roman" w:hAnsi="Times New Roman" w:cs="Times New Roman"/>
          <w:b/>
          <w:bCs/>
        </w:rPr>
      </w:pPr>
    </w:p>
    <w:p w14:paraId="7EE65DC2" w14:textId="77777777" w:rsidR="00912A9A" w:rsidRPr="00671D77" w:rsidRDefault="00912A9A" w:rsidP="002D16A4">
      <w:pPr>
        <w:rPr>
          <w:rFonts w:ascii="Times New Roman" w:hAnsi="Times New Roman" w:cs="Times New Roman"/>
          <w:b/>
          <w:bCs/>
        </w:rPr>
      </w:pPr>
    </w:p>
    <w:p w14:paraId="51166EC9" w14:textId="77777777" w:rsidR="00912A9A" w:rsidRPr="00671D77" w:rsidRDefault="00912A9A" w:rsidP="002D16A4">
      <w:pPr>
        <w:rPr>
          <w:rFonts w:ascii="Times New Roman" w:hAnsi="Times New Roman" w:cs="Times New Roman"/>
          <w:b/>
          <w:bCs/>
        </w:rPr>
      </w:pPr>
    </w:p>
    <w:p w14:paraId="25B16800" w14:textId="77777777" w:rsidR="00912A9A" w:rsidRPr="00671D77" w:rsidRDefault="00912A9A" w:rsidP="002D16A4">
      <w:pPr>
        <w:rPr>
          <w:rFonts w:ascii="Times New Roman" w:hAnsi="Times New Roman" w:cs="Times New Roman"/>
          <w:b/>
          <w:bCs/>
        </w:rPr>
      </w:pPr>
    </w:p>
    <w:p w14:paraId="2A8525FD" w14:textId="77777777" w:rsidR="00912A9A" w:rsidRPr="00671D77" w:rsidRDefault="00912A9A" w:rsidP="002D16A4">
      <w:pPr>
        <w:rPr>
          <w:rFonts w:ascii="Times New Roman" w:hAnsi="Times New Roman" w:cs="Times New Roman"/>
          <w:b/>
          <w:bCs/>
        </w:rPr>
      </w:pPr>
    </w:p>
    <w:p w14:paraId="4C84BCA8" w14:textId="77777777" w:rsidR="00912A9A" w:rsidRPr="00671D77" w:rsidRDefault="00912A9A" w:rsidP="002D16A4">
      <w:pPr>
        <w:rPr>
          <w:rFonts w:ascii="Times New Roman" w:hAnsi="Times New Roman" w:cs="Times New Roman"/>
          <w:b/>
          <w:bCs/>
        </w:rPr>
      </w:pPr>
    </w:p>
    <w:sectPr w:rsidR="00912A9A" w:rsidRPr="00671D77" w:rsidSect="008E2FD4">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A5B062" w14:textId="77777777" w:rsidR="00893F39" w:rsidRDefault="00893F39" w:rsidP="00632E3C">
      <w:pPr>
        <w:spacing w:after="0" w:line="240" w:lineRule="auto"/>
      </w:pPr>
      <w:r>
        <w:separator/>
      </w:r>
    </w:p>
  </w:endnote>
  <w:endnote w:type="continuationSeparator" w:id="0">
    <w:p w14:paraId="24252296" w14:textId="77777777" w:rsidR="00893F39" w:rsidRDefault="00893F39" w:rsidP="00632E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7625728"/>
      <w:docPartObj>
        <w:docPartGallery w:val="Page Numbers (Bottom of Page)"/>
        <w:docPartUnique/>
      </w:docPartObj>
    </w:sdtPr>
    <w:sdtEndPr>
      <w:rPr>
        <w:rFonts w:ascii="Times New Roman" w:hAnsi="Times New Roman" w:cs="Times New Roman"/>
        <w:noProof/>
      </w:rPr>
    </w:sdtEndPr>
    <w:sdtContent>
      <w:p w14:paraId="360E3A90" w14:textId="46C17990" w:rsidR="008C603D" w:rsidRPr="006925B4" w:rsidRDefault="008C603D">
        <w:pPr>
          <w:pStyle w:val="Footer"/>
          <w:jc w:val="center"/>
          <w:rPr>
            <w:rFonts w:ascii="Times New Roman" w:hAnsi="Times New Roman" w:cs="Times New Roman"/>
          </w:rPr>
        </w:pPr>
        <w:r w:rsidRPr="006925B4">
          <w:rPr>
            <w:rFonts w:ascii="Times New Roman" w:hAnsi="Times New Roman" w:cs="Times New Roman"/>
          </w:rPr>
          <w:fldChar w:fldCharType="begin"/>
        </w:r>
        <w:r w:rsidRPr="006925B4">
          <w:rPr>
            <w:rFonts w:ascii="Times New Roman" w:hAnsi="Times New Roman" w:cs="Times New Roman"/>
          </w:rPr>
          <w:instrText xml:space="preserve"> PAGE   \* MERGEFORMAT </w:instrText>
        </w:r>
        <w:r w:rsidRPr="006925B4">
          <w:rPr>
            <w:rFonts w:ascii="Times New Roman" w:hAnsi="Times New Roman" w:cs="Times New Roman"/>
          </w:rPr>
          <w:fldChar w:fldCharType="separate"/>
        </w:r>
        <w:r>
          <w:rPr>
            <w:rFonts w:ascii="Times New Roman" w:hAnsi="Times New Roman" w:cs="Times New Roman"/>
            <w:noProof/>
          </w:rPr>
          <w:t>20</w:t>
        </w:r>
        <w:r w:rsidRPr="006925B4">
          <w:rPr>
            <w:rFonts w:ascii="Times New Roman" w:hAnsi="Times New Roman" w:cs="Times New Roman"/>
            <w:noProof/>
          </w:rPr>
          <w:fldChar w:fldCharType="end"/>
        </w:r>
      </w:p>
    </w:sdtContent>
  </w:sdt>
  <w:p w14:paraId="21ACCD26" w14:textId="77777777" w:rsidR="008C603D" w:rsidRDefault="008C60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B0B67C" w14:textId="77777777" w:rsidR="00893F39" w:rsidRDefault="00893F39" w:rsidP="00632E3C">
      <w:pPr>
        <w:spacing w:after="0" w:line="240" w:lineRule="auto"/>
      </w:pPr>
      <w:r>
        <w:separator/>
      </w:r>
    </w:p>
  </w:footnote>
  <w:footnote w:type="continuationSeparator" w:id="0">
    <w:p w14:paraId="62D6F476" w14:textId="77777777" w:rsidR="00893F39" w:rsidRDefault="00893F39" w:rsidP="00632E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64B73"/>
    <w:multiLevelType w:val="hybridMultilevel"/>
    <w:tmpl w:val="A6BC271A"/>
    <w:lvl w:ilvl="0" w:tplc="B994D19A">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448F60FC"/>
    <w:multiLevelType w:val="hybridMultilevel"/>
    <w:tmpl w:val="D13A28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7284022E"/>
    <w:multiLevelType w:val="hybridMultilevel"/>
    <w:tmpl w:val="892AB1EA"/>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7D951820"/>
    <w:multiLevelType w:val="hybridMultilevel"/>
    <w:tmpl w:val="53BCC80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378164991">
    <w:abstractNumId w:val="1"/>
  </w:num>
  <w:num w:numId="2" w16cid:durableId="438647993">
    <w:abstractNumId w:val="2"/>
  </w:num>
  <w:num w:numId="3" w16cid:durableId="1353460546">
    <w:abstractNumId w:val="0"/>
  </w:num>
  <w:num w:numId="4" w16cid:durableId="33411279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16C2"/>
    <w:rsid w:val="00000592"/>
    <w:rsid w:val="0000072C"/>
    <w:rsid w:val="00002D0F"/>
    <w:rsid w:val="0000385B"/>
    <w:rsid w:val="00004C00"/>
    <w:rsid w:val="00004FC7"/>
    <w:rsid w:val="000062BD"/>
    <w:rsid w:val="00006D4A"/>
    <w:rsid w:val="00006DAD"/>
    <w:rsid w:val="00006E6F"/>
    <w:rsid w:val="0000702F"/>
    <w:rsid w:val="000110E2"/>
    <w:rsid w:val="00011176"/>
    <w:rsid w:val="00011246"/>
    <w:rsid w:val="000119E8"/>
    <w:rsid w:val="000120A6"/>
    <w:rsid w:val="00012880"/>
    <w:rsid w:val="00012E1E"/>
    <w:rsid w:val="00013617"/>
    <w:rsid w:val="00015D99"/>
    <w:rsid w:val="00015F85"/>
    <w:rsid w:val="00016201"/>
    <w:rsid w:val="00016950"/>
    <w:rsid w:val="00016AAD"/>
    <w:rsid w:val="000200DE"/>
    <w:rsid w:val="00021B3F"/>
    <w:rsid w:val="00021C26"/>
    <w:rsid w:val="0002226B"/>
    <w:rsid w:val="000236FA"/>
    <w:rsid w:val="00023F35"/>
    <w:rsid w:val="0002427D"/>
    <w:rsid w:val="00024317"/>
    <w:rsid w:val="00024744"/>
    <w:rsid w:val="00024DC9"/>
    <w:rsid w:val="00027F40"/>
    <w:rsid w:val="0003066B"/>
    <w:rsid w:val="00030817"/>
    <w:rsid w:val="000313A4"/>
    <w:rsid w:val="00031E04"/>
    <w:rsid w:val="00032713"/>
    <w:rsid w:val="0003387F"/>
    <w:rsid w:val="00033B49"/>
    <w:rsid w:val="00033BE6"/>
    <w:rsid w:val="00034643"/>
    <w:rsid w:val="00034C93"/>
    <w:rsid w:val="00036A36"/>
    <w:rsid w:val="00036B3E"/>
    <w:rsid w:val="0003727D"/>
    <w:rsid w:val="00041651"/>
    <w:rsid w:val="00041C90"/>
    <w:rsid w:val="0004228B"/>
    <w:rsid w:val="00042879"/>
    <w:rsid w:val="00042A0B"/>
    <w:rsid w:val="000440A0"/>
    <w:rsid w:val="000469DD"/>
    <w:rsid w:val="00047A94"/>
    <w:rsid w:val="000515B2"/>
    <w:rsid w:val="00051869"/>
    <w:rsid w:val="00053EC2"/>
    <w:rsid w:val="00054D08"/>
    <w:rsid w:val="00055000"/>
    <w:rsid w:val="00055AFA"/>
    <w:rsid w:val="00055D98"/>
    <w:rsid w:val="00056290"/>
    <w:rsid w:val="0005640E"/>
    <w:rsid w:val="0005742F"/>
    <w:rsid w:val="0005798E"/>
    <w:rsid w:val="00057EB4"/>
    <w:rsid w:val="000600C3"/>
    <w:rsid w:val="000622A9"/>
    <w:rsid w:val="00062E8C"/>
    <w:rsid w:val="00063816"/>
    <w:rsid w:val="00063D29"/>
    <w:rsid w:val="000643F7"/>
    <w:rsid w:val="000644D8"/>
    <w:rsid w:val="00065A95"/>
    <w:rsid w:val="00066C22"/>
    <w:rsid w:val="000703E1"/>
    <w:rsid w:val="000706FB"/>
    <w:rsid w:val="00070BC9"/>
    <w:rsid w:val="0007533A"/>
    <w:rsid w:val="00075B08"/>
    <w:rsid w:val="000760EB"/>
    <w:rsid w:val="000761CD"/>
    <w:rsid w:val="000764E5"/>
    <w:rsid w:val="000803F7"/>
    <w:rsid w:val="00081618"/>
    <w:rsid w:val="00081B1A"/>
    <w:rsid w:val="000831F1"/>
    <w:rsid w:val="0008357C"/>
    <w:rsid w:val="0008600C"/>
    <w:rsid w:val="00086CBD"/>
    <w:rsid w:val="00087D50"/>
    <w:rsid w:val="00092E7B"/>
    <w:rsid w:val="00093381"/>
    <w:rsid w:val="0009431F"/>
    <w:rsid w:val="00095097"/>
    <w:rsid w:val="000965F4"/>
    <w:rsid w:val="00096747"/>
    <w:rsid w:val="00097782"/>
    <w:rsid w:val="000A0011"/>
    <w:rsid w:val="000A0B40"/>
    <w:rsid w:val="000A0DE3"/>
    <w:rsid w:val="000A114B"/>
    <w:rsid w:val="000A160E"/>
    <w:rsid w:val="000A3368"/>
    <w:rsid w:val="000A34D9"/>
    <w:rsid w:val="000A391E"/>
    <w:rsid w:val="000A3998"/>
    <w:rsid w:val="000A3A60"/>
    <w:rsid w:val="000A4BD1"/>
    <w:rsid w:val="000A5CE0"/>
    <w:rsid w:val="000A7EBE"/>
    <w:rsid w:val="000B02A4"/>
    <w:rsid w:val="000B11B3"/>
    <w:rsid w:val="000B163D"/>
    <w:rsid w:val="000B3B4C"/>
    <w:rsid w:val="000B45BB"/>
    <w:rsid w:val="000B4E87"/>
    <w:rsid w:val="000B5A9D"/>
    <w:rsid w:val="000B64EB"/>
    <w:rsid w:val="000B6AAA"/>
    <w:rsid w:val="000C0DA5"/>
    <w:rsid w:val="000C1FA7"/>
    <w:rsid w:val="000C303B"/>
    <w:rsid w:val="000C3AEF"/>
    <w:rsid w:val="000C3DE3"/>
    <w:rsid w:val="000C540D"/>
    <w:rsid w:val="000C673B"/>
    <w:rsid w:val="000C71CF"/>
    <w:rsid w:val="000C7728"/>
    <w:rsid w:val="000D1105"/>
    <w:rsid w:val="000D1D49"/>
    <w:rsid w:val="000D35D1"/>
    <w:rsid w:val="000D3C47"/>
    <w:rsid w:val="000D4346"/>
    <w:rsid w:val="000E1051"/>
    <w:rsid w:val="000E1060"/>
    <w:rsid w:val="000E25A2"/>
    <w:rsid w:val="000E35E3"/>
    <w:rsid w:val="000E50AB"/>
    <w:rsid w:val="000E59B3"/>
    <w:rsid w:val="000E67D3"/>
    <w:rsid w:val="000E6CE9"/>
    <w:rsid w:val="000E7150"/>
    <w:rsid w:val="000E740C"/>
    <w:rsid w:val="000F03DA"/>
    <w:rsid w:val="000F0408"/>
    <w:rsid w:val="000F062D"/>
    <w:rsid w:val="000F0A1E"/>
    <w:rsid w:val="000F11D5"/>
    <w:rsid w:val="000F13EB"/>
    <w:rsid w:val="000F15A6"/>
    <w:rsid w:val="000F1B6F"/>
    <w:rsid w:val="000F1DCB"/>
    <w:rsid w:val="000F2D8A"/>
    <w:rsid w:val="000F45C9"/>
    <w:rsid w:val="000F53E6"/>
    <w:rsid w:val="000F578F"/>
    <w:rsid w:val="000F60D3"/>
    <w:rsid w:val="000F6172"/>
    <w:rsid w:val="000F6F0F"/>
    <w:rsid w:val="000F724B"/>
    <w:rsid w:val="000F73E0"/>
    <w:rsid w:val="00101111"/>
    <w:rsid w:val="001013B0"/>
    <w:rsid w:val="0010143F"/>
    <w:rsid w:val="00102EDC"/>
    <w:rsid w:val="00106230"/>
    <w:rsid w:val="00106982"/>
    <w:rsid w:val="00106F26"/>
    <w:rsid w:val="0010786B"/>
    <w:rsid w:val="00107C77"/>
    <w:rsid w:val="00107CF4"/>
    <w:rsid w:val="00110236"/>
    <w:rsid w:val="00110F63"/>
    <w:rsid w:val="0011134F"/>
    <w:rsid w:val="001117E4"/>
    <w:rsid w:val="00111FDB"/>
    <w:rsid w:val="00113CE3"/>
    <w:rsid w:val="00114910"/>
    <w:rsid w:val="00114D0E"/>
    <w:rsid w:val="00114D98"/>
    <w:rsid w:val="00114E4D"/>
    <w:rsid w:val="00115123"/>
    <w:rsid w:val="001153F2"/>
    <w:rsid w:val="00117867"/>
    <w:rsid w:val="0011790E"/>
    <w:rsid w:val="0012222E"/>
    <w:rsid w:val="001224C1"/>
    <w:rsid w:val="001232F7"/>
    <w:rsid w:val="001241FF"/>
    <w:rsid w:val="001247C0"/>
    <w:rsid w:val="00124BD5"/>
    <w:rsid w:val="00124F23"/>
    <w:rsid w:val="00124FFB"/>
    <w:rsid w:val="0012636A"/>
    <w:rsid w:val="001268C3"/>
    <w:rsid w:val="00127A56"/>
    <w:rsid w:val="001323A5"/>
    <w:rsid w:val="001324AB"/>
    <w:rsid w:val="00132BB6"/>
    <w:rsid w:val="0013423E"/>
    <w:rsid w:val="001349F5"/>
    <w:rsid w:val="001349F7"/>
    <w:rsid w:val="001357A5"/>
    <w:rsid w:val="0013643D"/>
    <w:rsid w:val="001370D7"/>
    <w:rsid w:val="00142AE2"/>
    <w:rsid w:val="00143326"/>
    <w:rsid w:val="001433F5"/>
    <w:rsid w:val="00143E75"/>
    <w:rsid w:val="0014673F"/>
    <w:rsid w:val="00147186"/>
    <w:rsid w:val="0014731D"/>
    <w:rsid w:val="00151976"/>
    <w:rsid w:val="00151994"/>
    <w:rsid w:val="001530C3"/>
    <w:rsid w:val="001541E5"/>
    <w:rsid w:val="001546FE"/>
    <w:rsid w:val="001557D2"/>
    <w:rsid w:val="00156AA4"/>
    <w:rsid w:val="001609D5"/>
    <w:rsid w:val="00161DDB"/>
    <w:rsid w:val="00162311"/>
    <w:rsid w:val="00162528"/>
    <w:rsid w:val="00162582"/>
    <w:rsid w:val="00162D50"/>
    <w:rsid w:val="001642D4"/>
    <w:rsid w:val="00165BFD"/>
    <w:rsid w:val="001739C3"/>
    <w:rsid w:val="00174432"/>
    <w:rsid w:val="001771AB"/>
    <w:rsid w:val="00180E26"/>
    <w:rsid w:val="001840F7"/>
    <w:rsid w:val="00185524"/>
    <w:rsid w:val="00186D44"/>
    <w:rsid w:val="00190838"/>
    <w:rsid w:val="00190987"/>
    <w:rsid w:val="00190D7D"/>
    <w:rsid w:val="00191651"/>
    <w:rsid w:val="001917CC"/>
    <w:rsid w:val="00191FE6"/>
    <w:rsid w:val="00192797"/>
    <w:rsid w:val="001944AC"/>
    <w:rsid w:val="001949DF"/>
    <w:rsid w:val="00194BD4"/>
    <w:rsid w:val="0019558D"/>
    <w:rsid w:val="001972C5"/>
    <w:rsid w:val="00197B62"/>
    <w:rsid w:val="001A0565"/>
    <w:rsid w:val="001A07C2"/>
    <w:rsid w:val="001A1D39"/>
    <w:rsid w:val="001A2DFE"/>
    <w:rsid w:val="001A3FB2"/>
    <w:rsid w:val="001A4055"/>
    <w:rsid w:val="001A5BE8"/>
    <w:rsid w:val="001A6204"/>
    <w:rsid w:val="001A669E"/>
    <w:rsid w:val="001A6E7B"/>
    <w:rsid w:val="001A6E90"/>
    <w:rsid w:val="001B06C2"/>
    <w:rsid w:val="001B15C8"/>
    <w:rsid w:val="001B25DF"/>
    <w:rsid w:val="001B2895"/>
    <w:rsid w:val="001B302D"/>
    <w:rsid w:val="001B38A6"/>
    <w:rsid w:val="001B49E4"/>
    <w:rsid w:val="001B537E"/>
    <w:rsid w:val="001B5A59"/>
    <w:rsid w:val="001B5D38"/>
    <w:rsid w:val="001C05BC"/>
    <w:rsid w:val="001C28C3"/>
    <w:rsid w:val="001C3ABD"/>
    <w:rsid w:val="001C4314"/>
    <w:rsid w:val="001C528B"/>
    <w:rsid w:val="001C78B2"/>
    <w:rsid w:val="001D1585"/>
    <w:rsid w:val="001D1ED2"/>
    <w:rsid w:val="001D28CE"/>
    <w:rsid w:val="001D428A"/>
    <w:rsid w:val="001D45AD"/>
    <w:rsid w:val="001D60CF"/>
    <w:rsid w:val="001D73B1"/>
    <w:rsid w:val="001D7D8C"/>
    <w:rsid w:val="001E2200"/>
    <w:rsid w:val="001E225C"/>
    <w:rsid w:val="001E2543"/>
    <w:rsid w:val="001E5934"/>
    <w:rsid w:val="001E73AF"/>
    <w:rsid w:val="001E7B29"/>
    <w:rsid w:val="001F2F01"/>
    <w:rsid w:val="00201021"/>
    <w:rsid w:val="0020153D"/>
    <w:rsid w:val="0020190D"/>
    <w:rsid w:val="00203209"/>
    <w:rsid w:val="00205BE8"/>
    <w:rsid w:val="0020622A"/>
    <w:rsid w:val="00206C7D"/>
    <w:rsid w:val="00207437"/>
    <w:rsid w:val="00207A9A"/>
    <w:rsid w:val="00210D05"/>
    <w:rsid w:val="00212CAE"/>
    <w:rsid w:val="00214D0D"/>
    <w:rsid w:val="002151D3"/>
    <w:rsid w:val="00216DD8"/>
    <w:rsid w:val="002212AA"/>
    <w:rsid w:val="00221B0A"/>
    <w:rsid w:val="002222ED"/>
    <w:rsid w:val="00223061"/>
    <w:rsid w:val="0022478E"/>
    <w:rsid w:val="00224D0C"/>
    <w:rsid w:val="00227890"/>
    <w:rsid w:val="00230E52"/>
    <w:rsid w:val="002318D1"/>
    <w:rsid w:val="00232740"/>
    <w:rsid w:val="002329B1"/>
    <w:rsid w:val="002345B3"/>
    <w:rsid w:val="00234EB9"/>
    <w:rsid w:val="002412E1"/>
    <w:rsid w:val="002422EC"/>
    <w:rsid w:val="00243FD0"/>
    <w:rsid w:val="00244262"/>
    <w:rsid w:val="002445F0"/>
    <w:rsid w:val="00244A5F"/>
    <w:rsid w:val="00244D12"/>
    <w:rsid w:val="0024656F"/>
    <w:rsid w:val="00246B8E"/>
    <w:rsid w:val="002474B2"/>
    <w:rsid w:val="002515FE"/>
    <w:rsid w:val="00251B8E"/>
    <w:rsid w:val="00251CC9"/>
    <w:rsid w:val="002526B1"/>
    <w:rsid w:val="002544E2"/>
    <w:rsid w:val="00254857"/>
    <w:rsid w:val="0025733B"/>
    <w:rsid w:val="002579D9"/>
    <w:rsid w:val="00260782"/>
    <w:rsid w:val="00260CBD"/>
    <w:rsid w:val="00262CA2"/>
    <w:rsid w:val="00264A0B"/>
    <w:rsid w:val="00265C8A"/>
    <w:rsid w:val="00267880"/>
    <w:rsid w:val="00272D48"/>
    <w:rsid w:val="002738F7"/>
    <w:rsid w:val="002739FE"/>
    <w:rsid w:val="00274D60"/>
    <w:rsid w:val="002773AC"/>
    <w:rsid w:val="00277E88"/>
    <w:rsid w:val="00280BFF"/>
    <w:rsid w:val="00280EE2"/>
    <w:rsid w:val="00280F64"/>
    <w:rsid w:val="002825CF"/>
    <w:rsid w:val="00283A03"/>
    <w:rsid w:val="00283CE0"/>
    <w:rsid w:val="00284960"/>
    <w:rsid w:val="0028591A"/>
    <w:rsid w:val="0028676C"/>
    <w:rsid w:val="0028716B"/>
    <w:rsid w:val="00290283"/>
    <w:rsid w:val="00291EFF"/>
    <w:rsid w:val="002926EF"/>
    <w:rsid w:val="00292F3B"/>
    <w:rsid w:val="00293B13"/>
    <w:rsid w:val="00293F01"/>
    <w:rsid w:val="00294941"/>
    <w:rsid w:val="00295745"/>
    <w:rsid w:val="00297A91"/>
    <w:rsid w:val="002A05D4"/>
    <w:rsid w:val="002A1C4F"/>
    <w:rsid w:val="002A35B3"/>
    <w:rsid w:val="002A380A"/>
    <w:rsid w:val="002A3DBA"/>
    <w:rsid w:val="002A4C92"/>
    <w:rsid w:val="002A567E"/>
    <w:rsid w:val="002A5AB1"/>
    <w:rsid w:val="002A5BBE"/>
    <w:rsid w:val="002A6209"/>
    <w:rsid w:val="002A69E5"/>
    <w:rsid w:val="002A6A8C"/>
    <w:rsid w:val="002A6E3C"/>
    <w:rsid w:val="002A73E3"/>
    <w:rsid w:val="002A759C"/>
    <w:rsid w:val="002A765A"/>
    <w:rsid w:val="002A7883"/>
    <w:rsid w:val="002B0276"/>
    <w:rsid w:val="002B1553"/>
    <w:rsid w:val="002B2405"/>
    <w:rsid w:val="002B4AB9"/>
    <w:rsid w:val="002B552F"/>
    <w:rsid w:val="002C353B"/>
    <w:rsid w:val="002C3726"/>
    <w:rsid w:val="002C3EAF"/>
    <w:rsid w:val="002C404F"/>
    <w:rsid w:val="002C747B"/>
    <w:rsid w:val="002D0468"/>
    <w:rsid w:val="002D135D"/>
    <w:rsid w:val="002D16A4"/>
    <w:rsid w:val="002D2CF1"/>
    <w:rsid w:val="002D2FF7"/>
    <w:rsid w:val="002D33D7"/>
    <w:rsid w:val="002D38F0"/>
    <w:rsid w:val="002D5846"/>
    <w:rsid w:val="002D5FF8"/>
    <w:rsid w:val="002D646E"/>
    <w:rsid w:val="002D7C28"/>
    <w:rsid w:val="002E01FC"/>
    <w:rsid w:val="002E38BF"/>
    <w:rsid w:val="002E447E"/>
    <w:rsid w:val="002E59E7"/>
    <w:rsid w:val="002F0A50"/>
    <w:rsid w:val="002F0C18"/>
    <w:rsid w:val="002F0DE6"/>
    <w:rsid w:val="002F1FA7"/>
    <w:rsid w:val="002F33B3"/>
    <w:rsid w:val="002F3D25"/>
    <w:rsid w:val="002F400E"/>
    <w:rsid w:val="002F5D4F"/>
    <w:rsid w:val="002F66A9"/>
    <w:rsid w:val="00300F24"/>
    <w:rsid w:val="00304617"/>
    <w:rsid w:val="00304BBB"/>
    <w:rsid w:val="003067B3"/>
    <w:rsid w:val="00307BDD"/>
    <w:rsid w:val="003105C6"/>
    <w:rsid w:val="00310D11"/>
    <w:rsid w:val="003110C1"/>
    <w:rsid w:val="00311D4A"/>
    <w:rsid w:val="003127FE"/>
    <w:rsid w:val="00314B55"/>
    <w:rsid w:val="00315550"/>
    <w:rsid w:val="00317252"/>
    <w:rsid w:val="003172FC"/>
    <w:rsid w:val="00320474"/>
    <w:rsid w:val="0032088E"/>
    <w:rsid w:val="00320FCD"/>
    <w:rsid w:val="0032174B"/>
    <w:rsid w:val="00321E09"/>
    <w:rsid w:val="0033081E"/>
    <w:rsid w:val="003316BF"/>
    <w:rsid w:val="00333155"/>
    <w:rsid w:val="003336F9"/>
    <w:rsid w:val="003339D3"/>
    <w:rsid w:val="003346D5"/>
    <w:rsid w:val="00334985"/>
    <w:rsid w:val="003349BB"/>
    <w:rsid w:val="00334F58"/>
    <w:rsid w:val="003351EE"/>
    <w:rsid w:val="00336570"/>
    <w:rsid w:val="00336EB4"/>
    <w:rsid w:val="00336F2C"/>
    <w:rsid w:val="0033776F"/>
    <w:rsid w:val="0034062F"/>
    <w:rsid w:val="00340759"/>
    <w:rsid w:val="003421C3"/>
    <w:rsid w:val="003432AC"/>
    <w:rsid w:val="00343719"/>
    <w:rsid w:val="0034403B"/>
    <w:rsid w:val="00344813"/>
    <w:rsid w:val="00346547"/>
    <w:rsid w:val="00346D62"/>
    <w:rsid w:val="00347BB7"/>
    <w:rsid w:val="003500F5"/>
    <w:rsid w:val="003505AE"/>
    <w:rsid w:val="003509CC"/>
    <w:rsid w:val="00350B7A"/>
    <w:rsid w:val="00351098"/>
    <w:rsid w:val="00351FD9"/>
    <w:rsid w:val="003558E8"/>
    <w:rsid w:val="00356AE4"/>
    <w:rsid w:val="00360369"/>
    <w:rsid w:val="0036090E"/>
    <w:rsid w:val="00362272"/>
    <w:rsid w:val="00364522"/>
    <w:rsid w:val="00364597"/>
    <w:rsid w:val="003660C9"/>
    <w:rsid w:val="00366C5F"/>
    <w:rsid w:val="00367C10"/>
    <w:rsid w:val="00373582"/>
    <w:rsid w:val="003737D5"/>
    <w:rsid w:val="0037425E"/>
    <w:rsid w:val="00374D62"/>
    <w:rsid w:val="00375286"/>
    <w:rsid w:val="0037552E"/>
    <w:rsid w:val="00381EC2"/>
    <w:rsid w:val="00383043"/>
    <w:rsid w:val="00383F34"/>
    <w:rsid w:val="00383FC4"/>
    <w:rsid w:val="003849CD"/>
    <w:rsid w:val="003864B3"/>
    <w:rsid w:val="003866E1"/>
    <w:rsid w:val="00387EB5"/>
    <w:rsid w:val="00390DCB"/>
    <w:rsid w:val="003918D7"/>
    <w:rsid w:val="00392963"/>
    <w:rsid w:val="00393300"/>
    <w:rsid w:val="0039417B"/>
    <w:rsid w:val="0039471C"/>
    <w:rsid w:val="0039554E"/>
    <w:rsid w:val="00396828"/>
    <w:rsid w:val="00396D86"/>
    <w:rsid w:val="00397ADB"/>
    <w:rsid w:val="003A03CA"/>
    <w:rsid w:val="003A283A"/>
    <w:rsid w:val="003A4713"/>
    <w:rsid w:val="003B0CF9"/>
    <w:rsid w:val="003B15F7"/>
    <w:rsid w:val="003B1BB0"/>
    <w:rsid w:val="003B3C9C"/>
    <w:rsid w:val="003B7C3A"/>
    <w:rsid w:val="003C01F8"/>
    <w:rsid w:val="003C20B8"/>
    <w:rsid w:val="003C38DB"/>
    <w:rsid w:val="003C5216"/>
    <w:rsid w:val="003C6463"/>
    <w:rsid w:val="003C6F15"/>
    <w:rsid w:val="003D0B32"/>
    <w:rsid w:val="003D17A8"/>
    <w:rsid w:val="003D416C"/>
    <w:rsid w:val="003D5D38"/>
    <w:rsid w:val="003E0179"/>
    <w:rsid w:val="003E08A1"/>
    <w:rsid w:val="003E23B9"/>
    <w:rsid w:val="003E241B"/>
    <w:rsid w:val="003E3063"/>
    <w:rsid w:val="003E5FE4"/>
    <w:rsid w:val="003E61AD"/>
    <w:rsid w:val="003E69A4"/>
    <w:rsid w:val="003E77D5"/>
    <w:rsid w:val="003E7D3F"/>
    <w:rsid w:val="003E7F77"/>
    <w:rsid w:val="003F1AB1"/>
    <w:rsid w:val="003F505A"/>
    <w:rsid w:val="003F5150"/>
    <w:rsid w:val="003F6F39"/>
    <w:rsid w:val="003F7FAD"/>
    <w:rsid w:val="004004E2"/>
    <w:rsid w:val="00400589"/>
    <w:rsid w:val="00400F31"/>
    <w:rsid w:val="00401310"/>
    <w:rsid w:val="00401A94"/>
    <w:rsid w:val="00401B8E"/>
    <w:rsid w:val="004026B1"/>
    <w:rsid w:val="00402E20"/>
    <w:rsid w:val="00403C29"/>
    <w:rsid w:val="00405023"/>
    <w:rsid w:val="00405D04"/>
    <w:rsid w:val="00406C8B"/>
    <w:rsid w:val="00407DE0"/>
    <w:rsid w:val="00410878"/>
    <w:rsid w:val="00410A8F"/>
    <w:rsid w:val="00410D8A"/>
    <w:rsid w:val="0041106F"/>
    <w:rsid w:val="00411C57"/>
    <w:rsid w:val="00412244"/>
    <w:rsid w:val="00413720"/>
    <w:rsid w:val="004142B5"/>
    <w:rsid w:val="004143B2"/>
    <w:rsid w:val="004153DB"/>
    <w:rsid w:val="004153F5"/>
    <w:rsid w:val="00421292"/>
    <w:rsid w:val="00421B39"/>
    <w:rsid w:val="00422F69"/>
    <w:rsid w:val="00423645"/>
    <w:rsid w:val="0042408F"/>
    <w:rsid w:val="004248D6"/>
    <w:rsid w:val="00425FA6"/>
    <w:rsid w:val="0042689A"/>
    <w:rsid w:val="00426CD6"/>
    <w:rsid w:val="004315AF"/>
    <w:rsid w:val="00433918"/>
    <w:rsid w:val="00434645"/>
    <w:rsid w:val="004346E2"/>
    <w:rsid w:val="00434EFF"/>
    <w:rsid w:val="00435A53"/>
    <w:rsid w:val="00437250"/>
    <w:rsid w:val="00437CE7"/>
    <w:rsid w:val="004406CC"/>
    <w:rsid w:val="00441D2D"/>
    <w:rsid w:val="004427C2"/>
    <w:rsid w:val="0044384F"/>
    <w:rsid w:val="004450F5"/>
    <w:rsid w:val="00445154"/>
    <w:rsid w:val="00445C35"/>
    <w:rsid w:val="00446591"/>
    <w:rsid w:val="004465D5"/>
    <w:rsid w:val="004505E7"/>
    <w:rsid w:val="00450CD0"/>
    <w:rsid w:val="0045390B"/>
    <w:rsid w:val="0045443F"/>
    <w:rsid w:val="004544E8"/>
    <w:rsid w:val="004563D4"/>
    <w:rsid w:val="00456464"/>
    <w:rsid w:val="004569B3"/>
    <w:rsid w:val="00456A7A"/>
    <w:rsid w:val="00457B4D"/>
    <w:rsid w:val="00457DE4"/>
    <w:rsid w:val="00457F15"/>
    <w:rsid w:val="00460338"/>
    <w:rsid w:val="00461BFC"/>
    <w:rsid w:val="00462059"/>
    <w:rsid w:val="00462182"/>
    <w:rsid w:val="00464E24"/>
    <w:rsid w:val="00464EC6"/>
    <w:rsid w:val="004657EE"/>
    <w:rsid w:val="00465A92"/>
    <w:rsid w:val="00465EBA"/>
    <w:rsid w:val="00466202"/>
    <w:rsid w:val="00472D11"/>
    <w:rsid w:val="004747D3"/>
    <w:rsid w:val="004750C9"/>
    <w:rsid w:val="00477269"/>
    <w:rsid w:val="004773FB"/>
    <w:rsid w:val="00477968"/>
    <w:rsid w:val="004800CA"/>
    <w:rsid w:val="00481942"/>
    <w:rsid w:val="00481A78"/>
    <w:rsid w:val="00483463"/>
    <w:rsid w:val="00483C3B"/>
    <w:rsid w:val="004842C0"/>
    <w:rsid w:val="00485024"/>
    <w:rsid w:val="00485BEB"/>
    <w:rsid w:val="00486664"/>
    <w:rsid w:val="00487978"/>
    <w:rsid w:val="00490FC5"/>
    <w:rsid w:val="00492385"/>
    <w:rsid w:val="00492F34"/>
    <w:rsid w:val="00492FF7"/>
    <w:rsid w:val="004966B1"/>
    <w:rsid w:val="00496B37"/>
    <w:rsid w:val="004A0DEB"/>
    <w:rsid w:val="004A13A0"/>
    <w:rsid w:val="004A1795"/>
    <w:rsid w:val="004A31F5"/>
    <w:rsid w:val="004A4C28"/>
    <w:rsid w:val="004A57FB"/>
    <w:rsid w:val="004B02FB"/>
    <w:rsid w:val="004B17A4"/>
    <w:rsid w:val="004B242F"/>
    <w:rsid w:val="004B4D82"/>
    <w:rsid w:val="004C0281"/>
    <w:rsid w:val="004C05DF"/>
    <w:rsid w:val="004C0F3B"/>
    <w:rsid w:val="004C105D"/>
    <w:rsid w:val="004C156B"/>
    <w:rsid w:val="004C3915"/>
    <w:rsid w:val="004C57B8"/>
    <w:rsid w:val="004C61B9"/>
    <w:rsid w:val="004C6779"/>
    <w:rsid w:val="004C6D7E"/>
    <w:rsid w:val="004C766F"/>
    <w:rsid w:val="004D02E2"/>
    <w:rsid w:val="004D1DA8"/>
    <w:rsid w:val="004D3D36"/>
    <w:rsid w:val="004D5D59"/>
    <w:rsid w:val="004D6870"/>
    <w:rsid w:val="004D6AE5"/>
    <w:rsid w:val="004D7FDF"/>
    <w:rsid w:val="004E0753"/>
    <w:rsid w:val="004E3383"/>
    <w:rsid w:val="004E3DBF"/>
    <w:rsid w:val="004E44C1"/>
    <w:rsid w:val="004E5448"/>
    <w:rsid w:val="004E6820"/>
    <w:rsid w:val="004E76A8"/>
    <w:rsid w:val="004E7F2C"/>
    <w:rsid w:val="004F1379"/>
    <w:rsid w:val="004F170C"/>
    <w:rsid w:val="004F230F"/>
    <w:rsid w:val="004F3A22"/>
    <w:rsid w:val="004F46A4"/>
    <w:rsid w:val="004F5132"/>
    <w:rsid w:val="004F52E6"/>
    <w:rsid w:val="004F5600"/>
    <w:rsid w:val="004F5683"/>
    <w:rsid w:val="004F70F9"/>
    <w:rsid w:val="004F719E"/>
    <w:rsid w:val="004F7E4E"/>
    <w:rsid w:val="004F7F53"/>
    <w:rsid w:val="00500F38"/>
    <w:rsid w:val="005010E4"/>
    <w:rsid w:val="005024A0"/>
    <w:rsid w:val="00502776"/>
    <w:rsid w:val="00502E65"/>
    <w:rsid w:val="005030FE"/>
    <w:rsid w:val="00504592"/>
    <w:rsid w:val="00504EB1"/>
    <w:rsid w:val="00504EE3"/>
    <w:rsid w:val="00505252"/>
    <w:rsid w:val="005065E1"/>
    <w:rsid w:val="00510E13"/>
    <w:rsid w:val="00511583"/>
    <w:rsid w:val="005117F6"/>
    <w:rsid w:val="00512A9F"/>
    <w:rsid w:val="00512B67"/>
    <w:rsid w:val="00512FFC"/>
    <w:rsid w:val="00513B8F"/>
    <w:rsid w:val="00513F7B"/>
    <w:rsid w:val="0051440B"/>
    <w:rsid w:val="00515DE7"/>
    <w:rsid w:val="00517428"/>
    <w:rsid w:val="00521622"/>
    <w:rsid w:val="00522623"/>
    <w:rsid w:val="005247F2"/>
    <w:rsid w:val="00525B29"/>
    <w:rsid w:val="00525DC5"/>
    <w:rsid w:val="0052614F"/>
    <w:rsid w:val="0052663F"/>
    <w:rsid w:val="00526BC9"/>
    <w:rsid w:val="005275A2"/>
    <w:rsid w:val="00533F76"/>
    <w:rsid w:val="00534078"/>
    <w:rsid w:val="005371E8"/>
    <w:rsid w:val="0053723D"/>
    <w:rsid w:val="005405A3"/>
    <w:rsid w:val="00540D3F"/>
    <w:rsid w:val="00541962"/>
    <w:rsid w:val="00543858"/>
    <w:rsid w:val="00543D03"/>
    <w:rsid w:val="005450AF"/>
    <w:rsid w:val="0054601C"/>
    <w:rsid w:val="00546322"/>
    <w:rsid w:val="00546D5E"/>
    <w:rsid w:val="00551F06"/>
    <w:rsid w:val="005521F4"/>
    <w:rsid w:val="0055344A"/>
    <w:rsid w:val="00553488"/>
    <w:rsid w:val="00553503"/>
    <w:rsid w:val="00554013"/>
    <w:rsid w:val="00554AC2"/>
    <w:rsid w:val="00554D06"/>
    <w:rsid w:val="00555420"/>
    <w:rsid w:val="00555B62"/>
    <w:rsid w:val="00556E63"/>
    <w:rsid w:val="00557662"/>
    <w:rsid w:val="00561CB4"/>
    <w:rsid w:val="00562EBD"/>
    <w:rsid w:val="00562F26"/>
    <w:rsid w:val="00563E47"/>
    <w:rsid w:val="005648D4"/>
    <w:rsid w:val="00564912"/>
    <w:rsid w:val="00564AC0"/>
    <w:rsid w:val="0056504C"/>
    <w:rsid w:val="00565B68"/>
    <w:rsid w:val="00566D6A"/>
    <w:rsid w:val="0056758C"/>
    <w:rsid w:val="005676B3"/>
    <w:rsid w:val="00570D3A"/>
    <w:rsid w:val="00570DF6"/>
    <w:rsid w:val="005719BD"/>
    <w:rsid w:val="005720D3"/>
    <w:rsid w:val="005721F0"/>
    <w:rsid w:val="005728E9"/>
    <w:rsid w:val="00572E76"/>
    <w:rsid w:val="00573505"/>
    <w:rsid w:val="00574D2D"/>
    <w:rsid w:val="00576153"/>
    <w:rsid w:val="0058009A"/>
    <w:rsid w:val="0058015A"/>
    <w:rsid w:val="00581411"/>
    <w:rsid w:val="0058262F"/>
    <w:rsid w:val="00582F1D"/>
    <w:rsid w:val="00584228"/>
    <w:rsid w:val="00584A81"/>
    <w:rsid w:val="00587D27"/>
    <w:rsid w:val="00590860"/>
    <w:rsid w:val="00590B48"/>
    <w:rsid w:val="00591103"/>
    <w:rsid w:val="00592202"/>
    <w:rsid w:val="0059469A"/>
    <w:rsid w:val="00594CC5"/>
    <w:rsid w:val="0059537E"/>
    <w:rsid w:val="0059625E"/>
    <w:rsid w:val="0059651D"/>
    <w:rsid w:val="00596D76"/>
    <w:rsid w:val="00596F7F"/>
    <w:rsid w:val="005A1749"/>
    <w:rsid w:val="005A1D06"/>
    <w:rsid w:val="005A2282"/>
    <w:rsid w:val="005A2BA9"/>
    <w:rsid w:val="005A37C5"/>
    <w:rsid w:val="005A47B7"/>
    <w:rsid w:val="005A5876"/>
    <w:rsid w:val="005B032A"/>
    <w:rsid w:val="005B2AD5"/>
    <w:rsid w:val="005B4B62"/>
    <w:rsid w:val="005B53E4"/>
    <w:rsid w:val="005B6E7B"/>
    <w:rsid w:val="005B7D1E"/>
    <w:rsid w:val="005B7E0A"/>
    <w:rsid w:val="005C0FC7"/>
    <w:rsid w:val="005C361D"/>
    <w:rsid w:val="005C36A9"/>
    <w:rsid w:val="005C427E"/>
    <w:rsid w:val="005C4569"/>
    <w:rsid w:val="005C47D0"/>
    <w:rsid w:val="005C6443"/>
    <w:rsid w:val="005C6AC0"/>
    <w:rsid w:val="005C6EBD"/>
    <w:rsid w:val="005C7032"/>
    <w:rsid w:val="005C70D3"/>
    <w:rsid w:val="005D043C"/>
    <w:rsid w:val="005D0837"/>
    <w:rsid w:val="005D1696"/>
    <w:rsid w:val="005D2A9C"/>
    <w:rsid w:val="005D33D1"/>
    <w:rsid w:val="005D37FC"/>
    <w:rsid w:val="005D48AA"/>
    <w:rsid w:val="005D4DED"/>
    <w:rsid w:val="005D7DAD"/>
    <w:rsid w:val="005E1AAF"/>
    <w:rsid w:val="005E290A"/>
    <w:rsid w:val="005E38B5"/>
    <w:rsid w:val="005E4C6F"/>
    <w:rsid w:val="005E58A7"/>
    <w:rsid w:val="005E6244"/>
    <w:rsid w:val="005E6285"/>
    <w:rsid w:val="005E6E57"/>
    <w:rsid w:val="005F03E1"/>
    <w:rsid w:val="005F0CFD"/>
    <w:rsid w:val="005F178E"/>
    <w:rsid w:val="005F187A"/>
    <w:rsid w:val="005F26A1"/>
    <w:rsid w:val="005F2C3F"/>
    <w:rsid w:val="005F48AF"/>
    <w:rsid w:val="005F4C9D"/>
    <w:rsid w:val="005F4E5E"/>
    <w:rsid w:val="005F60F5"/>
    <w:rsid w:val="005F68A1"/>
    <w:rsid w:val="005F68C7"/>
    <w:rsid w:val="005F6FCF"/>
    <w:rsid w:val="005F7983"/>
    <w:rsid w:val="00602001"/>
    <w:rsid w:val="00602698"/>
    <w:rsid w:val="00602C14"/>
    <w:rsid w:val="0060498A"/>
    <w:rsid w:val="0060697E"/>
    <w:rsid w:val="00607238"/>
    <w:rsid w:val="00607518"/>
    <w:rsid w:val="0061030C"/>
    <w:rsid w:val="006134D9"/>
    <w:rsid w:val="0061632F"/>
    <w:rsid w:val="00616428"/>
    <w:rsid w:val="00617200"/>
    <w:rsid w:val="006175D3"/>
    <w:rsid w:val="0062125C"/>
    <w:rsid w:val="00623341"/>
    <w:rsid w:val="0062464E"/>
    <w:rsid w:val="00624C85"/>
    <w:rsid w:val="00626E7C"/>
    <w:rsid w:val="006308CD"/>
    <w:rsid w:val="00630D3E"/>
    <w:rsid w:val="00631669"/>
    <w:rsid w:val="00631C5E"/>
    <w:rsid w:val="00632E3C"/>
    <w:rsid w:val="00633C6F"/>
    <w:rsid w:val="0063430D"/>
    <w:rsid w:val="006355FC"/>
    <w:rsid w:val="00635F28"/>
    <w:rsid w:val="006415EA"/>
    <w:rsid w:val="00641A62"/>
    <w:rsid w:val="006430CB"/>
    <w:rsid w:val="00643DF0"/>
    <w:rsid w:val="006452C8"/>
    <w:rsid w:val="0064657D"/>
    <w:rsid w:val="006468AD"/>
    <w:rsid w:val="00646E18"/>
    <w:rsid w:val="0064728E"/>
    <w:rsid w:val="006473A2"/>
    <w:rsid w:val="006500AD"/>
    <w:rsid w:val="00650499"/>
    <w:rsid w:val="0065234A"/>
    <w:rsid w:val="00652C19"/>
    <w:rsid w:val="00652EE2"/>
    <w:rsid w:val="006535A5"/>
    <w:rsid w:val="00654C62"/>
    <w:rsid w:val="00655AD9"/>
    <w:rsid w:val="00656F51"/>
    <w:rsid w:val="0065730A"/>
    <w:rsid w:val="00657572"/>
    <w:rsid w:val="00657B05"/>
    <w:rsid w:val="00662330"/>
    <w:rsid w:val="0066394E"/>
    <w:rsid w:val="006652D9"/>
    <w:rsid w:val="00665843"/>
    <w:rsid w:val="00665E1C"/>
    <w:rsid w:val="006660B0"/>
    <w:rsid w:val="00666FEA"/>
    <w:rsid w:val="00667B5C"/>
    <w:rsid w:val="00671A09"/>
    <w:rsid w:val="00671D77"/>
    <w:rsid w:val="006728F7"/>
    <w:rsid w:val="00673C57"/>
    <w:rsid w:val="0067470A"/>
    <w:rsid w:val="006766BA"/>
    <w:rsid w:val="0067712E"/>
    <w:rsid w:val="00677712"/>
    <w:rsid w:val="00677785"/>
    <w:rsid w:val="00677B8F"/>
    <w:rsid w:val="00680273"/>
    <w:rsid w:val="00680DD3"/>
    <w:rsid w:val="00682620"/>
    <w:rsid w:val="00682BE9"/>
    <w:rsid w:val="00682DB7"/>
    <w:rsid w:val="00685A8C"/>
    <w:rsid w:val="00685F45"/>
    <w:rsid w:val="00686272"/>
    <w:rsid w:val="00686464"/>
    <w:rsid w:val="00686A71"/>
    <w:rsid w:val="0068737F"/>
    <w:rsid w:val="00687E69"/>
    <w:rsid w:val="00690B40"/>
    <w:rsid w:val="00691E40"/>
    <w:rsid w:val="006925B4"/>
    <w:rsid w:val="00694BCF"/>
    <w:rsid w:val="006958B3"/>
    <w:rsid w:val="006966DD"/>
    <w:rsid w:val="006975B0"/>
    <w:rsid w:val="006A067B"/>
    <w:rsid w:val="006A080A"/>
    <w:rsid w:val="006A0924"/>
    <w:rsid w:val="006A1B2D"/>
    <w:rsid w:val="006A1FDF"/>
    <w:rsid w:val="006A24FE"/>
    <w:rsid w:val="006A26E3"/>
    <w:rsid w:val="006A3737"/>
    <w:rsid w:val="006A51D8"/>
    <w:rsid w:val="006A5929"/>
    <w:rsid w:val="006A683D"/>
    <w:rsid w:val="006A7498"/>
    <w:rsid w:val="006A78B2"/>
    <w:rsid w:val="006B00BD"/>
    <w:rsid w:val="006B153C"/>
    <w:rsid w:val="006B15CA"/>
    <w:rsid w:val="006B17BF"/>
    <w:rsid w:val="006B1BB5"/>
    <w:rsid w:val="006B386F"/>
    <w:rsid w:val="006B3D07"/>
    <w:rsid w:val="006B3D11"/>
    <w:rsid w:val="006B50A1"/>
    <w:rsid w:val="006B5645"/>
    <w:rsid w:val="006B589A"/>
    <w:rsid w:val="006B5B2F"/>
    <w:rsid w:val="006B6DB9"/>
    <w:rsid w:val="006B74A9"/>
    <w:rsid w:val="006B79C9"/>
    <w:rsid w:val="006C003C"/>
    <w:rsid w:val="006C03CA"/>
    <w:rsid w:val="006C09C7"/>
    <w:rsid w:val="006C0DDB"/>
    <w:rsid w:val="006C2AD4"/>
    <w:rsid w:val="006C37E0"/>
    <w:rsid w:val="006C4A9C"/>
    <w:rsid w:val="006C5A73"/>
    <w:rsid w:val="006C617B"/>
    <w:rsid w:val="006C749B"/>
    <w:rsid w:val="006C7BE7"/>
    <w:rsid w:val="006D6C17"/>
    <w:rsid w:val="006E072D"/>
    <w:rsid w:val="006E31C3"/>
    <w:rsid w:val="006E35EE"/>
    <w:rsid w:val="006E5554"/>
    <w:rsid w:val="006E6635"/>
    <w:rsid w:val="006F3832"/>
    <w:rsid w:val="006F44DD"/>
    <w:rsid w:val="006F5768"/>
    <w:rsid w:val="006F65DD"/>
    <w:rsid w:val="006F6F03"/>
    <w:rsid w:val="006F76E4"/>
    <w:rsid w:val="006F781C"/>
    <w:rsid w:val="00700EBA"/>
    <w:rsid w:val="00701B3B"/>
    <w:rsid w:val="00701B47"/>
    <w:rsid w:val="00703728"/>
    <w:rsid w:val="00703C84"/>
    <w:rsid w:val="007049B8"/>
    <w:rsid w:val="00706AB1"/>
    <w:rsid w:val="00710C90"/>
    <w:rsid w:val="007127B3"/>
    <w:rsid w:val="00712A49"/>
    <w:rsid w:val="00720823"/>
    <w:rsid w:val="00721010"/>
    <w:rsid w:val="007213A7"/>
    <w:rsid w:val="0072177F"/>
    <w:rsid w:val="0072320C"/>
    <w:rsid w:val="00724221"/>
    <w:rsid w:val="007266BD"/>
    <w:rsid w:val="00726AA8"/>
    <w:rsid w:val="00726DF7"/>
    <w:rsid w:val="00726FB0"/>
    <w:rsid w:val="0072759A"/>
    <w:rsid w:val="00730078"/>
    <w:rsid w:val="00731B01"/>
    <w:rsid w:val="00731BB4"/>
    <w:rsid w:val="00732E70"/>
    <w:rsid w:val="007338C4"/>
    <w:rsid w:val="007340D5"/>
    <w:rsid w:val="00734D68"/>
    <w:rsid w:val="007352D5"/>
    <w:rsid w:val="00735935"/>
    <w:rsid w:val="00735FD4"/>
    <w:rsid w:val="00737FAB"/>
    <w:rsid w:val="00741277"/>
    <w:rsid w:val="007412C1"/>
    <w:rsid w:val="0074133B"/>
    <w:rsid w:val="0074276B"/>
    <w:rsid w:val="00745063"/>
    <w:rsid w:val="00745DE9"/>
    <w:rsid w:val="0074630B"/>
    <w:rsid w:val="00750FF9"/>
    <w:rsid w:val="007511EC"/>
    <w:rsid w:val="007519EA"/>
    <w:rsid w:val="00752756"/>
    <w:rsid w:val="00754D43"/>
    <w:rsid w:val="00755322"/>
    <w:rsid w:val="00761D48"/>
    <w:rsid w:val="00763E6E"/>
    <w:rsid w:val="0076469E"/>
    <w:rsid w:val="00767129"/>
    <w:rsid w:val="007671C5"/>
    <w:rsid w:val="00767592"/>
    <w:rsid w:val="00770593"/>
    <w:rsid w:val="007714A7"/>
    <w:rsid w:val="007724F0"/>
    <w:rsid w:val="00773A05"/>
    <w:rsid w:val="00774285"/>
    <w:rsid w:val="00776B5C"/>
    <w:rsid w:val="00776C8A"/>
    <w:rsid w:val="007771B7"/>
    <w:rsid w:val="0077794D"/>
    <w:rsid w:val="00777C9A"/>
    <w:rsid w:val="007820B7"/>
    <w:rsid w:val="0078235D"/>
    <w:rsid w:val="0078441E"/>
    <w:rsid w:val="00787AED"/>
    <w:rsid w:val="00790190"/>
    <w:rsid w:val="00792234"/>
    <w:rsid w:val="0079433B"/>
    <w:rsid w:val="0079438B"/>
    <w:rsid w:val="007945A1"/>
    <w:rsid w:val="00794D9B"/>
    <w:rsid w:val="007958DC"/>
    <w:rsid w:val="0079643F"/>
    <w:rsid w:val="007971EB"/>
    <w:rsid w:val="00797DBF"/>
    <w:rsid w:val="007A06C1"/>
    <w:rsid w:val="007A06F8"/>
    <w:rsid w:val="007A0EF3"/>
    <w:rsid w:val="007A13D5"/>
    <w:rsid w:val="007A2214"/>
    <w:rsid w:val="007A309C"/>
    <w:rsid w:val="007A444E"/>
    <w:rsid w:val="007A4685"/>
    <w:rsid w:val="007A5902"/>
    <w:rsid w:val="007A640C"/>
    <w:rsid w:val="007A6F02"/>
    <w:rsid w:val="007B0F3D"/>
    <w:rsid w:val="007B159E"/>
    <w:rsid w:val="007B1827"/>
    <w:rsid w:val="007B1D15"/>
    <w:rsid w:val="007B2509"/>
    <w:rsid w:val="007B288A"/>
    <w:rsid w:val="007B2BB7"/>
    <w:rsid w:val="007B3833"/>
    <w:rsid w:val="007B5C18"/>
    <w:rsid w:val="007B5FAC"/>
    <w:rsid w:val="007B6AA5"/>
    <w:rsid w:val="007B78FA"/>
    <w:rsid w:val="007C0ED2"/>
    <w:rsid w:val="007C3F65"/>
    <w:rsid w:val="007C4166"/>
    <w:rsid w:val="007C48F0"/>
    <w:rsid w:val="007C4948"/>
    <w:rsid w:val="007C5046"/>
    <w:rsid w:val="007C5E05"/>
    <w:rsid w:val="007C6228"/>
    <w:rsid w:val="007C6B9D"/>
    <w:rsid w:val="007C70DD"/>
    <w:rsid w:val="007C7150"/>
    <w:rsid w:val="007C750A"/>
    <w:rsid w:val="007C7712"/>
    <w:rsid w:val="007D1699"/>
    <w:rsid w:val="007D17C8"/>
    <w:rsid w:val="007D1AC1"/>
    <w:rsid w:val="007D2423"/>
    <w:rsid w:val="007D272E"/>
    <w:rsid w:val="007D3215"/>
    <w:rsid w:val="007D3D02"/>
    <w:rsid w:val="007D5A2A"/>
    <w:rsid w:val="007E07D9"/>
    <w:rsid w:val="007E0E69"/>
    <w:rsid w:val="007E158C"/>
    <w:rsid w:val="007E16CF"/>
    <w:rsid w:val="007E20D1"/>
    <w:rsid w:val="007E26EB"/>
    <w:rsid w:val="007E66EB"/>
    <w:rsid w:val="007E677A"/>
    <w:rsid w:val="007E69FD"/>
    <w:rsid w:val="007E7716"/>
    <w:rsid w:val="007F00FC"/>
    <w:rsid w:val="007F1B73"/>
    <w:rsid w:val="007F22B1"/>
    <w:rsid w:val="007F3D8A"/>
    <w:rsid w:val="007F48FD"/>
    <w:rsid w:val="007F56AD"/>
    <w:rsid w:val="007F6653"/>
    <w:rsid w:val="008002BE"/>
    <w:rsid w:val="00803050"/>
    <w:rsid w:val="008044DD"/>
    <w:rsid w:val="00804C78"/>
    <w:rsid w:val="00804C96"/>
    <w:rsid w:val="00805778"/>
    <w:rsid w:val="00805EE1"/>
    <w:rsid w:val="00807246"/>
    <w:rsid w:val="00807257"/>
    <w:rsid w:val="00810332"/>
    <w:rsid w:val="00810561"/>
    <w:rsid w:val="00810A8A"/>
    <w:rsid w:val="00810FC0"/>
    <w:rsid w:val="00813B0D"/>
    <w:rsid w:val="00814452"/>
    <w:rsid w:val="0081600A"/>
    <w:rsid w:val="008164D4"/>
    <w:rsid w:val="00816F45"/>
    <w:rsid w:val="008179AC"/>
    <w:rsid w:val="00820392"/>
    <w:rsid w:val="0082055D"/>
    <w:rsid w:val="00822903"/>
    <w:rsid w:val="00823030"/>
    <w:rsid w:val="00823655"/>
    <w:rsid w:val="00823D1A"/>
    <w:rsid w:val="008246C3"/>
    <w:rsid w:val="00825ED2"/>
    <w:rsid w:val="00825F1E"/>
    <w:rsid w:val="00826FB5"/>
    <w:rsid w:val="00827962"/>
    <w:rsid w:val="00831C03"/>
    <w:rsid w:val="00832344"/>
    <w:rsid w:val="0083247E"/>
    <w:rsid w:val="0083368B"/>
    <w:rsid w:val="00834E0A"/>
    <w:rsid w:val="00835755"/>
    <w:rsid w:val="0083785C"/>
    <w:rsid w:val="0083791E"/>
    <w:rsid w:val="00840A9B"/>
    <w:rsid w:val="00842D20"/>
    <w:rsid w:val="00845A44"/>
    <w:rsid w:val="0084635C"/>
    <w:rsid w:val="008477AA"/>
    <w:rsid w:val="008479DA"/>
    <w:rsid w:val="00847FDF"/>
    <w:rsid w:val="00850C52"/>
    <w:rsid w:val="008514E3"/>
    <w:rsid w:val="00851FD7"/>
    <w:rsid w:val="00852A8B"/>
    <w:rsid w:val="008538C9"/>
    <w:rsid w:val="00854432"/>
    <w:rsid w:val="0085481E"/>
    <w:rsid w:val="00856075"/>
    <w:rsid w:val="008561D2"/>
    <w:rsid w:val="008565A1"/>
    <w:rsid w:val="00860135"/>
    <w:rsid w:val="00860CC2"/>
    <w:rsid w:val="00860E14"/>
    <w:rsid w:val="00860E93"/>
    <w:rsid w:val="00861044"/>
    <w:rsid w:val="00861333"/>
    <w:rsid w:val="00862818"/>
    <w:rsid w:val="008633B2"/>
    <w:rsid w:val="008636FA"/>
    <w:rsid w:val="00864CFC"/>
    <w:rsid w:val="0086667D"/>
    <w:rsid w:val="00866A23"/>
    <w:rsid w:val="00866CA6"/>
    <w:rsid w:val="00866E27"/>
    <w:rsid w:val="008677AC"/>
    <w:rsid w:val="00867D11"/>
    <w:rsid w:val="00870690"/>
    <w:rsid w:val="00871D42"/>
    <w:rsid w:val="00871EF4"/>
    <w:rsid w:val="0087278A"/>
    <w:rsid w:val="008734F6"/>
    <w:rsid w:val="00874FB2"/>
    <w:rsid w:val="00875D9A"/>
    <w:rsid w:val="00876E7F"/>
    <w:rsid w:val="00877E8F"/>
    <w:rsid w:val="008816C2"/>
    <w:rsid w:val="00881717"/>
    <w:rsid w:val="00882312"/>
    <w:rsid w:val="00882F65"/>
    <w:rsid w:val="00883B45"/>
    <w:rsid w:val="0088494E"/>
    <w:rsid w:val="008857CD"/>
    <w:rsid w:val="00886235"/>
    <w:rsid w:val="00886C8C"/>
    <w:rsid w:val="008876E2"/>
    <w:rsid w:val="00887737"/>
    <w:rsid w:val="0089019D"/>
    <w:rsid w:val="0089124E"/>
    <w:rsid w:val="008935FC"/>
    <w:rsid w:val="00893652"/>
    <w:rsid w:val="00893F39"/>
    <w:rsid w:val="00893FC6"/>
    <w:rsid w:val="0089496A"/>
    <w:rsid w:val="00895299"/>
    <w:rsid w:val="00895434"/>
    <w:rsid w:val="00895828"/>
    <w:rsid w:val="00895E32"/>
    <w:rsid w:val="00896BA1"/>
    <w:rsid w:val="0089752C"/>
    <w:rsid w:val="008A0949"/>
    <w:rsid w:val="008A1097"/>
    <w:rsid w:val="008A146C"/>
    <w:rsid w:val="008A1E55"/>
    <w:rsid w:val="008A2663"/>
    <w:rsid w:val="008A3346"/>
    <w:rsid w:val="008A4651"/>
    <w:rsid w:val="008A74A3"/>
    <w:rsid w:val="008A7CB0"/>
    <w:rsid w:val="008B10B9"/>
    <w:rsid w:val="008B1CC7"/>
    <w:rsid w:val="008B241F"/>
    <w:rsid w:val="008B3B23"/>
    <w:rsid w:val="008B66A9"/>
    <w:rsid w:val="008B6758"/>
    <w:rsid w:val="008B6E1A"/>
    <w:rsid w:val="008C08A8"/>
    <w:rsid w:val="008C0A0D"/>
    <w:rsid w:val="008C0B4B"/>
    <w:rsid w:val="008C0F31"/>
    <w:rsid w:val="008C246F"/>
    <w:rsid w:val="008C31B2"/>
    <w:rsid w:val="008C31F4"/>
    <w:rsid w:val="008C3B27"/>
    <w:rsid w:val="008C3F84"/>
    <w:rsid w:val="008C49C2"/>
    <w:rsid w:val="008C4F73"/>
    <w:rsid w:val="008C5039"/>
    <w:rsid w:val="008C51FC"/>
    <w:rsid w:val="008C603D"/>
    <w:rsid w:val="008C6898"/>
    <w:rsid w:val="008D1BC9"/>
    <w:rsid w:val="008D2D38"/>
    <w:rsid w:val="008D3CDC"/>
    <w:rsid w:val="008D4019"/>
    <w:rsid w:val="008D48C2"/>
    <w:rsid w:val="008D4927"/>
    <w:rsid w:val="008D58D0"/>
    <w:rsid w:val="008D5A68"/>
    <w:rsid w:val="008D5D02"/>
    <w:rsid w:val="008D62D2"/>
    <w:rsid w:val="008D69C0"/>
    <w:rsid w:val="008D6ABB"/>
    <w:rsid w:val="008D7338"/>
    <w:rsid w:val="008E0CAE"/>
    <w:rsid w:val="008E2FD4"/>
    <w:rsid w:val="008E416A"/>
    <w:rsid w:val="008E4EA7"/>
    <w:rsid w:val="008E4F1D"/>
    <w:rsid w:val="008E4FB4"/>
    <w:rsid w:val="008E54F9"/>
    <w:rsid w:val="008E5EA5"/>
    <w:rsid w:val="008E62AC"/>
    <w:rsid w:val="008E72D1"/>
    <w:rsid w:val="008F027F"/>
    <w:rsid w:val="008F0DEF"/>
    <w:rsid w:val="008F0ED4"/>
    <w:rsid w:val="008F0F5F"/>
    <w:rsid w:val="008F3DAD"/>
    <w:rsid w:val="008F483E"/>
    <w:rsid w:val="008F5453"/>
    <w:rsid w:val="008F5480"/>
    <w:rsid w:val="008F7BF4"/>
    <w:rsid w:val="0090051D"/>
    <w:rsid w:val="0090109F"/>
    <w:rsid w:val="00902D94"/>
    <w:rsid w:val="00902F19"/>
    <w:rsid w:val="00903584"/>
    <w:rsid w:val="009047CA"/>
    <w:rsid w:val="00904ABE"/>
    <w:rsid w:val="00904D67"/>
    <w:rsid w:val="00904E82"/>
    <w:rsid w:val="009106EE"/>
    <w:rsid w:val="009110C9"/>
    <w:rsid w:val="009113EC"/>
    <w:rsid w:val="00912575"/>
    <w:rsid w:val="00912A9A"/>
    <w:rsid w:val="009176B3"/>
    <w:rsid w:val="00920593"/>
    <w:rsid w:val="00920D80"/>
    <w:rsid w:val="00921180"/>
    <w:rsid w:val="009222A4"/>
    <w:rsid w:val="00923095"/>
    <w:rsid w:val="0092360F"/>
    <w:rsid w:val="009240EA"/>
    <w:rsid w:val="00924D2D"/>
    <w:rsid w:val="00924F7F"/>
    <w:rsid w:val="00925F37"/>
    <w:rsid w:val="009267F2"/>
    <w:rsid w:val="009325E1"/>
    <w:rsid w:val="009327A0"/>
    <w:rsid w:val="009348E6"/>
    <w:rsid w:val="009349D9"/>
    <w:rsid w:val="00935696"/>
    <w:rsid w:val="009356D9"/>
    <w:rsid w:val="00937BD3"/>
    <w:rsid w:val="00941AB8"/>
    <w:rsid w:val="00941D97"/>
    <w:rsid w:val="00942AD3"/>
    <w:rsid w:val="00943970"/>
    <w:rsid w:val="00944BCF"/>
    <w:rsid w:val="00944D4A"/>
    <w:rsid w:val="00945512"/>
    <w:rsid w:val="00946238"/>
    <w:rsid w:val="00946AF9"/>
    <w:rsid w:val="00946B4D"/>
    <w:rsid w:val="00946DDD"/>
    <w:rsid w:val="00947978"/>
    <w:rsid w:val="009506A6"/>
    <w:rsid w:val="0095426F"/>
    <w:rsid w:val="009546BC"/>
    <w:rsid w:val="0095482A"/>
    <w:rsid w:val="00956406"/>
    <w:rsid w:val="0095700E"/>
    <w:rsid w:val="00960414"/>
    <w:rsid w:val="00961205"/>
    <w:rsid w:val="00961C46"/>
    <w:rsid w:val="00962353"/>
    <w:rsid w:val="00965FE4"/>
    <w:rsid w:val="009666B7"/>
    <w:rsid w:val="00967A67"/>
    <w:rsid w:val="00967D4D"/>
    <w:rsid w:val="00967F92"/>
    <w:rsid w:val="00970310"/>
    <w:rsid w:val="00970513"/>
    <w:rsid w:val="009710D9"/>
    <w:rsid w:val="00972646"/>
    <w:rsid w:val="00973C28"/>
    <w:rsid w:val="00974DA4"/>
    <w:rsid w:val="00975540"/>
    <w:rsid w:val="009757A7"/>
    <w:rsid w:val="00975C3C"/>
    <w:rsid w:val="009767D8"/>
    <w:rsid w:val="00977134"/>
    <w:rsid w:val="0098054E"/>
    <w:rsid w:val="009807A2"/>
    <w:rsid w:val="009813CB"/>
    <w:rsid w:val="009817F2"/>
    <w:rsid w:val="00982B9C"/>
    <w:rsid w:val="00983C52"/>
    <w:rsid w:val="00983EFE"/>
    <w:rsid w:val="00984E8B"/>
    <w:rsid w:val="0098564C"/>
    <w:rsid w:val="009864FD"/>
    <w:rsid w:val="00986794"/>
    <w:rsid w:val="0098740E"/>
    <w:rsid w:val="00990978"/>
    <w:rsid w:val="00993055"/>
    <w:rsid w:val="00993A57"/>
    <w:rsid w:val="00994E02"/>
    <w:rsid w:val="00996DF9"/>
    <w:rsid w:val="009A085A"/>
    <w:rsid w:val="009A0AAA"/>
    <w:rsid w:val="009A0F53"/>
    <w:rsid w:val="009A1103"/>
    <w:rsid w:val="009A1C1A"/>
    <w:rsid w:val="009A1F6F"/>
    <w:rsid w:val="009A2595"/>
    <w:rsid w:val="009A310E"/>
    <w:rsid w:val="009A3499"/>
    <w:rsid w:val="009A4034"/>
    <w:rsid w:val="009A4249"/>
    <w:rsid w:val="009A6AAC"/>
    <w:rsid w:val="009A7410"/>
    <w:rsid w:val="009B0329"/>
    <w:rsid w:val="009B061F"/>
    <w:rsid w:val="009B0A00"/>
    <w:rsid w:val="009B0ECE"/>
    <w:rsid w:val="009B200A"/>
    <w:rsid w:val="009B4BA5"/>
    <w:rsid w:val="009B53CC"/>
    <w:rsid w:val="009B5509"/>
    <w:rsid w:val="009B5524"/>
    <w:rsid w:val="009B71CC"/>
    <w:rsid w:val="009B7FCD"/>
    <w:rsid w:val="009C0525"/>
    <w:rsid w:val="009C2BE7"/>
    <w:rsid w:val="009C2CF8"/>
    <w:rsid w:val="009C610C"/>
    <w:rsid w:val="009C74BE"/>
    <w:rsid w:val="009D088C"/>
    <w:rsid w:val="009D0FE5"/>
    <w:rsid w:val="009D1FFC"/>
    <w:rsid w:val="009D2729"/>
    <w:rsid w:val="009D417A"/>
    <w:rsid w:val="009D59B0"/>
    <w:rsid w:val="009D62B7"/>
    <w:rsid w:val="009D63EC"/>
    <w:rsid w:val="009E0916"/>
    <w:rsid w:val="009E14A2"/>
    <w:rsid w:val="009E19C2"/>
    <w:rsid w:val="009E398D"/>
    <w:rsid w:val="009E4E87"/>
    <w:rsid w:val="009E4E8E"/>
    <w:rsid w:val="009E74C8"/>
    <w:rsid w:val="009E7A08"/>
    <w:rsid w:val="009F0C0F"/>
    <w:rsid w:val="009F0D5C"/>
    <w:rsid w:val="009F1A4E"/>
    <w:rsid w:val="009F4514"/>
    <w:rsid w:val="009F467E"/>
    <w:rsid w:val="009F6CB2"/>
    <w:rsid w:val="009F6D4B"/>
    <w:rsid w:val="00A00338"/>
    <w:rsid w:val="00A01537"/>
    <w:rsid w:val="00A0184C"/>
    <w:rsid w:val="00A0270F"/>
    <w:rsid w:val="00A02B81"/>
    <w:rsid w:val="00A02D64"/>
    <w:rsid w:val="00A030B1"/>
    <w:rsid w:val="00A03A0B"/>
    <w:rsid w:val="00A04BA0"/>
    <w:rsid w:val="00A04C06"/>
    <w:rsid w:val="00A054C4"/>
    <w:rsid w:val="00A1042E"/>
    <w:rsid w:val="00A116E0"/>
    <w:rsid w:val="00A11F9A"/>
    <w:rsid w:val="00A14527"/>
    <w:rsid w:val="00A14843"/>
    <w:rsid w:val="00A14F48"/>
    <w:rsid w:val="00A14FB7"/>
    <w:rsid w:val="00A15E6A"/>
    <w:rsid w:val="00A160AE"/>
    <w:rsid w:val="00A16361"/>
    <w:rsid w:val="00A16AD7"/>
    <w:rsid w:val="00A21399"/>
    <w:rsid w:val="00A25353"/>
    <w:rsid w:val="00A25533"/>
    <w:rsid w:val="00A2562B"/>
    <w:rsid w:val="00A25D6E"/>
    <w:rsid w:val="00A26558"/>
    <w:rsid w:val="00A27644"/>
    <w:rsid w:val="00A27668"/>
    <w:rsid w:val="00A300E8"/>
    <w:rsid w:val="00A302DE"/>
    <w:rsid w:val="00A30D0B"/>
    <w:rsid w:val="00A31A8B"/>
    <w:rsid w:val="00A32183"/>
    <w:rsid w:val="00A33266"/>
    <w:rsid w:val="00A33D75"/>
    <w:rsid w:val="00A33EA8"/>
    <w:rsid w:val="00A343A5"/>
    <w:rsid w:val="00A34AFC"/>
    <w:rsid w:val="00A41546"/>
    <w:rsid w:val="00A41750"/>
    <w:rsid w:val="00A42A82"/>
    <w:rsid w:val="00A43305"/>
    <w:rsid w:val="00A435DE"/>
    <w:rsid w:val="00A43844"/>
    <w:rsid w:val="00A45839"/>
    <w:rsid w:val="00A46046"/>
    <w:rsid w:val="00A46ABB"/>
    <w:rsid w:val="00A471B3"/>
    <w:rsid w:val="00A50152"/>
    <w:rsid w:val="00A51052"/>
    <w:rsid w:val="00A51778"/>
    <w:rsid w:val="00A53944"/>
    <w:rsid w:val="00A5404A"/>
    <w:rsid w:val="00A54186"/>
    <w:rsid w:val="00A5527B"/>
    <w:rsid w:val="00A55B49"/>
    <w:rsid w:val="00A56A6E"/>
    <w:rsid w:val="00A577E9"/>
    <w:rsid w:val="00A6079A"/>
    <w:rsid w:val="00A61093"/>
    <w:rsid w:val="00A61133"/>
    <w:rsid w:val="00A6295F"/>
    <w:rsid w:val="00A62C4A"/>
    <w:rsid w:val="00A63149"/>
    <w:rsid w:val="00A64049"/>
    <w:rsid w:val="00A6483A"/>
    <w:rsid w:val="00A64865"/>
    <w:rsid w:val="00A66A35"/>
    <w:rsid w:val="00A700AB"/>
    <w:rsid w:val="00A71333"/>
    <w:rsid w:val="00A71B99"/>
    <w:rsid w:val="00A724B2"/>
    <w:rsid w:val="00A733F3"/>
    <w:rsid w:val="00A74F31"/>
    <w:rsid w:val="00A758C2"/>
    <w:rsid w:val="00A761E5"/>
    <w:rsid w:val="00A76430"/>
    <w:rsid w:val="00A76861"/>
    <w:rsid w:val="00A768E8"/>
    <w:rsid w:val="00A771AC"/>
    <w:rsid w:val="00A77A42"/>
    <w:rsid w:val="00A77FCE"/>
    <w:rsid w:val="00A80FE9"/>
    <w:rsid w:val="00A81B34"/>
    <w:rsid w:val="00A83AB8"/>
    <w:rsid w:val="00A84483"/>
    <w:rsid w:val="00A8504A"/>
    <w:rsid w:val="00A856C4"/>
    <w:rsid w:val="00A85C2F"/>
    <w:rsid w:val="00A862B2"/>
    <w:rsid w:val="00A86F28"/>
    <w:rsid w:val="00A87A5D"/>
    <w:rsid w:val="00A91525"/>
    <w:rsid w:val="00A93CCD"/>
    <w:rsid w:val="00A956F9"/>
    <w:rsid w:val="00A95868"/>
    <w:rsid w:val="00A9667A"/>
    <w:rsid w:val="00AA03C4"/>
    <w:rsid w:val="00AA108D"/>
    <w:rsid w:val="00AA2FFC"/>
    <w:rsid w:val="00AA41E6"/>
    <w:rsid w:val="00AA536A"/>
    <w:rsid w:val="00AA77DD"/>
    <w:rsid w:val="00AA7E31"/>
    <w:rsid w:val="00AB2AA8"/>
    <w:rsid w:val="00AB45D2"/>
    <w:rsid w:val="00AB4E4D"/>
    <w:rsid w:val="00AB5C18"/>
    <w:rsid w:val="00AB66F3"/>
    <w:rsid w:val="00AC2C2E"/>
    <w:rsid w:val="00AC33AF"/>
    <w:rsid w:val="00AC3A8A"/>
    <w:rsid w:val="00AC5F8E"/>
    <w:rsid w:val="00AC7A8E"/>
    <w:rsid w:val="00AC7D89"/>
    <w:rsid w:val="00AC7E5B"/>
    <w:rsid w:val="00AD0B20"/>
    <w:rsid w:val="00AD2D2A"/>
    <w:rsid w:val="00AD41A6"/>
    <w:rsid w:val="00AD4FEF"/>
    <w:rsid w:val="00AD531E"/>
    <w:rsid w:val="00AD6783"/>
    <w:rsid w:val="00AD79E3"/>
    <w:rsid w:val="00AE0D94"/>
    <w:rsid w:val="00AE1904"/>
    <w:rsid w:val="00AE193B"/>
    <w:rsid w:val="00AE2692"/>
    <w:rsid w:val="00AE33B4"/>
    <w:rsid w:val="00AE35B9"/>
    <w:rsid w:val="00AE62B1"/>
    <w:rsid w:val="00AE720B"/>
    <w:rsid w:val="00AF114A"/>
    <w:rsid w:val="00AF2DE6"/>
    <w:rsid w:val="00AF40B1"/>
    <w:rsid w:val="00AF6135"/>
    <w:rsid w:val="00AF72E0"/>
    <w:rsid w:val="00AF7AEF"/>
    <w:rsid w:val="00B00DF5"/>
    <w:rsid w:val="00B010BC"/>
    <w:rsid w:val="00B012B1"/>
    <w:rsid w:val="00B029F7"/>
    <w:rsid w:val="00B030F8"/>
    <w:rsid w:val="00B03953"/>
    <w:rsid w:val="00B039C9"/>
    <w:rsid w:val="00B03B9E"/>
    <w:rsid w:val="00B0621B"/>
    <w:rsid w:val="00B07329"/>
    <w:rsid w:val="00B10E69"/>
    <w:rsid w:val="00B11989"/>
    <w:rsid w:val="00B11D12"/>
    <w:rsid w:val="00B154D1"/>
    <w:rsid w:val="00B15B4A"/>
    <w:rsid w:val="00B1706B"/>
    <w:rsid w:val="00B17868"/>
    <w:rsid w:val="00B21AA7"/>
    <w:rsid w:val="00B230B2"/>
    <w:rsid w:val="00B242AA"/>
    <w:rsid w:val="00B24352"/>
    <w:rsid w:val="00B243FC"/>
    <w:rsid w:val="00B268A3"/>
    <w:rsid w:val="00B27D7B"/>
    <w:rsid w:val="00B31D9A"/>
    <w:rsid w:val="00B31F9A"/>
    <w:rsid w:val="00B3210B"/>
    <w:rsid w:val="00B32D7A"/>
    <w:rsid w:val="00B354FE"/>
    <w:rsid w:val="00B3600F"/>
    <w:rsid w:val="00B36259"/>
    <w:rsid w:val="00B36504"/>
    <w:rsid w:val="00B40088"/>
    <w:rsid w:val="00B4054B"/>
    <w:rsid w:val="00B411B1"/>
    <w:rsid w:val="00B41942"/>
    <w:rsid w:val="00B41ADC"/>
    <w:rsid w:val="00B42FD5"/>
    <w:rsid w:val="00B43FD5"/>
    <w:rsid w:val="00B46AA5"/>
    <w:rsid w:val="00B4723B"/>
    <w:rsid w:val="00B47B4D"/>
    <w:rsid w:val="00B50782"/>
    <w:rsid w:val="00B51118"/>
    <w:rsid w:val="00B526AC"/>
    <w:rsid w:val="00B5278D"/>
    <w:rsid w:val="00B52A9F"/>
    <w:rsid w:val="00B53471"/>
    <w:rsid w:val="00B56DD1"/>
    <w:rsid w:val="00B5726D"/>
    <w:rsid w:val="00B619BF"/>
    <w:rsid w:val="00B622B9"/>
    <w:rsid w:val="00B62EA0"/>
    <w:rsid w:val="00B630A9"/>
    <w:rsid w:val="00B63FEA"/>
    <w:rsid w:val="00B668F7"/>
    <w:rsid w:val="00B66BFE"/>
    <w:rsid w:val="00B736D9"/>
    <w:rsid w:val="00B7456A"/>
    <w:rsid w:val="00B75D41"/>
    <w:rsid w:val="00B76D4F"/>
    <w:rsid w:val="00B77EBB"/>
    <w:rsid w:val="00B80CFA"/>
    <w:rsid w:val="00B818D3"/>
    <w:rsid w:val="00B8296B"/>
    <w:rsid w:val="00B83C45"/>
    <w:rsid w:val="00B84532"/>
    <w:rsid w:val="00B84935"/>
    <w:rsid w:val="00B8652C"/>
    <w:rsid w:val="00B86575"/>
    <w:rsid w:val="00B870F8"/>
    <w:rsid w:val="00B872E5"/>
    <w:rsid w:val="00B90CCB"/>
    <w:rsid w:val="00B91E66"/>
    <w:rsid w:val="00B9267A"/>
    <w:rsid w:val="00B93265"/>
    <w:rsid w:val="00B93D46"/>
    <w:rsid w:val="00B9542B"/>
    <w:rsid w:val="00B95724"/>
    <w:rsid w:val="00B965A2"/>
    <w:rsid w:val="00B97E6D"/>
    <w:rsid w:val="00BA0368"/>
    <w:rsid w:val="00BA0612"/>
    <w:rsid w:val="00BA107C"/>
    <w:rsid w:val="00BA1F76"/>
    <w:rsid w:val="00BA2C1C"/>
    <w:rsid w:val="00BA5534"/>
    <w:rsid w:val="00BA6B11"/>
    <w:rsid w:val="00BB0F1F"/>
    <w:rsid w:val="00BB2418"/>
    <w:rsid w:val="00BB51D5"/>
    <w:rsid w:val="00BB5C1A"/>
    <w:rsid w:val="00BB6B15"/>
    <w:rsid w:val="00BB70DF"/>
    <w:rsid w:val="00BC0CC8"/>
    <w:rsid w:val="00BC10AE"/>
    <w:rsid w:val="00BC177D"/>
    <w:rsid w:val="00BC1D87"/>
    <w:rsid w:val="00BC32D1"/>
    <w:rsid w:val="00BC33A8"/>
    <w:rsid w:val="00BC396A"/>
    <w:rsid w:val="00BC4F25"/>
    <w:rsid w:val="00BC602D"/>
    <w:rsid w:val="00BC6FB1"/>
    <w:rsid w:val="00BC719B"/>
    <w:rsid w:val="00BD1F3F"/>
    <w:rsid w:val="00BD2249"/>
    <w:rsid w:val="00BD40D6"/>
    <w:rsid w:val="00BD419F"/>
    <w:rsid w:val="00BD4C16"/>
    <w:rsid w:val="00BD4C4A"/>
    <w:rsid w:val="00BD508B"/>
    <w:rsid w:val="00BD5C56"/>
    <w:rsid w:val="00BE0693"/>
    <w:rsid w:val="00BE0D2F"/>
    <w:rsid w:val="00BE3808"/>
    <w:rsid w:val="00BE431D"/>
    <w:rsid w:val="00BE51DF"/>
    <w:rsid w:val="00BE61B9"/>
    <w:rsid w:val="00BE76B9"/>
    <w:rsid w:val="00BF0395"/>
    <w:rsid w:val="00BF06A2"/>
    <w:rsid w:val="00BF1475"/>
    <w:rsid w:val="00BF33AC"/>
    <w:rsid w:val="00BF50D8"/>
    <w:rsid w:val="00BF6A29"/>
    <w:rsid w:val="00C020E3"/>
    <w:rsid w:val="00C02A92"/>
    <w:rsid w:val="00C032DD"/>
    <w:rsid w:val="00C034B5"/>
    <w:rsid w:val="00C0496D"/>
    <w:rsid w:val="00C050FC"/>
    <w:rsid w:val="00C06BBC"/>
    <w:rsid w:val="00C101C1"/>
    <w:rsid w:val="00C10E4E"/>
    <w:rsid w:val="00C12D9A"/>
    <w:rsid w:val="00C153F6"/>
    <w:rsid w:val="00C17DA6"/>
    <w:rsid w:val="00C21DC1"/>
    <w:rsid w:val="00C22FA8"/>
    <w:rsid w:val="00C230A8"/>
    <w:rsid w:val="00C2313E"/>
    <w:rsid w:val="00C237F8"/>
    <w:rsid w:val="00C34B9A"/>
    <w:rsid w:val="00C3546E"/>
    <w:rsid w:val="00C35F7A"/>
    <w:rsid w:val="00C361AF"/>
    <w:rsid w:val="00C3763D"/>
    <w:rsid w:val="00C41F7C"/>
    <w:rsid w:val="00C44862"/>
    <w:rsid w:val="00C46107"/>
    <w:rsid w:val="00C46DAA"/>
    <w:rsid w:val="00C47282"/>
    <w:rsid w:val="00C5087A"/>
    <w:rsid w:val="00C51295"/>
    <w:rsid w:val="00C51B32"/>
    <w:rsid w:val="00C52B80"/>
    <w:rsid w:val="00C530AB"/>
    <w:rsid w:val="00C532D4"/>
    <w:rsid w:val="00C533D7"/>
    <w:rsid w:val="00C53770"/>
    <w:rsid w:val="00C53D06"/>
    <w:rsid w:val="00C53F91"/>
    <w:rsid w:val="00C53FBB"/>
    <w:rsid w:val="00C542B0"/>
    <w:rsid w:val="00C5568C"/>
    <w:rsid w:val="00C55D8B"/>
    <w:rsid w:val="00C56C1B"/>
    <w:rsid w:val="00C57BD0"/>
    <w:rsid w:val="00C57F63"/>
    <w:rsid w:val="00C60D00"/>
    <w:rsid w:val="00C6203E"/>
    <w:rsid w:val="00C62A2A"/>
    <w:rsid w:val="00C63E6A"/>
    <w:rsid w:val="00C64623"/>
    <w:rsid w:val="00C647E9"/>
    <w:rsid w:val="00C678E9"/>
    <w:rsid w:val="00C70E78"/>
    <w:rsid w:val="00C7117E"/>
    <w:rsid w:val="00C716F4"/>
    <w:rsid w:val="00C72545"/>
    <w:rsid w:val="00C75259"/>
    <w:rsid w:val="00C7610C"/>
    <w:rsid w:val="00C76167"/>
    <w:rsid w:val="00C77D0B"/>
    <w:rsid w:val="00C77ED5"/>
    <w:rsid w:val="00C80DCF"/>
    <w:rsid w:val="00C811CD"/>
    <w:rsid w:val="00C81F2E"/>
    <w:rsid w:val="00C81FD2"/>
    <w:rsid w:val="00C85D32"/>
    <w:rsid w:val="00C862B3"/>
    <w:rsid w:val="00C87840"/>
    <w:rsid w:val="00C87BEC"/>
    <w:rsid w:val="00C90B96"/>
    <w:rsid w:val="00C93B0E"/>
    <w:rsid w:val="00C93C81"/>
    <w:rsid w:val="00C94134"/>
    <w:rsid w:val="00C97386"/>
    <w:rsid w:val="00CA16CB"/>
    <w:rsid w:val="00CA24EC"/>
    <w:rsid w:val="00CA3F6C"/>
    <w:rsid w:val="00CA49B7"/>
    <w:rsid w:val="00CA7D30"/>
    <w:rsid w:val="00CA7D74"/>
    <w:rsid w:val="00CB14CD"/>
    <w:rsid w:val="00CB1B09"/>
    <w:rsid w:val="00CB1CE0"/>
    <w:rsid w:val="00CB20CC"/>
    <w:rsid w:val="00CB2A66"/>
    <w:rsid w:val="00CB3211"/>
    <w:rsid w:val="00CB33B3"/>
    <w:rsid w:val="00CB4005"/>
    <w:rsid w:val="00CB4E19"/>
    <w:rsid w:val="00CB6938"/>
    <w:rsid w:val="00CC0B47"/>
    <w:rsid w:val="00CC1261"/>
    <w:rsid w:val="00CC257C"/>
    <w:rsid w:val="00CC3020"/>
    <w:rsid w:val="00CC30B2"/>
    <w:rsid w:val="00CC363C"/>
    <w:rsid w:val="00CC3B94"/>
    <w:rsid w:val="00CC4E50"/>
    <w:rsid w:val="00CC5A07"/>
    <w:rsid w:val="00CC6094"/>
    <w:rsid w:val="00CD0CB6"/>
    <w:rsid w:val="00CD13BE"/>
    <w:rsid w:val="00CD13C2"/>
    <w:rsid w:val="00CD2CD1"/>
    <w:rsid w:val="00CD3A5D"/>
    <w:rsid w:val="00CD3F8E"/>
    <w:rsid w:val="00CD542A"/>
    <w:rsid w:val="00CD5E53"/>
    <w:rsid w:val="00CD5F2C"/>
    <w:rsid w:val="00CD67F3"/>
    <w:rsid w:val="00CD719E"/>
    <w:rsid w:val="00CD7315"/>
    <w:rsid w:val="00CD7605"/>
    <w:rsid w:val="00CD7966"/>
    <w:rsid w:val="00CE0B50"/>
    <w:rsid w:val="00CE1229"/>
    <w:rsid w:val="00CE1690"/>
    <w:rsid w:val="00CE1808"/>
    <w:rsid w:val="00CE1A8B"/>
    <w:rsid w:val="00CE4842"/>
    <w:rsid w:val="00CE5E5E"/>
    <w:rsid w:val="00CE6476"/>
    <w:rsid w:val="00CE700E"/>
    <w:rsid w:val="00CE7BEA"/>
    <w:rsid w:val="00CF3A01"/>
    <w:rsid w:val="00CF4FCA"/>
    <w:rsid w:val="00CF602F"/>
    <w:rsid w:val="00CF6805"/>
    <w:rsid w:val="00CF749D"/>
    <w:rsid w:val="00CF74AA"/>
    <w:rsid w:val="00D0076C"/>
    <w:rsid w:val="00D01E94"/>
    <w:rsid w:val="00D04B09"/>
    <w:rsid w:val="00D058FB"/>
    <w:rsid w:val="00D06F41"/>
    <w:rsid w:val="00D10F00"/>
    <w:rsid w:val="00D10FC5"/>
    <w:rsid w:val="00D11052"/>
    <w:rsid w:val="00D11362"/>
    <w:rsid w:val="00D13379"/>
    <w:rsid w:val="00D1358C"/>
    <w:rsid w:val="00D13D8C"/>
    <w:rsid w:val="00D148AA"/>
    <w:rsid w:val="00D15AFB"/>
    <w:rsid w:val="00D15D00"/>
    <w:rsid w:val="00D173A3"/>
    <w:rsid w:val="00D174BF"/>
    <w:rsid w:val="00D17DF3"/>
    <w:rsid w:val="00D17E36"/>
    <w:rsid w:val="00D17F1B"/>
    <w:rsid w:val="00D20501"/>
    <w:rsid w:val="00D21C67"/>
    <w:rsid w:val="00D2561F"/>
    <w:rsid w:val="00D262F2"/>
    <w:rsid w:val="00D26F24"/>
    <w:rsid w:val="00D27926"/>
    <w:rsid w:val="00D30289"/>
    <w:rsid w:val="00D30CBC"/>
    <w:rsid w:val="00D335C1"/>
    <w:rsid w:val="00D339AE"/>
    <w:rsid w:val="00D35FB2"/>
    <w:rsid w:val="00D36B58"/>
    <w:rsid w:val="00D370B0"/>
    <w:rsid w:val="00D42CA4"/>
    <w:rsid w:val="00D42F36"/>
    <w:rsid w:val="00D42F7A"/>
    <w:rsid w:val="00D441C3"/>
    <w:rsid w:val="00D45400"/>
    <w:rsid w:val="00D45ADF"/>
    <w:rsid w:val="00D45B36"/>
    <w:rsid w:val="00D45B53"/>
    <w:rsid w:val="00D465D2"/>
    <w:rsid w:val="00D46997"/>
    <w:rsid w:val="00D469B2"/>
    <w:rsid w:val="00D469E9"/>
    <w:rsid w:val="00D46BD0"/>
    <w:rsid w:val="00D47085"/>
    <w:rsid w:val="00D50FB3"/>
    <w:rsid w:val="00D5133E"/>
    <w:rsid w:val="00D51C27"/>
    <w:rsid w:val="00D51F3E"/>
    <w:rsid w:val="00D521CA"/>
    <w:rsid w:val="00D52D6A"/>
    <w:rsid w:val="00D53071"/>
    <w:rsid w:val="00D543FA"/>
    <w:rsid w:val="00D5482E"/>
    <w:rsid w:val="00D54F32"/>
    <w:rsid w:val="00D55330"/>
    <w:rsid w:val="00D563C1"/>
    <w:rsid w:val="00D569F6"/>
    <w:rsid w:val="00D60F5B"/>
    <w:rsid w:val="00D61960"/>
    <w:rsid w:val="00D61979"/>
    <w:rsid w:val="00D632BB"/>
    <w:rsid w:val="00D63E32"/>
    <w:rsid w:val="00D64A6F"/>
    <w:rsid w:val="00D64EA7"/>
    <w:rsid w:val="00D65CA9"/>
    <w:rsid w:val="00D666F9"/>
    <w:rsid w:val="00D677F6"/>
    <w:rsid w:val="00D72089"/>
    <w:rsid w:val="00D72A50"/>
    <w:rsid w:val="00D75CF4"/>
    <w:rsid w:val="00D75DB5"/>
    <w:rsid w:val="00D77159"/>
    <w:rsid w:val="00D8050F"/>
    <w:rsid w:val="00D8160E"/>
    <w:rsid w:val="00D81EBB"/>
    <w:rsid w:val="00D81F50"/>
    <w:rsid w:val="00D8358A"/>
    <w:rsid w:val="00D83850"/>
    <w:rsid w:val="00D84A6E"/>
    <w:rsid w:val="00D8585C"/>
    <w:rsid w:val="00D85CC7"/>
    <w:rsid w:val="00D86601"/>
    <w:rsid w:val="00D86615"/>
    <w:rsid w:val="00D87614"/>
    <w:rsid w:val="00D878A4"/>
    <w:rsid w:val="00D90B90"/>
    <w:rsid w:val="00D91C86"/>
    <w:rsid w:val="00D91D85"/>
    <w:rsid w:val="00D91DF9"/>
    <w:rsid w:val="00D92E39"/>
    <w:rsid w:val="00D93828"/>
    <w:rsid w:val="00D94AC0"/>
    <w:rsid w:val="00D94EC7"/>
    <w:rsid w:val="00D96A87"/>
    <w:rsid w:val="00D9714C"/>
    <w:rsid w:val="00D97969"/>
    <w:rsid w:val="00DA2212"/>
    <w:rsid w:val="00DA2DEF"/>
    <w:rsid w:val="00DA5996"/>
    <w:rsid w:val="00DA64C2"/>
    <w:rsid w:val="00DA6C85"/>
    <w:rsid w:val="00DA6CA6"/>
    <w:rsid w:val="00DA7D14"/>
    <w:rsid w:val="00DB0A79"/>
    <w:rsid w:val="00DB23E0"/>
    <w:rsid w:val="00DB4746"/>
    <w:rsid w:val="00DB4B29"/>
    <w:rsid w:val="00DB5204"/>
    <w:rsid w:val="00DB5CFD"/>
    <w:rsid w:val="00DB6839"/>
    <w:rsid w:val="00DB6BA1"/>
    <w:rsid w:val="00DB7E46"/>
    <w:rsid w:val="00DC0D09"/>
    <w:rsid w:val="00DC4079"/>
    <w:rsid w:val="00DC4A4B"/>
    <w:rsid w:val="00DC4C85"/>
    <w:rsid w:val="00DC5420"/>
    <w:rsid w:val="00DC5A03"/>
    <w:rsid w:val="00DC61EF"/>
    <w:rsid w:val="00DC6CB6"/>
    <w:rsid w:val="00DC7923"/>
    <w:rsid w:val="00DD025B"/>
    <w:rsid w:val="00DD1A1E"/>
    <w:rsid w:val="00DD1CFD"/>
    <w:rsid w:val="00DD318F"/>
    <w:rsid w:val="00DD32F4"/>
    <w:rsid w:val="00DD3CC6"/>
    <w:rsid w:val="00DD3D15"/>
    <w:rsid w:val="00DD561A"/>
    <w:rsid w:val="00DD653C"/>
    <w:rsid w:val="00DD7ABB"/>
    <w:rsid w:val="00DE0917"/>
    <w:rsid w:val="00DE17A9"/>
    <w:rsid w:val="00DE2B3F"/>
    <w:rsid w:val="00DE2C18"/>
    <w:rsid w:val="00DE3B0F"/>
    <w:rsid w:val="00DE43AC"/>
    <w:rsid w:val="00DE5370"/>
    <w:rsid w:val="00DE5D09"/>
    <w:rsid w:val="00DF27EE"/>
    <w:rsid w:val="00DF57DA"/>
    <w:rsid w:val="00DF5BB8"/>
    <w:rsid w:val="00DF79F8"/>
    <w:rsid w:val="00DF7BC4"/>
    <w:rsid w:val="00E00A2D"/>
    <w:rsid w:val="00E00D8C"/>
    <w:rsid w:val="00E0347B"/>
    <w:rsid w:val="00E04251"/>
    <w:rsid w:val="00E0496B"/>
    <w:rsid w:val="00E055C5"/>
    <w:rsid w:val="00E05F0B"/>
    <w:rsid w:val="00E06F66"/>
    <w:rsid w:val="00E07698"/>
    <w:rsid w:val="00E14BF5"/>
    <w:rsid w:val="00E1718D"/>
    <w:rsid w:val="00E2198F"/>
    <w:rsid w:val="00E223BD"/>
    <w:rsid w:val="00E22B08"/>
    <w:rsid w:val="00E236D2"/>
    <w:rsid w:val="00E2450F"/>
    <w:rsid w:val="00E2566F"/>
    <w:rsid w:val="00E257E2"/>
    <w:rsid w:val="00E25E1E"/>
    <w:rsid w:val="00E26216"/>
    <w:rsid w:val="00E26727"/>
    <w:rsid w:val="00E26D52"/>
    <w:rsid w:val="00E30246"/>
    <w:rsid w:val="00E305A0"/>
    <w:rsid w:val="00E30687"/>
    <w:rsid w:val="00E317EA"/>
    <w:rsid w:val="00E31AE7"/>
    <w:rsid w:val="00E324CF"/>
    <w:rsid w:val="00E34893"/>
    <w:rsid w:val="00E35756"/>
    <w:rsid w:val="00E369BF"/>
    <w:rsid w:val="00E37100"/>
    <w:rsid w:val="00E37338"/>
    <w:rsid w:val="00E37963"/>
    <w:rsid w:val="00E422B7"/>
    <w:rsid w:val="00E42626"/>
    <w:rsid w:val="00E428AB"/>
    <w:rsid w:val="00E43EE6"/>
    <w:rsid w:val="00E4597E"/>
    <w:rsid w:val="00E45BD1"/>
    <w:rsid w:val="00E45EA6"/>
    <w:rsid w:val="00E506D9"/>
    <w:rsid w:val="00E50B06"/>
    <w:rsid w:val="00E519F0"/>
    <w:rsid w:val="00E52B8A"/>
    <w:rsid w:val="00E52D28"/>
    <w:rsid w:val="00E52FD4"/>
    <w:rsid w:val="00E5398D"/>
    <w:rsid w:val="00E53F0E"/>
    <w:rsid w:val="00E5435A"/>
    <w:rsid w:val="00E5511F"/>
    <w:rsid w:val="00E55529"/>
    <w:rsid w:val="00E55C57"/>
    <w:rsid w:val="00E56FBA"/>
    <w:rsid w:val="00E578D3"/>
    <w:rsid w:val="00E63621"/>
    <w:rsid w:val="00E63F15"/>
    <w:rsid w:val="00E64D6A"/>
    <w:rsid w:val="00E66458"/>
    <w:rsid w:val="00E66E12"/>
    <w:rsid w:val="00E67992"/>
    <w:rsid w:val="00E70116"/>
    <w:rsid w:val="00E71250"/>
    <w:rsid w:val="00E7177C"/>
    <w:rsid w:val="00E7208C"/>
    <w:rsid w:val="00E7255E"/>
    <w:rsid w:val="00E7427F"/>
    <w:rsid w:val="00E7556F"/>
    <w:rsid w:val="00E7589B"/>
    <w:rsid w:val="00E76CE5"/>
    <w:rsid w:val="00E81934"/>
    <w:rsid w:val="00E81C9C"/>
    <w:rsid w:val="00E831B2"/>
    <w:rsid w:val="00E834D4"/>
    <w:rsid w:val="00E834D8"/>
    <w:rsid w:val="00E837B9"/>
    <w:rsid w:val="00E84499"/>
    <w:rsid w:val="00E84902"/>
    <w:rsid w:val="00E85566"/>
    <w:rsid w:val="00E8684E"/>
    <w:rsid w:val="00E87609"/>
    <w:rsid w:val="00E919B4"/>
    <w:rsid w:val="00E92270"/>
    <w:rsid w:val="00E92D83"/>
    <w:rsid w:val="00E9388F"/>
    <w:rsid w:val="00E94550"/>
    <w:rsid w:val="00E95CB0"/>
    <w:rsid w:val="00E96485"/>
    <w:rsid w:val="00E96BE3"/>
    <w:rsid w:val="00EA0133"/>
    <w:rsid w:val="00EA09AE"/>
    <w:rsid w:val="00EA1CC7"/>
    <w:rsid w:val="00EA1D2E"/>
    <w:rsid w:val="00EA338E"/>
    <w:rsid w:val="00EA4B43"/>
    <w:rsid w:val="00EA4F3D"/>
    <w:rsid w:val="00EA624B"/>
    <w:rsid w:val="00EA73AC"/>
    <w:rsid w:val="00EA7BF2"/>
    <w:rsid w:val="00EB0FB4"/>
    <w:rsid w:val="00EB1675"/>
    <w:rsid w:val="00EB1926"/>
    <w:rsid w:val="00EB3788"/>
    <w:rsid w:val="00EB42EA"/>
    <w:rsid w:val="00EB4F82"/>
    <w:rsid w:val="00EB5BCA"/>
    <w:rsid w:val="00EB5CC6"/>
    <w:rsid w:val="00EB60E7"/>
    <w:rsid w:val="00EB6967"/>
    <w:rsid w:val="00EC0888"/>
    <w:rsid w:val="00EC0B35"/>
    <w:rsid w:val="00EC10F8"/>
    <w:rsid w:val="00EC2BCD"/>
    <w:rsid w:val="00EC3433"/>
    <w:rsid w:val="00EC3620"/>
    <w:rsid w:val="00EC3BCF"/>
    <w:rsid w:val="00EC6FA7"/>
    <w:rsid w:val="00EC71AC"/>
    <w:rsid w:val="00EC7862"/>
    <w:rsid w:val="00ED0852"/>
    <w:rsid w:val="00ED16A2"/>
    <w:rsid w:val="00ED1D13"/>
    <w:rsid w:val="00ED25F8"/>
    <w:rsid w:val="00ED3B39"/>
    <w:rsid w:val="00ED4447"/>
    <w:rsid w:val="00ED48C4"/>
    <w:rsid w:val="00ED4C6F"/>
    <w:rsid w:val="00ED51CE"/>
    <w:rsid w:val="00ED51D2"/>
    <w:rsid w:val="00ED5FE9"/>
    <w:rsid w:val="00ED6E99"/>
    <w:rsid w:val="00ED71BC"/>
    <w:rsid w:val="00ED7FAD"/>
    <w:rsid w:val="00EE02BA"/>
    <w:rsid w:val="00EE1F7D"/>
    <w:rsid w:val="00EE30AD"/>
    <w:rsid w:val="00EE3808"/>
    <w:rsid w:val="00EE563F"/>
    <w:rsid w:val="00EE5D3E"/>
    <w:rsid w:val="00EE65B1"/>
    <w:rsid w:val="00EE6722"/>
    <w:rsid w:val="00EE774A"/>
    <w:rsid w:val="00EF0EE0"/>
    <w:rsid w:val="00EF4284"/>
    <w:rsid w:val="00EF63B4"/>
    <w:rsid w:val="00EF73BB"/>
    <w:rsid w:val="00EF7BE7"/>
    <w:rsid w:val="00F022D5"/>
    <w:rsid w:val="00F061BA"/>
    <w:rsid w:val="00F11749"/>
    <w:rsid w:val="00F12671"/>
    <w:rsid w:val="00F1275D"/>
    <w:rsid w:val="00F12A09"/>
    <w:rsid w:val="00F12D33"/>
    <w:rsid w:val="00F1323F"/>
    <w:rsid w:val="00F1449E"/>
    <w:rsid w:val="00F14A50"/>
    <w:rsid w:val="00F15151"/>
    <w:rsid w:val="00F16FD0"/>
    <w:rsid w:val="00F17861"/>
    <w:rsid w:val="00F20328"/>
    <w:rsid w:val="00F2095C"/>
    <w:rsid w:val="00F2095D"/>
    <w:rsid w:val="00F209BF"/>
    <w:rsid w:val="00F213A8"/>
    <w:rsid w:val="00F21783"/>
    <w:rsid w:val="00F21C43"/>
    <w:rsid w:val="00F22C15"/>
    <w:rsid w:val="00F22E7F"/>
    <w:rsid w:val="00F239E1"/>
    <w:rsid w:val="00F2453B"/>
    <w:rsid w:val="00F255F1"/>
    <w:rsid w:val="00F30E0D"/>
    <w:rsid w:val="00F30E71"/>
    <w:rsid w:val="00F31150"/>
    <w:rsid w:val="00F31CD7"/>
    <w:rsid w:val="00F34DCB"/>
    <w:rsid w:val="00F36419"/>
    <w:rsid w:val="00F367D1"/>
    <w:rsid w:val="00F3732D"/>
    <w:rsid w:val="00F376A1"/>
    <w:rsid w:val="00F376E0"/>
    <w:rsid w:val="00F37A6D"/>
    <w:rsid w:val="00F40347"/>
    <w:rsid w:val="00F40B6F"/>
    <w:rsid w:val="00F40EF5"/>
    <w:rsid w:val="00F4130C"/>
    <w:rsid w:val="00F41889"/>
    <w:rsid w:val="00F42D87"/>
    <w:rsid w:val="00F42F4C"/>
    <w:rsid w:val="00F44732"/>
    <w:rsid w:val="00F45681"/>
    <w:rsid w:val="00F45FC4"/>
    <w:rsid w:val="00F46B84"/>
    <w:rsid w:val="00F47588"/>
    <w:rsid w:val="00F47F6A"/>
    <w:rsid w:val="00F51C8E"/>
    <w:rsid w:val="00F51D3B"/>
    <w:rsid w:val="00F52B0C"/>
    <w:rsid w:val="00F52E88"/>
    <w:rsid w:val="00F52F1D"/>
    <w:rsid w:val="00F53344"/>
    <w:rsid w:val="00F53F5F"/>
    <w:rsid w:val="00F53F8D"/>
    <w:rsid w:val="00F54086"/>
    <w:rsid w:val="00F541A9"/>
    <w:rsid w:val="00F55F02"/>
    <w:rsid w:val="00F57FA2"/>
    <w:rsid w:val="00F60246"/>
    <w:rsid w:val="00F61434"/>
    <w:rsid w:val="00F61CFE"/>
    <w:rsid w:val="00F623E7"/>
    <w:rsid w:val="00F64DE8"/>
    <w:rsid w:val="00F65067"/>
    <w:rsid w:val="00F7245F"/>
    <w:rsid w:val="00F72CBB"/>
    <w:rsid w:val="00F73CC2"/>
    <w:rsid w:val="00F74FEC"/>
    <w:rsid w:val="00F75B11"/>
    <w:rsid w:val="00F75B7B"/>
    <w:rsid w:val="00F77943"/>
    <w:rsid w:val="00F77950"/>
    <w:rsid w:val="00F77C7B"/>
    <w:rsid w:val="00F8236D"/>
    <w:rsid w:val="00F832D3"/>
    <w:rsid w:val="00F83FC0"/>
    <w:rsid w:val="00F844B7"/>
    <w:rsid w:val="00F84786"/>
    <w:rsid w:val="00F85415"/>
    <w:rsid w:val="00F85F2F"/>
    <w:rsid w:val="00F86FAD"/>
    <w:rsid w:val="00F909E7"/>
    <w:rsid w:val="00F9320D"/>
    <w:rsid w:val="00F952D7"/>
    <w:rsid w:val="00F952E2"/>
    <w:rsid w:val="00F962D5"/>
    <w:rsid w:val="00F96365"/>
    <w:rsid w:val="00F96578"/>
    <w:rsid w:val="00F96E7C"/>
    <w:rsid w:val="00F9797D"/>
    <w:rsid w:val="00F97D65"/>
    <w:rsid w:val="00FA04F8"/>
    <w:rsid w:val="00FA0E13"/>
    <w:rsid w:val="00FA1FA8"/>
    <w:rsid w:val="00FA2802"/>
    <w:rsid w:val="00FA2E5A"/>
    <w:rsid w:val="00FA33F9"/>
    <w:rsid w:val="00FA3502"/>
    <w:rsid w:val="00FA3AD3"/>
    <w:rsid w:val="00FA3DC6"/>
    <w:rsid w:val="00FA5B2A"/>
    <w:rsid w:val="00FA6A5C"/>
    <w:rsid w:val="00FA780F"/>
    <w:rsid w:val="00FB0746"/>
    <w:rsid w:val="00FB0D5E"/>
    <w:rsid w:val="00FB11FC"/>
    <w:rsid w:val="00FB27B3"/>
    <w:rsid w:val="00FB27D6"/>
    <w:rsid w:val="00FB330B"/>
    <w:rsid w:val="00FB578C"/>
    <w:rsid w:val="00FB5976"/>
    <w:rsid w:val="00FB7038"/>
    <w:rsid w:val="00FB749C"/>
    <w:rsid w:val="00FB75E4"/>
    <w:rsid w:val="00FB7686"/>
    <w:rsid w:val="00FB7930"/>
    <w:rsid w:val="00FC2A1D"/>
    <w:rsid w:val="00FC2A2C"/>
    <w:rsid w:val="00FC4193"/>
    <w:rsid w:val="00FC4EF7"/>
    <w:rsid w:val="00FC56F2"/>
    <w:rsid w:val="00FC5B71"/>
    <w:rsid w:val="00FC7A36"/>
    <w:rsid w:val="00FC7EB1"/>
    <w:rsid w:val="00FD020A"/>
    <w:rsid w:val="00FD0871"/>
    <w:rsid w:val="00FD17A3"/>
    <w:rsid w:val="00FD355A"/>
    <w:rsid w:val="00FD54D5"/>
    <w:rsid w:val="00FD5BEA"/>
    <w:rsid w:val="00FD7E86"/>
    <w:rsid w:val="00FE1DFC"/>
    <w:rsid w:val="00FE2BD7"/>
    <w:rsid w:val="00FE3B63"/>
    <w:rsid w:val="00FE4BDA"/>
    <w:rsid w:val="00FE6669"/>
    <w:rsid w:val="00FE7E78"/>
    <w:rsid w:val="00FF072A"/>
    <w:rsid w:val="00FF0749"/>
    <w:rsid w:val="00FF1CC7"/>
    <w:rsid w:val="00FF3B05"/>
    <w:rsid w:val="00FF6990"/>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3CEC35"/>
  <w15:chartTrackingRefBased/>
  <w15:docId w15:val="{5EB47C89-F4ED-426E-A858-25CD4E3C9D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16C2"/>
    <w:rPr>
      <w:lang w:val="en-US"/>
    </w:rPr>
  </w:style>
  <w:style w:type="paragraph" w:styleId="Heading1">
    <w:name w:val="heading 1"/>
    <w:basedOn w:val="Normal"/>
    <w:link w:val="Heading1Char"/>
    <w:uiPriority w:val="9"/>
    <w:qFormat/>
    <w:rsid w:val="00434EFF"/>
    <w:pPr>
      <w:spacing w:before="100" w:beforeAutospacing="1" w:after="100" w:afterAutospacing="1" w:line="240" w:lineRule="auto"/>
      <w:outlineLvl w:val="0"/>
    </w:pPr>
    <w:rPr>
      <w:rFonts w:ascii="Times New Roman" w:eastAsia="Times New Roman" w:hAnsi="Times New Roman" w:cs="Times New Roman"/>
      <w:b/>
      <w:bCs/>
      <w:kern w:val="36"/>
      <w:sz w:val="48"/>
      <w:szCs w:val="48"/>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rkedcontent">
    <w:name w:val="markedcontent"/>
    <w:basedOn w:val="DefaultParagraphFont"/>
    <w:rsid w:val="00E05F0B"/>
  </w:style>
  <w:style w:type="paragraph" w:styleId="ListParagraph">
    <w:name w:val="List Paragraph"/>
    <w:basedOn w:val="Normal"/>
    <w:uiPriority w:val="34"/>
    <w:qFormat/>
    <w:rsid w:val="00B1706B"/>
    <w:pPr>
      <w:ind w:left="720"/>
      <w:contextualSpacing/>
    </w:pPr>
    <w:rPr>
      <w:lang w:val="en-CA"/>
    </w:rPr>
  </w:style>
  <w:style w:type="paragraph" w:styleId="Header">
    <w:name w:val="header"/>
    <w:basedOn w:val="Normal"/>
    <w:link w:val="HeaderChar"/>
    <w:uiPriority w:val="99"/>
    <w:unhideWhenUsed/>
    <w:rsid w:val="00632E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2E3C"/>
    <w:rPr>
      <w:lang w:val="en-US"/>
    </w:rPr>
  </w:style>
  <w:style w:type="paragraph" w:styleId="Footer">
    <w:name w:val="footer"/>
    <w:basedOn w:val="Normal"/>
    <w:link w:val="FooterChar"/>
    <w:uiPriority w:val="99"/>
    <w:unhideWhenUsed/>
    <w:rsid w:val="00632E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2E3C"/>
    <w:rPr>
      <w:lang w:val="en-US"/>
    </w:rPr>
  </w:style>
  <w:style w:type="character" w:styleId="LineNumber">
    <w:name w:val="line number"/>
    <w:basedOn w:val="DefaultParagraphFont"/>
    <w:uiPriority w:val="99"/>
    <w:semiHidden/>
    <w:unhideWhenUsed/>
    <w:rsid w:val="007D272E"/>
  </w:style>
  <w:style w:type="table" w:styleId="TableGrid">
    <w:name w:val="Table Grid"/>
    <w:basedOn w:val="TableNormal"/>
    <w:uiPriority w:val="39"/>
    <w:rsid w:val="00F61CF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70690"/>
    <w:rPr>
      <w:sz w:val="16"/>
      <w:szCs w:val="16"/>
    </w:rPr>
  </w:style>
  <w:style w:type="paragraph" w:styleId="CommentText">
    <w:name w:val="annotation text"/>
    <w:basedOn w:val="Normal"/>
    <w:link w:val="CommentTextChar"/>
    <w:uiPriority w:val="99"/>
    <w:unhideWhenUsed/>
    <w:rsid w:val="00870690"/>
    <w:pPr>
      <w:spacing w:line="240" w:lineRule="auto"/>
    </w:pPr>
    <w:rPr>
      <w:sz w:val="20"/>
      <w:szCs w:val="20"/>
    </w:rPr>
  </w:style>
  <w:style w:type="character" w:customStyle="1" w:styleId="CommentTextChar">
    <w:name w:val="Comment Text Char"/>
    <w:basedOn w:val="DefaultParagraphFont"/>
    <w:link w:val="CommentText"/>
    <w:uiPriority w:val="99"/>
    <w:rsid w:val="00870690"/>
    <w:rPr>
      <w:sz w:val="20"/>
      <w:szCs w:val="20"/>
      <w:lang w:val="en-US"/>
    </w:rPr>
  </w:style>
  <w:style w:type="paragraph" w:styleId="CommentSubject">
    <w:name w:val="annotation subject"/>
    <w:basedOn w:val="CommentText"/>
    <w:next w:val="CommentText"/>
    <w:link w:val="CommentSubjectChar"/>
    <w:uiPriority w:val="99"/>
    <w:semiHidden/>
    <w:unhideWhenUsed/>
    <w:rsid w:val="00870690"/>
    <w:rPr>
      <w:b/>
      <w:bCs/>
    </w:rPr>
  </w:style>
  <w:style w:type="character" w:customStyle="1" w:styleId="CommentSubjectChar">
    <w:name w:val="Comment Subject Char"/>
    <w:basedOn w:val="CommentTextChar"/>
    <w:link w:val="CommentSubject"/>
    <w:uiPriority w:val="99"/>
    <w:semiHidden/>
    <w:rsid w:val="00870690"/>
    <w:rPr>
      <w:b/>
      <w:bCs/>
      <w:sz w:val="20"/>
      <w:szCs w:val="20"/>
      <w:lang w:val="en-US"/>
    </w:rPr>
  </w:style>
  <w:style w:type="character" w:customStyle="1" w:styleId="Heading1Char">
    <w:name w:val="Heading 1 Char"/>
    <w:basedOn w:val="DefaultParagraphFont"/>
    <w:link w:val="Heading1"/>
    <w:uiPriority w:val="9"/>
    <w:rsid w:val="00434EFF"/>
    <w:rPr>
      <w:rFonts w:ascii="Times New Roman" w:eastAsia="Times New Roman" w:hAnsi="Times New Roman" w:cs="Times New Roman"/>
      <w:b/>
      <w:bCs/>
      <w:kern w:val="36"/>
      <w:sz w:val="48"/>
      <w:szCs w:val="48"/>
      <w:lang w:eastAsia="en-CA"/>
    </w:rPr>
  </w:style>
  <w:style w:type="character" w:styleId="Hyperlink">
    <w:name w:val="Hyperlink"/>
    <w:basedOn w:val="DefaultParagraphFont"/>
    <w:uiPriority w:val="99"/>
    <w:unhideWhenUsed/>
    <w:rsid w:val="00434EFF"/>
    <w:rPr>
      <w:color w:val="0563C1" w:themeColor="hyperlink"/>
      <w:u w:val="single"/>
    </w:rPr>
  </w:style>
  <w:style w:type="paragraph" w:styleId="NormalWeb">
    <w:name w:val="Normal (Web)"/>
    <w:basedOn w:val="Normal"/>
    <w:uiPriority w:val="99"/>
    <w:unhideWhenUsed/>
    <w:rsid w:val="00434EFF"/>
    <w:pPr>
      <w:spacing w:before="100" w:beforeAutospacing="1" w:after="100" w:afterAutospacing="1" w:line="360" w:lineRule="auto"/>
    </w:pPr>
    <w:rPr>
      <w:rFonts w:ascii="Times New Roman" w:eastAsia="Times New Roman" w:hAnsi="Times New Roman" w:cs="Times New Roman"/>
      <w:color w:val="000000"/>
      <w:sz w:val="24"/>
      <w:szCs w:val="24"/>
      <w:lang w:val="nb-NO" w:eastAsia="nb-NO"/>
    </w:rPr>
  </w:style>
  <w:style w:type="character" w:customStyle="1" w:styleId="title-text">
    <w:name w:val="title-text"/>
    <w:basedOn w:val="DefaultParagraphFont"/>
    <w:rsid w:val="00434EFF"/>
  </w:style>
  <w:style w:type="character" w:styleId="Emphasis">
    <w:name w:val="Emphasis"/>
    <w:basedOn w:val="DefaultParagraphFont"/>
    <w:uiPriority w:val="20"/>
    <w:qFormat/>
    <w:rsid w:val="00434EFF"/>
    <w:rPr>
      <w:i/>
      <w:iCs/>
    </w:rPr>
  </w:style>
  <w:style w:type="character" w:customStyle="1" w:styleId="text">
    <w:name w:val="text"/>
    <w:basedOn w:val="DefaultParagraphFont"/>
    <w:rsid w:val="00434EFF"/>
  </w:style>
  <w:style w:type="character" w:customStyle="1" w:styleId="author-ref">
    <w:name w:val="author-ref"/>
    <w:basedOn w:val="DefaultParagraphFont"/>
    <w:rsid w:val="00434EFF"/>
  </w:style>
  <w:style w:type="paragraph" w:customStyle="1" w:styleId="01-MainHeading">
    <w:name w:val="01-Main Heading"/>
    <w:basedOn w:val="Normal"/>
    <w:rsid w:val="00434EFF"/>
    <w:pPr>
      <w:spacing w:after="200" w:line="216" w:lineRule="auto"/>
      <w:jc w:val="both"/>
    </w:pPr>
    <w:rPr>
      <w:rFonts w:ascii="Times New Roman" w:eastAsia="Times" w:hAnsi="Times New Roman" w:cs="Times New Roman"/>
      <w:b/>
      <w:sz w:val="32"/>
      <w:szCs w:val="20"/>
      <w:lang w:eastAsia="zh-CN"/>
    </w:rPr>
  </w:style>
  <w:style w:type="paragraph" w:styleId="BalloonText">
    <w:name w:val="Balloon Text"/>
    <w:basedOn w:val="Normal"/>
    <w:link w:val="BalloonTextChar"/>
    <w:uiPriority w:val="99"/>
    <w:semiHidden/>
    <w:unhideWhenUsed/>
    <w:rsid w:val="000F03D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03DA"/>
    <w:rPr>
      <w:rFonts w:ascii="Segoe UI" w:hAnsi="Segoe UI" w:cs="Segoe UI"/>
      <w:sz w:val="18"/>
      <w:szCs w:val="18"/>
      <w:lang w:val="en-US"/>
    </w:rPr>
  </w:style>
  <w:style w:type="paragraph" w:styleId="Bibliography">
    <w:name w:val="Bibliography"/>
    <w:basedOn w:val="Normal"/>
    <w:next w:val="Normal"/>
    <w:uiPriority w:val="37"/>
    <w:unhideWhenUsed/>
    <w:rsid w:val="0095700E"/>
    <w:pPr>
      <w:tabs>
        <w:tab w:val="left" w:pos="504"/>
      </w:tabs>
      <w:spacing w:after="0" w:line="480" w:lineRule="auto"/>
      <w:ind w:left="504" w:hanging="504"/>
    </w:pPr>
  </w:style>
  <w:style w:type="paragraph" w:styleId="Revision">
    <w:name w:val="Revision"/>
    <w:hidden/>
    <w:uiPriority w:val="99"/>
    <w:semiHidden/>
    <w:rsid w:val="0058262F"/>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0128188">
      <w:bodyDiv w:val="1"/>
      <w:marLeft w:val="0"/>
      <w:marRight w:val="0"/>
      <w:marTop w:val="0"/>
      <w:marBottom w:val="0"/>
      <w:divBdr>
        <w:top w:val="none" w:sz="0" w:space="0" w:color="auto"/>
        <w:left w:val="none" w:sz="0" w:space="0" w:color="auto"/>
        <w:bottom w:val="none" w:sz="0" w:space="0" w:color="auto"/>
        <w:right w:val="none" w:sz="0" w:space="0" w:color="auto"/>
      </w:divBdr>
      <w:divsChild>
        <w:div w:id="109128231">
          <w:marLeft w:val="0"/>
          <w:marRight w:val="0"/>
          <w:marTop w:val="0"/>
          <w:marBottom w:val="0"/>
          <w:divBdr>
            <w:top w:val="none" w:sz="0" w:space="0" w:color="auto"/>
            <w:left w:val="none" w:sz="0" w:space="0" w:color="auto"/>
            <w:bottom w:val="none" w:sz="0" w:space="0" w:color="auto"/>
            <w:right w:val="none" w:sz="0" w:space="0" w:color="auto"/>
          </w:divBdr>
          <w:divsChild>
            <w:div w:id="1626621649">
              <w:marLeft w:val="0"/>
              <w:marRight w:val="0"/>
              <w:marTop w:val="0"/>
              <w:marBottom w:val="0"/>
              <w:divBdr>
                <w:top w:val="none" w:sz="0" w:space="0" w:color="auto"/>
                <w:left w:val="none" w:sz="0" w:space="0" w:color="auto"/>
                <w:bottom w:val="none" w:sz="0" w:space="0" w:color="auto"/>
                <w:right w:val="none" w:sz="0" w:space="0" w:color="auto"/>
              </w:divBdr>
              <w:divsChild>
                <w:div w:id="657272134">
                  <w:marLeft w:val="360"/>
                  <w:marRight w:val="96"/>
                  <w:marTop w:val="0"/>
                  <w:marBottom w:val="0"/>
                  <w:divBdr>
                    <w:top w:val="none" w:sz="0" w:space="0" w:color="auto"/>
                    <w:left w:val="none" w:sz="0" w:space="0" w:color="auto"/>
                    <w:bottom w:val="none" w:sz="0" w:space="0" w:color="auto"/>
                    <w:right w:val="none" w:sz="0" w:space="0" w:color="auto"/>
                  </w:divBdr>
                </w:div>
              </w:divsChild>
            </w:div>
            <w:div w:id="1784614063">
              <w:marLeft w:val="0"/>
              <w:marRight w:val="0"/>
              <w:marTop w:val="0"/>
              <w:marBottom w:val="0"/>
              <w:divBdr>
                <w:top w:val="none" w:sz="0" w:space="0" w:color="auto"/>
                <w:left w:val="none" w:sz="0" w:space="0" w:color="auto"/>
                <w:bottom w:val="none" w:sz="0" w:space="0" w:color="auto"/>
                <w:right w:val="none" w:sz="0" w:space="0" w:color="auto"/>
              </w:divBdr>
              <w:divsChild>
                <w:div w:id="1696152266">
                  <w:marLeft w:val="360"/>
                  <w:marRight w:val="96"/>
                  <w:marTop w:val="0"/>
                  <w:marBottom w:val="0"/>
                  <w:divBdr>
                    <w:top w:val="none" w:sz="0" w:space="0" w:color="auto"/>
                    <w:left w:val="none" w:sz="0" w:space="0" w:color="auto"/>
                    <w:bottom w:val="none" w:sz="0" w:space="0" w:color="auto"/>
                    <w:right w:val="none" w:sz="0" w:space="0" w:color="auto"/>
                  </w:divBdr>
                </w:div>
              </w:divsChild>
            </w:div>
            <w:div w:id="2122800425">
              <w:marLeft w:val="0"/>
              <w:marRight w:val="0"/>
              <w:marTop w:val="0"/>
              <w:marBottom w:val="0"/>
              <w:divBdr>
                <w:top w:val="none" w:sz="0" w:space="0" w:color="auto"/>
                <w:left w:val="none" w:sz="0" w:space="0" w:color="auto"/>
                <w:bottom w:val="none" w:sz="0" w:space="0" w:color="auto"/>
                <w:right w:val="none" w:sz="0" w:space="0" w:color="auto"/>
              </w:divBdr>
              <w:divsChild>
                <w:div w:id="74641992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eyondmeat.com/en-GB/product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tif"/><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impossiblefood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71BE27-5330-4101-A164-198EDBF6B3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155741</Words>
  <Characters>887730</Characters>
  <Application>Microsoft Office Word</Application>
  <DocSecurity>0</DocSecurity>
  <Lines>7397</Lines>
  <Paragraphs>2082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1041389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Stefanie Colombo</dc:creator>
  <cp:keywords/>
  <dc:description/>
  <cp:lastModifiedBy>Stefanie Colombo</cp:lastModifiedBy>
  <cp:revision>3</cp:revision>
  <dcterms:created xsi:type="dcterms:W3CDTF">2022-10-21T10:55:00Z</dcterms:created>
  <dcterms:modified xsi:type="dcterms:W3CDTF">2022-10-21T10:56:00Z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zotero-version="6.0.13"&gt;&lt;session id="oBlH5SCH"/&gt;&lt;style id="http://www.zotero.org/styles/nature" hasBibliography="1" bibliographyStyleHasBeenSet="1"/&gt;&lt;prefs&gt;&lt;pref name="fieldType" value="Field"/&gt;&lt;pref name="automaticJournalAbbreviati</vt:lpwstr>
  </property>
  <property fmtid="{D5CDD505-2E9C-101B-9397-08002B2CF9AE}" pid="3" name="ZOTERO_PREF_2">
    <vt:lpwstr>ons" value="true"/&gt;&lt;pref name="delayCitationUpdates" value="true"/&gt;&lt;/prefs&gt;&lt;/data&gt;</vt:lpwstr>
  </property>
</Properties>
</file>