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B3E35" w14:textId="40B6B191" w:rsidR="00753558" w:rsidRPr="00DB53BC" w:rsidRDefault="00C179BA" w:rsidP="00DB53BC">
      <w:pPr>
        <w:spacing w:line="312" w:lineRule="auto"/>
        <w:jc w:val="both"/>
        <w:rPr>
          <w:rFonts w:ascii="Arial" w:hAnsi="Arial" w:cs="Arial"/>
          <w:b/>
          <w:bCs/>
          <w:sz w:val="24"/>
          <w:szCs w:val="24"/>
          <w:lang w:val="en-GB"/>
        </w:rPr>
      </w:pPr>
      <w:r w:rsidRPr="00DB53BC">
        <w:rPr>
          <w:rFonts w:ascii="Arial" w:hAnsi="Arial" w:cs="Arial"/>
          <w:b/>
          <w:bCs/>
          <w:sz w:val="24"/>
          <w:szCs w:val="24"/>
          <w:lang w:val="en-GB"/>
        </w:rPr>
        <w:t>Thiophene-substituted 2,1,3-benzothiadiazole derivative</w:t>
      </w:r>
      <w:r w:rsidR="00A06524" w:rsidRPr="00DB53BC">
        <w:rPr>
          <w:rFonts w:ascii="Arial" w:hAnsi="Arial" w:cs="Arial"/>
          <w:b/>
          <w:bCs/>
          <w:sz w:val="24"/>
          <w:szCs w:val="24"/>
          <w:lang w:val="en-GB"/>
        </w:rPr>
        <w:t>s</w:t>
      </w:r>
      <w:r w:rsidRPr="00DB53BC">
        <w:rPr>
          <w:rFonts w:ascii="Arial" w:hAnsi="Arial" w:cs="Arial"/>
          <w:b/>
          <w:bCs/>
          <w:sz w:val="24"/>
          <w:szCs w:val="24"/>
          <w:lang w:val="en-GB"/>
        </w:rPr>
        <w:t xml:space="preserve"> as </w:t>
      </w:r>
      <w:r w:rsidR="00827336" w:rsidRPr="00DB53BC">
        <w:rPr>
          <w:rFonts w:ascii="Arial" w:hAnsi="Arial" w:cs="Arial"/>
          <w:b/>
          <w:bCs/>
          <w:sz w:val="24"/>
          <w:szCs w:val="24"/>
          <w:lang w:val="en-GB"/>
        </w:rPr>
        <w:t>tuneable</w:t>
      </w:r>
      <w:r w:rsidRPr="00DB53BC">
        <w:rPr>
          <w:rFonts w:ascii="Arial" w:hAnsi="Arial" w:cs="Arial"/>
          <w:b/>
          <w:bCs/>
          <w:sz w:val="24"/>
          <w:szCs w:val="24"/>
          <w:lang w:val="en-GB"/>
        </w:rPr>
        <w:t xml:space="preserve"> organic emitters for </w:t>
      </w:r>
      <w:r w:rsidR="00A06524" w:rsidRPr="00DB53BC">
        <w:rPr>
          <w:rFonts w:ascii="Arial" w:hAnsi="Arial" w:cs="Arial"/>
          <w:b/>
          <w:bCs/>
          <w:sz w:val="24"/>
          <w:szCs w:val="24"/>
          <w:lang w:val="en-GB"/>
        </w:rPr>
        <w:t xml:space="preserve">white bio-hybrid </w:t>
      </w:r>
      <w:proofErr w:type="gramStart"/>
      <w:r w:rsidR="00A06524" w:rsidRPr="00DB53BC">
        <w:rPr>
          <w:rFonts w:ascii="Arial" w:hAnsi="Arial" w:cs="Arial"/>
          <w:b/>
          <w:bCs/>
          <w:sz w:val="24"/>
          <w:szCs w:val="24"/>
          <w:lang w:val="en-GB"/>
        </w:rPr>
        <w:t>LEDs</w:t>
      </w:r>
      <w:proofErr w:type="gramEnd"/>
    </w:p>
    <w:p w14:paraId="14CD90AA" w14:textId="0913BD74" w:rsidR="00A06524" w:rsidRPr="00DB53BC" w:rsidRDefault="00F63641" w:rsidP="00DB53BC">
      <w:pPr>
        <w:spacing w:line="312" w:lineRule="auto"/>
        <w:jc w:val="both"/>
        <w:rPr>
          <w:rFonts w:ascii="Arial" w:hAnsi="Arial" w:cs="Arial"/>
        </w:rPr>
      </w:pPr>
      <w:r w:rsidRPr="00DB53BC">
        <w:rPr>
          <w:rFonts w:ascii="Arial" w:hAnsi="Arial" w:cs="Arial"/>
        </w:rPr>
        <w:t xml:space="preserve">S. </w:t>
      </w:r>
      <w:proofErr w:type="spellStart"/>
      <w:proofErr w:type="gramStart"/>
      <w:r w:rsidRPr="00DB53BC">
        <w:rPr>
          <w:rFonts w:ascii="Arial" w:hAnsi="Arial" w:cs="Arial"/>
        </w:rPr>
        <w:t>Nejrotti,</w:t>
      </w:r>
      <w:r w:rsidR="00614909" w:rsidRPr="00DB53BC">
        <w:rPr>
          <w:rFonts w:ascii="Arial" w:hAnsi="Arial" w:cs="Arial"/>
          <w:vertAlign w:val="superscript"/>
        </w:rPr>
        <w:t>a</w:t>
      </w:r>
      <w:proofErr w:type="spellEnd"/>
      <w:proofErr w:type="gramEnd"/>
      <w:r w:rsidRPr="00DB53BC">
        <w:rPr>
          <w:rFonts w:ascii="Arial" w:hAnsi="Arial" w:cs="Arial"/>
        </w:rPr>
        <w:t xml:space="preserve"> O. </w:t>
      </w:r>
      <w:proofErr w:type="spellStart"/>
      <w:r w:rsidRPr="00DB53BC">
        <w:rPr>
          <w:rFonts w:ascii="Arial" w:hAnsi="Arial" w:cs="Arial"/>
        </w:rPr>
        <w:t>Dumetz,</w:t>
      </w:r>
      <w:r w:rsidR="00614909" w:rsidRPr="00DB53BC">
        <w:rPr>
          <w:rFonts w:ascii="Arial" w:hAnsi="Arial" w:cs="Arial"/>
          <w:vertAlign w:val="superscript"/>
        </w:rPr>
        <w:t>a</w:t>
      </w:r>
      <w:proofErr w:type="spellEnd"/>
      <w:r w:rsidR="000F311E" w:rsidRPr="00DB53BC">
        <w:rPr>
          <w:rFonts w:ascii="Arial" w:hAnsi="Arial" w:cs="Arial"/>
        </w:rPr>
        <w:t xml:space="preserve"> G. </w:t>
      </w:r>
      <w:proofErr w:type="spellStart"/>
      <w:r w:rsidR="000F311E" w:rsidRPr="00DB53BC">
        <w:rPr>
          <w:rFonts w:ascii="Arial" w:hAnsi="Arial" w:cs="Arial"/>
        </w:rPr>
        <w:t>Pittaluga,</w:t>
      </w:r>
      <w:r w:rsidR="00614909" w:rsidRPr="00DB53BC">
        <w:rPr>
          <w:rFonts w:ascii="Arial" w:hAnsi="Arial" w:cs="Arial"/>
          <w:vertAlign w:val="superscript"/>
        </w:rPr>
        <w:t>a</w:t>
      </w:r>
      <w:proofErr w:type="spellEnd"/>
      <w:r w:rsidRPr="00DB53BC">
        <w:rPr>
          <w:rFonts w:ascii="Arial" w:hAnsi="Arial" w:cs="Arial"/>
        </w:rPr>
        <w:t xml:space="preserve"> </w:t>
      </w:r>
      <w:r w:rsidR="008B3C37">
        <w:rPr>
          <w:rFonts w:ascii="Arial" w:hAnsi="Arial" w:cs="Arial"/>
        </w:rPr>
        <w:t xml:space="preserve">S. </w:t>
      </w:r>
      <w:proofErr w:type="spellStart"/>
      <w:r w:rsidR="008B3C37">
        <w:rPr>
          <w:rFonts w:ascii="Arial" w:hAnsi="Arial" w:cs="Arial"/>
        </w:rPr>
        <w:t>Ferrara,</w:t>
      </w:r>
      <w:r w:rsidR="008B3C37" w:rsidRPr="008B3C37">
        <w:rPr>
          <w:rFonts w:ascii="Arial" w:hAnsi="Arial" w:cs="Arial"/>
          <w:vertAlign w:val="superscript"/>
        </w:rPr>
        <w:t>c</w:t>
      </w:r>
      <w:proofErr w:type="spellEnd"/>
      <w:r w:rsidR="008B3C37">
        <w:rPr>
          <w:rFonts w:ascii="Arial" w:hAnsi="Arial" w:cs="Arial"/>
        </w:rPr>
        <w:t xml:space="preserve"> </w:t>
      </w:r>
      <w:r w:rsidRPr="00DB53BC">
        <w:rPr>
          <w:rFonts w:ascii="Arial" w:hAnsi="Arial" w:cs="Arial"/>
        </w:rPr>
        <w:t xml:space="preserve">M. J. </w:t>
      </w:r>
      <w:proofErr w:type="spellStart"/>
      <w:r w:rsidRPr="00DB53BC">
        <w:rPr>
          <w:rFonts w:ascii="Arial" w:hAnsi="Arial" w:cs="Arial"/>
        </w:rPr>
        <w:t>Morán</w:t>
      </w:r>
      <w:proofErr w:type="spellEnd"/>
      <w:r w:rsidRPr="00DB53BC">
        <w:rPr>
          <w:rFonts w:ascii="Arial" w:hAnsi="Arial" w:cs="Arial"/>
        </w:rPr>
        <w:t xml:space="preserve"> </w:t>
      </w:r>
      <w:proofErr w:type="spellStart"/>
      <w:r w:rsidRPr="00DB53BC">
        <w:rPr>
          <w:rFonts w:ascii="Arial" w:hAnsi="Arial" w:cs="Arial"/>
        </w:rPr>
        <w:t>Plata,</w:t>
      </w:r>
      <w:r w:rsidR="00614909" w:rsidRPr="00DB53BC">
        <w:rPr>
          <w:rFonts w:ascii="Arial" w:hAnsi="Arial" w:cs="Arial"/>
          <w:vertAlign w:val="superscript"/>
        </w:rPr>
        <w:t>a</w:t>
      </w:r>
      <w:proofErr w:type="spellEnd"/>
      <w:r w:rsidRPr="00DB53BC">
        <w:rPr>
          <w:rFonts w:ascii="Arial" w:hAnsi="Arial" w:cs="Arial"/>
        </w:rPr>
        <w:t xml:space="preserve"> N. </w:t>
      </w:r>
      <w:proofErr w:type="spellStart"/>
      <w:r w:rsidRPr="00DB53BC">
        <w:rPr>
          <w:rFonts w:ascii="Arial" w:hAnsi="Arial" w:cs="Arial"/>
        </w:rPr>
        <w:t>Barbero,</w:t>
      </w:r>
      <w:r w:rsidR="00614909" w:rsidRPr="00DB53BC">
        <w:rPr>
          <w:rFonts w:ascii="Arial" w:hAnsi="Arial" w:cs="Arial"/>
          <w:vertAlign w:val="superscript"/>
        </w:rPr>
        <w:t>a,b</w:t>
      </w:r>
      <w:proofErr w:type="spellEnd"/>
      <w:r w:rsidRPr="00DB53BC">
        <w:rPr>
          <w:rFonts w:ascii="Arial" w:hAnsi="Arial" w:cs="Arial"/>
        </w:rPr>
        <w:t xml:space="preserve"> R. D. </w:t>
      </w:r>
      <w:proofErr w:type="spellStart"/>
      <w:r w:rsidRPr="00DB53BC">
        <w:rPr>
          <w:rFonts w:ascii="Arial" w:hAnsi="Arial" w:cs="Arial"/>
        </w:rPr>
        <w:t>Costa,</w:t>
      </w:r>
      <w:r w:rsidR="00A31387">
        <w:rPr>
          <w:rFonts w:ascii="Arial" w:hAnsi="Arial" w:cs="Arial"/>
          <w:vertAlign w:val="superscript"/>
        </w:rPr>
        <w:t>c</w:t>
      </w:r>
      <w:proofErr w:type="spellEnd"/>
      <w:r w:rsidRPr="00DB53BC">
        <w:rPr>
          <w:rFonts w:ascii="Arial" w:hAnsi="Arial" w:cs="Arial"/>
        </w:rPr>
        <w:t xml:space="preserve"> C. </w:t>
      </w:r>
      <w:proofErr w:type="spellStart"/>
      <w:r w:rsidRPr="00DB53BC">
        <w:rPr>
          <w:rFonts w:ascii="Arial" w:hAnsi="Arial" w:cs="Arial"/>
        </w:rPr>
        <w:t>Barolo</w:t>
      </w:r>
      <w:r w:rsidR="00614909" w:rsidRPr="00DB53BC">
        <w:rPr>
          <w:rFonts w:ascii="Arial" w:hAnsi="Arial" w:cs="Arial"/>
          <w:vertAlign w:val="superscript"/>
        </w:rPr>
        <w:t>a,b</w:t>
      </w:r>
      <w:proofErr w:type="spellEnd"/>
    </w:p>
    <w:p w14:paraId="77556618" w14:textId="61313F87" w:rsidR="00F63641" w:rsidRPr="00DB53BC" w:rsidRDefault="00614909" w:rsidP="00DB53BC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  <w:r w:rsidRPr="00DB53BC">
        <w:rPr>
          <w:rFonts w:ascii="Arial" w:hAnsi="Arial" w:cs="Arial"/>
          <w:sz w:val="20"/>
          <w:szCs w:val="20"/>
          <w:vertAlign w:val="superscript"/>
        </w:rPr>
        <w:t>a</w:t>
      </w:r>
      <w:r w:rsidRPr="00DB53BC">
        <w:rPr>
          <w:rFonts w:ascii="Arial" w:hAnsi="Arial" w:cs="Arial"/>
          <w:sz w:val="20"/>
          <w:szCs w:val="20"/>
        </w:rPr>
        <w:t xml:space="preserve"> Department of </w:t>
      </w:r>
      <w:proofErr w:type="spellStart"/>
      <w:r w:rsidRPr="00DB53BC">
        <w:rPr>
          <w:rFonts w:ascii="Arial" w:hAnsi="Arial" w:cs="Arial"/>
          <w:sz w:val="20"/>
          <w:szCs w:val="20"/>
        </w:rPr>
        <w:t>Chemistry</w:t>
      </w:r>
      <w:proofErr w:type="spellEnd"/>
      <w:r w:rsidRPr="00DB53BC">
        <w:rPr>
          <w:rFonts w:ascii="Arial" w:hAnsi="Arial" w:cs="Arial"/>
          <w:sz w:val="20"/>
          <w:szCs w:val="20"/>
        </w:rPr>
        <w:t xml:space="preserve">, NIS and INSTM Reference Centre, Università degli Studi di Torino, via G. </w:t>
      </w:r>
      <w:proofErr w:type="spellStart"/>
      <w:r w:rsidRPr="00DB53BC">
        <w:rPr>
          <w:rFonts w:ascii="Arial" w:hAnsi="Arial" w:cs="Arial"/>
          <w:sz w:val="20"/>
          <w:szCs w:val="20"/>
        </w:rPr>
        <w:t>Quarello</w:t>
      </w:r>
      <w:proofErr w:type="spellEnd"/>
      <w:r w:rsidRPr="00DB53BC">
        <w:rPr>
          <w:rFonts w:ascii="Arial" w:hAnsi="Arial" w:cs="Arial"/>
          <w:sz w:val="20"/>
          <w:szCs w:val="20"/>
        </w:rPr>
        <w:t xml:space="preserve"> 15/A, 10135 Torino, </w:t>
      </w:r>
      <w:proofErr w:type="spellStart"/>
      <w:r w:rsidRPr="00DB53BC">
        <w:rPr>
          <w:rFonts w:ascii="Arial" w:hAnsi="Arial" w:cs="Arial"/>
          <w:sz w:val="20"/>
          <w:szCs w:val="20"/>
        </w:rPr>
        <w:t>Italy</w:t>
      </w:r>
      <w:proofErr w:type="spellEnd"/>
    </w:p>
    <w:p w14:paraId="49A22530" w14:textId="62D882FA" w:rsidR="00614909" w:rsidRPr="00DB53BC" w:rsidRDefault="00614909" w:rsidP="00DB53BC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  <w:r w:rsidRPr="00DB53BC">
        <w:rPr>
          <w:rFonts w:ascii="Arial" w:hAnsi="Arial" w:cs="Arial"/>
          <w:sz w:val="20"/>
          <w:szCs w:val="20"/>
          <w:vertAlign w:val="superscript"/>
        </w:rPr>
        <w:t>b</w:t>
      </w:r>
      <w:r w:rsidRPr="00DB53BC">
        <w:rPr>
          <w:rFonts w:ascii="Arial" w:hAnsi="Arial" w:cs="Arial"/>
          <w:sz w:val="20"/>
          <w:szCs w:val="20"/>
        </w:rPr>
        <w:t xml:space="preserve"> </w:t>
      </w:r>
      <w:r w:rsidR="00DB53BC" w:rsidRPr="00DB53BC">
        <w:rPr>
          <w:rFonts w:ascii="Arial" w:hAnsi="Arial" w:cs="Arial"/>
          <w:sz w:val="20"/>
          <w:szCs w:val="20"/>
        </w:rPr>
        <w:t xml:space="preserve">Istituto di Scienza, Tecnologia e Sostenibilità per lo Sviluppo dei Materiali Ceramici (ISSMC-CNR), via Granarolo 64, 48018 Faenza (RA), </w:t>
      </w:r>
      <w:proofErr w:type="spellStart"/>
      <w:r w:rsidR="00DB53BC" w:rsidRPr="00DB53BC">
        <w:rPr>
          <w:rFonts w:ascii="Arial" w:hAnsi="Arial" w:cs="Arial"/>
          <w:sz w:val="20"/>
          <w:szCs w:val="20"/>
        </w:rPr>
        <w:t>Italy</w:t>
      </w:r>
      <w:proofErr w:type="spellEnd"/>
    </w:p>
    <w:p w14:paraId="63F3C449" w14:textId="3366CCD0" w:rsidR="00614909" w:rsidRPr="00DB53BC" w:rsidRDefault="00614909" w:rsidP="00DB53BC">
      <w:pPr>
        <w:spacing w:line="312" w:lineRule="auto"/>
        <w:jc w:val="both"/>
        <w:rPr>
          <w:rFonts w:ascii="Arial" w:hAnsi="Arial" w:cs="Arial"/>
          <w:sz w:val="20"/>
          <w:szCs w:val="20"/>
          <w:lang w:val="en-GB"/>
        </w:rPr>
      </w:pPr>
      <w:r w:rsidRPr="00DB53BC">
        <w:rPr>
          <w:rFonts w:ascii="Arial" w:hAnsi="Arial" w:cs="Arial"/>
          <w:sz w:val="20"/>
          <w:szCs w:val="20"/>
          <w:vertAlign w:val="superscript"/>
          <w:lang w:val="en-GB"/>
        </w:rPr>
        <w:t>c</w:t>
      </w:r>
      <w:r w:rsidRPr="00DB53BC">
        <w:rPr>
          <w:rFonts w:ascii="Arial" w:hAnsi="Arial" w:cs="Arial"/>
          <w:sz w:val="20"/>
          <w:szCs w:val="20"/>
          <w:lang w:val="en-GB"/>
        </w:rPr>
        <w:t xml:space="preserve"> </w:t>
      </w:r>
      <w:r w:rsidR="00DB53BC" w:rsidRPr="00DB53BC">
        <w:rPr>
          <w:rFonts w:ascii="Arial" w:hAnsi="Arial" w:cs="Arial"/>
          <w:sz w:val="20"/>
          <w:szCs w:val="20"/>
          <w:lang w:val="en-GB"/>
        </w:rPr>
        <w:t xml:space="preserve">Technical University of Munich, Chair of Biogenic Functional Materials, </w:t>
      </w:r>
      <w:proofErr w:type="spellStart"/>
      <w:r w:rsidR="00DB53BC" w:rsidRPr="00DB53BC">
        <w:rPr>
          <w:rFonts w:ascii="Arial" w:hAnsi="Arial" w:cs="Arial"/>
          <w:sz w:val="20"/>
          <w:szCs w:val="20"/>
          <w:lang w:val="en-GB"/>
        </w:rPr>
        <w:t>Schulgasse</w:t>
      </w:r>
      <w:proofErr w:type="spellEnd"/>
      <w:r w:rsidR="00DB53BC" w:rsidRPr="00DB53BC">
        <w:rPr>
          <w:rFonts w:ascii="Arial" w:hAnsi="Arial" w:cs="Arial"/>
          <w:sz w:val="20"/>
          <w:szCs w:val="20"/>
          <w:lang w:val="en-GB"/>
        </w:rPr>
        <w:t xml:space="preserve"> 22, 94315 </w:t>
      </w:r>
      <w:proofErr w:type="spellStart"/>
      <w:r w:rsidR="00DB53BC" w:rsidRPr="00DB53BC">
        <w:rPr>
          <w:rFonts w:ascii="Arial" w:hAnsi="Arial" w:cs="Arial"/>
          <w:sz w:val="20"/>
          <w:szCs w:val="20"/>
          <w:lang w:val="en-GB"/>
        </w:rPr>
        <w:t>Straubing</w:t>
      </w:r>
      <w:proofErr w:type="spellEnd"/>
      <w:r w:rsidR="00DB53BC" w:rsidRPr="00DB53BC">
        <w:rPr>
          <w:rFonts w:ascii="Arial" w:hAnsi="Arial" w:cs="Arial"/>
          <w:sz w:val="20"/>
          <w:szCs w:val="20"/>
          <w:lang w:val="en-GB"/>
        </w:rPr>
        <w:t>, Germany</w:t>
      </w:r>
    </w:p>
    <w:p w14:paraId="092DD499" w14:textId="10EAD09C" w:rsidR="000F311E" w:rsidRDefault="00A31C85" w:rsidP="00DB53BC">
      <w:pPr>
        <w:spacing w:line="312" w:lineRule="auto"/>
        <w:jc w:val="both"/>
        <w:rPr>
          <w:rFonts w:ascii="Arial" w:hAnsi="Arial" w:cs="Arial"/>
          <w:lang w:val="en-GB"/>
        </w:rPr>
      </w:pPr>
      <w:r w:rsidRPr="00DB53BC">
        <w:rPr>
          <w:rFonts w:ascii="Arial" w:hAnsi="Arial" w:cs="Arial"/>
          <w:lang w:val="en-GB"/>
        </w:rPr>
        <w:t xml:space="preserve">While LEDs are rapidly becoming the standard for indoor and outdoor lighting, their production and disposal still </w:t>
      </w:r>
      <w:r w:rsidR="00363939" w:rsidRPr="00DB53BC">
        <w:rPr>
          <w:rFonts w:ascii="Arial" w:hAnsi="Arial" w:cs="Arial"/>
          <w:lang w:val="en-GB"/>
        </w:rPr>
        <w:t xml:space="preserve">pose serious sustainability concerns, mainly because of the phosphor component, based on rare-earth elements. </w:t>
      </w:r>
      <w:r w:rsidR="00827336" w:rsidRPr="00DB53BC">
        <w:rPr>
          <w:rFonts w:ascii="Arial" w:hAnsi="Arial" w:cs="Arial"/>
          <w:lang w:val="en-GB"/>
        </w:rPr>
        <w:t>A potential alternative is represented by</w:t>
      </w:r>
      <w:r w:rsidR="00DB53BC">
        <w:rPr>
          <w:rFonts w:ascii="Arial" w:hAnsi="Arial" w:cs="Arial"/>
          <w:lang w:val="en-GB"/>
        </w:rPr>
        <w:t xml:space="preserve"> bio-hybrid LEDs based on</w:t>
      </w:r>
      <w:r w:rsidR="00827336" w:rsidRPr="00DB53BC">
        <w:rPr>
          <w:rFonts w:ascii="Arial" w:hAnsi="Arial" w:cs="Arial"/>
          <w:lang w:val="en-GB"/>
        </w:rPr>
        <w:t xml:space="preserve"> artificial fluorescent proteins, in which an organic fluorophore is embedded into a peptide scaffold (10.1002/anie.20171143). </w:t>
      </w:r>
      <w:r w:rsidR="00614909" w:rsidRPr="00DB53BC">
        <w:rPr>
          <w:rFonts w:ascii="Arial" w:hAnsi="Arial" w:cs="Arial"/>
          <w:lang w:val="en-GB"/>
        </w:rPr>
        <w:t>To this end, we propose b</w:t>
      </w:r>
      <w:r w:rsidR="00827336" w:rsidRPr="00DB53BC">
        <w:rPr>
          <w:rFonts w:ascii="Arial" w:hAnsi="Arial" w:cs="Arial"/>
          <w:lang w:val="en-GB"/>
        </w:rPr>
        <w:t xml:space="preserve">enzothiadiazole-thiophene derivatives </w:t>
      </w:r>
      <w:r w:rsidR="00614909" w:rsidRPr="00DB53BC">
        <w:rPr>
          <w:rFonts w:ascii="Arial" w:hAnsi="Arial" w:cs="Arial"/>
          <w:lang w:val="en-GB"/>
        </w:rPr>
        <w:t>as</w:t>
      </w:r>
      <w:r w:rsidR="00827336" w:rsidRPr="00DB53BC">
        <w:rPr>
          <w:rFonts w:ascii="Arial" w:hAnsi="Arial" w:cs="Arial"/>
          <w:lang w:val="en-GB"/>
        </w:rPr>
        <w:t xml:space="preserve"> a </w:t>
      </w:r>
      <w:r w:rsidR="00614909" w:rsidRPr="00DB53BC">
        <w:rPr>
          <w:rFonts w:ascii="Arial" w:hAnsi="Arial" w:cs="Arial"/>
          <w:lang w:val="en-GB"/>
        </w:rPr>
        <w:t>class</w:t>
      </w:r>
      <w:r w:rsidR="00827336" w:rsidRPr="00DB53BC">
        <w:rPr>
          <w:rFonts w:ascii="Arial" w:hAnsi="Arial" w:cs="Arial"/>
          <w:lang w:val="en-GB"/>
        </w:rPr>
        <w:t xml:space="preserve"> of dyes</w:t>
      </w:r>
      <w:r w:rsidR="00FC50C8">
        <w:rPr>
          <w:rFonts w:ascii="Arial" w:hAnsi="Arial" w:cs="Arial"/>
          <w:lang w:val="en-GB"/>
        </w:rPr>
        <w:t xml:space="preserve"> </w:t>
      </w:r>
      <w:r w:rsidR="00614909" w:rsidRPr="00DB53BC">
        <w:rPr>
          <w:rFonts w:ascii="Arial" w:hAnsi="Arial" w:cs="Arial"/>
          <w:lang w:val="en-GB"/>
        </w:rPr>
        <w:t xml:space="preserve">with </w:t>
      </w:r>
      <w:r w:rsidR="00FC50C8">
        <w:rPr>
          <w:rFonts w:ascii="Arial" w:hAnsi="Arial" w:cs="Arial"/>
          <w:lang w:val="en-GB"/>
        </w:rPr>
        <w:t>remarkable</w:t>
      </w:r>
      <w:r w:rsidR="00614909" w:rsidRPr="00DB53BC">
        <w:rPr>
          <w:rFonts w:ascii="Arial" w:hAnsi="Arial" w:cs="Arial"/>
          <w:lang w:val="en-GB"/>
        </w:rPr>
        <w:t xml:space="preserve"> optical properties</w:t>
      </w:r>
      <w:r w:rsidR="00DB53BC">
        <w:rPr>
          <w:rFonts w:ascii="Arial" w:hAnsi="Arial" w:cs="Arial"/>
          <w:lang w:val="en-GB"/>
        </w:rPr>
        <w:t xml:space="preserve"> and scalable synthetic protocols.</w:t>
      </w:r>
    </w:p>
    <w:p w14:paraId="41ED1619" w14:textId="77777777" w:rsidR="001F1725" w:rsidRDefault="001F1725" w:rsidP="00DB53BC">
      <w:pPr>
        <w:spacing w:line="312" w:lineRule="auto"/>
        <w:jc w:val="both"/>
        <w:rPr>
          <w:rFonts w:ascii="Arial" w:hAnsi="Arial" w:cs="Arial"/>
          <w:lang w:val="en-GB"/>
        </w:rPr>
      </w:pPr>
    </w:p>
    <w:p w14:paraId="1BEC9BC4" w14:textId="77777777" w:rsidR="001F1725" w:rsidRDefault="001F1725" w:rsidP="00DB53BC">
      <w:pPr>
        <w:spacing w:line="312" w:lineRule="auto"/>
        <w:jc w:val="both"/>
        <w:rPr>
          <w:rFonts w:ascii="Arial" w:hAnsi="Arial" w:cs="Arial"/>
          <w:lang w:val="en-GB"/>
        </w:rPr>
      </w:pPr>
    </w:p>
    <w:p w14:paraId="77CEC7B3" w14:textId="77777777" w:rsidR="001F1725" w:rsidRDefault="001F1725" w:rsidP="00DB53BC">
      <w:pPr>
        <w:spacing w:line="312" w:lineRule="auto"/>
        <w:jc w:val="both"/>
        <w:rPr>
          <w:rFonts w:ascii="Arial" w:hAnsi="Arial" w:cs="Arial"/>
          <w:lang w:val="en-GB"/>
        </w:rPr>
      </w:pPr>
    </w:p>
    <w:p w14:paraId="1B5ED922" w14:textId="77777777" w:rsidR="002D385C" w:rsidRDefault="002D385C" w:rsidP="00DB53BC">
      <w:pPr>
        <w:spacing w:line="312" w:lineRule="auto"/>
        <w:jc w:val="both"/>
        <w:rPr>
          <w:rFonts w:ascii="Arial" w:hAnsi="Arial" w:cs="Arial"/>
          <w:lang w:val="en-GB"/>
        </w:rPr>
      </w:pPr>
    </w:p>
    <w:p w14:paraId="141EFAE1" w14:textId="52FC9DF3" w:rsidR="001F1725" w:rsidRPr="00DB53BC" w:rsidRDefault="001F1725" w:rsidP="00DB53BC">
      <w:pPr>
        <w:spacing w:line="312" w:lineRule="auto"/>
        <w:jc w:val="both"/>
        <w:rPr>
          <w:rFonts w:ascii="Arial" w:hAnsi="Arial" w:cs="Arial"/>
          <w:lang w:val="en-GB"/>
        </w:rPr>
      </w:pPr>
      <w:r w:rsidRPr="001F1725">
        <w:rPr>
          <w:rFonts w:ascii="Arial" w:hAnsi="Arial" w:cs="Arial"/>
          <w:b/>
          <w:bCs/>
          <w:lang w:val="en-GB"/>
        </w:rPr>
        <w:t xml:space="preserve">Acknowledgment: </w:t>
      </w:r>
      <w:r w:rsidRPr="001F1725">
        <w:rPr>
          <w:rFonts w:ascii="Arial" w:hAnsi="Arial" w:cs="Arial"/>
          <w:lang w:val="en-GB"/>
        </w:rPr>
        <w:t>The project leading to these results has received funding from the European Union’s Horizon 2020 research and innovation programme under grant agreement No 863170.</w:t>
      </w:r>
    </w:p>
    <w:sectPr w:rsidR="001F1725" w:rsidRPr="00DB53B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73B"/>
    <w:rsid w:val="000F311E"/>
    <w:rsid w:val="001F1725"/>
    <w:rsid w:val="002D385C"/>
    <w:rsid w:val="00325ABE"/>
    <w:rsid w:val="00363939"/>
    <w:rsid w:val="00614909"/>
    <w:rsid w:val="006D073B"/>
    <w:rsid w:val="00753558"/>
    <w:rsid w:val="00827336"/>
    <w:rsid w:val="008B3C37"/>
    <w:rsid w:val="009D2076"/>
    <w:rsid w:val="00A06524"/>
    <w:rsid w:val="00A31387"/>
    <w:rsid w:val="00A31C85"/>
    <w:rsid w:val="00C179BA"/>
    <w:rsid w:val="00C20E39"/>
    <w:rsid w:val="00D26D6D"/>
    <w:rsid w:val="00DB53BC"/>
    <w:rsid w:val="00DF7932"/>
    <w:rsid w:val="00F63641"/>
    <w:rsid w:val="00FC5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417430A"/>
  <w15:chartTrackingRefBased/>
  <w15:docId w15:val="{5151E703-9A83-4C32-9C07-E003756C7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200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Stefano Nejrotti</dc:creator>
  <cp:keywords/>
  <dc:description/>
  <cp:lastModifiedBy>Stefano Nejrotti</cp:lastModifiedBy>
  <cp:revision>7</cp:revision>
  <dcterms:created xsi:type="dcterms:W3CDTF">2023-09-21T08:39:00Z</dcterms:created>
  <dcterms:modified xsi:type="dcterms:W3CDTF">2023-10-05T10:27:00Z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e4b9d6866da393202dfb073c05c768178175a10bfbe3ca3fbfc208dc60b33717</vt:lpwstr>
  </property>
</Properties>
</file>