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6917D8" w14:textId="04D7EFAD" w:rsidR="0050091F" w:rsidRDefault="0050091F" w:rsidP="0050091F">
      <w:pPr>
        <w:widowControl w:val="0"/>
        <w:spacing w:line="480" w:lineRule="auto"/>
        <w:jc w:val="center"/>
        <w:rPr>
          <w:rFonts w:ascii="Times New Roman" w:eastAsia="Times New Roman" w:hAnsi="Times New Roman" w:cs="Times New Roman"/>
          <w:b/>
          <w:sz w:val="28"/>
          <w:szCs w:val="28"/>
          <w:lang w:val="en-US"/>
        </w:rPr>
      </w:pPr>
      <w:r w:rsidRPr="00295FDB">
        <w:rPr>
          <w:rFonts w:ascii="Times New Roman" w:eastAsia="Times New Roman" w:hAnsi="Times New Roman" w:cs="Times New Roman"/>
          <w:b/>
          <w:sz w:val="28"/>
          <w:szCs w:val="28"/>
          <w:lang w:val="en-US"/>
        </w:rPr>
        <w:t>To be or not to be in a romantic relationship: Associations with alexithymia, adult attachment</w:t>
      </w:r>
      <w:r>
        <w:rPr>
          <w:rFonts w:ascii="Times New Roman" w:eastAsia="Times New Roman" w:hAnsi="Times New Roman" w:cs="Times New Roman"/>
          <w:b/>
          <w:sz w:val="28"/>
          <w:szCs w:val="28"/>
          <w:lang w:val="en-US"/>
        </w:rPr>
        <w:t>, and psychological distress</w:t>
      </w:r>
    </w:p>
    <w:p w14:paraId="10C476C3" w14:textId="77777777" w:rsidR="0050091F" w:rsidRPr="000E19B7" w:rsidRDefault="0050091F" w:rsidP="0050091F">
      <w:pPr>
        <w:widowControl w:val="0"/>
        <w:spacing w:line="480" w:lineRule="auto"/>
        <w:jc w:val="center"/>
        <w:rPr>
          <w:rFonts w:ascii="Times New Roman" w:eastAsia="Times New Roman" w:hAnsi="Times New Roman" w:cs="Times New Roman"/>
          <w:i/>
          <w:iCs/>
          <w:sz w:val="24"/>
          <w:szCs w:val="24"/>
        </w:rPr>
      </w:pPr>
      <w:r w:rsidRPr="000E19B7">
        <w:rPr>
          <w:rFonts w:ascii="Times New Roman" w:eastAsia="Times New Roman" w:hAnsi="Times New Roman" w:cs="Times New Roman"/>
          <w:i/>
          <w:iCs/>
          <w:sz w:val="24"/>
          <w:szCs w:val="24"/>
        </w:rPr>
        <w:t>Short title:</w:t>
      </w:r>
      <w:r>
        <w:rPr>
          <w:rFonts w:ascii="Times New Roman" w:eastAsia="Times New Roman" w:hAnsi="Times New Roman" w:cs="Times New Roman"/>
          <w:i/>
          <w:iCs/>
          <w:sz w:val="24"/>
          <w:szCs w:val="24"/>
        </w:rPr>
        <w:t xml:space="preserve"> </w:t>
      </w:r>
      <w:r w:rsidRPr="000E19B7">
        <w:rPr>
          <w:rFonts w:ascii="Times New Roman" w:eastAsia="Times New Roman" w:hAnsi="Times New Roman" w:cs="Times New Roman"/>
          <w:i/>
          <w:iCs/>
          <w:sz w:val="24"/>
          <w:szCs w:val="24"/>
        </w:rPr>
        <w:t>To be or not to be in a romantic relationship</w:t>
      </w:r>
    </w:p>
    <w:p w14:paraId="5C0CE0A5" w14:textId="77777777" w:rsidR="0050091F" w:rsidRDefault="0050091F" w:rsidP="0050091F">
      <w:pPr>
        <w:widowControl w:val="0"/>
        <w:spacing w:line="480" w:lineRule="auto"/>
        <w:rPr>
          <w:rFonts w:ascii="Times New Roman" w:eastAsia="Times New Roman" w:hAnsi="Times New Roman" w:cs="Times New Roman"/>
          <w:sz w:val="24"/>
          <w:szCs w:val="24"/>
        </w:rPr>
      </w:pPr>
    </w:p>
    <w:p w14:paraId="7512F08E" w14:textId="77777777" w:rsidR="0050091F" w:rsidRPr="00667F10" w:rsidRDefault="0050091F" w:rsidP="0050091F">
      <w:pPr>
        <w:widowControl w:val="0"/>
        <w:spacing w:line="480" w:lineRule="auto"/>
        <w:rPr>
          <w:rFonts w:ascii="Times New Roman" w:eastAsia="Times New Roman" w:hAnsi="Times New Roman" w:cs="Times New Roman"/>
          <w:b/>
          <w:sz w:val="24"/>
          <w:szCs w:val="24"/>
          <w:lang w:val="it-IT"/>
        </w:rPr>
      </w:pPr>
      <w:r w:rsidRPr="00667F10">
        <w:rPr>
          <w:rFonts w:ascii="Times New Roman" w:eastAsia="Times New Roman" w:hAnsi="Times New Roman" w:cs="Times New Roman"/>
          <w:b/>
          <w:sz w:val="24"/>
          <w:szCs w:val="24"/>
          <w:lang w:val="it-IT"/>
        </w:rPr>
        <w:t>Annunziata Romeo</w:t>
      </w:r>
      <w:r w:rsidRPr="00667F10">
        <w:rPr>
          <w:rFonts w:ascii="Times New Roman" w:eastAsia="Times New Roman" w:hAnsi="Times New Roman" w:cs="Times New Roman"/>
          <w:b/>
          <w:sz w:val="24"/>
          <w:szCs w:val="24"/>
          <w:vertAlign w:val="superscript"/>
          <w:lang w:val="it-IT"/>
        </w:rPr>
        <w:t>1</w:t>
      </w:r>
      <w:r w:rsidRPr="00667F10">
        <w:rPr>
          <w:rFonts w:ascii="Times New Roman" w:eastAsia="Times New Roman" w:hAnsi="Times New Roman" w:cs="Times New Roman"/>
          <w:b/>
          <w:sz w:val="24"/>
          <w:szCs w:val="24"/>
          <w:lang w:val="it-IT"/>
        </w:rPr>
        <w:t>, Agata Benfante</w:t>
      </w:r>
      <w:r w:rsidRPr="00667F10">
        <w:rPr>
          <w:rFonts w:ascii="Times New Roman" w:eastAsia="Times New Roman" w:hAnsi="Times New Roman" w:cs="Times New Roman"/>
          <w:b/>
          <w:sz w:val="24"/>
          <w:szCs w:val="24"/>
          <w:vertAlign w:val="superscript"/>
          <w:lang w:val="it-IT"/>
        </w:rPr>
        <w:t>1*</w:t>
      </w:r>
      <w:r w:rsidRPr="00667F10">
        <w:rPr>
          <w:rFonts w:ascii="Times New Roman" w:eastAsia="Times New Roman" w:hAnsi="Times New Roman" w:cs="Times New Roman"/>
          <w:b/>
          <w:sz w:val="24"/>
          <w:szCs w:val="24"/>
          <w:lang w:val="it-IT"/>
        </w:rPr>
        <w:t xml:space="preserve">, </w:t>
      </w:r>
      <w:proofErr w:type="spellStart"/>
      <w:r w:rsidRPr="00667F10">
        <w:rPr>
          <w:rFonts w:ascii="Times New Roman" w:eastAsia="Times New Roman" w:hAnsi="Times New Roman" w:cs="Times New Roman"/>
          <w:b/>
          <w:sz w:val="24"/>
          <w:szCs w:val="24"/>
          <w:lang w:val="it-IT"/>
        </w:rPr>
        <w:t>Lorys</w:t>
      </w:r>
      <w:proofErr w:type="spellEnd"/>
      <w:r w:rsidRPr="00667F10">
        <w:rPr>
          <w:rFonts w:ascii="Times New Roman" w:eastAsia="Times New Roman" w:hAnsi="Times New Roman" w:cs="Times New Roman"/>
          <w:b/>
          <w:sz w:val="24"/>
          <w:szCs w:val="24"/>
          <w:lang w:val="it-IT"/>
        </w:rPr>
        <w:t xml:space="preserve"> Castelli</w:t>
      </w:r>
      <w:r w:rsidRPr="00667F10">
        <w:rPr>
          <w:rFonts w:ascii="Times New Roman" w:eastAsia="Times New Roman" w:hAnsi="Times New Roman" w:cs="Times New Roman"/>
          <w:b/>
          <w:sz w:val="24"/>
          <w:szCs w:val="24"/>
          <w:vertAlign w:val="superscript"/>
          <w:lang w:val="it-IT"/>
        </w:rPr>
        <w:t>1</w:t>
      </w:r>
      <w:r w:rsidRPr="00667F10">
        <w:rPr>
          <w:rFonts w:ascii="Times New Roman" w:eastAsia="Times New Roman" w:hAnsi="Times New Roman" w:cs="Times New Roman"/>
          <w:b/>
          <w:sz w:val="24"/>
          <w:szCs w:val="24"/>
          <w:lang w:val="it-IT"/>
        </w:rPr>
        <w:t xml:space="preserve">, </w:t>
      </w:r>
      <w:proofErr w:type="spellStart"/>
      <w:r w:rsidRPr="00667F10">
        <w:rPr>
          <w:rFonts w:ascii="Times New Roman" w:eastAsia="Times New Roman" w:hAnsi="Times New Roman" w:cs="Times New Roman"/>
          <w:b/>
          <w:sz w:val="24"/>
          <w:szCs w:val="24"/>
          <w:lang w:val="it-IT"/>
        </w:rPr>
        <w:t>Marialaura</w:t>
      </w:r>
      <w:proofErr w:type="spellEnd"/>
      <w:r w:rsidRPr="00667F10">
        <w:rPr>
          <w:rFonts w:ascii="Times New Roman" w:eastAsia="Times New Roman" w:hAnsi="Times New Roman" w:cs="Times New Roman"/>
          <w:b/>
          <w:sz w:val="24"/>
          <w:szCs w:val="24"/>
          <w:lang w:val="it-IT"/>
        </w:rPr>
        <w:t xml:space="preserve"> Di Tella</w:t>
      </w:r>
      <w:r w:rsidRPr="00667F10">
        <w:rPr>
          <w:rFonts w:ascii="Times New Roman" w:eastAsia="Times New Roman" w:hAnsi="Times New Roman" w:cs="Times New Roman"/>
          <w:b/>
          <w:sz w:val="24"/>
          <w:szCs w:val="24"/>
          <w:vertAlign w:val="superscript"/>
          <w:lang w:val="it-IT"/>
        </w:rPr>
        <w:t>1</w:t>
      </w:r>
    </w:p>
    <w:p w14:paraId="72A376E3" w14:textId="77777777" w:rsidR="0050091F" w:rsidRDefault="0050091F" w:rsidP="0050091F">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Department of Psychology, University of Turin, Turin, Italy</w:t>
      </w:r>
    </w:p>
    <w:p w14:paraId="0414D3AF" w14:textId="77777777" w:rsidR="0050091F" w:rsidRDefault="0050091F" w:rsidP="0050091F">
      <w:pPr>
        <w:widowControl w:val="0"/>
        <w:spacing w:line="480" w:lineRule="auto"/>
        <w:rPr>
          <w:rFonts w:ascii="Times New Roman" w:eastAsia="Times New Roman" w:hAnsi="Times New Roman" w:cs="Times New Roman"/>
          <w:sz w:val="24"/>
          <w:szCs w:val="24"/>
        </w:rPr>
      </w:pPr>
    </w:p>
    <w:p w14:paraId="2E09A5BC" w14:textId="77777777" w:rsidR="0050091F" w:rsidRDefault="0050091F" w:rsidP="0050091F">
      <w:pPr>
        <w:widowControl w:val="0"/>
        <w:spacing w:line="480" w:lineRule="auto"/>
        <w:rPr>
          <w:rFonts w:ascii="Times New Roman" w:eastAsia="Times New Roman" w:hAnsi="Times New Roman" w:cs="Times New Roman"/>
          <w:sz w:val="24"/>
          <w:szCs w:val="24"/>
        </w:rPr>
      </w:pPr>
    </w:p>
    <w:p w14:paraId="4327E9E0" w14:textId="77777777" w:rsidR="0050091F" w:rsidRDefault="0050091F" w:rsidP="0050091F">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Corresponding author</w:t>
      </w:r>
      <w:r>
        <w:rPr>
          <w:rFonts w:ascii="Times New Roman" w:eastAsia="Times New Roman" w:hAnsi="Times New Roman" w:cs="Times New Roman"/>
          <w:sz w:val="24"/>
          <w:szCs w:val="24"/>
        </w:rPr>
        <w:t xml:space="preserve">: </w:t>
      </w:r>
    </w:p>
    <w:p w14:paraId="6D440246" w14:textId="77777777" w:rsidR="0050091F" w:rsidRDefault="0050091F" w:rsidP="0050091F">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Agata Benfante, </w:t>
      </w:r>
    </w:p>
    <w:p w14:paraId="651837B4" w14:textId="77777777" w:rsidR="0050091F" w:rsidRDefault="0050091F" w:rsidP="0050091F">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agata.benfante@unito.it, </w:t>
      </w:r>
    </w:p>
    <w:p w14:paraId="6D1DF364" w14:textId="77777777" w:rsidR="0050091F" w:rsidRPr="0021421E" w:rsidRDefault="0050091F" w:rsidP="0050091F">
      <w:pPr>
        <w:widowControl w:val="0"/>
        <w:spacing w:line="480" w:lineRule="auto"/>
        <w:rPr>
          <w:rFonts w:ascii="Times New Roman" w:eastAsia="Times New Roman" w:hAnsi="Times New Roman" w:cs="Times New Roman"/>
          <w:sz w:val="24"/>
          <w:szCs w:val="24"/>
          <w:lang w:val="it-IT"/>
        </w:rPr>
      </w:pPr>
      <w:r w:rsidRPr="0021421E">
        <w:rPr>
          <w:rFonts w:ascii="Times New Roman" w:eastAsia="Times New Roman" w:hAnsi="Times New Roman" w:cs="Times New Roman"/>
          <w:sz w:val="24"/>
          <w:szCs w:val="24"/>
          <w:lang w:val="it-IT"/>
        </w:rPr>
        <w:t xml:space="preserve">Via Verdi 10, 10124, Torino, </w:t>
      </w:r>
      <w:proofErr w:type="spellStart"/>
      <w:r w:rsidRPr="0021421E">
        <w:rPr>
          <w:rFonts w:ascii="Times New Roman" w:eastAsia="Times New Roman" w:hAnsi="Times New Roman" w:cs="Times New Roman"/>
          <w:sz w:val="24"/>
          <w:szCs w:val="24"/>
          <w:lang w:val="it-IT"/>
        </w:rPr>
        <w:t>Italy</w:t>
      </w:r>
      <w:proofErr w:type="spellEnd"/>
      <w:r w:rsidRPr="0021421E">
        <w:rPr>
          <w:rFonts w:ascii="Times New Roman" w:eastAsia="Times New Roman" w:hAnsi="Times New Roman" w:cs="Times New Roman"/>
          <w:sz w:val="24"/>
          <w:szCs w:val="24"/>
          <w:lang w:val="it-IT"/>
        </w:rPr>
        <w:t xml:space="preserve">, </w:t>
      </w:r>
    </w:p>
    <w:p w14:paraId="310F3EF6" w14:textId="77777777" w:rsidR="0050091F" w:rsidRPr="0021421E" w:rsidRDefault="0050091F" w:rsidP="0050091F">
      <w:pPr>
        <w:widowControl w:val="0"/>
        <w:spacing w:line="480" w:lineRule="auto"/>
        <w:rPr>
          <w:rFonts w:ascii="Times New Roman" w:eastAsia="Times New Roman" w:hAnsi="Times New Roman" w:cs="Times New Roman"/>
          <w:sz w:val="24"/>
          <w:szCs w:val="24"/>
          <w:lang w:val="it-IT"/>
        </w:rPr>
      </w:pPr>
      <w:r w:rsidRPr="0021421E">
        <w:rPr>
          <w:rFonts w:ascii="Times New Roman" w:eastAsia="Times New Roman" w:hAnsi="Times New Roman" w:cs="Times New Roman"/>
          <w:sz w:val="24"/>
          <w:szCs w:val="24"/>
          <w:lang w:val="it-IT"/>
        </w:rPr>
        <w:t xml:space="preserve">+390110913050 </w:t>
      </w:r>
    </w:p>
    <w:p w14:paraId="30EF31F8" w14:textId="77777777" w:rsidR="0050091F" w:rsidRPr="0021421E" w:rsidRDefault="0050091F" w:rsidP="0050091F">
      <w:pPr>
        <w:widowControl w:val="0"/>
        <w:spacing w:line="480" w:lineRule="auto"/>
        <w:rPr>
          <w:rFonts w:ascii="Times New Roman" w:eastAsia="Times New Roman" w:hAnsi="Times New Roman" w:cs="Times New Roman"/>
          <w:sz w:val="24"/>
          <w:szCs w:val="24"/>
          <w:highlight w:val="yellow"/>
          <w:lang w:val="it-IT"/>
        </w:rPr>
      </w:pPr>
    </w:p>
    <w:p w14:paraId="635CBF53" w14:textId="77777777" w:rsidR="0050091F" w:rsidRPr="0021421E" w:rsidRDefault="0050091F" w:rsidP="0050091F">
      <w:pPr>
        <w:widowControl w:val="0"/>
        <w:spacing w:line="480" w:lineRule="auto"/>
        <w:rPr>
          <w:rFonts w:ascii="Times New Roman" w:eastAsia="Times New Roman" w:hAnsi="Times New Roman" w:cs="Times New Roman"/>
          <w:sz w:val="24"/>
          <w:szCs w:val="24"/>
          <w:highlight w:val="yellow"/>
          <w:lang w:val="it-IT"/>
        </w:rPr>
      </w:pPr>
    </w:p>
    <w:p w14:paraId="7824B0E2" w14:textId="77777777" w:rsidR="0050091F" w:rsidRPr="0021421E" w:rsidRDefault="0050091F" w:rsidP="0050091F">
      <w:pPr>
        <w:widowControl w:val="0"/>
        <w:spacing w:line="480" w:lineRule="auto"/>
        <w:rPr>
          <w:rFonts w:ascii="Times New Roman" w:eastAsia="Times New Roman" w:hAnsi="Times New Roman" w:cs="Times New Roman"/>
          <w:b/>
          <w:bCs/>
          <w:sz w:val="24"/>
          <w:szCs w:val="24"/>
          <w:lang w:val="it-IT"/>
        </w:rPr>
      </w:pPr>
      <w:proofErr w:type="spellStart"/>
      <w:r w:rsidRPr="0021421E">
        <w:rPr>
          <w:rFonts w:ascii="Times New Roman" w:eastAsia="Times New Roman" w:hAnsi="Times New Roman" w:cs="Times New Roman"/>
          <w:b/>
          <w:bCs/>
          <w:sz w:val="24"/>
          <w:szCs w:val="24"/>
          <w:lang w:val="it-IT"/>
        </w:rPr>
        <w:t>Authors</w:t>
      </w:r>
      <w:proofErr w:type="spellEnd"/>
      <w:r w:rsidRPr="0021421E">
        <w:rPr>
          <w:rFonts w:ascii="Times New Roman" w:eastAsia="Times New Roman" w:hAnsi="Times New Roman" w:cs="Times New Roman"/>
          <w:b/>
          <w:bCs/>
          <w:sz w:val="24"/>
          <w:szCs w:val="24"/>
          <w:lang w:val="it-IT"/>
        </w:rPr>
        <w:t xml:space="preserve"> </w:t>
      </w:r>
      <w:proofErr w:type="spellStart"/>
      <w:r w:rsidRPr="0021421E">
        <w:rPr>
          <w:rFonts w:ascii="Times New Roman" w:eastAsia="Times New Roman" w:hAnsi="Times New Roman" w:cs="Times New Roman"/>
          <w:b/>
          <w:bCs/>
          <w:sz w:val="24"/>
          <w:szCs w:val="24"/>
          <w:lang w:val="it-IT"/>
        </w:rPr>
        <w:t>Contribution</w:t>
      </w:r>
      <w:proofErr w:type="spellEnd"/>
    </w:p>
    <w:p w14:paraId="32A2D739" w14:textId="77777777" w:rsidR="0050091F" w:rsidRPr="000E19B7" w:rsidRDefault="0050091F" w:rsidP="0050091F">
      <w:pPr>
        <w:widowControl w:val="0"/>
        <w:spacing w:line="480" w:lineRule="auto"/>
        <w:rPr>
          <w:rFonts w:ascii="Times New Roman" w:eastAsia="Times New Roman" w:hAnsi="Times New Roman" w:cs="Times New Roman"/>
          <w:sz w:val="24"/>
          <w:szCs w:val="24"/>
        </w:rPr>
      </w:pPr>
      <w:r w:rsidRPr="000E19B7">
        <w:rPr>
          <w:rFonts w:ascii="Times New Roman" w:eastAsia="Times New Roman" w:hAnsi="Times New Roman" w:cs="Times New Roman"/>
          <w:sz w:val="24"/>
          <w:szCs w:val="24"/>
        </w:rPr>
        <w:t>Conceived and designed the study: AR, MDT. Data collection: AB, MDT. Data analyses: AR, AB, MDT. Interpretation of data: AR, AB, LC, MDT. Wrote the paper: AR, AB, MDT. Revised the manuscript for important intellectual content: LC. The final version of the manuscript was approved by all authors.</w:t>
      </w:r>
    </w:p>
    <w:p w14:paraId="2C27689F" w14:textId="77777777" w:rsidR="0050091F" w:rsidRDefault="0050091F" w:rsidP="0050091F">
      <w:pPr>
        <w:widowControl w:val="0"/>
        <w:spacing w:line="480" w:lineRule="auto"/>
        <w:rPr>
          <w:rFonts w:ascii="Times New Roman" w:eastAsia="Times New Roman" w:hAnsi="Times New Roman" w:cs="Times New Roman"/>
          <w:sz w:val="24"/>
          <w:szCs w:val="24"/>
        </w:rPr>
      </w:pPr>
    </w:p>
    <w:p w14:paraId="23C10016" w14:textId="77777777" w:rsidR="00E42953" w:rsidRDefault="00E42953" w:rsidP="00E42953">
      <w:pPr>
        <w:jc w:val="center"/>
        <w:rPr>
          <w:rFonts w:ascii="Times New Roman" w:eastAsia="Times New Roman" w:hAnsi="Times New Roman" w:cs="Times New Roman"/>
          <w:b/>
          <w:sz w:val="28"/>
          <w:szCs w:val="28"/>
        </w:rPr>
        <w:sectPr w:rsidR="00E42953">
          <w:headerReference w:type="even" r:id="rId9"/>
          <w:headerReference w:type="default" r:id="rId10"/>
          <w:footerReference w:type="even" r:id="rId11"/>
          <w:footerReference w:type="default" r:id="rId12"/>
          <w:headerReference w:type="first" r:id="rId13"/>
          <w:footerReference w:type="first" r:id="rId14"/>
          <w:pgSz w:w="11909" w:h="16834"/>
          <w:pgMar w:top="1418" w:right="1418" w:bottom="1418" w:left="1418" w:header="720" w:footer="720" w:gutter="0"/>
          <w:pgNumType w:start="1"/>
          <w:cols w:space="720"/>
        </w:sectPr>
      </w:pPr>
    </w:p>
    <w:p w14:paraId="6BF4ADE9" w14:textId="723A5BAA" w:rsidR="005F0572" w:rsidRPr="007A66B0" w:rsidRDefault="00256217" w:rsidP="00E42953">
      <w:pPr>
        <w:jc w:val="center"/>
        <w:rPr>
          <w:rFonts w:ascii="Times New Roman" w:eastAsia="Times New Roman" w:hAnsi="Times New Roman" w:cs="Times New Roman"/>
          <w:b/>
          <w:sz w:val="28"/>
          <w:szCs w:val="28"/>
        </w:rPr>
      </w:pPr>
      <w:r w:rsidRPr="007A66B0">
        <w:rPr>
          <w:rFonts w:ascii="Times New Roman" w:eastAsia="Times New Roman" w:hAnsi="Times New Roman" w:cs="Times New Roman"/>
          <w:b/>
          <w:sz w:val="28"/>
          <w:szCs w:val="28"/>
        </w:rPr>
        <w:lastRenderedPageBreak/>
        <w:t>To be or not to be in a romantic relationship: Associations with alexithymia, adult attachment and psychological distress</w:t>
      </w:r>
    </w:p>
    <w:p w14:paraId="24C0A188" w14:textId="77777777" w:rsidR="005F0572" w:rsidRPr="007A66B0" w:rsidRDefault="00256217">
      <w:pPr>
        <w:widowControl w:val="0"/>
        <w:spacing w:line="480" w:lineRule="auto"/>
        <w:jc w:val="center"/>
        <w:rPr>
          <w:rFonts w:ascii="Times New Roman" w:eastAsia="Times New Roman" w:hAnsi="Times New Roman" w:cs="Times New Roman"/>
          <w:i/>
          <w:sz w:val="24"/>
          <w:szCs w:val="24"/>
        </w:rPr>
      </w:pPr>
      <w:r w:rsidRPr="007A66B0">
        <w:rPr>
          <w:rFonts w:ascii="Times New Roman" w:eastAsia="Times New Roman" w:hAnsi="Times New Roman" w:cs="Times New Roman"/>
          <w:i/>
          <w:sz w:val="24"/>
          <w:szCs w:val="24"/>
        </w:rPr>
        <w:t>Short title: To be or not to be in a romantic relationship</w:t>
      </w:r>
    </w:p>
    <w:p w14:paraId="0D01A8D0"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13B5F534" w14:textId="77777777" w:rsidR="005F0572" w:rsidRPr="007A66B0" w:rsidRDefault="00256217">
      <w:pPr>
        <w:widowControl w:val="0"/>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 xml:space="preserve">Abstract </w:t>
      </w:r>
    </w:p>
    <w:p w14:paraId="468C83DD"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This study aimed to explore alexithymia, attachment and psychological distress in individuals who were in a relationship compared to single individuals. Furthermore, it aimed to evaluate which of the investigated factors could significantly predict the participants’ relationship status. </w:t>
      </w:r>
    </w:p>
    <w:p w14:paraId="17AB8310" w14:textId="363C6672"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A total of 596 participants complete</w:t>
      </w:r>
      <w:r w:rsidR="003433F3">
        <w:rPr>
          <w:rFonts w:ascii="Times New Roman" w:eastAsia="Times New Roman" w:hAnsi="Times New Roman" w:cs="Times New Roman"/>
          <w:sz w:val="24"/>
          <w:szCs w:val="24"/>
        </w:rPr>
        <w:t>d</w:t>
      </w:r>
      <w:r w:rsidRPr="007A66B0">
        <w:rPr>
          <w:rFonts w:ascii="Times New Roman" w:eastAsia="Times New Roman" w:hAnsi="Times New Roman" w:cs="Times New Roman"/>
          <w:sz w:val="24"/>
          <w:szCs w:val="24"/>
        </w:rPr>
        <w:t xml:space="preserve"> a battery of questionnaires, assessing alexithymia, romantic attachment and psychological distress. </w:t>
      </w:r>
    </w:p>
    <w:p w14:paraId="29CFC51F" w14:textId="13A04F28" w:rsidR="005F0572" w:rsidRPr="007A66B0" w:rsidRDefault="000D3AA1">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w:t>
      </w:r>
      <w:r w:rsidRPr="007A66B0">
        <w:rPr>
          <w:rFonts w:ascii="Times New Roman" w:eastAsia="Times New Roman" w:hAnsi="Times New Roman" w:cs="Times New Roman"/>
          <w:sz w:val="24"/>
          <w:szCs w:val="24"/>
        </w:rPr>
        <w:t xml:space="preserve">esults </w:t>
      </w:r>
      <w:r>
        <w:rPr>
          <w:rFonts w:ascii="Times New Roman" w:eastAsia="Times New Roman" w:hAnsi="Times New Roman" w:cs="Times New Roman"/>
          <w:sz w:val="24"/>
          <w:szCs w:val="24"/>
        </w:rPr>
        <w:t>showed</w:t>
      </w:r>
      <w:r w:rsidRPr="007A66B0">
        <w:rPr>
          <w:rFonts w:ascii="Times New Roman" w:eastAsia="Times New Roman" w:hAnsi="Times New Roman" w:cs="Times New Roman"/>
          <w:sz w:val="24"/>
          <w:szCs w:val="24"/>
        </w:rPr>
        <w:t xml:space="preserve"> that participants who were not in a relationship reported higher levels of both anxiety/depressive symptoms and alexithymic traits, as well as higher scores on attachment anxiety and attachment avoidance than those who were in a relationship. Furthermore, age, education, insecure attachment, alexithymia and depressive symptoms were significant predictors in identifying an individual as being single, rather than in a relationship. </w:t>
      </w:r>
    </w:p>
    <w:p w14:paraId="22C9F49B"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The current findings highlight the importance of psychologists and psychotherapists paying attention to these aspects when single clients report the end of a relationship or a desire to find a partner.</w:t>
      </w:r>
    </w:p>
    <w:p w14:paraId="38B99695"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42D2956A"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b/>
          <w:sz w:val="24"/>
          <w:szCs w:val="24"/>
        </w:rPr>
        <w:t xml:space="preserve">Keywords: </w:t>
      </w:r>
      <w:r w:rsidRPr="007A66B0">
        <w:rPr>
          <w:rFonts w:ascii="Times New Roman" w:eastAsia="Times New Roman" w:hAnsi="Times New Roman" w:cs="Times New Roman"/>
          <w:sz w:val="24"/>
          <w:szCs w:val="24"/>
        </w:rPr>
        <w:t>Romantic relationship; Single; Alexithymia; Adult attachment; Psychological distress.</w:t>
      </w:r>
    </w:p>
    <w:p w14:paraId="23BAE1B2"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53712981" w14:textId="77777777" w:rsidR="005F0572" w:rsidRPr="007A66B0" w:rsidRDefault="00256217">
      <w:pPr>
        <w:widowControl w:val="0"/>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Public significant statements:</w:t>
      </w:r>
    </w:p>
    <w:p w14:paraId="37520A69" w14:textId="77777777" w:rsidR="005F0572" w:rsidRPr="007A66B0" w:rsidRDefault="00256217">
      <w:pPr>
        <w:widowControl w:val="0"/>
        <w:numPr>
          <w:ilvl w:val="0"/>
          <w:numId w:val="1"/>
        </w:numPr>
        <w:pBdr>
          <w:top w:val="nil"/>
          <w:left w:val="nil"/>
          <w:bottom w:val="nil"/>
          <w:right w:val="nil"/>
          <w:between w:val="nil"/>
        </w:pBd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Several character, relational and psychological aspects of individuals influence the process of establishing and maintaining romantic relationships. This idea was </w:t>
      </w:r>
      <w:r w:rsidRPr="007A66B0">
        <w:rPr>
          <w:rFonts w:ascii="Times New Roman" w:eastAsia="Times New Roman" w:hAnsi="Times New Roman" w:cs="Times New Roman"/>
          <w:sz w:val="24"/>
          <w:szCs w:val="24"/>
        </w:rPr>
        <w:lastRenderedPageBreak/>
        <w:t>supported by the results of this study, which showed higher levels of psychological distress, alexithymia and insecure attachment (both anxiety and avoidance) in single participants compared to those who were in a relationship.</w:t>
      </w:r>
    </w:p>
    <w:p w14:paraId="61664219" w14:textId="77777777" w:rsidR="005F0572" w:rsidRPr="007A66B0" w:rsidRDefault="00256217">
      <w:pPr>
        <w:widowControl w:val="0"/>
        <w:numPr>
          <w:ilvl w:val="0"/>
          <w:numId w:val="1"/>
        </w:numPr>
        <w:pBdr>
          <w:top w:val="nil"/>
          <w:left w:val="nil"/>
          <w:bottom w:val="nil"/>
          <w:right w:val="nil"/>
          <w:between w:val="nil"/>
        </w:pBd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Our findings may help assess whether any relational therapy could assist individuals in lowering their levels of alexithymia and anxiety/avoidant attachment, and in increasing satisfaction/commitment in their romantic relationship.</w:t>
      </w:r>
    </w:p>
    <w:p w14:paraId="2B029EC3"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1E9164FA"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br w:type="page"/>
      </w:r>
    </w:p>
    <w:p w14:paraId="4ADB7EE5" w14:textId="77777777" w:rsidR="005F0572" w:rsidRPr="007A66B0" w:rsidRDefault="00256217">
      <w:pPr>
        <w:widowControl w:val="0"/>
        <w:spacing w:line="480" w:lineRule="auto"/>
        <w:jc w:val="center"/>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lastRenderedPageBreak/>
        <w:t>Introduction</w:t>
      </w:r>
    </w:p>
    <w:p w14:paraId="619FFA3F" w14:textId="0040F622"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Romantic relationships are characterised by intimacy, which includes feelings of connection</w:t>
      </w:r>
      <w:r w:rsidR="003E56BA">
        <w:rPr>
          <w:rFonts w:ascii="Times New Roman" w:eastAsia="Times New Roman" w:hAnsi="Times New Roman" w:cs="Times New Roman"/>
          <w:sz w:val="24"/>
          <w:szCs w:val="24"/>
        </w:rPr>
        <w:t xml:space="preserve"> and </w:t>
      </w:r>
      <w:r w:rsidRPr="007A66B0">
        <w:rPr>
          <w:rFonts w:ascii="Times New Roman" w:eastAsia="Times New Roman" w:hAnsi="Times New Roman" w:cs="Times New Roman"/>
          <w:sz w:val="24"/>
          <w:szCs w:val="24"/>
        </w:rPr>
        <w:t>sharing with others</w:t>
      </w:r>
      <w:r w:rsidR="003E56BA">
        <w:rPr>
          <w:rFonts w:ascii="Times New Roman" w:eastAsia="Times New Roman" w:hAnsi="Times New Roman" w:cs="Times New Roman"/>
          <w:sz w:val="24"/>
          <w:szCs w:val="24"/>
        </w:rPr>
        <w:t>,</w:t>
      </w:r>
      <w:r w:rsidRPr="007A66B0">
        <w:rPr>
          <w:rFonts w:ascii="Times New Roman" w:eastAsia="Times New Roman" w:hAnsi="Times New Roman" w:cs="Times New Roman"/>
          <w:sz w:val="24"/>
          <w:szCs w:val="24"/>
        </w:rPr>
        <w:t xml:space="preserve"> and open communication (Constant et al., 2021). Several characteristics and relational and psychological aspects of individuals influence the process of establishing and maintaining these relationships. </w:t>
      </w:r>
    </w:p>
    <w:p w14:paraId="515021AC" w14:textId="072D17DE"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Attachment is a pivotal factor in this field. It describes the emotional bonds between the children and their caregivers. Different dimensions of attachment are based on the definition of the image of the self, and the image of the other that from childhood</w:t>
      </w:r>
      <w:r w:rsidR="003E56BA">
        <w:rPr>
          <w:rFonts w:ascii="Times New Roman" w:eastAsia="Times New Roman" w:hAnsi="Times New Roman" w:cs="Times New Roman"/>
          <w:sz w:val="24"/>
          <w:szCs w:val="24"/>
        </w:rPr>
        <w:t xml:space="preserve"> </w:t>
      </w:r>
      <w:r w:rsidRPr="007A66B0">
        <w:rPr>
          <w:rFonts w:ascii="Times New Roman" w:eastAsia="Times New Roman" w:hAnsi="Times New Roman" w:cs="Times New Roman"/>
          <w:sz w:val="24"/>
          <w:szCs w:val="24"/>
        </w:rPr>
        <w:t>contribut</w:t>
      </w:r>
      <w:r w:rsidR="0084196E">
        <w:rPr>
          <w:rFonts w:ascii="Times New Roman" w:eastAsia="Times New Roman" w:hAnsi="Times New Roman" w:cs="Times New Roman"/>
          <w:sz w:val="24"/>
          <w:szCs w:val="24"/>
        </w:rPr>
        <w:t>ing</w:t>
      </w:r>
      <w:r w:rsidRPr="007A66B0">
        <w:rPr>
          <w:rFonts w:ascii="Times New Roman" w:eastAsia="Times New Roman" w:hAnsi="Times New Roman" w:cs="Times New Roman"/>
          <w:sz w:val="24"/>
          <w:szCs w:val="24"/>
        </w:rPr>
        <w:t xml:space="preserve"> to the development of </w:t>
      </w:r>
      <w:r w:rsidR="008673AF">
        <w:rPr>
          <w:rFonts w:ascii="Times New Roman" w:eastAsia="Times New Roman" w:hAnsi="Times New Roman" w:cs="Times New Roman"/>
          <w:sz w:val="24"/>
          <w:szCs w:val="24"/>
        </w:rPr>
        <w:t xml:space="preserve">the </w:t>
      </w:r>
      <w:r w:rsidRPr="007A66B0">
        <w:rPr>
          <w:rFonts w:ascii="Times New Roman" w:eastAsia="Times New Roman" w:hAnsi="Times New Roman" w:cs="Times New Roman"/>
          <w:sz w:val="24"/>
          <w:szCs w:val="24"/>
        </w:rPr>
        <w:t xml:space="preserve">Internal Working Models (Bowlby, 1969). These models are representations of the individual’s attachment relationships that become more complex and differentiated during the course of development (Bowlby, 1969; Li &amp; Chan, 2012; Taylor et al., 2014). Therefore, different attachment dimensions determine how one relates to another even in adulthood (Constant et al., 2021; Li &amp; Chan, 2012). Beginning with theories of attachment in childhood, different approaches have been proposed to characterise adult attachment dimensions. A two-dimensional model of insecure attachment, as recommended by Brennan et al. (1998), identified anxious and avoidant dimensions. Anxious attachment characterises individuals who desire a close relationship with others and worry about being abandoned, whereas avoidant attachment is typical of individuals who fear closeness and try to avoid depending on others. These aspects lead to different ways of connecting with others and difficulties in establishing stable and lasting relationships (Brennan et al., 1998; Fraley et al., 2015; Li &amp; Chan, 2012; Mikulincer &amp; Shaver, 2016). Studying adult attachment using this model has shown that both insecure dimensions of attachment are associated with diminished relationship quality and reduced psychological well-being. In particular, the avoidant dimension of attachment has been negatively associated with overall couple satisfaction, closeness and support in relationships, whereas the anxious dimension has been positively </w:t>
      </w:r>
      <w:r w:rsidRPr="007A66B0">
        <w:rPr>
          <w:rFonts w:ascii="Times New Roman" w:eastAsia="Times New Roman" w:hAnsi="Times New Roman" w:cs="Times New Roman"/>
          <w:sz w:val="24"/>
          <w:szCs w:val="24"/>
        </w:rPr>
        <w:lastRenderedPageBreak/>
        <w:t xml:space="preserve">associated with high conflict in relationships (Li &amp; Chan, 2012). </w:t>
      </w:r>
    </w:p>
    <w:p w14:paraId="0A2894B6" w14:textId="5043DDF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Alexithymia, a personality trait, is another important factor that is often associated with lower relationship satisfaction and worse psychological health outcomes (Hesse &amp; Gibbons, 2019; Humphreys et al., 2009; Lyvers et al., 2021). Alexithymic individuals have difficulties identifying and describing emotions, externally oriented thinking, as well as a high comorbidity of psychological disorders (Humphreys et al., 2009; Lyvers et al., 2021). Alexithymia also causes difficulties in emotional self-regulation, empathising with others and developing intimacy and sentimental communication with partners (Hesse &amp; Gibbons, 2019, Lyvers et al., 2021). Additionally, this trait has been associated with both insecure attachment dimensions. In fact, some studies have indicated that higher levels of alexithymia are linked positively with both higher attachment avoidance and anxiety dimensions (Lyvers et al., 2021; Montebarocci et al., 2004), whereas others have found differential patterns in these associations for the two sub-dimensions (e.g., Fantini-Hauwel et al., 2012).</w:t>
      </w:r>
    </w:p>
    <w:p w14:paraId="7A8C615B" w14:textId="77777777" w:rsidR="003E56BA"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Generally, the relationship between these constructs is likely due to the role of childhood attachment in the development of affect regulation processes that are deficient in alexithymic individuals (Lyvers et al., 2021; Montebarocci et al., 2004; Taylor et al., 2014). Conversely, the different patterns found in the studies could be due to different study conditions (e.g. the use of different instruments).</w:t>
      </w:r>
    </w:p>
    <w:p w14:paraId="4229C89E" w14:textId="3550DF1E"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All these aspects negatively affect the capability to commit to and maintain a romantic relationship (Hesse &amp; Gibbons, 2019; Lyvers et al., 2021). </w:t>
      </w:r>
    </w:p>
    <w:p w14:paraId="58021EE7" w14:textId="38DCD64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Based on this evidence, it is understandable that being involved in a romantic relationship appears to be more difficult for both alexithymic individuals and those with insecure attachment (Pepping &amp; MacDonald, 2019; Scott &amp; Cordoba, 2002), as well as for people with psychological symptoms such as anxiety and depression. </w:t>
      </w:r>
      <w:bookmarkStart w:id="0" w:name="_Hlk170148557"/>
      <w:r w:rsidRPr="007A66B0">
        <w:rPr>
          <w:rFonts w:ascii="Times New Roman" w:eastAsia="Times New Roman" w:hAnsi="Times New Roman" w:cs="Times New Roman"/>
          <w:sz w:val="24"/>
          <w:szCs w:val="24"/>
        </w:rPr>
        <w:t xml:space="preserve">Considering these factors separately, the available literature shows that single people tend to report greater psychological </w:t>
      </w:r>
      <w:r w:rsidRPr="007A66B0">
        <w:rPr>
          <w:rFonts w:ascii="Times New Roman" w:eastAsia="Times New Roman" w:hAnsi="Times New Roman" w:cs="Times New Roman"/>
          <w:sz w:val="24"/>
          <w:szCs w:val="24"/>
        </w:rPr>
        <w:lastRenderedPageBreak/>
        <w:t xml:space="preserve">symptoms, alexithymia and insecure attachment (Adamczyk, &amp; Bookwala, 2013; Darghouth et al., 2015; Hesse &amp; Gibbons, 2019). </w:t>
      </w:r>
      <w:bookmarkEnd w:id="0"/>
      <w:r w:rsidRPr="007A66B0">
        <w:rPr>
          <w:rFonts w:ascii="Times New Roman" w:eastAsia="Times New Roman" w:hAnsi="Times New Roman" w:cs="Times New Roman"/>
          <w:sz w:val="24"/>
          <w:szCs w:val="24"/>
        </w:rPr>
        <w:t xml:space="preserve">Conversely, individuals with better psychological health are more likely to find a partner (Gibbs et al., 2011). </w:t>
      </w:r>
    </w:p>
    <w:p w14:paraId="64686506"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Therefore, the present study aimed to analyse the differences in anxiety and depressive symptoms, alexithymia and attachment dimensions between individuals who were in romantic relationships and those who were not. Furthermore, it aimed to evaluate which of the investigated factors could significantly predict the participants’ relationship status. To the best of our knowledge, no previous study has examined these predictors together or in the general Italian population.</w:t>
      </w:r>
    </w:p>
    <w:p w14:paraId="13F8809B"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Particularly, the following hypotheses have been tested:</w:t>
      </w:r>
    </w:p>
    <w:p w14:paraId="3F6A8397" w14:textId="77777777" w:rsidR="005F0572" w:rsidRPr="007A66B0" w:rsidRDefault="00256217">
      <w:pPr>
        <w:widowControl w:val="0"/>
        <w:spacing w:line="480" w:lineRule="auto"/>
        <w:rPr>
          <w:rFonts w:ascii="Times New Roman" w:eastAsia="Times New Roman" w:hAnsi="Times New Roman" w:cs="Times New Roman"/>
          <w:sz w:val="24"/>
          <w:szCs w:val="24"/>
          <w:highlight w:val="yellow"/>
        </w:rPr>
      </w:pPr>
      <w:r w:rsidRPr="007A66B0">
        <w:rPr>
          <w:rFonts w:ascii="Times New Roman" w:eastAsia="Times New Roman" w:hAnsi="Times New Roman" w:cs="Times New Roman"/>
          <w:sz w:val="24"/>
          <w:szCs w:val="24"/>
        </w:rPr>
        <w:t xml:space="preserve">H1. </w:t>
      </w:r>
      <w:r w:rsidRPr="007A66B0">
        <w:rPr>
          <w:rFonts w:ascii="Times New Roman" w:eastAsia="Times New Roman" w:hAnsi="Times New Roman" w:cs="Times New Roman"/>
          <w:sz w:val="24"/>
          <w:szCs w:val="24"/>
          <w:highlight w:val="yellow"/>
        </w:rPr>
        <w:t>Participants who are not in a relationship will report worse mental health, higher levels of alexithymia and greater dimensions of insecure attachment than those who are in a relationship.</w:t>
      </w:r>
    </w:p>
    <w:p w14:paraId="7447040E" w14:textId="499CBC17" w:rsidR="005F0572" w:rsidRPr="007A66B0" w:rsidRDefault="00256217">
      <w:pPr>
        <w:widowControl w:val="0"/>
        <w:spacing w:line="480" w:lineRule="auto"/>
        <w:rPr>
          <w:rFonts w:ascii="Times New Roman" w:eastAsia="Times New Roman" w:hAnsi="Times New Roman" w:cs="Times New Roman"/>
          <w:sz w:val="24"/>
          <w:szCs w:val="24"/>
          <w:highlight w:val="yellow"/>
        </w:rPr>
      </w:pPr>
      <w:r w:rsidRPr="007A66B0">
        <w:rPr>
          <w:rFonts w:ascii="Times New Roman" w:eastAsia="Times New Roman" w:hAnsi="Times New Roman" w:cs="Times New Roman"/>
          <w:sz w:val="24"/>
          <w:szCs w:val="24"/>
        </w:rPr>
        <w:t xml:space="preserve">H2. </w:t>
      </w:r>
      <w:bookmarkStart w:id="1" w:name="_Hlk170148635"/>
      <w:r w:rsidRPr="007A66B0">
        <w:rPr>
          <w:rFonts w:ascii="Times New Roman" w:eastAsia="Times New Roman" w:hAnsi="Times New Roman" w:cs="Times New Roman"/>
          <w:sz w:val="24"/>
          <w:szCs w:val="24"/>
          <w:highlight w:val="yellow"/>
        </w:rPr>
        <w:t>Psychological symptoms, insecure attachment and alexithymia will most likely be associated with single status</w:t>
      </w:r>
      <w:bookmarkEnd w:id="1"/>
      <w:r w:rsidRPr="007A66B0">
        <w:rPr>
          <w:rFonts w:ascii="Times New Roman" w:eastAsia="Times New Roman" w:hAnsi="Times New Roman" w:cs="Times New Roman"/>
          <w:sz w:val="24"/>
          <w:szCs w:val="24"/>
          <w:highlight w:val="yellow"/>
        </w:rPr>
        <w:t>.</w:t>
      </w:r>
    </w:p>
    <w:p w14:paraId="637382DF"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61709387" w14:textId="77777777" w:rsidR="005F0572" w:rsidRPr="007A66B0" w:rsidRDefault="00256217">
      <w:pPr>
        <w:widowControl w:val="0"/>
        <w:spacing w:line="480" w:lineRule="auto"/>
        <w:jc w:val="center"/>
        <w:rPr>
          <w:rFonts w:ascii="Times New Roman" w:eastAsia="Times New Roman" w:hAnsi="Times New Roman" w:cs="Times New Roman"/>
          <w:b/>
          <w:i/>
          <w:sz w:val="24"/>
          <w:szCs w:val="24"/>
        </w:rPr>
      </w:pPr>
      <w:r w:rsidRPr="007A66B0">
        <w:rPr>
          <w:rFonts w:ascii="Times New Roman" w:eastAsia="Times New Roman" w:hAnsi="Times New Roman" w:cs="Times New Roman"/>
          <w:b/>
          <w:sz w:val="24"/>
          <w:szCs w:val="24"/>
        </w:rPr>
        <w:t>Methods</w:t>
      </w:r>
    </w:p>
    <w:p w14:paraId="36D89F2D"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Data were collected via an anonymous online survey from 4 December 2020 to 10 January 2021. A snowballing strategy was used in which participants were first recruited through online advertisements and encouraged to share the survey link with others. The current data are part of a broader investigation, and only those relevant to the research question are presented here.</w:t>
      </w:r>
    </w:p>
    <w:p w14:paraId="2F5F41DD"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A total of 596 participants (mean ± SD age: 35.5 ± 14.0; women: 442, 74%) were eligible for the study and made up the final sample. The exclusion criteria were age &lt; 18 years and insufficient knowledge of the Italian language. </w:t>
      </w:r>
    </w:p>
    <w:p w14:paraId="746E7DD2" w14:textId="0078FC71"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lastRenderedPageBreak/>
        <w:t>Participants were required to provide sociodemographic data (age, gender, educational level</w:t>
      </w:r>
      <w:r w:rsidRPr="007A66B0">
        <w:rPr>
          <w:rFonts w:ascii="Times New Roman" w:eastAsia="Times New Roman" w:hAnsi="Times New Roman" w:cs="Times New Roman"/>
          <w:sz w:val="24"/>
          <w:szCs w:val="24"/>
          <w:vertAlign w:val="superscript"/>
        </w:rPr>
        <w:footnoteReference w:id="1"/>
      </w:r>
      <w:r w:rsidRPr="007A66B0">
        <w:rPr>
          <w:rFonts w:ascii="Times New Roman" w:eastAsia="Times New Roman" w:hAnsi="Times New Roman" w:cs="Times New Roman"/>
          <w:sz w:val="24"/>
          <w:szCs w:val="24"/>
        </w:rPr>
        <w:t xml:space="preserve"> and relationship status, which was evaluated with the following question: ‘Are you currently involved in a romantic relationship?’</w:t>
      </w:r>
      <w:r w:rsidR="003E56BA">
        <w:rPr>
          <w:rFonts w:ascii="Times New Roman" w:eastAsia="Times New Roman" w:hAnsi="Times New Roman" w:cs="Times New Roman"/>
          <w:sz w:val="24"/>
          <w:szCs w:val="24"/>
        </w:rPr>
        <w:t xml:space="preserve"> </w:t>
      </w:r>
      <w:r w:rsidRPr="007A66B0">
        <w:rPr>
          <w:rFonts w:ascii="Times New Roman" w:eastAsia="Times New Roman" w:hAnsi="Times New Roman" w:cs="Times New Roman"/>
          <w:sz w:val="24"/>
          <w:szCs w:val="24"/>
        </w:rPr>
        <w:t>with a yes/no answer) and to complete the following measures: (1) the Toronto Alexithymia Scale (TAS-20) (Bressi et al., 1996; Taylor et al., 2003) to evaluate alexithymia (α = .77); (2) the Experiences in Close Relationships-12 scale (ECR-12) (Brugnera et al., 2019; Lafontaine et al., 2016) to assess attachment to romantic partners (α scores = .83 for attachment anxiety and .88 for attachment avoidance); (3) the Form Y of the State-Trait Anxiety Inventory (STAI-Y) (Pedrabissi &amp; Santinello, 1989; Spielberger et al., 1983) to evaluate anxiety symptoms (α = .96); and (4) the Beck Depression Inventory-II (BDI-II) (Beck et al., 1996; Ghisi et al., 2006) to assess depressive symptoms (α = .93).</w:t>
      </w:r>
    </w:p>
    <w:p w14:paraId="4DDDC684" w14:textId="3FF3850E"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To achieve the main objectives of the present study, first, independent samples </w:t>
      </w:r>
      <w:r w:rsidRPr="007A66B0">
        <w:rPr>
          <w:rFonts w:ascii="Times New Roman" w:eastAsia="Times New Roman" w:hAnsi="Times New Roman" w:cs="Times New Roman"/>
          <w:i/>
          <w:sz w:val="24"/>
          <w:szCs w:val="24"/>
        </w:rPr>
        <w:t>t</w:t>
      </w:r>
      <w:r w:rsidRPr="007A66B0">
        <w:rPr>
          <w:rFonts w:ascii="Times New Roman" w:eastAsia="Times New Roman" w:hAnsi="Times New Roman" w:cs="Times New Roman"/>
          <w:sz w:val="24"/>
          <w:szCs w:val="24"/>
        </w:rPr>
        <w:t>-test and Pearson’s chi-square test (χ</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 were used to examine group differences in continuous and categorical variables, respectively. The effect size was determined by calculating Cohen’s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values. </w:t>
      </w:r>
    </w:p>
    <w:p w14:paraId="50159F14"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In the second step, a hierarchical logistic regression analysis was conducted to examine whether sociodemographic variables (i.e. age, gender and educational level, first block), romantic attachment dimensions and alexithymia (i.e. ECR-12 and TAS-20, second block), and anxiety/depressive symptoms (i.e. STAI Y1 and BDI-II, third block) predicted group membership (i.e. participants who were not in a relationship vs. those who were in a relationship). The Enter method was used to include the variables of the predictor groups. </w:t>
      </w:r>
      <w:r w:rsidRPr="007A66B0">
        <w:rPr>
          <w:rFonts w:ascii="Times New Roman" w:eastAsia="Times New Roman" w:hAnsi="Times New Roman" w:cs="Times New Roman"/>
          <w:sz w:val="24"/>
          <w:szCs w:val="24"/>
        </w:rPr>
        <w:lastRenderedPageBreak/>
        <w:t xml:space="preserve">Adjusted odds ratios (ORs) and 95% confidence intervals (CIs) were calculated for the predictors of both logistic regression models. Multicollinearity was assessed through the statistical factor of tolerance and variance inflation factor (VIF). The level of significance for all statistical tests was set at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&lt; .05.</w:t>
      </w:r>
    </w:p>
    <w:p w14:paraId="68849609" w14:textId="63397B15" w:rsidR="005F0572" w:rsidRPr="007A66B0" w:rsidRDefault="00256217">
      <w:pPr>
        <w:spacing w:line="480" w:lineRule="auto"/>
        <w:rPr>
          <w:rFonts w:ascii="Times New Roman" w:eastAsia="Times New Roman" w:hAnsi="Times New Roman" w:cs="Times New Roman"/>
          <w:sz w:val="24"/>
          <w:szCs w:val="24"/>
        </w:rPr>
      </w:pPr>
      <w:bookmarkStart w:id="2" w:name="_Hlk170148890"/>
      <w:r w:rsidRPr="007A66B0">
        <w:rPr>
          <w:rFonts w:ascii="Times New Roman" w:eastAsia="Times New Roman" w:hAnsi="Times New Roman" w:cs="Times New Roman"/>
          <w:sz w:val="24"/>
          <w:szCs w:val="24"/>
        </w:rPr>
        <w:t xml:space="preserve">Normal distribution was assessed using indices for asymmetry and kurtosis. All variables were normally distributed (values for asymmetry and kurtosis between -2 and +2 are considered acceptable to prove normal univariate distribution; George &amp; Mallery, 2010). </w:t>
      </w:r>
      <w:bookmarkEnd w:id="2"/>
      <w:r w:rsidRPr="007A66B0">
        <w:rPr>
          <w:rFonts w:ascii="Times New Roman" w:eastAsia="Times New Roman" w:hAnsi="Times New Roman" w:cs="Times New Roman"/>
          <w:sz w:val="24"/>
          <w:szCs w:val="24"/>
        </w:rPr>
        <w:t>All statistical analyses were conducted using the Statistical Package for Social Sciences (SPSS) version 26.0 (IBM SPSS Statistics for Windows, Armonk, NY, USA: IBM Corp.).</w:t>
      </w:r>
    </w:p>
    <w:p w14:paraId="417CB3F5" w14:textId="5C516560" w:rsidR="005F0572" w:rsidRPr="007A66B0" w:rsidRDefault="00256217">
      <w:pPr>
        <w:widowControl w:val="0"/>
        <w:spacing w:line="480" w:lineRule="auto"/>
        <w:rPr>
          <w:rFonts w:ascii="Times New Roman" w:eastAsia="Times New Roman" w:hAnsi="Times New Roman" w:cs="Times New Roman"/>
          <w:b/>
          <w:i/>
          <w:sz w:val="24"/>
          <w:szCs w:val="24"/>
        </w:rPr>
      </w:pPr>
      <w:r w:rsidRPr="007A66B0">
        <w:rPr>
          <w:rFonts w:ascii="Times New Roman" w:eastAsia="Times New Roman" w:hAnsi="Times New Roman" w:cs="Times New Roman"/>
          <w:sz w:val="24"/>
          <w:szCs w:val="24"/>
        </w:rPr>
        <w:t xml:space="preserve">This study was approved by the </w:t>
      </w:r>
      <w:r w:rsidR="00B417DB" w:rsidRPr="00B417DB">
        <w:rPr>
          <w:rFonts w:ascii="Times New Roman" w:eastAsia="Times New Roman" w:hAnsi="Times New Roman" w:cs="Times New Roman"/>
          <w:sz w:val="24"/>
          <w:szCs w:val="24"/>
        </w:rPr>
        <w:t xml:space="preserve">Ethics Committee </w:t>
      </w:r>
      <w:r w:rsidR="00B417DB">
        <w:rPr>
          <w:rFonts w:ascii="Times New Roman" w:eastAsia="Times New Roman" w:hAnsi="Times New Roman" w:cs="Times New Roman"/>
          <w:sz w:val="24"/>
          <w:szCs w:val="24"/>
        </w:rPr>
        <w:t xml:space="preserve">of the </w:t>
      </w:r>
      <w:r w:rsidRPr="007A66B0">
        <w:rPr>
          <w:rFonts w:ascii="Times New Roman" w:eastAsia="Times New Roman" w:hAnsi="Times New Roman" w:cs="Times New Roman"/>
          <w:sz w:val="24"/>
          <w:szCs w:val="24"/>
        </w:rPr>
        <w:t>University of XXX (protocol no. 488755) and was conducted in accordance with the Declaration of Helsinki. All the participants provided written informed consent.</w:t>
      </w:r>
    </w:p>
    <w:p w14:paraId="68108BED" w14:textId="77777777" w:rsidR="005F0572" w:rsidRPr="007A66B0" w:rsidRDefault="005F0572">
      <w:pPr>
        <w:widowControl w:val="0"/>
        <w:spacing w:line="480" w:lineRule="auto"/>
        <w:jc w:val="center"/>
        <w:rPr>
          <w:rFonts w:ascii="Times New Roman" w:eastAsia="Times New Roman" w:hAnsi="Times New Roman" w:cs="Times New Roman"/>
          <w:b/>
          <w:sz w:val="24"/>
          <w:szCs w:val="24"/>
        </w:rPr>
      </w:pPr>
    </w:p>
    <w:p w14:paraId="5DD4FFB4" w14:textId="77777777" w:rsidR="005F0572" w:rsidRPr="007A66B0" w:rsidRDefault="00256217">
      <w:pPr>
        <w:widowControl w:val="0"/>
        <w:spacing w:line="480" w:lineRule="auto"/>
        <w:jc w:val="center"/>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Results</w:t>
      </w:r>
    </w:p>
    <w:p w14:paraId="4F6278DA"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Comparisons between participants who were not in a relationship and those who were in a relationship revealed that the former were younger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 .035,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0.18) and had lower educational levels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 .003) than the latter ones. Moreover, participants who were not in a relationship reported higher levels of both anxiety/depressive symptoms (STAI Y1: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&lt; .001,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0.38; BDI-II: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&lt; .001,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0.52) and alexithymic traits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&lt; .05,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0.23) as well as higher scores on attachment anxiety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&lt; .001,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0.58) and attachment avoidance (</w:t>
      </w:r>
      <w:r w:rsidRPr="007A66B0">
        <w:rPr>
          <w:rFonts w:ascii="Times New Roman" w:eastAsia="Times New Roman" w:hAnsi="Times New Roman" w:cs="Times New Roman"/>
          <w:i/>
          <w:sz w:val="24"/>
          <w:szCs w:val="24"/>
        </w:rPr>
        <w:t xml:space="preserve">p </w:t>
      </w:r>
      <w:r w:rsidRPr="007A66B0">
        <w:rPr>
          <w:rFonts w:ascii="Times New Roman" w:eastAsia="Times New Roman" w:hAnsi="Times New Roman" w:cs="Times New Roman"/>
          <w:sz w:val="24"/>
          <w:szCs w:val="24"/>
        </w:rPr>
        <w:t xml:space="preserve">&lt; .001, </w:t>
      </w:r>
      <w:r w:rsidRPr="007A66B0">
        <w:rPr>
          <w:rFonts w:ascii="Times New Roman" w:eastAsia="Times New Roman" w:hAnsi="Times New Roman" w:cs="Times New Roman"/>
          <w:i/>
          <w:sz w:val="24"/>
          <w:szCs w:val="24"/>
        </w:rPr>
        <w:t>d</w:t>
      </w:r>
      <w:r w:rsidRPr="007A66B0">
        <w:rPr>
          <w:rFonts w:ascii="Times New Roman" w:eastAsia="Times New Roman" w:hAnsi="Times New Roman" w:cs="Times New Roman"/>
          <w:sz w:val="24"/>
          <w:szCs w:val="24"/>
        </w:rPr>
        <w:t xml:space="preserve"> = 0.72) than those who were in a relationship (</w:t>
      </w:r>
      <w:r w:rsidRPr="007A66B0">
        <w:rPr>
          <w:rFonts w:ascii="Times New Roman" w:eastAsia="Times New Roman" w:hAnsi="Times New Roman" w:cs="Times New Roman"/>
          <w:b/>
          <w:sz w:val="24"/>
          <w:szCs w:val="24"/>
        </w:rPr>
        <w:t>Table 1</w:t>
      </w:r>
      <w:r w:rsidRPr="007A66B0">
        <w:rPr>
          <w:rFonts w:ascii="Times New Roman" w:eastAsia="Times New Roman" w:hAnsi="Times New Roman" w:cs="Times New Roman"/>
          <w:sz w:val="24"/>
          <w:szCs w:val="24"/>
        </w:rPr>
        <w:t xml:space="preserve">). </w:t>
      </w:r>
    </w:p>
    <w:p w14:paraId="1ACC9381" w14:textId="77777777" w:rsidR="003E56BA"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Similarly, results of the hierarchical logistic regression analysis showed that age (OR = 0.98; 95% CI = 0.96;0.99), educational level (OR = 0.61; 95% CI = 0.40;0.92), ECR ‘Anxiety’ (OR = 1.42; 95% CI = 1.21;1.66), ECR ‘Avoidance’ (OR = 1.94; 95% CI = 1.62;2.33), TAS-20 total (OR = 0.97; 95% CI = 0.95;0.99) and BDI-II total (OR = 1.05; 95% CI = 1.02;1.08) </w:t>
      </w:r>
      <w:r w:rsidRPr="007A66B0">
        <w:rPr>
          <w:rFonts w:ascii="Times New Roman" w:eastAsia="Times New Roman" w:hAnsi="Times New Roman" w:cs="Times New Roman"/>
          <w:sz w:val="24"/>
          <w:szCs w:val="24"/>
        </w:rPr>
        <w:lastRenderedPageBreak/>
        <w:t xml:space="preserve">were statistically significant predictors of group membership. The final model explained 26% of the variance, with 74% of the participants correctly categorised </w:t>
      </w:r>
      <w:r w:rsidRPr="00B417DB">
        <w:rPr>
          <w:rFonts w:ascii="Times New Roman" w:eastAsia="Times New Roman" w:hAnsi="Times New Roman" w:cs="Times New Roman"/>
          <w:sz w:val="24"/>
          <w:szCs w:val="24"/>
        </w:rPr>
        <w:t>as not in a relationship/in a relationship (</w:t>
      </w:r>
      <w:r w:rsidRPr="00B417DB">
        <w:rPr>
          <w:rFonts w:ascii="Times New Roman" w:eastAsia="Times New Roman" w:hAnsi="Times New Roman" w:cs="Times New Roman"/>
          <w:b/>
          <w:sz w:val="24"/>
          <w:szCs w:val="24"/>
        </w:rPr>
        <w:t>Table 2</w:t>
      </w:r>
      <w:r w:rsidRPr="00B417DB">
        <w:rPr>
          <w:rFonts w:ascii="Times New Roman" w:eastAsia="Times New Roman" w:hAnsi="Times New Roman" w:cs="Times New Roman"/>
          <w:sz w:val="24"/>
          <w:szCs w:val="24"/>
        </w:rPr>
        <w:t>).</w:t>
      </w:r>
      <w:r w:rsidR="00B417DB">
        <w:rPr>
          <w:rFonts w:ascii="Times New Roman" w:eastAsia="Times New Roman" w:hAnsi="Times New Roman" w:cs="Times New Roman"/>
          <w:sz w:val="24"/>
          <w:szCs w:val="24"/>
        </w:rPr>
        <w:t xml:space="preserve"> </w:t>
      </w:r>
    </w:p>
    <w:p w14:paraId="4C126A5F" w14:textId="5B4FADD4"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The statistical factors of tolerance and VIF showed no interfering interactions between the variables.</w:t>
      </w:r>
    </w:p>
    <w:p w14:paraId="798799D9"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622603C7" w14:textId="77777777" w:rsidR="005F0572" w:rsidRPr="007A66B0" w:rsidRDefault="00256217">
      <w:pPr>
        <w:widowControl w:val="0"/>
        <w:spacing w:line="480" w:lineRule="auto"/>
        <w:jc w:val="center"/>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Discussion</w:t>
      </w:r>
    </w:p>
    <w:p w14:paraId="676BE380"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In line with our first hypothesis, the present study revealed higher levels of anxiety/depressive symptoms, alexithymia and insecure attachment dimensions (both avoidance and anxiety) in participants who were not in a relationship than in those who were in a relationship. </w:t>
      </w:r>
    </w:p>
    <w:p w14:paraId="31038928" w14:textId="4EC9CEE1" w:rsidR="005F0572" w:rsidRPr="007A66B0" w:rsidRDefault="00256217">
      <w:pPr>
        <w:widowControl w:val="0"/>
        <w:spacing w:line="480" w:lineRule="auto"/>
        <w:rPr>
          <w:rFonts w:ascii="Times New Roman" w:eastAsia="Times New Roman" w:hAnsi="Times New Roman" w:cs="Times New Roman"/>
          <w:sz w:val="20"/>
          <w:szCs w:val="20"/>
        </w:rPr>
      </w:pPr>
      <w:r w:rsidRPr="007A66B0">
        <w:rPr>
          <w:rFonts w:ascii="Times New Roman" w:eastAsia="Times New Roman" w:hAnsi="Times New Roman" w:cs="Times New Roman"/>
          <w:sz w:val="24"/>
          <w:szCs w:val="24"/>
        </w:rPr>
        <w:t>Prior research has provided strong evidence of an association between marriage and better mental and physical health (Braithwaite &amp; Holt-Lunstad, 2017; Williams &amp; Umberson, 2004). Similarly, studies that focused on the role of non-marital relationships (e.g. dating relationships and cohabitation) in mental health conditions among young adults (e.g., Barr et al., 2013, 2016) found that young adults in non-marital relationships reported lower depressive symptoms than among those who were single.</w:t>
      </w:r>
      <w:r w:rsidRPr="007A66B0">
        <w:rPr>
          <w:rFonts w:ascii="Times New Roman" w:eastAsia="Times New Roman" w:hAnsi="Times New Roman" w:cs="Times New Roman"/>
          <w:sz w:val="20"/>
          <w:szCs w:val="20"/>
        </w:rPr>
        <w:t xml:space="preserve"> </w:t>
      </w:r>
    </w:p>
    <w:p w14:paraId="6FB18D55" w14:textId="77777777" w:rsidR="005F0572" w:rsidRPr="007A66B0" w:rsidRDefault="00256217">
      <w:pPr>
        <w:widowControl w:val="0"/>
        <w:spacing w:line="480" w:lineRule="auto"/>
        <w:rPr>
          <w:rFonts w:ascii="Times New Roman" w:eastAsia="Times New Roman" w:hAnsi="Times New Roman" w:cs="Times New Roman"/>
          <w:sz w:val="20"/>
          <w:szCs w:val="20"/>
        </w:rPr>
      </w:pPr>
      <w:r w:rsidRPr="007A66B0">
        <w:rPr>
          <w:rFonts w:ascii="Times New Roman" w:eastAsia="Times New Roman" w:hAnsi="Times New Roman" w:cs="Times New Roman"/>
          <w:sz w:val="24"/>
          <w:szCs w:val="24"/>
        </w:rPr>
        <w:t xml:space="preserve">Although having a partner does not guarantee better health </w:t>
      </w:r>
      <w:r w:rsidRPr="007A66B0">
        <w:rPr>
          <w:rFonts w:ascii="Times New Roman" w:eastAsia="Times New Roman" w:hAnsi="Times New Roman" w:cs="Times New Roman"/>
          <w:i/>
          <w:sz w:val="24"/>
          <w:szCs w:val="24"/>
        </w:rPr>
        <w:t>per se,</w:t>
      </w:r>
      <w:r w:rsidRPr="007A66B0">
        <w:rPr>
          <w:rFonts w:ascii="Times New Roman" w:eastAsia="Times New Roman" w:hAnsi="Times New Roman" w:cs="Times New Roman"/>
          <w:sz w:val="24"/>
          <w:szCs w:val="24"/>
        </w:rPr>
        <w:t xml:space="preserve"> supportive and satisfying intimate relationships seem beneficial for mental health (e.g., Barr et al., 2013, 2016).</w:t>
      </w:r>
    </w:p>
    <w:p w14:paraId="0987F2DD" w14:textId="00857616"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In addition to greater symptoms of distress, participants who were not in a relationship also reported higher levels of alexithymia and insecure attachment than those who were in a relationship. Individuals with high alexithymia and insecure attachment tend to report increased loneliness and persistent interpersonal difficulties due to problems with emotional self-regulation (Ghiggia et al., 2023; Lyvers et al., 2021; Taylor &amp; Bagby, 2004). This may reduce the likelihood that these people will find partners and establish lasting romantic relationships.</w:t>
      </w:r>
    </w:p>
    <w:p w14:paraId="3F7CBADD"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lastRenderedPageBreak/>
        <w:t xml:space="preserve">These findings were further corroborated by a logistic regression analysis. In line with our second hypothesis, the results showed that age, education, insecure attachment dimensions, alexithymia and depressive symptoms were significant predictors of identifying an individual as single rather than in a relationship. </w:t>
      </w:r>
    </w:p>
    <w:p w14:paraId="2F197B11" w14:textId="6113638B"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Specifically, being younger and having a lower educational level (primary/secondary/</w:t>
      </w:r>
    </w:p>
    <w:p w14:paraId="7F92F94A" w14:textId="6BE056F5"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high school diploma) were associated with a greater likelihood of being single. These data appear in partial contrast to those of a previous study (Petrowski et al., 2015) in which single participants were more likely to be young and educated than participants in a relationship. For example, this discrepancy may be due to a different use of categorisation of education; for Petrowski et al. (2015), a high school diploma was considered elevated educational attainment in comparison to primary and secondary schools.</w:t>
      </w:r>
    </w:p>
    <w:p w14:paraId="44727BFA" w14:textId="4D1DC82D"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Moreover, in accordance with previous studies (Adamczyk &amp; Bookwala, 2013; Kirkpatrick &amp; Hazan, 1994), our findings showed that attachment anxiety and attachment avoidance seem</w:t>
      </w:r>
      <w:r w:rsidR="003D79B6">
        <w:rPr>
          <w:rFonts w:ascii="Times New Roman" w:eastAsia="Times New Roman" w:hAnsi="Times New Roman" w:cs="Times New Roman"/>
          <w:sz w:val="24"/>
          <w:szCs w:val="24"/>
        </w:rPr>
        <w:t>ingly</w:t>
      </w:r>
      <w:r w:rsidRPr="007A66B0">
        <w:rPr>
          <w:rFonts w:ascii="Times New Roman" w:eastAsia="Times New Roman" w:hAnsi="Times New Roman" w:cs="Times New Roman"/>
          <w:sz w:val="24"/>
          <w:szCs w:val="24"/>
        </w:rPr>
        <w:t xml:space="preserve"> characterise single people. Specifically, for every unit increase in the attachment avoidance score, the probability of belonging to the ‘single’ group was almost twice as high. Differences in anxious and avoidant individuals’ willingness to commit to romantic partners were first noted by Hazan </w:t>
      </w:r>
      <w:r w:rsidR="003D79B6">
        <w:rPr>
          <w:rFonts w:ascii="Times New Roman" w:eastAsia="Times New Roman" w:hAnsi="Times New Roman" w:cs="Times New Roman"/>
          <w:sz w:val="24"/>
          <w:szCs w:val="24"/>
        </w:rPr>
        <w:t>and</w:t>
      </w:r>
      <w:r w:rsidRPr="007A66B0">
        <w:rPr>
          <w:rFonts w:ascii="Times New Roman" w:eastAsia="Times New Roman" w:hAnsi="Times New Roman" w:cs="Times New Roman"/>
          <w:sz w:val="24"/>
          <w:szCs w:val="24"/>
        </w:rPr>
        <w:t xml:space="preserve"> Shaver (1987). Anxiously attached individuals reported eagerness to commit and fall in love with a romantic partner, whereas avoidantly attached individuals were reticent about commitment and falling in love. Since the perception of </w:t>
      </w:r>
      <w:r w:rsidR="00181DFA">
        <w:rPr>
          <w:rFonts w:ascii="Times New Roman" w:eastAsia="Times New Roman" w:hAnsi="Times New Roman" w:cs="Times New Roman"/>
          <w:sz w:val="24"/>
          <w:szCs w:val="24"/>
        </w:rPr>
        <w:t xml:space="preserve">the </w:t>
      </w:r>
      <w:r w:rsidRPr="007A66B0">
        <w:rPr>
          <w:rFonts w:ascii="Times New Roman" w:eastAsia="Times New Roman" w:hAnsi="Times New Roman" w:cs="Times New Roman"/>
          <w:sz w:val="24"/>
          <w:szCs w:val="24"/>
        </w:rPr>
        <w:t xml:space="preserve">self and others (Internal Working Models) influences the dimension of romantic attachment, it could consequently play an important role in an individual’s relationship status. Accordingly, a longitudinal study by Kirkpatrick </w:t>
      </w:r>
      <w:r w:rsidR="00181DFA">
        <w:rPr>
          <w:rFonts w:ascii="Times New Roman" w:eastAsia="Times New Roman" w:hAnsi="Times New Roman" w:cs="Times New Roman"/>
          <w:sz w:val="24"/>
          <w:szCs w:val="24"/>
        </w:rPr>
        <w:t>and</w:t>
      </w:r>
      <w:r w:rsidRPr="007A66B0">
        <w:rPr>
          <w:rFonts w:ascii="Times New Roman" w:eastAsia="Times New Roman" w:hAnsi="Times New Roman" w:cs="Times New Roman"/>
          <w:sz w:val="24"/>
          <w:szCs w:val="24"/>
        </w:rPr>
        <w:t xml:space="preserve"> Hazan (1994) revealed that individuals who defined themselves as avoidant were more likely, four years later, not to date anyone, not to seek a partner or to date more than one person. Individuals who defined themselves as anxious/ambivalent stated that they had difficulty achieving the desired degree of </w:t>
      </w:r>
      <w:r w:rsidRPr="007A66B0">
        <w:rPr>
          <w:rFonts w:ascii="Times New Roman" w:eastAsia="Times New Roman" w:hAnsi="Times New Roman" w:cs="Times New Roman"/>
          <w:sz w:val="24"/>
          <w:szCs w:val="24"/>
        </w:rPr>
        <w:lastRenderedPageBreak/>
        <w:t>interpersonal closeness. At the 4-year follow-up, they were most likely to seek a partner.</w:t>
      </w:r>
    </w:p>
    <w:p w14:paraId="770AF577"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Therefore, single people with insecure attachment may experience greater feelings of discomfort with closeness and intimacy, more problems depending on others and more worries about being unloved or rejected than individuals in relationships (Adamczyk &amp; Bookwala, 2013). </w:t>
      </w:r>
    </w:p>
    <w:p w14:paraId="7A77D9A7" w14:textId="47823B59"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Another significant predictor of relationship status was the presence of depressive symptoms, which seem</w:t>
      </w:r>
      <w:r w:rsidR="007A66B0">
        <w:rPr>
          <w:rFonts w:ascii="Times New Roman" w:eastAsia="Times New Roman" w:hAnsi="Times New Roman" w:cs="Times New Roman"/>
          <w:sz w:val="24"/>
          <w:szCs w:val="24"/>
        </w:rPr>
        <w:t>ingly</w:t>
      </w:r>
      <w:r w:rsidRPr="007A66B0">
        <w:rPr>
          <w:rFonts w:ascii="Times New Roman" w:eastAsia="Times New Roman" w:hAnsi="Times New Roman" w:cs="Times New Roman"/>
          <w:sz w:val="24"/>
          <w:szCs w:val="24"/>
        </w:rPr>
        <w:t xml:space="preserve"> characterise</w:t>
      </w:r>
      <w:r w:rsidR="007A66B0">
        <w:rPr>
          <w:rFonts w:ascii="Times New Roman" w:eastAsia="Times New Roman" w:hAnsi="Times New Roman" w:cs="Times New Roman"/>
          <w:sz w:val="24"/>
          <w:szCs w:val="24"/>
        </w:rPr>
        <w:t>d</w:t>
      </w:r>
      <w:r w:rsidRPr="007A66B0">
        <w:rPr>
          <w:rFonts w:ascii="Times New Roman" w:eastAsia="Times New Roman" w:hAnsi="Times New Roman" w:cs="Times New Roman"/>
          <w:sz w:val="24"/>
          <w:szCs w:val="24"/>
        </w:rPr>
        <w:t xml:space="preserve"> single people specifically. In line with these results, Grundström et al. (2021) reported that compared with being married, singlehood was related to depressive symptoms at any age in both women and men. Similarly, a longitudinal study (Leach &amp; Butterworth, 2020) showed that baseline depression was significantly associated with lower odds of entering a relationship. Although the cross-sectional nature of our study does not allow us to make such strong interpretations, it is important to highlight how worse mental health seems to be associated with a reduced ability to enter into and maintain a romantic relationship.</w:t>
      </w:r>
    </w:p>
    <w:p w14:paraId="62E5CC95" w14:textId="23180942"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Finally, the present findings show that alexithymia is significantly associated with relationship status. Given the importance of emotional awareness, communication and empathy in sustaining close relationships (Overall et al., 2009; Lyvers et al., 2021), it is not surprising that alexithymic individuals may find it more difficult to create and maintain bonds, which may increase the probability of being single. </w:t>
      </w:r>
    </w:p>
    <w:p w14:paraId="24E66625" w14:textId="6F082BD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This study had some limitations that should be acknowledged. First, it used self-report</w:t>
      </w:r>
    </w:p>
    <w:p w14:paraId="35E95024"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questionnaires. Second, this was a cross-sectional study. Finally, our sample comprised a large number of well-educated female participants. Given the high number of women, we expected a possible effect of this limitation on the higher occurrence of psychological distress (levels of which tend to be higher in women than in men). Therefore, considering these limitations, the results should be interpreted with caution.</w:t>
      </w:r>
    </w:p>
    <w:p w14:paraId="52B43F7B"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67F439AF" w14:textId="77777777" w:rsidR="005F0572" w:rsidRPr="007A66B0" w:rsidRDefault="00256217">
      <w:pPr>
        <w:widowControl w:val="0"/>
        <w:spacing w:line="480" w:lineRule="auto"/>
        <w:jc w:val="center"/>
        <w:rPr>
          <w:rFonts w:ascii="Times New Roman" w:eastAsia="Times New Roman" w:hAnsi="Times New Roman" w:cs="Times New Roman"/>
          <w:sz w:val="24"/>
          <w:szCs w:val="24"/>
        </w:rPr>
      </w:pPr>
      <w:r w:rsidRPr="007A66B0">
        <w:rPr>
          <w:rFonts w:ascii="Times New Roman" w:eastAsia="Times New Roman" w:hAnsi="Times New Roman" w:cs="Times New Roman"/>
          <w:b/>
          <w:sz w:val="24"/>
          <w:szCs w:val="24"/>
        </w:rPr>
        <w:t>Conclusions</w:t>
      </w:r>
    </w:p>
    <w:p w14:paraId="1F55CCE9"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Taken together, our findings show that a series of specific factors characterise individuals who are not in a relationship. In particular, our single participants reported greater insecure attachment dimensions and higher levels of both alexithymia and depressive symptoms than participants in a romantic relationship. Beyond supporting previous evidence, to the best of our knowledge, the current study is the first that has examined these predictors together and in the general Italian population. </w:t>
      </w:r>
    </w:p>
    <w:p w14:paraId="39A2D46C"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highlight w:val="yellow"/>
        </w:rPr>
        <w:t>Individuals who report high insecure attachment dimensions might have more difficulty experiencing their emotions</w:t>
      </w:r>
      <w:r w:rsidRPr="007A66B0">
        <w:rPr>
          <w:rFonts w:ascii="Times New Roman" w:eastAsia="Times New Roman" w:hAnsi="Times New Roman" w:cs="Times New Roman"/>
          <w:sz w:val="24"/>
          <w:szCs w:val="24"/>
        </w:rPr>
        <w:t>. The ability to establish and maintain a romantic relationship requires the identification of emotions and their expressions as well as understanding the feelings of others. Therefore, insecure attachment and alexithymia are associated with difficulties communicating and bonding with others.</w:t>
      </w:r>
    </w:p>
    <w:p w14:paraId="36BBFB8B" w14:textId="1DC8D24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The present findings can inform clinicians when setting up therapeutic interventions with people who present with relational difficulties. Increasing socio-affective skills means making people aware of </w:t>
      </w:r>
      <w:r w:rsidR="00F32B47">
        <w:rPr>
          <w:rFonts w:ascii="Times New Roman" w:eastAsia="Times New Roman" w:hAnsi="Times New Roman" w:cs="Times New Roman"/>
          <w:sz w:val="24"/>
          <w:szCs w:val="24"/>
        </w:rPr>
        <w:t xml:space="preserve">recurring </w:t>
      </w:r>
      <w:r w:rsidRPr="007A66B0">
        <w:rPr>
          <w:rFonts w:ascii="Times New Roman" w:eastAsia="Times New Roman" w:hAnsi="Times New Roman" w:cs="Times New Roman"/>
          <w:sz w:val="24"/>
          <w:szCs w:val="24"/>
        </w:rPr>
        <w:t>patterns in their intimate relationships. These affective-relational patterns are rooted in the representation of self and others, and in the emotional regulation processes that the individual develops throughout his or her life. Therefore, a therapeutic approach that works on both these factors might be successful in individuals with difficulties in building and maintaining romantic relationships by improving both their emotional and mental well-being.</w:t>
      </w:r>
    </w:p>
    <w:p w14:paraId="64ADC1D6" w14:textId="77777777" w:rsidR="005F0572" w:rsidRPr="007A66B0" w:rsidRDefault="005F0572">
      <w:pPr>
        <w:widowControl w:val="0"/>
        <w:spacing w:line="480" w:lineRule="auto"/>
        <w:rPr>
          <w:rFonts w:ascii="Times New Roman" w:eastAsia="Times New Roman" w:hAnsi="Times New Roman" w:cs="Times New Roman"/>
          <w:sz w:val="24"/>
          <w:szCs w:val="24"/>
        </w:rPr>
      </w:pPr>
    </w:p>
    <w:p w14:paraId="78F20D60" w14:textId="77777777" w:rsidR="005F0572" w:rsidRPr="007A66B0" w:rsidRDefault="00256217">
      <w:pPr>
        <w:rPr>
          <w:rFonts w:ascii="Times New Roman" w:eastAsia="Times New Roman" w:hAnsi="Times New Roman" w:cs="Times New Roman"/>
          <w:b/>
          <w:sz w:val="24"/>
          <w:szCs w:val="24"/>
        </w:rPr>
      </w:pPr>
      <w:r w:rsidRPr="007A66B0">
        <w:br w:type="page"/>
      </w:r>
    </w:p>
    <w:p w14:paraId="78F80585" w14:textId="77777777" w:rsidR="005F0572" w:rsidRPr="007A66B0" w:rsidRDefault="00256217">
      <w:pPr>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lastRenderedPageBreak/>
        <w:t>Ethical Compliance Section</w:t>
      </w:r>
    </w:p>
    <w:p w14:paraId="5DF8C403" w14:textId="77777777" w:rsidR="005F0572" w:rsidRPr="007A66B0" w:rsidRDefault="005F0572">
      <w:pPr>
        <w:rPr>
          <w:rFonts w:ascii="Times New Roman" w:eastAsia="Times New Roman" w:hAnsi="Times New Roman" w:cs="Times New Roman"/>
          <w:b/>
          <w:sz w:val="24"/>
          <w:szCs w:val="24"/>
        </w:rPr>
      </w:pPr>
    </w:p>
    <w:p w14:paraId="2B849B4E"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Funding</w:t>
      </w:r>
    </w:p>
    <w:p w14:paraId="1946CE9D" w14:textId="77777777" w:rsidR="005F0572" w:rsidRPr="007A66B0" w:rsidRDefault="00256217">
      <w:pP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The authors have no funding to disclose.</w:t>
      </w:r>
    </w:p>
    <w:p w14:paraId="4C711741"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Compliance with Ethical Standards</w:t>
      </w:r>
    </w:p>
    <w:p w14:paraId="2995F7A0" w14:textId="316BEA79"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sz w:val="24"/>
          <w:szCs w:val="24"/>
        </w:rPr>
        <w:t>All procedures performed in studies involving human participants were in accordance with the ethical standards of the institutional research committee at [anonymi</w:t>
      </w:r>
      <w:r w:rsidR="005C78E2">
        <w:rPr>
          <w:rFonts w:ascii="Times New Roman" w:eastAsia="Times New Roman" w:hAnsi="Times New Roman" w:cs="Times New Roman"/>
          <w:sz w:val="24"/>
          <w:szCs w:val="24"/>
        </w:rPr>
        <w:t>s</w:t>
      </w:r>
      <w:r w:rsidRPr="007A66B0">
        <w:rPr>
          <w:rFonts w:ascii="Times New Roman" w:eastAsia="Times New Roman" w:hAnsi="Times New Roman" w:cs="Times New Roman"/>
          <w:sz w:val="24"/>
          <w:szCs w:val="24"/>
        </w:rPr>
        <w:t>ed for review] and with the 1964 Helsinki Declaration and its later amendments or comparable ethical standards.</w:t>
      </w:r>
    </w:p>
    <w:p w14:paraId="794974E3"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 xml:space="preserve">Conflict of Interest </w:t>
      </w:r>
    </w:p>
    <w:p w14:paraId="12161869"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sz w:val="24"/>
          <w:szCs w:val="24"/>
        </w:rPr>
        <w:t>The authors declare they have no conflict of interest.</w:t>
      </w:r>
    </w:p>
    <w:p w14:paraId="74B33601"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Informed Consent</w:t>
      </w:r>
    </w:p>
    <w:p w14:paraId="1A2BB79B" w14:textId="77777777"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sz w:val="24"/>
          <w:szCs w:val="24"/>
        </w:rPr>
        <w:t>Informed consent was obtained from all individual adult participants included in the study.</w:t>
      </w:r>
    </w:p>
    <w:p w14:paraId="1A2F76E0" w14:textId="0B22E4A2" w:rsidR="005F0572" w:rsidRPr="007A66B0" w:rsidRDefault="00256217">
      <w:pPr>
        <w:spacing w:line="480" w:lineRule="auto"/>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Acknowledg</w:t>
      </w:r>
      <w:r w:rsidR="005C78E2">
        <w:rPr>
          <w:rFonts w:ascii="Times New Roman" w:eastAsia="Times New Roman" w:hAnsi="Times New Roman" w:cs="Times New Roman"/>
          <w:b/>
          <w:sz w:val="24"/>
          <w:szCs w:val="24"/>
        </w:rPr>
        <w:t>ements</w:t>
      </w:r>
    </w:p>
    <w:p w14:paraId="29F02061" w14:textId="28066800" w:rsidR="005F0572" w:rsidRPr="007A66B0" w:rsidRDefault="00256217">
      <w:pP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The authors would like to thank the participants involved in the study and </w:t>
      </w:r>
      <w:r w:rsidR="00BC4ABE">
        <w:rPr>
          <w:rFonts w:ascii="Times New Roman" w:eastAsia="Times New Roman" w:hAnsi="Times New Roman" w:cs="Times New Roman"/>
          <w:sz w:val="24"/>
          <w:szCs w:val="24"/>
        </w:rPr>
        <w:t>‘</w:t>
      </w:r>
      <w:proofErr w:type="spellStart"/>
      <w:r w:rsidRPr="007A66B0">
        <w:rPr>
          <w:rFonts w:ascii="Times New Roman" w:eastAsia="Times New Roman" w:hAnsi="Times New Roman" w:cs="Times New Roman"/>
          <w:sz w:val="24"/>
          <w:szCs w:val="24"/>
        </w:rPr>
        <w:t>Editage</w:t>
      </w:r>
      <w:proofErr w:type="spellEnd"/>
      <w:r w:rsidR="00BC4ABE">
        <w:rPr>
          <w:rFonts w:ascii="Times New Roman" w:eastAsia="Times New Roman" w:hAnsi="Times New Roman" w:cs="Times New Roman"/>
          <w:sz w:val="24"/>
          <w:szCs w:val="24"/>
        </w:rPr>
        <w:t>’</w:t>
      </w:r>
      <w:r w:rsidRPr="007A66B0">
        <w:rPr>
          <w:rFonts w:ascii="Times New Roman" w:eastAsia="Times New Roman" w:hAnsi="Times New Roman" w:cs="Times New Roman"/>
          <w:sz w:val="24"/>
          <w:szCs w:val="24"/>
        </w:rPr>
        <w:t xml:space="preserve"> (www.editage.com) for the English language editing service. </w:t>
      </w:r>
      <w:r w:rsidRPr="007A66B0">
        <w:br w:type="page"/>
      </w:r>
    </w:p>
    <w:p w14:paraId="7C16FB22" w14:textId="77777777" w:rsidR="005F0572" w:rsidRPr="007A66B0" w:rsidRDefault="00256217">
      <w:pPr>
        <w:widowControl w:val="0"/>
        <w:spacing w:line="480" w:lineRule="auto"/>
        <w:jc w:val="center"/>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lastRenderedPageBreak/>
        <w:t>References</w:t>
      </w:r>
    </w:p>
    <w:p w14:paraId="18AD35A6"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Adamczyk, K., &amp; Bookwala, J. (2013). Adult attachment and relationship status (single vs. partnered) in Polish young adults. </w:t>
      </w:r>
      <w:r w:rsidRPr="007A66B0">
        <w:rPr>
          <w:rFonts w:ascii="Times New Roman" w:eastAsia="Times New Roman" w:hAnsi="Times New Roman" w:cs="Times New Roman"/>
          <w:i/>
          <w:sz w:val="24"/>
          <w:szCs w:val="24"/>
        </w:rPr>
        <w:t>Psihologijske Teme</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22</w:t>
      </w:r>
      <w:r w:rsidRPr="007A66B0">
        <w:rPr>
          <w:rFonts w:ascii="Times New Roman" w:eastAsia="Times New Roman" w:hAnsi="Times New Roman" w:cs="Times New Roman"/>
          <w:sz w:val="24"/>
          <w:szCs w:val="24"/>
        </w:rPr>
        <w:t>, 481–500.</w:t>
      </w:r>
    </w:p>
    <w:p w14:paraId="47EFE32B"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Barr, A. B., Culatta, E., &amp; Simons, R. L. (2013). Romantic relationships and health among African American young adults: Linking patterns of relationship quality over time to changes in physical and mental health. </w:t>
      </w:r>
      <w:r w:rsidRPr="007A66B0">
        <w:rPr>
          <w:rFonts w:ascii="Times New Roman" w:eastAsia="Times New Roman" w:hAnsi="Times New Roman" w:cs="Times New Roman"/>
          <w:i/>
          <w:sz w:val="24"/>
          <w:szCs w:val="24"/>
        </w:rPr>
        <w:t>Journal of Health and Social Behavior, 54</w:t>
      </w:r>
      <w:r w:rsidRPr="007A66B0">
        <w:rPr>
          <w:rFonts w:ascii="Times New Roman" w:eastAsia="Times New Roman" w:hAnsi="Times New Roman" w:cs="Times New Roman"/>
          <w:sz w:val="24"/>
          <w:szCs w:val="24"/>
        </w:rPr>
        <w:t xml:space="preserve">(3), 369–385. </w:t>
      </w:r>
      <w:r w:rsidRPr="007A66B0">
        <w:rPr>
          <w:rFonts w:ascii="Times New Roman" w:eastAsia="Times New Roman" w:hAnsi="Times New Roman" w:cs="Times New Roman"/>
          <w:sz w:val="24"/>
          <w:szCs w:val="24"/>
          <w:u w:val="single"/>
        </w:rPr>
        <w:t>https://doi.org/10.1177/0022146513486652</w:t>
      </w:r>
    </w:p>
    <w:p w14:paraId="58EAB57F"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Barr, A. B., Sutton, T. E., Simons, L. G., Wickrama, K. A., &amp; Lorenz, F. O. (2016). Romantic relationship transitions and changes in health among rural, White young adults. </w:t>
      </w:r>
      <w:r w:rsidRPr="007A66B0">
        <w:rPr>
          <w:rFonts w:ascii="Times New Roman" w:eastAsia="Times New Roman" w:hAnsi="Times New Roman" w:cs="Times New Roman"/>
          <w:i/>
          <w:sz w:val="24"/>
          <w:szCs w:val="24"/>
        </w:rPr>
        <w:t>Journal of Family Psychology, 30</w:t>
      </w:r>
      <w:r w:rsidRPr="007A66B0">
        <w:rPr>
          <w:rFonts w:ascii="Times New Roman" w:eastAsia="Times New Roman" w:hAnsi="Times New Roman" w:cs="Times New Roman"/>
          <w:sz w:val="24"/>
          <w:szCs w:val="24"/>
        </w:rPr>
        <w:t xml:space="preserve">(7), 832–842. </w:t>
      </w:r>
      <w:r w:rsidRPr="007A66B0">
        <w:rPr>
          <w:rFonts w:ascii="Times New Roman" w:eastAsia="Times New Roman" w:hAnsi="Times New Roman" w:cs="Times New Roman"/>
          <w:sz w:val="24"/>
          <w:szCs w:val="24"/>
          <w:u w:val="single"/>
        </w:rPr>
        <w:t>https://doi.org/10.1037/fam0000207</w:t>
      </w:r>
    </w:p>
    <w:p w14:paraId="3F41B0EA"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Beck, A. T., Steer, R. A., &amp; Brown, G. K. (1996).</w:t>
      </w:r>
      <w:r w:rsidRPr="007A66B0">
        <w:rPr>
          <w:rFonts w:ascii="Times New Roman" w:eastAsia="Times New Roman" w:hAnsi="Times New Roman" w:cs="Times New Roman"/>
          <w:i/>
          <w:sz w:val="24"/>
          <w:szCs w:val="24"/>
        </w:rPr>
        <w:t xml:space="preserve"> Manual for the Beck depression inventory-II</w:t>
      </w:r>
      <w:r w:rsidRPr="007A66B0">
        <w:rPr>
          <w:rFonts w:ascii="Times New Roman" w:eastAsia="Times New Roman" w:hAnsi="Times New Roman" w:cs="Times New Roman"/>
          <w:sz w:val="24"/>
          <w:szCs w:val="24"/>
        </w:rPr>
        <w:t>. Psychological Corporation.</w:t>
      </w:r>
    </w:p>
    <w:p w14:paraId="562CCA70"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Bowlby, J. (1969). </w:t>
      </w:r>
      <w:r w:rsidRPr="007A66B0">
        <w:rPr>
          <w:rFonts w:ascii="Times New Roman" w:eastAsia="Times New Roman" w:hAnsi="Times New Roman" w:cs="Times New Roman"/>
          <w:i/>
          <w:sz w:val="24"/>
          <w:szCs w:val="24"/>
        </w:rPr>
        <w:t>Attachment and loss</w:t>
      </w:r>
      <w:r w:rsidRPr="007A66B0">
        <w:rPr>
          <w:rFonts w:ascii="Times New Roman" w:eastAsia="Times New Roman" w:hAnsi="Times New Roman" w:cs="Times New Roman"/>
          <w:sz w:val="24"/>
          <w:szCs w:val="24"/>
        </w:rPr>
        <w:t>. New York: Basic Books.</w:t>
      </w:r>
    </w:p>
    <w:p w14:paraId="0F5F04D4"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Braithwaite, S., &amp; Holt-Lunstad, J. (2017). Romantic relationships and mental health. </w:t>
      </w:r>
      <w:r w:rsidRPr="007A66B0">
        <w:rPr>
          <w:rFonts w:ascii="Times New Roman" w:eastAsia="Times New Roman" w:hAnsi="Times New Roman" w:cs="Times New Roman"/>
          <w:i/>
          <w:sz w:val="24"/>
          <w:szCs w:val="24"/>
        </w:rPr>
        <w:t>Current Opinion Psychology, 13</w:t>
      </w:r>
      <w:r w:rsidRPr="007A66B0">
        <w:rPr>
          <w:rFonts w:ascii="Times New Roman" w:eastAsia="Times New Roman" w:hAnsi="Times New Roman" w:cs="Times New Roman"/>
          <w:sz w:val="24"/>
          <w:szCs w:val="24"/>
        </w:rPr>
        <w:t xml:space="preserve">, 120–125. </w:t>
      </w:r>
      <w:hyperlink r:id="rId15">
        <w:r w:rsidRPr="007A66B0">
          <w:rPr>
            <w:rFonts w:ascii="Times New Roman" w:eastAsia="Times New Roman" w:hAnsi="Times New Roman" w:cs="Times New Roman"/>
            <w:sz w:val="24"/>
            <w:szCs w:val="24"/>
            <w:u w:val="single"/>
          </w:rPr>
          <w:t>https://doi.org/10.1016/j.copsyc.2016.04.001</w:t>
        </w:r>
      </w:hyperlink>
    </w:p>
    <w:p w14:paraId="4B490032" w14:textId="77777777" w:rsidR="005F0572" w:rsidRPr="003E56BA" w:rsidRDefault="00256217">
      <w:pPr>
        <w:widowControl w:val="0"/>
        <w:spacing w:line="480" w:lineRule="auto"/>
        <w:ind w:left="720" w:hanging="720"/>
        <w:rPr>
          <w:rFonts w:ascii="Times New Roman" w:eastAsia="Times New Roman" w:hAnsi="Times New Roman" w:cs="Times New Roman"/>
          <w:sz w:val="24"/>
          <w:szCs w:val="24"/>
          <w:lang w:val="it-IT"/>
        </w:rPr>
      </w:pPr>
      <w:r w:rsidRPr="007A66B0">
        <w:rPr>
          <w:rFonts w:ascii="Times New Roman" w:eastAsia="Times New Roman" w:hAnsi="Times New Roman" w:cs="Times New Roman"/>
          <w:sz w:val="24"/>
          <w:szCs w:val="24"/>
        </w:rPr>
        <w:t xml:space="preserve">Brennan, K. A., Clark, C. L., &amp; Shaver, P. R. (1998). Self-report measurement of adult attachment: An integrative overview. </w:t>
      </w:r>
      <w:r w:rsidRPr="003E56BA">
        <w:rPr>
          <w:rFonts w:ascii="Times New Roman" w:eastAsia="Times New Roman" w:hAnsi="Times New Roman" w:cs="Times New Roman"/>
          <w:i/>
          <w:sz w:val="24"/>
          <w:szCs w:val="24"/>
          <w:lang w:val="it-IT"/>
        </w:rPr>
        <w:t xml:space="preserve">Attachment Theory and Close </w:t>
      </w:r>
      <w:proofErr w:type="spellStart"/>
      <w:r w:rsidRPr="003E56BA">
        <w:rPr>
          <w:rFonts w:ascii="Times New Roman" w:eastAsia="Times New Roman" w:hAnsi="Times New Roman" w:cs="Times New Roman"/>
          <w:i/>
          <w:sz w:val="24"/>
          <w:szCs w:val="24"/>
          <w:lang w:val="it-IT"/>
        </w:rPr>
        <w:t>Relationships</w:t>
      </w:r>
      <w:proofErr w:type="spellEnd"/>
      <w:r w:rsidRPr="003E56BA">
        <w:rPr>
          <w:rFonts w:ascii="Times New Roman" w:eastAsia="Times New Roman" w:hAnsi="Times New Roman" w:cs="Times New Roman"/>
          <w:sz w:val="24"/>
          <w:szCs w:val="24"/>
          <w:lang w:val="it-IT"/>
        </w:rPr>
        <w:t xml:space="preserve">, </w:t>
      </w:r>
      <w:r w:rsidRPr="003E56BA">
        <w:rPr>
          <w:rFonts w:ascii="Times New Roman" w:eastAsia="Times New Roman" w:hAnsi="Times New Roman" w:cs="Times New Roman"/>
          <w:i/>
          <w:sz w:val="24"/>
          <w:szCs w:val="24"/>
          <w:lang w:val="it-IT"/>
        </w:rPr>
        <w:t>46</w:t>
      </w:r>
      <w:r w:rsidRPr="003E56BA">
        <w:rPr>
          <w:rFonts w:ascii="Times New Roman" w:eastAsia="Times New Roman" w:hAnsi="Times New Roman" w:cs="Times New Roman"/>
          <w:sz w:val="24"/>
          <w:szCs w:val="24"/>
          <w:lang w:val="it-IT"/>
        </w:rPr>
        <w:t>, 76.</w:t>
      </w:r>
    </w:p>
    <w:p w14:paraId="4A996D6F" w14:textId="77777777" w:rsidR="005F0572" w:rsidRPr="003E56BA" w:rsidRDefault="00256217">
      <w:pPr>
        <w:widowControl w:val="0"/>
        <w:spacing w:line="480" w:lineRule="auto"/>
        <w:ind w:left="720" w:hanging="720"/>
        <w:rPr>
          <w:rFonts w:ascii="Times New Roman" w:eastAsia="Times New Roman" w:hAnsi="Times New Roman" w:cs="Times New Roman"/>
          <w:sz w:val="24"/>
          <w:szCs w:val="24"/>
          <w:lang w:val="it-IT"/>
        </w:rPr>
      </w:pPr>
      <w:r w:rsidRPr="003E56BA">
        <w:rPr>
          <w:rFonts w:ascii="Times New Roman" w:eastAsia="Times New Roman" w:hAnsi="Times New Roman" w:cs="Times New Roman"/>
          <w:sz w:val="24"/>
          <w:szCs w:val="24"/>
          <w:lang w:val="it-IT"/>
        </w:rPr>
        <w:t xml:space="preserve">Bressi, C., Taylor, G., Parker, J., Bressi, S., Brambilla, V., Aguglia, E., Allegranti, I., Bongiorno, A., Giberti, F., Bucca, M., </w:t>
      </w:r>
      <w:proofErr w:type="spellStart"/>
      <w:r w:rsidRPr="003E56BA">
        <w:rPr>
          <w:rFonts w:ascii="Times New Roman" w:eastAsia="Times New Roman" w:hAnsi="Times New Roman" w:cs="Times New Roman"/>
          <w:sz w:val="24"/>
          <w:szCs w:val="24"/>
          <w:lang w:val="it-IT"/>
        </w:rPr>
        <w:t>Todarello</w:t>
      </w:r>
      <w:proofErr w:type="spellEnd"/>
      <w:r w:rsidRPr="003E56BA">
        <w:rPr>
          <w:rFonts w:ascii="Times New Roman" w:eastAsia="Times New Roman" w:hAnsi="Times New Roman" w:cs="Times New Roman"/>
          <w:sz w:val="24"/>
          <w:szCs w:val="24"/>
          <w:lang w:val="it-IT"/>
        </w:rPr>
        <w:t xml:space="preserve">, O., Callegari, C., Vender, S., Gala, C., &amp; Invernizzi, G. (1996). </w:t>
      </w:r>
      <w:r w:rsidRPr="007A66B0">
        <w:rPr>
          <w:rFonts w:ascii="Times New Roman" w:eastAsia="Times New Roman" w:hAnsi="Times New Roman" w:cs="Times New Roman"/>
          <w:sz w:val="24"/>
          <w:szCs w:val="24"/>
        </w:rPr>
        <w:t xml:space="preserve">Cross validation of the factor structure of the 20-item Toronto Alexithymia Scale: an Italian multicenter study. </w:t>
      </w:r>
      <w:r w:rsidRPr="003E56BA">
        <w:rPr>
          <w:rFonts w:ascii="Times New Roman" w:eastAsia="Times New Roman" w:hAnsi="Times New Roman" w:cs="Times New Roman"/>
          <w:i/>
          <w:iCs/>
          <w:sz w:val="24"/>
          <w:szCs w:val="24"/>
          <w:lang w:val="it-IT"/>
        </w:rPr>
        <w:t xml:space="preserve">Journal of </w:t>
      </w:r>
      <w:proofErr w:type="spellStart"/>
      <w:r w:rsidRPr="003E56BA">
        <w:rPr>
          <w:rFonts w:ascii="Times New Roman" w:eastAsia="Times New Roman" w:hAnsi="Times New Roman" w:cs="Times New Roman"/>
          <w:i/>
          <w:iCs/>
          <w:sz w:val="24"/>
          <w:szCs w:val="24"/>
          <w:lang w:val="it-IT"/>
        </w:rPr>
        <w:t>psychosomatic</w:t>
      </w:r>
      <w:proofErr w:type="spellEnd"/>
      <w:r w:rsidRPr="003E56BA">
        <w:rPr>
          <w:rFonts w:ascii="Times New Roman" w:eastAsia="Times New Roman" w:hAnsi="Times New Roman" w:cs="Times New Roman"/>
          <w:i/>
          <w:iCs/>
          <w:sz w:val="24"/>
          <w:szCs w:val="24"/>
          <w:lang w:val="it-IT"/>
        </w:rPr>
        <w:t xml:space="preserve"> </w:t>
      </w:r>
      <w:proofErr w:type="spellStart"/>
      <w:r w:rsidRPr="003E56BA">
        <w:rPr>
          <w:rFonts w:ascii="Times New Roman" w:eastAsia="Times New Roman" w:hAnsi="Times New Roman" w:cs="Times New Roman"/>
          <w:i/>
          <w:iCs/>
          <w:sz w:val="24"/>
          <w:szCs w:val="24"/>
          <w:lang w:val="it-IT"/>
        </w:rPr>
        <w:t>research</w:t>
      </w:r>
      <w:proofErr w:type="spellEnd"/>
      <w:r w:rsidRPr="003E56BA">
        <w:rPr>
          <w:rFonts w:ascii="Times New Roman" w:eastAsia="Times New Roman" w:hAnsi="Times New Roman" w:cs="Times New Roman"/>
          <w:sz w:val="24"/>
          <w:szCs w:val="24"/>
          <w:lang w:val="it-IT"/>
        </w:rPr>
        <w:t>, 41(6), 551–559. https://doi.org/10.1016/s0022-3999(96)00228-0</w:t>
      </w:r>
    </w:p>
    <w:p w14:paraId="7B080B0B"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3E56BA">
        <w:rPr>
          <w:rFonts w:ascii="Times New Roman" w:eastAsia="Times New Roman" w:hAnsi="Times New Roman" w:cs="Times New Roman"/>
          <w:sz w:val="24"/>
          <w:szCs w:val="24"/>
          <w:lang w:val="it-IT"/>
        </w:rPr>
        <w:t xml:space="preserve">Brugnera, A., Zarbo, C., Farina, B., Picardi, A., Greco, A., Lo Coco, G., Tasca, G. A., Carlucci, S., Auteri, A., Greco, F., &amp; Compare, A. (2019). </w:t>
      </w:r>
      <w:r w:rsidRPr="007A66B0">
        <w:rPr>
          <w:rFonts w:ascii="Times New Roman" w:eastAsia="Times New Roman" w:hAnsi="Times New Roman" w:cs="Times New Roman"/>
          <w:sz w:val="24"/>
          <w:szCs w:val="24"/>
        </w:rPr>
        <w:t xml:space="preserve">Psychometric properties of </w:t>
      </w:r>
      <w:r w:rsidRPr="007A66B0">
        <w:rPr>
          <w:rFonts w:ascii="Times New Roman" w:eastAsia="Times New Roman" w:hAnsi="Times New Roman" w:cs="Times New Roman"/>
          <w:sz w:val="24"/>
          <w:szCs w:val="24"/>
        </w:rPr>
        <w:lastRenderedPageBreak/>
        <w:t xml:space="preserve">the Italian version of the Experience in Close Relationship Scale 12 (ECR-12): an exploratory structural equation modeling study. </w:t>
      </w:r>
      <w:r w:rsidRPr="007A66B0">
        <w:rPr>
          <w:rFonts w:ascii="Times New Roman" w:eastAsia="Times New Roman" w:hAnsi="Times New Roman" w:cs="Times New Roman"/>
          <w:i/>
          <w:sz w:val="24"/>
          <w:szCs w:val="24"/>
        </w:rPr>
        <w:t>Research in psychotherapy (Milano), 22</w:t>
      </w:r>
      <w:r w:rsidRPr="007A66B0">
        <w:rPr>
          <w:rFonts w:ascii="Times New Roman" w:eastAsia="Times New Roman" w:hAnsi="Times New Roman" w:cs="Times New Roman"/>
          <w:sz w:val="24"/>
          <w:szCs w:val="24"/>
        </w:rPr>
        <w:t>(3), 392. https://doi.org/10.4081/ripppo.2019.392</w:t>
      </w:r>
    </w:p>
    <w:p w14:paraId="7E9CAF63"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Constant, E., Christophe, V., Bodenmann, G., &amp; Nandrino, J. L. (2021). Attachment orientation and relational intimacy: The mediating role of emotional competences. </w:t>
      </w:r>
      <w:r w:rsidRPr="007A66B0">
        <w:rPr>
          <w:rFonts w:ascii="Times New Roman" w:eastAsia="Times New Roman" w:hAnsi="Times New Roman" w:cs="Times New Roman"/>
          <w:i/>
          <w:sz w:val="24"/>
          <w:szCs w:val="24"/>
        </w:rPr>
        <w:t>Current Psychology, 40</w:t>
      </w:r>
      <w:r w:rsidRPr="007A66B0">
        <w:rPr>
          <w:rFonts w:ascii="Times New Roman" w:eastAsia="Times New Roman" w:hAnsi="Times New Roman" w:cs="Times New Roman"/>
          <w:sz w:val="24"/>
          <w:szCs w:val="24"/>
        </w:rPr>
        <w:t xml:space="preserve">(3), 1374-1385. </w:t>
      </w:r>
      <w:r w:rsidRPr="007A66B0">
        <w:rPr>
          <w:rFonts w:ascii="Times New Roman" w:eastAsia="Times New Roman" w:hAnsi="Times New Roman" w:cs="Times New Roman"/>
          <w:sz w:val="24"/>
          <w:szCs w:val="24"/>
          <w:u w:val="single"/>
        </w:rPr>
        <w:t>https://doi.org/10.1007/s12144-018-0062-x</w:t>
      </w:r>
    </w:p>
    <w:p w14:paraId="5C0155AF"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Darghouth, S., Brody, L., &amp; Alegría, M. (2015). Does marriage matter? Marital status, family processes, and psychological distress among Latino men and women. </w:t>
      </w:r>
      <w:r w:rsidRPr="007A66B0">
        <w:rPr>
          <w:rFonts w:ascii="Times New Roman" w:eastAsia="Times New Roman" w:hAnsi="Times New Roman" w:cs="Times New Roman"/>
          <w:i/>
          <w:sz w:val="24"/>
          <w:szCs w:val="24"/>
        </w:rPr>
        <w:t>Hispanic Journal of Behavioral Sciences, 37</w:t>
      </w:r>
      <w:r w:rsidRPr="007A66B0">
        <w:rPr>
          <w:rFonts w:ascii="Times New Roman" w:eastAsia="Times New Roman" w:hAnsi="Times New Roman" w:cs="Times New Roman"/>
          <w:sz w:val="24"/>
          <w:szCs w:val="24"/>
        </w:rPr>
        <w:t xml:space="preserve">(4), 482-502. </w:t>
      </w:r>
      <w:hyperlink r:id="rId16">
        <w:r w:rsidRPr="007A66B0">
          <w:rPr>
            <w:rFonts w:ascii="Times New Roman" w:eastAsia="Times New Roman" w:hAnsi="Times New Roman" w:cs="Times New Roman"/>
            <w:sz w:val="24"/>
            <w:szCs w:val="24"/>
            <w:u w:val="single"/>
          </w:rPr>
          <w:t>https://doi.org/10.1177/0739986315606947</w:t>
        </w:r>
      </w:hyperlink>
    </w:p>
    <w:p w14:paraId="3A4109FE" w14:textId="77777777" w:rsidR="005F0572" w:rsidRPr="007A66B0" w:rsidRDefault="00256217">
      <w:pPr>
        <w:widowControl w:val="0"/>
        <w:spacing w:line="480" w:lineRule="auto"/>
        <w:ind w:left="720" w:hanging="720"/>
        <w:rPr>
          <w:rFonts w:ascii="Times New Roman" w:eastAsia="Times New Roman" w:hAnsi="Times New Roman" w:cs="Times New Roman"/>
          <w:u w:val="single"/>
        </w:rPr>
      </w:pPr>
      <w:r w:rsidRPr="007A66B0">
        <w:rPr>
          <w:rFonts w:ascii="Times New Roman" w:eastAsia="Times New Roman" w:hAnsi="Times New Roman" w:cs="Times New Roman"/>
          <w:sz w:val="24"/>
          <w:szCs w:val="24"/>
        </w:rPr>
        <w:t xml:space="preserve">Fantini-Hauwel, C., Boudoukha, A. H., &amp; Arciszewski, T. (2012). Adult attachment and emotional awareness impairment: a multimethod assessment. </w:t>
      </w:r>
      <w:r w:rsidRPr="007A66B0">
        <w:rPr>
          <w:rFonts w:ascii="Times New Roman" w:eastAsia="Times New Roman" w:hAnsi="Times New Roman" w:cs="Times New Roman"/>
          <w:i/>
          <w:sz w:val="24"/>
          <w:szCs w:val="24"/>
        </w:rPr>
        <w:t>Socioaffective neuroscience &amp; psychology</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2</w:t>
      </w:r>
      <w:r w:rsidRPr="007A66B0">
        <w:rPr>
          <w:rFonts w:ascii="Times New Roman" w:eastAsia="Times New Roman" w:hAnsi="Times New Roman" w:cs="Times New Roman"/>
          <w:sz w:val="24"/>
          <w:szCs w:val="24"/>
        </w:rPr>
        <w:t xml:space="preserve">, 10744. </w:t>
      </w:r>
      <w:r w:rsidRPr="007A66B0">
        <w:rPr>
          <w:rFonts w:ascii="Times New Roman" w:eastAsia="Times New Roman" w:hAnsi="Times New Roman" w:cs="Times New Roman"/>
          <w:sz w:val="24"/>
          <w:szCs w:val="24"/>
          <w:u w:val="single"/>
        </w:rPr>
        <w:t>https://doi.org/10.3402/snp.v2i0.10744</w:t>
      </w:r>
    </w:p>
    <w:p w14:paraId="6C2932EE"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Fraley, R. C., Hudson, N. W., Heffernan, M. E., &amp; Segal, N. (2015). Are adult attachment styles categorical or dimensional? A taxometric analysis of general and relationship-specific attachment orientations. </w:t>
      </w:r>
      <w:r w:rsidRPr="007A66B0">
        <w:rPr>
          <w:rFonts w:ascii="Times New Roman" w:eastAsia="Times New Roman" w:hAnsi="Times New Roman" w:cs="Times New Roman"/>
          <w:i/>
          <w:sz w:val="24"/>
          <w:szCs w:val="24"/>
        </w:rPr>
        <w:t>Journal of Personality and Social Psychology</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109</w:t>
      </w:r>
      <w:r w:rsidRPr="007A66B0">
        <w:rPr>
          <w:rFonts w:ascii="Times New Roman" w:eastAsia="Times New Roman" w:hAnsi="Times New Roman" w:cs="Times New Roman"/>
          <w:sz w:val="24"/>
          <w:szCs w:val="24"/>
        </w:rPr>
        <w:t>(2), 354–368.</w:t>
      </w:r>
      <w:r w:rsidRPr="007A66B0">
        <w:rPr>
          <w:rFonts w:ascii="Times New Roman" w:eastAsia="Times New Roman" w:hAnsi="Times New Roman" w:cs="Times New Roman"/>
          <w:sz w:val="24"/>
          <w:szCs w:val="24"/>
          <w:u w:val="single"/>
        </w:rPr>
        <w:t xml:space="preserve"> </w:t>
      </w:r>
      <w:hyperlink r:id="rId17">
        <w:r w:rsidRPr="007A66B0">
          <w:rPr>
            <w:rFonts w:ascii="Times New Roman" w:eastAsia="Times New Roman" w:hAnsi="Times New Roman" w:cs="Times New Roman"/>
            <w:sz w:val="24"/>
            <w:szCs w:val="24"/>
            <w:u w:val="single"/>
          </w:rPr>
          <w:t>https://doi.org/10.1037/pspp0000027</w:t>
        </w:r>
      </w:hyperlink>
    </w:p>
    <w:p w14:paraId="0393D69E"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George, D. &amp; Mallery, M. (2010). </w:t>
      </w:r>
      <w:r w:rsidRPr="007A66B0">
        <w:rPr>
          <w:rFonts w:ascii="Times New Roman" w:eastAsia="Times New Roman" w:hAnsi="Times New Roman" w:cs="Times New Roman"/>
          <w:i/>
          <w:sz w:val="24"/>
          <w:szCs w:val="24"/>
        </w:rPr>
        <w:t>SPSS for Windows Step by Step: A Simple Guide and Reference, 17.0 update (10a ed.).</w:t>
      </w:r>
      <w:r w:rsidRPr="007A66B0">
        <w:rPr>
          <w:rFonts w:ascii="Times New Roman" w:eastAsia="Times New Roman" w:hAnsi="Times New Roman" w:cs="Times New Roman"/>
          <w:sz w:val="24"/>
          <w:szCs w:val="24"/>
        </w:rPr>
        <w:t>Pearson.</w:t>
      </w:r>
    </w:p>
    <w:p w14:paraId="599D0C24" w14:textId="41B6DE24"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3E56BA">
        <w:rPr>
          <w:rFonts w:ascii="Times New Roman" w:eastAsia="Times New Roman" w:hAnsi="Times New Roman" w:cs="Times New Roman"/>
          <w:sz w:val="24"/>
          <w:szCs w:val="24"/>
          <w:lang w:val="it-IT"/>
        </w:rPr>
        <w:t xml:space="preserve">Ghiggia, A., Castelli, L., </w:t>
      </w:r>
      <w:proofErr w:type="spellStart"/>
      <w:r w:rsidRPr="003E56BA">
        <w:rPr>
          <w:rFonts w:ascii="Times New Roman" w:eastAsia="Times New Roman" w:hAnsi="Times New Roman" w:cs="Times New Roman"/>
          <w:sz w:val="24"/>
          <w:szCs w:val="24"/>
          <w:lang w:val="it-IT"/>
        </w:rPr>
        <w:t>Adenzato</w:t>
      </w:r>
      <w:proofErr w:type="spellEnd"/>
      <w:r w:rsidRPr="003E56BA">
        <w:rPr>
          <w:rFonts w:ascii="Times New Roman" w:eastAsia="Times New Roman" w:hAnsi="Times New Roman" w:cs="Times New Roman"/>
          <w:sz w:val="24"/>
          <w:szCs w:val="24"/>
          <w:lang w:val="it-IT"/>
        </w:rPr>
        <w:t xml:space="preserve">, M., &amp; Di Tella, M. (2023). </w:t>
      </w:r>
      <w:r w:rsidRPr="007A66B0">
        <w:rPr>
          <w:rFonts w:ascii="Times New Roman" w:eastAsia="Times New Roman" w:hAnsi="Times New Roman" w:cs="Times New Roman"/>
          <w:sz w:val="24"/>
          <w:szCs w:val="24"/>
        </w:rPr>
        <w:t xml:space="preserve">Emotional competencies and psychological distress: Is loneliness a mediating factor? </w:t>
      </w:r>
      <w:r w:rsidRPr="007A66B0">
        <w:rPr>
          <w:rFonts w:ascii="Times New Roman" w:eastAsia="Times New Roman" w:hAnsi="Times New Roman" w:cs="Times New Roman"/>
          <w:i/>
          <w:sz w:val="24"/>
          <w:szCs w:val="24"/>
        </w:rPr>
        <w:t>Scandinavian journal of psychology</w:t>
      </w:r>
      <w:r w:rsidRPr="007A66B0">
        <w:rPr>
          <w:rFonts w:ascii="Times New Roman" w:eastAsia="Times New Roman" w:hAnsi="Times New Roman" w:cs="Times New Roman"/>
          <w:sz w:val="24"/>
          <w:szCs w:val="24"/>
        </w:rPr>
        <w:t xml:space="preserve">, 10.1111/sjop.12987. Advance online publication. </w:t>
      </w:r>
      <w:hyperlink r:id="rId18">
        <w:r w:rsidRPr="007A66B0">
          <w:rPr>
            <w:rFonts w:ascii="Times New Roman" w:eastAsia="Times New Roman" w:hAnsi="Times New Roman" w:cs="Times New Roman"/>
            <w:sz w:val="24"/>
            <w:szCs w:val="24"/>
            <w:u w:val="single"/>
          </w:rPr>
          <w:t>https://doi.org/10.1111/sjop.12987</w:t>
        </w:r>
      </w:hyperlink>
    </w:p>
    <w:p w14:paraId="78E7A960" w14:textId="77777777" w:rsidR="005F0572" w:rsidRPr="008C7DAD" w:rsidRDefault="00256217">
      <w:pPr>
        <w:widowControl w:val="0"/>
        <w:spacing w:line="480" w:lineRule="auto"/>
        <w:ind w:left="720" w:hanging="720"/>
        <w:rPr>
          <w:rFonts w:ascii="Times New Roman" w:eastAsia="Times New Roman" w:hAnsi="Times New Roman" w:cs="Times New Roman"/>
          <w:sz w:val="24"/>
          <w:szCs w:val="24"/>
          <w:lang w:val="it-IT"/>
        </w:rPr>
      </w:pPr>
      <w:r w:rsidRPr="008C7DAD">
        <w:rPr>
          <w:rFonts w:ascii="Times New Roman" w:eastAsia="Times New Roman" w:hAnsi="Times New Roman" w:cs="Times New Roman"/>
          <w:sz w:val="24"/>
          <w:szCs w:val="24"/>
          <w:lang w:val="it-IT"/>
        </w:rPr>
        <w:t xml:space="preserve">Ghisi, M., </w:t>
      </w:r>
      <w:proofErr w:type="spellStart"/>
      <w:r w:rsidRPr="008C7DAD">
        <w:rPr>
          <w:rFonts w:ascii="Times New Roman" w:eastAsia="Times New Roman" w:hAnsi="Times New Roman" w:cs="Times New Roman"/>
          <w:sz w:val="24"/>
          <w:szCs w:val="24"/>
          <w:lang w:val="it-IT"/>
        </w:rPr>
        <w:t>Flebus</w:t>
      </w:r>
      <w:proofErr w:type="spellEnd"/>
      <w:r w:rsidRPr="008C7DAD">
        <w:rPr>
          <w:rFonts w:ascii="Times New Roman" w:eastAsia="Times New Roman" w:hAnsi="Times New Roman" w:cs="Times New Roman"/>
          <w:sz w:val="24"/>
          <w:szCs w:val="24"/>
          <w:lang w:val="it-IT"/>
        </w:rPr>
        <w:t xml:space="preserve">, G. B., Montano, A., Sanavio, E., &amp; Sica, C. (2006). </w:t>
      </w:r>
      <w:r w:rsidRPr="008C7DAD">
        <w:rPr>
          <w:rFonts w:ascii="Times New Roman" w:eastAsia="Times New Roman" w:hAnsi="Times New Roman" w:cs="Times New Roman"/>
          <w:i/>
          <w:sz w:val="24"/>
          <w:szCs w:val="24"/>
          <w:lang w:val="it-IT"/>
        </w:rPr>
        <w:t xml:space="preserve">Beck </w:t>
      </w:r>
      <w:proofErr w:type="spellStart"/>
      <w:r w:rsidRPr="008C7DAD">
        <w:rPr>
          <w:rFonts w:ascii="Times New Roman" w:eastAsia="Times New Roman" w:hAnsi="Times New Roman" w:cs="Times New Roman"/>
          <w:i/>
          <w:sz w:val="24"/>
          <w:szCs w:val="24"/>
          <w:lang w:val="it-IT"/>
        </w:rPr>
        <w:t>depression</w:t>
      </w:r>
      <w:proofErr w:type="spellEnd"/>
      <w:r w:rsidRPr="008C7DAD">
        <w:rPr>
          <w:rFonts w:ascii="Times New Roman" w:eastAsia="Times New Roman" w:hAnsi="Times New Roman" w:cs="Times New Roman"/>
          <w:i/>
          <w:sz w:val="24"/>
          <w:szCs w:val="24"/>
          <w:lang w:val="it-IT"/>
        </w:rPr>
        <w:t xml:space="preserve"> </w:t>
      </w:r>
      <w:proofErr w:type="spellStart"/>
      <w:r w:rsidRPr="008C7DAD">
        <w:rPr>
          <w:rFonts w:ascii="Times New Roman" w:eastAsia="Times New Roman" w:hAnsi="Times New Roman" w:cs="Times New Roman"/>
          <w:i/>
          <w:sz w:val="24"/>
          <w:szCs w:val="24"/>
          <w:lang w:val="it-IT"/>
        </w:rPr>
        <w:t>inventory</w:t>
      </w:r>
      <w:proofErr w:type="spellEnd"/>
      <w:r w:rsidRPr="008C7DAD">
        <w:rPr>
          <w:rFonts w:ascii="Times New Roman" w:eastAsia="Times New Roman" w:hAnsi="Times New Roman" w:cs="Times New Roman"/>
          <w:i/>
          <w:sz w:val="24"/>
          <w:szCs w:val="24"/>
          <w:lang w:val="it-IT"/>
        </w:rPr>
        <w:t>. Adattamento Italiano: Manuale</w:t>
      </w:r>
      <w:r w:rsidRPr="008C7DAD">
        <w:rPr>
          <w:rFonts w:ascii="Times New Roman" w:eastAsia="Times New Roman" w:hAnsi="Times New Roman" w:cs="Times New Roman"/>
          <w:sz w:val="24"/>
          <w:szCs w:val="24"/>
          <w:lang w:val="it-IT"/>
        </w:rPr>
        <w:t>. Giunti Organizzazioni Speciali.</w:t>
      </w:r>
    </w:p>
    <w:p w14:paraId="6A59C215"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proofErr w:type="spellStart"/>
      <w:r w:rsidRPr="008C7DAD">
        <w:rPr>
          <w:rFonts w:ascii="Times New Roman" w:eastAsia="Times New Roman" w:hAnsi="Times New Roman" w:cs="Times New Roman"/>
          <w:sz w:val="24"/>
          <w:szCs w:val="24"/>
          <w:lang w:val="it-IT"/>
        </w:rPr>
        <w:lastRenderedPageBreak/>
        <w:t>Gibb</w:t>
      </w:r>
      <w:proofErr w:type="spellEnd"/>
      <w:r w:rsidRPr="008C7DAD">
        <w:rPr>
          <w:rFonts w:ascii="Times New Roman" w:eastAsia="Times New Roman" w:hAnsi="Times New Roman" w:cs="Times New Roman"/>
          <w:sz w:val="24"/>
          <w:szCs w:val="24"/>
          <w:lang w:val="it-IT"/>
        </w:rPr>
        <w:t xml:space="preserve">, S. J., Fergusson, D. M., &amp; </w:t>
      </w:r>
      <w:proofErr w:type="spellStart"/>
      <w:r w:rsidRPr="008C7DAD">
        <w:rPr>
          <w:rFonts w:ascii="Times New Roman" w:eastAsia="Times New Roman" w:hAnsi="Times New Roman" w:cs="Times New Roman"/>
          <w:sz w:val="24"/>
          <w:szCs w:val="24"/>
          <w:lang w:val="it-IT"/>
        </w:rPr>
        <w:t>Horwood</w:t>
      </w:r>
      <w:proofErr w:type="spellEnd"/>
      <w:r w:rsidRPr="008C7DAD">
        <w:rPr>
          <w:rFonts w:ascii="Times New Roman" w:eastAsia="Times New Roman" w:hAnsi="Times New Roman" w:cs="Times New Roman"/>
          <w:sz w:val="24"/>
          <w:szCs w:val="24"/>
          <w:lang w:val="it-IT"/>
        </w:rPr>
        <w:t xml:space="preserve">, L. J. (2011). </w:t>
      </w:r>
      <w:r w:rsidRPr="007A66B0">
        <w:rPr>
          <w:rFonts w:ascii="Times New Roman" w:eastAsia="Times New Roman" w:hAnsi="Times New Roman" w:cs="Times New Roman"/>
          <w:sz w:val="24"/>
          <w:szCs w:val="24"/>
        </w:rPr>
        <w:t xml:space="preserve">Relationship duration and mental health outcomes: findings from a 30-year longitudinal study. </w:t>
      </w:r>
      <w:r w:rsidRPr="007A66B0">
        <w:rPr>
          <w:rFonts w:ascii="Times New Roman" w:eastAsia="Times New Roman" w:hAnsi="Times New Roman" w:cs="Times New Roman"/>
          <w:i/>
          <w:sz w:val="24"/>
          <w:szCs w:val="24"/>
        </w:rPr>
        <w:t>The British Journal of Psychiatry, 198</w:t>
      </w:r>
      <w:r w:rsidRPr="007A66B0">
        <w:rPr>
          <w:rFonts w:ascii="Times New Roman" w:eastAsia="Times New Roman" w:hAnsi="Times New Roman" w:cs="Times New Roman"/>
          <w:sz w:val="24"/>
          <w:szCs w:val="24"/>
        </w:rPr>
        <w:t>(1), 24-30.</w:t>
      </w:r>
      <w:r w:rsidRPr="007A66B0">
        <w:rPr>
          <w:rFonts w:ascii="Times New Roman" w:eastAsia="Times New Roman" w:hAnsi="Times New Roman" w:cs="Times New Roman"/>
          <w:sz w:val="24"/>
          <w:szCs w:val="24"/>
          <w:u w:val="single"/>
        </w:rPr>
        <w:t xml:space="preserve"> </w:t>
      </w:r>
      <w:hyperlink r:id="rId19">
        <w:r w:rsidRPr="007A66B0">
          <w:rPr>
            <w:rFonts w:ascii="Times New Roman" w:eastAsia="Times New Roman" w:hAnsi="Times New Roman" w:cs="Times New Roman"/>
            <w:sz w:val="24"/>
            <w:szCs w:val="24"/>
            <w:u w:val="single"/>
          </w:rPr>
          <w:t>https://doi.org/10.1192/bjp.bp.110.083550</w:t>
        </w:r>
      </w:hyperlink>
    </w:p>
    <w:p w14:paraId="1077835D"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Grundström, J., Konttinen, H., Berg, N., &amp; Kiviruusu, O. (2021). Associations between relationship status and mental well-being in different life phases from young to middle adulthood. </w:t>
      </w:r>
      <w:r w:rsidRPr="007A66B0">
        <w:rPr>
          <w:rFonts w:ascii="Times New Roman" w:eastAsia="Times New Roman" w:hAnsi="Times New Roman" w:cs="Times New Roman"/>
          <w:i/>
          <w:sz w:val="24"/>
          <w:szCs w:val="24"/>
        </w:rPr>
        <w:t>SSM-population health</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14</w:t>
      </w:r>
      <w:r w:rsidRPr="007A66B0">
        <w:rPr>
          <w:rFonts w:ascii="Times New Roman" w:eastAsia="Times New Roman" w:hAnsi="Times New Roman" w:cs="Times New Roman"/>
          <w:sz w:val="24"/>
          <w:szCs w:val="24"/>
        </w:rPr>
        <w:t xml:space="preserve">, 100774. </w:t>
      </w:r>
      <w:hyperlink r:id="rId20">
        <w:r w:rsidRPr="007A66B0">
          <w:rPr>
            <w:rFonts w:ascii="Times New Roman" w:eastAsia="Times New Roman" w:hAnsi="Times New Roman" w:cs="Times New Roman"/>
            <w:sz w:val="24"/>
            <w:szCs w:val="24"/>
            <w:u w:val="single"/>
          </w:rPr>
          <w:t>https://doi.org/10.1016/j.ssmph.2021.100774</w:t>
        </w:r>
      </w:hyperlink>
    </w:p>
    <w:p w14:paraId="53F73132"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 xml:space="preserve">Hazan, C., &amp; Shaver, P. (1987). Romantic love conceptualized as an attachment process. </w:t>
      </w:r>
      <w:r w:rsidRPr="007A66B0">
        <w:rPr>
          <w:rFonts w:ascii="Times New Roman" w:eastAsia="Times New Roman" w:hAnsi="Times New Roman" w:cs="Times New Roman"/>
          <w:i/>
          <w:sz w:val="24"/>
          <w:szCs w:val="24"/>
        </w:rPr>
        <w:t>Journal of Personality and Social Psychology, 52</w:t>
      </w:r>
      <w:r w:rsidRPr="007A66B0">
        <w:rPr>
          <w:rFonts w:ascii="Times New Roman" w:eastAsia="Times New Roman" w:hAnsi="Times New Roman" w:cs="Times New Roman"/>
          <w:sz w:val="24"/>
          <w:szCs w:val="24"/>
        </w:rPr>
        <w:t>(3), 511.</w:t>
      </w:r>
    </w:p>
    <w:p w14:paraId="4D271DA9"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 xml:space="preserve">Hesse, C., &amp; Gibbons, S. (2019). The longitudinal effects of alexithymia on romantic relationships. </w:t>
      </w:r>
      <w:r w:rsidRPr="007A66B0">
        <w:rPr>
          <w:rFonts w:ascii="Times New Roman" w:eastAsia="Times New Roman" w:hAnsi="Times New Roman" w:cs="Times New Roman"/>
          <w:i/>
          <w:sz w:val="24"/>
          <w:szCs w:val="24"/>
        </w:rPr>
        <w:t>Personal Relationship, 26</w:t>
      </w:r>
      <w:r w:rsidRPr="007A66B0">
        <w:rPr>
          <w:rFonts w:ascii="Times New Roman" w:eastAsia="Times New Roman" w:hAnsi="Times New Roman" w:cs="Times New Roman"/>
          <w:sz w:val="24"/>
          <w:szCs w:val="24"/>
        </w:rPr>
        <w:t xml:space="preserve">(4), 566-585. </w:t>
      </w:r>
      <w:hyperlink r:id="rId21">
        <w:r w:rsidRPr="007A66B0">
          <w:rPr>
            <w:rFonts w:ascii="Times New Roman" w:eastAsia="Times New Roman" w:hAnsi="Times New Roman" w:cs="Times New Roman"/>
            <w:sz w:val="24"/>
            <w:szCs w:val="24"/>
            <w:u w:val="single"/>
          </w:rPr>
          <w:t>https://doi.org/10.1111/pere.12294</w:t>
        </w:r>
      </w:hyperlink>
    </w:p>
    <w:p w14:paraId="70A9B5B5"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 xml:space="preserve">Humphreys, T. P., Wood, L. M., &amp; Parker, J. D. (2009). Alexithymia and satisfaction in intimate relationships. </w:t>
      </w:r>
      <w:r w:rsidRPr="007A66B0">
        <w:rPr>
          <w:rFonts w:ascii="Times New Roman" w:eastAsia="Times New Roman" w:hAnsi="Times New Roman" w:cs="Times New Roman"/>
          <w:i/>
          <w:sz w:val="24"/>
          <w:szCs w:val="24"/>
        </w:rPr>
        <w:t>Personality and Individual Differences, 46</w:t>
      </w:r>
      <w:r w:rsidRPr="007A66B0">
        <w:rPr>
          <w:rFonts w:ascii="Times New Roman" w:eastAsia="Times New Roman" w:hAnsi="Times New Roman" w:cs="Times New Roman"/>
          <w:sz w:val="24"/>
          <w:szCs w:val="24"/>
        </w:rPr>
        <w:t xml:space="preserve">(1), 43-47. </w:t>
      </w:r>
      <w:r w:rsidRPr="007A66B0">
        <w:rPr>
          <w:rFonts w:ascii="Times New Roman" w:eastAsia="Times New Roman" w:hAnsi="Times New Roman" w:cs="Times New Roman"/>
          <w:sz w:val="24"/>
          <w:szCs w:val="24"/>
          <w:u w:val="single"/>
        </w:rPr>
        <w:t>https://doi.org/10.1016/j.paid.2008.09.002</w:t>
      </w:r>
    </w:p>
    <w:p w14:paraId="39ACCE60" w14:textId="77777777" w:rsidR="005F0572" w:rsidRPr="007A66B0" w:rsidRDefault="00256217">
      <w:pPr>
        <w:pBdr>
          <w:top w:val="nil"/>
          <w:left w:val="nil"/>
          <w:bottom w:val="nil"/>
          <w:right w:val="nil"/>
          <w:between w:val="nil"/>
        </w:pBdr>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Kirkpatrick, L. A., &amp; Hazan, C. (1994). Attachment styles and close relationships: A four-year prospective study. </w:t>
      </w:r>
      <w:r w:rsidRPr="007A66B0">
        <w:rPr>
          <w:rFonts w:ascii="Times New Roman" w:eastAsia="Times New Roman" w:hAnsi="Times New Roman" w:cs="Times New Roman"/>
          <w:i/>
          <w:sz w:val="24"/>
          <w:szCs w:val="24"/>
        </w:rPr>
        <w:t>Personal Relationship, 1</w:t>
      </w:r>
      <w:r w:rsidRPr="007A66B0">
        <w:rPr>
          <w:rFonts w:ascii="Times New Roman" w:eastAsia="Times New Roman" w:hAnsi="Times New Roman" w:cs="Times New Roman"/>
          <w:sz w:val="24"/>
          <w:szCs w:val="24"/>
        </w:rPr>
        <w:t xml:space="preserve">(2), 123-142. </w:t>
      </w:r>
      <w:hyperlink r:id="rId22">
        <w:r w:rsidRPr="007A66B0">
          <w:rPr>
            <w:rFonts w:ascii="Times New Roman" w:eastAsia="Times New Roman" w:hAnsi="Times New Roman" w:cs="Times New Roman"/>
            <w:sz w:val="24"/>
            <w:szCs w:val="24"/>
            <w:u w:val="single"/>
          </w:rPr>
          <w:t>https://doi.org/10.1111/j.1475-6811.1994.tb00058.x</w:t>
        </w:r>
      </w:hyperlink>
    </w:p>
    <w:p w14:paraId="357608D3"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 xml:space="preserve">Lafontaine, M.-F., Brassard, A., Lussier, Y., Valois, P., Shaver, P. R., &amp; Johnson, S. M. (2016). Selecting the best items for a Short-Form of the Experiences in Close Relationships Questionnaire. </w:t>
      </w:r>
      <w:r w:rsidRPr="007A66B0">
        <w:rPr>
          <w:rFonts w:ascii="Times New Roman" w:eastAsia="Times New Roman" w:hAnsi="Times New Roman" w:cs="Times New Roman"/>
          <w:i/>
          <w:sz w:val="24"/>
          <w:szCs w:val="24"/>
        </w:rPr>
        <w:t>European Journal of Psychological Assessment, 32</w:t>
      </w:r>
      <w:r w:rsidRPr="007A66B0">
        <w:rPr>
          <w:rFonts w:ascii="Times New Roman" w:eastAsia="Times New Roman" w:hAnsi="Times New Roman" w:cs="Times New Roman"/>
          <w:sz w:val="24"/>
          <w:szCs w:val="24"/>
        </w:rPr>
        <w:t>(2), 140-154. doi: 10.1027/1015-5759/a000243</w:t>
      </w:r>
    </w:p>
    <w:p w14:paraId="0C3D593A"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Li, T., &amp; Chan, D. K. S. (2012). How anxious and avoidant attachment affect romantic relationship quality differently: A meta‐analytic review. </w:t>
      </w:r>
      <w:r w:rsidRPr="007A66B0">
        <w:rPr>
          <w:rFonts w:ascii="Times New Roman" w:eastAsia="Times New Roman" w:hAnsi="Times New Roman" w:cs="Times New Roman"/>
          <w:i/>
          <w:sz w:val="24"/>
          <w:szCs w:val="24"/>
        </w:rPr>
        <w:t>European Journal of Social Psychology, 42</w:t>
      </w:r>
      <w:r w:rsidRPr="007A66B0">
        <w:rPr>
          <w:rFonts w:ascii="Times New Roman" w:eastAsia="Times New Roman" w:hAnsi="Times New Roman" w:cs="Times New Roman"/>
          <w:sz w:val="24"/>
          <w:szCs w:val="24"/>
        </w:rPr>
        <w:t>(4), 406-419.</w:t>
      </w:r>
    </w:p>
    <w:p w14:paraId="2894BFFE"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lastRenderedPageBreak/>
        <w:t>Leach, L. S., &amp; Butterworth, P. (2020). Depression and anxiety in early adulthood: consequences for finding a partner, and relationship support and conflict.</w:t>
      </w:r>
      <w:r w:rsidRPr="007A66B0">
        <w:rPr>
          <w:rFonts w:ascii="Times New Roman" w:eastAsia="Times New Roman" w:hAnsi="Times New Roman" w:cs="Times New Roman"/>
          <w:i/>
          <w:sz w:val="24"/>
          <w:szCs w:val="24"/>
        </w:rPr>
        <w:t xml:space="preserve"> Epidemiology and psychiatric sciences,</w:t>
      </w:r>
      <w:r w:rsidRPr="007A66B0">
        <w:rPr>
          <w:rFonts w:ascii="Times New Roman" w:eastAsia="Times New Roman" w:hAnsi="Times New Roman" w:cs="Times New Roman"/>
          <w:sz w:val="24"/>
          <w:szCs w:val="24"/>
        </w:rPr>
        <w:t xml:space="preserve"> 29, e141.</w:t>
      </w:r>
    </w:p>
    <w:p w14:paraId="6D963668"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Lyvers, M., Pickett, L., Needham, K., &amp; Thorberg, F. A. (2021). Alexithymia, Fear of Intimacy, and Relationship Satisfaction. </w:t>
      </w:r>
      <w:r w:rsidRPr="007A66B0">
        <w:rPr>
          <w:rFonts w:ascii="Times New Roman" w:eastAsia="Times New Roman" w:hAnsi="Times New Roman" w:cs="Times New Roman"/>
          <w:i/>
          <w:sz w:val="24"/>
          <w:szCs w:val="24"/>
        </w:rPr>
        <w:t>Journal of Family Issues, 43</w:t>
      </w:r>
      <w:r w:rsidRPr="007A66B0">
        <w:rPr>
          <w:rFonts w:ascii="Times New Roman" w:eastAsia="Times New Roman" w:hAnsi="Times New Roman" w:cs="Times New Roman"/>
          <w:sz w:val="24"/>
          <w:szCs w:val="24"/>
        </w:rPr>
        <w:t xml:space="preserve">(4), 1068-1089. </w:t>
      </w:r>
      <w:hyperlink r:id="rId23">
        <w:r w:rsidRPr="007A66B0">
          <w:rPr>
            <w:rFonts w:ascii="Times New Roman" w:eastAsia="Times New Roman" w:hAnsi="Times New Roman" w:cs="Times New Roman"/>
            <w:sz w:val="24"/>
            <w:szCs w:val="24"/>
            <w:u w:val="single"/>
          </w:rPr>
          <w:t>https://doi.org/10.1177/0192513X211010206</w:t>
        </w:r>
      </w:hyperlink>
    </w:p>
    <w:p w14:paraId="36B22A65"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Mikulincer, M., &amp; Shaver, P. (2016). </w:t>
      </w:r>
      <w:r w:rsidRPr="007A66B0">
        <w:rPr>
          <w:rFonts w:ascii="Times New Roman" w:eastAsia="Times New Roman" w:hAnsi="Times New Roman" w:cs="Times New Roman"/>
          <w:i/>
          <w:sz w:val="24"/>
          <w:szCs w:val="24"/>
        </w:rPr>
        <w:t>Attachment in Adulthood.</w:t>
      </w:r>
      <w:r w:rsidRPr="007A66B0">
        <w:rPr>
          <w:rFonts w:ascii="Times New Roman" w:eastAsia="Times New Roman" w:hAnsi="Times New Roman" w:cs="Times New Roman"/>
          <w:sz w:val="24"/>
          <w:szCs w:val="24"/>
        </w:rPr>
        <w:t xml:space="preserve"> New York: Guilford Press.</w:t>
      </w:r>
    </w:p>
    <w:p w14:paraId="6C112CD8"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Overall, N. C., Fletcher, G. J. O., Simpson, J. A., &amp; Sibley, C G. (2009). Regulating partners in intimate relationships: The costs and benefits of different communication strategies. </w:t>
      </w:r>
      <w:r w:rsidRPr="007A66B0">
        <w:rPr>
          <w:rFonts w:ascii="Times New Roman" w:eastAsia="Times New Roman" w:hAnsi="Times New Roman" w:cs="Times New Roman"/>
          <w:i/>
          <w:sz w:val="24"/>
          <w:szCs w:val="24"/>
        </w:rPr>
        <w:t>Journal of Personality and Social Psychology, 96,</w:t>
      </w:r>
      <w:r w:rsidRPr="007A66B0">
        <w:rPr>
          <w:rFonts w:ascii="Times New Roman" w:eastAsia="Times New Roman" w:hAnsi="Times New Roman" w:cs="Times New Roman"/>
          <w:sz w:val="24"/>
          <w:szCs w:val="24"/>
        </w:rPr>
        <w:t xml:space="preserve"> 620–639. </w:t>
      </w:r>
      <w:hyperlink r:id="rId24">
        <w:r w:rsidRPr="007A66B0">
          <w:rPr>
            <w:rFonts w:ascii="Times New Roman" w:eastAsia="Times New Roman" w:hAnsi="Times New Roman" w:cs="Times New Roman"/>
            <w:sz w:val="24"/>
            <w:szCs w:val="24"/>
            <w:u w:val="single"/>
          </w:rPr>
          <w:t>http://doi.org/10.1037/a0012961</w:t>
        </w:r>
      </w:hyperlink>
    </w:p>
    <w:p w14:paraId="69F25799"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Montebarocci, O., Codispoti, M., Baldaro, B., &amp; Rossi, N. (2004). Adult attachment style and alexithymia. </w:t>
      </w:r>
      <w:r w:rsidRPr="007A66B0">
        <w:rPr>
          <w:rFonts w:ascii="Times New Roman" w:eastAsia="Times New Roman" w:hAnsi="Times New Roman" w:cs="Times New Roman"/>
          <w:i/>
          <w:sz w:val="24"/>
          <w:szCs w:val="24"/>
        </w:rPr>
        <w:t>Personality and Individual differences</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36</w:t>
      </w:r>
      <w:r w:rsidRPr="007A66B0">
        <w:rPr>
          <w:rFonts w:ascii="Times New Roman" w:eastAsia="Times New Roman" w:hAnsi="Times New Roman" w:cs="Times New Roman"/>
          <w:sz w:val="24"/>
          <w:szCs w:val="24"/>
        </w:rPr>
        <w:t xml:space="preserve">(3), 499-507. </w:t>
      </w:r>
      <w:hyperlink r:id="rId25">
        <w:r w:rsidRPr="007A66B0">
          <w:rPr>
            <w:rFonts w:ascii="Times New Roman" w:eastAsia="Times New Roman" w:hAnsi="Times New Roman" w:cs="Times New Roman"/>
            <w:sz w:val="24"/>
            <w:szCs w:val="24"/>
            <w:u w:val="single"/>
          </w:rPr>
          <w:t>https://doi.org/10.1016/S0191-8869(03)00110-7</w:t>
        </w:r>
      </w:hyperlink>
    </w:p>
    <w:p w14:paraId="11176F9D"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proofErr w:type="spellStart"/>
      <w:r w:rsidRPr="008C7DAD">
        <w:rPr>
          <w:rFonts w:ascii="Times New Roman" w:eastAsia="Times New Roman" w:hAnsi="Times New Roman" w:cs="Times New Roman"/>
          <w:sz w:val="24"/>
          <w:szCs w:val="24"/>
          <w:lang w:val="it-IT"/>
        </w:rPr>
        <w:t>Pedrabissi</w:t>
      </w:r>
      <w:proofErr w:type="spellEnd"/>
      <w:r w:rsidRPr="008C7DAD">
        <w:rPr>
          <w:rFonts w:ascii="Times New Roman" w:eastAsia="Times New Roman" w:hAnsi="Times New Roman" w:cs="Times New Roman"/>
          <w:sz w:val="24"/>
          <w:szCs w:val="24"/>
          <w:lang w:val="it-IT"/>
        </w:rPr>
        <w:t xml:space="preserve">, L., &amp; </w:t>
      </w:r>
      <w:proofErr w:type="spellStart"/>
      <w:r w:rsidRPr="008C7DAD">
        <w:rPr>
          <w:rFonts w:ascii="Times New Roman" w:eastAsia="Times New Roman" w:hAnsi="Times New Roman" w:cs="Times New Roman"/>
          <w:sz w:val="24"/>
          <w:szCs w:val="24"/>
          <w:lang w:val="it-IT"/>
        </w:rPr>
        <w:t>Santinello</w:t>
      </w:r>
      <w:proofErr w:type="spellEnd"/>
      <w:r w:rsidRPr="008C7DAD">
        <w:rPr>
          <w:rFonts w:ascii="Times New Roman" w:eastAsia="Times New Roman" w:hAnsi="Times New Roman" w:cs="Times New Roman"/>
          <w:sz w:val="24"/>
          <w:szCs w:val="24"/>
          <w:lang w:val="it-IT"/>
        </w:rPr>
        <w:t xml:space="preserve">, M. (1989). </w:t>
      </w:r>
      <w:r w:rsidRPr="008C7DAD">
        <w:rPr>
          <w:rFonts w:ascii="Times New Roman" w:eastAsia="Times New Roman" w:hAnsi="Times New Roman" w:cs="Times New Roman"/>
          <w:i/>
          <w:sz w:val="24"/>
          <w:szCs w:val="24"/>
          <w:lang w:val="it-IT"/>
        </w:rPr>
        <w:t>Inventario per l'ansia di «Stato» e di «Tratto»: nuova versione italiana dello STAI Forma Y: Manuale</w:t>
      </w:r>
      <w:r w:rsidRPr="008C7DAD">
        <w:rPr>
          <w:rFonts w:ascii="Times New Roman" w:eastAsia="Times New Roman" w:hAnsi="Times New Roman" w:cs="Times New Roman"/>
          <w:sz w:val="24"/>
          <w:szCs w:val="24"/>
          <w:lang w:val="it-IT"/>
        </w:rPr>
        <w:t xml:space="preserve">. </w:t>
      </w:r>
      <w:proofErr w:type="spellStart"/>
      <w:r w:rsidRPr="007A66B0">
        <w:rPr>
          <w:rFonts w:ascii="Times New Roman" w:eastAsia="Times New Roman" w:hAnsi="Times New Roman" w:cs="Times New Roman"/>
          <w:sz w:val="24"/>
          <w:szCs w:val="24"/>
        </w:rPr>
        <w:t>Giunti</w:t>
      </w:r>
      <w:proofErr w:type="spellEnd"/>
      <w:r w:rsidRPr="007A66B0">
        <w:rPr>
          <w:rFonts w:ascii="Times New Roman" w:eastAsia="Times New Roman" w:hAnsi="Times New Roman" w:cs="Times New Roman"/>
          <w:sz w:val="24"/>
          <w:szCs w:val="24"/>
        </w:rPr>
        <w:t xml:space="preserve"> </w:t>
      </w:r>
      <w:proofErr w:type="spellStart"/>
      <w:r w:rsidRPr="007A66B0">
        <w:rPr>
          <w:rFonts w:ascii="Times New Roman" w:eastAsia="Times New Roman" w:hAnsi="Times New Roman" w:cs="Times New Roman"/>
          <w:sz w:val="24"/>
          <w:szCs w:val="24"/>
        </w:rPr>
        <w:t>Organizzazioni</w:t>
      </w:r>
      <w:proofErr w:type="spellEnd"/>
      <w:r w:rsidRPr="007A66B0">
        <w:rPr>
          <w:rFonts w:ascii="Times New Roman" w:eastAsia="Times New Roman" w:hAnsi="Times New Roman" w:cs="Times New Roman"/>
          <w:sz w:val="24"/>
          <w:szCs w:val="24"/>
        </w:rPr>
        <w:t xml:space="preserve"> </w:t>
      </w:r>
      <w:proofErr w:type="spellStart"/>
      <w:r w:rsidRPr="007A66B0">
        <w:rPr>
          <w:rFonts w:ascii="Times New Roman" w:eastAsia="Times New Roman" w:hAnsi="Times New Roman" w:cs="Times New Roman"/>
          <w:sz w:val="24"/>
          <w:szCs w:val="24"/>
        </w:rPr>
        <w:t>Speciali</w:t>
      </w:r>
      <w:proofErr w:type="spellEnd"/>
      <w:r w:rsidRPr="007A66B0">
        <w:rPr>
          <w:rFonts w:ascii="Times New Roman" w:eastAsia="Times New Roman" w:hAnsi="Times New Roman" w:cs="Times New Roman"/>
          <w:sz w:val="24"/>
          <w:szCs w:val="24"/>
        </w:rPr>
        <w:t>.</w:t>
      </w:r>
    </w:p>
    <w:p w14:paraId="4B218425" w14:textId="77777777" w:rsidR="005F0572" w:rsidRPr="007A66B0" w:rsidRDefault="00256217">
      <w:pPr>
        <w:widowControl w:val="0"/>
        <w:spacing w:line="480" w:lineRule="auto"/>
        <w:ind w:left="709"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Pepping, C. A., &amp; MacDonald, G. (2019).</w:t>
      </w:r>
      <w:r w:rsidRPr="007A66B0">
        <w:rPr>
          <w:rFonts w:ascii="Times New Roman" w:eastAsia="Times New Roman" w:hAnsi="Times New Roman" w:cs="Times New Roman"/>
          <w:i/>
          <w:sz w:val="24"/>
          <w:szCs w:val="24"/>
        </w:rPr>
        <w:t xml:space="preserve"> </w:t>
      </w:r>
      <w:r w:rsidRPr="007A66B0">
        <w:rPr>
          <w:rFonts w:ascii="Times New Roman" w:eastAsia="Times New Roman" w:hAnsi="Times New Roman" w:cs="Times New Roman"/>
          <w:sz w:val="24"/>
          <w:szCs w:val="24"/>
        </w:rPr>
        <w:t xml:space="preserve">Adult attachment and long-term singlehood. </w:t>
      </w:r>
      <w:r w:rsidRPr="007A66B0">
        <w:rPr>
          <w:rFonts w:ascii="Times New Roman" w:eastAsia="Times New Roman" w:hAnsi="Times New Roman" w:cs="Times New Roman"/>
          <w:i/>
          <w:sz w:val="24"/>
          <w:szCs w:val="24"/>
        </w:rPr>
        <w:t>Current Opinion in Psychology, 25</w:t>
      </w:r>
      <w:r w:rsidRPr="007A66B0">
        <w:rPr>
          <w:rFonts w:ascii="Times New Roman" w:eastAsia="Times New Roman" w:hAnsi="Times New Roman" w:cs="Times New Roman"/>
          <w:sz w:val="24"/>
          <w:szCs w:val="24"/>
        </w:rPr>
        <w:t xml:space="preserve">, 105-109. </w:t>
      </w:r>
      <w:r w:rsidRPr="007A66B0">
        <w:rPr>
          <w:rFonts w:ascii="Times New Roman" w:eastAsia="Times New Roman" w:hAnsi="Times New Roman" w:cs="Times New Roman"/>
          <w:sz w:val="24"/>
          <w:szCs w:val="24"/>
          <w:u w:val="single"/>
        </w:rPr>
        <w:t>https://doi.org/10.1016/j.copsyc.2018.04.006</w:t>
      </w:r>
    </w:p>
    <w:p w14:paraId="5FD75C6D"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Petrowski, K., Schurig, S., Schmutzer, G., Brähler, E., &amp; Stöbel-Richter, Y. (2015). Is It Attachment Style or Socio-Demography: Singlehood in a Representative Sample. </w:t>
      </w:r>
      <w:r w:rsidRPr="007A66B0">
        <w:rPr>
          <w:rFonts w:ascii="Times New Roman" w:eastAsia="Times New Roman" w:hAnsi="Times New Roman" w:cs="Times New Roman"/>
          <w:i/>
          <w:sz w:val="24"/>
          <w:szCs w:val="24"/>
        </w:rPr>
        <w:t>Frontiers in Psychology, 6</w:t>
      </w:r>
      <w:r w:rsidRPr="007A66B0">
        <w:rPr>
          <w:rFonts w:ascii="Times New Roman" w:eastAsia="Times New Roman" w:hAnsi="Times New Roman" w:cs="Times New Roman"/>
          <w:sz w:val="24"/>
          <w:szCs w:val="24"/>
        </w:rPr>
        <w:t>,</w:t>
      </w:r>
      <w:r w:rsidRPr="007A66B0">
        <w:rPr>
          <w:rFonts w:ascii="Times New Roman" w:eastAsia="Times New Roman" w:hAnsi="Times New Roman" w:cs="Times New Roman"/>
          <w:i/>
          <w:sz w:val="24"/>
          <w:szCs w:val="24"/>
        </w:rPr>
        <w:t xml:space="preserve"> </w:t>
      </w:r>
      <w:r w:rsidRPr="007A66B0">
        <w:rPr>
          <w:rFonts w:ascii="Times New Roman" w:eastAsia="Times New Roman" w:hAnsi="Times New Roman" w:cs="Times New Roman"/>
          <w:sz w:val="24"/>
          <w:szCs w:val="24"/>
        </w:rPr>
        <w:t xml:space="preserve">1738. </w:t>
      </w:r>
      <w:hyperlink r:id="rId26">
        <w:r w:rsidRPr="007A66B0">
          <w:rPr>
            <w:rFonts w:ascii="Times New Roman" w:eastAsia="Times New Roman" w:hAnsi="Times New Roman" w:cs="Times New Roman"/>
            <w:sz w:val="24"/>
            <w:szCs w:val="24"/>
            <w:u w:val="single"/>
          </w:rPr>
          <w:t>https://doi.org/10.3389/fpsyg.2015.01738</w:t>
        </w:r>
      </w:hyperlink>
      <w:r w:rsidRPr="007A66B0">
        <w:rPr>
          <w:rFonts w:ascii="Times New Roman" w:eastAsia="Times New Roman" w:hAnsi="Times New Roman" w:cs="Times New Roman"/>
          <w:sz w:val="24"/>
          <w:szCs w:val="24"/>
          <w:u w:val="single"/>
        </w:rPr>
        <w:t xml:space="preserve"> </w:t>
      </w:r>
    </w:p>
    <w:p w14:paraId="6401AB65"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Scott, R. L., &amp; Cordova, J. V. (2002). The influence of adult attachment styles on the association between marital adjustment and depressive symptoms</w:t>
      </w:r>
      <w:r w:rsidRPr="007A66B0">
        <w:rPr>
          <w:rFonts w:ascii="Times New Roman" w:eastAsia="Times New Roman" w:hAnsi="Times New Roman" w:cs="Times New Roman"/>
          <w:i/>
          <w:sz w:val="24"/>
          <w:szCs w:val="24"/>
        </w:rPr>
        <w:t>. Journal of Family Psychology, 16</w:t>
      </w:r>
      <w:r w:rsidRPr="007A66B0">
        <w:rPr>
          <w:rFonts w:ascii="Times New Roman" w:eastAsia="Times New Roman" w:hAnsi="Times New Roman" w:cs="Times New Roman"/>
          <w:sz w:val="24"/>
          <w:szCs w:val="24"/>
        </w:rPr>
        <w:t xml:space="preserve">(2), 199-208. </w:t>
      </w:r>
      <w:r w:rsidRPr="007A66B0">
        <w:rPr>
          <w:rFonts w:ascii="Times New Roman" w:eastAsia="Times New Roman" w:hAnsi="Times New Roman" w:cs="Times New Roman"/>
          <w:sz w:val="24"/>
          <w:szCs w:val="24"/>
          <w:u w:val="single"/>
        </w:rPr>
        <w:t>https://doi.org/10.1037//0893-3200.16.2.199</w:t>
      </w:r>
    </w:p>
    <w:p w14:paraId="2F192DD0"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lastRenderedPageBreak/>
        <w:t xml:space="preserve">Spielberger, C. D., Gorsuch, R. L., Lushene, R., Vagg, P. R., &amp; Jacobs, G. A. (1983). </w:t>
      </w:r>
      <w:r w:rsidRPr="007A66B0">
        <w:rPr>
          <w:rFonts w:ascii="Times New Roman" w:eastAsia="Times New Roman" w:hAnsi="Times New Roman" w:cs="Times New Roman"/>
          <w:i/>
          <w:sz w:val="24"/>
          <w:szCs w:val="24"/>
        </w:rPr>
        <w:t>State-trait anxiety inventory (form Y)</w:t>
      </w:r>
      <w:r w:rsidRPr="007A66B0">
        <w:rPr>
          <w:rFonts w:ascii="Times New Roman" w:eastAsia="Times New Roman" w:hAnsi="Times New Roman" w:cs="Times New Roman"/>
          <w:sz w:val="24"/>
          <w:szCs w:val="24"/>
        </w:rPr>
        <w:t>. Palo Alto: Mind Garden.</w:t>
      </w:r>
    </w:p>
    <w:p w14:paraId="73FF6285"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Taylor, G. J., &amp; Bagby., R. M. (2004). New trends in alexithymia research. </w:t>
      </w:r>
      <w:r w:rsidRPr="007A66B0">
        <w:rPr>
          <w:rFonts w:ascii="Times New Roman" w:eastAsia="Times New Roman" w:hAnsi="Times New Roman" w:cs="Times New Roman"/>
          <w:i/>
          <w:sz w:val="24"/>
          <w:szCs w:val="24"/>
        </w:rPr>
        <w:t>Psychotherapy and Psychosomatics</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73</w:t>
      </w:r>
      <w:r w:rsidRPr="007A66B0">
        <w:rPr>
          <w:rFonts w:ascii="Times New Roman" w:eastAsia="Times New Roman" w:hAnsi="Times New Roman" w:cs="Times New Roman"/>
          <w:sz w:val="24"/>
          <w:szCs w:val="24"/>
        </w:rPr>
        <w:t xml:space="preserve">(2), 68–77. </w:t>
      </w:r>
      <w:hyperlink r:id="rId27">
        <w:r w:rsidRPr="007A66B0">
          <w:rPr>
            <w:rFonts w:ascii="Times New Roman" w:eastAsia="Times New Roman" w:hAnsi="Times New Roman" w:cs="Times New Roman"/>
            <w:sz w:val="24"/>
            <w:szCs w:val="24"/>
            <w:u w:val="single"/>
          </w:rPr>
          <w:t>https://doi.org/10.1159/000075537</w:t>
        </w:r>
      </w:hyperlink>
    </w:p>
    <w:p w14:paraId="27737FFB"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u w:val="single"/>
        </w:rPr>
      </w:pPr>
      <w:r w:rsidRPr="007A66B0">
        <w:rPr>
          <w:rFonts w:ascii="Times New Roman" w:eastAsia="Times New Roman" w:hAnsi="Times New Roman" w:cs="Times New Roman"/>
          <w:sz w:val="24"/>
          <w:szCs w:val="24"/>
        </w:rPr>
        <w:t xml:space="preserve">Taylor, G. J., Bagby, R. M., Kushner, S. C., Benoit, D., &amp; Atkinson, L. (2014). Alexithymia and adult attachment representations: associations with the five-factor model of personality and perceived relationship adjustment. </w:t>
      </w:r>
      <w:r w:rsidRPr="007A66B0">
        <w:rPr>
          <w:rFonts w:ascii="Times New Roman" w:eastAsia="Times New Roman" w:hAnsi="Times New Roman" w:cs="Times New Roman"/>
          <w:i/>
          <w:sz w:val="24"/>
          <w:szCs w:val="24"/>
        </w:rPr>
        <w:t>Comprehensive psychiatry</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55</w:t>
      </w:r>
      <w:r w:rsidRPr="007A66B0">
        <w:rPr>
          <w:rFonts w:ascii="Times New Roman" w:eastAsia="Times New Roman" w:hAnsi="Times New Roman" w:cs="Times New Roman"/>
          <w:sz w:val="24"/>
          <w:szCs w:val="24"/>
        </w:rPr>
        <w:t xml:space="preserve">(5), 1258–1268. </w:t>
      </w:r>
      <w:hyperlink r:id="rId28">
        <w:r w:rsidRPr="007A66B0">
          <w:rPr>
            <w:rFonts w:ascii="Times New Roman" w:eastAsia="Times New Roman" w:hAnsi="Times New Roman" w:cs="Times New Roman"/>
            <w:sz w:val="24"/>
            <w:szCs w:val="24"/>
            <w:u w:val="single"/>
          </w:rPr>
          <w:t>https://doi.org/10.1016/j.comppsych.2014.03.015</w:t>
        </w:r>
      </w:hyperlink>
    </w:p>
    <w:p w14:paraId="150176CF" w14:textId="77777777" w:rsidR="005F0572" w:rsidRPr="007A66B0" w:rsidRDefault="00256217">
      <w:pPr>
        <w:widowControl w:val="0"/>
        <w:spacing w:line="480" w:lineRule="auto"/>
        <w:ind w:left="720" w:hanging="720"/>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Taylor, G. J., Bagby, R. M., &amp; Parker, J. D. (2003). The 20-item Toronto alexithymia scale: IV. Reliability and factorial validity in different languages and cultures. </w:t>
      </w:r>
      <w:r w:rsidRPr="007A66B0">
        <w:rPr>
          <w:rFonts w:ascii="Times New Roman" w:eastAsia="Times New Roman" w:hAnsi="Times New Roman" w:cs="Times New Roman"/>
          <w:i/>
          <w:sz w:val="24"/>
          <w:szCs w:val="24"/>
        </w:rPr>
        <w:t>Journal of Psychosomatic Research, 55</w:t>
      </w:r>
      <w:r w:rsidRPr="007A66B0">
        <w:rPr>
          <w:rFonts w:ascii="Times New Roman" w:eastAsia="Times New Roman" w:hAnsi="Times New Roman" w:cs="Times New Roman"/>
          <w:sz w:val="24"/>
          <w:szCs w:val="24"/>
        </w:rPr>
        <w:t xml:space="preserve">(3), 277–283. </w:t>
      </w:r>
      <w:hyperlink r:id="rId29">
        <w:r w:rsidRPr="007A66B0">
          <w:rPr>
            <w:rFonts w:ascii="Times New Roman" w:eastAsia="Times New Roman" w:hAnsi="Times New Roman" w:cs="Times New Roman"/>
            <w:sz w:val="24"/>
            <w:szCs w:val="24"/>
            <w:u w:val="single"/>
          </w:rPr>
          <w:t>https://doi.org/10.1016/s0022-3999(02)00601-3</w:t>
        </w:r>
      </w:hyperlink>
    </w:p>
    <w:p w14:paraId="7437A6A2" w14:textId="77777777" w:rsidR="005F0572" w:rsidRPr="007A66B0" w:rsidRDefault="00256217">
      <w:pPr>
        <w:widowControl w:val="0"/>
        <w:spacing w:line="480" w:lineRule="auto"/>
        <w:ind w:left="720" w:hanging="720"/>
        <w:rPr>
          <w:rFonts w:ascii="Times New Roman" w:eastAsia="Times New Roman" w:hAnsi="Times New Roman" w:cs="Times New Roman"/>
        </w:rPr>
      </w:pPr>
      <w:r w:rsidRPr="007A66B0">
        <w:rPr>
          <w:rFonts w:ascii="Times New Roman" w:eastAsia="Times New Roman" w:hAnsi="Times New Roman" w:cs="Times New Roman"/>
          <w:sz w:val="24"/>
          <w:szCs w:val="24"/>
        </w:rPr>
        <w:t xml:space="preserve">Williams, K., &amp; Umberson, D. (2004). Marital status, marital transitions, and health: A gendered life course perspective. </w:t>
      </w:r>
      <w:r w:rsidRPr="007A66B0">
        <w:rPr>
          <w:rFonts w:ascii="Times New Roman" w:eastAsia="Times New Roman" w:hAnsi="Times New Roman" w:cs="Times New Roman"/>
          <w:i/>
          <w:sz w:val="24"/>
          <w:szCs w:val="24"/>
        </w:rPr>
        <w:t>Journal of Health and Social Behavior, 45</w:t>
      </w:r>
      <w:r w:rsidRPr="007A66B0">
        <w:rPr>
          <w:rFonts w:ascii="Times New Roman" w:eastAsia="Times New Roman" w:hAnsi="Times New Roman" w:cs="Times New Roman"/>
          <w:sz w:val="24"/>
          <w:szCs w:val="24"/>
        </w:rPr>
        <w:t xml:space="preserve">(1), 81–98. </w:t>
      </w:r>
      <w:r w:rsidRPr="007A66B0">
        <w:rPr>
          <w:rFonts w:ascii="Times New Roman" w:eastAsia="Times New Roman" w:hAnsi="Times New Roman" w:cs="Times New Roman"/>
          <w:sz w:val="24"/>
          <w:szCs w:val="24"/>
          <w:u w:val="single"/>
        </w:rPr>
        <w:t>https://doi.org/10.1177/002214650404500106</w:t>
      </w:r>
    </w:p>
    <w:p w14:paraId="160080FA" w14:textId="77777777" w:rsidR="005F0572" w:rsidRPr="007A66B0" w:rsidRDefault="005F0572">
      <w:pPr>
        <w:spacing w:line="480" w:lineRule="auto"/>
        <w:jc w:val="both"/>
        <w:rPr>
          <w:rFonts w:ascii="Times New Roman" w:eastAsia="Times New Roman" w:hAnsi="Times New Roman" w:cs="Times New Roman"/>
          <w:b/>
          <w:sz w:val="24"/>
          <w:szCs w:val="24"/>
        </w:rPr>
      </w:pPr>
    </w:p>
    <w:p w14:paraId="2C60AE7E" w14:textId="77777777" w:rsidR="005F0572" w:rsidRPr="007A66B0" w:rsidRDefault="005F0572">
      <w:pPr>
        <w:spacing w:line="480" w:lineRule="auto"/>
        <w:jc w:val="both"/>
        <w:rPr>
          <w:rFonts w:ascii="Times New Roman" w:eastAsia="Times New Roman" w:hAnsi="Times New Roman" w:cs="Times New Roman"/>
          <w:b/>
          <w:sz w:val="24"/>
          <w:szCs w:val="24"/>
        </w:rPr>
      </w:pPr>
    </w:p>
    <w:p w14:paraId="1412F00B" w14:textId="77777777" w:rsidR="005F0572" w:rsidRPr="007A66B0" w:rsidRDefault="005F0572">
      <w:pPr>
        <w:spacing w:line="480" w:lineRule="auto"/>
        <w:jc w:val="both"/>
        <w:rPr>
          <w:rFonts w:ascii="Times New Roman" w:eastAsia="Times New Roman" w:hAnsi="Times New Roman" w:cs="Times New Roman"/>
          <w:b/>
          <w:sz w:val="24"/>
          <w:szCs w:val="24"/>
        </w:rPr>
      </w:pPr>
    </w:p>
    <w:p w14:paraId="358F886C" w14:textId="77777777" w:rsidR="005F0572" w:rsidRPr="007A66B0" w:rsidRDefault="005F0572">
      <w:pPr>
        <w:spacing w:line="480" w:lineRule="auto"/>
        <w:jc w:val="both"/>
        <w:rPr>
          <w:rFonts w:ascii="Times New Roman" w:eastAsia="Times New Roman" w:hAnsi="Times New Roman" w:cs="Times New Roman"/>
          <w:b/>
          <w:sz w:val="24"/>
          <w:szCs w:val="24"/>
        </w:rPr>
      </w:pPr>
    </w:p>
    <w:p w14:paraId="5E717A70" w14:textId="77777777" w:rsidR="005F0572" w:rsidRPr="007A66B0" w:rsidRDefault="005F0572">
      <w:pPr>
        <w:spacing w:line="480" w:lineRule="auto"/>
        <w:jc w:val="both"/>
        <w:rPr>
          <w:rFonts w:ascii="Times New Roman" w:eastAsia="Times New Roman" w:hAnsi="Times New Roman" w:cs="Times New Roman"/>
          <w:b/>
          <w:sz w:val="24"/>
          <w:szCs w:val="24"/>
        </w:rPr>
      </w:pPr>
    </w:p>
    <w:p w14:paraId="42730769" w14:textId="77777777" w:rsidR="005F0572" w:rsidRPr="007A66B0" w:rsidRDefault="005F0572">
      <w:pPr>
        <w:spacing w:line="480" w:lineRule="auto"/>
        <w:jc w:val="both"/>
        <w:rPr>
          <w:rFonts w:ascii="Times New Roman" w:eastAsia="Times New Roman" w:hAnsi="Times New Roman" w:cs="Times New Roman"/>
          <w:b/>
          <w:sz w:val="24"/>
          <w:szCs w:val="24"/>
        </w:rPr>
      </w:pPr>
    </w:p>
    <w:p w14:paraId="51F01020" w14:textId="77777777" w:rsidR="005F0572" w:rsidRPr="007A66B0" w:rsidRDefault="005F0572">
      <w:pPr>
        <w:spacing w:line="480" w:lineRule="auto"/>
        <w:jc w:val="both"/>
        <w:rPr>
          <w:rFonts w:ascii="Times New Roman" w:eastAsia="Times New Roman" w:hAnsi="Times New Roman" w:cs="Times New Roman"/>
          <w:b/>
          <w:sz w:val="24"/>
          <w:szCs w:val="24"/>
        </w:rPr>
      </w:pPr>
    </w:p>
    <w:p w14:paraId="01A77252" w14:textId="77777777" w:rsidR="005F0572" w:rsidRPr="007A66B0" w:rsidRDefault="005F0572">
      <w:pPr>
        <w:spacing w:line="480" w:lineRule="auto"/>
        <w:jc w:val="both"/>
        <w:rPr>
          <w:rFonts w:ascii="Times New Roman" w:eastAsia="Times New Roman" w:hAnsi="Times New Roman" w:cs="Times New Roman"/>
          <w:b/>
          <w:sz w:val="24"/>
          <w:szCs w:val="24"/>
        </w:rPr>
      </w:pPr>
    </w:p>
    <w:p w14:paraId="0FD96D56" w14:textId="77777777" w:rsidR="005F0572" w:rsidRPr="007A66B0" w:rsidRDefault="005F0572">
      <w:pPr>
        <w:spacing w:line="480" w:lineRule="auto"/>
        <w:jc w:val="both"/>
        <w:rPr>
          <w:rFonts w:ascii="Times New Roman" w:eastAsia="Times New Roman" w:hAnsi="Times New Roman" w:cs="Times New Roman"/>
          <w:b/>
          <w:sz w:val="24"/>
          <w:szCs w:val="24"/>
        </w:rPr>
      </w:pPr>
    </w:p>
    <w:p w14:paraId="234442E7" w14:textId="77777777" w:rsidR="005F0572" w:rsidRPr="007A66B0" w:rsidRDefault="005F0572">
      <w:pPr>
        <w:spacing w:line="480" w:lineRule="auto"/>
        <w:jc w:val="both"/>
        <w:rPr>
          <w:rFonts w:ascii="Times New Roman" w:eastAsia="Times New Roman" w:hAnsi="Times New Roman" w:cs="Times New Roman"/>
          <w:b/>
          <w:sz w:val="24"/>
          <w:szCs w:val="24"/>
        </w:rPr>
      </w:pPr>
    </w:p>
    <w:p w14:paraId="0CC761EA" w14:textId="77777777" w:rsidR="005F0572" w:rsidRPr="007A66B0" w:rsidRDefault="005F0572">
      <w:pPr>
        <w:spacing w:line="480" w:lineRule="auto"/>
        <w:jc w:val="both"/>
        <w:rPr>
          <w:rFonts w:ascii="Times New Roman" w:eastAsia="Times New Roman" w:hAnsi="Times New Roman" w:cs="Times New Roman"/>
          <w:b/>
          <w:sz w:val="24"/>
          <w:szCs w:val="24"/>
        </w:rPr>
      </w:pPr>
    </w:p>
    <w:p w14:paraId="5803FC80" w14:textId="77777777" w:rsidR="005F0572" w:rsidRPr="007A66B0" w:rsidRDefault="00256217">
      <w:pPr>
        <w:spacing w:line="480" w:lineRule="auto"/>
        <w:jc w:val="both"/>
        <w:rPr>
          <w:rFonts w:ascii="Times New Roman" w:eastAsia="Times New Roman" w:hAnsi="Times New Roman" w:cs="Times New Roman"/>
          <w:b/>
          <w:sz w:val="24"/>
          <w:szCs w:val="24"/>
        </w:rPr>
      </w:pPr>
      <w:r w:rsidRPr="007A66B0">
        <w:rPr>
          <w:rFonts w:ascii="Times New Roman" w:eastAsia="Times New Roman" w:hAnsi="Times New Roman" w:cs="Times New Roman"/>
          <w:b/>
          <w:sz w:val="24"/>
          <w:szCs w:val="24"/>
        </w:rPr>
        <w:t xml:space="preserve">Table 1. </w:t>
      </w:r>
    </w:p>
    <w:p w14:paraId="2BFA9C52" w14:textId="77777777" w:rsidR="005F0572" w:rsidRPr="007A66B0" w:rsidRDefault="005F0572">
      <w:pPr>
        <w:spacing w:line="480" w:lineRule="auto"/>
        <w:jc w:val="both"/>
        <w:rPr>
          <w:rFonts w:ascii="Times New Roman" w:eastAsia="Times New Roman" w:hAnsi="Times New Roman" w:cs="Times New Roman"/>
          <w:b/>
          <w:sz w:val="24"/>
          <w:szCs w:val="24"/>
        </w:rPr>
      </w:pPr>
    </w:p>
    <w:p w14:paraId="484BC177" w14:textId="77777777" w:rsidR="005F0572" w:rsidRPr="007A66B0" w:rsidRDefault="00256217">
      <w:pPr>
        <w:spacing w:line="480" w:lineRule="auto"/>
        <w:jc w:val="both"/>
        <w:rPr>
          <w:rFonts w:ascii="Times New Roman" w:eastAsia="Times New Roman" w:hAnsi="Times New Roman" w:cs="Times New Roman"/>
          <w:b/>
          <w:i/>
          <w:sz w:val="24"/>
          <w:szCs w:val="24"/>
        </w:rPr>
      </w:pPr>
      <w:r w:rsidRPr="007A66B0">
        <w:rPr>
          <w:rFonts w:ascii="Times New Roman" w:eastAsia="Times New Roman" w:hAnsi="Times New Roman" w:cs="Times New Roman"/>
          <w:i/>
          <w:sz w:val="24"/>
          <w:szCs w:val="24"/>
        </w:rPr>
        <w:t>Sociodemographic and psychological data for the subgroups of participants who were not in a relationship vs. those who were in a relationship. Mean (SD) or percentage, t-test or chi-squared (χ</w:t>
      </w:r>
      <w:r w:rsidRPr="007A66B0">
        <w:rPr>
          <w:rFonts w:ascii="Times New Roman" w:eastAsia="Times New Roman" w:hAnsi="Times New Roman" w:cs="Times New Roman"/>
          <w:i/>
          <w:sz w:val="24"/>
          <w:szCs w:val="24"/>
          <w:vertAlign w:val="superscript"/>
        </w:rPr>
        <w:t>2</w:t>
      </w:r>
      <w:r w:rsidRPr="007A66B0">
        <w:rPr>
          <w:rFonts w:ascii="Times New Roman" w:eastAsia="Times New Roman" w:hAnsi="Times New Roman" w:cs="Times New Roman"/>
          <w:i/>
          <w:sz w:val="24"/>
          <w:szCs w:val="24"/>
        </w:rPr>
        <w:t xml:space="preserve">) test and Cohen’s d are listed. </w:t>
      </w:r>
    </w:p>
    <w:tbl>
      <w:tblPr>
        <w:tblStyle w:val="a7"/>
        <w:tblW w:w="9641" w:type="dxa"/>
        <w:jc w:val="center"/>
        <w:tblInd w:w="0" w:type="dxa"/>
        <w:tblLayout w:type="fixed"/>
        <w:tblLook w:val="0400" w:firstRow="0" w:lastRow="0" w:firstColumn="0" w:lastColumn="0" w:noHBand="0" w:noVBand="1"/>
      </w:tblPr>
      <w:tblGrid>
        <w:gridCol w:w="2553"/>
        <w:gridCol w:w="1701"/>
        <w:gridCol w:w="1560"/>
        <w:gridCol w:w="1845"/>
        <w:gridCol w:w="769"/>
        <w:gridCol w:w="1213"/>
      </w:tblGrid>
      <w:tr w:rsidR="005F0572" w:rsidRPr="007A66B0" w14:paraId="02CF5871" w14:textId="77777777">
        <w:trPr>
          <w:trHeight w:val="340"/>
          <w:jc w:val="center"/>
        </w:trPr>
        <w:tc>
          <w:tcPr>
            <w:tcW w:w="2553" w:type="dxa"/>
            <w:tcBorders>
              <w:top w:val="single" w:sz="4" w:space="0" w:color="000000"/>
              <w:left w:val="nil"/>
              <w:bottom w:val="single" w:sz="4" w:space="0" w:color="000000"/>
              <w:right w:val="nil"/>
            </w:tcBorders>
          </w:tcPr>
          <w:p w14:paraId="1D49DD9B" w14:textId="77777777" w:rsidR="005F0572" w:rsidRPr="007A66B0" w:rsidRDefault="005F0572">
            <w:pPr>
              <w:spacing w:line="360" w:lineRule="auto"/>
              <w:jc w:val="both"/>
              <w:rPr>
                <w:rFonts w:ascii="Times New Roman" w:eastAsia="Times New Roman" w:hAnsi="Times New Roman" w:cs="Times New Roman"/>
              </w:rPr>
            </w:pPr>
          </w:p>
        </w:tc>
        <w:tc>
          <w:tcPr>
            <w:tcW w:w="1701" w:type="dxa"/>
            <w:tcBorders>
              <w:top w:val="single" w:sz="4" w:space="0" w:color="000000"/>
              <w:left w:val="nil"/>
              <w:bottom w:val="single" w:sz="4" w:space="0" w:color="000000"/>
              <w:right w:val="nil"/>
            </w:tcBorders>
            <w:vAlign w:val="center"/>
          </w:tcPr>
          <w:p w14:paraId="35C741F3"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Not in a relationship</w:t>
            </w:r>
          </w:p>
          <w:p w14:paraId="3839DB6C"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(N = 186)</w:t>
            </w:r>
          </w:p>
        </w:tc>
        <w:tc>
          <w:tcPr>
            <w:tcW w:w="1560" w:type="dxa"/>
            <w:tcBorders>
              <w:top w:val="single" w:sz="4" w:space="0" w:color="000000"/>
              <w:left w:val="nil"/>
              <w:bottom w:val="single" w:sz="4" w:space="0" w:color="000000"/>
              <w:right w:val="nil"/>
            </w:tcBorders>
            <w:vAlign w:val="center"/>
          </w:tcPr>
          <w:p w14:paraId="1EA39767"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 xml:space="preserve">In a relationship </w:t>
            </w:r>
          </w:p>
          <w:p w14:paraId="04F403BE"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(N = 410)</w:t>
            </w:r>
          </w:p>
        </w:tc>
        <w:tc>
          <w:tcPr>
            <w:tcW w:w="1845" w:type="dxa"/>
            <w:tcBorders>
              <w:top w:val="single" w:sz="4" w:space="0" w:color="000000"/>
              <w:left w:val="nil"/>
              <w:bottom w:val="single" w:sz="4" w:space="0" w:color="000000"/>
              <w:right w:val="nil"/>
            </w:tcBorders>
            <w:vAlign w:val="center"/>
          </w:tcPr>
          <w:p w14:paraId="204041C7"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Test (df)</w:t>
            </w:r>
          </w:p>
        </w:tc>
        <w:tc>
          <w:tcPr>
            <w:tcW w:w="769" w:type="dxa"/>
            <w:tcBorders>
              <w:top w:val="single" w:sz="4" w:space="0" w:color="000000"/>
              <w:left w:val="nil"/>
              <w:bottom w:val="single" w:sz="4" w:space="0" w:color="000000"/>
              <w:right w:val="nil"/>
            </w:tcBorders>
            <w:vAlign w:val="center"/>
          </w:tcPr>
          <w:p w14:paraId="5C283A25"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i/>
              </w:rPr>
              <w:t>p</w:t>
            </w:r>
          </w:p>
        </w:tc>
        <w:tc>
          <w:tcPr>
            <w:tcW w:w="1213" w:type="dxa"/>
            <w:tcBorders>
              <w:top w:val="single" w:sz="4" w:space="0" w:color="000000"/>
              <w:left w:val="nil"/>
              <w:bottom w:val="single" w:sz="4" w:space="0" w:color="000000"/>
              <w:right w:val="nil"/>
            </w:tcBorders>
            <w:vAlign w:val="center"/>
          </w:tcPr>
          <w:p w14:paraId="0E4B88E4"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Effect size</w:t>
            </w:r>
          </w:p>
        </w:tc>
      </w:tr>
      <w:tr w:rsidR="005F0572" w:rsidRPr="007A66B0" w14:paraId="4A3C6FA9" w14:textId="77777777">
        <w:trPr>
          <w:trHeight w:val="340"/>
          <w:jc w:val="center"/>
        </w:trPr>
        <w:tc>
          <w:tcPr>
            <w:tcW w:w="9641" w:type="dxa"/>
            <w:gridSpan w:val="6"/>
            <w:tcBorders>
              <w:top w:val="single" w:sz="4" w:space="0" w:color="000000"/>
              <w:left w:val="nil"/>
              <w:bottom w:val="nil"/>
              <w:right w:val="nil"/>
            </w:tcBorders>
            <w:vAlign w:val="center"/>
          </w:tcPr>
          <w:p w14:paraId="678090B5" w14:textId="77777777" w:rsidR="005F0572" w:rsidRPr="007A66B0" w:rsidRDefault="00256217">
            <w:pPr>
              <w:spacing w:line="360" w:lineRule="auto"/>
              <w:rPr>
                <w:rFonts w:ascii="Times New Roman" w:eastAsia="Times New Roman" w:hAnsi="Times New Roman" w:cs="Times New Roman"/>
                <w:b/>
                <w:i/>
              </w:rPr>
            </w:pPr>
            <w:r w:rsidRPr="007A66B0">
              <w:rPr>
                <w:rFonts w:ascii="Times New Roman" w:eastAsia="Times New Roman" w:hAnsi="Times New Roman" w:cs="Times New Roman"/>
                <w:b/>
                <w:i/>
              </w:rPr>
              <w:t>Sociodemographic variables</w:t>
            </w:r>
          </w:p>
        </w:tc>
      </w:tr>
      <w:tr w:rsidR="005F0572" w:rsidRPr="007A66B0" w14:paraId="19228703" w14:textId="77777777">
        <w:trPr>
          <w:trHeight w:val="340"/>
          <w:jc w:val="center"/>
        </w:trPr>
        <w:tc>
          <w:tcPr>
            <w:tcW w:w="2553" w:type="dxa"/>
            <w:vAlign w:val="center"/>
          </w:tcPr>
          <w:p w14:paraId="0B947333"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Age</w:t>
            </w:r>
          </w:p>
        </w:tc>
        <w:tc>
          <w:tcPr>
            <w:tcW w:w="1701" w:type="dxa"/>
            <w:vAlign w:val="center"/>
          </w:tcPr>
          <w:p w14:paraId="591425F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33.73 (14.62)</w:t>
            </w:r>
          </w:p>
        </w:tc>
        <w:tc>
          <w:tcPr>
            <w:tcW w:w="1560" w:type="dxa"/>
            <w:vAlign w:val="center"/>
          </w:tcPr>
          <w:p w14:paraId="75018F0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36.34 (13.62)</w:t>
            </w:r>
          </w:p>
        </w:tc>
        <w:tc>
          <w:tcPr>
            <w:tcW w:w="1845" w:type="dxa"/>
            <w:vAlign w:val="center"/>
          </w:tcPr>
          <w:p w14:paraId="57D8197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t(594) = 2.115</w:t>
            </w:r>
          </w:p>
        </w:tc>
        <w:tc>
          <w:tcPr>
            <w:tcW w:w="769" w:type="dxa"/>
            <w:vAlign w:val="center"/>
          </w:tcPr>
          <w:p w14:paraId="1856C1A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.035</w:t>
            </w:r>
          </w:p>
        </w:tc>
        <w:tc>
          <w:tcPr>
            <w:tcW w:w="1213" w:type="dxa"/>
            <w:vAlign w:val="center"/>
          </w:tcPr>
          <w:p w14:paraId="534F0292"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0.18</w:t>
            </w:r>
          </w:p>
        </w:tc>
      </w:tr>
      <w:tr w:rsidR="005F0572" w:rsidRPr="007A66B0" w14:paraId="7A26AA53" w14:textId="77777777">
        <w:trPr>
          <w:trHeight w:val="340"/>
          <w:jc w:val="center"/>
        </w:trPr>
        <w:tc>
          <w:tcPr>
            <w:tcW w:w="2553" w:type="dxa"/>
            <w:vAlign w:val="center"/>
          </w:tcPr>
          <w:p w14:paraId="5CA24E1D"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Gender</w:t>
            </w:r>
          </w:p>
        </w:tc>
        <w:tc>
          <w:tcPr>
            <w:tcW w:w="1701" w:type="dxa"/>
            <w:vAlign w:val="center"/>
          </w:tcPr>
          <w:p w14:paraId="599B8813" w14:textId="77777777" w:rsidR="005F0572" w:rsidRPr="007A66B0" w:rsidRDefault="005F0572">
            <w:pPr>
              <w:spacing w:line="360" w:lineRule="auto"/>
              <w:jc w:val="center"/>
              <w:rPr>
                <w:rFonts w:ascii="Times New Roman" w:eastAsia="Times New Roman" w:hAnsi="Times New Roman" w:cs="Times New Roman"/>
              </w:rPr>
            </w:pPr>
          </w:p>
        </w:tc>
        <w:tc>
          <w:tcPr>
            <w:tcW w:w="1560" w:type="dxa"/>
            <w:vAlign w:val="center"/>
          </w:tcPr>
          <w:p w14:paraId="3EC01D11" w14:textId="77777777" w:rsidR="005F0572" w:rsidRPr="007A66B0" w:rsidRDefault="005F0572">
            <w:pPr>
              <w:spacing w:line="360" w:lineRule="auto"/>
              <w:jc w:val="center"/>
              <w:rPr>
                <w:rFonts w:ascii="Times New Roman" w:eastAsia="Times New Roman" w:hAnsi="Times New Roman" w:cs="Times New Roman"/>
              </w:rPr>
            </w:pPr>
          </w:p>
        </w:tc>
        <w:tc>
          <w:tcPr>
            <w:tcW w:w="1845" w:type="dxa"/>
            <w:vAlign w:val="center"/>
          </w:tcPr>
          <w:p w14:paraId="6B27D8A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i/>
              </w:rPr>
              <w:t>χ</w:t>
            </w:r>
            <w:r w:rsidRPr="007A66B0">
              <w:rPr>
                <w:rFonts w:ascii="Times New Roman" w:eastAsia="Times New Roman" w:hAnsi="Times New Roman" w:cs="Times New Roman"/>
                <w:vertAlign w:val="superscript"/>
              </w:rPr>
              <w:t>2</w:t>
            </w:r>
            <w:r w:rsidRPr="007A66B0">
              <w:rPr>
                <w:rFonts w:ascii="Times New Roman" w:eastAsia="Times New Roman" w:hAnsi="Times New Roman" w:cs="Times New Roman"/>
              </w:rPr>
              <w:t>(1) = 0.633</w:t>
            </w:r>
          </w:p>
        </w:tc>
        <w:tc>
          <w:tcPr>
            <w:tcW w:w="769" w:type="dxa"/>
            <w:vAlign w:val="center"/>
          </w:tcPr>
          <w:p w14:paraId="72B0A4A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.426</w:t>
            </w:r>
          </w:p>
        </w:tc>
        <w:tc>
          <w:tcPr>
            <w:tcW w:w="1213" w:type="dxa"/>
            <w:vAlign w:val="center"/>
          </w:tcPr>
          <w:p w14:paraId="7DA9E798"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6B0A33A1" w14:textId="77777777">
        <w:trPr>
          <w:trHeight w:val="340"/>
          <w:jc w:val="center"/>
        </w:trPr>
        <w:tc>
          <w:tcPr>
            <w:tcW w:w="2553" w:type="dxa"/>
            <w:vAlign w:val="center"/>
          </w:tcPr>
          <w:p w14:paraId="386138F3" w14:textId="77777777" w:rsidR="005F0572" w:rsidRPr="007A66B0" w:rsidRDefault="00256217">
            <w:pPr>
              <w:spacing w:line="360" w:lineRule="auto"/>
              <w:ind w:firstLine="175"/>
              <w:rPr>
                <w:rFonts w:ascii="Times New Roman" w:eastAsia="Times New Roman" w:hAnsi="Times New Roman" w:cs="Times New Roman"/>
              </w:rPr>
            </w:pPr>
            <w:r w:rsidRPr="007A66B0">
              <w:rPr>
                <w:rFonts w:ascii="Times New Roman" w:eastAsia="Times New Roman" w:hAnsi="Times New Roman" w:cs="Times New Roman"/>
                <w:i/>
              </w:rPr>
              <w:t>Male</w:t>
            </w:r>
          </w:p>
        </w:tc>
        <w:tc>
          <w:tcPr>
            <w:tcW w:w="1701" w:type="dxa"/>
            <w:vAlign w:val="center"/>
          </w:tcPr>
          <w:p w14:paraId="04D2936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52 (28%)</w:t>
            </w:r>
          </w:p>
        </w:tc>
        <w:tc>
          <w:tcPr>
            <w:tcW w:w="1560" w:type="dxa"/>
            <w:vAlign w:val="center"/>
          </w:tcPr>
          <w:p w14:paraId="1D6E8B93"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102 (24.9%)</w:t>
            </w:r>
          </w:p>
        </w:tc>
        <w:tc>
          <w:tcPr>
            <w:tcW w:w="1845" w:type="dxa"/>
            <w:vAlign w:val="center"/>
          </w:tcPr>
          <w:p w14:paraId="34ED4B1D" w14:textId="77777777" w:rsidR="005F0572" w:rsidRPr="007A66B0" w:rsidRDefault="005F0572">
            <w:pPr>
              <w:spacing w:line="360" w:lineRule="auto"/>
              <w:jc w:val="center"/>
              <w:rPr>
                <w:rFonts w:ascii="Times New Roman" w:eastAsia="Times New Roman" w:hAnsi="Times New Roman" w:cs="Times New Roman"/>
              </w:rPr>
            </w:pPr>
          </w:p>
        </w:tc>
        <w:tc>
          <w:tcPr>
            <w:tcW w:w="769" w:type="dxa"/>
            <w:vAlign w:val="center"/>
          </w:tcPr>
          <w:p w14:paraId="0E6760AB" w14:textId="77777777" w:rsidR="005F0572" w:rsidRPr="007A66B0" w:rsidRDefault="005F0572">
            <w:pPr>
              <w:spacing w:line="360" w:lineRule="auto"/>
              <w:jc w:val="center"/>
              <w:rPr>
                <w:rFonts w:ascii="Times New Roman" w:eastAsia="Times New Roman" w:hAnsi="Times New Roman" w:cs="Times New Roman"/>
                <w:b/>
              </w:rPr>
            </w:pPr>
          </w:p>
        </w:tc>
        <w:tc>
          <w:tcPr>
            <w:tcW w:w="1213" w:type="dxa"/>
            <w:vAlign w:val="center"/>
          </w:tcPr>
          <w:p w14:paraId="2EF43E63" w14:textId="77777777" w:rsidR="005F0572" w:rsidRPr="007A66B0" w:rsidRDefault="005F0572">
            <w:pPr>
              <w:spacing w:line="360" w:lineRule="auto"/>
              <w:jc w:val="center"/>
              <w:rPr>
                <w:rFonts w:ascii="Times New Roman" w:eastAsia="Times New Roman" w:hAnsi="Times New Roman" w:cs="Times New Roman"/>
                <w:b/>
              </w:rPr>
            </w:pPr>
          </w:p>
        </w:tc>
      </w:tr>
      <w:tr w:rsidR="005F0572" w:rsidRPr="007A66B0" w14:paraId="2F417CA2" w14:textId="77777777">
        <w:trPr>
          <w:trHeight w:val="340"/>
          <w:jc w:val="center"/>
        </w:trPr>
        <w:tc>
          <w:tcPr>
            <w:tcW w:w="2553" w:type="dxa"/>
            <w:tcBorders>
              <w:top w:val="nil"/>
              <w:left w:val="nil"/>
              <w:right w:val="nil"/>
            </w:tcBorders>
            <w:vAlign w:val="center"/>
          </w:tcPr>
          <w:p w14:paraId="016B9543" w14:textId="77777777" w:rsidR="005F0572" w:rsidRPr="007A66B0" w:rsidRDefault="00256217">
            <w:pPr>
              <w:spacing w:line="360" w:lineRule="auto"/>
              <w:ind w:firstLine="175"/>
              <w:rPr>
                <w:rFonts w:ascii="Times New Roman" w:eastAsia="Times New Roman" w:hAnsi="Times New Roman" w:cs="Times New Roman"/>
              </w:rPr>
            </w:pPr>
            <w:r w:rsidRPr="007A66B0">
              <w:rPr>
                <w:rFonts w:ascii="Times New Roman" w:eastAsia="Times New Roman" w:hAnsi="Times New Roman" w:cs="Times New Roman"/>
                <w:i/>
              </w:rPr>
              <w:t>Female</w:t>
            </w:r>
          </w:p>
        </w:tc>
        <w:tc>
          <w:tcPr>
            <w:tcW w:w="1701" w:type="dxa"/>
            <w:tcBorders>
              <w:top w:val="nil"/>
              <w:left w:val="nil"/>
              <w:right w:val="nil"/>
            </w:tcBorders>
            <w:vAlign w:val="center"/>
          </w:tcPr>
          <w:p w14:paraId="1749E2D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134 (72%)</w:t>
            </w:r>
          </w:p>
        </w:tc>
        <w:tc>
          <w:tcPr>
            <w:tcW w:w="1560" w:type="dxa"/>
            <w:tcBorders>
              <w:top w:val="nil"/>
              <w:left w:val="nil"/>
              <w:right w:val="nil"/>
            </w:tcBorders>
            <w:vAlign w:val="center"/>
          </w:tcPr>
          <w:p w14:paraId="0891029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308 (75.1%)</w:t>
            </w:r>
          </w:p>
        </w:tc>
        <w:tc>
          <w:tcPr>
            <w:tcW w:w="1845" w:type="dxa"/>
            <w:tcBorders>
              <w:top w:val="nil"/>
              <w:left w:val="nil"/>
              <w:right w:val="nil"/>
            </w:tcBorders>
            <w:vAlign w:val="center"/>
          </w:tcPr>
          <w:p w14:paraId="3E1E2D92" w14:textId="77777777" w:rsidR="005F0572" w:rsidRPr="007A66B0" w:rsidRDefault="005F0572">
            <w:pPr>
              <w:spacing w:line="360" w:lineRule="auto"/>
              <w:jc w:val="center"/>
              <w:rPr>
                <w:rFonts w:ascii="Times New Roman" w:eastAsia="Times New Roman" w:hAnsi="Times New Roman" w:cs="Times New Roman"/>
              </w:rPr>
            </w:pPr>
          </w:p>
        </w:tc>
        <w:tc>
          <w:tcPr>
            <w:tcW w:w="769" w:type="dxa"/>
            <w:tcBorders>
              <w:top w:val="nil"/>
              <w:left w:val="nil"/>
              <w:right w:val="nil"/>
            </w:tcBorders>
            <w:vAlign w:val="center"/>
          </w:tcPr>
          <w:p w14:paraId="26C704C8" w14:textId="77777777" w:rsidR="005F0572" w:rsidRPr="007A66B0" w:rsidRDefault="005F0572">
            <w:pPr>
              <w:spacing w:line="360" w:lineRule="auto"/>
              <w:jc w:val="center"/>
              <w:rPr>
                <w:rFonts w:ascii="Times New Roman" w:eastAsia="Times New Roman" w:hAnsi="Times New Roman" w:cs="Times New Roman"/>
              </w:rPr>
            </w:pPr>
          </w:p>
        </w:tc>
        <w:tc>
          <w:tcPr>
            <w:tcW w:w="1213" w:type="dxa"/>
            <w:tcBorders>
              <w:top w:val="nil"/>
              <w:left w:val="nil"/>
              <w:right w:val="nil"/>
            </w:tcBorders>
            <w:vAlign w:val="center"/>
          </w:tcPr>
          <w:p w14:paraId="3C0F3A6F"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31C8E46B" w14:textId="77777777">
        <w:trPr>
          <w:trHeight w:val="340"/>
          <w:jc w:val="center"/>
        </w:trPr>
        <w:tc>
          <w:tcPr>
            <w:tcW w:w="2553" w:type="dxa"/>
            <w:tcBorders>
              <w:left w:val="nil"/>
              <w:right w:val="nil"/>
            </w:tcBorders>
            <w:vAlign w:val="center"/>
          </w:tcPr>
          <w:p w14:paraId="7E571130"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Education</w:t>
            </w:r>
          </w:p>
        </w:tc>
        <w:tc>
          <w:tcPr>
            <w:tcW w:w="1701" w:type="dxa"/>
            <w:tcBorders>
              <w:left w:val="nil"/>
              <w:right w:val="nil"/>
            </w:tcBorders>
            <w:vAlign w:val="center"/>
          </w:tcPr>
          <w:p w14:paraId="6D3B636F" w14:textId="77777777" w:rsidR="005F0572" w:rsidRPr="007A66B0" w:rsidRDefault="005F0572">
            <w:pPr>
              <w:spacing w:line="360" w:lineRule="auto"/>
              <w:jc w:val="center"/>
              <w:rPr>
                <w:rFonts w:ascii="Times New Roman" w:eastAsia="Times New Roman" w:hAnsi="Times New Roman" w:cs="Times New Roman"/>
              </w:rPr>
            </w:pPr>
          </w:p>
        </w:tc>
        <w:tc>
          <w:tcPr>
            <w:tcW w:w="1560" w:type="dxa"/>
            <w:tcBorders>
              <w:left w:val="nil"/>
              <w:right w:val="nil"/>
            </w:tcBorders>
            <w:vAlign w:val="center"/>
          </w:tcPr>
          <w:p w14:paraId="1A62830D" w14:textId="77777777" w:rsidR="005F0572" w:rsidRPr="007A66B0" w:rsidRDefault="005F0572">
            <w:pPr>
              <w:spacing w:line="360" w:lineRule="auto"/>
              <w:jc w:val="center"/>
              <w:rPr>
                <w:rFonts w:ascii="Times New Roman" w:eastAsia="Times New Roman" w:hAnsi="Times New Roman" w:cs="Times New Roman"/>
              </w:rPr>
            </w:pPr>
          </w:p>
        </w:tc>
        <w:tc>
          <w:tcPr>
            <w:tcW w:w="1845" w:type="dxa"/>
            <w:tcBorders>
              <w:left w:val="nil"/>
              <w:right w:val="nil"/>
            </w:tcBorders>
            <w:vAlign w:val="center"/>
          </w:tcPr>
          <w:p w14:paraId="504A489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i/>
              </w:rPr>
              <w:t>χ</w:t>
            </w:r>
            <w:r w:rsidRPr="007A66B0">
              <w:rPr>
                <w:rFonts w:ascii="Times New Roman" w:eastAsia="Times New Roman" w:hAnsi="Times New Roman" w:cs="Times New Roman"/>
                <w:vertAlign w:val="superscript"/>
              </w:rPr>
              <w:t>2</w:t>
            </w:r>
            <w:r w:rsidRPr="007A66B0">
              <w:rPr>
                <w:rFonts w:ascii="Times New Roman" w:eastAsia="Times New Roman" w:hAnsi="Times New Roman" w:cs="Times New Roman"/>
              </w:rPr>
              <w:t>(1) = 8.893</w:t>
            </w:r>
          </w:p>
        </w:tc>
        <w:tc>
          <w:tcPr>
            <w:tcW w:w="769" w:type="dxa"/>
            <w:tcBorders>
              <w:left w:val="nil"/>
              <w:right w:val="nil"/>
            </w:tcBorders>
            <w:vAlign w:val="center"/>
          </w:tcPr>
          <w:p w14:paraId="4CCF8B8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.003</w:t>
            </w:r>
          </w:p>
        </w:tc>
        <w:tc>
          <w:tcPr>
            <w:tcW w:w="1213" w:type="dxa"/>
            <w:tcBorders>
              <w:left w:val="nil"/>
              <w:right w:val="nil"/>
            </w:tcBorders>
            <w:vAlign w:val="center"/>
          </w:tcPr>
          <w:p w14:paraId="5129204C"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6ED6B319" w14:textId="77777777">
        <w:trPr>
          <w:trHeight w:val="340"/>
          <w:jc w:val="center"/>
        </w:trPr>
        <w:tc>
          <w:tcPr>
            <w:tcW w:w="2553" w:type="dxa"/>
            <w:tcBorders>
              <w:left w:val="nil"/>
              <w:right w:val="nil"/>
            </w:tcBorders>
            <w:vAlign w:val="center"/>
          </w:tcPr>
          <w:p w14:paraId="02EFAA6D" w14:textId="77777777" w:rsidR="005F0572" w:rsidRPr="007A66B0" w:rsidRDefault="00256217">
            <w:pPr>
              <w:spacing w:line="360" w:lineRule="auto"/>
              <w:ind w:left="173"/>
              <w:rPr>
                <w:rFonts w:ascii="Times New Roman" w:eastAsia="Times New Roman" w:hAnsi="Times New Roman" w:cs="Times New Roman"/>
                <w:i/>
              </w:rPr>
            </w:pPr>
            <w:r w:rsidRPr="007A66B0">
              <w:rPr>
                <w:rFonts w:ascii="Times New Roman" w:eastAsia="Times New Roman" w:hAnsi="Times New Roman" w:cs="Times New Roman"/>
                <w:i/>
              </w:rPr>
              <w:t>Primary/Secondary/</w:t>
            </w:r>
          </w:p>
          <w:p w14:paraId="3F69CB00" w14:textId="77777777" w:rsidR="005F0572" w:rsidRPr="007A66B0" w:rsidRDefault="00256217">
            <w:pPr>
              <w:spacing w:line="360" w:lineRule="auto"/>
              <w:ind w:left="173"/>
              <w:rPr>
                <w:rFonts w:ascii="Times New Roman" w:eastAsia="Times New Roman" w:hAnsi="Times New Roman" w:cs="Times New Roman"/>
                <w:i/>
              </w:rPr>
            </w:pPr>
            <w:r w:rsidRPr="007A66B0">
              <w:rPr>
                <w:rFonts w:ascii="Times New Roman" w:eastAsia="Times New Roman" w:hAnsi="Times New Roman" w:cs="Times New Roman"/>
                <w:i/>
              </w:rPr>
              <w:t>High school diploma</w:t>
            </w:r>
          </w:p>
        </w:tc>
        <w:tc>
          <w:tcPr>
            <w:tcW w:w="1701" w:type="dxa"/>
            <w:tcBorders>
              <w:left w:val="nil"/>
              <w:right w:val="nil"/>
            </w:tcBorders>
            <w:vAlign w:val="center"/>
          </w:tcPr>
          <w:p w14:paraId="589D89B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80 (43%)</w:t>
            </w:r>
          </w:p>
        </w:tc>
        <w:tc>
          <w:tcPr>
            <w:tcW w:w="1560" w:type="dxa"/>
            <w:tcBorders>
              <w:left w:val="nil"/>
              <w:right w:val="nil"/>
            </w:tcBorders>
            <w:vAlign w:val="center"/>
          </w:tcPr>
          <w:p w14:paraId="2EB8B2E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125 (30.5%)</w:t>
            </w:r>
          </w:p>
        </w:tc>
        <w:tc>
          <w:tcPr>
            <w:tcW w:w="1845" w:type="dxa"/>
            <w:tcBorders>
              <w:left w:val="nil"/>
              <w:right w:val="nil"/>
            </w:tcBorders>
            <w:vAlign w:val="center"/>
          </w:tcPr>
          <w:p w14:paraId="7EB43310" w14:textId="77777777" w:rsidR="005F0572" w:rsidRPr="007A66B0" w:rsidRDefault="005F0572">
            <w:pPr>
              <w:spacing w:line="360" w:lineRule="auto"/>
              <w:jc w:val="center"/>
              <w:rPr>
                <w:rFonts w:ascii="Times New Roman" w:eastAsia="Times New Roman" w:hAnsi="Times New Roman" w:cs="Times New Roman"/>
              </w:rPr>
            </w:pPr>
          </w:p>
        </w:tc>
        <w:tc>
          <w:tcPr>
            <w:tcW w:w="769" w:type="dxa"/>
            <w:tcBorders>
              <w:left w:val="nil"/>
              <w:right w:val="nil"/>
            </w:tcBorders>
            <w:vAlign w:val="center"/>
          </w:tcPr>
          <w:p w14:paraId="6217E346" w14:textId="77777777" w:rsidR="005F0572" w:rsidRPr="007A66B0" w:rsidRDefault="005F0572">
            <w:pPr>
              <w:spacing w:line="360" w:lineRule="auto"/>
              <w:jc w:val="center"/>
              <w:rPr>
                <w:rFonts w:ascii="Times New Roman" w:eastAsia="Times New Roman" w:hAnsi="Times New Roman" w:cs="Times New Roman"/>
              </w:rPr>
            </w:pPr>
          </w:p>
        </w:tc>
        <w:tc>
          <w:tcPr>
            <w:tcW w:w="1213" w:type="dxa"/>
            <w:tcBorders>
              <w:left w:val="nil"/>
              <w:right w:val="nil"/>
            </w:tcBorders>
            <w:vAlign w:val="center"/>
          </w:tcPr>
          <w:p w14:paraId="4976D503"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507162EF" w14:textId="77777777">
        <w:trPr>
          <w:trHeight w:val="340"/>
          <w:jc w:val="center"/>
        </w:trPr>
        <w:tc>
          <w:tcPr>
            <w:tcW w:w="2553" w:type="dxa"/>
            <w:tcBorders>
              <w:left w:val="nil"/>
              <w:right w:val="nil"/>
            </w:tcBorders>
            <w:vAlign w:val="center"/>
          </w:tcPr>
          <w:p w14:paraId="3DA1AC36" w14:textId="77777777" w:rsidR="005F0572" w:rsidRPr="007A66B0" w:rsidRDefault="00256217">
            <w:pPr>
              <w:spacing w:line="360" w:lineRule="auto"/>
              <w:ind w:left="173"/>
              <w:rPr>
                <w:rFonts w:ascii="Times New Roman" w:eastAsia="Times New Roman" w:hAnsi="Times New Roman" w:cs="Times New Roman"/>
                <w:i/>
              </w:rPr>
            </w:pPr>
            <w:r w:rsidRPr="007A66B0">
              <w:rPr>
                <w:rFonts w:ascii="Times New Roman" w:eastAsia="Times New Roman" w:hAnsi="Times New Roman" w:cs="Times New Roman"/>
                <w:i/>
                <w:sz w:val="20"/>
                <w:szCs w:val="20"/>
                <w:highlight w:val="yellow"/>
              </w:rPr>
              <w:t>Bachelor’s or Master’s Degree</w:t>
            </w:r>
            <w:r w:rsidRPr="007A66B0">
              <w:rPr>
                <w:rFonts w:ascii="Times New Roman" w:eastAsia="Times New Roman" w:hAnsi="Times New Roman" w:cs="Times New Roman"/>
                <w:i/>
              </w:rPr>
              <w:t>/Postgraduate qualification</w:t>
            </w:r>
          </w:p>
        </w:tc>
        <w:tc>
          <w:tcPr>
            <w:tcW w:w="1701" w:type="dxa"/>
            <w:tcBorders>
              <w:left w:val="nil"/>
              <w:right w:val="nil"/>
            </w:tcBorders>
            <w:vAlign w:val="center"/>
          </w:tcPr>
          <w:p w14:paraId="7E585D4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106 (57%)</w:t>
            </w:r>
          </w:p>
        </w:tc>
        <w:tc>
          <w:tcPr>
            <w:tcW w:w="1560" w:type="dxa"/>
            <w:tcBorders>
              <w:left w:val="nil"/>
              <w:right w:val="nil"/>
            </w:tcBorders>
            <w:vAlign w:val="center"/>
          </w:tcPr>
          <w:p w14:paraId="1EFF0F1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285 (67.5%)</w:t>
            </w:r>
          </w:p>
        </w:tc>
        <w:tc>
          <w:tcPr>
            <w:tcW w:w="1845" w:type="dxa"/>
            <w:tcBorders>
              <w:left w:val="nil"/>
              <w:right w:val="nil"/>
            </w:tcBorders>
            <w:vAlign w:val="center"/>
          </w:tcPr>
          <w:p w14:paraId="39F38681" w14:textId="77777777" w:rsidR="005F0572" w:rsidRPr="007A66B0" w:rsidRDefault="005F0572">
            <w:pPr>
              <w:spacing w:line="360" w:lineRule="auto"/>
              <w:jc w:val="center"/>
              <w:rPr>
                <w:rFonts w:ascii="Times New Roman" w:eastAsia="Times New Roman" w:hAnsi="Times New Roman" w:cs="Times New Roman"/>
              </w:rPr>
            </w:pPr>
          </w:p>
        </w:tc>
        <w:tc>
          <w:tcPr>
            <w:tcW w:w="769" w:type="dxa"/>
            <w:tcBorders>
              <w:left w:val="nil"/>
              <w:right w:val="nil"/>
            </w:tcBorders>
            <w:vAlign w:val="center"/>
          </w:tcPr>
          <w:p w14:paraId="4E7BDAD4" w14:textId="77777777" w:rsidR="005F0572" w:rsidRPr="007A66B0" w:rsidRDefault="005F0572">
            <w:pPr>
              <w:spacing w:line="360" w:lineRule="auto"/>
              <w:jc w:val="center"/>
              <w:rPr>
                <w:rFonts w:ascii="Times New Roman" w:eastAsia="Times New Roman" w:hAnsi="Times New Roman" w:cs="Times New Roman"/>
              </w:rPr>
            </w:pPr>
          </w:p>
        </w:tc>
        <w:tc>
          <w:tcPr>
            <w:tcW w:w="1213" w:type="dxa"/>
            <w:tcBorders>
              <w:left w:val="nil"/>
              <w:right w:val="nil"/>
            </w:tcBorders>
            <w:vAlign w:val="center"/>
          </w:tcPr>
          <w:p w14:paraId="0086DA4D"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340AECE4" w14:textId="77777777">
        <w:trPr>
          <w:trHeight w:val="340"/>
          <w:jc w:val="center"/>
        </w:trPr>
        <w:tc>
          <w:tcPr>
            <w:tcW w:w="9641" w:type="dxa"/>
            <w:gridSpan w:val="6"/>
            <w:tcBorders>
              <w:top w:val="single" w:sz="4" w:space="0" w:color="000000"/>
              <w:left w:val="nil"/>
              <w:right w:val="nil"/>
            </w:tcBorders>
            <w:vAlign w:val="center"/>
          </w:tcPr>
          <w:p w14:paraId="28ED560D" w14:textId="77777777" w:rsidR="005F0572" w:rsidRPr="007A66B0" w:rsidRDefault="00256217">
            <w:pPr>
              <w:spacing w:line="360" w:lineRule="auto"/>
              <w:rPr>
                <w:rFonts w:ascii="Times New Roman" w:eastAsia="Times New Roman" w:hAnsi="Times New Roman" w:cs="Times New Roman"/>
                <w:b/>
                <w:i/>
              </w:rPr>
            </w:pPr>
            <w:r w:rsidRPr="007A66B0">
              <w:rPr>
                <w:rFonts w:ascii="Times New Roman" w:eastAsia="Times New Roman" w:hAnsi="Times New Roman" w:cs="Times New Roman"/>
                <w:b/>
                <w:i/>
              </w:rPr>
              <w:t>Psychological variables</w:t>
            </w:r>
          </w:p>
        </w:tc>
      </w:tr>
      <w:tr w:rsidR="005F0572" w:rsidRPr="007A66B0" w14:paraId="42DAFDAB" w14:textId="77777777">
        <w:trPr>
          <w:trHeight w:val="340"/>
          <w:jc w:val="center"/>
        </w:trPr>
        <w:tc>
          <w:tcPr>
            <w:tcW w:w="2553" w:type="dxa"/>
            <w:vAlign w:val="center"/>
          </w:tcPr>
          <w:p w14:paraId="222EBB33"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STAI Y1</w:t>
            </w:r>
          </w:p>
        </w:tc>
        <w:tc>
          <w:tcPr>
            <w:tcW w:w="1701" w:type="dxa"/>
            <w:vAlign w:val="center"/>
          </w:tcPr>
          <w:p w14:paraId="75D05B3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49.07 (13.40)</w:t>
            </w:r>
          </w:p>
        </w:tc>
        <w:tc>
          <w:tcPr>
            <w:tcW w:w="1560" w:type="dxa"/>
            <w:vAlign w:val="center"/>
          </w:tcPr>
          <w:p w14:paraId="5548E01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44.09 (13.07)</w:t>
            </w:r>
          </w:p>
        </w:tc>
        <w:tc>
          <w:tcPr>
            <w:tcW w:w="1845" w:type="dxa"/>
          </w:tcPr>
          <w:p w14:paraId="67CAB823"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t(594) = -4.278</w:t>
            </w:r>
          </w:p>
        </w:tc>
        <w:tc>
          <w:tcPr>
            <w:tcW w:w="769" w:type="dxa"/>
            <w:vAlign w:val="center"/>
          </w:tcPr>
          <w:p w14:paraId="6706FD5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vAlign w:val="center"/>
          </w:tcPr>
          <w:p w14:paraId="1232D32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0.38</w:t>
            </w:r>
          </w:p>
        </w:tc>
      </w:tr>
      <w:tr w:rsidR="005F0572" w:rsidRPr="007A66B0" w14:paraId="6DC1AF4E" w14:textId="77777777">
        <w:trPr>
          <w:trHeight w:val="340"/>
          <w:jc w:val="center"/>
        </w:trPr>
        <w:tc>
          <w:tcPr>
            <w:tcW w:w="2553" w:type="dxa"/>
            <w:vAlign w:val="center"/>
          </w:tcPr>
          <w:p w14:paraId="6642710B" w14:textId="77777777" w:rsidR="005F0572" w:rsidRPr="007A66B0" w:rsidRDefault="00000000">
            <w:pPr>
              <w:spacing w:line="360" w:lineRule="auto"/>
              <w:jc w:val="both"/>
              <w:rPr>
                <w:rFonts w:ascii="Times New Roman" w:eastAsia="Times New Roman" w:hAnsi="Times New Roman" w:cs="Times New Roman"/>
              </w:rPr>
            </w:pPr>
            <w:sdt>
              <w:sdtPr>
                <w:tag w:val="goog_rdk_0"/>
                <w:id w:val="27459468"/>
              </w:sdtPr>
              <w:sdtContent>
                <w:r w:rsidR="00256217" w:rsidRPr="007A66B0">
                  <w:rPr>
                    <w:rFonts w:ascii="Gungsuh" w:eastAsia="Gungsuh" w:hAnsi="Gungsuh" w:cs="Gungsuh"/>
                  </w:rPr>
                  <w:t>STAI Y1 above cut-off score (≥ 41)</w:t>
                </w:r>
              </w:sdtContent>
            </w:sdt>
          </w:p>
        </w:tc>
        <w:tc>
          <w:tcPr>
            <w:tcW w:w="1701" w:type="dxa"/>
            <w:vAlign w:val="center"/>
          </w:tcPr>
          <w:p w14:paraId="1DF7B0BA"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133 (71.5%)</w:t>
            </w:r>
          </w:p>
        </w:tc>
        <w:tc>
          <w:tcPr>
            <w:tcW w:w="1560" w:type="dxa"/>
            <w:vAlign w:val="center"/>
          </w:tcPr>
          <w:p w14:paraId="4243A17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215 (52.4%)</w:t>
            </w:r>
          </w:p>
        </w:tc>
        <w:tc>
          <w:tcPr>
            <w:tcW w:w="1845" w:type="dxa"/>
            <w:vAlign w:val="center"/>
          </w:tcPr>
          <w:p w14:paraId="37964087"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i/>
              </w:rPr>
              <w:t>χ</w:t>
            </w:r>
            <w:r w:rsidRPr="007A66B0">
              <w:rPr>
                <w:rFonts w:ascii="Times New Roman" w:eastAsia="Times New Roman" w:hAnsi="Times New Roman" w:cs="Times New Roman"/>
                <w:vertAlign w:val="superscript"/>
              </w:rPr>
              <w:t>2</w:t>
            </w:r>
            <w:r w:rsidRPr="007A66B0">
              <w:rPr>
                <w:rFonts w:ascii="Times New Roman" w:eastAsia="Times New Roman" w:hAnsi="Times New Roman" w:cs="Times New Roman"/>
              </w:rPr>
              <w:t>(1) = 19.145</w:t>
            </w:r>
          </w:p>
        </w:tc>
        <w:tc>
          <w:tcPr>
            <w:tcW w:w="769" w:type="dxa"/>
            <w:vAlign w:val="center"/>
          </w:tcPr>
          <w:p w14:paraId="1A363CE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vAlign w:val="center"/>
          </w:tcPr>
          <w:p w14:paraId="2DCB5D29"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0B825EE6" w14:textId="77777777">
        <w:trPr>
          <w:trHeight w:val="340"/>
          <w:jc w:val="center"/>
        </w:trPr>
        <w:tc>
          <w:tcPr>
            <w:tcW w:w="2553" w:type="dxa"/>
            <w:tcBorders>
              <w:left w:val="nil"/>
              <w:right w:val="nil"/>
            </w:tcBorders>
            <w:vAlign w:val="center"/>
          </w:tcPr>
          <w:p w14:paraId="3A6F3321"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BDI-II</w:t>
            </w:r>
          </w:p>
        </w:tc>
        <w:tc>
          <w:tcPr>
            <w:tcW w:w="1701" w:type="dxa"/>
            <w:tcBorders>
              <w:left w:val="nil"/>
              <w:right w:val="nil"/>
            </w:tcBorders>
            <w:vAlign w:val="center"/>
          </w:tcPr>
          <w:p w14:paraId="5709532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16.47 (11.06)</w:t>
            </w:r>
          </w:p>
        </w:tc>
        <w:tc>
          <w:tcPr>
            <w:tcW w:w="1560" w:type="dxa"/>
            <w:tcBorders>
              <w:left w:val="nil"/>
              <w:right w:val="nil"/>
            </w:tcBorders>
            <w:vAlign w:val="center"/>
          </w:tcPr>
          <w:p w14:paraId="1BC6E02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11.09 (9.46)</w:t>
            </w:r>
          </w:p>
        </w:tc>
        <w:tc>
          <w:tcPr>
            <w:tcW w:w="1845" w:type="dxa"/>
            <w:tcBorders>
              <w:left w:val="nil"/>
              <w:right w:val="nil"/>
            </w:tcBorders>
          </w:tcPr>
          <w:p w14:paraId="3792C0E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t(312.69) = -5.756</w:t>
            </w:r>
          </w:p>
        </w:tc>
        <w:tc>
          <w:tcPr>
            <w:tcW w:w="769" w:type="dxa"/>
            <w:tcBorders>
              <w:left w:val="nil"/>
              <w:right w:val="nil"/>
            </w:tcBorders>
            <w:vAlign w:val="center"/>
          </w:tcPr>
          <w:p w14:paraId="13FEBA8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tcBorders>
              <w:left w:val="nil"/>
              <w:right w:val="nil"/>
            </w:tcBorders>
            <w:vAlign w:val="center"/>
          </w:tcPr>
          <w:p w14:paraId="2E47974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0.52</w:t>
            </w:r>
          </w:p>
        </w:tc>
      </w:tr>
      <w:tr w:rsidR="005F0572" w:rsidRPr="007A66B0" w14:paraId="53FA0FFE" w14:textId="77777777">
        <w:trPr>
          <w:trHeight w:val="340"/>
          <w:jc w:val="center"/>
        </w:trPr>
        <w:tc>
          <w:tcPr>
            <w:tcW w:w="2553" w:type="dxa"/>
            <w:tcBorders>
              <w:left w:val="nil"/>
              <w:right w:val="nil"/>
            </w:tcBorders>
            <w:vAlign w:val="center"/>
          </w:tcPr>
          <w:p w14:paraId="237F5F92"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BDI-II above cut-off score (&gt;13)</w:t>
            </w:r>
          </w:p>
        </w:tc>
        <w:tc>
          <w:tcPr>
            <w:tcW w:w="1701" w:type="dxa"/>
            <w:tcBorders>
              <w:left w:val="nil"/>
              <w:right w:val="nil"/>
            </w:tcBorders>
            <w:vAlign w:val="center"/>
          </w:tcPr>
          <w:p w14:paraId="6882187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102 (54.8%)</w:t>
            </w:r>
          </w:p>
        </w:tc>
        <w:tc>
          <w:tcPr>
            <w:tcW w:w="1560" w:type="dxa"/>
            <w:tcBorders>
              <w:left w:val="nil"/>
              <w:right w:val="nil"/>
            </w:tcBorders>
            <w:vAlign w:val="center"/>
          </w:tcPr>
          <w:p w14:paraId="61F252F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146 (35.6%)</w:t>
            </w:r>
          </w:p>
        </w:tc>
        <w:tc>
          <w:tcPr>
            <w:tcW w:w="1845" w:type="dxa"/>
            <w:tcBorders>
              <w:left w:val="nil"/>
              <w:right w:val="nil"/>
            </w:tcBorders>
            <w:vAlign w:val="center"/>
          </w:tcPr>
          <w:p w14:paraId="2864D81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i/>
              </w:rPr>
              <w:t>χ</w:t>
            </w:r>
            <w:r w:rsidRPr="007A66B0">
              <w:rPr>
                <w:rFonts w:ascii="Times New Roman" w:eastAsia="Times New Roman" w:hAnsi="Times New Roman" w:cs="Times New Roman"/>
                <w:vertAlign w:val="superscript"/>
              </w:rPr>
              <w:t>2</w:t>
            </w:r>
            <w:r w:rsidRPr="007A66B0">
              <w:rPr>
                <w:rFonts w:ascii="Times New Roman" w:eastAsia="Times New Roman" w:hAnsi="Times New Roman" w:cs="Times New Roman"/>
              </w:rPr>
              <w:t>(1) = 19.473</w:t>
            </w:r>
          </w:p>
        </w:tc>
        <w:tc>
          <w:tcPr>
            <w:tcW w:w="769" w:type="dxa"/>
            <w:tcBorders>
              <w:left w:val="nil"/>
              <w:right w:val="nil"/>
            </w:tcBorders>
            <w:vAlign w:val="center"/>
          </w:tcPr>
          <w:p w14:paraId="3FC2E3D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tcBorders>
              <w:left w:val="nil"/>
              <w:right w:val="nil"/>
            </w:tcBorders>
            <w:vAlign w:val="center"/>
          </w:tcPr>
          <w:p w14:paraId="32AA8D43" w14:textId="77777777" w:rsidR="005F0572" w:rsidRPr="007A66B0" w:rsidRDefault="005F0572">
            <w:pPr>
              <w:spacing w:line="360" w:lineRule="auto"/>
              <w:jc w:val="center"/>
              <w:rPr>
                <w:rFonts w:ascii="Times New Roman" w:eastAsia="Times New Roman" w:hAnsi="Times New Roman" w:cs="Times New Roman"/>
              </w:rPr>
            </w:pPr>
          </w:p>
        </w:tc>
      </w:tr>
      <w:tr w:rsidR="005F0572" w:rsidRPr="007A66B0" w14:paraId="46AEE1B7" w14:textId="77777777">
        <w:trPr>
          <w:trHeight w:val="340"/>
          <w:jc w:val="center"/>
        </w:trPr>
        <w:tc>
          <w:tcPr>
            <w:tcW w:w="2553" w:type="dxa"/>
            <w:tcBorders>
              <w:left w:val="nil"/>
              <w:right w:val="nil"/>
            </w:tcBorders>
            <w:vAlign w:val="center"/>
          </w:tcPr>
          <w:p w14:paraId="3B445625"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 xml:space="preserve">ECR-12 Anxiety </w:t>
            </w:r>
          </w:p>
        </w:tc>
        <w:tc>
          <w:tcPr>
            <w:tcW w:w="1701" w:type="dxa"/>
            <w:tcBorders>
              <w:left w:val="nil"/>
              <w:right w:val="nil"/>
            </w:tcBorders>
            <w:vAlign w:val="center"/>
          </w:tcPr>
          <w:p w14:paraId="47A99F3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4.28 (1.45)</w:t>
            </w:r>
          </w:p>
        </w:tc>
        <w:tc>
          <w:tcPr>
            <w:tcW w:w="1560" w:type="dxa"/>
            <w:tcBorders>
              <w:left w:val="nil"/>
              <w:right w:val="nil"/>
            </w:tcBorders>
            <w:vAlign w:val="center"/>
          </w:tcPr>
          <w:p w14:paraId="514E99D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3.48 (1.37)</w:t>
            </w:r>
          </w:p>
        </w:tc>
        <w:tc>
          <w:tcPr>
            <w:tcW w:w="1845" w:type="dxa"/>
            <w:tcBorders>
              <w:left w:val="nil"/>
              <w:right w:val="nil"/>
            </w:tcBorders>
          </w:tcPr>
          <w:p w14:paraId="4F6F924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t(340.89) = -6.340</w:t>
            </w:r>
          </w:p>
        </w:tc>
        <w:tc>
          <w:tcPr>
            <w:tcW w:w="769" w:type="dxa"/>
            <w:tcBorders>
              <w:left w:val="nil"/>
              <w:right w:val="nil"/>
            </w:tcBorders>
            <w:vAlign w:val="center"/>
          </w:tcPr>
          <w:p w14:paraId="064CC11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tcBorders>
              <w:left w:val="nil"/>
              <w:right w:val="nil"/>
            </w:tcBorders>
            <w:vAlign w:val="center"/>
          </w:tcPr>
          <w:p w14:paraId="4997268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0.58</w:t>
            </w:r>
          </w:p>
        </w:tc>
      </w:tr>
      <w:tr w:rsidR="005F0572" w:rsidRPr="007A66B0" w14:paraId="170A9184" w14:textId="77777777">
        <w:trPr>
          <w:trHeight w:val="340"/>
          <w:jc w:val="center"/>
        </w:trPr>
        <w:tc>
          <w:tcPr>
            <w:tcW w:w="2553" w:type="dxa"/>
            <w:tcBorders>
              <w:left w:val="nil"/>
              <w:right w:val="nil"/>
            </w:tcBorders>
            <w:vAlign w:val="center"/>
          </w:tcPr>
          <w:p w14:paraId="3E15F1F0"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ECR-12 Avoidance</w:t>
            </w:r>
          </w:p>
        </w:tc>
        <w:tc>
          <w:tcPr>
            <w:tcW w:w="1701" w:type="dxa"/>
            <w:tcBorders>
              <w:left w:val="nil"/>
              <w:right w:val="nil"/>
            </w:tcBorders>
            <w:vAlign w:val="center"/>
          </w:tcPr>
          <w:p w14:paraId="6AEF507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3.09 (1.29)</w:t>
            </w:r>
          </w:p>
        </w:tc>
        <w:tc>
          <w:tcPr>
            <w:tcW w:w="1560" w:type="dxa"/>
            <w:tcBorders>
              <w:left w:val="nil"/>
              <w:right w:val="nil"/>
            </w:tcBorders>
            <w:vAlign w:val="center"/>
          </w:tcPr>
          <w:p w14:paraId="79EEBB9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2.22 (1.14)</w:t>
            </w:r>
          </w:p>
        </w:tc>
        <w:tc>
          <w:tcPr>
            <w:tcW w:w="1845" w:type="dxa"/>
            <w:tcBorders>
              <w:left w:val="nil"/>
              <w:right w:val="nil"/>
            </w:tcBorders>
          </w:tcPr>
          <w:p w14:paraId="56A0AD3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t(321.71) = -7.916</w:t>
            </w:r>
          </w:p>
        </w:tc>
        <w:tc>
          <w:tcPr>
            <w:tcW w:w="769" w:type="dxa"/>
            <w:tcBorders>
              <w:left w:val="nil"/>
              <w:right w:val="nil"/>
            </w:tcBorders>
            <w:vAlign w:val="center"/>
          </w:tcPr>
          <w:p w14:paraId="6D22B4F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&lt;.001</w:t>
            </w:r>
          </w:p>
        </w:tc>
        <w:tc>
          <w:tcPr>
            <w:tcW w:w="1213" w:type="dxa"/>
            <w:tcBorders>
              <w:left w:val="nil"/>
              <w:right w:val="nil"/>
            </w:tcBorders>
            <w:vAlign w:val="center"/>
          </w:tcPr>
          <w:p w14:paraId="6785E762"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0.72</w:t>
            </w:r>
          </w:p>
        </w:tc>
      </w:tr>
      <w:tr w:rsidR="005F0572" w:rsidRPr="007A66B0" w14:paraId="0CFCAFEB" w14:textId="77777777">
        <w:trPr>
          <w:trHeight w:val="340"/>
          <w:jc w:val="center"/>
        </w:trPr>
        <w:tc>
          <w:tcPr>
            <w:tcW w:w="2553" w:type="dxa"/>
            <w:tcBorders>
              <w:left w:val="nil"/>
              <w:right w:val="nil"/>
            </w:tcBorders>
            <w:vAlign w:val="center"/>
          </w:tcPr>
          <w:p w14:paraId="0B7D328C" w14:textId="77777777" w:rsidR="005F0572" w:rsidRPr="007A66B0" w:rsidRDefault="00256217">
            <w:pPr>
              <w:spacing w:line="360" w:lineRule="auto"/>
              <w:rPr>
                <w:rFonts w:ascii="Times New Roman" w:eastAsia="Times New Roman" w:hAnsi="Times New Roman" w:cs="Times New Roman"/>
              </w:rPr>
            </w:pPr>
            <w:r w:rsidRPr="007A66B0">
              <w:rPr>
                <w:rFonts w:ascii="Times New Roman" w:eastAsia="Times New Roman" w:hAnsi="Times New Roman" w:cs="Times New Roman"/>
              </w:rPr>
              <w:t>TAS-20 Total</w:t>
            </w:r>
          </w:p>
        </w:tc>
        <w:tc>
          <w:tcPr>
            <w:tcW w:w="1701" w:type="dxa"/>
            <w:tcBorders>
              <w:left w:val="nil"/>
              <w:right w:val="nil"/>
            </w:tcBorders>
            <w:vAlign w:val="center"/>
          </w:tcPr>
          <w:p w14:paraId="5D08E42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46.22 (12.89)</w:t>
            </w:r>
          </w:p>
        </w:tc>
        <w:tc>
          <w:tcPr>
            <w:tcW w:w="1560" w:type="dxa"/>
            <w:tcBorders>
              <w:left w:val="nil"/>
              <w:right w:val="nil"/>
            </w:tcBorders>
            <w:vAlign w:val="center"/>
          </w:tcPr>
          <w:p w14:paraId="3926587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43.32 (12.59)</w:t>
            </w:r>
          </w:p>
        </w:tc>
        <w:tc>
          <w:tcPr>
            <w:tcW w:w="1845" w:type="dxa"/>
            <w:tcBorders>
              <w:left w:val="nil"/>
              <w:right w:val="nil"/>
            </w:tcBorders>
          </w:tcPr>
          <w:p w14:paraId="0F1D412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t(594) = -2.583</w:t>
            </w:r>
          </w:p>
        </w:tc>
        <w:tc>
          <w:tcPr>
            <w:tcW w:w="769" w:type="dxa"/>
            <w:tcBorders>
              <w:left w:val="nil"/>
              <w:right w:val="nil"/>
            </w:tcBorders>
            <w:vAlign w:val="center"/>
          </w:tcPr>
          <w:p w14:paraId="7058255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.010</w:t>
            </w:r>
          </w:p>
        </w:tc>
        <w:tc>
          <w:tcPr>
            <w:tcW w:w="1213" w:type="dxa"/>
            <w:tcBorders>
              <w:left w:val="nil"/>
              <w:right w:val="nil"/>
            </w:tcBorders>
            <w:vAlign w:val="center"/>
          </w:tcPr>
          <w:p w14:paraId="009C7337"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0.23</w:t>
            </w:r>
          </w:p>
        </w:tc>
      </w:tr>
      <w:tr w:rsidR="005F0572" w:rsidRPr="007A66B0" w14:paraId="5EBDF297" w14:textId="77777777">
        <w:trPr>
          <w:trHeight w:val="340"/>
          <w:jc w:val="center"/>
        </w:trPr>
        <w:tc>
          <w:tcPr>
            <w:tcW w:w="2553" w:type="dxa"/>
            <w:tcBorders>
              <w:left w:val="nil"/>
              <w:bottom w:val="single" w:sz="4" w:space="0" w:color="000000"/>
              <w:right w:val="nil"/>
            </w:tcBorders>
            <w:vAlign w:val="center"/>
          </w:tcPr>
          <w:p w14:paraId="54F580EB" w14:textId="77777777" w:rsidR="005F0572" w:rsidRPr="007A66B0" w:rsidRDefault="00000000">
            <w:pPr>
              <w:spacing w:line="360" w:lineRule="auto"/>
              <w:rPr>
                <w:rFonts w:ascii="Times New Roman" w:eastAsia="Times New Roman" w:hAnsi="Times New Roman" w:cs="Times New Roman"/>
              </w:rPr>
            </w:pPr>
            <w:sdt>
              <w:sdtPr>
                <w:tag w:val="goog_rdk_1"/>
                <w:id w:val="244007329"/>
              </w:sdtPr>
              <w:sdtContent>
                <w:r w:rsidR="00256217" w:rsidRPr="007A66B0">
                  <w:rPr>
                    <w:rFonts w:ascii="Gungsuh" w:eastAsia="Gungsuh" w:hAnsi="Gungsuh" w:cs="Gungsuh"/>
                  </w:rPr>
                  <w:t>TAS-20 above cut-off score (≥61)</w:t>
                </w:r>
              </w:sdtContent>
            </w:sdt>
          </w:p>
        </w:tc>
        <w:tc>
          <w:tcPr>
            <w:tcW w:w="1701" w:type="dxa"/>
            <w:tcBorders>
              <w:left w:val="nil"/>
              <w:bottom w:val="single" w:sz="4" w:space="0" w:color="000000"/>
              <w:right w:val="nil"/>
            </w:tcBorders>
            <w:vAlign w:val="center"/>
          </w:tcPr>
          <w:p w14:paraId="695FA5B3"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28 (15.1%)</w:t>
            </w:r>
          </w:p>
        </w:tc>
        <w:tc>
          <w:tcPr>
            <w:tcW w:w="1560" w:type="dxa"/>
            <w:tcBorders>
              <w:left w:val="nil"/>
              <w:bottom w:val="single" w:sz="4" w:space="0" w:color="000000"/>
              <w:right w:val="nil"/>
            </w:tcBorders>
            <w:vAlign w:val="center"/>
          </w:tcPr>
          <w:p w14:paraId="1564C2F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43 (10.5%)</w:t>
            </w:r>
          </w:p>
        </w:tc>
        <w:tc>
          <w:tcPr>
            <w:tcW w:w="1845" w:type="dxa"/>
            <w:tcBorders>
              <w:left w:val="nil"/>
              <w:bottom w:val="single" w:sz="4" w:space="0" w:color="000000"/>
              <w:right w:val="nil"/>
            </w:tcBorders>
            <w:vAlign w:val="center"/>
          </w:tcPr>
          <w:p w14:paraId="5597FF4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i/>
              </w:rPr>
              <w:t>χ</w:t>
            </w:r>
            <w:r w:rsidRPr="007A66B0">
              <w:rPr>
                <w:rFonts w:ascii="Times New Roman" w:eastAsia="Times New Roman" w:hAnsi="Times New Roman" w:cs="Times New Roman"/>
                <w:vertAlign w:val="superscript"/>
              </w:rPr>
              <w:t>2</w:t>
            </w:r>
            <w:r w:rsidRPr="007A66B0">
              <w:rPr>
                <w:rFonts w:ascii="Times New Roman" w:eastAsia="Times New Roman" w:hAnsi="Times New Roman" w:cs="Times New Roman"/>
              </w:rPr>
              <w:t>(1) = 2.542</w:t>
            </w:r>
          </w:p>
        </w:tc>
        <w:tc>
          <w:tcPr>
            <w:tcW w:w="769" w:type="dxa"/>
            <w:tcBorders>
              <w:left w:val="nil"/>
              <w:bottom w:val="single" w:sz="4" w:space="0" w:color="000000"/>
              <w:right w:val="nil"/>
            </w:tcBorders>
            <w:vAlign w:val="center"/>
          </w:tcPr>
          <w:p w14:paraId="432A260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.111</w:t>
            </w:r>
          </w:p>
        </w:tc>
        <w:tc>
          <w:tcPr>
            <w:tcW w:w="1213" w:type="dxa"/>
            <w:tcBorders>
              <w:left w:val="nil"/>
              <w:bottom w:val="single" w:sz="4" w:space="0" w:color="000000"/>
              <w:right w:val="nil"/>
            </w:tcBorders>
            <w:vAlign w:val="center"/>
          </w:tcPr>
          <w:p w14:paraId="4302D54E" w14:textId="77777777" w:rsidR="005F0572" w:rsidRPr="007A66B0" w:rsidRDefault="005F0572">
            <w:pPr>
              <w:spacing w:line="360" w:lineRule="auto"/>
              <w:jc w:val="center"/>
              <w:rPr>
                <w:rFonts w:ascii="Times New Roman" w:eastAsia="Times New Roman" w:hAnsi="Times New Roman" w:cs="Times New Roman"/>
              </w:rPr>
            </w:pPr>
          </w:p>
        </w:tc>
      </w:tr>
    </w:tbl>
    <w:p w14:paraId="38108238" w14:textId="77777777" w:rsidR="005F0572" w:rsidRPr="007A66B0" w:rsidRDefault="00256217">
      <w:pPr>
        <w:spacing w:line="480" w:lineRule="auto"/>
        <w:jc w:val="both"/>
        <w:rPr>
          <w:rFonts w:ascii="Times New Roman" w:eastAsia="Times New Roman" w:hAnsi="Times New Roman" w:cs="Times New Roman"/>
          <w:sz w:val="24"/>
          <w:szCs w:val="24"/>
        </w:rPr>
        <w:sectPr w:rsidR="005F0572" w:rsidRPr="007A66B0">
          <w:headerReference w:type="default" r:id="rId30"/>
          <w:pgSz w:w="11909" w:h="16834"/>
          <w:pgMar w:top="1418" w:right="1418" w:bottom="1418" w:left="1418" w:header="720" w:footer="720" w:gutter="0"/>
          <w:pgNumType w:start="1"/>
          <w:cols w:space="720"/>
        </w:sectPr>
      </w:pPr>
      <w:r w:rsidRPr="007A66B0">
        <w:rPr>
          <w:rFonts w:ascii="Times New Roman" w:eastAsia="Times New Roman" w:hAnsi="Times New Roman" w:cs="Times New Roman"/>
          <w:i/>
          <w:sz w:val="24"/>
          <w:szCs w:val="24"/>
        </w:rPr>
        <w:lastRenderedPageBreak/>
        <w:t>Note.</w:t>
      </w:r>
      <w:r w:rsidRPr="007A66B0">
        <w:rPr>
          <w:rFonts w:ascii="Times New Roman" w:eastAsia="Times New Roman" w:hAnsi="Times New Roman" w:cs="Times New Roman"/>
          <w:sz w:val="24"/>
          <w:szCs w:val="24"/>
        </w:rPr>
        <w:t xml:space="preserve"> STAI Y1 = State-Trait Anxiety Inventory; BDI-II = Beck Depression Inventory; ECR-12 = Short version of the Experiences in Close Relationships; TAS-20 = twenty-item Toronto Alexithymia Scale.</w:t>
      </w:r>
    </w:p>
    <w:p w14:paraId="6C605F61" w14:textId="77777777" w:rsidR="005F0572" w:rsidRPr="007A66B0" w:rsidRDefault="00256217">
      <w:pP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b/>
          <w:sz w:val="24"/>
          <w:szCs w:val="24"/>
        </w:rPr>
        <w:lastRenderedPageBreak/>
        <w:t>Table 2</w:t>
      </w:r>
      <w:r w:rsidRPr="007A66B0">
        <w:rPr>
          <w:rFonts w:ascii="Times New Roman" w:eastAsia="Times New Roman" w:hAnsi="Times New Roman" w:cs="Times New Roman"/>
          <w:sz w:val="24"/>
          <w:szCs w:val="24"/>
        </w:rPr>
        <w:t xml:space="preserve">. </w:t>
      </w:r>
    </w:p>
    <w:p w14:paraId="4837FF8E" w14:textId="77777777" w:rsidR="005F0572" w:rsidRPr="007A66B0" w:rsidRDefault="005F0572">
      <w:pPr>
        <w:spacing w:line="480" w:lineRule="auto"/>
        <w:rPr>
          <w:rFonts w:ascii="Times New Roman" w:eastAsia="Times New Roman" w:hAnsi="Times New Roman" w:cs="Times New Roman"/>
          <w:sz w:val="24"/>
          <w:szCs w:val="24"/>
        </w:rPr>
      </w:pPr>
    </w:p>
    <w:p w14:paraId="2753B30B" w14:textId="77777777" w:rsidR="005F0572" w:rsidRPr="007A66B0" w:rsidRDefault="00256217">
      <w:pPr>
        <w:spacing w:line="480" w:lineRule="auto"/>
        <w:rPr>
          <w:rFonts w:ascii="Times New Roman" w:eastAsia="Times New Roman" w:hAnsi="Times New Roman" w:cs="Times New Roman"/>
          <w:b/>
          <w:i/>
          <w:sz w:val="24"/>
          <w:szCs w:val="24"/>
        </w:rPr>
      </w:pPr>
      <w:r w:rsidRPr="007A66B0">
        <w:rPr>
          <w:rFonts w:ascii="Times New Roman" w:eastAsia="Times New Roman" w:hAnsi="Times New Roman" w:cs="Times New Roman"/>
          <w:i/>
          <w:sz w:val="24"/>
          <w:szCs w:val="24"/>
        </w:rPr>
        <w:t>Logistic regression predicting the likelihood of not being in a relationship vs being in a relationship based on sociodemographic and psychological variables.</w:t>
      </w:r>
    </w:p>
    <w:tbl>
      <w:tblPr>
        <w:tblStyle w:val="a8"/>
        <w:tblW w:w="1544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1702"/>
        <w:gridCol w:w="846"/>
        <w:gridCol w:w="850"/>
        <w:gridCol w:w="1418"/>
        <w:gridCol w:w="1146"/>
        <w:gridCol w:w="287"/>
        <w:gridCol w:w="846"/>
        <w:gridCol w:w="846"/>
        <w:gridCol w:w="1554"/>
        <w:gridCol w:w="1134"/>
        <w:gridCol w:w="281"/>
        <w:gridCol w:w="853"/>
        <w:gridCol w:w="992"/>
        <w:gridCol w:w="1557"/>
        <w:gridCol w:w="1134"/>
      </w:tblGrid>
      <w:tr w:rsidR="005F0572" w:rsidRPr="007A66B0" w14:paraId="12B83731" w14:textId="77777777">
        <w:trPr>
          <w:trHeight w:val="624"/>
          <w:jc w:val="center"/>
        </w:trPr>
        <w:tc>
          <w:tcPr>
            <w:tcW w:w="1702" w:type="dxa"/>
            <w:tcBorders>
              <w:top w:val="single" w:sz="4" w:space="0" w:color="000000"/>
            </w:tcBorders>
            <w:vAlign w:val="center"/>
          </w:tcPr>
          <w:p w14:paraId="51087946" w14:textId="77777777" w:rsidR="005F0572" w:rsidRPr="007A66B0" w:rsidRDefault="005F0572">
            <w:pPr>
              <w:spacing w:line="360" w:lineRule="auto"/>
              <w:jc w:val="center"/>
              <w:rPr>
                <w:rFonts w:ascii="Times New Roman" w:eastAsia="Times New Roman" w:hAnsi="Times New Roman" w:cs="Times New Roman"/>
                <w:b/>
              </w:rPr>
            </w:pPr>
          </w:p>
        </w:tc>
        <w:tc>
          <w:tcPr>
            <w:tcW w:w="4260" w:type="dxa"/>
            <w:gridSpan w:val="4"/>
            <w:tcBorders>
              <w:top w:val="single" w:sz="4" w:space="0" w:color="000000"/>
              <w:bottom w:val="single" w:sz="4" w:space="0" w:color="000000"/>
            </w:tcBorders>
            <w:vAlign w:val="center"/>
          </w:tcPr>
          <w:p w14:paraId="4D2148D2"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Model 1</w:t>
            </w:r>
            <w:r w:rsidRPr="007A66B0">
              <w:rPr>
                <w:rFonts w:ascii="Times New Roman" w:eastAsia="Times New Roman" w:hAnsi="Times New Roman" w:cs="Times New Roman"/>
                <w:b/>
                <w:vertAlign w:val="superscript"/>
              </w:rPr>
              <w:t>a</w:t>
            </w:r>
          </w:p>
        </w:tc>
        <w:tc>
          <w:tcPr>
            <w:tcW w:w="287" w:type="dxa"/>
            <w:tcBorders>
              <w:top w:val="single" w:sz="4" w:space="0" w:color="000000"/>
              <w:bottom w:val="single" w:sz="4" w:space="0" w:color="000000"/>
            </w:tcBorders>
            <w:vAlign w:val="center"/>
          </w:tcPr>
          <w:p w14:paraId="10F38AB1" w14:textId="77777777" w:rsidR="005F0572" w:rsidRPr="007A66B0" w:rsidRDefault="005F0572">
            <w:pPr>
              <w:spacing w:line="360" w:lineRule="auto"/>
              <w:jc w:val="center"/>
              <w:rPr>
                <w:rFonts w:ascii="Times New Roman" w:eastAsia="Times New Roman" w:hAnsi="Times New Roman" w:cs="Times New Roman"/>
                <w:b/>
                <w:i/>
              </w:rPr>
            </w:pPr>
          </w:p>
        </w:tc>
        <w:tc>
          <w:tcPr>
            <w:tcW w:w="4380" w:type="dxa"/>
            <w:gridSpan w:val="4"/>
            <w:tcBorders>
              <w:top w:val="single" w:sz="4" w:space="0" w:color="000000"/>
              <w:bottom w:val="single" w:sz="4" w:space="0" w:color="000000"/>
            </w:tcBorders>
            <w:vAlign w:val="center"/>
          </w:tcPr>
          <w:p w14:paraId="6A1C5914"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Model 2</w:t>
            </w:r>
            <w:r w:rsidRPr="007A66B0">
              <w:rPr>
                <w:rFonts w:ascii="Times New Roman" w:eastAsia="Times New Roman" w:hAnsi="Times New Roman" w:cs="Times New Roman"/>
                <w:b/>
                <w:vertAlign w:val="superscript"/>
              </w:rPr>
              <w:t>b</w:t>
            </w:r>
          </w:p>
        </w:tc>
        <w:tc>
          <w:tcPr>
            <w:tcW w:w="281" w:type="dxa"/>
            <w:tcBorders>
              <w:top w:val="single" w:sz="4" w:space="0" w:color="000000"/>
              <w:bottom w:val="single" w:sz="4" w:space="0" w:color="000000"/>
            </w:tcBorders>
            <w:vAlign w:val="center"/>
          </w:tcPr>
          <w:p w14:paraId="5C92379E" w14:textId="77777777" w:rsidR="005F0572" w:rsidRPr="007A66B0" w:rsidRDefault="005F0572">
            <w:pPr>
              <w:spacing w:line="360" w:lineRule="auto"/>
              <w:jc w:val="center"/>
              <w:rPr>
                <w:rFonts w:ascii="Times New Roman" w:eastAsia="Times New Roman" w:hAnsi="Times New Roman" w:cs="Times New Roman"/>
                <w:b/>
              </w:rPr>
            </w:pPr>
          </w:p>
        </w:tc>
        <w:tc>
          <w:tcPr>
            <w:tcW w:w="4536" w:type="dxa"/>
            <w:gridSpan w:val="4"/>
            <w:tcBorders>
              <w:top w:val="single" w:sz="4" w:space="0" w:color="000000"/>
              <w:bottom w:val="single" w:sz="4" w:space="0" w:color="000000"/>
            </w:tcBorders>
            <w:vAlign w:val="center"/>
          </w:tcPr>
          <w:p w14:paraId="706CA30E"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Model 3</w:t>
            </w:r>
            <w:r w:rsidRPr="007A66B0">
              <w:rPr>
                <w:rFonts w:ascii="Times New Roman" w:eastAsia="Times New Roman" w:hAnsi="Times New Roman" w:cs="Times New Roman"/>
                <w:b/>
                <w:vertAlign w:val="superscript"/>
              </w:rPr>
              <w:t>c</w:t>
            </w:r>
          </w:p>
        </w:tc>
      </w:tr>
      <w:tr w:rsidR="005F0572" w:rsidRPr="007A66B0" w14:paraId="34A36D14" w14:textId="77777777">
        <w:trPr>
          <w:trHeight w:val="624"/>
          <w:jc w:val="center"/>
        </w:trPr>
        <w:tc>
          <w:tcPr>
            <w:tcW w:w="1702" w:type="dxa"/>
            <w:tcBorders>
              <w:bottom w:val="single" w:sz="4" w:space="0" w:color="000000"/>
            </w:tcBorders>
            <w:vAlign w:val="center"/>
          </w:tcPr>
          <w:p w14:paraId="402A03E1"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Predictors</w:t>
            </w:r>
          </w:p>
        </w:tc>
        <w:tc>
          <w:tcPr>
            <w:tcW w:w="846" w:type="dxa"/>
            <w:tcBorders>
              <w:top w:val="single" w:sz="4" w:space="0" w:color="000000"/>
              <w:bottom w:val="single" w:sz="4" w:space="0" w:color="000000"/>
            </w:tcBorders>
            <w:vAlign w:val="center"/>
          </w:tcPr>
          <w:p w14:paraId="26E3A79B" w14:textId="77777777" w:rsidR="005F0572" w:rsidRPr="007A66B0" w:rsidRDefault="00256217">
            <w:pPr>
              <w:spacing w:line="360" w:lineRule="auto"/>
              <w:jc w:val="center"/>
              <w:rPr>
                <w:rFonts w:ascii="Times New Roman" w:eastAsia="Times New Roman" w:hAnsi="Times New Roman" w:cs="Times New Roman"/>
                <w:b/>
                <w:i/>
              </w:rPr>
            </w:pPr>
            <w:r w:rsidRPr="007A66B0">
              <w:rPr>
                <w:rFonts w:ascii="Times New Roman" w:eastAsia="Times New Roman" w:hAnsi="Times New Roman" w:cs="Times New Roman"/>
                <w:b/>
                <w:i/>
              </w:rPr>
              <w:t>B</w:t>
            </w:r>
          </w:p>
        </w:tc>
        <w:tc>
          <w:tcPr>
            <w:tcW w:w="850" w:type="dxa"/>
            <w:tcBorders>
              <w:top w:val="single" w:sz="4" w:space="0" w:color="000000"/>
              <w:bottom w:val="single" w:sz="4" w:space="0" w:color="000000"/>
            </w:tcBorders>
            <w:vAlign w:val="center"/>
          </w:tcPr>
          <w:p w14:paraId="06A1A91F"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OR</w:t>
            </w:r>
          </w:p>
        </w:tc>
        <w:tc>
          <w:tcPr>
            <w:tcW w:w="1418" w:type="dxa"/>
            <w:tcBorders>
              <w:top w:val="single" w:sz="4" w:space="0" w:color="000000"/>
              <w:bottom w:val="single" w:sz="4" w:space="0" w:color="000000"/>
            </w:tcBorders>
            <w:vAlign w:val="center"/>
          </w:tcPr>
          <w:p w14:paraId="02E1CC81"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95% CI</w:t>
            </w:r>
          </w:p>
        </w:tc>
        <w:tc>
          <w:tcPr>
            <w:tcW w:w="1146" w:type="dxa"/>
            <w:tcBorders>
              <w:top w:val="single" w:sz="4" w:space="0" w:color="000000"/>
              <w:bottom w:val="single" w:sz="4" w:space="0" w:color="000000"/>
            </w:tcBorders>
            <w:vAlign w:val="center"/>
          </w:tcPr>
          <w:p w14:paraId="2B6F13DB"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Wald</w:t>
            </w:r>
          </w:p>
        </w:tc>
        <w:tc>
          <w:tcPr>
            <w:tcW w:w="287" w:type="dxa"/>
            <w:tcBorders>
              <w:top w:val="single" w:sz="4" w:space="0" w:color="000000"/>
              <w:bottom w:val="single" w:sz="4" w:space="0" w:color="000000"/>
            </w:tcBorders>
            <w:vAlign w:val="center"/>
          </w:tcPr>
          <w:p w14:paraId="5F598BBB" w14:textId="77777777" w:rsidR="005F0572" w:rsidRPr="007A66B0" w:rsidRDefault="005F0572">
            <w:pPr>
              <w:spacing w:line="360" w:lineRule="auto"/>
              <w:jc w:val="center"/>
              <w:rPr>
                <w:rFonts w:ascii="Times New Roman" w:eastAsia="Times New Roman" w:hAnsi="Times New Roman" w:cs="Times New Roman"/>
                <w:b/>
              </w:rPr>
            </w:pPr>
          </w:p>
        </w:tc>
        <w:tc>
          <w:tcPr>
            <w:tcW w:w="846" w:type="dxa"/>
            <w:tcBorders>
              <w:top w:val="single" w:sz="4" w:space="0" w:color="000000"/>
              <w:bottom w:val="single" w:sz="4" w:space="0" w:color="000000"/>
            </w:tcBorders>
            <w:vAlign w:val="center"/>
          </w:tcPr>
          <w:p w14:paraId="0952673E" w14:textId="77777777" w:rsidR="005F0572" w:rsidRPr="007A66B0" w:rsidRDefault="00256217">
            <w:pPr>
              <w:spacing w:line="360" w:lineRule="auto"/>
              <w:jc w:val="center"/>
              <w:rPr>
                <w:rFonts w:ascii="Times New Roman" w:eastAsia="Times New Roman" w:hAnsi="Times New Roman" w:cs="Times New Roman"/>
                <w:b/>
                <w:i/>
              </w:rPr>
            </w:pPr>
            <w:r w:rsidRPr="007A66B0">
              <w:rPr>
                <w:rFonts w:ascii="Times New Roman" w:eastAsia="Times New Roman" w:hAnsi="Times New Roman" w:cs="Times New Roman"/>
                <w:b/>
                <w:i/>
              </w:rPr>
              <w:t>B</w:t>
            </w:r>
          </w:p>
        </w:tc>
        <w:tc>
          <w:tcPr>
            <w:tcW w:w="846" w:type="dxa"/>
            <w:tcBorders>
              <w:top w:val="single" w:sz="4" w:space="0" w:color="000000"/>
              <w:bottom w:val="single" w:sz="4" w:space="0" w:color="000000"/>
            </w:tcBorders>
            <w:vAlign w:val="center"/>
          </w:tcPr>
          <w:p w14:paraId="394F74FD" w14:textId="77777777" w:rsidR="005F0572" w:rsidRPr="007A66B0" w:rsidRDefault="00256217">
            <w:pPr>
              <w:spacing w:line="360" w:lineRule="auto"/>
              <w:jc w:val="center"/>
              <w:rPr>
                <w:rFonts w:ascii="Times New Roman" w:eastAsia="Times New Roman" w:hAnsi="Times New Roman" w:cs="Times New Roman"/>
                <w:b/>
                <w:i/>
              </w:rPr>
            </w:pPr>
            <w:r w:rsidRPr="007A66B0">
              <w:rPr>
                <w:rFonts w:ascii="Times New Roman" w:eastAsia="Times New Roman" w:hAnsi="Times New Roman" w:cs="Times New Roman"/>
                <w:b/>
              </w:rPr>
              <w:t>OR</w:t>
            </w:r>
          </w:p>
        </w:tc>
        <w:tc>
          <w:tcPr>
            <w:tcW w:w="1554" w:type="dxa"/>
            <w:tcBorders>
              <w:top w:val="single" w:sz="4" w:space="0" w:color="000000"/>
              <w:bottom w:val="single" w:sz="4" w:space="0" w:color="000000"/>
            </w:tcBorders>
            <w:vAlign w:val="center"/>
          </w:tcPr>
          <w:p w14:paraId="3847E1FB"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95% CI</w:t>
            </w:r>
          </w:p>
        </w:tc>
        <w:tc>
          <w:tcPr>
            <w:tcW w:w="1134" w:type="dxa"/>
            <w:tcBorders>
              <w:top w:val="single" w:sz="4" w:space="0" w:color="000000"/>
              <w:bottom w:val="single" w:sz="4" w:space="0" w:color="000000"/>
            </w:tcBorders>
            <w:vAlign w:val="center"/>
          </w:tcPr>
          <w:p w14:paraId="38B52C61"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Wald</w:t>
            </w:r>
          </w:p>
        </w:tc>
        <w:tc>
          <w:tcPr>
            <w:tcW w:w="281" w:type="dxa"/>
            <w:tcBorders>
              <w:top w:val="single" w:sz="4" w:space="0" w:color="000000"/>
              <w:bottom w:val="single" w:sz="4" w:space="0" w:color="000000"/>
            </w:tcBorders>
            <w:vAlign w:val="center"/>
          </w:tcPr>
          <w:p w14:paraId="1974690C" w14:textId="77777777" w:rsidR="005F0572" w:rsidRPr="007A66B0" w:rsidRDefault="005F0572">
            <w:pPr>
              <w:spacing w:line="360" w:lineRule="auto"/>
              <w:jc w:val="center"/>
              <w:rPr>
                <w:rFonts w:ascii="Times New Roman" w:eastAsia="Times New Roman" w:hAnsi="Times New Roman" w:cs="Times New Roman"/>
                <w:b/>
              </w:rPr>
            </w:pPr>
          </w:p>
        </w:tc>
        <w:tc>
          <w:tcPr>
            <w:tcW w:w="853" w:type="dxa"/>
            <w:tcBorders>
              <w:top w:val="single" w:sz="4" w:space="0" w:color="000000"/>
              <w:bottom w:val="single" w:sz="4" w:space="0" w:color="000000"/>
            </w:tcBorders>
            <w:vAlign w:val="center"/>
          </w:tcPr>
          <w:p w14:paraId="21EEA2BD" w14:textId="77777777" w:rsidR="005F0572" w:rsidRPr="007A66B0" w:rsidRDefault="00256217">
            <w:pPr>
              <w:spacing w:line="360" w:lineRule="auto"/>
              <w:jc w:val="center"/>
              <w:rPr>
                <w:rFonts w:ascii="Times New Roman" w:eastAsia="Times New Roman" w:hAnsi="Times New Roman" w:cs="Times New Roman"/>
                <w:b/>
                <w:i/>
              </w:rPr>
            </w:pPr>
            <w:r w:rsidRPr="007A66B0">
              <w:rPr>
                <w:rFonts w:ascii="Times New Roman" w:eastAsia="Times New Roman" w:hAnsi="Times New Roman" w:cs="Times New Roman"/>
                <w:b/>
                <w:i/>
              </w:rPr>
              <w:t>B</w:t>
            </w:r>
          </w:p>
        </w:tc>
        <w:tc>
          <w:tcPr>
            <w:tcW w:w="992" w:type="dxa"/>
            <w:tcBorders>
              <w:top w:val="single" w:sz="4" w:space="0" w:color="000000"/>
              <w:bottom w:val="single" w:sz="4" w:space="0" w:color="000000"/>
            </w:tcBorders>
            <w:vAlign w:val="center"/>
          </w:tcPr>
          <w:p w14:paraId="5AE5FB09"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OR</w:t>
            </w:r>
          </w:p>
        </w:tc>
        <w:tc>
          <w:tcPr>
            <w:tcW w:w="1557" w:type="dxa"/>
            <w:tcBorders>
              <w:top w:val="single" w:sz="4" w:space="0" w:color="000000"/>
              <w:bottom w:val="single" w:sz="4" w:space="0" w:color="000000"/>
            </w:tcBorders>
            <w:vAlign w:val="center"/>
          </w:tcPr>
          <w:p w14:paraId="43DC61F5"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95% CI</w:t>
            </w:r>
          </w:p>
        </w:tc>
        <w:tc>
          <w:tcPr>
            <w:tcW w:w="1134" w:type="dxa"/>
            <w:tcBorders>
              <w:top w:val="single" w:sz="4" w:space="0" w:color="000000"/>
              <w:bottom w:val="single" w:sz="4" w:space="0" w:color="000000"/>
            </w:tcBorders>
            <w:vAlign w:val="center"/>
          </w:tcPr>
          <w:p w14:paraId="78A6DE19"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b/>
              </w:rPr>
              <w:t>Wald</w:t>
            </w:r>
          </w:p>
        </w:tc>
      </w:tr>
      <w:tr w:rsidR="005F0572" w:rsidRPr="007A66B0" w14:paraId="1F05585A" w14:textId="77777777">
        <w:trPr>
          <w:trHeight w:val="624"/>
          <w:jc w:val="center"/>
        </w:trPr>
        <w:tc>
          <w:tcPr>
            <w:tcW w:w="1702" w:type="dxa"/>
            <w:tcBorders>
              <w:top w:val="single" w:sz="4" w:space="0" w:color="000000"/>
            </w:tcBorders>
            <w:vAlign w:val="center"/>
          </w:tcPr>
          <w:p w14:paraId="7C9C65D0"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Age</w:t>
            </w:r>
          </w:p>
        </w:tc>
        <w:tc>
          <w:tcPr>
            <w:tcW w:w="846" w:type="dxa"/>
            <w:tcBorders>
              <w:top w:val="single" w:sz="4" w:space="0" w:color="000000"/>
            </w:tcBorders>
            <w:vAlign w:val="center"/>
          </w:tcPr>
          <w:p w14:paraId="16FADCB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-0.017</w:t>
            </w:r>
          </w:p>
        </w:tc>
        <w:tc>
          <w:tcPr>
            <w:tcW w:w="850" w:type="dxa"/>
            <w:tcBorders>
              <w:top w:val="single" w:sz="4" w:space="0" w:color="000000"/>
            </w:tcBorders>
            <w:vAlign w:val="center"/>
          </w:tcPr>
          <w:p w14:paraId="30F13D2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0.984</w:t>
            </w:r>
          </w:p>
        </w:tc>
        <w:tc>
          <w:tcPr>
            <w:tcW w:w="1418" w:type="dxa"/>
            <w:tcBorders>
              <w:top w:val="single" w:sz="4" w:space="0" w:color="000000"/>
            </w:tcBorders>
            <w:vAlign w:val="center"/>
          </w:tcPr>
          <w:p w14:paraId="31C3EC9E"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0.971–0.997</w:t>
            </w:r>
          </w:p>
        </w:tc>
        <w:tc>
          <w:tcPr>
            <w:tcW w:w="1146" w:type="dxa"/>
            <w:tcBorders>
              <w:top w:val="single" w:sz="4" w:space="0" w:color="000000"/>
            </w:tcBorders>
            <w:vAlign w:val="center"/>
          </w:tcPr>
          <w:p w14:paraId="44592F02"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6.144</w:t>
            </w:r>
            <w:r w:rsidRPr="007A66B0">
              <w:rPr>
                <w:rFonts w:ascii="Times New Roman" w:eastAsia="Times New Roman" w:hAnsi="Times New Roman" w:cs="Times New Roman"/>
                <w:vertAlign w:val="superscript"/>
              </w:rPr>
              <w:t>*</w:t>
            </w:r>
          </w:p>
        </w:tc>
        <w:tc>
          <w:tcPr>
            <w:tcW w:w="287" w:type="dxa"/>
            <w:tcBorders>
              <w:top w:val="single" w:sz="4" w:space="0" w:color="000000"/>
            </w:tcBorders>
            <w:vAlign w:val="center"/>
          </w:tcPr>
          <w:p w14:paraId="2C6D2FC0" w14:textId="77777777" w:rsidR="005F0572" w:rsidRPr="007A66B0" w:rsidRDefault="005F0572">
            <w:pPr>
              <w:spacing w:line="360" w:lineRule="auto"/>
              <w:jc w:val="center"/>
              <w:rPr>
                <w:rFonts w:ascii="Times New Roman" w:eastAsia="Times New Roman" w:hAnsi="Times New Roman" w:cs="Times New Roman"/>
              </w:rPr>
            </w:pPr>
          </w:p>
        </w:tc>
        <w:tc>
          <w:tcPr>
            <w:tcW w:w="846" w:type="dxa"/>
            <w:tcBorders>
              <w:top w:val="single" w:sz="4" w:space="0" w:color="000000"/>
            </w:tcBorders>
            <w:vAlign w:val="center"/>
          </w:tcPr>
          <w:p w14:paraId="73CDB24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-0.024</w:t>
            </w:r>
          </w:p>
        </w:tc>
        <w:tc>
          <w:tcPr>
            <w:tcW w:w="846" w:type="dxa"/>
            <w:tcBorders>
              <w:top w:val="single" w:sz="4" w:space="0" w:color="000000"/>
            </w:tcBorders>
            <w:vAlign w:val="center"/>
          </w:tcPr>
          <w:p w14:paraId="353D9D0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0.976</w:t>
            </w:r>
          </w:p>
        </w:tc>
        <w:tc>
          <w:tcPr>
            <w:tcW w:w="1554" w:type="dxa"/>
            <w:tcBorders>
              <w:top w:val="single" w:sz="4" w:space="0" w:color="000000"/>
            </w:tcBorders>
            <w:vAlign w:val="center"/>
          </w:tcPr>
          <w:p w14:paraId="17BE990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0.961–0.991</w:t>
            </w:r>
          </w:p>
        </w:tc>
        <w:tc>
          <w:tcPr>
            <w:tcW w:w="1134" w:type="dxa"/>
            <w:tcBorders>
              <w:top w:val="single" w:sz="4" w:space="0" w:color="000000"/>
            </w:tcBorders>
            <w:vAlign w:val="center"/>
          </w:tcPr>
          <w:p w14:paraId="06012F7C"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9.627</w:t>
            </w:r>
            <w:r w:rsidRPr="007A66B0">
              <w:rPr>
                <w:rFonts w:ascii="Times New Roman" w:eastAsia="Times New Roman" w:hAnsi="Times New Roman" w:cs="Times New Roman"/>
                <w:vertAlign w:val="superscript"/>
              </w:rPr>
              <w:t>**</w:t>
            </w:r>
          </w:p>
        </w:tc>
        <w:tc>
          <w:tcPr>
            <w:tcW w:w="281" w:type="dxa"/>
            <w:tcBorders>
              <w:top w:val="single" w:sz="4" w:space="0" w:color="000000"/>
            </w:tcBorders>
            <w:vAlign w:val="center"/>
          </w:tcPr>
          <w:p w14:paraId="76875347" w14:textId="77777777" w:rsidR="005F0572" w:rsidRPr="007A66B0" w:rsidRDefault="005F0572">
            <w:pPr>
              <w:spacing w:line="360" w:lineRule="auto"/>
              <w:jc w:val="center"/>
              <w:rPr>
                <w:rFonts w:ascii="Times New Roman" w:eastAsia="Times New Roman" w:hAnsi="Times New Roman" w:cs="Times New Roman"/>
              </w:rPr>
            </w:pPr>
          </w:p>
        </w:tc>
        <w:tc>
          <w:tcPr>
            <w:tcW w:w="853" w:type="dxa"/>
            <w:tcBorders>
              <w:top w:val="single" w:sz="4" w:space="0" w:color="000000"/>
            </w:tcBorders>
            <w:vAlign w:val="center"/>
          </w:tcPr>
          <w:p w14:paraId="4092C39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-0.024</w:t>
            </w:r>
          </w:p>
        </w:tc>
        <w:tc>
          <w:tcPr>
            <w:tcW w:w="992" w:type="dxa"/>
            <w:tcBorders>
              <w:top w:val="single" w:sz="4" w:space="0" w:color="000000"/>
            </w:tcBorders>
            <w:vAlign w:val="center"/>
          </w:tcPr>
          <w:p w14:paraId="5965D71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0.977</w:t>
            </w:r>
          </w:p>
        </w:tc>
        <w:tc>
          <w:tcPr>
            <w:tcW w:w="1557" w:type="dxa"/>
            <w:tcBorders>
              <w:top w:val="single" w:sz="4" w:space="0" w:color="000000"/>
            </w:tcBorders>
            <w:vAlign w:val="center"/>
          </w:tcPr>
          <w:p w14:paraId="32FA3EEA"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0.962–0.992</w:t>
            </w:r>
          </w:p>
        </w:tc>
        <w:tc>
          <w:tcPr>
            <w:tcW w:w="1134" w:type="dxa"/>
            <w:tcBorders>
              <w:top w:val="single" w:sz="4" w:space="0" w:color="000000"/>
            </w:tcBorders>
            <w:vAlign w:val="center"/>
          </w:tcPr>
          <w:p w14:paraId="454C6682"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8.905</w:t>
            </w:r>
            <w:r w:rsidRPr="007A66B0">
              <w:rPr>
                <w:rFonts w:ascii="Times New Roman" w:eastAsia="Times New Roman" w:hAnsi="Times New Roman" w:cs="Times New Roman"/>
                <w:vertAlign w:val="superscript"/>
              </w:rPr>
              <w:t>**</w:t>
            </w:r>
          </w:p>
        </w:tc>
      </w:tr>
      <w:tr w:rsidR="005F0572" w:rsidRPr="007A66B0" w14:paraId="62BA2B23" w14:textId="77777777">
        <w:trPr>
          <w:trHeight w:val="624"/>
          <w:jc w:val="center"/>
        </w:trPr>
        <w:tc>
          <w:tcPr>
            <w:tcW w:w="1702" w:type="dxa"/>
            <w:vAlign w:val="center"/>
          </w:tcPr>
          <w:p w14:paraId="2B1B4758"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Gender</w:t>
            </w:r>
          </w:p>
        </w:tc>
        <w:tc>
          <w:tcPr>
            <w:tcW w:w="846" w:type="dxa"/>
            <w:shd w:val="clear" w:color="auto" w:fill="auto"/>
            <w:vAlign w:val="center"/>
          </w:tcPr>
          <w:p w14:paraId="508CBBD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0.099</w:t>
            </w:r>
          </w:p>
        </w:tc>
        <w:tc>
          <w:tcPr>
            <w:tcW w:w="850" w:type="dxa"/>
            <w:shd w:val="clear" w:color="auto" w:fill="auto"/>
            <w:vAlign w:val="center"/>
          </w:tcPr>
          <w:p w14:paraId="420FA5F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1.104</w:t>
            </w:r>
          </w:p>
        </w:tc>
        <w:tc>
          <w:tcPr>
            <w:tcW w:w="1418" w:type="dxa"/>
            <w:shd w:val="clear" w:color="auto" w:fill="auto"/>
            <w:vAlign w:val="center"/>
          </w:tcPr>
          <w:p w14:paraId="6D5DB8C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0.741–1.646</w:t>
            </w:r>
          </w:p>
        </w:tc>
        <w:tc>
          <w:tcPr>
            <w:tcW w:w="1146" w:type="dxa"/>
            <w:vAlign w:val="center"/>
          </w:tcPr>
          <w:p w14:paraId="3F87C81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0.238</w:t>
            </w:r>
          </w:p>
        </w:tc>
        <w:tc>
          <w:tcPr>
            <w:tcW w:w="287" w:type="dxa"/>
            <w:vAlign w:val="center"/>
          </w:tcPr>
          <w:p w14:paraId="57152EE4"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62B4D4AA"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0.114</w:t>
            </w:r>
          </w:p>
        </w:tc>
        <w:tc>
          <w:tcPr>
            <w:tcW w:w="846" w:type="dxa"/>
            <w:vAlign w:val="center"/>
          </w:tcPr>
          <w:p w14:paraId="4E4F76E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1.121</w:t>
            </w:r>
          </w:p>
        </w:tc>
        <w:tc>
          <w:tcPr>
            <w:tcW w:w="1554" w:type="dxa"/>
            <w:vAlign w:val="center"/>
          </w:tcPr>
          <w:p w14:paraId="5991E432"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rPr>
              <w:t>0.719–1.748</w:t>
            </w:r>
          </w:p>
        </w:tc>
        <w:tc>
          <w:tcPr>
            <w:tcW w:w="1134" w:type="dxa"/>
            <w:vAlign w:val="center"/>
          </w:tcPr>
          <w:p w14:paraId="4CEC2F4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0.255</w:t>
            </w:r>
          </w:p>
        </w:tc>
        <w:tc>
          <w:tcPr>
            <w:tcW w:w="281" w:type="dxa"/>
            <w:vAlign w:val="center"/>
          </w:tcPr>
          <w:p w14:paraId="1BDF6E59"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659909D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0.175</w:t>
            </w:r>
          </w:p>
        </w:tc>
        <w:tc>
          <w:tcPr>
            <w:tcW w:w="992" w:type="dxa"/>
            <w:vAlign w:val="center"/>
          </w:tcPr>
          <w:p w14:paraId="3B1BA88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1.192</w:t>
            </w:r>
          </w:p>
        </w:tc>
        <w:tc>
          <w:tcPr>
            <w:tcW w:w="1557" w:type="dxa"/>
            <w:vAlign w:val="center"/>
          </w:tcPr>
          <w:p w14:paraId="2F1DA6C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0.753–1.887</w:t>
            </w:r>
          </w:p>
        </w:tc>
        <w:tc>
          <w:tcPr>
            <w:tcW w:w="1134" w:type="dxa"/>
            <w:vAlign w:val="center"/>
          </w:tcPr>
          <w:p w14:paraId="1F92EDD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0.560</w:t>
            </w:r>
          </w:p>
        </w:tc>
      </w:tr>
      <w:tr w:rsidR="005F0572" w:rsidRPr="007A66B0" w14:paraId="5DE1683B" w14:textId="77777777">
        <w:trPr>
          <w:trHeight w:val="624"/>
          <w:jc w:val="center"/>
        </w:trPr>
        <w:tc>
          <w:tcPr>
            <w:tcW w:w="1702" w:type="dxa"/>
            <w:vAlign w:val="center"/>
          </w:tcPr>
          <w:p w14:paraId="1B15D11B"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Education</w:t>
            </w:r>
          </w:p>
        </w:tc>
        <w:tc>
          <w:tcPr>
            <w:tcW w:w="846" w:type="dxa"/>
            <w:shd w:val="clear" w:color="auto" w:fill="auto"/>
            <w:vAlign w:val="center"/>
          </w:tcPr>
          <w:p w14:paraId="2F03C82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-0.594</w:t>
            </w:r>
          </w:p>
        </w:tc>
        <w:tc>
          <w:tcPr>
            <w:tcW w:w="850" w:type="dxa"/>
            <w:shd w:val="clear" w:color="auto" w:fill="auto"/>
            <w:vAlign w:val="center"/>
          </w:tcPr>
          <w:p w14:paraId="3F228E1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0.552</w:t>
            </w:r>
          </w:p>
        </w:tc>
        <w:tc>
          <w:tcPr>
            <w:tcW w:w="1418" w:type="dxa"/>
            <w:shd w:val="clear" w:color="auto" w:fill="auto"/>
            <w:vAlign w:val="center"/>
          </w:tcPr>
          <w:p w14:paraId="2BB1968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0.383–0.796</w:t>
            </w:r>
          </w:p>
        </w:tc>
        <w:tc>
          <w:tcPr>
            <w:tcW w:w="1146" w:type="dxa"/>
            <w:vAlign w:val="center"/>
          </w:tcPr>
          <w:p w14:paraId="56E82C7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10.096</w:t>
            </w:r>
            <w:r w:rsidRPr="007A66B0">
              <w:rPr>
                <w:rFonts w:ascii="Times New Roman" w:eastAsia="Times New Roman" w:hAnsi="Times New Roman" w:cs="Times New Roman"/>
                <w:vertAlign w:val="superscript"/>
              </w:rPr>
              <w:t>**</w:t>
            </w:r>
          </w:p>
        </w:tc>
        <w:tc>
          <w:tcPr>
            <w:tcW w:w="287" w:type="dxa"/>
            <w:vAlign w:val="center"/>
          </w:tcPr>
          <w:p w14:paraId="23FE4A90"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6D7F49C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-0.533</w:t>
            </w:r>
          </w:p>
        </w:tc>
        <w:tc>
          <w:tcPr>
            <w:tcW w:w="846" w:type="dxa"/>
            <w:vAlign w:val="center"/>
          </w:tcPr>
          <w:p w14:paraId="473E64D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0.587</w:t>
            </w:r>
          </w:p>
        </w:tc>
        <w:tc>
          <w:tcPr>
            <w:tcW w:w="1554" w:type="dxa"/>
            <w:vAlign w:val="center"/>
          </w:tcPr>
          <w:p w14:paraId="3FAF1DD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0.390–0.883</w:t>
            </w:r>
          </w:p>
        </w:tc>
        <w:tc>
          <w:tcPr>
            <w:tcW w:w="1134" w:type="dxa"/>
            <w:vAlign w:val="center"/>
          </w:tcPr>
          <w:p w14:paraId="3C1982F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6.546</w:t>
            </w:r>
            <w:r w:rsidRPr="007A66B0">
              <w:rPr>
                <w:rFonts w:ascii="Times New Roman" w:eastAsia="Times New Roman" w:hAnsi="Times New Roman" w:cs="Times New Roman"/>
                <w:vertAlign w:val="superscript"/>
              </w:rPr>
              <w:t>*</w:t>
            </w:r>
          </w:p>
        </w:tc>
        <w:tc>
          <w:tcPr>
            <w:tcW w:w="281" w:type="dxa"/>
            <w:vAlign w:val="center"/>
          </w:tcPr>
          <w:p w14:paraId="39C35710"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15EFE64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-0.497</w:t>
            </w:r>
          </w:p>
        </w:tc>
        <w:tc>
          <w:tcPr>
            <w:tcW w:w="992" w:type="dxa"/>
            <w:vAlign w:val="center"/>
          </w:tcPr>
          <w:p w14:paraId="2F61964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0.608</w:t>
            </w:r>
          </w:p>
        </w:tc>
        <w:tc>
          <w:tcPr>
            <w:tcW w:w="1557" w:type="dxa"/>
            <w:vAlign w:val="center"/>
          </w:tcPr>
          <w:p w14:paraId="4DCFA20C"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0.401–0.921</w:t>
            </w:r>
          </w:p>
        </w:tc>
        <w:tc>
          <w:tcPr>
            <w:tcW w:w="1134" w:type="dxa"/>
            <w:vAlign w:val="center"/>
          </w:tcPr>
          <w:p w14:paraId="3188884B"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5.506</w:t>
            </w:r>
            <w:r w:rsidRPr="007A66B0">
              <w:rPr>
                <w:rFonts w:ascii="Times New Roman" w:eastAsia="Times New Roman" w:hAnsi="Times New Roman" w:cs="Times New Roman"/>
                <w:vertAlign w:val="superscript"/>
              </w:rPr>
              <w:t>*</w:t>
            </w:r>
          </w:p>
        </w:tc>
      </w:tr>
      <w:tr w:rsidR="005F0572" w:rsidRPr="007A66B0" w14:paraId="06082745" w14:textId="77777777">
        <w:trPr>
          <w:trHeight w:val="624"/>
          <w:jc w:val="center"/>
        </w:trPr>
        <w:tc>
          <w:tcPr>
            <w:tcW w:w="1702" w:type="dxa"/>
            <w:vAlign w:val="center"/>
          </w:tcPr>
          <w:p w14:paraId="2B68881C"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ECR-12 Anxiety</w:t>
            </w:r>
          </w:p>
        </w:tc>
        <w:tc>
          <w:tcPr>
            <w:tcW w:w="846" w:type="dxa"/>
            <w:vAlign w:val="center"/>
          </w:tcPr>
          <w:p w14:paraId="643A6A7E" w14:textId="77777777" w:rsidR="005F0572" w:rsidRPr="007A66B0" w:rsidRDefault="005F0572">
            <w:pPr>
              <w:spacing w:line="360" w:lineRule="auto"/>
              <w:jc w:val="center"/>
              <w:rPr>
                <w:rFonts w:ascii="Times New Roman" w:eastAsia="Times New Roman" w:hAnsi="Times New Roman" w:cs="Times New Roman"/>
              </w:rPr>
            </w:pPr>
          </w:p>
        </w:tc>
        <w:tc>
          <w:tcPr>
            <w:tcW w:w="850" w:type="dxa"/>
            <w:vAlign w:val="center"/>
          </w:tcPr>
          <w:p w14:paraId="30145930" w14:textId="77777777" w:rsidR="005F0572" w:rsidRPr="007A66B0" w:rsidRDefault="005F0572">
            <w:pPr>
              <w:spacing w:line="360" w:lineRule="auto"/>
              <w:jc w:val="center"/>
              <w:rPr>
                <w:rFonts w:ascii="Times New Roman" w:eastAsia="Times New Roman" w:hAnsi="Times New Roman" w:cs="Times New Roman"/>
              </w:rPr>
            </w:pPr>
          </w:p>
        </w:tc>
        <w:tc>
          <w:tcPr>
            <w:tcW w:w="1418" w:type="dxa"/>
            <w:vAlign w:val="center"/>
          </w:tcPr>
          <w:p w14:paraId="17AE521E" w14:textId="77777777" w:rsidR="005F0572" w:rsidRPr="007A66B0" w:rsidRDefault="005F0572">
            <w:pPr>
              <w:spacing w:line="360" w:lineRule="auto"/>
              <w:jc w:val="center"/>
              <w:rPr>
                <w:rFonts w:ascii="Times New Roman" w:eastAsia="Times New Roman" w:hAnsi="Times New Roman" w:cs="Times New Roman"/>
              </w:rPr>
            </w:pPr>
          </w:p>
        </w:tc>
        <w:tc>
          <w:tcPr>
            <w:tcW w:w="1146" w:type="dxa"/>
            <w:vAlign w:val="center"/>
          </w:tcPr>
          <w:p w14:paraId="15910DE9" w14:textId="77777777" w:rsidR="005F0572" w:rsidRPr="007A66B0" w:rsidRDefault="005F0572">
            <w:pPr>
              <w:spacing w:line="360" w:lineRule="auto"/>
              <w:jc w:val="center"/>
              <w:rPr>
                <w:rFonts w:ascii="Times New Roman" w:eastAsia="Times New Roman" w:hAnsi="Times New Roman" w:cs="Times New Roman"/>
              </w:rPr>
            </w:pPr>
          </w:p>
        </w:tc>
        <w:tc>
          <w:tcPr>
            <w:tcW w:w="287" w:type="dxa"/>
            <w:vAlign w:val="center"/>
          </w:tcPr>
          <w:p w14:paraId="78CF6248"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46FA5EAA"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0.397</w:t>
            </w:r>
          </w:p>
        </w:tc>
        <w:tc>
          <w:tcPr>
            <w:tcW w:w="846" w:type="dxa"/>
            <w:vAlign w:val="center"/>
          </w:tcPr>
          <w:p w14:paraId="0E0E790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1.487</w:t>
            </w:r>
          </w:p>
        </w:tc>
        <w:tc>
          <w:tcPr>
            <w:tcW w:w="1554" w:type="dxa"/>
            <w:vAlign w:val="center"/>
          </w:tcPr>
          <w:p w14:paraId="5C44B54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1.277–1.730</w:t>
            </w:r>
          </w:p>
        </w:tc>
        <w:tc>
          <w:tcPr>
            <w:tcW w:w="1134" w:type="dxa"/>
            <w:vAlign w:val="center"/>
          </w:tcPr>
          <w:p w14:paraId="52EBABE0"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26.239</w:t>
            </w:r>
            <w:r w:rsidRPr="007A66B0">
              <w:rPr>
                <w:rFonts w:ascii="Times New Roman" w:eastAsia="Times New Roman" w:hAnsi="Times New Roman" w:cs="Times New Roman"/>
                <w:vertAlign w:val="superscript"/>
              </w:rPr>
              <w:t>**</w:t>
            </w:r>
          </w:p>
        </w:tc>
        <w:tc>
          <w:tcPr>
            <w:tcW w:w="281" w:type="dxa"/>
            <w:vAlign w:val="center"/>
          </w:tcPr>
          <w:p w14:paraId="362DA1F8"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0FAB68A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0.348</w:t>
            </w:r>
          </w:p>
        </w:tc>
        <w:tc>
          <w:tcPr>
            <w:tcW w:w="992" w:type="dxa"/>
            <w:vAlign w:val="center"/>
          </w:tcPr>
          <w:p w14:paraId="3DDACC6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1.416</w:t>
            </w:r>
          </w:p>
        </w:tc>
        <w:tc>
          <w:tcPr>
            <w:tcW w:w="1557" w:type="dxa"/>
            <w:vAlign w:val="center"/>
          </w:tcPr>
          <w:p w14:paraId="0DE036F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1.207–1.662</w:t>
            </w:r>
          </w:p>
        </w:tc>
        <w:tc>
          <w:tcPr>
            <w:tcW w:w="1134" w:type="dxa"/>
            <w:vAlign w:val="center"/>
          </w:tcPr>
          <w:p w14:paraId="6DA8F692"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18.196</w:t>
            </w:r>
            <w:r w:rsidRPr="007A66B0">
              <w:rPr>
                <w:rFonts w:ascii="Times New Roman" w:eastAsia="Times New Roman" w:hAnsi="Times New Roman" w:cs="Times New Roman"/>
                <w:vertAlign w:val="superscript"/>
              </w:rPr>
              <w:t>**</w:t>
            </w:r>
          </w:p>
        </w:tc>
      </w:tr>
      <w:tr w:rsidR="005F0572" w:rsidRPr="007A66B0" w14:paraId="7B4A8A74" w14:textId="77777777">
        <w:trPr>
          <w:trHeight w:val="624"/>
          <w:jc w:val="center"/>
        </w:trPr>
        <w:tc>
          <w:tcPr>
            <w:tcW w:w="1702" w:type="dxa"/>
            <w:vAlign w:val="center"/>
          </w:tcPr>
          <w:p w14:paraId="01D728A9"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ECR-12 Avoidance</w:t>
            </w:r>
          </w:p>
        </w:tc>
        <w:tc>
          <w:tcPr>
            <w:tcW w:w="846" w:type="dxa"/>
            <w:vAlign w:val="center"/>
          </w:tcPr>
          <w:p w14:paraId="363F7D6A" w14:textId="77777777" w:rsidR="005F0572" w:rsidRPr="007A66B0" w:rsidRDefault="005F0572">
            <w:pPr>
              <w:spacing w:line="360" w:lineRule="auto"/>
              <w:jc w:val="center"/>
              <w:rPr>
                <w:rFonts w:ascii="Times New Roman" w:eastAsia="Times New Roman" w:hAnsi="Times New Roman" w:cs="Times New Roman"/>
              </w:rPr>
            </w:pPr>
          </w:p>
        </w:tc>
        <w:tc>
          <w:tcPr>
            <w:tcW w:w="850" w:type="dxa"/>
            <w:vAlign w:val="center"/>
          </w:tcPr>
          <w:p w14:paraId="3CBB10D2" w14:textId="77777777" w:rsidR="005F0572" w:rsidRPr="007A66B0" w:rsidRDefault="005F0572">
            <w:pPr>
              <w:spacing w:line="360" w:lineRule="auto"/>
              <w:jc w:val="center"/>
              <w:rPr>
                <w:rFonts w:ascii="Times New Roman" w:eastAsia="Times New Roman" w:hAnsi="Times New Roman" w:cs="Times New Roman"/>
              </w:rPr>
            </w:pPr>
          </w:p>
        </w:tc>
        <w:tc>
          <w:tcPr>
            <w:tcW w:w="1418" w:type="dxa"/>
            <w:vAlign w:val="center"/>
          </w:tcPr>
          <w:p w14:paraId="6F811371" w14:textId="77777777" w:rsidR="005F0572" w:rsidRPr="007A66B0" w:rsidRDefault="005F0572">
            <w:pPr>
              <w:spacing w:line="360" w:lineRule="auto"/>
              <w:jc w:val="center"/>
              <w:rPr>
                <w:rFonts w:ascii="Times New Roman" w:eastAsia="Times New Roman" w:hAnsi="Times New Roman" w:cs="Times New Roman"/>
              </w:rPr>
            </w:pPr>
          </w:p>
        </w:tc>
        <w:tc>
          <w:tcPr>
            <w:tcW w:w="1146" w:type="dxa"/>
            <w:vAlign w:val="center"/>
          </w:tcPr>
          <w:p w14:paraId="45D3B702" w14:textId="77777777" w:rsidR="005F0572" w:rsidRPr="007A66B0" w:rsidRDefault="005F0572">
            <w:pPr>
              <w:spacing w:line="360" w:lineRule="auto"/>
              <w:jc w:val="center"/>
              <w:rPr>
                <w:rFonts w:ascii="Times New Roman" w:eastAsia="Times New Roman" w:hAnsi="Times New Roman" w:cs="Times New Roman"/>
              </w:rPr>
            </w:pPr>
          </w:p>
        </w:tc>
        <w:tc>
          <w:tcPr>
            <w:tcW w:w="287" w:type="dxa"/>
            <w:vAlign w:val="center"/>
          </w:tcPr>
          <w:p w14:paraId="6620A35D"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0D28063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0.673</w:t>
            </w:r>
          </w:p>
        </w:tc>
        <w:tc>
          <w:tcPr>
            <w:tcW w:w="846" w:type="dxa"/>
            <w:vAlign w:val="center"/>
          </w:tcPr>
          <w:p w14:paraId="53846219"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1.961</w:t>
            </w:r>
          </w:p>
        </w:tc>
        <w:tc>
          <w:tcPr>
            <w:tcW w:w="1554" w:type="dxa"/>
            <w:vAlign w:val="center"/>
          </w:tcPr>
          <w:p w14:paraId="18B4304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1.642–2.341</w:t>
            </w:r>
          </w:p>
        </w:tc>
        <w:tc>
          <w:tcPr>
            <w:tcW w:w="1134" w:type="dxa"/>
            <w:vAlign w:val="center"/>
          </w:tcPr>
          <w:p w14:paraId="53ADBDEF"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55.467</w:t>
            </w:r>
            <w:r w:rsidRPr="007A66B0">
              <w:rPr>
                <w:rFonts w:ascii="Times New Roman" w:eastAsia="Times New Roman" w:hAnsi="Times New Roman" w:cs="Times New Roman"/>
                <w:vertAlign w:val="superscript"/>
              </w:rPr>
              <w:t>**</w:t>
            </w:r>
          </w:p>
        </w:tc>
        <w:tc>
          <w:tcPr>
            <w:tcW w:w="281" w:type="dxa"/>
            <w:vAlign w:val="center"/>
          </w:tcPr>
          <w:p w14:paraId="4B5C49FF"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2E8FA31D"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0.663</w:t>
            </w:r>
          </w:p>
        </w:tc>
        <w:tc>
          <w:tcPr>
            <w:tcW w:w="992" w:type="dxa"/>
            <w:vAlign w:val="center"/>
          </w:tcPr>
          <w:p w14:paraId="5771637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1.941</w:t>
            </w:r>
          </w:p>
        </w:tc>
        <w:tc>
          <w:tcPr>
            <w:tcW w:w="1557" w:type="dxa"/>
            <w:vAlign w:val="center"/>
          </w:tcPr>
          <w:p w14:paraId="340143C4"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1.620–2.325</w:t>
            </w:r>
          </w:p>
        </w:tc>
        <w:tc>
          <w:tcPr>
            <w:tcW w:w="1134" w:type="dxa"/>
            <w:vAlign w:val="center"/>
          </w:tcPr>
          <w:p w14:paraId="2F917BE3"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51.688</w:t>
            </w:r>
            <w:r w:rsidRPr="007A66B0">
              <w:rPr>
                <w:rFonts w:ascii="Times New Roman" w:eastAsia="Times New Roman" w:hAnsi="Times New Roman" w:cs="Times New Roman"/>
                <w:vertAlign w:val="superscript"/>
              </w:rPr>
              <w:t>**</w:t>
            </w:r>
          </w:p>
        </w:tc>
      </w:tr>
      <w:tr w:rsidR="005F0572" w:rsidRPr="007A66B0" w14:paraId="0C108542" w14:textId="77777777">
        <w:trPr>
          <w:trHeight w:val="624"/>
          <w:jc w:val="center"/>
        </w:trPr>
        <w:tc>
          <w:tcPr>
            <w:tcW w:w="1702" w:type="dxa"/>
            <w:vAlign w:val="center"/>
          </w:tcPr>
          <w:p w14:paraId="75AE7FEB"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TAS-20 Total</w:t>
            </w:r>
          </w:p>
        </w:tc>
        <w:tc>
          <w:tcPr>
            <w:tcW w:w="846" w:type="dxa"/>
            <w:vAlign w:val="center"/>
          </w:tcPr>
          <w:p w14:paraId="426E5D45" w14:textId="77777777" w:rsidR="005F0572" w:rsidRPr="007A66B0" w:rsidRDefault="005F0572">
            <w:pPr>
              <w:spacing w:line="360" w:lineRule="auto"/>
              <w:jc w:val="center"/>
              <w:rPr>
                <w:rFonts w:ascii="Times New Roman" w:eastAsia="Times New Roman" w:hAnsi="Times New Roman" w:cs="Times New Roman"/>
              </w:rPr>
            </w:pPr>
          </w:p>
        </w:tc>
        <w:tc>
          <w:tcPr>
            <w:tcW w:w="850" w:type="dxa"/>
            <w:vAlign w:val="center"/>
          </w:tcPr>
          <w:p w14:paraId="1EFD067F" w14:textId="77777777" w:rsidR="005F0572" w:rsidRPr="007A66B0" w:rsidRDefault="005F0572">
            <w:pPr>
              <w:spacing w:line="360" w:lineRule="auto"/>
              <w:jc w:val="center"/>
              <w:rPr>
                <w:rFonts w:ascii="Times New Roman" w:eastAsia="Times New Roman" w:hAnsi="Times New Roman" w:cs="Times New Roman"/>
              </w:rPr>
            </w:pPr>
          </w:p>
        </w:tc>
        <w:tc>
          <w:tcPr>
            <w:tcW w:w="1418" w:type="dxa"/>
            <w:vAlign w:val="center"/>
          </w:tcPr>
          <w:p w14:paraId="6BEEF539" w14:textId="77777777" w:rsidR="005F0572" w:rsidRPr="007A66B0" w:rsidRDefault="005F0572">
            <w:pPr>
              <w:spacing w:line="360" w:lineRule="auto"/>
              <w:jc w:val="center"/>
              <w:rPr>
                <w:rFonts w:ascii="Times New Roman" w:eastAsia="Times New Roman" w:hAnsi="Times New Roman" w:cs="Times New Roman"/>
              </w:rPr>
            </w:pPr>
          </w:p>
        </w:tc>
        <w:tc>
          <w:tcPr>
            <w:tcW w:w="1146" w:type="dxa"/>
            <w:vAlign w:val="center"/>
          </w:tcPr>
          <w:p w14:paraId="494289A9" w14:textId="77777777" w:rsidR="005F0572" w:rsidRPr="007A66B0" w:rsidRDefault="005F0572">
            <w:pPr>
              <w:spacing w:line="360" w:lineRule="auto"/>
              <w:jc w:val="center"/>
              <w:rPr>
                <w:rFonts w:ascii="Times New Roman" w:eastAsia="Times New Roman" w:hAnsi="Times New Roman" w:cs="Times New Roman"/>
              </w:rPr>
            </w:pPr>
          </w:p>
        </w:tc>
        <w:tc>
          <w:tcPr>
            <w:tcW w:w="287" w:type="dxa"/>
            <w:vAlign w:val="center"/>
          </w:tcPr>
          <w:p w14:paraId="18A7FF46"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7FF8E2F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-0.021</w:t>
            </w:r>
          </w:p>
        </w:tc>
        <w:tc>
          <w:tcPr>
            <w:tcW w:w="846" w:type="dxa"/>
            <w:vAlign w:val="center"/>
          </w:tcPr>
          <w:p w14:paraId="0A2802F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0.980</w:t>
            </w:r>
          </w:p>
        </w:tc>
        <w:tc>
          <w:tcPr>
            <w:tcW w:w="1554" w:type="dxa"/>
            <w:vAlign w:val="center"/>
          </w:tcPr>
          <w:p w14:paraId="3C065A21" w14:textId="77777777" w:rsidR="005F0572" w:rsidRPr="007A66B0" w:rsidRDefault="00256217">
            <w:pPr>
              <w:spacing w:line="360" w:lineRule="auto"/>
              <w:jc w:val="center"/>
              <w:rPr>
                <w:rFonts w:ascii="Times New Roman" w:eastAsia="Times New Roman" w:hAnsi="Times New Roman" w:cs="Times New Roman"/>
                <w:b/>
              </w:rPr>
            </w:pPr>
            <w:r w:rsidRPr="007A66B0">
              <w:rPr>
                <w:rFonts w:ascii="Times New Roman" w:eastAsia="Times New Roman" w:hAnsi="Times New Roman" w:cs="Times New Roman"/>
              </w:rPr>
              <w:t>0.963–0.997</w:t>
            </w:r>
          </w:p>
        </w:tc>
        <w:tc>
          <w:tcPr>
            <w:tcW w:w="1134" w:type="dxa"/>
            <w:vAlign w:val="center"/>
          </w:tcPr>
          <w:p w14:paraId="5ABC77C2"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5.527</w:t>
            </w:r>
            <w:r w:rsidRPr="007A66B0">
              <w:rPr>
                <w:rFonts w:ascii="Times New Roman" w:eastAsia="Times New Roman" w:hAnsi="Times New Roman" w:cs="Times New Roman"/>
                <w:vertAlign w:val="superscript"/>
              </w:rPr>
              <w:t>*</w:t>
            </w:r>
          </w:p>
        </w:tc>
        <w:tc>
          <w:tcPr>
            <w:tcW w:w="281" w:type="dxa"/>
            <w:vAlign w:val="center"/>
          </w:tcPr>
          <w:p w14:paraId="0B4B2A2B"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5D9D5B2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-0.029</w:t>
            </w:r>
          </w:p>
        </w:tc>
        <w:tc>
          <w:tcPr>
            <w:tcW w:w="992" w:type="dxa"/>
            <w:vAlign w:val="center"/>
          </w:tcPr>
          <w:p w14:paraId="78BFF05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0.971</w:t>
            </w:r>
          </w:p>
        </w:tc>
        <w:tc>
          <w:tcPr>
            <w:tcW w:w="1557" w:type="dxa"/>
            <w:vAlign w:val="center"/>
          </w:tcPr>
          <w:p w14:paraId="76732FE2"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0.953–0.989</w:t>
            </w:r>
          </w:p>
        </w:tc>
        <w:tc>
          <w:tcPr>
            <w:tcW w:w="1134" w:type="dxa"/>
            <w:vAlign w:val="center"/>
          </w:tcPr>
          <w:p w14:paraId="3C00F70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9.490</w:t>
            </w:r>
            <w:r w:rsidRPr="007A66B0">
              <w:rPr>
                <w:rFonts w:ascii="Times New Roman" w:eastAsia="Times New Roman" w:hAnsi="Times New Roman" w:cs="Times New Roman"/>
                <w:vertAlign w:val="superscript"/>
              </w:rPr>
              <w:t>**</w:t>
            </w:r>
          </w:p>
        </w:tc>
      </w:tr>
      <w:tr w:rsidR="005F0572" w:rsidRPr="007A66B0" w14:paraId="15774E7C" w14:textId="77777777">
        <w:trPr>
          <w:trHeight w:val="624"/>
          <w:jc w:val="center"/>
        </w:trPr>
        <w:tc>
          <w:tcPr>
            <w:tcW w:w="1702" w:type="dxa"/>
            <w:vAlign w:val="center"/>
          </w:tcPr>
          <w:p w14:paraId="70D4E8AD"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 xml:space="preserve">BDI-II </w:t>
            </w:r>
          </w:p>
        </w:tc>
        <w:tc>
          <w:tcPr>
            <w:tcW w:w="846" w:type="dxa"/>
            <w:vAlign w:val="center"/>
          </w:tcPr>
          <w:p w14:paraId="32EF1B6D" w14:textId="77777777" w:rsidR="005F0572" w:rsidRPr="007A66B0" w:rsidRDefault="005F0572">
            <w:pPr>
              <w:spacing w:line="360" w:lineRule="auto"/>
              <w:jc w:val="center"/>
              <w:rPr>
                <w:rFonts w:ascii="Times New Roman" w:eastAsia="Times New Roman" w:hAnsi="Times New Roman" w:cs="Times New Roman"/>
              </w:rPr>
            </w:pPr>
          </w:p>
        </w:tc>
        <w:tc>
          <w:tcPr>
            <w:tcW w:w="850" w:type="dxa"/>
            <w:vAlign w:val="center"/>
          </w:tcPr>
          <w:p w14:paraId="19FBF1B4" w14:textId="77777777" w:rsidR="005F0572" w:rsidRPr="007A66B0" w:rsidRDefault="005F0572">
            <w:pPr>
              <w:spacing w:line="360" w:lineRule="auto"/>
              <w:jc w:val="center"/>
              <w:rPr>
                <w:rFonts w:ascii="Times New Roman" w:eastAsia="Times New Roman" w:hAnsi="Times New Roman" w:cs="Times New Roman"/>
              </w:rPr>
            </w:pPr>
          </w:p>
        </w:tc>
        <w:tc>
          <w:tcPr>
            <w:tcW w:w="1418" w:type="dxa"/>
            <w:vAlign w:val="center"/>
          </w:tcPr>
          <w:p w14:paraId="71743658" w14:textId="77777777" w:rsidR="005F0572" w:rsidRPr="007A66B0" w:rsidRDefault="005F0572">
            <w:pPr>
              <w:spacing w:line="360" w:lineRule="auto"/>
              <w:jc w:val="center"/>
              <w:rPr>
                <w:rFonts w:ascii="Times New Roman" w:eastAsia="Times New Roman" w:hAnsi="Times New Roman" w:cs="Times New Roman"/>
              </w:rPr>
            </w:pPr>
          </w:p>
        </w:tc>
        <w:tc>
          <w:tcPr>
            <w:tcW w:w="1146" w:type="dxa"/>
            <w:vAlign w:val="center"/>
          </w:tcPr>
          <w:p w14:paraId="1255B167" w14:textId="77777777" w:rsidR="005F0572" w:rsidRPr="007A66B0" w:rsidRDefault="005F0572">
            <w:pPr>
              <w:spacing w:line="360" w:lineRule="auto"/>
              <w:jc w:val="center"/>
              <w:rPr>
                <w:rFonts w:ascii="Times New Roman" w:eastAsia="Times New Roman" w:hAnsi="Times New Roman" w:cs="Times New Roman"/>
              </w:rPr>
            </w:pPr>
          </w:p>
        </w:tc>
        <w:tc>
          <w:tcPr>
            <w:tcW w:w="287" w:type="dxa"/>
            <w:vAlign w:val="center"/>
          </w:tcPr>
          <w:p w14:paraId="7C837164"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59A1F347" w14:textId="77777777" w:rsidR="005F0572" w:rsidRPr="007A66B0" w:rsidRDefault="005F0572">
            <w:pPr>
              <w:spacing w:line="360" w:lineRule="auto"/>
              <w:jc w:val="center"/>
              <w:rPr>
                <w:rFonts w:ascii="Times New Roman" w:eastAsia="Times New Roman" w:hAnsi="Times New Roman" w:cs="Times New Roman"/>
              </w:rPr>
            </w:pPr>
          </w:p>
        </w:tc>
        <w:tc>
          <w:tcPr>
            <w:tcW w:w="846" w:type="dxa"/>
            <w:vAlign w:val="center"/>
          </w:tcPr>
          <w:p w14:paraId="34FEBEA4" w14:textId="77777777" w:rsidR="005F0572" w:rsidRPr="007A66B0" w:rsidRDefault="005F0572">
            <w:pPr>
              <w:spacing w:line="360" w:lineRule="auto"/>
              <w:jc w:val="center"/>
              <w:rPr>
                <w:rFonts w:ascii="Times New Roman" w:eastAsia="Times New Roman" w:hAnsi="Times New Roman" w:cs="Times New Roman"/>
              </w:rPr>
            </w:pPr>
          </w:p>
        </w:tc>
        <w:tc>
          <w:tcPr>
            <w:tcW w:w="1554" w:type="dxa"/>
            <w:vAlign w:val="center"/>
          </w:tcPr>
          <w:p w14:paraId="2BE456DF" w14:textId="77777777" w:rsidR="005F0572" w:rsidRPr="007A66B0" w:rsidRDefault="005F0572">
            <w:pPr>
              <w:spacing w:line="360" w:lineRule="auto"/>
              <w:jc w:val="center"/>
              <w:rPr>
                <w:rFonts w:ascii="Times New Roman" w:eastAsia="Times New Roman" w:hAnsi="Times New Roman" w:cs="Times New Roman"/>
                <w:b/>
              </w:rPr>
            </w:pPr>
          </w:p>
        </w:tc>
        <w:tc>
          <w:tcPr>
            <w:tcW w:w="1134" w:type="dxa"/>
            <w:vAlign w:val="center"/>
          </w:tcPr>
          <w:p w14:paraId="71E572D0" w14:textId="77777777" w:rsidR="005F0572" w:rsidRPr="007A66B0" w:rsidRDefault="005F0572">
            <w:pPr>
              <w:spacing w:line="360" w:lineRule="auto"/>
              <w:jc w:val="center"/>
              <w:rPr>
                <w:rFonts w:ascii="Times New Roman" w:eastAsia="Times New Roman" w:hAnsi="Times New Roman" w:cs="Times New Roman"/>
              </w:rPr>
            </w:pPr>
          </w:p>
        </w:tc>
        <w:tc>
          <w:tcPr>
            <w:tcW w:w="281" w:type="dxa"/>
            <w:vAlign w:val="center"/>
          </w:tcPr>
          <w:p w14:paraId="0A72928C" w14:textId="77777777" w:rsidR="005F0572" w:rsidRPr="007A66B0" w:rsidRDefault="005F0572">
            <w:pPr>
              <w:spacing w:line="360" w:lineRule="auto"/>
              <w:jc w:val="center"/>
              <w:rPr>
                <w:rFonts w:ascii="Times New Roman" w:eastAsia="Times New Roman" w:hAnsi="Times New Roman" w:cs="Times New Roman"/>
              </w:rPr>
            </w:pPr>
          </w:p>
        </w:tc>
        <w:tc>
          <w:tcPr>
            <w:tcW w:w="853" w:type="dxa"/>
            <w:vAlign w:val="center"/>
          </w:tcPr>
          <w:p w14:paraId="686CB76F"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0.047</w:t>
            </w:r>
          </w:p>
        </w:tc>
        <w:tc>
          <w:tcPr>
            <w:tcW w:w="992" w:type="dxa"/>
            <w:vAlign w:val="center"/>
          </w:tcPr>
          <w:p w14:paraId="2DC60E78"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1.048</w:t>
            </w:r>
          </w:p>
        </w:tc>
        <w:tc>
          <w:tcPr>
            <w:tcW w:w="1557" w:type="dxa"/>
            <w:vAlign w:val="center"/>
          </w:tcPr>
          <w:p w14:paraId="2225CFB6"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1.016–1.080</w:t>
            </w:r>
          </w:p>
        </w:tc>
        <w:tc>
          <w:tcPr>
            <w:tcW w:w="1134" w:type="dxa"/>
            <w:vAlign w:val="center"/>
          </w:tcPr>
          <w:p w14:paraId="1F9E42D9" w14:textId="77777777" w:rsidR="005F0572" w:rsidRPr="007A66B0" w:rsidRDefault="00256217">
            <w:pPr>
              <w:spacing w:line="360" w:lineRule="auto"/>
              <w:jc w:val="center"/>
              <w:rPr>
                <w:rFonts w:ascii="Times New Roman" w:eastAsia="Times New Roman" w:hAnsi="Times New Roman" w:cs="Times New Roman"/>
                <w:vertAlign w:val="superscript"/>
              </w:rPr>
            </w:pPr>
            <w:r w:rsidRPr="007A66B0">
              <w:rPr>
                <w:rFonts w:ascii="Times New Roman" w:eastAsia="Times New Roman" w:hAnsi="Times New Roman" w:cs="Times New Roman"/>
              </w:rPr>
              <w:t>8.845</w:t>
            </w:r>
            <w:r w:rsidRPr="007A66B0">
              <w:rPr>
                <w:rFonts w:ascii="Times New Roman" w:eastAsia="Times New Roman" w:hAnsi="Times New Roman" w:cs="Times New Roman"/>
                <w:vertAlign w:val="superscript"/>
              </w:rPr>
              <w:t>**</w:t>
            </w:r>
          </w:p>
        </w:tc>
      </w:tr>
      <w:tr w:rsidR="005F0572" w:rsidRPr="007A66B0" w14:paraId="5FDE2347" w14:textId="77777777">
        <w:trPr>
          <w:trHeight w:val="624"/>
          <w:jc w:val="center"/>
        </w:trPr>
        <w:tc>
          <w:tcPr>
            <w:tcW w:w="1702" w:type="dxa"/>
            <w:tcBorders>
              <w:bottom w:val="single" w:sz="4" w:space="0" w:color="000000"/>
            </w:tcBorders>
            <w:vAlign w:val="center"/>
          </w:tcPr>
          <w:p w14:paraId="1D0AA1BF" w14:textId="77777777" w:rsidR="005F0572" w:rsidRPr="007A66B0" w:rsidRDefault="00256217">
            <w:pPr>
              <w:spacing w:line="360" w:lineRule="auto"/>
              <w:rPr>
                <w:rFonts w:ascii="Times New Roman" w:eastAsia="Times New Roman" w:hAnsi="Times New Roman" w:cs="Times New Roman"/>
                <w:b/>
              </w:rPr>
            </w:pPr>
            <w:r w:rsidRPr="007A66B0">
              <w:rPr>
                <w:rFonts w:ascii="Times New Roman" w:eastAsia="Times New Roman" w:hAnsi="Times New Roman" w:cs="Times New Roman"/>
                <w:b/>
              </w:rPr>
              <w:t xml:space="preserve">STAI Y1 </w:t>
            </w:r>
          </w:p>
        </w:tc>
        <w:tc>
          <w:tcPr>
            <w:tcW w:w="846" w:type="dxa"/>
            <w:tcBorders>
              <w:bottom w:val="single" w:sz="4" w:space="0" w:color="000000"/>
            </w:tcBorders>
            <w:vAlign w:val="center"/>
          </w:tcPr>
          <w:p w14:paraId="3BEBE6CB" w14:textId="77777777" w:rsidR="005F0572" w:rsidRPr="007A66B0" w:rsidRDefault="005F0572">
            <w:pPr>
              <w:spacing w:line="360" w:lineRule="auto"/>
              <w:jc w:val="center"/>
              <w:rPr>
                <w:rFonts w:ascii="Times New Roman" w:eastAsia="Times New Roman" w:hAnsi="Times New Roman" w:cs="Times New Roman"/>
              </w:rPr>
            </w:pPr>
          </w:p>
        </w:tc>
        <w:tc>
          <w:tcPr>
            <w:tcW w:w="850" w:type="dxa"/>
            <w:tcBorders>
              <w:bottom w:val="single" w:sz="4" w:space="0" w:color="000000"/>
            </w:tcBorders>
            <w:vAlign w:val="center"/>
          </w:tcPr>
          <w:p w14:paraId="6401BB62" w14:textId="77777777" w:rsidR="005F0572" w:rsidRPr="007A66B0" w:rsidRDefault="005F0572">
            <w:pPr>
              <w:spacing w:line="360" w:lineRule="auto"/>
              <w:jc w:val="center"/>
              <w:rPr>
                <w:rFonts w:ascii="Times New Roman" w:eastAsia="Times New Roman" w:hAnsi="Times New Roman" w:cs="Times New Roman"/>
              </w:rPr>
            </w:pPr>
          </w:p>
        </w:tc>
        <w:tc>
          <w:tcPr>
            <w:tcW w:w="1418" w:type="dxa"/>
            <w:tcBorders>
              <w:bottom w:val="single" w:sz="4" w:space="0" w:color="000000"/>
            </w:tcBorders>
            <w:vAlign w:val="center"/>
          </w:tcPr>
          <w:p w14:paraId="317E7CF0" w14:textId="77777777" w:rsidR="005F0572" w:rsidRPr="007A66B0" w:rsidRDefault="005F0572">
            <w:pPr>
              <w:spacing w:line="360" w:lineRule="auto"/>
              <w:jc w:val="center"/>
              <w:rPr>
                <w:rFonts w:ascii="Times New Roman" w:eastAsia="Times New Roman" w:hAnsi="Times New Roman" w:cs="Times New Roman"/>
              </w:rPr>
            </w:pPr>
          </w:p>
        </w:tc>
        <w:tc>
          <w:tcPr>
            <w:tcW w:w="1146" w:type="dxa"/>
            <w:tcBorders>
              <w:bottom w:val="single" w:sz="4" w:space="0" w:color="000000"/>
            </w:tcBorders>
            <w:vAlign w:val="center"/>
          </w:tcPr>
          <w:p w14:paraId="5C8BD0F6" w14:textId="77777777" w:rsidR="005F0572" w:rsidRPr="007A66B0" w:rsidRDefault="005F0572">
            <w:pPr>
              <w:spacing w:line="360" w:lineRule="auto"/>
              <w:jc w:val="center"/>
              <w:rPr>
                <w:rFonts w:ascii="Times New Roman" w:eastAsia="Times New Roman" w:hAnsi="Times New Roman" w:cs="Times New Roman"/>
              </w:rPr>
            </w:pPr>
          </w:p>
        </w:tc>
        <w:tc>
          <w:tcPr>
            <w:tcW w:w="287" w:type="dxa"/>
            <w:tcBorders>
              <w:bottom w:val="single" w:sz="4" w:space="0" w:color="000000"/>
            </w:tcBorders>
            <w:vAlign w:val="center"/>
          </w:tcPr>
          <w:p w14:paraId="7ADC5C08" w14:textId="77777777" w:rsidR="005F0572" w:rsidRPr="007A66B0" w:rsidRDefault="005F0572">
            <w:pPr>
              <w:spacing w:line="360" w:lineRule="auto"/>
              <w:jc w:val="center"/>
              <w:rPr>
                <w:rFonts w:ascii="Times New Roman" w:eastAsia="Times New Roman" w:hAnsi="Times New Roman" w:cs="Times New Roman"/>
              </w:rPr>
            </w:pPr>
          </w:p>
        </w:tc>
        <w:tc>
          <w:tcPr>
            <w:tcW w:w="846" w:type="dxa"/>
            <w:tcBorders>
              <w:bottom w:val="single" w:sz="4" w:space="0" w:color="000000"/>
            </w:tcBorders>
            <w:vAlign w:val="center"/>
          </w:tcPr>
          <w:p w14:paraId="72C3A9F8" w14:textId="77777777" w:rsidR="005F0572" w:rsidRPr="007A66B0" w:rsidRDefault="005F0572">
            <w:pPr>
              <w:spacing w:line="360" w:lineRule="auto"/>
              <w:jc w:val="center"/>
              <w:rPr>
                <w:rFonts w:ascii="Times New Roman" w:eastAsia="Times New Roman" w:hAnsi="Times New Roman" w:cs="Times New Roman"/>
              </w:rPr>
            </w:pPr>
          </w:p>
        </w:tc>
        <w:tc>
          <w:tcPr>
            <w:tcW w:w="846" w:type="dxa"/>
            <w:tcBorders>
              <w:bottom w:val="single" w:sz="4" w:space="0" w:color="000000"/>
            </w:tcBorders>
            <w:vAlign w:val="center"/>
          </w:tcPr>
          <w:p w14:paraId="575C9417" w14:textId="77777777" w:rsidR="005F0572" w:rsidRPr="007A66B0" w:rsidRDefault="005F0572">
            <w:pPr>
              <w:spacing w:line="360" w:lineRule="auto"/>
              <w:jc w:val="center"/>
              <w:rPr>
                <w:rFonts w:ascii="Times New Roman" w:eastAsia="Times New Roman" w:hAnsi="Times New Roman" w:cs="Times New Roman"/>
              </w:rPr>
            </w:pPr>
          </w:p>
        </w:tc>
        <w:tc>
          <w:tcPr>
            <w:tcW w:w="1554" w:type="dxa"/>
            <w:tcBorders>
              <w:bottom w:val="single" w:sz="4" w:space="0" w:color="000000"/>
            </w:tcBorders>
            <w:vAlign w:val="center"/>
          </w:tcPr>
          <w:p w14:paraId="15AA2015" w14:textId="77777777" w:rsidR="005F0572" w:rsidRPr="007A66B0" w:rsidRDefault="005F0572">
            <w:pPr>
              <w:spacing w:line="360" w:lineRule="auto"/>
              <w:jc w:val="center"/>
              <w:rPr>
                <w:rFonts w:ascii="Times New Roman" w:eastAsia="Times New Roman" w:hAnsi="Times New Roman" w:cs="Times New Roman"/>
                <w:b/>
              </w:rPr>
            </w:pPr>
          </w:p>
        </w:tc>
        <w:tc>
          <w:tcPr>
            <w:tcW w:w="1134" w:type="dxa"/>
            <w:tcBorders>
              <w:bottom w:val="single" w:sz="4" w:space="0" w:color="000000"/>
            </w:tcBorders>
            <w:vAlign w:val="center"/>
          </w:tcPr>
          <w:p w14:paraId="3A9D846B" w14:textId="77777777" w:rsidR="005F0572" w:rsidRPr="007A66B0" w:rsidRDefault="005F0572">
            <w:pPr>
              <w:spacing w:line="360" w:lineRule="auto"/>
              <w:jc w:val="center"/>
              <w:rPr>
                <w:rFonts w:ascii="Times New Roman" w:eastAsia="Times New Roman" w:hAnsi="Times New Roman" w:cs="Times New Roman"/>
              </w:rPr>
            </w:pPr>
          </w:p>
        </w:tc>
        <w:tc>
          <w:tcPr>
            <w:tcW w:w="281" w:type="dxa"/>
            <w:tcBorders>
              <w:bottom w:val="single" w:sz="4" w:space="0" w:color="000000"/>
            </w:tcBorders>
            <w:vAlign w:val="center"/>
          </w:tcPr>
          <w:p w14:paraId="47EDDEF4" w14:textId="77777777" w:rsidR="005F0572" w:rsidRPr="007A66B0" w:rsidRDefault="005F0572">
            <w:pPr>
              <w:spacing w:line="360" w:lineRule="auto"/>
              <w:jc w:val="center"/>
              <w:rPr>
                <w:rFonts w:ascii="Times New Roman" w:eastAsia="Times New Roman" w:hAnsi="Times New Roman" w:cs="Times New Roman"/>
              </w:rPr>
            </w:pPr>
          </w:p>
        </w:tc>
        <w:tc>
          <w:tcPr>
            <w:tcW w:w="853" w:type="dxa"/>
            <w:tcBorders>
              <w:bottom w:val="single" w:sz="4" w:space="0" w:color="000000"/>
            </w:tcBorders>
            <w:vAlign w:val="center"/>
          </w:tcPr>
          <w:p w14:paraId="0B8F0791"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-0.015</w:t>
            </w:r>
          </w:p>
        </w:tc>
        <w:tc>
          <w:tcPr>
            <w:tcW w:w="992" w:type="dxa"/>
            <w:tcBorders>
              <w:bottom w:val="single" w:sz="4" w:space="0" w:color="000000"/>
            </w:tcBorders>
            <w:vAlign w:val="center"/>
          </w:tcPr>
          <w:p w14:paraId="0921FFC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0.985</w:t>
            </w:r>
          </w:p>
        </w:tc>
        <w:tc>
          <w:tcPr>
            <w:tcW w:w="1557" w:type="dxa"/>
            <w:tcBorders>
              <w:bottom w:val="single" w:sz="4" w:space="0" w:color="000000"/>
            </w:tcBorders>
            <w:vAlign w:val="center"/>
          </w:tcPr>
          <w:p w14:paraId="785D1375"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0.962–1.008</w:t>
            </w:r>
          </w:p>
        </w:tc>
        <w:tc>
          <w:tcPr>
            <w:tcW w:w="1134" w:type="dxa"/>
            <w:tcBorders>
              <w:bottom w:val="single" w:sz="4" w:space="0" w:color="000000"/>
            </w:tcBorders>
            <w:vAlign w:val="center"/>
          </w:tcPr>
          <w:p w14:paraId="25C05DE0" w14:textId="77777777" w:rsidR="005F0572" w:rsidRPr="007A66B0" w:rsidRDefault="00256217">
            <w:pPr>
              <w:spacing w:line="360" w:lineRule="auto"/>
              <w:jc w:val="center"/>
              <w:rPr>
                <w:rFonts w:ascii="Times New Roman" w:eastAsia="Times New Roman" w:hAnsi="Times New Roman" w:cs="Times New Roman"/>
              </w:rPr>
            </w:pPr>
            <w:r w:rsidRPr="007A66B0">
              <w:rPr>
                <w:rFonts w:ascii="Times New Roman" w:eastAsia="Times New Roman" w:hAnsi="Times New Roman" w:cs="Times New Roman"/>
              </w:rPr>
              <w:t>1.600</w:t>
            </w:r>
          </w:p>
        </w:tc>
      </w:tr>
    </w:tbl>
    <w:p w14:paraId="67FC50E1" w14:textId="77777777" w:rsidR="005F0572" w:rsidRPr="007A66B0" w:rsidRDefault="005F0572">
      <w:pPr>
        <w:widowControl w:val="0"/>
        <w:spacing w:line="480" w:lineRule="auto"/>
        <w:rPr>
          <w:rFonts w:ascii="Times New Roman" w:eastAsia="Times New Roman" w:hAnsi="Times New Roman" w:cs="Times New Roman"/>
          <w:i/>
          <w:sz w:val="24"/>
          <w:szCs w:val="24"/>
        </w:rPr>
      </w:pPr>
    </w:p>
    <w:p w14:paraId="55B7ABC4" w14:textId="77777777" w:rsidR="005F0572" w:rsidRPr="007A66B0" w:rsidRDefault="00256217">
      <w:pPr>
        <w:widowControl w:val="0"/>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i/>
          <w:sz w:val="24"/>
          <w:szCs w:val="24"/>
        </w:rPr>
        <w:t xml:space="preserve">Note. </w:t>
      </w:r>
      <w:r w:rsidRPr="007A66B0">
        <w:rPr>
          <w:rFonts w:ascii="Times New Roman" w:eastAsia="Times New Roman" w:hAnsi="Times New Roman" w:cs="Times New Roman"/>
          <w:b/>
          <w:sz w:val="24"/>
          <w:szCs w:val="24"/>
          <w:vertAlign w:val="superscript"/>
        </w:rPr>
        <w:t>a</w:t>
      </w:r>
      <w:r w:rsidRPr="007A66B0">
        <w:rPr>
          <w:rFonts w:ascii="Times New Roman" w:eastAsia="Times New Roman" w:hAnsi="Times New Roman" w:cs="Times New Roman"/>
          <w:sz w:val="24"/>
          <w:szCs w:val="24"/>
        </w:rPr>
        <w:t>χ</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(3) = 15.365, </w:t>
      </w:r>
      <w:r w:rsidRPr="007A66B0">
        <w:rPr>
          <w:rFonts w:ascii="Times New Roman" w:eastAsia="Times New Roman" w:hAnsi="Times New Roman" w:cs="Times New Roman"/>
          <w:i/>
          <w:sz w:val="24"/>
          <w:szCs w:val="24"/>
        </w:rPr>
        <w:t>p</w:t>
      </w:r>
      <w:r w:rsidRPr="007A66B0">
        <w:rPr>
          <w:rFonts w:ascii="Times New Roman" w:eastAsia="Times New Roman" w:hAnsi="Times New Roman" w:cs="Times New Roman"/>
          <w:sz w:val="24"/>
          <w:szCs w:val="24"/>
        </w:rPr>
        <w:t xml:space="preserve"> = .002. Nagelkerke </w:t>
      </w:r>
      <w:r w:rsidRPr="007A66B0">
        <w:rPr>
          <w:rFonts w:ascii="Times New Roman" w:eastAsia="Times New Roman" w:hAnsi="Times New Roman" w:cs="Times New Roman"/>
          <w:i/>
          <w:sz w:val="24"/>
          <w:szCs w:val="24"/>
        </w:rPr>
        <w:t>R</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 = .04. </w:t>
      </w:r>
      <w:r w:rsidRPr="007A66B0">
        <w:rPr>
          <w:rFonts w:ascii="Times New Roman" w:eastAsia="Times New Roman" w:hAnsi="Times New Roman" w:cs="Times New Roman"/>
          <w:b/>
          <w:sz w:val="24"/>
          <w:szCs w:val="24"/>
          <w:vertAlign w:val="superscript"/>
        </w:rPr>
        <w:t>b</w:t>
      </w:r>
      <w:r w:rsidRPr="007A66B0">
        <w:rPr>
          <w:rFonts w:ascii="Times New Roman" w:eastAsia="Times New Roman" w:hAnsi="Times New Roman" w:cs="Times New Roman"/>
          <w:sz w:val="24"/>
          <w:szCs w:val="24"/>
        </w:rPr>
        <w:t>χ</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(6) = 113.631, </w:t>
      </w:r>
      <w:r w:rsidRPr="007A66B0">
        <w:rPr>
          <w:rFonts w:ascii="Times New Roman" w:eastAsia="Times New Roman" w:hAnsi="Times New Roman" w:cs="Times New Roman"/>
          <w:i/>
          <w:sz w:val="24"/>
          <w:szCs w:val="24"/>
        </w:rPr>
        <w:t>p</w:t>
      </w:r>
      <w:r w:rsidRPr="007A66B0">
        <w:rPr>
          <w:rFonts w:ascii="Times New Roman" w:eastAsia="Times New Roman" w:hAnsi="Times New Roman" w:cs="Times New Roman"/>
          <w:sz w:val="24"/>
          <w:szCs w:val="24"/>
        </w:rPr>
        <w:t xml:space="preserve"> &lt; .001. Nagelkerke </w:t>
      </w:r>
      <w:r w:rsidRPr="007A66B0">
        <w:rPr>
          <w:rFonts w:ascii="Times New Roman" w:eastAsia="Times New Roman" w:hAnsi="Times New Roman" w:cs="Times New Roman"/>
          <w:i/>
          <w:sz w:val="24"/>
          <w:szCs w:val="24"/>
        </w:rPr>
        <w:t>R</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 = .24. </w:t>
      </w:r>
      <w:r w:rsidRPr="007A66B0">
        <w:rPr>
          <w:rFonts w:ascii="Times New Roman" w:eastAsia="Times New Roman" w:hAnsi="Times New Roman" w:cs="Times New Roman"/>
          <w:b/>
          <w:sz w:val="24"/>
          <w:szCs w:val="24"/>
          <w:vertAlign w:val="superscript"/>
        </w:rPr>
        <w:t>c</w:t>
      </w:r>
      <w:r w:rsidRPr="007A66B0">
        <w:rPr>
          <w:rFonts w:ascii="Times New Roman" w:eastAsia="Times New Roman" w:hAnsi="Times New Roman" w:cs="Times New Roman"/>
          <w:sz w:val="24"/>
          <w:szCs w:val="24"/>
        </w:rPr>
        <w:t>χ</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(8) = 123.931, </w:t>
      </w:r>
      <w:r w:rsidRPr="007A66B0">
        <w:rPr>
          <w:rFonts w:ascii="Times New Roman" w:eastAsia="Times New Roman" w:hAnsi="Times New Roman" w:cs="Times New Roman"/>
          <w:i/>
          <w:sz w:val="24"/>
          <w:szCs w:val="24"/>
        </w:rPr>
        <w:t>p</w:t>
      </w:r>
      <w:r w:rsidRPr="007A66B0">
        <w:rPr>
          <w:rFonts w:ascii="Times New Roman" w:eastAsia="Times New Roman" w:hAnsi="Times New Roman" w:cs="Times New Roman"/>
          <w:sz w:val="24"/>
          <w:szCs w:val="24"/>
        </w:rPr>
        <w:t xml:space="preserve"> &lt; .001. Nagelkerke </w:t>
      </w:r>
      <w:r w:rsidRPr="007A66B0">
        <w:rPr>
          <w:rFonts w:ascii="Times New Roman" w:eastAsia="Times New Roman" w:hAnsi="Times New Roman" w:cs="Times New Roman"/>
          <w:i/>
          <w:sz w:val="24"/>
          <w:szCs w:val="24"/>
        </w:rPr>
        <w:t>R</w:t>
      </w:r>
      <w:r w:rsidRPr="007A66B0">
        <w:rPr>
          <w:rFonts w:ascii="Times New Roman" w:eastAsia="Times New Roman" w:hAnsi="Times New Roman" w:cs="Times New Roman"/>
          <w:sz w:val="24"/>
          <w:szCs w:val="24"/>
          <w:vertAlign w:val="superscript"/>
        </w:rPr>
        <w:t>2</w:t>
      </w: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sz w:val="24"/>
          <w:szCs w:val="24"/>
        </w:rPr>
        <w:lastRenderedPageBreak/>
        <w:t xml:space="preserve">= .26. </w:t>
      </w:r>
    </w:p>
    <w:p w14:paraId="02456ADA" w14:textId="77777777" w:rsidR="005F0572" w:rsidRPr="007A66B0" w:rsidRDefault="00256217">
      <w:pP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OR = odds ratio; CI = confidence interval; ECR-12 = Short version of the Experiences in Close Relationships; TAS-20 = twenty-item Toronto Alexithymia Scale; BDI-II = Beck Depression Inventory; STAI Y1 = State-Trait Anxiety Inventory.</w:t>
      </w:r>
    </w:p>
    <w:p w14:paraId="3C20EF35" w14:textId="77777777" w:rsidR="005F0572" w:rsidRPr="007A66B0" w:rsidRDefault="00256217">
      <w:pPr>
        <w:spacing w:line="480" w:lineRule="auto"/>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t xml:space="preserve">* </w:t>
      </w:r>
      <w:r w:rsidRPr="007A66B0">
        <w:rPr>
          <w:rFonts w:ascii="Times New Roman" w:eastAsia="Times New Roman" w:hAnsi="Times New Roman" w:cs="Times New Roman"/>
          <w:i/>
          <w:sz w:val="24"/>
          <w:szCs w:val="24"/>
        </w:rPr>
        <w:t>p</w:t>
      </w:r>
      <w:r w:rsidRPr="007A66B0">
        <w:rPr>
          <w:rFonts w:ascii="Times New Roman" w:eastAsia="Times New Roman" w:hAnsi="Times New Roman" w:cs="Times New Roman"/>
          <w:sz w:val="24"/>
          <w:szCs w:val="24"/>
        </w:rPr>
        <w:t xml:space="preserve">&lt;.05; ** </w:t>
      </w:r>
      <w:r w:rsidRPr="007A66B0">
        <w:rPr>
          <w:rFonts w:ascii="Times New Roman" w:eastAsia="Times New Roman" w:hAnsi="Times New Roman" w:cs="Times New Roman"/>
          <w:i/>
          <w:sz w:val="24"/>
          <w:szCs w:val="24"/>
        </w:rPr>
        <w:t>p</w:t>
      </w:r>
      <w:r w:rsidRPr="007A66B0">
        <w:rPr>
          <w:rFonts w:ascii="Times New Roman" w:eastAsia="Times New Roman" w:hAnsi="Times New Roman" w:cs="Times New Roman"/>
          <w:sz w:val="24"/>
          <w:szCs w:val="24"/>
        </w:rPr>
        <w:t>&lt;.01</w:t>
      </w:r>
    </w:p>
    <w:p w14:paraId="56859F11" w14:textId="77777777" w:rsidR="005F0572" w:rsidRDefault="005F0572">
      <w:pPr>
        <w:spacing w:line="480" w:lineRule="auto"/>
        <w:rPr>
          <w:rFonts w:ascii="Times New Roman" w:eastAsia="Times New Roman" w:hAnsi="Times New Roman" w:cs="Times New Roman"/>
          <w:i/>
          <w:sz w:val="24"/>
          <w:szCs w:val="24"/>
        </w:rPr>
      </w:pPr>
    </w:p>
    <w:sectPr w:rsidR="005F0572">
      <w:footerReference w:type="default" r:id="rId31"/>
      <w:pgSz w:w="16834" w:h="11909" w:orient="landscape"/>
      <w:pgMar w:top="1134" w:right="1417"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F6C8A0" w14:textId="77777777" w:rsidR="00A21204" w:rsidRPr="007A66B0" w:rsidRDefault="00A21204">
      <w:pPr>
        <w:spacing w:line="240" w:lineRule="auto"/>
      </w:pPr>
      <w:r w:rsidRPr="007A66B0">
        <w:separator/>
      </w:r>
    </w:p>
  </w:endnote>
  <w:endnote w:type="continuationSeparator" w:id="0">
    <w:p w14:paraId="6DC94407" w14:textId="77777777" w:rsidR="00A21204" w:rsidRPr="007A66B0" w:rsidRDefault="00A21204">
      <w:pPr>
        <w:spacing w:line="240" w:lineRule="auto"/>
      </w:pPr>
      <w:r w:rsidRPr="007A66B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embedRegular r:id="rId2" w:fontKey="{FA52FC9D-ABDB-1E45-BBFE-1D086F24343F}"/>
  </w:font>
  <w:font w:name="Arial">
    <w:panose1 w:val="020B0604020202020204"/>
    <w:charset w:val="00"/>
    <w:family w:val="swiss"/>
    <w:pitch w:val="variable"/>
    <w:sig w:usb0="E0002AFF" w:usb1="C0007843" w:usb2="00000009" w:usb3="00000000" w:csb0="000001FF" w:csb1="00000000"/>
    <w:embedRegular r:id="rId3" w:fontKey="{4ED0C7C1-F852-1248-BBC4-E06DE25E1603}"/>
    <w:embedBold r:id="rId4" w:fontKey="{FA828CDD-BA55-964F-BD2E-14DF61611BCF}"/>
    <w:embedItalic r:id="rId5" w:fontKey="{8108A18B-A126-344F-9641-73D65EC3D3CB}"/>
  </w:font>
  <w:font w:name="Times New Roman">
    <w:panose1 w:val="02020603050405020304"/>
    <w:charset w:val="00"/>
    <w:family w:val="roman"/>
    <w:pitch w:val="variable"/>
    <w:sig w:usb0="E0002EFF" w:usb1="C000785B" w:usb2="00000009" w:usb3="00000000" w:csb0="000001FF" w:csb1="00000000"/>
    <w:embedRegular r:id="rId6" w:fontKey="{25943EC0-8194-854D-8269-6FA4CB05E756}"/>
    <w:embedBold r:id="rId7" w:fontKey="{C2DD6FD4-0F70-E04E-9B84-F0D2F8CAC9DD}"/>
    <w:embedItalic r:id="rId8" w:fontKey="{D8C6A3D7-4970-D846-9618-67DBBD273032}"/>
    <w:embedBoldItalic r:id="rId9" w:fontKey="{955F4CB5-F328-0A40-837E-F2E17B8F4553}"/>
  </w:font>
  <w:font w:name="Calibri">
    <w:panose1 w:val="020F0502020204030204"/>
    <w:charset w:val="00"/>
    <w:family w:val="swiss"/>
    <w:pitch w:val="variable"/>
    <w:sig w:usb0="E0002AFF" w:usb1="C000247B" w:usb2="00000009" w:usb3="00000000" w:csb0="000001FF" w:csb1="00000000"/>
    <w:embedRegular r:id="rId10" w:fontKey="{84C4EDC0-8BF0-1E4F-91A9-608AD0FD4346}"/>
  </w:font>
  <w:font w:name="MS Mincho">
    <w:altName w:val="ＭＳ 明朝"/>
    <w:panose1 w:val="02020609040205080304"/>
    <w:charset w:val="80"/>
    <w:family w:val="modern"/>
    <w:pitch w:val="fixed"/>
    <w:sig w:usb0="E00002FF" w:usb1="6AC7FDFB" w:usb2="08000012" w:usb3="00000000" w:csb0="0002009F" w:csb1="00000000"/>
  </w:font>
  <w:font w:name="Gungsuh">
    <w:panose1 w:val="02030600000101010101"/>
    <w:charset w:val="81"/>
    <w:family w:val="roman"/>
    <w:pitch w:val="variable"/>
    <w:sig w:usb0="B00002AF" w:usb1="69D77CFB" w:usb2="00000030" w:usb3="00000000" w:csb0="0008009F" w:csb1="00000000"/>
    <w:embedRegular r:id="rId11" w:subsetted="1" w:fontKey="{DF57EC02-4E7D-9C49-9ADC-0234E77DE101}"/>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embedRegular r:id="rId12" w:fontKey="{A562C0EB-5FA9-3848-BEDE-60EFDBB4EAF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740CF2" w14:textId="77777777" w:rsidR="005F0572" w:rsidRPr="007A66B0" w:rsidRDefault="005F0572">
    <w:pPr>
      <w:pBdr>
        <w:top w:val="nil"/>
        <w:left w:val="nil"/>
        <w:bottom w:val="nil"/>
        <w:right w:val="nil"/>
        <w:between w:val="nil"/>
      </w:pBdr>
      <w:tabs>
        <w:tab w:val="center" w:pos="4819"/>
        <w:tab w:val="right" w:pos="9638"/>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D5E378" w14:textId="77777777" w:rsidR="005F0572" w:rsidRPr="007A66B0" w:rsidRDefault="00256217">
    <w:pPr>
      <w:jc w:val="right"/>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fldChar w:fldCharType="begin"/>
    </w:r>
    <w:r w:rsidRPr="007A66B0">
      <w:rPr>
        <w:rFonts w:ascii="Times New Roman" w:eastAsia="Times New Roman" w:hAnsi="Times New Roman" w:cs="Times New Roman"/>
        <w:sz w:val="24"/>
        <w:szCs w:val="24"/>
      </w:rPr>
      <w:instrText>PAGE</w:instrText>
    </w:r>
    <w:r w:rsidRPr="007A66B0">
      <w:rPr>
        <w:rFonts w:ascii="Times New Roman" w:eastAsia="Times New Roman" w:hAnsi="Times New Roman" w:cs="Times New Roman"/>
        <w:sz w:val="24"/>
        <w:szCs w:val="24"/>
      </w:rPr>
      <w:fldChar w:fldCharType="separate"/>
    </w:r>
    <w:r w:rsidR="007A66B0" w:rsidRPr="008C7DAD">
      <w:rPr>
        <w:rFonts w:ascii="Times New Roman" w:eastAsia="Times New Roman" w:hAnsi="Times New Roman" w:cs="Times New Roman"/>
        <w:sz w:val="24"/>
        <w:szCs w:val="24"/>
      </w:rPr>
      <w:t>1</w:t>
    </w:r>
    <w:r w:rsidRPr="007A66B0">
      <w:rPr>
        <w:rFonts w:ascii="Times New Roman" w:eastAsia="Times New Roman" w:hAnsi="Times New Roman" w:cs="Times New Roman"/>
        <w:sz w:val="24"/>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9B1C0" w14:textId="77777777" w:rsidR="005F0572" w:rsidRPr="007A66B0" w:rsidRDefault="005F0572">
    <w:pPr>
      <w:pBdr>
        <w:top w:val="nil"/>
        <w:left w:val="nil"/>
        <w:bottom w:val="nil"/>
        <w:right w:val="nil"/>
        <w:between w:val="nil"/>
      </w:pBdr>
      <w:tabs>
        <w:tab w:val="center" w:pos="4819"/>
        <w:tab w:val="right" w:pos="9638"/>
      </w:tabs>
      <w:spacing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DB9629" w14:textId="7F5A983E" w:rsidR="005F0572" w:rsidRPr="007A66B0" w:rsidRDefault="00256217">
    <w:pPr>
      <w:jc w:val="right"/>
      <w:rPr>
        <w:rFonts w:ascii="Times New Roman" w:eastAsia="Times New Roman" w:hAnsi="Times New Roman" w:cs="Times New Roman"/>
        <w:sz w:val="24"/>
        <w:szCs w:val="24"/>
      </w:rPr>
    </w:pPr>
    <w:r w:rsidRPr="007A66B0">
      <w:rPr>
        <w:rFonts w:ascii="Times New Roman" w:eastAsia="Times New Roman" w:hAnsi="Times New Roman" w:cs="Times New Roman"/>
        <w:sz w:val="24"/>
        <w:szCs w:val="24"/>
      </w:rPr>
      <w:fldChar w:fldCharType="begin"/>
    </w:r>
    <w:r w:rsidRPr="007A66B0">
      <w:rPr>
        <w:rFonts w:ascii="Times New Roman" w:eastAsia="Times New Roman" w:hAnsi="Times New Roman" w:cs="Times New Roman"/>
        <w:sz w:val="24"/>
        <w:szCs w:val="24"/>
      </w:rPr>
      <w:instrText>PAGE</w:instrText>
    </w:r>
    <w:r w:rsidRPr="007A66B0">
      <w:rPr>
        <w:rFonts w:ascii="Times New Roman" w:eastAsia="Times New Roman" w:hAnsi="Times New Roman" w:cs="Times New Roman"/>
        <w:sz w:val="24"/>
        <w:szCs w:val="24"/>
      </w:rPr>
      <w:fldChar w:fldCharType="separate"/>
    </w:r>
    <w:r w:rsidR="007A66B0" w:rsidRPr="008C7DAD">
      <w:rPr>
        <w:rFonts w:ascii="Times New Roman" w:eastAsia="Times New Roman" w:hAnsi="Times New Roman" w:cs="Times New Roman"/>
        <w:sz w:val="24"/>
        <w:szCs w:val="24"/>
      </w:rPr>
      <w:t>20</w:t>
    </w:r>
    <w:r w:rsidRPr="007A66B0">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58D62D" w14:textId="77777777" w:rsidR="00A21204" w:rsidRPr="007A66B0" w:rsidRDefault="00A21204">
      <w:pPr>
        <w:spacing w:line="240" w:lineRule="auto"/>
      </w:pPr>
      <w:r w:rsidRPr="007A66B0">
        <w:separator/>
      </w:r>
    </w:p>
  </w:footnote>
  <w:footnote w:type="continuationSeparator" w:id="0">
    <w:p w14:paraId="31B6051A" w14:textId="77777777" w:rsidR="00A21204" w:rsidRPr="007A66B0" w:rsidRDefault="00A21204">
      <w:pPr>
        <w:spacing w:line="240" w:lineRule="auto"/>
      </w:pPr>
      <w:r w:rsidRPr="007A66B0">
        <w:continuationSeparator/>
      </w:r>
    </w:p>
  </w:footnote>
  <w:footnote w:id="1">
    <w:p w14:paraId="57A89434" w14:textId="77777777" w:rsidR="005F0572" w:rsidRDefault="00256217">
      <w:pPr>
        <w:spacing w:line="360" w:lineRule="auto"/>
        <w:rPr>
          <w:rFonts w:ascii="Times New Roman" w:eastAsia="Times New Roman" w:hAnsi="Times New Roman" w:cs="Times New Roman"/>
          <w:sz w:val="20"/>
          <w:szCs w:val="20"/>
        </w:rPr>
      </w:pPr>
      <w:r w:rsidRPr="007A66B0">
        <w:rPr>
          <w:vertAlign w:val="superscript"/>
        </w:rPr>
        <w:footnoteRef/>
      </w:r>
      <w:r w:rsidRPr="007A66B0">
        <w:rPr>
          <w:rFonts w:ascii="Times New Roman" w:eastAsia="Times New Roman" w:hAnsi="Times New Roman" w:cs="Times New Roman"/>
          <w:sz w:val="20"/>
          <w:szCs w:val="20"/>
        </w:rPr>
        <w:t xml:space="preserve"> Participants were asked to indicate the last qualification they had obtained from the following: primary school, secondary school, high school diploma, </w:t>
      </w:r>
      <w:r w:rsidRPr="007A66B0">
        <w:rPr>
          <w:rFonts w:ascii="Times New Roman" w:eastAsia="Times New Roman" w:hAnsi="Times New Roman" w:cs="Times New Roman"/>
          <w:sz w:val="20"/>
          <w:szCs w:val="20"/>
          <w:highlight w:val="yellow"/>
        </w:rPr>
        <w:t>Bachelor’s or Master’s Degree</w:t>
      </w:r>
      <w:r w:rsidRPr="007A66B0">
        <w:rPr>
          <w:rFonts w:ascii="Times New Roman" w:eastAsia="Times New Roman" w:hAnsi="Times New Roman" w:cs="Times New Roman"/>
          <w:sz w:val="20"/>
          <w:szCs w:val="20"/>
        </w:rPr>
        <w:t xml:space="preserve"> and postgraduate qualification. To simplify the classification of the educational level, the different categories were grouped into the following two macro-categories: Primary/Secondary/High school diploma and </w:t>
      </w:r>
      <w:r w:rsidRPr="007A66B0">
        <w:rPr>
          <w:rFonts w:ascii="Times New Roman" w:eastAsia="Times New Roman" w:hAnsi="Times New Roman" w:cs="Times New Roman"/>
          <w:sz w:val="20"/>
          <w:szCs w:val="20"/>
          <w:highlight w:val="yellow"/>
        </w:rPr>
        <w:t>Bachelor’s or Master’s Degree</w:t>
      </w:r>
      <w:r w:rsidRPr="007A66B0">
        <w:rPr>
          <w:rFonts w:ascii="Times New Roman" w:eastAsia="Times New Roman" w:hAnsi="Times New Roman" w:cs="Times New Roman"/>
          <w:sz w:val="20"/>
          <w:szCs w:val="20"/>
        </w:rPr>
        <w:t>/Postgraduate qualification.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68595" w14:textId="77777777" w:rsidR="005F0572" w:rsidRPr="007A66B0" w:rsidRDefault="005F0572">
    <w:pPr>
      <w:pBdr>
        <w:top w:val="nil"/>
        <w:left w:val="nil"/>
        <w:bottom w:val="nil"/>
        <w:right w:val="nil"/>
        <w:between w:val="nil"/>
      </w:pBdr>
      <w:tabs>
        <w:tab w:val="center" w:pos="4819"/>
        <w:tab w:val="right" w:pos="9638"/>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109CA5" w14:textId="50EDD2DA" w:rsidR="005F0572" w:rsidRPr="00E42953" w:rsidRDefault="00E42953">
    <w:pPr>
      <w:pBdr>
        <w:top w:val="nil"/>
        <w:left w:val="nil"/>
        <w:bottom w:val="nil"/>
        <w:right w:val="nil"/>
        <w:between w:val="nil"/>
      </w:pBdr>
      <w:tabs>
        <w:tab w:val="center" w:pos="4819"/>
        <w:tab w:val="right" w:pos="9638"/>
      </w:tabs>
      <w:spacing w:line="240" w:lineRule="auto"/>
      <w:rPr>
        <w:color w:val="000000"/>
        <w:lang w:val="it-IT"/>
      </w:rPr>
    </w:pPr>
    <w:r>
      <w:rPr>
        <w:color w:val="000000"/>
        <w:lang w:val="it-IT"/>
      </w:rPr>
      <w:t>Title page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1FA36" w14:textId="77777777" w:rsidR="005F0572" w:rsidRPr="007A66B0" w:rsidRDefault="005F0572">
    <w:pPr>
      <w:pBdr>
        <w:top w:val="nil"/>
        <w:left w:val="nil"/>
        <w:bottom w:val="nil"/>
        <w:right w:val="nil"/>
        <w:between w:val="nil"/>
      </w:pBdr>
      <w:tabs>
        <w:tab w:val="center" w:pos="4819"/>
        <w:tab w:val="right" w:pos="9638"/>
      </w:tabs>
      <w:spacing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D6AA47" w14:textId="43253C16" w:rsidR="00E42953" w:rsidRPr="00E42953" w:rsidRDefault="00E42953">
    <w:pPr>
      <w:pBdr>
        <w:top w:val="nil"/>
        <w:left w:val="nil"/>
        <w:bottom w:val="nil"/>
        <w:right w:val="nil"/>
        <w:between w:val="nil"/>
      </w:pBdr>
      <w:tabs>
        <w:tab w:val="center" w:pos="4819"/>
        <w:tab w:val="right" w:pos="9638"/>
      </w:tabs>
      <w:spacing w:line="240" w:lineRule="auto"/>
      <w:rPr>
        <w:color w:val="000000"/>
        <w:lang w:val="it-IT"/>
      </w:rPr>
    </w:pPr>
    <w:proofErr w:type="spellStart"/>
    <w:r>
      <w:rPr>
        <w:color w:val="000000"/>
        <w:lang w:val="it-IT"/>
      </w:rPr>
      <w:t>Masked</w:t>
    </w:r>
    <w:proofErr w:type="spellEnd"/>
    <w:r>
      <w:rPr>
        <w:color w:val="000000"/>
        <w:lang w:val="it-IT"/>
      </w:rPr>
      <w:t xml:space="preserve"> </w:t>
    </w:r>
    <w:proofErr w:type="spellStart"/>
    <w:r>
      <w:rPr>
        <w:color w:val="000000"/>
        <w:lang w:val="it-IT"/>
      </w:rPr>
      <w:t>version</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95C10A9"/>
    <w:multiLevelType w:val="multilevel"/>
    <w:tmpl w:val="87EE46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9622311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3"/>
  <w:embedTrueTypeFonts/>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7YwNzE2srA0t7C0MDBU0lEKTi0uzszPAykwrAUAc2SajiwAAAA="/>
  </w:docVars>
  <w:rsids>
    <w:rsidRoot w:val="005F0572"/>
    <w:rsid w:val="000D3AA1"/>
    <w:rsid w:val="000E345A"/>
    <w:rsid w:val="00181DFA"/>
    <w:rsid w:val="001B62C6"/>
    <w:rsid w:val="001F32CE"/>
    <w:rsid w:val="0021421E"/>
    <w:rsid w:val="00256217"/>
    <w:rsid w:val="00270C43"/>
    <w:rsid w:val="00296761"/>
    <w:rsid w:val="002C31E3"/>
    <w:rsid w:val="003433F3"/>
    <w:rsid w:val="00385323"/>
    <w:rsid w:val="003A0DB1"/>
    <w:rsid w:val="003D79B6"/>
    <w:rsid w:val="003E56BA"/>
    <w:rsid w:val="004D30D3"/>
    <w:rsid w:val="0050091F"/>
    <w:rsid w:val="005C78E2"/>
    <w:rsid w:val="005E74A6"/>
    <w:rsid w:val="005F0572"/>
    <w:rsid w:val="006A61D6"/>
    <w:rsid w:val="006D379D"/>
    <w:rsid w:val="00776B48"/>
    <w:rsid w:val="007A66B0"/>
    <w:rsid w:val="007F49EE"/>
    <w:rsid w:val="0084196E"/>
    <w:rsid w:val="0084619B"/>
    <w:rsid w:val="008673AF"/>
    <w:rsid w:val="008C7DAD"/>
    <w:rsid w:val="009B3282"/>
    <w:rsid w:val="00A21204"/>
    <w:rsid w:val="00A33625"/>
    <w:rsid w:val="00B11E63"/>
    <w:rsid w:val="00B417DB"/>
    <w:rsid w:val="00BC4ABE"/>
    <w:rsid w:val="00C65592"/>
    <w:rsid w:val="00C730E5"/>
    <w:rsid w:val="00C97451"/>
    <w:rsid w:val="00D9229D"/>
    <w:rsid w:val="00E42953"/>
    <w:rsid w:val="00EA548F"/>
    <w:rsid w:val="00EF350C"/>
    <w:rsid w:val="00F32B47"/>
    <w:rsid w:val="00F80BD9"/>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D547B"/>
  <w15:docId w15:val="{BCCD200E-CAD4-4503-95C9-8A87A6AA2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GB"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F6A01"/>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TableNormal0">
    <w:name w:val="Table Normal_0"/>
    <w:tblPr>
      <w:tblCellMar>
        <w:top w:w="0" w:type="dxa"/>
        <w:left w:w="0" w:type="dxa"/>
        <w:bottom w:w="0" w:type="dxa"/>
        <w:right w:w="0" w:type="dxa"/>
      </w:tblCellMar>
    </w:tblPr>
  </w:style>
  <w:style w:type="table" w:customStyle="1" w:styleId="TableNormal10">
    <w:name w:val="Table Normal_1"/>
    <w:tblPr>
      <w:tblCellMar>
        <w:top w:w="0" w:type="dxa"/>
        <w:left w:w="0" w:type="dxa"/>
        <w:bottom w:w="0" w:type="dxa"/>
        <w:right w:w="0" w:type="dxa"/>
      </w:tblCellMar>
    </w:tblPr>
  </w:style>
  <w:style w:type="table" w:customStyle="1" w:styleId="TableNormal2">
    <w:name w:val="Table Normal_2"/>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color w:val="666666"/>
      <w:sz w:val="30"/>
      <w:szCs w:val="30"/>
    </w:rPr>
  </w:style>
  <w:style w:type="table" w:customStyle="1" w:styleId="a">
    <w:name w:val="a"/>
    <w:basedOn w:val="TableNormal2"/>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0">
    <w:name w:val="a0"/>
    <w:basedOn w:val="TableNormal2"/>
    <w:pPr>
      <w:spacing w:line="240" w:lineRule="auto"/>
    </w:pPr>
    <w:rPr>
      <w:rFonts w:ascii="Calibri" w:eastAsia="Calibri" w:hAnsi="Calibri" w:cs="Calibri"/>
    </w:rPr>
    <w:tblPr>
      <w:tblStyleRowBandSize w:val="1"/>
      <w:tblStyleColBandSize w:val="1"/>
      <w:tblCellMar>
        <w:left w:w="108" w:type="dxa"/>
        <w:right w:w="108" w:type="dxa"/>
      </w:tblCellMar>
    </w:tblPr>
  </w:style>
  <w:style w:type="character" w:styleId="Collegamentoipertestuale">
    <w:name w:val="Hyperlink"/>
    <w:basedOn w:val="Carpredefinitoparagrafo"/>
    <w:uiPriority w:val="99"/>
    <w:unhideWhenUsed/>
    <w:rsid w:val="00404560"/>
    <w:rPr>
      <w:color w:val="0000FF" w:themeColor="hyperlink"/>
      <w:u w:val="single"/>
    </w:rPr>
  </w:style>
  <w:style w:type="character" w:styleId="Menzionenonrisolta">
    <w:name w:val="Unresolved Mention"/>
    <w:basedOn w:val="Carpredefinitoparagrafo"/>
    <w:uiPriority w:val="99"/>
    <w:semiHidden/>
    <w:unhideWhenUsed/>
    <w:rsid w:val="00404560"/>
    <w:rPr>
      <w:color w:val="605E5C"/>
      <w:shd w:val="clear" w:color="auto" w:fill="E1DFDD"/>
    </w:rPr>
  </w:style>
  <w:style w:type="table" w:customStyle="1" w:styleId="a1">
    <w:name w:val="a1"/>
    <w:basedOn w:val="TableNormal2"/>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2">
    <w:name w:val="a2"/>
    <w:basedOn w:val="TableNormal2"/>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3">
    <w:name w:val="a3"/>
    <w:basedOn w:val="TableNormal10"/>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4">
    <w:name w:val="a4"/>
    <w:basedOn w:val="TableNormal10"/>
    <w:pPr>
      <w:spacing w:line="240" w:lineRule="auto"/>
    </w:pPr>
    <w:rPr>
      <w:rFonts w:ascii="Calibri" w:eastAsia="Calibri" w:hAnsi="Calibri" w:cs="Calibri"/>
    </w:rPr>
    <w:tblPr>
      <w:tblStyleRowBandSize w:val="1"/>
      <w:tblStyleColBandSize w:val="1"/>
      <w:tblCellMar>
        <w:left w:w="108" w:type="dxa"/>
        <w:right w:w="108" w:type="dxa"/>
      </w:tblCellMar>
    </w:tblPr>
  </w:style>
  <w:style w:type="character" w:styleId="Rimandocommento">
    <w:name w:val="annotation reference"/>
    <w:basedOn w:val="Carpredefinitoparagrafo"/>
    <w:uiPriority w:val="99"/>
    <w:rsid w:val="000F3DF7"/>
    <w:rPr>
      <w:sz w:val="16"/>
      <w:szCs w:val="16"/>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paragraph" w:styleId="Revisione">
    <w:name w:val="Revision"/>
    <w:hidden/>
    <w:uiPriority w:val="99"/>
    <w:semiHidden/>
    <w:rsid w:val="004924D4"/>
    <w:pPr>
      <w:spacing w:line="240" w:lineRule="auto"/>
    </w:pPr>
  </w:style>
  <w:style w:type="paragraph" w:styleId="Soggettocommento">
    <w:name w:val="annotation subject"/>
    <w:basedOn w:val="Testocommento"/>
    <w:next w:val="Testocommento"/>
    <w:link w:val="SoggettocommentoCarattere"/>
    <w:uiPriority w:val="99"/>
    <w:semiHidden/>
    <w:unhideWhenUsed/>
    <w:rsid w:val="004924D4"/>
    <w:rPr>
      <w:b/>
      <w:bCs/>
    </w:rPr>
  </w:style>
  <w:style w:type="character" w:customStyle="1" w:styleId="SoggettocommentoCarattere">
    <w:name w:val="Soggetto commento Carattere"/>
    <w:basedOn w:val="TestocommentoCarattere"/>
    <w:link w:val="Soggettocommento"/>
    <w:uiPriority w:val="99"/>
    <w:semiHidden/>
    <w:rsid w:val="004924D4"/>
    <w:rPr>
      <w:b/>
      <w:bCs/>
      <w:sz w:val="20"/>
      <w:szCs w:val="20"/>
    </w:rPr>
  </w:style>
  <w:style w:type="paragraph" w:styleId="Paragrafoelenco">
    <w:name w:val="List Paragraph"/>
    <w:basedOn w:val="Normale"/>
    <w:uiPriority w:val="34"/>
    <w:qFormat/>
    <w:rsid w:val="007C54DC"/>
    <w:pPr>
      <w:spacing w:after="200" w:line="240" w:lineRule="auto"/>
      <w:ind w:left="720"/>
      <w:contextualSpacing/>
    </w:pPr>
    <w:rPr>
      <w:rFonts w:ascii="Calibri" w:eastAsia="MS Mincho" w:hAnsi="Calibri" w:cs="Times New Roman"/>
      <w:lang w:val="en-US" w:eastAsia="en-US"/>
    </w:rPr>
  </w:style>
  <w:style w:type="table" w:customStyle="1" w:styleId="TableGrid1">
    <w:name w:val="Table Grid1"/>
    <w:basedOn w:val="Tabellanormale"/>
    <w:next w:val="Grigliatabella"/>
    <w:uiPriority w:val="59"/>
    <w:rsid w:val="007C54DC"/>
    <w:pPr>
      <w:spacing w:line="240" w:lineRule="auto"/>
    </w:pPr>
    <w:rPr>
      <w:rFonts w:ascii="Times New Roman" w:eastAsia="Times New Roman" w:hAnsi="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7C54D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a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paragraph" w:styleId="Intestazione">
    <w:name w:val="header"/>
    <w:basedOn w:val="Normale"/>
    <w:link w:val="IntestazioneCarattere"/>
    <w:uiPriority w:val="99"/>
    <w:unhideWhenUsed/>
    <w:rsid w:val="00E42953"/>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E429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doi.org/10.1111/sjop.12987" TargetMode="External"/><Relationship Id="rId26" Type="http://schemas.openxmlformats.org/officeDocument/2006/relationships/hyperlink" Target="https://doi.org/10.3389/fpsyg.2015.01738" TargetMode="External"/><Relationship Id="rId3" Type="http://schemas.openxmlformats.org/officeDocument/2006/relationships/numbering" Target="numbering.xml"/><Relationship Id="rId21" Type="http://schemas.openxmlformats.org/officeDocument/2006/relationships/hyperlink" Target="https://doi.org/10.1111/pere.12294"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doi.org/10.1037/pspp0000027" TargetMode="External"/><Relationship Id="rId25" Type="http://schemas.openxmlformats.org/officeDocument/2006/relationships/hyperlink" Target="https://doi.org/10.1016/S0191-8869(03)00110-7"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sycnet.apa.org/doi/10.1177/0739986315606947" TargetMode="External"/><Relationship Id="rId20" Type="http://schemas.openxmlformats.org/officeDocument/2006/relationships/hyperlink" Target="https://doi.org/10.1016/j.ssmph.2021.100774" TargetMode="External"/><Relationship Id="rId29" Type="http://schemas.openxmlformats.org/officeDocument/2006/relationships/hyperlink" Target="https://doi.org/10.1016/s0022-3999(02)00601-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doi.org/10.1037/a0012961"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1016/j.copsyc.2016.04.001" TargetMode="External"/><Relationship Id="rId23" Type="http://schemas.openxmlformats.org/officeDocument/2006/relationships/hyperlink" Target="https://doi.org/10.1177/0192513X211010206" TargetMode="External"/><Relationship Id="rId28" Type="http://schemas.openxmlformats.org/officeDocument/2006/relationships/hyperlink" Target="https://doi.org/10.1016/j.comppsych.2014.03.015" TargetMode="External"/><Relationship Id="rId10" Type="http://schemas.openxmlformats.org/officeDocument/2006/relationships/header" Target="header2.xml"/><Relationship Id="rId19" Type="http://schemas.openxmlformats.org/officeDocument/2006/relationships/hyperlink" Target="https://doi.org/10.1192/bjp.bp.110.083550" TargetMode="External"/><Relationship Id="rId31" Type="http://schemas.openxmlformats.org/officeDocument/2006/relationships/footer" Target="footer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doi.org/10.1111/j.1475-6811.1994.tb00058.x" TargetMode="External"/><Relationship Id="rId27" Type="http://schemas.openxmlformats.org/officeDocument/2006/relationships/hyperlink" Target="https://doi.org/10.1159/000075537" TargetMode="External"/><Relationship Id="rId30" Type="http://schemas.openxmlformats.org/officeDocument/2006/relationships/header" Target="header4.xml"/><Relationship Id="rId8" Type="http://schemas.openxmlformats.org/officeDocument/2006/relationships/endnotes" Target="end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nXdmIcYyA/u1zFqohQEBVIGllw==">CgMxLjAaJQoBMBIgCh4IB0IaCg9UaW1lcyBOZXcgUm9tYW4SB0d1bmdzdWgaJQoBMRIgCh4IB0IaCg9UaW1lcyBOZXcgUm9tYW4SB0d1bmdzdWg4AHIhMVNNMjRsTmdZbU9uVkh4Znd6R3QtUjJOdndxS2RxZTc1</go:docsCustomData>
</go:gDocsCustomXmlDataStorage>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4A6BE9A-4F86-4AAF-B232-D332C962A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22</Pages>
  <Words>4910</Words>
  <Characters>27988</Characters>
  <Application>Microsoft Office Word</Application>
  <DocSecurity>0</DocSecurity>
  <Lines>233</Lines>
  <Paragraphs>65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Agata Benfante</cp:lastModifiedBy>
  <cp:revision>6</cp:revision>
  <dcterms:created xsi:type="dcterms:W3CDTF">2024-06-27T06:43:00Z</dcterms:created>
  <dcterms:modified xsi:type="dcterms:W3CDTF">2024-10-30T18:40:00Z</dcterms:modified>
</cp:coreProperties>
</file>