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C45B6" w14:textId="77777777" w:rsidR="00CB1E61" w:rsidRPr="00CB1E61" w:rsidRDefault="00CB1E61" w:rsidP="00CB1E61">
      <w:pPr>
        <w:jc w:val="center"/>
      </w:pPr>
      <w:bookmarkStart w:id="0" w:name="_heading=h.xxyz9eerrd5w" w:colFirst="0" w:colLast="0"/>
      <w:bookmarkEnd w:id="0"/>
      <w:r w:rsidRPr="00CB1E61">
        <w:rPr>
          <w:rFonts w:ascii="Cambria" w:hAnsi="Cambria"/>
          <w:b/>
          <w:bCs/>
          <w:kern w:val="28"/>
          <w:sz w:val="32"/>
          <w:szCs w:val="32"/>
        </w:rPr>
        <w:t>Analytical challenges in the water reuse scenario</w:t>
      </w:r>
    </w:p>
    <w:p w14:paraId="3ADB37B3" w14:textId="77777777" w:rsidR="00CB1E61" w:rsidRPr="00CB1E61" w:rsidRDefault="00F728B4" w:rsidP="00CB1E61">
      <w:pPr>
        <w:pBdr>
          <w:top w:val="nil"/>
          <w:left w:val="nil"/>
          <w:bottom w:val="nil"/>
          <w:right w:val="nil"/>
          <w:between w:val="nil"/>
        </w:pBdr>
        <w:spacing w:line="240" w:lineRule="auto"/>
        <w:jc w:val="center"/>
        <w:rPr>
          <w:color w:val="000000"/>
          <w:lang w:val="it-IT"/>
        </w:rPr>
      </w:pPr>
      <w:r w:rsidRPr="00CB1E61">
        <w:rPr>
          <w:color w:val="000000"/>
          <w:lang w:val="it-IT"/>
        </w:rPr>
        <w:t xml:space="preserve">Jenny Flores Garcia </w:t>
      </w:r>
      <w:r w:rsidR="0072435B">
        <w:rPr>
          <w:color w:val="000000"/>
          <w:vertAlign w:val="superscript"/>
          <w:lang w:val="it-IT"/>
        </w:rPr>
        <w:t>a</w:t>
      </w:r>
      <w:r>
        <w:rPr>
          <w:color w:val="000000"/>
          <w:lang w:val="it-IT"/>
        </w:rPr>
        <w:t xml:space="preserve">, </w:t>
      </w:r>
      <w:r w:rsidR="0072435B" w:rsidRPr="00CB1E61">
        <w:rPr>
          <w:color w:val="000000"/>
          <w:lang w:val="it-IT"/>
        </w:rPr>
        <w:t xml:space="preserve">Davide Palma </w:t>
      </w:r>
      <w:r w:rsidR="0072435B">
        <w:rPr>
          <w:color w:val="000000"/>
          <w:vertAlign w:val="superscript"/>
          <w:lang w:val="it-IT"/>
        </w:rPr>
        <w:t>b</w:t>
      </w:r>
      <w:r w:rsidR="0072435B" w:rsidRPr="00CB1E61">
        <w:rPr>
          <w:color w:val="000000"/>
          <w:lang w:val="it-IT"/>
        </w:rPr>
        <w:t xml:space="preserve">, </w:t>
      </w:r>
      <w:r w:rsidR="00CB1E61" w:rsidRPr="00CB1E61">
        <w:rPr>
          <w:color w:val="000000"/>
          <w:lang w:val="it-IT"/>
        </w:rPr>
        <w:t>Iv</w:t>
      </w:r>
      <w:r w:rsidR="00F41D90">
        <w:rPr>
          <w:color w:val="000000"/>
          <w:lang w:val="it-IT"/>
        </w:rPr>
        <w:t>á</w:t>
      </w:r>
      <w:r w:rsidR="00CB1E61" w:rsidRPr="00CB1E61">
        <w:rPr>
          <w:color w:val="000000"/>
          <w:lang w:val="it-IT"/>
        </w:rPr>
        <w:t>n Sciscenko</w:t>
      </w:r>
      <w:r w:rsidR="00CB1E61" w:rsidRPr="00CB1E61">
        <w:rPr>
          <w:color w:val="000000"/>
          <w:vertAlign w:val="superscript"/>
          <w:lang w:val="it-IT"/>
        </w:rPr>
        <w:t xml:space="preserve"> </w:t>
      </w:r>
      <w:r w:rsidR="0072435B" w:rsidRPr="00CB1E61">
        <w:rPr>
          <w:color w:val="000000"/>
          <w:lang w:val="it-IT"/>
        </w:rPr>
        <w:t>*</w:t>
      </w:r>
      <w:r w:rsidR="0072435B">
        <w:rPr>
          <w:color w:val="000000"/>
          <w:vertAlign w:val="superscript"/>
          <w:lang w:val="it-IT"/>
        </w:rPr>
        <w:t>c</w:t>
      </w:r>
      <w:r w:rsidR="00CB1E61" w:rsidRPr="00CB1E61">
        <w:rPr>
          <w:color w:val="000000"/>
          <w:lang w:val="it-IT"/>
        </w:rPr>
        <w:t>, Alessandra Bianco Prevot</w:t>
      </w:r>
      <w:r w:rsidR="00CB1E61" w:rsidRPr="00CB1E61">
        <w:rPr>
          <w:color w:val="000000"/>
          <w:vertAlign w:val="superscript"/>
          <w:lang w:val="it-IT"/>
        </w:rPr>
        <w:t xml:space="preserve"> </w:t>
      </w:r>
      <w:r w:rsidR="0072435B">
        <w:rPr>
          <w:color w:val="000000"/>
          <w:vertAlign w:val="superscript"/>
          <w:lang w:val="it-IT"/>
        </w:rPr>
        <w:t>b</w:t>
      </w:r>
    </w:p>
    <w:p w14:paraId="06F4AD0A" w14:textId="77777777" w:rsidR="00CB1E61" w:rsidRPr="00CB1E61" w:rsidRDefault="00CB1E61" w:rsidP="00CB1E61">
      <w:pPr>
        <w:rPr>
          <w:lang w:val="it-IT"/>
        </w:rPr>
      </w:pPr>
    </w:p>
    <w:p w14:paraId="739F1865" w14:textId="77777777" w:rsidR="00CB1E61" w:rsidRPr="00B0387B" w:rsidRDefault="00CB1E61" w:rsidP="00CB1E61">
      <w:pPr>
        <w:ind w:firstLine="0"/>
        <w:rPr>
          <w:lang w:val="it-IT"/>
        </w:rPr>
      </w:pPr>
      <w:r w:rsidRPr="00B0387B">
        <w:rPr>
          <w:vertAlign w:val="superscript"/>
          <w:lang w:val="it-IT"/>
        </w:rPr>
        <w:t>a</w:t>
      </w:r>
      <w:r w:rsidRPr="00B0387B">
        <w:rPr>
          <w:lang w:val="it-IT"/>
        </w:rPr>
        <w:t xml:space="preserve"> </w:t>
      </w:r>
      <w:r w:rsidR="0072435B" w:rsidRPr="00B0387B">
        <w:rPr>
          <w:lang w:val="it-IT"/>
        </w:rPr>
        <w:t>Department of Applied Science and Technology (DISAT), Politecnico di Torino, Corso Duca degli Abruzzi 24, 10129, Torino, Italy</w:t>
      </w:r>
    </w:p>
    <w:p w14:paraId="3977CAA3" w14:textId="77777777" w:rsidR="0072435B" w:rsidRPr="00CF1EF0" w:rsidRDefault="00CB1E61" w:rsidP="00CB1E61">
      <w:pPr>
        <w:ind w:firstLine="0"/>
        <w:rPr>
          <w:lang w:val="it-IT"/>
        </w:rPr>
      </w:pPr>
      <w:r w:rsidRPr="00CF1EF0">
        <w:rPr>
          <w:vertAlign w:val="superscript"/>
          <w:lang w:val="it-IT"/>
        </w:rPr>
        <w:t>b</w:t>
      </w:r>
      <w:r w:rsidRPr="00CF1EF0">
        <w:rPr>
          <w:lang w:val="it-IT"/>
        </w:rPr>
        <w:t xml:space="preserve"> </w:t>
      </w:r>
      <w:r w:rsidR="0072435B" w:rsidRPr="00CF1EF0">
        <w:rPr>
          <w:lang w:val="it-IT"/>
        </w:rPr>
        <w:t>Depart</w:t>
      </w:r>
      <w:r w:rsidR="00CF1EF0" w:rsidRPr="00CF1EF0">
        <w:rPr>
          <w:lang w:val="it-IT"/>
        </w:rPr>
        <w:t>ment of Chemistry, Università di To</w:t>
      </w:r>
      <w:r w:rsidR="0072435B" w:rsidRPr="00CF1EF0">
        <w:rPr>
          <w:lang w:val="it-IT"/>
        </w:rPr>
        <w:t>rin</w:t>
      </w:r>
      <w:r w:rsidR="00CF1EF0" w:rsidRPr="00CF1EF0">
        <w:rPr>
          <w:lang w:val="it-IT"/>
        </w:rPr>
        <w:t>o</w:t>
      </w:r>
      <w:r w:rsidR="0072435B" w:rsidRPr="00CF1EF0">
        <w:rPr>
          <w:lang w:val="it-IT"/>
        </w:rPr>
        <w:t>, via P. Giuria 7, 10125, Torino, Italy</w:t>
      </w:r>
    </w:p>
    <w:p w14:paraId="43A59114" w14:textId="239A473F" w:rsidR="00A77221" w:rsidRPr="00E27A91" w:rsidRDefault="0072435B" w:rsidP="00A77221">
      <w:pPr>
        <w:ind w:firstLine="0"/>
        <w:rPr>
          <w:lang w:val="en-GB"/>
        </w:rPr>
      </w:pPr>
      <w:r w:rsidRPr="00E27A91">
        <w:rPr>
          <w:vertAlign w:val="superscript"/>
          <w:lang w:val="en-GB"/>
        </w:rPr>
        <w:t>c</w:t>
      </w:r>
      <w:r w:rsidR="00A77221" w:rsidRPr="00E27A91">
        <w:rPr>
          <w:lang w:val="en-GB"/>
        </w:rPr>
        <w:t xml:space="preserve"> </w:t>
      </w:r>
      <w:r w:rsidR="00E36DF0" w:rsidRPr="00E27A91">
        <w:rPr>
          <w:lang w:val="en-GB"/>
        </w:rPr>
        <w:t>Textile and Paper Engineering Department (DITEXPA), Universitat Politècnica de València, Plaza Ferrándiz y Carbonell S/N, 03801 Alcoy, Alicante, Spain.</w:t>
      </w:r>
    </w:p>
    <w:p w14:paraId="41BB7924" w14:textId="77777777" w:rsidR="00A77221" w:rsidRPr="00E27A91" w:rsidRDefault="00A77221" w:rsidP="00A77221">
      <w:pPr>
        <w:rPr>
          <w:lang w:val="en-GB"/>
        </w:rPr>
      </w:pPr>
    </w:p>
    <w:p w14:paraId="502341DA" w14:textId="77777777" w:rsidR="00A77221" w:rsidRPr="00A77221" w:rsidRDefault="00A77221" w:rsidP="00A77221">
      <w:r w:rsidRPr="00CB1E61">
        <w:t xml:space="preserve">* Corresponding author. </w:t>
      </w:r>
      <w:r w:rsidRPr="00A77221">
        <w:t>E-mail: ivsci@txp.upv.es</w:t>
      </w:r>
    </w:p>
    <w:p w14:paraId="73A237FC" w14:textId="77777777" w:rsidR="00CB1E61" w:rsidRPr="00CB1E61" w:rsidRDefault="00CB1E61" w:rsidP="00A77221">
      <w:pPr>
        <w:ind w:firstLine="0"/>
      </w:pPr>
      <w:r w:rsidRPr="00CB1E61">
        <w:t xml:space="preserve"> </w:t>
      </w:r>
    </w:p>
    <w:p w14:paraId="314ABF0D" w14:textId="77777777" w:rsidR="00CB1E61" w:rsidRPr="00CB1E61" w:rsidRDefault="00CB1E61" w:rsidP="00CB1E61"/>
    <w:p w14:paraId="1B901CFB" w14:textId="77777777" w:rsidR="00CB1E61" w:rsidRPr="00CB1E61" w:rsidRDefault="00CB1E61" w:rsidP="00CB1E61">
      <w:pPr>
        <w:rPr>
          <w:rFonts w:ascii="Cambria" w:eastAsia="Cambria" w:hAnsi="Cambria" w:cs="Cambria"/>
          <w:b/>
          <w:sz w:val="32"/>
          <w:szCs w:val="32"/>
        </w:rPr>
      </w:pPr>
      <w:r w:rsidRPr="00CB1E61">
        <w:rPr>
          <w:rFonts w:ascii="Cambria" w:eastAsia="Cambria" w:hAnsi="Cambria" w:cs="Cambria"/>
          <w:b/>
          <w:sz w:val="32"/>
          <w:szCs w:val="32"/>
        </w:rPr>
        <w:t>Abstract</w:t>
      </w:r>
    </w:p>
    <w:p w14:paraId="02B49910" w14:textId="77777777" w:rsidR="006A20B9" w:rsidRDefault="0093322E" w:rsidP="006A20B9">
      <w:pPr>
        <w:spacing w:before="240" w:after="240" w:line="261" w:lineRule="auto"/>
        <w:ind w:firstLine="0"/>
      </w:pPr>
      <w:r>
        <w:t>The deployment of water reuse in a safe scenario in terms of environmental and health impacts, introduces the need for WWTPs to release effluents fulfilling quality criteria</w:t>
      </w:r>
      <w:r w:rsidR="00CF1EF0">
        <w:t xml:space="preserve"> set by law</w:t>
      </w:r>
      <w:r>
        <w:t xml:space="preserve">, that must be timely and accurately monitored. This </w:t>
      </w:r>
      <w:r w:rsidR="000A1D1D">
        <w:t>poses</w:t>
      </w:r>
      <w:r>
        <w:t xml:space="preserve"> the challenge of overcoming </w:t>
      </w:r>
      <w:r w:rsidR="009708B3">
        <w:t xml:space="preserve">as much as possible </w:t>
      </w:r>
      <w:r>
        <w:t xml:space="preserve">laboratory-based control and move to </w:t>
      </w:r>
      <w:r w:rsidR="00CF1EF0">
        <w:t xml:space="preserve">a </w:t>
      </w:r>
      <w:r>
        <w:t xml:space="preserve">real time monitoring approach. Indeed, while a wide variety of sensors is already available for parameters like pH, dissolved oxygen, </w:t>
      </w:r>
      <w:r w:rsidR="00CF1EF0">
        <w:t>temperature</w:t>
      </w:r>
      <w:r w:rsidR="006A20B9">
        <w:t>, conductivity, suspended solids</w:t>
      </w:r>
      <w:r>
        <w:t xml:space="preserve">, </w:t>
      </w:r>
      <w:r w:rsidR="00CF1EF0">
        <w:t>and</w:t>
      </w:r>
      <w:r w:rsidR="006A20B9">
        <w:t xml:space="preserve"> metals</w:t>
      </w:r>
      <w:r w:rsidR="00CF1EF0">
        <w:t>,</w:t>
      </w:r>
      <w:r w:rsidR="006A20B9">
        <w:t xml:space="preserve"> </w:t>
      </w:r>
      <w:r>
        <w:t xml:space="preserve">the analytical control </w:t>
      </w:r>
      <w:r w:rsidR="00CF1EF0">
        <w:t>of</w:t>
      </w:r>
      <w:r>
        <w:t xml:space="preserve"> microbiological pollutants and</w:t>
      </w:r>
      <w:r w:rsidR="00CF1EF0">
        <w:t xml:space="preserve"> of</w:t>
      </w:r>
      <w:r>
        <w:t xml:space="preserve"> Contaminants of Emerging Concern</w:t>
      </w:r>
      <w:r w:rsidR="00CF1EF0">
        <w:t xml:space="preserve"> (CECs),</w:t>
      </w:r>
      <w:r>
        <w:t xml:space="preserve"> and related transformation products</w:t>
      </w:r>
      <w:r w:rsidR="00CF1EF0">
        <w:t>,</w:t>
      </w:r>
      <w:r>
        <w:t xml:space="preserve"> is still mostly performed at laboratory scale and in many cases requires sophisticated and expensive instrumentation</w:t>
      </w:r>
      <w:r w:rsidR="006A20B9">
        <w:t xml:space="preserve">. On the other hand, the current impressive growth of advanced soft-sensing techniques and the Internet of Things (IoT), coupled with machine learning (ML) and artificial intelligence (AI), allows to foresee an upcoming possible transition from the laboratory-based approach to the real time one.  </w:t>
      </w:r>
    </w:p>
    <w:p w14:paraId="6560A00D" w14:textId="77777777" w:rsidR="00CB1E61" w:rsidRPr="00CB1E61" w:rsidRDefault="00CB1E61" w:rsidP="00CB1E61">
      <w:pPr>
        <w:pBdr>
          <w:top w:val="nil"/>
          <w:left w:val="nil"/>
          <w:bottom w:val="nil"/>
          <w:right w:val="nil"/>
          <w:between w:val="nil"/>
        </w:pBdr>
        <w:spacing w:line="240" w:lineRule="auto"/>
        <w:rPr>
          <w:rFonts w:ascii="Cambria" w:eastAsia="Cambria" w:hAnsi="Cambria" w:cs="Cambria"/>
          <w:b/>
          <w:color w:val="000000"/>
          <w:sz w:val="32"/>
          <w:szCs w:val="32"/>
        </w:rPr>
      </w:pPr>
      <w:r w:rsidRPr="00CB1E61">
        <w:rPr>
          <w:rFonts w:ascii="Cambria" w:eastAsia="Cambria" w:hAnsi="Cambria" w:cs="Cambria"/>
          <w:b/>
          <w:color w:val="000000"/>
          <w:sz w:val="32"/>
          <w:szCs w:val="32"/>
        </w:rPr>
        <w:t>Keywords</w:t>
      </w:r>
    </w:p>
    <w:p w14:paraId="46E8F721" w14:textId="77777777" w:rsidR="00CB1E61" w:rsidRPr="00CB1E61" w:rsidRDefault="00CB1E61" w:rsidP="00E27A91">
      <w:pPr>
        <w:ind w:firstLine="0"/>
      </w:pPr>
      <w:r>
        <w:t>Water reuse; physical-chemical parameters; microbiological parameters; surrogate methods; HPLC-HRMS</w:t>
      </w:r>
      <w:r w:rsidR="00D83E06">
        <w:t>; inline control, online control, AI, machine learning</w:t>
      </w:r>
    </w:p>
    <w:p w14:paraId="725D86C0" w14:textId="77777777" w:rsidR="005275BE" w:rsidRDefault="00CB1E61" w:rsidP="00CB1E61">
      <w:pPr>
        <w:pStyle w:val="Titolo"/>
      </w:pPr>
      <w:r w:rsidRPr="00CB1E61">
        <w:rPr>
          <w:rFonts w:ascii="Times New Roman" w:hAnsi="Times New Roman"/>
          <w:b w:val="0"/>
          <w:bCs w:val="0"/>
          <w:kern w:val="0"/>
          <w:sz w:val="24"/>
          <w:szCs w:val="24"/>
        </w:rPr>
        <w:br w:type="page"/>
      </w:r>
    </w:p>
    <w:p w14:paraId="090764D2" w14:textId="77777777" w:rsidR="00DA7412" w:rsidRDefault="00DA7412" w:rsidP="00DA7412">
      <w:pPr>
        <w:pStyle w:val="Titolo1"/>
        <w:spacing w:after="240"/>
        <w:ind w:firstLine="0"/>
      </w:pPr>
      <w:bookmarkStart w:id="1" w:name="_heading=h.gjdgxs" w:colFirst="0" w:colLast="0"/>
      <w:bookmarkEnd w:id="1"/>
      <w:r>
        <w:lastRenderedPageBreak/>
        <w:t>Introduction</w:t>
      </w:r>
    </w:p>
    <w:p w14:paraId="7BB38382" w14:textId="10547AFF" w:rsidR="00DA7412" w:rsidRDefault="00CD315B" w:rsidP="00B449EC">
      <w:r>
        <w:t xml:space="preserve">To face and mitigate the water scarcity </w:t>
      </w:r>
      <w:r w:rsidRPr="00CD315B">
        <w:rPr>
          <w:lang w:val="en-GB"/>
        </w:rPr>
        <w:t>problem</w:t>
      </w:r>
      <w:r>
        <w:rPr>
          <w:lang w:val="en-GB"/>
        </w:rPr>
        <w:t>,</w:t>
      </w:r>
      <w:r w:rsidRPr="00CD315B">
        <w:rPr>
          <w:lang w:val="en-GB"/>
        </w:rPr>
        <w:t xml:space="preserve"> </w:t>
      </w:r>
      <w:r>
        <w:t>reuse of treated wastewater effluent (reclaimed water) for crop irrigation is one of the best alternatives to the exploitation of fresh waters</w:t>
      </w:r>
      <w:r w:rsidRPr="00CD315B">
        <w:rPr>
          <w:lang w:val="en-GB"/>
        </w:rPr>
        <w:t xml:space="preserve">. </w:t>
      </w:r>
      <w:r>
        <w:t xml:space="preserve">However, treated effluent of wastewater treatment plants (WWTPs) can contain water-borne pathogenic microorganisms and organic micropollutants, also classified as contaminants of emerging concerns (CECs), representing a great concern for the water </w:t>
      </w:r>
      <w:r w:rsidR="00B449EC">
        <w:t>reuse deployment</w:t>
      </w:r>
      <w:r w:rsidR="00CF1EF0">
        <w:t xml:space="preserve"> </w:t>
      </w:r>
      <w:r w:rsidR="00AE2DE8">
        <w:fldChar w:fldCharType="begin"/>
      </w:r>
      <w:r w:rsidR="00CF1EF0">
        <w:instrText xml:space="preserve"> ADDIN ZOTERO_ITEM CSL_CITATION {"citationID":"3jeH7sSD","properties":{"formattedCitation":"[1,2]","plainCitation":"[1,2]","noteIndex":0},"citationItems":[{"id":1083,"uris":["http://zotero.org/users/local/8TMZWfC3/items/P24WVYDQ"],"itemData":{"id":1083,"type":"article-journal","abstract":"The aim of this study was to investigate the interference of polyethylene microplastics (MPs) on ultraviolet irradiation/hydrogen peroxide (UV/H2O2) and ozonation processes in the inactivation of E. coli bacteria (tertiary treatment) and removal of contaminants of emerging concern (CECs) (quaternary treatment) from simulated and real secondary treated urban wastewater. Three pharmaceuticals were investigated as model CECs, namely carbamazepine, sulfamethoxazole and trimethoprim. Experimental results showed that disinfection efficiency of UV/H2O2 treatment decreased (2.4, 1.8 and 1.3 log reductions of E. coli, initial H2O2 dose of 30 mg/L, 2.5 min treatment) as the initial concentration of MPs was increased (0.25, 0.5 and 1.0 g/L, respectively). Similarly, an increase in MPs concentration (0.25, 0.5 and 1.0 g/L) reduced the inactivation (4.7, 4.1 and 3.7 log reductions) of the target bacteria after 60 min of ozonation treatment. Although the disinfection efficiency of both treatment processes was negatively affected by the presence of MPs, UV/H2O2 was more effective than the ozonation, despite ozonation being investigated at high doses to better discriminate the effect of MPs. Noteworthy, CECs degradation by UV/H2O2 under realistic operating conditions was affected to some extent by MPs, while a lower effect was observed for ozonation, at not realistic ozone dose.","container-title":"Science of The Total Environment","DOI":"10.1016/j.scitotenv.2023.167940","ISSN":"0048-9697","journalAbbreviation":"Science of The Total Environment","page":"167940","source":"ScienceDirect","title":"Tertiary/quaternary treatment of urban wastewater by UV/H2O2 or ozonation: Microplastics may affect removal of &lt;i&gt;E. coli&lt;/i&gt; and contaminants of emerging concern","title-short":"Tertiary/quaternary treatment of urban wastewater by UV/H2O2 or ozonation","volume":"907","author":[{"family":"Adeel","given":"Mister"},{"family":"Maniakova","given":"Gulnara"},{"family":"Rizzo","given":"Luigi"}],"issued":{"date-parts":[["2024",1,10]]}}},{"id":1024,"uris":["http://zotero.org/users/local/8TMZWfC3/items/AH47PT4P"],"itemData":{"id":1024,"type":"article-journal","abstract":"Urban wastewater treatment plants (WWTPs) are among the main anthropogenic sources for the release of contaminants of emerging concern (CECs) into the environment, which can result in toxic and adverse effects on aquatic organisms and consequently on humans. Unfortunately, WWTPs are not designed to remove CECs and secondary (e.g., conventional activated sludge process, CAS) and tertiary (such as filtration and disinfection) treatments are not effective in the removal of most CECs entering WWTP. Accordingly, several advanced treatment methods have been investigated for the removal of CECs from wastewater, including consolidated (namely, activated carbon (AC) adsorption, ozonation and membranes) and new (such as advanced oxidation processes (AOPs)) processes/technologies. This review paper gathers the efforts of a group of international experts, members of the NEREUS COST Action ES1403 who for three years have been constructively discussing the state of the art and the best available technologies for the advanced treatment of urban wastewater. In particular, this work critically reviews the papers available in scientific literature on consolidated (ozonation, AC and membranes) and new advanced treatment methods (mainly AOPs) to analyse: (i) their efficiency in the removal of CECs from wastewater, (ii) advantages and drawbacks, (iii) possible obstacles to the application of AOPs, (iv) technological limitations and mid to long-term perspectives for the application of heterogeneous processes, and (v) a technical and economic comparison among the different processes/technologies.","container-title":"The Science of the Total Environment","DOI":"10.1016/j.scitotenv.2018.11.265","ISSN":"1879-1026","journalAbbreviation":"Sci Total Environ","language":"eng","note":"PMID: 30577146","page":"986-1008","source":"PubMed","title":"Consolidated vs new advanced treatment methods for the removal of contaminants of emerging concern from urban wastewater","volume":"655","author":[{"family":"Rizzo","given":"Luigi"},{"family":"Malato","given":"Sixto"},{"family":"Antakyali","given":"Demet"},{"family":"Beretsou","given":"Vasiliki G."},{"family":"Đolić","given":"Maja B."},{"family":"Gernjak","given":"Wolfgang"},{"family":"Heath","given":"Ester"},{"family":"Ivancev-Tumbas","given":"Ivana"},{"family":"Karaolia","given":"Popi"},{"family":"Lado Ribeiro","given":"Ana R."},{"family":"Mascolo","given":"Giuseppe"},{"family":"McArdell","given":"Christa S."},{"family":"Schaar","given":"Heidemarie"},{"family":"Silva","given":"Adrián M. T."},{"family":"Fatta-Kassinos","given":"Despo"}],"issued":{"date-parts":[["2019",3,10]]}}}],"schema":"https://github.com/citation-style-language/schema/raw/master/csl-citation.json"} </w:instrText>
      </w:r>
      <w:r w:rsidR="00AE2DE8">
        <w:fldChar w:fldCharType="separate"/>
      </w:r>
      <w:r w:rsidR="005C324C" w:rsidRPr="005C324C">
        <w:t>[1,2]</w:t>
      </w:r>
      <w:r w:rsidR="00AE2DE8">
        <w:fldChar w:fldCharType="end"/>
      </w:r>
      <w:r w:rsidR="00B449EC">
        <w:t>. To overcome these issues, u</w:t>
      </w:r>
      <w:r>
        <w:t xml:space="preserve">rban WWTPs, </w:t>
      </w:r>
      <w:r w:rsidR="00B449EC">
        <w:t xml:space="preserve">might include, in addition to </w:t>
      </w:r>
      <w:r>
        <w:t>primary</w:t>
      </w:r>
      <w:r w:rsidR="00B449EC">
        <w:t xml:space="preserve"> and</w:t>
      </w:r>
      <w:r>
        <w:t xml:space="preserve"> secondary </w:t>
      </w:r>
      <w:r w:rsidR="00B449EC">
        <w:t xml:space="preserve">treatments, a </w:t>
      </w:r>
      <w:r>
        <w:t xml:space="preserve">tertiary </w:t>
      </w:r>
      <w:r w:rsidR="00B449EC">
        <w:t xml:space="preserve">treatment for the removal of </w:t>
      </w:r>
      <w:r>
        <w:t>nutrients</w:t>
      </w:r>
      <w:r w:rsidR="00B449EC">
        <w:t xml:space="preserve"> </w:t>
      </w:r>
      <w:r>
        <w:t xml:space="preserve">and </w:t>
      </w:r>
      <w:r w:rsidR="009708B3">
        <w:t xml:space="preserve">for </w:t>
      </w:r>
      <w:r>
        <w:t>disinfection</w:t>
      </w:r>
      <w:r w:rsidR="00B449EC">
        <w:t xml:space="preserve">, and also a quaternary treatment recently defined by the </w:t>
      </w:r>
      <w:r w:rsidRPr="00B449EC">
        <w:rPr>
          <w:lang w:val="en-GB"/>
        </w:rPr>
        <w:t xml:space="preserve"> </w:t>
      </w:r>
      <w:r>
        <w:t xml:space="preserve">European Commission </w:t>
      </w:r>
      <w:r w:rsidR="00B449EC">
        <w:t>as “</w:t>
      </w:r>
      <w:r>
        <w:t>additional treatment to urban waste</w:t>
      </w:r>
      <w:r w:rsidR="00B449EC">
        <w:t xml:space="preserve">water in order to eliminate the </w:t>
      </w:r>
      <w:r>
        <w:t xml:space="preserve">broadest possible spectrum of micropollutants” </w:t>
      </w:r>
      <w:r w:rsidR="00AE2DE8">
        <w:fldChar w:fldCharType="begin"/>
      </w:r>
      <w:r w:rsidR="0017596A">
        <w:instrText xml:space="preserve"> ADDIN ZOTERO_ITEM CSL_CITATION {"citationID":"eiJdTrkC","properties":{"formattedCitation":"[3]","plainCitation":"[3]","noteIndex":0},"citationItems":[{"id":1027,"uris":["http://zotero.org/users/local/8TMZWfC3/items/IQ9JYC7E"],"itemData":{"id":1027,"type":"bill","language":"en","title":"Proposal for a DIRECTIVE OF THE EUROPEAN PARLIAMENT AND OF THE COUNCIL concerning urban wastewater treatment (recast)","URL":"https://eur-lex.europa.eu/legal-content/EN/TXT/?uri=CELEX%3A52022PC0541","accessed":{"date-parts":[["2024",5,15]]},"issued":{"date-parts":[["2022"]]}}}],"schema":"https://github.com/citation-style-language/schema/raw/master/csl-citation.json"} </w:instrText>
      </w:r>
      <w:r w:rsidR="00AE2DE8">
        <w:fldChar w:fldCharType="separate"/>
      </w:r>
      <w:r w:rsidR="005C324C" w:rsidRPr="005C324C">
        <w:t>[3]</w:t>
      </w:r>
      <w:r w:rsidR="00AE2DE8">
        <w:fldChar w:fldCharType="end"/>
      </w:r>
      <w:r w:rsidR="00B449EC">
        <w:t>.</w:t>
      </w:r>
    </w:p>
    <w:p w14:paraId="30C90D69" w14:textId="44B45F00" w:rsidR="00F265C4" w:rsidRDefault="00272DA9" w:rsidP="009F009B">
      <w:r w:rsidRPr="00272DA9">
        <w:t xml:space="preserve">Even if there is no </w:t>
      </w:r>
      <w:r w:rsidR="009708B3">
        <w:t xml:space="preserve">a </w:t>
      </w:r>
      <w:r w:rsidRPr="00272DA9">
        <w:t xml:space="preserve">single regulation that </w:t>
      </w:r>
      <w:r w:rsidR="009708B3">
        <w:t>establishe</w:t>
      </w:r>
      <w:r w:rsidRPr="00272DA9">
        <w:t xml:space="preserve">s </w:t>
      </w:r>
      <w:r w:rsidR="009708B3" w:rsidRPr="00272DA9">
        <w:t xml:space="preserve">at a global level </w:t>
      </w:r>
      <w:r w:rsidRPr="00272DA9">
        <w:t xml:space="preserve">the quality parameters and limit values to be respected, individual states provide regulations for the quality of WWTP effluents necessary for </w:t>
      </w:r>
      <w:r w:rsidR="00E76486">
        <w:t xml:space="preserve">their </w:t>
      </w:r>
      <w:r w:rsidRPr="00272DA9">
        <w:t>reuse</w:t>
      </w:r>
      <w:r w:rsidR="00E76486">
        <w:t xml:space="preserve">, with particular emphasis concerning reuse in agriculture </w:t>
      </w:r>
      <w:r w:rsidR="00AE2DE8">
        <w:fldChar w:fldCharType="begin"/>
      </w:r>
      <w:r w:rsidR="009F009B">
        <w:instrText xml:space="preserve"> ADDIN ZOTERO_ITEM CSL_CITATION {"citationID":"oNjFEPVS","properties":{"formattedCitation":"[4,5]","plainCitation":"[4,5]","noteIndex":0},"citationItems":[{"id":1094,"uris":["http://zotero.org/users/local/8TMZWfC3/items/BACUQQGT"],"itemData":{"id":1094,"type":"bill","language":"en","title":"Commission Notice Guidelines to support the application of Regulation 2020/741 on minimum requirements for water reuse 2022/C 298/01","URL":"https://eur-lex.europa.eu/legal-content/EN/TXT/?uri=uriserv%3AOJ.C_.2022.298.01.0001.01.ENG&amp;toc=OJ%3AC%3A2022%3A298%3ATOC","accessed":{"date-parts":[["2024",5,23]]},"issued":{"date-parts":[["2022"]]}}},{"id":1098,"uris":["http://zotero.org/users/local/8TMZWfC3/items/SD635HNA"],"itemData":{"id":1098,"type":"article-journal","language":"en","source":"Zotero","title":"2012 Guidelines for Water Reuse","author":[{"family":"Kadeli","given":"Lek"}]}}],"schema":"https://github.com/citation-style-language/schema/raw/master/csl-citation.json"} </w:instrText>
      </w:r>
      <w:r w:rsidR="00AE2DE8">
        <w:fldChar w:fldCharType="separate"/>
      </w:r>
      <w:r w:rsidR="005C324C" w:rsidRPr="005C324C">
        <w:t>[4,5]</w:t>
      </w:r>
      <w:r w:rsidR="00AE2DE8">
        <w:fldChar w:fldCharType="end"/>
      </w:r>
      <w:r w:rsidR="00B01B53">
        <w:t>. Recently</w:t>
      </w:r>
      <w:r w:rsidR="001D0B92">
        <w:t>,</w:t>
      </w:r>
      <w:r w:rsidR="00B01B53">
        <w:t xml:space="preserve"> 70 worldwide regulations concerning water reuse in agriculture have been reviewed, evidencing</w:t>
      </w:r>
      <w:r w:rsidR="00B01B53" w:rsidRPr="00B01B53">
        <w:t xml:space="preserve"> </w:t>
      </w:r>
      <w:r w:rsidR="00B01B53">
        <w:t>large discrepancies when compared with each other and</w:t>
      </w:r>
      <w:r w:rsidR="00B01B53" w:rsidRPr="00B01B53">
        <w:t xml:space="preserve"> </w:t>
      </w:r>
      <w:r w:rsidR="00B01B53">
        <w:t>insufficien</w:t>
      </w:r>
      <w:r w:rsidR="00A83406">
        <w:t>cy</w:t>
      </w:r>
      <w:r w:rsidR="00B01B53">
        <w:t xml:space="preserve"> regarding some potentially dangerous pollutants such as</w:t>
      </w:r>
      <w:r w:rsidR="00D83E06">
        <w:t xml:space="preserve"> CECs. Moreover</w:t>
      </w:r>
      <w:r w:rsidR="00B01B53">
        <w:t xml:space="preserve">, some of the </w:t>
      </w:r>
      <w:r w:rsidR="001D0B92">
        <w:t xml:space="preserve">most </w:t>
      </w:r>
      <w:r w:rsidR="00B01B53">
        <w:t>important water quality parameters</w:t>
      </w:r>
      <w:r w:rsidR="00F728B4">
        <w:t>, i.e.</w:t>
      </w:r>
      <w:r w:rsidR="00B01B53">
        <w:t xml:space="preserve"> the pathogens, are only included in a small group </w:t>
      </w:r>
      <w:r w:rsidR="00F728B4">
        <w:t>among</w:t>
      </w:r>
      <w:r w:rsidR="00B01B53">
        <w:t xml:space="preserve"> </w:t>
      </w:r>
      <w:r w:rsidR="00F728B4">
        <w:t xml:space="preserve">the investigated </w:t>
      </w:r>
      <w:r w:rsidR="00B01B53">
        <w:t>regulations and guidelines</w:t>
      </w:r>
      <w:r w:rsidR="00A83406">
        <w:t xml:space="preserve"> (</w:t>
      </w:r>
      <w:r w:rsidR="00AE2DE8" w:rsidRPr="00C84F2E">
        <w:fldChar w:fldCharType="begin"/>
      </w:r>
      <w:r w:rsidR="009F009B" w:rsidRPr="00C84F2E">
        <w:instrText xml:space="preserve"> ADDIN ZOTERO_ITEM CSL_CITATION {"citationID":"XveUm1vv","properties":{"formattedCitation":"[6]","plainCitation":"[6]","noteIndex":0},"citationItems":[{"id":1092,"uris":["http://zotero.org/users/local/8TMZWfC3/items/LP3U9F63"],"itemData":{"id":1092,"type":"article-journal","abstract":"Water reuse is gaining momentum as a beneficial practice to address the water crisis, especially in the agricultural sector as the largest water consumer worldwide. With recent advancements in wastewater treatment technologies, it is possible to produce almost any water quality. However, the main human and environmental concerns are still to determine what constituents must be removed and to what extent. The main objectives of this study were to compile, evaluate, and compare the current agricultural water reuse regulations and guidelines worldwide, and identify the gaps. In total, 70 regulations and guidelines, including Environmental Protection Agency (EPA), International Organization for Standardization (ISO), Food and Agriculture Organization of the United Nations (FAO), World Health Organization (WHO), the United States (state by state), European Commission, Canada (all provinces), Australia, Mexico, Iran, Egypt, Tunisia, Jordan, Palestine, Oman, China, Kuwait, Israel, Saudi Arabia, France, Cyprus, Spain, Greece, Portugal, and Italy were investigated in this study. These regulations and guidelines were examined to compile a comprehensive database, including all of the water quality monitoring parameters, and necessary treatment processes. In summary, results showed that the regulations and guidelines are mainly human-health centered, insufficient regarding some of the potentially dangerous pollutants such as emerging constituents, and with large discrepancies when compared with each other. In addition, some of the important water quality parameters such as some of the pathogens, heavy metals, and salinity are only included in a small group of regulations and guidelines investigated in this study. Finally, specific treatment processes have been only mentioned in some of the regulations and guidelines, and with high levels of discrepancy.","container-title":"Water","DOI":"10.3390/w12040971","ISSN":"2073-4441","issue":"4","language":"en","license":"http://creativecommons.org/licenses/by/3.0/","note":"number: 4\npublisher: Multidisciplinary Digital Publishing Institute","page":"971","source":"www.mdpi.com","title":"Worldwide Regulations and Guidelines for Agricultural Water Reuse: A Critical Review","title-short":"Worldwide Regulations and Guidelines for Agricultural Water Reuse","volume":"12","author":[{"family":"Shoushtarian","given":"Farshid"},{"family":"Negahban-Azar","given":"Masoud"}],"issued":{"date-parts":[["2020",4]]}}}],"schema":"https://github.com/citation-style-language/schema/raw/master/csl-citation.json"} </w:instrText>
      </w:r>
      <w:r w:rsidR="00AE2DE8" w:rsidRPr="00C84F2E">
        <w:fldChar w:fldCharType="separate"/>
      </w:r>
      <w:r w:rsidR="005C324C" w:rsidRPr="005C324C">
        <w:t>[6]</w:t>
      </w:r>
      <w:r w:rsidR="00AE2DE8" w:rsidRPr="00C84F2E">
        <w:fldChar w:fldCharType="end"/>
      </w:r>
      <w:r w:rsidR="00C84F2E" w:rsidRPr="00C84F2E">
        <w:t xml:space="preserve"> and</w:t>
      </w:r>
      <w:r w:rsidR="00D83E06" w:rsidRPr="00C84F2E">
        <w:t xml:space="preserve"> references therein</w:t>
      </w:r>
      <w:r w:rsidR="000A1D1D">
        <w:t>)</w:t>
      </w:r>
      <w:r w:rsidR="00B01B53">
        <w:t>.</w:t>
      </w:r>
    </w:p>
    <w:p w14:paraId="2C14404D" w14:textId="4134ABF0" w:rsidR="00F265C4" w:rsidRDefault="00F265C4" w:rsidP="00F265C4">
      <w:r>
        <w:t>In order to guarantee the fulfillment of quality parameters by WWTPs effluents</w:t>
      </w:r>
      <w:r w:rsidR="00F728B4">
        <w:t>,</w:t>
      </w:r>
      <w:r w:rsidRPr="00D83E06">
        <w:t xml:space="preserve"> to fill legislative gaps and gain knowledge</w:t>
      </w:r>
      <w:r>
        <w:t xml:space="preserve">, and to ensure safe water reuse relying on high quality treated wastewater, strict control </w:t>
      </w:r>
      <w:r w:rsidR="001D0B92">
        <w:t xml:space="preserve">in term of performance over the entire </w:t>
      </w:r>
      <w:r>
        <w:t xml:space="preserve">WWTPs is of paramount relevance. </w:t>
      </w:r>
    </w:p>
    <w:p w14:paraId="1FF38492" w14:textId="77777777" w:rsidR="00D83E06" w:rsidRDefault="00D83E06" w:rsidP="00D83E06">
      <w:r>
        <w:t>Indeed, a</w:t>
      </w:r>
      <w:r w:rsidRPr="009E6FD9">
        <w:t>nalytical control is a key aspect in:</w:t>
      </w:r>
      <w:r>
        <w:t xml:space="preserve"> i) </w:t>
      </w:r>
      <w:r w:rsidRPr="009E6FD9">
        <w:t xml:space="preserve">assessing effectiveness and efficiency of </w:t>
      </w:r>
      <w:r>
        <w:t>waste</w:t>
      </w:r>
      <w:r w:rsidRPr="009E6FD9">
        <w:t>water treatment technolog</w:t>
      </w:r>
      <w:r>
        <w:t xml:space="preserve">ies, ii) </w:t>
      </w:r>
      <w:r w:rsidRPr="009E6FD9">
        <w:t xml:space="preserve">classifying different type of waters (and their </w:t>
      </w:r>
      <w:r>
        <w:t xml:space="preserve">possible </w:t>
      </w:r>
      <w:r w:rsidRPr="009E6FD9">
        <w:t>use an</w:t>
      </w:r>
      <w:r>
        <w:t>d</w:t>
      </w:r>
      <w:r w:rsidRPr="009E6FD9">
        <w:t xml:space="preserve"> reuse)</w:t>
      </w:r>
      <w:r>
        <w:t xml:space="preserve">, iii) </w:t>
      </w:r>
      <w:r w:rsidRPr="009E6FD9">
        <w:t>understanding fate of substances (</w:t>
      </w:r>
      <w:r>
        <w:t xml:space="preserve">transformation products, </w:t>
      </w:r>
      <w:r w:rsidRPr="009E6FD9">
        <w:t>plant uptake, soil partitioning….)</w:t>
      </w:r>
      <w:r>
        <w:t xml:space="preserve"> present in WWTPs effluents, iv) </w:t>
      </w:r>
      <w:r w:rsidRPr="009E6FD9">
        <w:t>deploying a one-health approach in water management</w:t>
      </w:r>
      <w:r>
        <w:t>.</w:t>
      </w:r>
    </w:p>
    <w:p w14:paraId="5C318A29" w14:textId="77777777" w:rsidR="002D580E" w:rsidRDefault="00D83E06" w:rsidP="002D580E">
      <w:r>
        <w:t xml:space="preserve">When considering </w:t>
      </w:r>
      <w:r w:rsidR="002D580E">
        <w:t>analytical control performed in WWTPs, two relevant challenges are: 1) the d</w:t>
      </w:r>
      <w:r w:rsidR="002D580E" w:rsidRPr="002D580E">
        <w:t>evelopment of analytical techniques able to give fast response and to provide reliable data, allowing fast intervention on the process, to guarantee continuous efficacy in spite of variability of water composition entering the treatment plant</w:t>
      </w:r>
      <w:r w:rsidR="002D580E">
        <w:t>; 2) the a</w:t>
      </w:r>
      <w:r w:rsidR="002D580E" w:rsidRPr="002D580E">
        <w:t>vailability of instrumentation cheap and easy to be managed and maintained.</w:t>
      </w:r>
    </w:p>
    <w:p w14:paraId="738E3EC7" w14:textId="72EB60CA" w:rsidR="008E22DE" w:rsidRDefault="002D580E" w:rsidP="00185376">
      <w:r>
        <w:t xml:space="preserve">The state-of-the-art wastewater quality characterization and measurement technologies have been recently reviewed in </w:t>
      </w:r>
      <w:r w:rsidR="00A83406">
        <w:t xml:space="preserve">the </w:t>
      </w:r>
      <w:r>
        <w:t xml:space="preserve">light of a comparison </w:t>
      </w:r>
      <w:r w:rsidR="00A83406">
        <w:t>between</w:t>
      </w:r>
      <w:r>
        <w:t xml:space="preserve"> traditional laboratory based technique </w:t>
      </w:r>
      <w:r w:rsidR="00A83406">
        <w:t>and</w:t>
      </w:r>
      <w:r w:rsidRPr="002D580E">
        <w:t xml:space="preserve"> </w:t>
      </w:r>
      <w:r>
        <w:t xml:space="preserve">innovative real-time (RT) solutions, operated by means of sensors and coupled with </w:t>
      </w:r>
      <w:r w:rsidR="00185376">
        <w:t xml:space="preserve">advanced chemometric models, </w:t>
      </w:r>
      <w:r>
        <w:t xml:space="preserve">machine learning (ML) and artificial intelligence (AI) </w:t>
      </w:r>
      <w:r w:rsidR="00AE2DE8">
        <w:fldChar w:fldCharType="begin"/>
      </w:r>
      <w:r w:rsidR="009F009B">
        <w:instrText xml:space="preserve"> ADDIN ZOTERO_ITEM CSL_CITATION {"citationID":"mldqzpZc","properties":{"formattedCitation":"[7,8]","plainCitation":"[7,8]","noteIndex":0},"citationItems":[{"id":1099,"uris":["http://zotero.org/users/local/8TMZWfC3/items/3S8GU8VQ"],"itemData":{"id":1099,"type":"article-journal","abstract":"Efficient characterization of wastewater stream quality is vital to ensure the safe discharge or reuse of treated wastewater (WW). There are numerous parameters employed to characterize water quality, some required by directives (e.g. biological oxygen demand (BOD), total nitrogen (TN), total phosphates (TP)), while others used for process controls (e.g. flow, temperature, pH). Well-accepted methods to assess these parameters have traditionally been laboratory-based, taking place either off-line or at-line, and presenting a significant delay between sampling and result. Alternative characterization methods can run in-line or on-line, generally being more cost-effective. Unfortunately, these methods are often not accepted when providing information to regulatory bodies. The current review aims to describe available laboratory-based approaches and compare them with innovative real-time (RT) solutions. Transitioning from laboratory-based to RT measurements means obtaining valuable process data, avoiding time delays, and the possibility to optimize the (WW) treatment management. A variety of sensor categories are examined to illustrate a general framework in which RT applications can replace longer conventional processes, with an eye toward potential drawbacks. A significant enhancement in the RT measurements can be achieved through the employment of advanced soft-sensing techniques and the Internet of Things (IoT), coupled with machine learning (ML) and artificial intelligence (AI).","container-title":"Journal of Water Process Engineering","DOI":"10.1016/j.jwpe.2024.105061","ISSN":"2214-7144","journalAbbreviation":"Journal of Water Process Engineering","page":"105061","source":"ScienceDirect","title":"A review of the state-of-the-art wastewater quality characterization and measurement technologies. Is the shift to real-time monitoring nowadays feasible?","volume":"60","author":[{"family":"Moretti","given":"Alessandro"},{"family":"Ivan","given":"Heidi Lynn"},{"family":"Skvaril","given":"Jan"}],"issued":{"date-parts":[["2024",4,1]]}}},{"id":1103,"uris":["http://zotero.org/users/local/8TMZWfC3/items/CGPPH8AR"],"itemData":{"id":1103,"type":"article-journal","abstract":"This paper offers a critical review from classical to new perspectives of advanced oxidation processes (AOPs) coupled to two- and multi-way calibration strategies based on multivariate curve resolution – alternating least-squares (MCR-ALS) and parallel factory analysis (PARAFAC) with various analytical techniques to monitor the degradation of contaminants in environmental samples. It focuses on the generation of highly reactive hydroxyl (HO•) radicals (classical AOPs with emphasis on Fenton, photo-Fenton and ozonation processes) and emerging reactive sulphate (SO4•−) radicals (new perspectives of AOPs) for effective degradation of recalcitrant compounds. Other new perspectives of AOPs were also addressed, namely semiconductor photocatalysis (TiO2/UV), combination of processes involving at least one AOP (hybrid or single-step processes and sequential or two-step processes), novel advanced electrochemical oxidation technologies (electro-Fenton and electro-photo-Fenton) and nanocatalytic heterogeneous Fenton technology with high specific surface area. Literature reports since 2008 for real applications in the environmental remediation based on AOPs (from classical to new perspectives) coupled to PARAFAC and MCR-ALS with first-, second- and third-order data were reviewed and the improvements obtained were briefly discussed. The two- and multi-way calibration strategies allow one the successful decomposition of first-, second- and third-order data collected from different analytical techniques. Therefore, the respective profiles obtained allowed qualitative (spectral profiles) and quantitative (concentration profiles) analysis of complex samples during the degradation of contaminants through the second-order advantage. Finally, trends of future research directions for AOPs coupled to various analytical techniques and advanced chemometric models were provided.","container-title":"Trends in Environmental Analytical Chemistry","DOI":"10.1016/j.teac.2019.e00072","ISSN":"2214-1588","journalAbbreviation":"Trends in Environmental Analytical Chemistry","page":"e00072","source":"ScienceDirect","title":"A review on advanced oxidation processes: From classical to new perspectives coupled to two- and multi-way calibration strategies to monitor degradation of contaminants in environmental samples","title-short":"A review on advanced oxidation processes","volume":"24","author":[{"family":"Mazivila","given":"Sarmento J."},{"family":"Ricardo","given":"Ivo A."},{"family":"Leitão","given":"João M. M."},{"family":"Esteves da Silva","given":"Joaquim C. G."}],"issued":{"date-parts":[["2019",10,1]]}}}],"schema":"https://github.com/citation-style-language/schema/raw/master/csl-citation.json"} </w:instrText>
      </w:r>
      <w:r w:rsidR="00AE2DE8">
        <w:fldChar w:fldCharType="separate"/>
      </w:r>
      <w:r w:rsidR="005C324C" w:rsidRPr="005C324C">
        <w:t>[7,8]</w:t>
      </w:r>
      <w:r w:rsidR="00AE2DE8">
        <w:fldChar w:fldCharType="end"/>
      </w:r>
      <w:r w:rsidR="009F009B">
        <w:t xml:space="preserve">. </w:t>
      </w:r>
      <w:r>
        <w:t xml:space="preserve"> </w:t>
      </w:r>
      <w:r w:rsidR="008E22DE">
        <w:t xml:space="preserve">Moreover, considering that more than 80,000 individual chemicals are estimated to be present in municipal wastewater effluents </w:t>
      </w:r>
      <w:r w:rsidR="00AE2DE8">
        <w:fldChar w:fldCharType="begin"/>
      </w:r>
      <w:r w:rsidR="009F009B">
        <w:instrText xml:space="preserve"> ADDIN ZOTERO_ITEM CSL_CITATION {"citationID":"ZTM525DE","properties":{"formattedCitation":"[9]","plainCitation":"[9]","noteIndex":0},"citationItems":[{"id":1101,"uris":["http://zotero.org/users/local/8TMZWfC3/items/C7ECIDIP"],"itemData":{"id":1101,"type":"article-journal","abstract":"This study discussed a proposed process to prioritize chemicals for reclaimed water monitoring programs, selection of analytical methods required for their quantification, toxicological relevance of chemicals of emerging concern regarding human health, and related issues. Given that thousands of chemicals are potentially present in reclaimed water and that information about those chemicals is rapidly evolving, a transparent, science-based framework was developed to guide prioritization of which compounds of emerging concern (CECs) should be included in reclaimed water monitoring programs. The recommended framework includes four steps: (1) compile environmental concentrations (e.g., measured environmental concentration or MEC) of CECs in the source water for reuse projects; (2) develop a monitoring trigger level (MTL) for each of these compounds (or groups thereof) based on toxicological relevance; (3) compare the environmental concentration (e.g., MEC) to the MTL; CECs with a MEC/MTL ratio greater than 1 should be prioritized for monitoring, compounds with a ratio less than ‘1’ should only be considered if they represent viable treatment process performance indicators; and (4) screen the priority list to ensure that a commercially available robust analytical method is available for that compound.","container-title":"Water Science and Technology","DOI":"10.2166/wst.2012.520","ISSN":"0273-1223","issue":"2","journalAbbreviation":"Water Science and Technology","page":"433-439","source":"Silverchair","title":"Designing monitoring programs for chemicals of emerging concern in potable reuse – what to include and what not to include?","volume":"67","author":[{"family":"Drewes","given":"J. E."},{"family":"Anderson","given":"P."},{"family":"Denslow","given":"N."},{"family":"Olivieri","given":"A."},{"family":"Schlenk","given":"D."},{"family":"Snyder","given":"S. A."},{"family":"Maruya","given":"K. A."}],"issued":{"date-parts":[["2013",1,1]]}}}],"schema":"https://github.com/citation-style-language/schema/raw/master/csl-citation.json"} </w:instrText>
      </w:r>
      <w:r w:rsidR="00AE2DE8">
        <w:fldChar w:fldCharType="separate"/>
      </w:r>
      <w:r w:rsidR="005C324C" w:rsidRPr="005C324C">
        <w:t>[9]</w:t>
      </w:r>
      <w:r w:rsidR="00AE2DE8">
        <w:fldChar w:fldCharType="end"/>
      </w:r>
      <w:r w:rsidR="008E22DE">
        <w:t xml:space="preserve">, monitoring approaches suitable to assess the capability of conventional and advanced treatment systems to remove different contaminants are urgently needed. The solution represented by the identification and continuous monitoring of all the substances present in wastewater effluents cannot be considered sustainable, also taking into account that high number of compounds are present at very low concentration levels (Trace Organic Chemicals, TOrCs) and many substances undergo transformation products </w:t>
      </w:r>
      <w:r w:rsidR="001D0B92">
        <w:lastRenderedPageBreak/>
        <w:t xml:space="preserve">(TPs) </w:t>
      </w:r>
      <w:r w:rsidR="008E22DE">
        <w:t xml:space="preserve">with potentially unknown structure. The need of identify analytical parameters, easy to be monitored and </w:t>
      </w:r>
      <w:r w:rsidR="001D0B92">
        <w:t xml:space="preserve">directly related with </w:t>
      </w:r>
      <w:r w:rsidR="008E22DE">
        <w:t xml:space="preserve">the process efficacy and efficiency has been reviewed </w:t>
      </w:r>
      <w:r w:rsidR="00185376">
        <w:t>and the approach adopting surrogate methods and</w:t>
      </w:r>
      <w:r w:rsidR="009F009B">
        <w:t xml:space="preserve"> indicators has been discussed </w:t>
      </w:r>
      <w:r w:rsidR="00AE2DE8">
        <w:fldChar w:fldCharType="begin"/>
      </w:r>
      <w:r w:rsidR="009F009B">
        <w:instrText xml:space="preserve"> ADDIN ZOTERO_ITEM CSL_CITATION {"citationID":"7jkKp8SR","properties":{"formattedCitation":"[10]","plainCitation":"[10]","noteIndex":0},"citationItems":[{"id":1105,"uris":["http://zotero.org/users/local/8TMZWfC3/items/6595V2CR"],"itemData":{"id":1105,"type":"article-journal","abstract":"Advanced oxidation processes (AOPs) have been studied since many years for the removal of organic bio recalcitrant molecules and proposed as tertiary treatment for effluent waters. Mostly ozonation and UV-H2O2 have found application in water treatment utilities plant. It is highly relevant establish reliable measurement for real-time monitoring of the AOPs course in order to allowing fast intervention in case of malfunctioning. Sophisticated and powerful analytical techniques based on mass spectrometry do not fulfil requirements for being used inline. Surrogate-based models have been therefore considered for their suitability, together with the use of carefully selected indicator molecules for the creation of correlation models representative of groups of pollutants. The most relevant features of the above mentioned approaches are discussed evidencing their strength and weakness as well as their complementary role when optimizing AOP, at laboratory scale for an in depth system characterization, and at plant scale for the process monitoring during its application at real cases.","container-title":"Microchemical Journal","DOI":"10.1016/j.microc.2021.106799","ISSN":"0026-265X","journalAbbreviation":"Microchemical Journal","page":"106799","source":"ScienceDirect","title":"Analytical control in advanced oxidation processes: Surrogate models and indicators vs traditional methods","title-short":"Analytical control in advanced oxidation processes","volume":"171","author":[{"family":"Fabbri","given":"Debora"},{"family":"Bianco Prevot","given":"Alessandra"}],"issued":{"date-parts":[["2021",12,1]]}}}],"schema":"https://github.com/citation-style-language/schema/raw/master/csl-citation.json"} </w:instrText>
      </w:r>
      <w:r w:rsidR="00AE2DE8">
        <w:fldChar w:fldCharType="separate"/>
      </w:r>
      <w:r w:rsidR="005C324C" w:rsidRPr="005C324C">
        <w:t>[10]</w:t>
      </w:r>
      <w:r w:rsidR="00AE2DE8">
        <w:fldChar w:fldCharType="end"/>
      </w:r>
      <w:r w:rsidR="008E22DE">
        <w:t>.</w:t>
      </w:r>
      <w:r w:rsidR="006856C5">
        <w:t xml:space="preserve"> At the same time, the development of sensors and easy to use devices allowing timing control of process parameters, further boosts the transition from costly and time-consuming laboratory analyses to in situ data acquisition </w:t>
      </w:r>
      <w:r w:rsidR="00AE2DE8">
        <w:fldChar w:fldCharType="begin"/>
      </w:r>
      <w:r w:rsidR="004F22BB">
        <w:instrText xml:space="preserve"> ADDIN ZOTERO_ITEM CSL_CITATION {"citationID":"8xSvPjL0","properties":{"formattedCitation":"[11\\uc0\\u8211{}13]","plainCitation":"[11–13]","noteIndex":0},"citationItems":[{"id":1302,"uris":["http://zotero.org/users/local/8TMZWfC3/items/D9DS7P7A"],"itemData":{"id":1302,"type":"article-journal","abstract":"A cheap and easy to use Arduino self-assembled automatic system was employed to continuously monitor the hydrogen peroxide consumption during the photo-Fenton degradation of caffeine, selected as model target compound. The automatic system made it possible to measure the H2O2 concentration in the reaction cell via a colorimetric reaction and to take samples for HPLC analysis minimising the operator manual intervention and exposure to UV radiation. The obtained results were compared in terms of LOD and LOQ with H2O2 measurements manually performed using UV-Vis spectrophotometry, evidencing better analytical performance when using the automatic system; LOD and LOQ were respectively 0.032 mM and 0.106 mM for the automatic system against 0.064 mM and 0.213 mM for UV-Vis spectrophotometry. Furthermore, the photo-Fenton treatment was optimised by means of a Design of Experiments (DoE) investigating the effect of added H2O2 concentration, iron concentration and caffeine initial concentration on system performances. The use of the automatic device for such monitoring provided several advantages: automation (with consequent reduction of the workload), measurement increased precision, reduced reagents consumption and waste production in agreement with the principles of Green Analytical Chemistry.","container-title":"Talanta","DOI":"10.1016/j.talanta.2024.126195","ISSN":"1873-3573","journalAbbreviation":"Talanta","language":"eng","note":"PMID: 38710127","page":"126195","source":"PubMed","title":"Automated H2O2 monitoring during photo-Fenton processes using an Arduino self-assembled automatic system","volume":"275","author":[{"family":"Antela","given":"Kevin U."},{"family":"Palma","given":"Davide"},{"family":"Morales-Rubio","given":"Angel"},{"family":"Cervera","given":"M. Luisa"},{"family":"Bianco Prevot","given":"Alessandra"}],"issued":{"date-parts":[["2024",5,3]]}}},{"id":1304,"uris":["http://zotero.org/users/local/8TMZWfC3/items/Z2S8W9RH"],"itemData":{"id":1304,"type":"article-journal","abstract":"Assessment of wastewater effluent quality in terms of physicochemical and microbial parameters is a difficult task; therefore, an online method which combines the variables and represents a final value as the quality index could be used as a useful management tool for decision makers. However, conventional measurement methods often have limitations, such as time-consuming processes and high associated costs, which hinder efficient and practical monitoring. Therefore, this study presents an approach that underscores the importance of using both short- and long-term memory networks (LSTM) to enhance monitoring capabilities within wastewater treatment plants (WWTPs). The use of LSTM networks for soft sensor design is presented as a promising solution for accurate variable estimation to quantify effluent quality using the total chemical oxygen demand (TCOD) quality index. For the realization of this work, we first generated a dataset that describes the behavior of the activated sludge system in discrete time. Then, we developed a deep LSTM network structure as a basis for formulating the LSTM-based soft sensor model. The results demonstrate that this structure produces high-precision predictions for the concentrations of soluble (Formula presented.) and solid (Formula presented.) substrates in the wastewater treatment system. After hyperparameter optimization, the predictive capacity of the proposed model is optimized, with average values of performance metrics, mean square error (MSE), coefficient of determination (R2), and mean absolute percentage error (MAPE), of 23.38, 0.97, and 1.31 for (Formula presented.), and 9.74, 0.93, and 1.89 for (Formula presented.), respectively. According to the results, the proposed LSTM-based soft sensor can be a valuable tool for determining effluent quality index in wastewater treatment systems. © 2023 by the authors.","archive":"Scopus","container-title":"Sensors","DOI":"10.3390/s23229236","ISSN":"1424-8220","issue":"22","language":"English","source":"Scopus","title":"Design of a Soft Sensor Based on Long Short-Term Memory Artificial Neural Network (LSTM) for Wastewater Treatment Plants","volume":"23","author":[{"family":"Recio-Colmenares","given":"R."},{"family":"León Becerril","given":"E."},{"family":"Gurubel Tun","given":"K.J."},{"family":"Conchas","given":"R.F."}],"issued":{"date-parts":[["2023"]]}}},{"id":1307,"uris":["http://zotero.org/users/local/8TMZWfC3/items/9WPSHZJL"],"itemData":{"id":1307,"type":"article-journal","abstract":"Developing a fast, sensitive and stable sensor for online monitoring nitrate concentration is an urgent need for the optimization of denitrification processes in wastewater treatment plants (WWTPs). In this study, the miniaturized spectrophotometric nitrate sensor was developed using UVC light-emitting diodes (LEDs) coupled with AlGaN or SiC-based photodiodes. The use of novel SiC photodiodes could effectively eliminate UVB and UVA light in the 230 nm LED emission spectra. Replacing 235 nm UVC-LED with 230 nm UVC-LED could effectively increase the detection sensitivity but not the linear range that follows the Lambert-Beer's law. The influences of dissolved organic matter (DOM) on nitrate analysis could be corrected by a unified coefficient α across the NO3--N concentration ranging in 0–50 mg/L. Across the investigated WWTP samples, the correction coefficient α was mainly determined by the fractions of humic substances with apparent molecular weight (MW) of 1.5–9.0 kDa, while the degradation of the large MW proteinaceous biopolymer resulted in dramatic variations of correction coefficient α along the WWTP A/A/O process. Microfiltration membranes with pore sizes ≤ 30 µm could sufficiently eliminate the influences of particles in effluents on photometric nitrate analysis. The ultrafiltration and enhanced coagulation treatment could effectively remove the biopolymer fractions of DOM in wastewater, and thus alleviate its influences on sensitivity and accuracy of nitrate analysis. The spectrophotometric nitrate sensors were successfully applied for on-line monitoring NO3--N concentrations in the influent and effluent of denitrifying biofilter in a municipal WWTP, providing high-frequency feedback signals to precise control of feeding external carbon source. © 2023 Elsevier B.V.","archive":"Scopus","container-title":"Sensors and Actuators B: Chemical","DOI":"10.1016/j.snb.2023.135178","ISSN":"0925-4005","language":"English","source":"Scopus","title":"Development and application of the UVC LED-based spectrophotometer for high frequency online monitoring of nitrate concentration in municipal wastewater","volume":"403","author":[{"family":"Han","given":"Y.-Z."},{"family":"Tian","given":"Y.-C."},{"family":"Ji","given":"W.-X."},{"family":"Li","given":"W.-B."},{"family":"Xue","given":"X.-F."},{"family":"Dong","given":"Y.-Q."},{"family":"Guan","given":"C.-Y."},{"family":"Zhou","given":"D."},{"family":"Li","given":"W.-T."},{"family":"Lu","given":"H."},{"family":"Li","given":"A.-M."}],"issued":{"date-parts":[["2024"]]}}}],"schema":"https://github.com/citation-style-language/schema/raw/master/csl-citation.json"} </w:instrText>
      </w:r>
      <w:r w:rsidR="00AE2DE8">
        <w:fldChar w:fldCharType="separate"/>
      </w:r>
      <w:r w:rsidR="005C324C" w:rsidRPr="005C324C">
        <w:t>[11–13]</w:t>
      </w:r>
      <w:r w:rsidR="00AE2DE8">
        <w:fldChar w:fldCharType="end"/>
      </w:r>
      <w:r w:rsidR="006856C5">
        <w:t>.</w:t>
      </w:r>
    </w:p>
    <w:p w14:paraId="330B4A1C" w14:textId="77777777" w:rsidR="00D83E06" w:rsidRDefault="00062F5A" w:rsidP="002D580E">
      <w:r>
        <w:t xml:space="preserve">The present Chapter mainly deals with a detailed exams of </w:t>
      </w:r>
      <w:r w:rsidR="00252C0D">
        <w:t xml:space="preserve">the </w:t>
      </w:r>
      <w:r>
        <w:t xml:space="preserve">analytical approaches for the microbiological quality assessment of treated wastewater and for the determination of CECs, being the key analytical issues to be faced to guarantee in a WWTP the proper functioning of tertiary and quaternary treatment, respectively. The topic will be afforded considering traditional </w:t>
      </w:r>
      <w:r w:rsidR="000A1D1D">
        <w:t>laboratory based</w:t>
      </w:r>
      <w:r>
        <w:t xml:space="preserve"> as well as real-time solutions. </w:t>
      </w:r>
    </w:p>
    <w:p w14:paraId="5326EAB7" w14:textId="77777777" w:rsidR="00D83E06" w:rsidRPr="00DA7412" w:rsidRDefault="00D83E06" w:rsidP="00B01B53"/>
    <w:p w14:paraId="17074074" w14:textId="77777777" w:rsidR="005275BE" w:rsidRDefault="005275BE">
      <w:pPr>
        <w:pStyle w:val="Titolo"/>
      </w:pPr>
    </w:p>
    <w:p w14:paraId="0C40710B" w14:textId="77777777" w:rsidR="005275BE" w:rsidRDefault="002252B0">
      <w:pPr>
        <w:pStyle w:val="Titolo1"/>
        <w:spacing w:after="240"/>
        <w:ind w:firstLine="0"/>
      </w:pPr>
      <w:bookmarkStart w:id="2" w:name="_heading=h.l6l5y2wvfcx9" w:colFirst="0" w:colLast="0"/>
      <w:bookmarkEnd w:id="2"/>
      <w:r>
        <w:t xml:space="preserve">Microbiological parameters </w:t>
      </w:r>
    </w:p>
    <w:p w14:paraId="1F3D70BD" w14:textId="7296BFF3" w:rsidR="00455D97" w:rsidRDefault="00455D97" w:rsidP="00455D97">
      <w:pPr>
        <w:spacing w:before="240" w:after="240"/>
        <w:ind w:firstLine="0"/>
      </w:pPr>
      <w:bookmarkStart w:id="3" w:name="_heading=h.qhq8fwh42jd8" w:colFirst="0" w:colLast="0"/>
      <w:bookmarkEnd w:id="3"/>
      <w:r>
        <w:t xml:space="preserve">Microbiological requirements to be achieved by WWTPs are dictated by the destination of treated water.  The most commonly adopted reuse practice for treated wastewater is for crop irrigation, and the parameters required for wastewater reuse in agriculture depend on the current legislation of each country </w:t>
      </w:r>
      <w:r w:rsidR="00AE2DE8">
        <w:fldChar w:fldCharType="begin"/>
      </w:r>
      <w:r w:rsidR="004F22BB">
        <w:instrText xml:space="preserve"> ADDIN ZOTERO_ITEM CSL_CITATION {"citationID":"xsK4Oj3b","properties":{"formattedCitation":"[14]","plainCitation":"[14]","noteIndex":0},"citationItems":[{"id":1107,"uris":["http://zotero.org/users/local/8TMZWfC3/items/MI8YMEPH"],"itemData":{"id":1107,"type":"webpage","abstract":"Managing water resources more efficiently and facilitating water reuse in the EU","language":"en","title":"Water Reuse - European Commission","URL":"https://environment.ec.europa.eu/topics/water/water-reuse_en","accessed":{"date-parts":[["2024",5,23]]},"issued":{"date-parts":[["2024",5,17]]}}}],"schema":"https://github.com/citation-style-language/schema/raw/master/csl-citation.json"} </w:instrText>
      </w:r>
      <w:r w:rsidR="00AE2DE8">
        <w:fldChar w:fldCharType="separate"/>
      </w:r>
      <w:r w:rsidR="005C324C" w:rsidRPr="005C324C">
        <w:t>[14]</w:t>
      </w:r>
      <w:r w:rsidR="00AE2DE8">
        <w:fldChar w:fldCharType="end"/>
      </w:r>
      <w:r>
        <w:t>.</w:t>
      </w:r>
    </w:p>
    <w:p w14:paraId="131ACFEA" w14:textId="6BFDA8B0" w:rsidR="005275BE" w:rsidRDefault="00455D97">
      <w:pPr>
        <w:spacing w:before="240" w:after="240"/>
        <w:ind w:firstLine="0"/>
      </w:pPr>
      <w:r>
        <w:t xml:space="preserve">The adequacy of </w:t>
      </w:r>
      <w:r w:rsidR="00F265C4">
        <w:t>disinfection treatment performed in a WWTP has to be carefully checked, since i</w:t>
      </w:r>
      <w:r w:rsidR="002252B0">
        <w:t xml:space="preserve">nsufficient treatment can represent a significant source of microbiological risk to human health and aquatic ecosystems </w:t>
      </w:r>
      <w:r w:rsidR="00AE2DE8">
        <w:fldChar w:fldCharType="begin"/>
      </w:r>
      <w:r w:rsidR="004F22BB">
        <w:instrText xml:space="preserve"> ADDIN ZOTERO_ITEM CSL_CITATION {"citationID":"3u6faAbU","properties":{"formattedCitation":"[15,16]","plainCitation":"[15,16]","noteIndex":0},"citationItems":[{"id":1109,"uris":["http://zotero.org/users/local/8TMZWfC3/items/4CUNMU5H"],"itemData":{"id":1109,"type":"article-journal","abstract":"With the increasing interest in recycling water for potable reuse purposes, it is important to understand the microbial risks associated with potable reuse. This review focuses on potable reuse systems that use high-level treatment and de facto reuse scenarios that include a quantifiable wastewater effluent component.","container-title":"Current Environmental Health Reports","DOI":"10.1007/s40572-018-0195-y","ISSN":"2196-5412","issue":"2","journalAbbreviation":"Curr Envir Health Rpt","language":"en","page":"283-292","source":"Springer Link","title":"Potable Water Reuse: What Are the Microbiological Risks?","title-short":"Potable Water Reuse","volume":"5","author":[{"family":"Nappier","given":"Sharon P."},{"family":"Soller","given":"Jeffrey A."},{"family":"Eftim","given":"Sorina E."}],"issued":{"date-parts":[["2018",6,1]]}}},{"id":1111,"uris":["http://zotero.org/users/local/8TMZWfC3/items/Y3GG2JRW"],"itemData":{"id":1111,"type":"article-journal","abstract":"Wastewater reuse represents a promising alternative source of water supply considering the water scarcity related to climate change. However, if not adequately treated, wastewater represents a source of microbiological health risk. The purpose of this work was to investigate the role of wastewater treatment on microbiological contamination by evaluating the possible risks associated with wastewater effluent reuse, taking into account new EU legislation (2020/741) on minimum requirements for water reuse. E. coli that produce Shiga toxins (STEC) and thermotolerant Campylobacter were monitored using an enrichment step associated with specific PCR, while Salmonella spp. and Legionella were detected with both cultural and molecular methods (PCR and q-PCR, respectively). Culture method was also used for the enumeration of different microbial indicators. The bacteria detection was compared in different wastewater plants with membrane bioreactor (MBR) system or with disinfection step with chlorine dioxide (ClO2). Moreover a comparison between molecular and culture methods was discussed.","container-title":"Environmental Sciences Europe","DOI":"10.1186/s12302-022-00597-0","ISSN":"2190-4715","issue":"1","journalAbbreviation":"Environmental Sciences Europe","page":"20","source":"BioMed Central","title":"Impact of wastewater treatment plants on microbiological contamination for evaluating the risks of wastewater reuse","volume":"34","author":[{"family":"Bonetta","given":"Silvia"},{"family":"Pignata","given":"Cristina"},{"family":"Gasparro","given":"Elisa"},{"family":"Richiardi","given":"Lisa"},{"family":"Bonetta","given":"Sara"},{"family":"Carraro","given":"Elisabetta"}],"issued":{"date-parts":[["2022",3,5]]}}}],"schema":"https://github.com/citation-style-language/schema/raw/master/csl-citation.json"} </w:instrText>
      </w:r>
      <w:r w:rsidR="00AE2DE8">
        <w:fldChar w:fldCharType="separate"/>
      </w:r>
      <w:r w:rsidR="005C324C" w:rsidRPr="005C324C">
        <w:t>[15,16]</w:t>
      </w:r>
      <w:r w:rsidR="00AE2DE8">
        <w:fldChar w:fldCharType="end"/>
      </w:r>
      <w:r w:rsidR="002252B0">
        <w:t>.</w:t>
      </w:r>
    </w:p>
    <w:p w14:paraId="06A701E7" w14:textId="47C48FD4" w:rsidR="005275BE" w:rsidRDefault="002252B0">
      <w:pPr>
        <w:spacing w:before="240" w:after="240"/>
        <w:ind w:firstLine="0"/>
      </w:pPr>
      <w:r>
        <w:t xml:space="preserve">Many pathogens are commonly detected in </w:t>
      </w:r>
      <w:r w:rsidR="0038756D">
        <w:t xml:space="preserve">the </w:t>
      </w:r>
      <w:r>
        <w:t xml:space="preserve">most WWTPs effluents, including bacteria, Helminth eggs, and protozoa. For these reasons, specific and reliable tools for monitoring microbiological parameters in WWTPs are required </w:t>
      </w:r>
      <w:r w:rsidR="00AE2DE8">
        <w:fldChar w:fldCharType="begin"/>
      </w:r>
      <w:r w:rsidR="004F22BB">
        <w:instrText xml:space="preserve"> ADDIN ZOTERO_ITEM CSL_CITATION {"citationID":"ICzZR94y","properties":{"formattedCitation":"[17]","plainCitation":"[17]","noteIndex":0},"citationItems":[{"id":1114,"uris":["http://zotero.org/users/local/8TMZWfC3/items/7FQY8A98"],"itemData":{"id":1114,"type":"article-journal","abstract":"The continued depletion of fresh drinking water resources throughout the world has increased the need for a variety of water treatment and recycling strategies. Conventional wastewater treatment processes rely on extensive chemical post-disinfection to comply with the stringent microbiological safety for water reuse. When well designed and operated, membrane bioreactors (MBRs) can consistently achieve efficient removals of suspended solids, protozoa and coliform bacteria. Under optimal conditions, MBR systems can also significantly remove various viruses and phages. This paper provides an in-depth overview of the mechanisms and influencing factors of pathogen removal by MBR and highlights practical issues, such as reduced chemical disinfectant dosing requirements and associated economic and environmental benefits. Special attention has been paid to the aspects, such as membrane cleaning, membrane imperfections/breach and microbial regrowth, in the distribution system on the overall pathogen removal performance of MBR.","container-title":"Water","DOI":"10.3390/w6123603","ISSN":"2073-4441","issue":"12","language":"en","license":"http://creativecommons.org/licenses/by/3.0/","note":"number: 12\npublisher: Multidisciplinary Digital Publishing Institute","page":"3603-3630","source":"www.mdpi.com","title":"Removal of Pathogens by Membrane Bioreactors: A Review of the Mechanisms, Influencing Factors and Reduction in Chemical Disinfectant Dosing","title-short":"Removal of Pathogens by Membrane Bioreactors","volume":"6","author":[{"family":"Hai","given":"Faisal I."},{"family":"Riley","given":"Thomas"},{"family":"Shawkat","given":"Samia"},{"family":"Magram","given":"Saleh F."},{"family":"Yamamoto","given":"Kazuo"}],"issued":{"date-parts":[["2014",12]]}}}],"schema":"https://github.com/citation-style-language/schema/raw/master/csl-citation.json"} </w:instrText>
      </w:r>
      <w:r w:rsidR="00AE2DE8">
        <w:fldChar w:fldCharType="separate"/>
      </w:r>
      <w:r w:rsidR="005C324C" w:rsidRPr="005C324C">
        <w:t>[17]</w:t>
      </w:r>
      <w:r w:rsidR="00AE2DE8">
        <w:fldChar w:fldCharType="end"/>
      </w:r>
      <w:r>
        <w:t xml:space="preserve">. Various techniques are used to determine the presence of pathogenic microorganisms in both influent and effluent wastewater, as they can cause severe illnesses </w:t>
      </w:r>
      <w:r w:rsidR="00497446">
        <w:t xml:space="preserve">for humans </w:t>
      </w:r>
      <w:r>
        <w:t xml:space="preserve">and even death </w:t>
      </w:r>
      <w:r w:rsidR="00AE2DE8">
        <w:fldChar w:fldCharType="begin"/>
      </w:r>
      <w:r w:rsidR="004F22BB">
        <w:instrText xml:space="preserve"> ADDIN ZOTERO_ITEM CSL_CITATION {"citationID":"BFvXAtKW","properties":{"formattedCitation":"[18]","plainCitation":"[18]","noteIndex":0},"citationItems":[{"id":1116,"uris":["http://zotero.org/users/local/8TMZWfC3/items/H49QM6AT"],"itemData":{"id":1116,"type":"article-journal","abstract":"Worldwide, raw or treated wastewater is used for irrigation. However, this practice implies that the microbial content must be controlled. Unfortunately, detection techniques for microorganisms are costly, time consuming, and require highly trained personnel. For these reasons, this study used particle size distribution to measure the microbial quality of wastewater through correlations between the number or volume of particles and the concentration of fecal coliforms, Salmonella spp. and helminth ova. Such correlations were obtained for both raw and chemically treated wastewater. The best fit was the one for helminth ova, which applies for both the influent and effluent and also for all the coagulants involved. This technique allows the on-line quantification of helminth ova at a cost of US$3 and it takes only 5 minutes, instead of the US$70 and 5 days for the standard technique. With respect to the coagulants applied, their behavior is different only for particles smaller than 8 mm, and thus this value is considered as the critical size for this particular treatment. The best coagulant was the aluminium polychloride. In addition, this work establishes the distribution of COD, TSS, nitrogen, and phosphorous for particles smaller and larger than 20 mm.","container-title":"Water Science and Technology","DOI":"10.2166/wst.2004.0119","ISSN":"0273-1223","issue":"2","journalAbbreviation":"Water Science and Technology","page":"179-186","source":"Silverchair","title":"Particle size distribution as a useful tool for microbial detection","volume":"50","author":[{"family":"Chavez","given":"A."},{"family":"Jimenez","given":"B."},{"family":"Maya","given":"C."}],"issued":{"date-parts":[["2004",7,1]]}}}],"schema":"https://github.com/citation-style-language/schema/raw/master/csl-citation.json"} </w:instrText>
      </w:r>
      <w:r w:rsidR="00AE2DE8">
        <w:fldChar w:fldCharType="separate"/>
      </w:r>
      <w:r w:rsidR="005C324C" w:rsidRPr="005C324C">
        <w:t>[18]</w:t>
      </w:r>
      <w:r w:rsidR="00AE2DE8">
        <w:fldChar w:fldCharType="end"/>
      </w:r>
      <w:r>
        <w:t>.</w:t>
      </w:r>
    </w:p>
    <w:p w14:paraId="5000AFBE" w14:textId="1778590C" w:rsidR="005275BE" w:rsidRDefault="002252B0">
      <w:pPr>
        <w:spacing w:before="240" w:after="240"/>
        <w:ind w:firstLine="0"/>
      </w:pPr>
      <w:r>
        <w:t xml:space="preserve">The parameters commonly monitored in treated wastewater include </w:t>
      </w:r>
      <w:r w:rsidR="00AE2DE8">
        <w:fldChar w:fldCharType="begin"/>
      </w:r>
      <w:r w:rsidR="004F22BB">
        <w:instrText xml:space="preserve"> ADDIN ZOTERO_ITEM CSL_CITATION {"citationID":"l0aoi8JN","properties":{"formattedCitation":"[16]","plainCitation":"[16]","noteIndex":0},"citationItems":[{"id":1111,"uris":["http://zotero.org/users/local/8TMZWfC3/items/Y3GG2JRW"],"itemData":{"id":1111,"type":"article-journal","abstract":"Wastewater reuse represents a promising alternative source of water supply considering the water scarcity related to climate change. However, if not adequately treated, wastewater represents a source of microbiological health risk. The purpose of this work was to investigate the role of wastewater treatment on microbiological contamination by evaluating the possible risks associated with wastewater effluent reuse, taking into account new EU legislation (2020/741) on minimum requirements for water reuse. E. coli that produce Shiga toxins (STEC) and thermotolerant Campylobacter were monitored using an enrichment step associated with specific PCR, while Salmonella spp. and Legionella were detected with both cultural and molecular methods (PCR and q-PCR, respectively). Culture method was also used for the enumeration of different microbial indicators. The bacteria detection was compared in different wastewater plants with membrane bioreactor (MBR) system or with disinfection step with chlorine dioxide (ClO2). Moreover a comparison between molecular and culture methods was discussed.","container-title":"Environmental Sciences Europe","DOI":"10.1186/s12302-022-00597-0","ISSN":"2190-4715","issue":"1","journalAbbreviation":"Environmental Sciences Europe","page":"20","source":"BioMed Central","title":"Impact of wastewater treatment plants on microbiological contamination for evaluating the risks of wastewater reuse","volume":"34","author":[{"family":"Bonetta","given":"Silvia"},{"family":"Pignata","given":"Cristina"},{"family":"Gasparro","given":"Elisa"},{"family":"Richiardi","given":"Lisa"},{"family":"Bonetta","given":"Sara"},{"family":"Carraro","given":"Elisabetta"}],"issued":{"date-parts":[["2022",3,5]]}}}],"schema":"https://github.com/citation-style-language/schema/raw/master/csl-citation.json"} </w:instrText>
      </w:r>
      <w:r w:rsidR="00AE2DE8">
        <w:fldChar w:fldCharType="separate"/>
      </w:r>
      <w:r w:rsidR="005C324C" w:rsidRPr="005C324C">
        <w:t>[16]</w:t>
      </w:r>
      <w:r w:rsidR="00AE2DE8">
        <w:fldChar w:fldCharType="end"/>
      </w:r>
      <w:r>
        <w:t>:</w:t>
      </w:r>
    </w:p>
    <w:p w14:paraId="4562E809" w14:textId="5631B807" w:rsidR="005275BE" w:rsidRDefault="002252B0">
      <w:pPr>
        <w:numPr>
          <w:ilvl w:val="0"/>
          <w:numId w:val="3"/>
        </w:numPr>
        <w:spacing w:before="240" w:after="240"/>
      </w:pPr>
      <w:r w:rsidRPr="004F22BB">
        <w:rPr>
          <w:i/>
          <w:iCs/>
        </w:rPr>
        <w:t>Total fecal coliforms</w:t>
      </w:r>
      <w:r>
        <w:t xml:space="preserve"> are especially indicative of water quality, among the bacteria that can be found are </w:t>
      </w:r>
      <w:r>
        <w:rPr>
          <w:i/>
        </w:rPr>
        <w:t xml:space="preserve">E. coli </w:t>
      </w:r>
      <w:r>
        <w:t xml:space="preserve">and </w:t>
      </w:r>
      <w:r>
        <w:rPr>
          <w:i/>
        </w:rPr>
        <w:t>Enterococci</w:t>
      </w:r>
      <w:r>
        <w:t xml:space="preserve">, whose bacterial size ranges between 0.7-1.5 μm and are one of the main causative factors of waterborne diseases such as gastroenteritis, dysentery, diarrhea and viral hepatitis </w:t>
      </w:r>
      <w:r w:rsidR="00AE2DE8">
        <w:fldChar w:fldCharType="begin"/>
      </w:r>
      <w:r w:rsidR="004F22BB">
        <w:instrText xml:space="preserve"> ADDIN ZOTERO_ITEM CSL_CITATION {"citationID":"7tSXOepJ","properties":{"formattedCitation":"[19\\uc0\\u8211{}21]","plainCitation":"[19–21]","noteIndex":0},"citationItems":[{"id":1118,"uris":["http://zotero.org/users/local/8TMZWfC3/items/KAV34VG4"],"itemData":{"id":1118,"type":"article-journal","abstract":"The removal efficiencies of pathogens such as Salmonella (S), helminths ova (H), protozoan cysts (P), total coliforms (TC), faecal coliforms (FC) and faecal streptococci (FS) by three treatment processes: aerated lagoon (AL), activated sludge (AS) and anaerobic membrane bioreactor (MBR) were evaluated by means of standard microbiological numeration methods. The micro-toxicity and phyto-toxicity of wastewaters were monitored by LUMIStox and germination index (GI) of Lepidium sativum tests. The results of municipal wastewaters receiving industrial effluents such as Sfax and Mahres were compared with other municipal wastewaters receiving mainly domestic effluents such as Ksour-Essaf. The anaerobic MBR allowed an effective removal of 100% for all the microorganisms tested. The average removal of TC, FC, FS, S, H and P was 1.65log10, 1.42log10, 1.23log10, 0.91log10, 52.23% and 76.15% in AL system and 0.62–0.84log10, 0.87–0.93log10, 0.71–0.78log10, 0.81–2.71log10, 59–74.1% and 59.84–72.2% in AS processes, respectively. LUMIStox and GI of L. sativum tests demonstrated that Ksour-Essaf wastewater (KW) was fairly toxic, while Sfax wastewater (SW) exhibited a high toxicity. This toxicity caused the inhibition of the anaerobic consortia when the MBR was fed with the SW. Moreover, the COD and the micro-toxicity increased during the day, parallel to the industrial and domestic activities resulting in the toxic character of SW during the day. SW treated in the AL remained toxic whereas the toxicity of KW treated in the AS or in anaerobic MBR decreased considerably. However, the anaerobic MBR showed a high efficiency in removing toxicity for both SW and KW. The quality of the anaerobic MBR permeate largely conforms with the microbiological WHO guidelines for unrestricted irrigation.","container-title":"Microbiological Research","DOI":"10.1016/j.micres.2006.11.007","ISSN":"0944-5013","issue":"2","journalAbbreviation":"Microbiological Research","page":"138-148","source":"ScienceDirect","title":"Assessment of the impact of excessive chemical additions to municipal wastewaters and comparison of three technologies in the removal performance of pathogens and toxicity","volume":"164","author":[{"family":"Ellouze","given":"Mariem"},{"family":"Saddoud","given":"Ahlem"},{"family":"Dhouib","given":"Abdelhafidh"},{"family":"Sayadi","given":"Sami"}],"issued":{"date-parts":[["2009",1,1]]}}},{"id":1120,"uris":["http://zotero.org/users/local/8TMZWfC3/items/VHVGV93C"],"itemData":{"id":1120,"type":"article-journal","abstract":"SUMMARY\nFecal microorganisms can enter water bodies in diverse ways, including runoff, sewage discharge, and direct fecal deposition. Once in water, the microorganisms experience conditions that are very different from intestinal habitats. The transition from host to aquatic environment may lead to rapid inactivation, some degree of persistence, or growth. Microorganisms may remain planktonic, be deposited in sediment, wash up on beaches, or attach to aquatic vegetation. Each of these habitats offers a panoply of different stressors or advantages, including UV light exposure, temperature fluctuations, salinity, nutrient availability, and biotic interactions with the indigenous microbiota (e.g., predation and/or competition). The host sources of fecal microorganisms are likewise numerous, including wildlife, pets, livestock, and humans. Most of these microorganisms are unlikely to affect human health, but certain taxa can cause waterborne disease. Others signal increased probability of pathogen presence, e.g., the fecal indicator bacteria Escherichia coli and enterococci and bacteriophages, or act as fecal source identifiers (microbial source tracking markers). The effects of environmental factors on decay are frequently inconsistent across microbial species, fecal sources, and measurement strategies (e.g., culture versus molecular). Therefore, broad generalizations about the fate of fecal microorganisms in aquatic environments are problematic, compromising efforts to predict microbial decay and health risk from contamination events. This review summarizes the recent literature on decay of fecal microorganisms in aquatic environments, recognizes defensible generalizations, and identifies knowledge gaps that may provide particularly fruitful avenues for obtaining a better understanding of the fates of these organisms in aquatic environments.","container-title":"Microbiology and Molecular Biology Reviews","DOI":"10.1128/mmbr.00005-19","issue":"4","note":"publisher: American Society for Microbiology","page":"10.1128/mmbr.00005-19","source":"journals.asm.org (Atypon)","title":"Persistence and Decay of Fecal Microbiota in Aquatic Habitats","volume":"83","author":[{"family":"Korajkic","given":"Asja"},{"family":"Wanjugi","given":"Pauline"},{"family":"Brooks","given":"Lauren"},{"family":"Cao","given":"Yiping"},{"family":"Harwood","given":"Valerie J."}],"issued":{"date-parts":[["2019",10,2]]}}},{"id":1121,"uris":["http://zotero.org/users/local/8TMZWfC3/items/XKIPHPZW"],"itemData":{"id":1121,"type":"article-journal","abstract":"Fecal coliform in the tailwater from sewage treatment needs to be deeply removed by chlorine disinfection, but ensuing disinfection by-products (DBPs) bring severe environmental and sanitary risks. Therefore, current work focused on whether bioretention cells can be used as an eco-friendly method to effectively remove fecal coliforms from tailwater remains to be further studied. Three saturated arbuscular mycorrhizal fungi (AMF)-Canna indica L. induced bioretention cells with anthracite of different sizes (0.5–1, 1–2, and 2–4 mm) and their control groups were designed to investigate tailwater fecal coliform removal efficiency. The AMF colonization of Glomus on Canna and its improvement effect, as well as the factors affecting the fecal coliform removal efficiency of the AMF-Canna bioretention cells, were discussed. The results revealed that AMF could successfully inoculate on Canna to form a stable symbiotic system and improve its plant height, root length, and underground biomass. The bioretention cells could remove fecal coliforms of 1.37 log to 3.73 log in the tailwater from sewage treatment (103.04–104.73 MPN/L). The removal efficiency of fecal coliforms of bioretention cells would be improved with AMF inoculation and the increase of the influent fecal coliform concentration, but the influence of hydraulic retention time (HRT) was relatively limited. Current findings proved that bioretention cells investigated in the present study had potential to further reduce the HRT and increase the influent pollution load on the premise of performing efficient fecal coliform removal.","container-title":"Ecological Indicators","DOI":"10.1016/j.ecolind.2023.110526","ISSN":"1470-160X","journalAbbreviation":"Ecological Indicators","page":"110526","source":"ScienceDirect","title":"Removal of fecal coliforms from sewage treatment plant tailwater through AMF-&lt;i&gt;Canna indica&lt;/i&gt; induced bioretention cells","volume":"154","author":[{"family":"Wang","given":"Fei"},{"family":"Zhou","given":"Kemei"},{"family":"Fu","given":"Dafang"},{"family":"Prasad Singh","given":"Rajendra"}],"issued":{"date-parts":[["2023",10,1]]}}}],"schema":"https://github.com/citation-style-language/schema/raw/master/csl-citation.json"} </w:instrText>
      </w:r>
      <w:r w:rsidR="00AE2DE8">
        <w:fldChar w:fldCharType="separate"/>
      </w:r>
      <w:r w:rsidR="005C324C" w:rsidRPr="005C324C">
        <w:t>[19–21]</w:t>
      </w:r>
      <w:r w:rsidR="00AE2DE8">
        <w:fldChar w:fldCharType="end"/>
      </w:r>
      <w:r>
        <w:t>.</w:t>
      </w:r>
    </w:p>
    <w:p w14:paraId="7E6C7D34" w14:textId="61937FAD" w:rsidR="005275BE" w:rsidRDefault="002252B0">
      <w:pPr>
        <w:numPr>
          <w:ilvl w:val="0"/>
          <w:numId w:val="3"/>
        </w:numPr>
        <w:spacing w:before="240" w:after="240"/>
      </w:pPr>
      <w:r>
        <w:rPr>
          <w:i/>
        </w:rPr>
        <w:t>Five days Biological Oxygen Demand (BOD</w:t>
      </w:r>
      <w:r>
        <w:rPr>
          <w:i/>
          <w:vertAlign w:val="subscript"/>
        </w:rPr>
        <w:t>5</w:t>
      </w:r>
      <w:r>
        <w:rPr>
          <w:i/>
        </w:rPr>
        <w:t>)</w:t>
      </w:r>
      <w:r>
        <w:t xml:space="preserve"> </w:t>
      </w:r>
      <w:r w:rsidR="00497446">
        <w:t xml:space="preserve">is </w:t>
      </w:r>
      <w:r>
        <w:t>the amount of oxygen required to oxidize organic materials which can be biologically degraded, usually expressed in milligrams of O</w:t>
      </w:r>
      <w:r>
        <w:rPr>
          <w:vertAlign w:val="subscript"/>
        </w:rPr>
        <w:t xml:space="preserve">2 </w:t>
      </w:r>
      <w:r>
        <w:t xml:space="preserve">per </w:t>
      </w:r>
      <w:r w:rsidR="00E42E43">
        <w:t xml:space="preserve">litre </w:t>
      </w:r>
      <w:r w:rsidR="00AE2DE8">
        <w:fldChar w:fldCharType="begin"/>
      </w:r>
      <w:r w:rsidR="004F22BB">
        <w:instrText xml:space="preserve"> ADDIN ZOTERO_ITEM CSL_CITATION {"citationID":"5gAJtBNA","properties":{"formattedCitation":"[22]","plainCitation":"[22]","noteIndex":0},"citationItems":[{"id":1127,"uris":["http://zotero.org/users/local/8TMZWfC3/items/D2MI49NL"],"itemData":{"id":1127,"type":"article-journal","abstract":"Article Glossary for chemists of terms used in biotechnology (IUPAC Recommendations 1992) was published on January 1, 1992 in the journal Pure and Applied Chemistry (volume 64, issue 1).","container-title":"Pure and Applied Chemistry","DOI":"10.1351/pac199264010143","ISSN":"1365-3075","issue":"1","language":"en","license":"De Gruyter expressly reserves the right to use all content for commercial text and data mining within the meaning of Section 44b of the German Copyright Act.","note":"publisher: De Gruyter","page":"143-168","source":"www.degruyter.com","title":"Glossary for chemists of terms used in biotechnology (IUPAC Recommendations 1992)","volume":"64","author":[{"family":"Nagel","given":"B."},{"family":"Dellweg","given":"H."},{"family":"Gierasch","given":"L. M."}],"issued":{"date-parts":[["1992",1,1]]}}}],"schema":"https://github.com/citation-style-language/schema/raw/master/csl-citation.json"} </w:instrText>
      </w:r>
      <w:r w:rsidR="00AE2DE8">
        <w:fldChar w:fldCharType="separate"/>
      </w:r>
      <w:r w:rsidR="005C324C" w:rsidRPr="005C324C">
        <w:t>[22]</w:t>
      </w:r>
      <w:r w:rsidR="00AE2DE8">
        <w:fldChar w:fldCharType="end"/>
      </w:r>
      <w:r>
        <w:rPr>
          <w:color w:val="1F1F1F"/>
        </w:rPr>
        <w:t xml:space="preserve">. </w:t>
      </w:r>
      <w:r>
        <w:t>High BOD</w:t>
      </w:r>
      <w:r>
        <w:rPr>
          <w:vertAlign w:val="subscript"/>
        </w:rPr>
        <w:t>5</w:t>
      </w:r>
      <w:r>
        <w:t xml:space="preserve"> values can cause eutrophication </w:t>
      </w:r>
      <w:r w:rsidR="00E42E43">
        <w:t>as a consequence of the excessive presence of</w:t>
      </w:r>
      <w:r>
        <w:t xml:space="preserve"> biodegradable </w:t>
      </w:r>
      <w:r w:rsidR="00E42E43">
        <w:t xml:space="preserve">compounds </w:t>
      </w:r>
      <w:r>
        <w:t>that lead to the depletion of available oxygen, affecting aquatic ecosystems causing mass mortality and aggravating water pollution by increasing the generation of microorganisms</w:t>
      </w:r>
      <w:r w:rsidR="00EB3CAF">
        <w:t xml:space="preserve"> </w:t>
      </w:r>
      <w:r w:rsidR="00AE2DE8">
        <w:fldChar w:fldCharType="begin"/>
      </w:r>
      <w:r w:rsidR="004F22BB">
        <w:instrText xml:space="preserve"> ADDIN ZOTERO_ITEM CSL_CITATION {"citationID":"05dn5xiI","properties":{"formattedCitation":"[23]","plainCitation":"[23]","noteIndex":0},"citationItems":[{"id":1124,"uris":["http://zotero.org/users/local/8TMZWfC3/items/DSBGZC2F"],"itemData":{"id":1124,"type":"article-journal","abstract":"The Biochemical Oxygen Demand (BOD) is one of the most widely used criteria for water quality assessment. It provides information about the ready biodegradable fraction of the organic load in water. However, this analytical method is time-consuming (generally 5 days, BOD5), and the results may vary according to the laboratory (20%), primarily due to fluctuations in the microbial diversity of the inoculum used. Work performed during the two last decades has resulted in several technologies that are less time-consuming and more reliable. This review is devoted to the analysis of the technical features of the principal methods described in the literature in order to compare their performances (measuring window, reliability, robustness) and to identify the pros and the cons of each method.","container-title":"Water Research","DOI":"10.1016/j.watres.2013.10.066","ISSN":"0043-1354","journalAbbreviation":"Water Research","page":"62-82","source":"ScienceDirect","title":"Methods for assessing biochemical oxygen demand (BOD): A review","title-short":"Methods for assessing biochemical oxygen demand (BOD)","volume":"49","author":[{"family":"Jouanneau","given":"S."},{"family":"Recoules","given":"L."},{"family":"Durand","given":"M. J."},{"family":"Boukabache","given":"A."},{"family":"Picot","given":"V."},{"family":"Primault","given":"Y."},{"family":"Lakel","given":"A."},{"family":"Sengelin","given":"M."},{"family":"Barillon","given":"B."},{"family":"Thouand","given":"G."}],"issued":{"date-parts":[["2014",2,1]]}}}],"schema":"https://github.com/citation-style-language/schema/raw/master/csl-citation.json"} </w:instrText>
      </w:r>
      <w:r w:rsidR="00AE2DE8">
        <w:fldChar w:fldCharType="separate"/>
      </w:r>
      <w:r w:rsidR="005C324C" w:rsidRPr="005C324C">
        <w:t>[23]</w:t>
      </w:r>
      <w:r w:rsidR="00AE2DE8">
        <w:fldChar w:fldCharType="end"/>
      </w:r>
      <w:r>
        <w:t>.</w:t>
      </w:r>
    </w:p>
    <w:p w14:paraId="230C2F3A" w14:textId="0DF61148" w:rsidR="00F265C4" w:rsidRDefault="002252B0" w:rsidP="002252B0">
      <w:pPr>
        <w:numPr>
          <w:ilvl w:val="0"/>
          <w:numId w:val="3"/>
        </w:numPr>
        <w:spacing w:before="240" w:after="240"/>
        <w:ind w:firstLine="0"/>
      </w:pPr>
      <w:r w:rsidRPr="00F265C4">
        <w:rPr>
          <w:i/>
        </w:rPr>
        <w:lastRenderedPageBreak/>
        <w:t>Helminths</w:t>
      </w:r>
      <w:r>
        <w:t xml:space="preserve"> are large macro-parasites or parasitic worms ranging from 20 to 80 μm in size, mainly found in sewage, sludge, manure, and soil. Helminth eggs are considered one of the most common infection risks caused by sewage due to their persistence in the environment. They can cause significant health problems such as helminthiasis, which is difficult to detect in infected patients </w:t>
      </w:r>
      <w:r w:rsidR="00AE2DE8">
        <w:fldChar w:fldCharType="begin"/>
      </w:r>
      <w:r w:rsidR="004F22BB">
        <w:instrText xml:space="preserve"> ADDIN ZOTERO_ITEM CSL_CITATION {"citationID":"vabfp5AV","properties":{"formattedCitation":"[24]","plainCitation":"[24]","noteIndex":0},"citationItems":[{"id":1129,"uris":["http://zotero.org/users/local/8TMZWfC3/items/T593XCB3"],"itemData":{"id":1129,"type":"article-journal","abstract":"Helminth eggs are one of the microbial parameters that must be removed from water and sludge for its safe reuse. Detection and removal of these eggs is one of the most challenging and difficult tasks in the present time. Authorities are giving very little attention to the potential threat possessed by these eggs. The increasing abundance of various parasites in water is a raising concern for its reuse. This is mainly due to the negligence in detection and the inefficiency of wastewater treatment methods in treating and removal of these species of eggs. The proper identification of helminth eggs and development of its effective removal techniques is crucial in the recent time. This paper helps in summarizing the basics of helminth eggs and its classifications along with the contamination caused in fruits and vegetables. The review also provides an overview of advanced diagnostic and treatment methods available for the safe detection and removal of helminth species. Efficient and effective detection and treatment technologies will be helpful in eradicating these species making the water and sludge safe for reuse.","container-title":"Energy Nexus","DOI":"10.1016/j.nexus.2022.100147","ISSN":"2772-4271","journalAbbreviation":"Energy Nexus","page":"100147","source":"ScienceDirect","title":"Diagnostic and treatment technologies for detection and removal of helminth in wastewater and sludge","volume":"8","author":[{"family":"Mahapatra","given":"Saswat"},{"family":"Ali","given":"Md. Hibzur"},{"family":"Samal","given":"Kundan"},{"family":"Moulick","given":"Sanjib"}],"issued":{"date-parts":[["2022",12,1]]}}}],"schema":"https://github.com/citation-style-language/schema/raw/master/csl-citation.json"} </w:instrText>
      </w:r>
      <w:r w:rsidR="00AE2DE8">
        <w:fldChar w:fldCharType="separate"/>
      </w:r>
      <w:r w:rsidR="005C324C" w:rsidRPr="005C324C">
        <w:t>[24]</w:t>
      </w:r>
      <w:r w:rsidR="00AE2DE8">
        <w:fldChar w:fldCharType="end"/>
      </w:r>
      <w:r>
        <w:t>.</w:t>
      </w:r>
    </w:p>
    <w:p w14:paraId="257C76F3" w14:textId="21959FC7" w:rsidR="005275BE" w:rsidRDefault="002252B0" w:rsidP="002252B0">
      <w:pPr>
        <w:numPr>
          <w:ilvl w:val="0"/>
          <w:numId w:val="3"/>
        </w:numPr>
        <w:spacing w:before="240" w:after="240"/>
        <w:ind w:firstLine="0"/>
      </w:pPr>
      <w:r>
        <w:t xml:space="preserve"> </w:t>
      </w:r>
      <w:r w:rsidRPr="00F265C4">
        <w:rPr>
          <w:i/>
        </w:rPr>
        <w:t>Protozoa</w:t>
      </w:r>
      <w:r>
        <w:t xml:space="preserve"> are unicellular eukaryotic organisms present in activated sludge in quantities on the order of 3-20×10</w:t>
      </w:r>
      <w:r w:rsidRPr="00F265C4">
        <w:rPr>
          <w:vertAlign w:val="superscript"/>
        </w:rPr>
        <w:t>6</w:t>
      </w:r>
      <w:r>
        <w:t xml:space="preserve"> cells/L</w:t>
      </w:r>
      <w:r w:rsidR="000A1D1D">
        <w:t xml:space="preserve"> that</w:t>
      </w:r>
      <w:r>
        <w:t xml:space="preserve"> can interact directly or indirectly with bacterial populations. These parasites can cause infections such as </w:t>
      </w:r>
      <w:r w:rsidR="000A1D1D">
        <w:t>diarrhea</w:t>
      </w:r>
      <w:r>
        <w:t xml:space="preserve"> as well as asymptomatic infections in humans </w:t>
      </w:r>
      <w:r w:rsidR="00AE2DE8">
        <w:fldChar w:fldCharType="begin"/>
      </w:r>
      <w:r w:rsidR="004F22BB">
        <w:instrText xml:space="preserve"> ADDIN ZOTERO_ITEM CSL_CITATION {"citationID":"8NvWFOVV","properties":{"formattedCitation":"[25]","plainCitation":"[25]","noteIndex":0},"citationItems":[{"id":1131,"uris":["http://zotero.org/users/local/8TMZWfC3/items/NQCVQHGX"],"itemData":{"id":1131,"type":"article-journal","abstract":"Some of the microorganisms present in urban wastewater, which include intestinal protozoa and nematodes, can be pathogenic. Their (oo)cyst and egg transmissible stages are very resistant to environmental stresses and disinfectants and they are therefore difficult to remove. Thus, they can constitute a health risk if water or sludge obtained in the purification of wastewater is reused for agricultural purposes. In this context, the presence of intestinal protozoa and nematodes were studied in influents, effluents and sludge from five wastewater treatment plants (WWTPs) in the north of Spain by optical microscopy and PCR techniques. The removal efficiency of different wastewater treatments was also compared. The presence of protozoa has increased among the population discharging waste to WWTPs in recent years. Cryptosporidium spp., Giardia duodenalis, Entamoeba spp. and nematodes were detected in all of the WWTPs. Indeed, this is the first report of Entamoeba histolytica and Entamoeba moshkovskii in Spanish WWTPs. The water treatments studied showed different removal efficiencies for each species of intestinal protozoa, with the aerated lagoons providing the best results. (Oo)cysts were also detected in sludge even after aerobic digestion and dehydration. To avoid risks, (oo)cyst viability should be analysed whenever the sludge is to be used as a fertilizer. This study reinforces the necessity of establishing legal limits on the presence of protozoa in WWTP effluents and sludges, especially if reuse is planned. Further studies are necessary for a better understanding of the presence and behaviour of intestinal parasites.","container-title":"Journal of Environmental Management","DOI":"10.1016/j.jenvman.2020.110268","ISSN":"0301-4797","journalAbbreviation":"Journal of Environmental Management","page":"110268","source":"ScienceDirect","title":"Seeking the reuse of effluents and sludge from conventional wastewater treatment plants: Analysis of the presence of intestinal protozoa and nematode eggs","title-short":"Seeking the reuse of effluents and sludge from conventional wastewater treatment plants","volume":"261","author":[{"family":"Benito","given":"María"},{"family":"Menacho","given":"Carmen"},{"family":"Chueca","given":"Patricia"},{"family":"Ormad","given":"María P."},{"family":"Goñi","given":"Pilar"}],"issued":{"date-parts":[["2020",5,1]]}}}],"schema":"https://github.com/citation-style-language/schema/raw/master/csl-citation.json"} </w:instrText>
      </w:r>
      <w:r w:rsidR="00AE2DE8">
        <w:fldChar w:fldCharType="separate"/>
      </w:r>
      <w:r w:rsidR="005C324C" w:rsidRPr="005C324C">
        <w:t>[25]</w:t>
      </w:r>
      <w:r w:rsidR="00AE2DE8">
        <w:fldChar w:fldCharType="end"/>
      </w:r>
      <w:r w:rsidRPr="00F265C4">
        <w:rPr>
          <w:color w:val="1F1F1F"/>
        </w:rPr>
        <w:t xml:space="preserve">. </w:t>
      </w:r>
      <w:r>
        <w:t xml:space="preserve">Their transmissible stages of these parasites are in the form of cysts and eggs, which are very resistant to environmental changes and disinfectants, making them difficult to eliminate. They can easily spread in the environment, where they can remain viable for long periods, posing a potential health risk </w:t>
      </w:r>
      <w:r w:rsidR="00AE2DE8">
        <w:fldChar w:fldCharType="begin"/>
      </w:r>
      <w:r w:rsidR="004F22BB">
        <w:instrText xml:space="preserve"> ADDIN ZOTERO_ITEM CSL_CITATION {"citationID":"hMPDl3sE","properties":{"formattedCitation":"[26]","plainCitation":"[26]","noteIndex":0},"citationItems":[{"id":1134,"uris":["http://zotero.org/users/local/8TMZWfC3/items/ZDE7BR8K"],"itemData":{"id":1134,"type":"article-journal","abstract":"One of the key technological parameters for highly efficient wastewater treatment methods is bacterial mortality. Protozoa are known for feeding on free floating bacteria, that initiate floc formation and participate in putrefaction process. Reliable protozoa removal methods are still unavailable which have negative impact on the development of the current knowledge in this field. The aim of this study was to find the most effective method which removes most of protozoa present in the activated sludge without affecting the overall treatment efficiency. Seven possible methods of removing protozoa were tested by analysing several technological parameters. The evaluation of the presented methods was based on the efficiency of protozoa removal, as well as on the effects of the removal methods on autotrophic, heterotrophic and endogenous oxygen uptake. Mechanical disintegration proved to be the most effective and reliable method. It allowed for the complete removal of protozoa without the inhibition or inactivation of bacteria. The comprehensive and complete data obtained from the conducted research will be used to improve existing wastewater treatment processes with regards to both the technological point of view and mathematical modelling.","container-title":"Separation and Purification Technology","DOI":"10.1016/j.seppur.2022.122729","ISSN":"1383-5866","journalAbbreviation":"Separation and Purification Technology","page":"122729","source":"ScienceDirect","title":"Comparing methods for protozoa removal in activated sludge","volume":"306","author":[{"family":"Janiak","given":"Kamil"},{"family":"Trusz","given":"Agnieszka"},{"family":"Miodoński","given":"Stanisław"},{"family":"Muszyński-Huhajło","given":"Mateusz"},{"family":"Ratkiewicz","given":"Krzysztof"},{"family":"Zięba","given":"Bartosz"},{"family":"Jurga","given":"Anna"},{"family":"Struk-Sokołowska","given":"Joanna"},{"family":"Ofman","given":"Piotr"}],"issued":{"date-parts":[["2023",2,15]]}}}],"schema":"https://github.com/citation-style-language/schema/raw/master/csl-citation.json"} </w:instrText>
      </w:r>
      <w:r w:rsidR="00AE2DE8">
        <w:fldChar w:fldCharType="separate"/>
      </w:r>
      <w:r w:rsidR="005C324C" w:rsidRPr="005C324C">
        <w:t>[26]</w:t>
      </w:r>
      <w:r w:rsidR="00AE2DE8">
        <w:fldChar w:fldCharType="end"/>
      </w:r>
      <w:r>
        <w:t>.</w:t>
      </w:r>
    </w:p>
    <w:p w14:paraId="32EC0891" w14:textId="77777777" w:rsidR="005275BE" w:rsidRDefault="005275BE">
      <w:pPr>
        <w:spacing w:before="240" w:after="240"/>
        <w:ind w:firstLine="0"/>
      </w:pPr>
    </w:p>
    <w:p w14:paraId="241176AC" w14:textId="77777777" w:rsidR="005275BE" w:rsidRDefault="00455D97" w:rsidP="00455D97">
      <w:pPr>
        <w:pStyle w:val="Titolo2"/>
        <w:numPr>
          <w:ilvl w:val="0"/>
          <w:numId w:val="0"/>
        </w:numPr>
      </w:pPr>
      <w:r>
        <w:t xml:space="preserve">2.1 </w:t>
      </w:r>
      <w:r w:rsidR="002252B0">
        <w:t>Detection of microbiological contaminants in WWTPs</w:t>
      </w:r>
    </w:p>
    <w:p w14:paraId="4D026FB6" w14:textId="5B113839" w:rsidR="005275BE" w:rsidRDefault="002252B0">
      <w:pPr>
        <w:spacing w:before="240" w:after="240"/>
        <w:ind w:firstLine="0"/>
      </w:pPr>
      <w:r>
        <w:t xml:space="preserve">Microbial indicators are commonly used in WWTPs to assess water quality by identifying the presence and level of microbiological contamination. Total </w:t>
      </w:r>
      <w:r w:rsidRPr="00C84F2E">
        <w:t>coliforms (</w:t>
      </w:r>
      <w:r w:rsidR="00422689">
        <w:t xml:space="preserve">Figure </w:t>
      </w:r>
      <w:r w:rsidRPr="00C84F2E">
        <w:t>1) are</w:t>
      </w:r>
      <w:r>
        <w:t xml:space="preserve"> widely measured using culture methods, including counting colonies forming units (CFU) and multiple-tube fermentation (MTF) methods</w:t>
      </w:r>
      <w:r w:rsidR="0062768C">
        <w:t xml:space="preserve"> </w:t>
      </w:r>
      <w:r w:rsidR="00AE2DE8">
        <w:fldChar w:fldCharType="begin"/>
      </w:r>
      <w:r w:rsidR="004F22BB">
        <w:instrText xml:space="preserve"> ADDIN ZOTERO_ITEM CSL_CITATION {"citationID":"VZmJiayY","properties":{"formattedCitation":"[27]","plainCitation":"[27]","noteIndex":0},"citationItems":[{"id":1149,"uris":["http://zotero.org/users/local/8TMZWfC3/items/Z5DNSGN7"],"itemData":{"id":1149,"type":"article-journal","abstract":"Many urban waterways with older stormwater drainage systems receive a significant amount of untreated or poorly treated waste from Combined Sewer Outflow (CSO) systems during precipitation events. The input of effluent waste from CSO to urban water streams during storm events often leads to elevated fecal coliform, specifically Escherichia Coli (E. Coli) in these waterways. The aim of the study is to examine fecal coliform concentration, water chemistry, and water quality parameters to better understand spatio-temporal patterns of fecal coliform associated with CSO events in three waterways from Indianapolis, Indiana (USA). The waterways are Pleasant Run Creek (PRW), Fall Creek (FC) and White River (WR). The sampling occurred biweekly over one year for PRW, nine months for FC, and an intense (</w:instrText>
      </w:r>
      <w:r w:rsidR="004F22BB">
        <w:rPr>
          <w:rFonts w:ascii="Cambria Math" w:hAnsi="Cambria Math" w:cs="Cambria Math"/>
        </w:rPr>
        <w:instrText>∼</w:instrText>
      </w:r>
      <w:r w:rsidR="004F22BB">
        <w:instrText xml:space="preserve">every three days) sub-analysis of the presumed peak period of fecal coliform growth (July) for WR. All PRW and FC sampling sites significantly exceeded the EPA contact standard limit of 200 CFU/100 mL for fecal coliform concentrations during the sampling period. We found no relationship between fecal coliform levels and the number or density of CSO outfalls above a given site. The most significant predictors of increased fecal coliform concentrations were precipitation on the sampling day and cumulative degree days. The most significant predictors of decreased fecal coliform were maximum precipitation during the ten-day window prior to sampling and median discharge during a three-day window prior to sampling. These findings suggest a push-pull balance within the system where CSO activation and seasonal gradients replenish and promote fecal coliform growth. At the same time, large hydrologic events act to flush and dilute fecal coliform concentrations. The results from this study help us to better understand how different drivers influence fecal coliform growth and how this information can be potentially used to predict and remediate the conditions of urban water streams.","container-title":"Environmental Pollution","DOI":"10.1016/j.envpol.2023.121531","ISSN":"0269-7491","journalAbbreviation":"Environmental Pollution","page":"121531","source":"ScienceDirect","title":"The impact of combined sewer outflows on urban water quality: Spatio-temporal patterns of fecal coliform in indianapolis","title-short":"The impact of combined sewer outflows on urban water quality","volume":"327","author":[{"family":"Orr","given":"Isheka"},{"family":"Mazari","given":"Katerina"},{"family":"Shukle","given":"John T."},{"family":"Li","given":"Rui"},{"family":"Filippelli","given":"Gabriel M."}],"issued":{"date-parts":[["2023",6,15]]}}}],"schema":"https://github.com/citation-style-language/schema/raw/master/csl-citation.json"} </w:instrText>
      </w:r>
      <w:r w:rsidR="00AE2DE8">
        <w:fldChar w:fldCharType="separate"/>
      </w:r>
      <w:r w:rsidR="005C324C" w:rsidRPr="005C324C">
        <w:t>[27]</w:t>
      </w:r>
      <w:r w:rsidR="00AE2DE8">
        <w:fldChar w:fldCharType="end"/>
      </w:r>
      <w:r>
        <w:t>.</w:t>
      </w:r>
    </w:p>
    <w:p w14:paraId="7184810A" w14:textId="77777777" w:rsidR="005275BE" w:rsidRDefault="002252B0">
      <w:pPr>
        <w:spacing w:before="240" w:after="240"/>
        <w:ind w:firstLine="0"/>
        <w:jc w:val="center"/>
      </w:pPr>
      <w:r>
        <w:rPr>
          <w:noProof/>
          <w:lang w:val="it-IT" w:eastAsia="it-IT"/>
        </w:rPr>
        <w:drawing>
          <wp:inline distT="114300" distB="114300" distL="114300" distR="114300" wp14:anchorId="3CB35D85" wp14:editId="48177F2C">
            <wp:extent cx="3752850" cy="223837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cstate="print"/>
                    <a:srcRect/>
                    <a:stretch>
                      <a:fillRect/>
                    </a:stretch>
                  </pic:blipFill>
                  <pic:spPr>
                    <a:xfrm>
                      <a:off x="0" y="0"/>
                      <a:ext cx="3752850" cy="2238375"/>
                    </a:xfrm>
                    <a:prstGeom prst="rect">
                      <a:avLst/>
                    </a:prstGeom>
                    <a:ln/>
                  </pic:spPr>
                </pic:pic>
              </a:graphicData>
            </a:graphic>
          </wp:inline>
        </w:drawing>
      </w:r>
    </w:p>
    <w:p w14:paraId="03575A5E" w14:textId="508D517C" w:rsidR="005275BE" w:rsidRDefault="00422689">
      <w:pPr>
        <w:spacing w:before="240" w:after="240"/>
        <w:ind w:firstLine="0"/>
      </w:pPr>
      <w:r>
        <w:t xml:space="preserve">Figure </w:t>
      </w:r>
      <w:r w:rsidR="002252B0" w:rsidRPr="00C84F2E">
        <w:t>1. Diagrams</w:t>
      </w:r>
      <w:r w:rsidR="002252B0">
        <w:t xml:space="preserve"> showing different groups of Coliform bacteria in water. Adapted from </w:t>
      </w:r>
      <w:r w:rsidR="00AE2DE8">
        <w:fldChar w:fldCharType="begin"/>
      </w:r>
      <w:r w:rsidR="004F22BB">
        <w:instrText xml:space="preserve"> ADDIN ZOTERO_ITEM CSL_CITATION {"citationID":"SaF2VLmG","properties":{"formattedCitation":"[28]","plainCitation":"[28]","noteIndex":0},"citationItems":[{"id":1151,"uris":["http://zotero.org/users/local/8TMZWfC3/items/UFQRYJ8Q"],"itemData":{"id":1151,"type":"article-journal","container-title":"South Asian Journal of Research in Microbiology","DOI":"10.9734/sajrm/2020/v6i330150","ISSN":"2582-1989","language":"en","page":"9-16","source":"journalsajrm.com","title":"Assessment of Coliforms Bacteria Contamination in Lake Tanganyika as Bioindicators of Recreational and Drinking Water Quality","author":[{"family":"Niyoyitungiye","given":"Lambert"},{"family":"Giri","given":"Anirudha"},{"family":"Ndayisenga","given":"Marc"}],"issued":{"date-parts":[["2020",6,3]]}}}],"schema":"https://github.com/citation-style-language/schema/raw/master/csl-citation.json"} </w:instrText>
      </w:r>
      <w:r w:rsidR="00AE2DE8">
        <w:fldChar w:fldCharType="separate"/>
      </w:r>
      <w:r w:rsidR="005C324C" w:rsidRPr="005C324C">
        <w:t>[28]</w:t>
      </w:r>
      <w:r w:rsidR="00AE2DE8">
        <w:fldChar w:fldCharType="end"/>
      </w:r>
      <w:r w:rsidR="00E01FE2">
        <w:t>.</w:t>
      </w:r>
    </w:p>
    <w:p w14:paraId="493273D5" w14:textId="77777777" w:rsidR="005275BE" w:rsidRDefault="002252B0">
      <w:pPr>
        <w:spacing w:before="240" w:after="240"/>
        <w:ind w:firstLine="0"/>
      </w:pPr>
      <w:r>
        <w:t xml:space="preserve"> </w:t>
      </w:r>
    </w:p>
    <w:p w14:paraId="2F928840" w14:textId="5FAE0B3D" w:rsidR="005275BE" w:rsidRDefault="002252B0">
      <w:pPr>
        <w:spacing w:before="240" w:after="240"/>
        <w:ind w:firstLine="0"/>
      </w:pPr>
      <w:r>
        <w:t>For determining total fecal coliforms with CFU methods, membrane filtration (generally 0.45 microns) is commonly used for bacterial sampling over 100 mL of water sample; membranes are then incubated in plates at 44.5 °C for 24</w:t>
      </w:r>
      <w:r w:rsidR="00CE1B77">
        <w:t xml:space="preserve"> </w:t>
      </w:r>
      <w:r>
        <w:t>h using selective culture media to grow fecal coliforms. The number of CFU is obtained by plate counting and the results of the analysis are expressed in colony-forming units per mL</w:t>
      </w:r>
      <w:r w:rsidR="00E01FE2">
        <w:t xml:space="preserve"> </w:t>
      </w:r>
      <w:r w:rsidR="00AE2DE8">
        <w:fldChar w:fldCharType="begin"/>
      </w:r>
      <w:r w:rsidR="004F22BB">
        <w:instrText xml:space="preserve"> ADDIN ZOTERO_ITEM CSL_CITATION {"citationID":"9jDmC7E2","properties":{"formattedCitation":"[27,29]","plainCitation":"[27,29]","noteIndex":0},"citationItems":[{"id":1149,"uris":["http://zotero.org/users/local/8TMZWfC3/items/Z5DNSGN7"],"itemData":{"id":1149,"type":"article-journal","abstract":"Many urban waterways with older stormwater drainage systems receive a significant amount of untreated or poorly treated waste from Combined Sewer Outflow (CSO) systems during precipitation events. The input of effluent waste from CSO to urban water streams during storm events often leads to elevated fecal coliform, specifically Escherichia Coli (E. Coli) in these waterways. The aim of the study is to examine fecal coliform concentration, water chemistry, and water quality parameters to better understand spatio-temporal patterns of fecal coliform associated with CSO events in three waterways from Indianapolis, Indiana (USA). The waterways are Pleasant Run Creek (PRW), Fall Creek (FC) and White River (WR). The sampling occurred biweekly over one year for PRW, nine months for FC, and an intense (</w:instrText>
      </w:r>
      <w:r w:rsidR="004F22BB">
        <w:rPr>
          <w:rFonts w:ascii="Cambria Math" w:hAnsi="Cambria Math" w:cs="Cambria Math"/>
        </w:rPr>
        <w:instrText>∼</w:instrText>
      </w:r>
      <w:r w:rsidR="004F22BB">
        <w:instrText xml:space="preserve">every three days) sub-analysis of the presumed peak period of fecal coliform growth (July) for WR. All PRW and FC sampling sites significantly exceeded the EPA contact standard limit of 200 CFU/100 mL for fecal coliform concentrations during the sampling period. We found no relationship between fecal coliform levels and the number or density of CSO outfalls above a given site. The most significant predictors of increased fecal coliform concentrations were precipitation on the sampling day and cumulative degree days. The most significant predictors of decreased fecal coliform were maximum precipitation during the ten-day window prior to sampling and median discharge during a three-day window prior to sampling. These findings suggest a push-pull balance within the system where CSO activation and seasonal gradients replenish and promote fecal coliform growth. At the same time, large hydrologic events act to flush and dilute fecal coliform concentrations. The results from this study help us to better understand how different drivers influence fecal coliform growth and how this information can be potentially used to predict and remediate the conditions of urban water streams.","container-title":"Environmental Pollution","DOI":"10.1016/j.envpol.2023.121531","ISSN":"0269-7491","journalAbbreviation":"Environmental Pollution","page":"121531","source":"ScienceDirect","title":"The impact of combined sewer outflows on urban water quality: Spatio-temporal patterns of fecal coliform in indianapolis","title-short":"The impact of combined sewer outflows on urban water quality","volume":"327","author":[{"family":"Orr","given":"Isheka"},{"family":"Mazari","given":"Katerina"},{"family":"Shukle","given":"John T."},{"family":"Li","given":"Rui"},{"family":"Filippelli","given":"Gabriel M."}],"issued":{"date-parts":[["2023",6,15]]}}},{"id":1147,"uris":["http://zotero.org/users/local/8TMZWfC3/items/BBMLU3CW"],"itemData":{"id":1147,"type":"webpage","title":"Home Page - TNI LAMS - National Environmental Laboratory Accreditation Management System","URL":"https://lams.nelac-institute.org/","accessed":{"date-parts":[["2024",5,23]]}}}],"schema":"https://github.com/citation-style-language/schema/raw/master/csl-citation.json"} </w:instrText>
      </w:r>
      <w:r w:rsidR="00AE2DE8">
        <w:fldChar w:fldCharType="separate"/>
      </w:r>
      <w:r w:rsidR="005C324C" w:rsidRPr="005C324C">
        <w:t>[27,29]</w:t>
      </w:r>
      <w:r w:rsidR="00AE2DE8">
        <w:fldChar w:fldCharType="end"/>
      </w:r>
      <w:r>
        <w:t>.</w:t>
      </w:r>
    </w:p>
    <w:p w14:paraId="2381B8DF" w14:textId="093EC10C" w:rsidR="005275BE" w:rsidRDefault="002252B0">
      <w:pPr>
        <w:spacing w:before="240" w:after="240"/>
        <w:ind w:firstLine="0"/>
      </w:pPr>
      <w:r>
        <w:lastRenderedPageBreak/>
        <w:t>The multiple-tube fermentation (MTF) method estimates the most probable number (MPN) of coliforms present in a water sample by performing serial dilutions of the original sample in a series of tubes containing a selective culture medium for fecal bacteria and incubating them for 24 to 48 h at 37 °C. This determination consists of two phases, the presumptive phase, and the confirmatory phase. In the presumptive phase, the tubes are incubated with sodium lauryl sulphate broth culture medium. After incubation, tubes where gas development can be observed are considered positive. Subsequently, for positive tubes, confirmatory tests for the presence of total fecal coliforms</w:t>
      </w:r>
      <w:r>
        <w:rPr>
          <w:i/>
        </w:rPr>
        <w:t xml:space="preserve"> </w:t>
      </w:r>
      <w:r>
        <w:t xml:space="preserve">are usually performed by inoculating an aliquot in a selective medium broth with bile bright green lactose and incubating again for 24 to 48 h at 37 °C, determining from the positive tubes the number of total fecal coliform MPN/100 ml of sample reporting the minimum value expressed in tables corresponding to the number of tubes used. At the same time, for the detection of coliform bacteria and </w:t>
      </w:r>
      <w:r>
        <w:rPr>
          <w:i/>
        </w:rPr>
        <w:t>E. coli</w:t>
      </w:r>
      <w:r>
        <w:t xml:space="preserve">, the presumptive test positive tubes are used and cultured in EC broth culture medium for 24 to 48 h at 44.5 °C, determining from the positive tubes the number of fecal coliform MPN/100 ml of sample reporting the minimum value expressed in tables corresponding to the number of tubes used; from positive tubes, the presence of </w:t>
      </w:r>
      <w:r>
        <w:rPr>
          <w:i/>
        </w:rPr>
        <w:t>E. coli</w:t>
      </w:r>
      <w:r>
        <w:t xml:space="preserve"> can be determined by culture on agar plates is performed to express the number of microorganisms subsequently present per 100 ml of water sample </w:t>
      </w:r>
      <w:r w:rsidR="00AE2DE8">
        <w:fldChar w:fldCharType="begin"/>
      </w:r>
      <w:r w:rsidR="004F22BB">
        <w:instrText xml:space="preserve"> ADDIN ZOTERO_ITEM CSL_CITATION {"citationID":"r7WPHGIS","properties":{"formattedCitation":"[30]","plainCitation":"[30]","noteIndex":0},"citationItems":[{"id":1153,"uris":["http://zotero.org/users/local/8TMZWfC3/items/4JE9GFTD"],"itemData":{"id":1153,"type":"article-journal","container-title":"Journal of the American Statistical Association","DOI":"10.1198/jasa.2007.s211","ISSN":"0162-1459","issue":"479","note":"publisher: Taylor &amp; Francis\n_eprint: https://doi.org/10.1198/jasa.2007.s211","page":"1080–1080","source":"Taylor and Francis+NEJM","title":"Using Statistical Methods for Water Quality Management: Issues, Problems, and Solutions","title-short":"Using Statistical Methods for Water Quality Management","volume":"102","author":[{"family":"Manly","given":"Bryan"}],"issued":{"date-parts":[["2007",9,1]]}}}],"schema":"https://github.com/citation-style-language/schema/raw/master/csl-citation.json"} </w:instrText>
      </w:r>
      <w:r w:rsidR="00AE2DE8">
        <w:fldChar w:fldCharType="separate"/>
      </w:r>
      <w:r w:rsidR="005C324C" w:rsidRPr="005C324C">
        <w:t>[30]</w:t>
      </w:r>
      <w:r w:rsidR="00AE2DE8">
        <w:fldChar w:fldCharType="end"/>
      </w:r>
      <w:r>
        <w:t>.</w:t>
      </w:r>
    </w:p>
    <w:p w14:paraId="429E10A3" w14:textId="0DE34459" w:rsidR="005275BE" w:rsidRDefault="002252B0">
      <w:pPr>
        <w:spacing w:before="240" w:after="240"/>
        <w:ind w:firstLine="0"/>
      </w:pPr>
      <w:r>
        <w:t xml:space="preserve">The difference between these two methods is that the bacterial estimated by </w:t>
      </w:r>
      <w:r w:rsidR="007E3075">
        <w:t xml:space="preserve">CFU </w:t>
      </w:r>
      <w:r>
        <w:t xml:space="preserve">method allow direct colony counting on the surface of a plate, while in the MTF-derived MPN estimates statistical probability of a number of microorganisms in the sample </w:t>
      </w:r>
      <w:r w:rsidR="00AE2DE8">
        <w:fldChar w:fldCharType="begin"/>
      </w:r>
      <w:r w:rsidR="004F22BB">
        <w:instrText xml:space="preserve"> ADDIN ZOTERO_ITEM CSL_CITATION {"citationID":"kjZjYG9i","properties":{"formattedCitation":"[31,32]","plainCitation":"[31,32]","noteIndex":0},"citationItems":[{"id":1154,"uris":["http://zotero.org/users/local/8TMZWfC3/items/XEI88D3E"],"itemData":{"id":1154,"type":"article-journal","abstract":"Most probable number (MPN) and colony-forming-unit (CFU) estimates of fecal coliform bacteria concentration are common measures of water quality in coastal shellfish harvesting and recreational waters. Estimating procedures for MPN and CFU have intrinsic variability and are subject to additional uncertainty arising from minor variations in experimental protocol. It has been observed empirically that the standard multiple-tube fermentation (MTF) decimal dilution analysis MPN procedure is more variable than the membrane filtration CFU procedure, and that MTF-derived MPN estimates are somewhat higher on average than CFU estimates, on split samples from the same water bodies. We construct a probabilistic model that provides a clear theoretical explanation for the variability in, and discrepancy between, MPN and CFU measurements. We then compare our model to water quality samples analyzed using both MPN and CFU procedures, and find that the (often large) observed differences between MPN and CFU values for the same water body are well within the ranges predicted by our probabilistic model. Our results indicate that MPN and CFU intra-sample variability does not stem from human error or laboratory procedure variability, but is instead a simple consequence of the probabilistic basis for calculating the MPN. These results demonstrate how probabilistic models can be used to compare samples from different analytical procedures, and to determine whether transitions from one procedure to another are likely to cause a change in quality-based management decisions.","container-title":"Water Research","DOI":"10.1016/j.watres.2008.04.011","ISSN":"0043-1354","issue":"13","journalAbbreviation":"Water Research","page":"3327-3334","source":"ScienceDirect","title":"Modeling the relationship between most probable number (MPN) and colony-forming unit (CFU) estimates of fecal coliform concentration","volume":"42","author":[{"family":"Gronewold","given":"Andrew D."},{"family":"Wolpert","given":"Robert L."}],"issued":{"date-parts":[["2008",7,1]]}}},{"id":1156,"uris":["http://zotero.org/users/local/8TMZWfC3/items/Z4SWGUUF"],"itemData":{"id":1156,"type":"chapter","abstract":"The optical characteristics and functionalization of gold nanoparticles with DNA can be exploited to generate conjugated DNA probes for the detection of pathogens. Gold nanoparticle probes with low-cost instrumentation (or a “spot and read” system) can be a viable alternative for on-site detection and monitoring of pathogens.","container-title":"Animal Biotechnology","event-place":"San Diego","ISBN":"978-0-12-416002-6","note":"DOI: 10.1016/B978-0-12-416002-6.00028-6","page":"525-540","publisher":"Academic Press","publisher-place":"San Diego","source":"ScienceDirect","title":"Chapter 28 - Nanotechnology and Detection of Microbial Pathogens","URL":"https://www.sciencedirect.com/science/article/pii/B9780124160026000286","author":[{"family":"Shanker","given":"Rishi"},{"family":"Singh","given":"Gulshan"},{"family":"Jyoti","given":"Anurag"},{"family":"Dwivedi","given":"Premendra Dhar"},{"family":"Singh","given":"Surinder Pal"}],"editor":[{"family":"Verma","given":"Ashish S."},{"family":"Singh","given":"Anchal"}],"accessed":{"date-parts":[["2024",5,23]]},"issued":{"date-parts":[["2014",1,1]]}}}],"schema":"https://github.com/citation-style-language/schema/raw/master/csl-citation.json"} </w:instrText>
      </w:r>
      <w:r w:rsidR="00AE2DE8">
        <w:fldChar w:fldCharType="separate"/>
      </w:r>
      <w:r w:rsidR="005C324C" w:rsidRPr="005C324C">
        <w:t>[31,32]</w:t>
      </w:r>
      <w:r w:rsidR="00AE2DE8">
        <w:fldChar w:fldCharType="end"/>
      </w:r>
      <w:r>
        <w:t>.</w:t>
      </w:r>
    </w:p>
    <w:p w14:paraId="44F11DF3" w14:textId="307745FF" w:rsidR="005275BE" w:rsidRDefault="002252B0">
      <w:pPr>
        <w:spacing w:before="240" w:after="240"/>
        <w:ind w:firstLine="0"/>
      </w:pPr>
      <w:r w:rsidRPr="00455D97">
        <w:t>Helminth</w:t>
      </w:r>
      <w:r>
        <w:t xml:space="preserve"> eggs are one of the microorganisms that must be removed from water to ensure its safe reuse and discharge to the environment. There are diverse methods for their identification</w:t>
      </w:r>
      <w:r w:rsidR="00455D97">
        <w:t>;</w:t>
      </w:r>
      <w:r>
        <w:t xml:space="preserve"> one of them is the agar plate culture technique according to which, water samples are incubated in agar plates and the growth and movement of helminth larvae around the plate (that leaves characteristic traces on the surface of the agar) are identified by optical microscopy every 24 h for up to 72 h. Another method is by flotation with zinc sulphate, which involves precipitation of the water sample followed by centrifugation and recovery of the supernatant to separate and concentrate the eggs from the residues. Identification and quantification of helminth eggs is again performed by optical microscopy and the number of eggs per liter of sample is reported </w:t>
      </w:r>
      <w:r w:rsidR="00AE2DE8">
        <w:fldChar w:fldCharType="begin"/>
      </w:r>
      <w:r w:rsidR="004F22BB">
        <w:instrText xml:space="preserve"> ADDIN ZOTERO_ITEM CSL_CITATION {"citationID":"fbDYs2oT","properties":{"formattedCitation":"[33,34]","plainCitation":"[33,34]","noteIndex":0},"citationItems":[{"id":1160,"uris":["http://zotero.org/users/local/8TMZWfC3/items/PKSX86GJ"],"itemData":{"id":1160,"type":"article-journal","abstract":"Helminth parasite eggs in low quality water represent health risks when used for irrigation of crops. The settling velocities of helminth eggs (Ascaris suum, Trichuris suis, and Oesophagostomum spp.) and wastewater particles were experimentally determined in tap water and in wastewater using Owen tubes. The settling velocities of eggs in tap water was compared with theoretical settling velocities calculated by Stoke’s law using measurements of size and density of eggs as well as density and viscosity of tap water. The mean settling velocity in tap water of 0.0612mms−1 found for A. suum eggs was significantly lower than the corresponding values of 0.1487mms−1 for T. suis and 0.1262mms−1 for Oesophagostomum spp. eggs. For T. suis and Oesophagostomum spp. eggs the theoretical settling velocities were comparable with the observed velocities in the Owen tubes, while it was three times higher for A. suum eggs. In wastewater, the mean settling velocity for A. suum eggs (0.1582mms−1) was found to be different from T. suis (0.0870mms−1), Oesophagostomum spp. (0.1051mms−1), and wastewater particles (0.0474mms−1). This strongly indicates that in low quality water the eggs are incorporated into particle flocs with different settling velocities and that the settling velocity of eggs and particles is closely associated. Our results document that there is a need to differentiate the sedimentation of different types of helminth eggs when assessing the quality of low quality water, e.g. for irrigation usage. The results can also be used to improve existing models for helminth egg removal.","container-title":"Water Research","DOI":"10.1016/j.watres.2011.06.017","ISSN":"0043-1354","issue":"15","journalAbbreviation":"Water Research","page":"4651-4660","source":"ScienceDirect","title":"Sedimentation of helminth eggs in water","volume":"45","author":[{"family":"Sengupta","given":"Mita E."},{"family":"Thamsborg","given":"Stig M."},{"family":"Andersen","given":"Thorbjørn J."},{"family":"Olsen","given":"Annette"},{"family":"Dalsgaard","given":"Anders"}],"issued":{"date-parts":[["2011",10,1]]}}},{"id":1158,"uris":["http://zotero.org/users/local/8TMZWfC3/items/8R3A2IPE"],"itemData":{"id":1158,"type":"article-journal","abstract":"The use of raw and treated wastewater for irrigation of crops is a common practice in Mexico. In force since January 1997, the Water Quality Norms for helminth ova refer only to the number of eggs that can be present in the irrigation water, and ignore the assessment of viability because the conventional techniques are not suitable for routine application. However, since viability is of prime importance in the epidemiology of parasitic infections, work was done for the development of a rapid and reliable method to detect a metabolic activity or a physiological characteristic related to viability. As a result, a vital staining procedure was developed and validated, and it was coupled with two rapid quantitative procedures previously assessed, therefore, permitting the determination of the total number of helminth eggs and, simultaneously, the viable and non-viable fraction. The average recovering efficiency of the rapid quantitative methods is 54% for raw wastewater and 77% for treated wastewater; the staining technique for viability is equally reliable (within the 95% confidence limits) as the conventional in vitro procedure; the overall test takes from 4 to6h to be completed when processing up to four samples at the same time, and the cost per sample (for unrecoverable materials) ranges from US$2.50 to $4.00.","container-title":"Water Research","DOI":"10.1016/S0043-1354(02)00477-3","ISSN":"0043-1354","issue":"6","journalAbbreviation":"Water Research","page":"1278-1287","source":"ScienceDirect","title":"Preliminary testing of a rapid coupled methodology for quantitation/viability determination of helminth eggs in raw and treated wastewater","volume":"37","author":[{"family":"Victorica","given":"Jorge","non-dropping-particle":"de"},{"family":"Galván","given":"Matilde"}],"issued":{"date-parts":[["2003",3,1]]}}}],"schema":"https://github.com/citation-style-language/schema/raw/master/csl-citation.json"} </w:instrText>
      </w:r>
      <w:r w:rsidR="00AE2DE8">
        <w:fldChar w:fldCharType="separate"/>
      </w:r>
      <w:r w:rsidR="005C324C" w:rsidRPr="005C324C">
        <w:t>[33,34]</w:t>
      </w:r>
      <w:r w:rsidR="00AE2DE8">
        <w:fldChar w:fldCharType="end"/>
      </w:r>
      <w:r>
        <w:t>.</w:t>
      </w:r>
    </w:p>
    <w:p w14:paraId="7116B9DB" w14:textId="6E02A4A5" w:rsidR="005275BE" w:rsidRDefault="002252B0" w:rsidP="004F22BB">
      <w:pPr>
        <w:spacing w:before="240" w:after="240"/>
        <w:ind w:firstLine="0"/>
      </w:pPr>
      <w:r>
        <w:t xml:space="preserve">Protozoa are also one of the most prevalent microorganisms in wastewater; they are eliminated through the faces of infected humans and animals in environmentally resistant forms, thus reaching wastewater systems. Among the most common are </w:t>
      </w:r>
      <w:r>
        <w:rPr>
          <w:i/>
        </w:rPr>
        <w:t>Cryptosporidium spp</w:t>
      </w:r>
      <w:r>
        <w:t xml:space="preserve">. and </w:t>
      </w:r>
      <w:r>
        <w:rPr>
          <w:i/>
        </w:rPr>
        <w:t xml:space="preserve">Giardia intestinalis </w:t>
      </w:r>
      <w:r w:rsidR="00AE2DE8">
        <w:rPr>
          <w:i/>
        </w:rPr>
        <w:fldChar w:fldCharType="begin"/>
      </w:r>
      <w:r w:rsidR="004F22BB">
        <w:rPr>
          <w:i/>
        </w:rPr>
        <w:instrText xml:space="preserve"> ADDIN ZOTERO_ITEM CSL_CITATION {"citationID":"ZkvA6CHQ","properties":{"formattedCitation":"[35]","plainCitation":"[35]","noteIndex":0},"citationItems":[{"id":1166,"uris":["http://zotero.org/users/local/8TMZWfC3/items/B82DEQB9"],"itemData":{"id":1166,"type":"article-journal","abstract":"Giardia intestinalis, Cryptosporidium spp., Entamoeba histolytica and Dientamoeba fragilis are parasitic protozoa and causative agents of gastroenteritis in humans. G. intestinalis and Cryptosporidium spp. in particular are the most common protozoa associated with waterborne outbreaks in high-income countries. Surveillance of protozoan prevalence in wastewater and evaluation of wastewater treatment removal efficiencies of protozoan pathogens is therefore imperative for assessment of human health risk. In this study, influent and effluent wastewater samples from three wastewater treatment plants in Sweden were collected over nearly one year and assessed for prevalence of parasitic protozoa. Quantitative real-time PCR using primers specific for the selected protozoa Cryptosporidium spp., G. intestinalis, E. histolytica, Entamoeba dispar and D. fragilis was used for protozoan DNA detection and assessment of wastewater treatment removal efficiencies. Occurrence of G. intestinalis, E. dispar and D. fragilis DNA was assessed in both influent (44, 30 and 39 out of 51 samples respectively) and effluent wastewater (14, 9 and 33 out of 51 samples respectively) in all three wastewater treatment plants. Mean removal efficiencies of G. intestinalis, E. dispar and D. fragilis DNA quantities, based on all three wastewater treatment plants studied varied between 67 and 87%, 37–75% and 20–34% respectively. Neither E. histolytica nor Cryptosporidium spp. were detected in any samples. Overall, higher quantities of protozoan DNA were observed from February to June 2012. The high prevalence of protozoa in influent wastewater indicates the need for continued monitoring of these pathogens in wastewater-associated aquatic environments to minimise the potential risk for human infection.","container-title":"Science of The Total Environment","DOI":"10.1016/j.scitotenv.2017.04.015","ISSN":"0048-9697","journalAbbreviation":"Science of The Total Environment","page":"821-827","source":"ScienceDirect","title":"Occurrence and removal efficiency of parasitic protozoa in Swedish wastewater treatment plants","volume":"598","author":[{"family":"Berglund","given":"Björn"},{"family":"Dienus","given":"Olaf"},{"family":"Sokolova","given":"Ekaterina"},{"family":"Berglind","given":"Emma"},{"family":"Matussek","given":"Andreas"},{"family":"Pettersson","given":"Thomas"},{"family":"Lindgren","given":"Per-Eric"}],"issued":{"date-parts":[["2017",11,15]]}}}],"schema":"https://github.com/citation-style-language/schema/raw/master/csl-citation.json"} </w:instrText>
      </w:r>
      <w:r w:rsidR="00AE2DE8">
        <w:rPr>
          <w:i/>
        </w:rPr>
        <w:fldChar w:fldCharType="separate"/>
      </w:r>
      <w:r w:rsidR="005C324C" w:rsidRPr="005C324C">
        <w:t>[35]</w:t>
      </w:r>
      <w:r w:rsidR="00AE2DE8">
        <w:rPr>
          <w:i/>
        </w:rPr>
        <w:fldChar w:fldCharType="end"/>
      </w:r>
      <w:r>
        <w:rPr>
          <w:i/>
        </w:rPr>
        <w:t>.</w:t>
      </w:r>
      <w:r>
        <w:t xml:space="preserve"> Traditional detection and quantification methods, such as microscopy and staining techniques are commonly used for their detection in contaminated water samples </w:t>
      </w:r>
      <w:r w:rsidR="00AE2DE8">
        <w:fldChar w:fldCharType="begin"/>
      </w:r>
      <w:r w:rsidR="004F22BB">
        <w:instrText xml:space="preserve"> ADDIN ZOTERO_ITEM CSL_CITATION {"citationID":"XHSqaKMc","properties":{"formattedCitation":"[36]","plainCitation":"[36]","noteIndex":0},"citationItems":[{"id":1162,"uris":["http://zotero.org/users/local/8TMZWfC3/items/NWNV9G8N"],"itemData":{"id":1162,"type":"article-journal","abstract":"The present update gives a comprehensive review of worldwide waterborne parasitic protozoan outbreaks that occurred and were published globally between January 2004 and December 2010. At least one hundred and ninety-nine outbreaks of human diseases due to the waterborne transmission of parasitic protozoa occurred and were reported during the time period from 2004 to 2010. 46.7% of the documented outbreaks occurred on the Australian continent, 30.6% in North America and 16.5% in Europe. Cryptosporidium spp. was the etiological agent in 60.3% (120) of the outbreaks, Giardia lamblia in 35.2% (70) and other protozoa in 4.5% (9). Four outbreaks (2%) were caused by Toxoplasma gondii, three (1.5%) by Cyclospora cayetanensis. In two outbreaks (1%) Acanthamoeba spp. was identified as the causative agent. In one outbreak, G. lamblia (in 17.6% of stool samples) and Cryptosporidium parvum (in 2.7% of stool samples) as well as Entamoeba histolytica (in 9.4% of stool samples) and Blastocystis hominis (in 8.1% of stool samples) were detected. In those countries that are likely affected most a lack of surveillance systems is noticeable. However, countries that established surveillance systems did not establish an international standardization of reporting systems.","container-title":"Water Research","DOI":"10.1016/j.watres.2011.10.013","ISSN":"0043-1354","issue":"20","journalAbbreviation":"Water Research","page":"6603-6614","source":"ScienceDirect","title":"Waterborne transmission of protozoan parasites: Review of worldwide outbreaks – An update 2004–2010","title-short":"Waterborne transmission of protozoan parasites","volume":"45","author":[{"family":"Baldursson","given":"Selma"},{"family":"Karanis","given":"Panagiotis"}],"issued":{"date-parts":[["2011",12,15]]}}}],"schema":"https://github.com/citation-style-language/schema/raw/master/csl-citation.json"} </w:instrText>
      </w:r>
      <w:r w:rsidR="00AE2DE8">
        <w:fldChar w:fldCharType="separate"/>
      </w:r>
      <w:r w:rsidR="005C324C" w:rsidRPr="005C324C">
        <w:t>[36]</w:t>
      </w:r>
      <w:r w:rsidR="00AE2DE8">
        <w:fldChar w:fldCharType="end"/>
      </w:r>
      <w:r>
        <w:t>.</w:t>
      </w:r>
    </w:p>
    <w:p w14:paraId="0FE50ACF" w14:textId="74334737" w:rsidR="005275BE" w:rsidRDefault="002252B0">
      <w:pPr>
        <w:spacing w:before="240" w:after="240"/>
        <w:ind w:firstLine="0"/>
      </w:pPr>
      <w:r>
        <w:t>BOD</w:t>
      </w:r>
      <w:r>
        <w:rPr>
          <w:vertAlign w:val="subscript"/>
        </w:rPr>
        <w:t xml:space="preserve">5 </w:t>
      </w:r>
      <w:r>
        <w:t>is the measurement of the biological oxygen demand over five days</w:t>
      </w:r>
      <w:r w:rsidR="00422A42">
        <w:t>, it is</w:t>
      </w:r>
      <w:r>
        <w:t xml:space="preserve"> used to estimate the biodegradable fraction of organic matter in water </w:t>
      </w:r>
      <w:r w:rsidR="00422A42">
        <w:t xml:space="preserve">and </w:t>
      </w:r>
      <w:r>
        <w:t>measure</w:t>
      </w:r>
      <w:r w:rsidR="00422A42">
        <w:t>s</w:t>
      </w:r>
      <w:r>
        <w:t xml:space="preserve"> the organic contamination of water expressed </w:t>
      </w:r>
      <w:r w:rsidR="00422A42">
        <w:t xml:space="preserve">as </w:t>
      </w:r>
      <w:r>
        <w:t>mg O</w:t>
      </w:r>
      <w:r>
        <w:rPr>
          <w:vertAlign w:val="subscript"/>
        </w:rPr>
        <w:t>2</w:t>
      </w:r>
      <w:r w:rsidR="006F3265">
        <w:t>/</w:t>
      </w:r>
      <w:r w:rsidR="00181B88">
        <w:t>L</w:t>
      </w:r>
      <w:r w:rsidR="006F3265">
        <w:t xml:space="preserve"> </w:t>
      </w:r>
      <w:r w:rsidR="00AE2DE8">
        <w:fldChar w:fldCharType="begin"/>
      </w:r>
      <w:r w:rsidR="004F22BB">
        <w:instrText xml:space="preserve"> ADDIN ZOTERO_ITEM CSL_CITATION {"citationID":"Jj2KHDmp","properties":{"formattedCitation":"[37]","plainCitation":"[37]","noteIndex":0},"citationItems":[{"id":1164,"uris":["http://zotero.org/users/local/8TMZWfC3/items/42KDWYL5"],"itemData":{"id":1164,"type":"article-journal","abstract":"Reliance on five-day biochemical oxygen demand (BOD5) as an indicator of water quality has inhibited the development of efficient process control due to the associated uncertainty and lag time. In the work, we proposed a novel strategy for rapid on-site BOD5 determination by a microfluidic chip-based microbial metabolism-indexed BOD sensor (MCB-MMI BOD sensor). The rapid on-site BOD5 detection was achieved by quantifying the equilibrium concentration of tryptophan involved in aerobic biodegradation for alternating the traditional 5-day monitoring of dissolved oxygen variation. The regulated metabolized tryptophan was identified by fluorescence spectrum and converted into BOD5 value. The prominent performance for MCB-MMI BOD sensor BOD5 determination was accessible in the field application, such as decreasing detection time from 5 days to 10 min, lowering sample volume from 250 mL to 2.5 mL, diminishing the working area, extending the detection range (without dilution) from 6 mg/L to 27 mg/L, featured with 83% accuracy, and free-labor automation, which exhibited the infinite potential for MCB-MMI BOD sensor on rapid on-site BOD5 monitoring. We believe the MCB-MMI BOD sensor would broaden its practical applications in BOD5-contained multiple-parameters water quality sensing, and would favorably supply a new tool for sewage-treatment process control, environmental monitoring, and aquaculture.","container-title":"Sensors and Actuators B: Chemical","DOI":"10.1016/j.snb.2023.134868","ISSN":"0925-4005","journalAbbreviation":"Sensors and Actuators B: Chemical","page":"134868","source":"ScienceDirect","title":"Microfluidic chip-based microbial metabolism-indexed BOD sensor for rapid determination of biochemical oxygen demand","volume":"400","author":[{"family":"Lin","given":"Haifeng"},{"family":"Xu","given":"Ning"},{"family":"Xing","given":"Gaowa"},{"family":"Shang","given":"Yuting"},{"family":"Wang","given":"Xiaorui"},{"family":"Lin","given":"Ling"}],"issued":{"date-parts":[["2024",2,1]]}}}],"schema":"https://github.com/citation-style-language/schema/raw/master/csl-citation.json"} </w:instrText>
      </w:r>
      <w:r w:rsidR="00AE2DE8">
        <w:fldChar w:fldCharType="separate"/>
      </w:r>
      <w:r w:rsidR="005C324C" w:rsidRPr="005C324C">
        <w:t>[37]</w:t>
      </w:r>
      <w:r w:rsidR="00AE2DE8">
        <w:fldChar w:fldCharType="end"/>
      </w:r>
      <w:r>
        <w:t xml:space="preserve">. The test only measures the approximate amount of oxygen needed (absorbed or consumed) by the wastewater when exposed to air or oxygen over five days </w:t>
      </w:r>
      <w:r w:rsidR="00AE2DE8">
        <w:fldChar w:fldCharType="begin"/>
      </w:r>
      <w:r w:rsidR="004F22BB">
        <w:instrText xml:space="preserve"> ADDIN ZOTERO_ITEM CSL_CITATION {"citationID":"YBikTRO7","properties":{"formattedCitation":"[23]","plainCitation":"[23]","noteIndex":0},"citationItems":[{"id":1124,"uris":["http://zotero.org/users/local/8TMZWfC3/items/DSBGZC2F"],"itemData":{"id":1124,"type":"article-journal","abstract":"The Biochemical Oxygen Demand (BOD) is one of the most widely used criteria for water quality assessment. It provides information about the ready biodegradable fraction of the organic load in water. However, this analytical method is time-consuming (generally 5 days, BOD5), and the results may vary according to the laboratory (20%), primarily due to fluctuations in the microbial diversity of the inoculum used. Work performed during the two last decades has resulted in several technologies that are less time-consuming and more reliable. This review is devoted to the analysis of the technical features of the principal methods described in the literature in order to compare their performances (measuring window, reliability, robustness) and to identify the pros and the cons of each method.","container-title":"Water Research","DOI":"10.1016/j.watres.2013.10.066","ISSN":"0043-1354","journalAbbreviation":"Water Research","page":"62-82","source":"ScienceDirect","title":"Methods for assessing biochemical oxygen demand (BOD): A review","title-short":"Methods for assessing biochemical oxygen demand (BOD)","volume":"49","author":[{"family":"Jouanneau","given":"S."},{"family":"Recoules","given":"L."},{"family":"Durand","given":"M. J."},{"family":"Boukabache","given":"A."},{"family":"Picot","given":"V."},{"family":"Primault","given":"Y."},{"family":"Lakel","given":"A."},{"family":"Sengelin","given":"M."},{"family":"Barillon","given":"B."},{"family":"Thouand","given":"G."}],"issued":{"date-parts":[["2014",2,1]]}}}],"schema":"https://github.com/citation-style-language/schema/raw/master/csl-citation.json"} </w:instrText>
      </w:r>
      <w:r w:rsidR="00AE2DE8">
        <w:fldChar w:fldCharType="separate"/>
      </w:r>
      <w:r w:rsidR="005C324C" w:rsidRPr="005C324C">
        <w:t>[23]</w:t>
      </w:r>
      <w:r w:rsidR="00AE2DE8">
        <w:fldChar w:fldCharType="end"/>
      </w:r>
      <w:r>
        <w:t>.</w:t>
      </w:r>
    </w:p>
    <w:p w14:paraId="60DC719A" w14:textId="526E964A" w:rsidR="005275BE" w:rsidRDefault="002252B0">
      <w:pPr>
        <w:spacing w:before="240" w:after="240"/>
        <w:ind w:firstLine="0"/>
      </w:pPr>
      <w:r>
        <w:t xml:space="preserve">This is done by preparing various dilutions of the water sample to be analyzed, then using bottles for incubation with a capacity of 250 to 300 mL; the incubation of the bottles with the </w:t>
      </w:r>
      <w:r>
        <w:lastRenderedPageBreak/>
        <w:t xml:space="preserve">water samples is done in darkness at 20 °C, adding a nutrient solution for microorganisms (microorganisms </w:t>
      </w:r>
      <w:r w:rsidR="00422A42">
        <w:t xml:space="preserve">either </w:t>
      </w:r>
      <w:r>
        <w:t xml:space="preserve">found in the water sample or inoculated), containing ammonium chloride and sodium and potassium phosphates, at pH 7. Subsequently, every 24 h for five days, samples are read together with the control by respirometric </w:t>
      </w:r>
      <w:r w:rsidRPr="00C84F2E">
        <w:t>methods (</w:t>
      </w:r>
      <w:r w:rsidR="00422689">
        <w:t>Figure</w:t>
      </w:r>
      <w:r w:rsidRPr="00C84F2E">
        <w:t xml:space="preserve"> </w:t>
      </w:r>
      <w:r w:rsidR="00455D97" w:rsidRPr="00C84F2E">
        <w:t>2</w:t>
      </w:r>
      <w:r w:rsidRPr="00C84F2E">
        <w:t>) that</w:t>
      </w:r>
      <w:r>
        <w:t xml:space="preserve"> automatically follow the evolution of the BOD by means of pressure changes, the sensor measures </w:t>
      </w:r>
      <w:r w:rsidR="00422A42">
        <w:t xml:space="preserve">the difference between the </w:t>
      </w:r>
      <w:r>
        <w:t>initial and final pressure</w:t>
      </w:r>
      <w:r w:rsidR="00422A42">
        <w:t xml:space="preserve"> to</w:t>
      </w:r>
      <w:r>
        <w:t xml:space="preserve"> determine the dissolved oxygen in mg/L</w:t>
      </w:r>
      <w:r w:rsidR="004C4566">
        <w:t>.</w:t>
      </w:r>
      <w:r>
        <w:t xml:space="preserve"> </w:t>
      </w:r>
      <w:r w:rsidR="004C4566">
        <w:t>The microorganisms act by inhaling oxygen and in turn emit CO</w:t>
      </w:r>
      <w:r w:rsidR="004C4566" w:rsidRPr="00FC4760">
        <w:rPr>
          <w:vertAlign w:val="subscript"/>
        </w:rPr>
        <w:t>2</w:t>
      </w:r>
      <w:r w:rsidR="004C4566">
        <w:t>, initially there is no change in pressure inside the bottle, because this change is mole to mole (</w:t>
      </w:r>
      <w:r w:rsidR="004C4566" w:rsidRPr="00F300A9">
        <w:t xml:space="preserve">1 mole of oxygen occupies a volume of </w:t>
      </w:r>
      <w:r w:rsidR="00A17B47">
        <w:t xml:space="preserve"> </w:t>
      </w:r>
      <w:r w:rsidR="004C4566" w:rsidRPr="00F300A9">
        <w:t xml:space="preserve">22.4 </w:t>
      </w:r>
      <w:r w:rsidR="004C4566">
        <w:t>L</w:t>
      </w:r>
      <w:r w:rsidR="004C4566" w:rsidRPr="00F300A9">
        <w:t xml:space="preserve"> as does 1 mole of CO</w:t>
      </w:r>
      <w:r w:rsidR="004C4566" w:rsidRPr="00FC4760">
        <w:rPr>
          <w:vertAlign w:val="subscript"/>
        </w:rPr>
        <w:t>2</w:t>
      </w:r>
      <w:r w:rsidR="004C4566" w:rsidRPr="00F300A9">
        <w:t xml:space="preserve"> under normal conditions</w:t>
      </w:r>
      <w:r w:rsidR="004C4566">
        <w:t>), the NaOH tablets used in the neck of the bottle used for the determination of BOD (Figure 2), capture the CO</w:t>
      </w:r>
      <w:r w:rsidR="004C4566" w:rsidRPr="00FC4760">
        <w:rPr>
          <w:vertAlign w:val="subscript"/>
        </w:rPr>
        <w:t>2</w:t>
      </w:r>
      <w:r w:rsidR="004C4566">
        <w:t xml:space="preserve"> transforming it into sodium carbonate and water, when CO</w:t>
      </w:r>
      <w:r w:rsidR="004C4566" w:rsidRPr="00FC4760">
        <w:rPr>
          <w:vertAlign w:val="subscript"/>
        </w:rPr>
        <w:t>2</w:t>
      </w:r>
      <w:r w:rsidR="004C4566">
        <w:t xml:space="preserve"> is lost automatically there is a decrease in pressure, which is directly proportional to the consumption of oxygen </w:t>
      </w:r>
      <w:r w:rsidR="00AE2DE8">
        <w:fldChar w:fldCharType="begin"/>
      </w:r>
      <w:r w:rsidR="004F22BB">
        <w:instrText xml:space="preserve"> ADDIN ZOTERO_ITEM CSL_CITATION {"citationID":"H6FGtnD4","properties":{"formattedCitation":"[38]","plainCitation":"[38]","noteIndex":0},"citationItems":[{"id":1168,"uris":["http://zotero.org/users/local/8TMZWfC3/items/BZWGV55W"],"itemData":{"id":1168,"type":"article-journal","abstract":"Biochemical oxygen demand (BOD) is an important water quality indicator that needs in-time detection to evaluate organic pollution degrees of wastewaters and improve wastewater treatment process parameters. However, present BOD detections were time-consuming (over 5 d) or only able to be applied in component-fixed wastewater. In this study, bioelectrogenic coefficient (k) was first proposed to characterize the bioelectrochemical degradability of organic pollutants and used for realizing the BOD detection of wastewater with different organic pollutants. The electrochemical biosensor (EBS) was established based on the bioanode and linear voltammetry sweep. The EBS could directly detect BOD within 2.1 min for the BOD range of 4–160 mg L−1 with possible expansion of detectable range by sample dilution, enabling stable detections over 90 tests with relative standard deviations &lt; 6.1%. Through the k-based and temperature-based correction, the EBS successfully detected BOD in artificial wastewater and four types of real wastewater with relative errors &lt; 5.4% and &lt; 14.6%, respectively. This new strategy could develop biosensors to realize quick, accurate and continuous BOD detection in real wastewater.","container-title":"Chemical Engineering Journal","DOI":"10.1016/j.cej.2022.136520","ISSN":"1385-8947","journalAbbreviation":"Chemical Engineering Journal","page":"136520","source":"ScienceDirect","title":"Realizing BOD detection of real wastewater by considering the bioelectrochemical degradability of organic pollutants in a bioelectrochemical system","volume":"444","author":[{"family":"Lin","given":"Zhufan"},{"family":"Cheng","given":"Shaoan"},{"family":"Sun","given":"Yi"},{"family":"Li","given":"Huahua"},{"family":"Jin","given":"Beichen"}],"issued":{"date-parts":[["2022",9,15]]}}}],"schema":"https://github.com/citation-style-language/schema/raw/master/csl-citation.json"} </w:instrText>
      </w:r>
      <w:r w:rsidR="00AE2DE8">
        <w:fldChar w:fldCharType="separate"/>
      </w:r>
      <w:r w:rsidR="005C324C" w:rsidRPr="005C324C">
        <w:t>[38]</w:t>
      </w:r>
      <w:r w:rsidR="00AE2DE8">
        <w:fldChar w:fldCharType="end"/>
      </w:r>
      <w:r>
        <w:t xml:space="preserve">. The BOD test is considered an ineffective and inefficient control method for the monitoring of the wastewater treatment process due to the long response time and the difficulty of consistently obtaining accurate measurements </w:t>
      </w:r>
      <w:r w:rsidR="00AE2DE8">
        <w:fldChar w:fldCharType="begin"/>
      </w:r>
      <w:r w:rsidR="004F22BB">
        <w:instrText xml:space="preserve"> ADDIN ZOTERO_ITEM CSL_CITATION {"citationID":"cRlcU6Xs","properties":{"formattedCitation":"[23]","plainCitation":"[23]","noteIndex":0},"citationItems":[{"id":1124,"uris":["http://zotero.org/users/local/8TMZWfC3/items/DSBGZC2F"],"itemData":{"id":1124,"type":"article-journal","abstract":"The Biochemical Oxygen Demand (BOD) is one of the most widely used criteria for water quality assessment. It provides information about the ready biodegradable fraction of the organic load in water. However, this analytical method is time-consuming (generally 5 days, BOD5), and the results may vary according to the laboratory (20%), primarily due to fluctuations in the microbial diversity of the inoculum used. Work performed during the two last decades has resulted in several technologies that are less time-consuming and more reliable. This review is devoted to the analysis of the technical features of the principal methods described in the literature in order to compare their performances (measuring window, reliability, robustness) and to identify the pros and the cons of each method.","container-title":"Water Research","DOI":"10.1016/j.watres.2013.10.066","ISSN":"0043-1354","journalAbbreviation":"Water Research","page":"62-82","source":"ScienceDirect","title":"Methods for assessing biochemical oxygen demand (BOD): A review","title-short":"Methods for assessing biochemical oxygen demand (BOD)","volume":"49","author":[{"family":"Jouanneau","given":"S."},{"family":"Recoules","given":"L."},{"family":"Durand","given":"M. J."},{"family":"Boukabache","given":"A."},{"family":"Picot","given":"V."},{"family":"Primault","given":"Y."},{"family":"Lakel","given":"A."},{"family":"Sengelin","given":"M."},{"family":"Barillon","given":"B."},{"family":"Thouand","given":"G."}],"issued":{"date-parts":[["2014",2,1]]}}}],"schema":"https://github.com/citation-style-language/schema/raw/master/csl-citation.json"} </w:instrText>
      </w:r>
      <w:r w:rsidR="00AE2DE8">
        <w:fldChar w:fldCharType="separate"/>
      </w:r>
      <w:r w:rsidR="005C324C" w:rsidRPr="005C324C">
        <w:t>[23]</w:t>
      </w:r>
      <w:r w:rsidR="00AE2DE8">
        <w:fldChar w:fldCharType="end"/>
      </w:r>
      <w:r>
        <w:t>.</w:t>
      </w:r>
    </w:p>
    <w:p w14:paraId="03FF08F3" w14:textId="77777777" w:rsidR="005275BE" w:rsidRDefault="002252B0">
      <w:pPr>
        <w:spacing w:before="240" w:after="240"/>
        <w:ind w:firstLine="0"/>
      </w:pPr>
      <w:r>
        <w:rPr>
          <w:noProof/>
          <w:lang w:val="it-IT" w:eastAsia="it-IT"/>
        </w:rPr>
        <w:drawing>
          <wp:inline distT="114300" distB="114300" distL="114300" distR="114300" wp14:anchorId="48769C3E" wp14:editId="0954C786">
            <wp:extent cx="2676525" cy="273367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cstate="print"/>
                    <a:srcRect/>
                    <a:stretch>
                      <a:fillRect/>
                    </a:stretch>
                  </pic:blipFill>
                  <pic:spPr>
                    <a:xfrm>
                      <a:off x="0" y="0"/>
                      <a:ext cx="2676525" cy="2733675"/>
                    </a:xfrm>
                    <a:prstGeom prst="rect">
                      <a:avLst/>
                    </a:prstGeom>
                    <a:ln/>
                  </pic:spPr>
                </pic:pic>
              </a:graphicData>
            </a:graphic>
          </wp:inline>
        </w:drawing>
      </w:r>
    </w:p>
    <w:p w14:paraId="6A070A3F" w14:textId="4C7BA299" w:rsidR="005275BE" w:rsidRDefault="00422689" w:rsidP="006F3265">
      <w:pPr>
        <w:spacing w:before="240" w:after="240"/>
        <w:ind w:firstLine="0"/>
      </w:pPr>
      <w:r>
        <w:t>Figure</w:t>
      </w:r>
      <w:r w:rsidR="002252B0" w:rsidRPr="00C84F2E">
        <w:t xml:space="preserve"> </w:t>
      </w:r>
      <w:r w:rsidR="00455D97" w:rsidRPr="00C84F2E">
        <w:t>2</w:t>
      </w:r>
      <w:r w:rsidR="002252B0" w:rsidRPr="00C84F2E">
        <w:t xml:space="preserve">. </w:t>
      </w:r>
      <w:r w:rsidR="00455D97" w:rsidRPr="00C84F2E">
        <w:t>Schematic</w:t>
      </w:r>
      <w:r w:rsidR="00455D97">
        <w:t xml:space="preserve"> representation </w:t>
      </w:r>
      <w:r w:rsidR="002252B0">
        <w:t>of BOD measurement by the manometric method taken f</w:t>
      </w:r>
      <w:r w:rsidR="00A51550">
        <w:t xml:space="preserve">rom </w:t>
      </w:r>
      <w:r w:rsidR="00A51550">
        <w:fldChar w:fldCharType="begin"/>
      </w:r>
      <w:r w:rsidR="00A51550">
        <w:instrText xml:space="preserve"> ADDIN ZOTERO_ITEM CSL_CITATION {"citationID":"fioJICM1","properties":{"formattedCitation":"[23]","plainCitation":"[23]","noteIndex":0},"citationItems":[{"id":1124,"uris":["http://zotero.org/users/local/8TMZWfC3/items/DSBGZC2F"],"itemData":{"id":1124,"type":"article-journal","abstract":"The Biochemical Oxygen Demand (BOD) is one of the most widely used criteria for water quality assessment. It provides information about the ready biodegradable fraction of the organic load in water. However, this analytical method is time-consuming (generally 5 days, BOD5), and the results may vary according to the laboratory (20%), primarily due to fluctuations in the microbial diversity of the inoculum used. Work performed during the two last decades has resulted in several technologies that are less time-consuming and more reliable. This review is devoted to the analysis of the technical features of the principal methods described in the literature in order to compare their performances (measuring window, reliability, robustness) and to identify the pros and the cons of each method.","container-title":"Water Research","DOI":"10.1016/j.watres.2013.10.066","ISSN":"0043-1354","journalAbbreviation":"Water Research","page":"62-82","source":"ScienceDirect","title":"Methods for assessing biochemical oxygen demand (BOD): A review","title-short":"Methods for assessing biochemical oxygen demand (BOD)","volume":"49","author":[{"family":"Jouanneau","given":"S."},{"family":"Recoules","given":"L."},{"family":"Durand","given":"M. J."},{"family":"Boukabache","given":"A."},{"family":"Picot","given":"V."},{"family":"Primault","given":"Y."},{"family":"Lakel","given":"A."},{"family":"Sengelin","given":"M."},{"family":"Barillon","given":"B."},{"family":"Thouand","given":"G."}],"issued":{"date-parts":[["2014",2,1]]}}}],"schema":"https://github.com/citation-style-language/schema/raw/master/csl-citation.json"} </w:instrText>
      </w:r>
      <w:r w:rsidR="00A51550">
        <w:fldChar w:fldCharType="separate"/>
      </w:r>
      <w:r w:rsidR="005C324C" w:rsidRPr="005C324C">
        <w:t>[23]</w:t>
      </w:r>
      <w:r w:rsidR="00A51550">
        <w:fldChar w:fldCharType="end"/>
      </w:r>
      <w:r w:rsidR="002252B0">
        <w:t>.</w:t>
      </w:r>
    </w:p>
    <w:p w14:paraId="2B210707" w14:textId="4432B278" w:rsidR="005275BE" w:rsidRDefault="002252B0">
      <w:pPr>
        <w:spacing w:before="240" w:after="240"/>
        <w:ind w:firstLine="0"/>
      </w:pPr>
      <w:r>
        <w:t xml:space="preserve">Currently, many culture-dependent methods are used to identify microorganisms. Still, they are often insufficient for the visible growth of all bacteria present, so detection methods with minimal infrastructure, cost-effectiveness, and high sensitivity are required </w:t>
      </w:r>
      <w:r w:rsidR="00AE2DE8">
        <w:fldChar w:fldCharType="begin"/>
      </w:r>
      <w:r w:rsidR="004F22BB">
        <w:instrText xml:space="preserve"> ADDIN ZOTERO_ITEM CSL_CITATION {"citationID":"HQMrcOk4","properties":{"formattedCitation":"[39]","plainCitation":"[39]","noteIndex":0},"citationItems":[{"id":1169,"uris":["http://zotero.org/users/local/8TMZWfC3/items/CPZLG5KL"],"itemData":{"id":1169,"type":"article-journal","abstract":"The operation of an activated sludge wastewater treatment plant (WWTP) was assessed by determining the removal efficiency of treatment processes. For that purpose, different physicochemical and microbiological parameters, including total, active and culturable bacteria, were measured along a year. Values of both physicochemical and microbiological parameters were significantly reduced by biological treatment but no relation between these groups of parameters was obtained. Besides, results suggest that microbiological parameters were more sensitive than physicochemical ones to changes in WWTP conditions (i.e. influent quality). Additionally, high percentages of noncultured (&gt;88%) and noncultured remaining active (until 50%) cells were detected before and after treatment. Therefore, ISO standards adopted to enumerate indicator bacteria by Spanish legislation, and based on culturability, underestimate the bacterial population present in wastewater. We have compared two culture-independent methods for bacterial enumeration, microscopy and flow cytometry (FCM) and results indicate that FCM provides a rapid and automated quantification in WWTP. We conclude that microbiological parameters are essential to monitor the correct WWTP operation and we propose quantification of active bacteria as indicator of wastewater microbiological quality.","container-title":"Ecological Indicators","DOI":"10.1016/j.ecolind.2010.06.014","ISSN":"1470-160X","issue":"2","journalAbbreviation":"Ecological Indicators","page":"431-437","source":"ScienceDirect","title":"Microbiological parameters as an additional tool to improve wastewater treatment plant monitoring","volume":"11","author":[{"family":"Muela","given":"Alicia"},{"family":"Orruño","given":"Maite"},{"family":"Alonso","given":"M. Luz"},{"family":"Pazos","given":"Marta"},{"family":"Arana","given":"Inés"},{"family":"Alonso","given":"Rosa M."},{"family":"Jiménez","given":"Rosa M."},{"family":"Garaizabal","given":"Idoia"},{"family":"Maguregui","given":"M. Itxaso"},{"family":"Barcina","given":"Isabel"}],"issued":{"date-parts":[["2011",3,1]]}}}],"schema":"https://github.com/citation-style-language/schema/raw/master/csl-citation.json"} </w:instrText>
      </w:r>
      <w:r w:rsidR="00AE2DE8">
        <w:fldChar w:fldCharType="separate"/>
      </w:r>
      <w:r w:rsidR="005C324C" w:rsidRPr="005C324C">
        <w:t>[39]</w:t>
      </w:r>
      <w:r w:rsidR="00AE2DE8">
        <w:fldChar w:fldCharType="end"/>
      </w:r>
      <w:r>
        <w:t>.</w:t>
      </w:r>
    </w:p>
    <w:p w14:paraId="2D175FDA" w14:textId="5C03D8DA" w:rsidR="005275BE" w:rsidRDefault="002252B0">
      <w:pPr>
        <w:spacing w:before="240" w:after="240"/>
        <w:ind w:firstLine="0"/>
      </w:pPr>
      <w:r>
        <w:t>Culture-independent methods for analyzing microorganisms can also be mentioned: flow cytometry (FCM) is a powerful technique for enumerating bacteria in water samples that allows differentiation by the physiological state of microorganisms through activity measurements</w:t>
      </w:r>
      <w:r w:rsidR="0064115F">
        <w:t xml:space="preserve"> </w:t>
      </w:r>
      <w:r w:rsidR="00AE2DE8">
        <w:fldChar w:fldCharType="begin"/>
      </w:r>
      <w:r w:rsidR="004F22BB">
        <w:instrText xml:space="preserve"> ADDIN ZOTERO_ITEM CSL_CITATION {"citationID":"Iv08YPTo","properties":{"formattedCitation":"[39]","plainCitation":"[39]","noteIndex":0},"citationItems":[{"id":1169,"uris":["http://zotero.org/users/local/8TMZWfC3/items/CPZLG5KL"],"itemData":{"id":1169,"type":"article-journal","abstract":"The operation of an activated sludge wastewater treatment plant (WWTP) was assessed by determining the removal efficiency of treatment processes. For that purpose, different physicochemical and microbiological parameters, including total, active and culturable bacteria, were measured along a year. Values of both physicochemical and microbiological parameters were significantly reduced by biological treatment but no relation between these groups of parameters was obtained. Besides, results suggest that microbiological parameters were more sensitive than physicochemical ones to changes in WWTP conditions (i.e. influent quality). Additionally, high percentages of noncultured (&gt;88%) and noncultured remaining active (until 50%) cells were detected before and after treatment. Therefore, ISO standards adopted to enumerate indicator bacteria by Spanish legislation, and based on culturability, underestimate the bacterial population present in wastewater. We have compared two culture-independent methods for bacterial enumeration, microscopy and flow cytometry (FCM) and results indicate that FCM provides a rapid and automated quantification in WWTP. We conclude that microbiological parameters are essential to monitor the correct WWTP operation and we propose quantification of active bacteria as indicator of wastewater microbiological quality.","container-title":"Ecological Indicators","DOI":"10.1016/j.ecolind.2010.06.014","ISSN":"1470-160X","issue":"2","journalAbbreviation":"Ecological Indicators","page":"431-437","source":"ScienceDirect","title":"Microbiological parameters as an additional tool to improve wastewater treatment plant monitoring","volume":"11","author":[{"family":"Muela","given":"Alicia"},{"family":"Orruño","given":"Maite"},{"family":"Alonso","given":"M. Luz"},{"family":"Pazos","given":"Marta"},{"family":"Arana","given":"Inés"},{"family":"Alonso","given":"Rosa M."},{"family":"Jiménez","given":"Rosa M."},{"family":"Garaizabal","given":"Idoia"},{"family":"Maguregui","given":"M. Itxaso"},{"family":"Barcina","given":"Isabel"}],"issued":{"date-parts":[["2011",3,1]]}}}],"schema":"https://github.com/citation-style-language/schema/raw/master/csl-citation.json"} </w:instrText>
      </w:r>
      <w:r w:rsidR="00AE2DE8">
        <w:fldChar w:fldCharType="separate"/>
      </w:r>
      <w:r w:rsidR="005C324C" w:rsidRPr="005C324C">
        <w:t>[39]</w:t>
      </w:r>
      <w:r w:rsidR="00AE2DE8">
        <w:fldChar w:fldCharType="end"/>
      </w:r>
      <w:r>
        <w:t>.</w:t>
      </w:r>
    </w:p>
    <w:p w14:paraId="74C4EC88" w14:textId="0FBE4312" w:rsidR="005275BE" w:rsidRDefault="002252B0">
      <w:pPr>
        <w:spacing w:before="240" w:after="240"/>
        <w:ind w:firstLine="0"/>
      </w:pPr>
      <w:r>
        <w:t xml:space="preserve">Presently, more efficient methods are being developed for example for BOD measurement, such as biosensors and oxygen optode (optical probe) based on a chemical indicator that interacts with oxygen and causes a decrease in the fluorescence emission of </w:t>
      </w:r>
      <w:r w:rsidR="000E7333">
        <w:t xml:space="preserve">a </w:t>
      </w:r>
      <w:r>
        <w:t xml:space="preserve">fluorophore that is proportional to the </w:t>
      </w:r>
      <w:r w:rsidR="000E7333">
        <w:t xml:space="preserve">dissolved </w:t>
      </w:r>
      <w:r>
        <w:t xml:space="preserve">oxygen in the sample </w:t>
      </w:r>
      <w:r w:rsidR="00AE2DE8">
        <w:fldChar w:fldCharType="begin"/>
      </w:r>
      <w:r w:rsidR="004F22BB">
        <w:instrText xml:space="preserve"> ADDIN ZOTERO_ITEM CSL_CITATION {"citationID":"4vqrwaEg","properties":{"formattedCitation":"[23]","plainCitation":"[23]","noteIndex":0},"citationItems":[{"id":1124,"uris":["http://zotero.org/users/local/8TMZWfC3/items/DSBGZC2F"],"itemData":{"id":1124,"type":"article-journal","abstract":"The Biochemical Oxygen Demand (BOD) is one of the most widely used criteria for water quality assessment. It provides information about the ready biodegradable fraction of the organic load in water. However, this analytical method is time-consuming (generally 5 days, BOD5), and the results may vary according to the laboratory (20%), primarily due to fluctuations in the microbial diversity of the inoculum used. Work performed during the two last decades has resulted in several technologies that are less time-consuming and more reliable. This review is devoted to the analysis of the technical features of the principal methods described in the literature in order to compare their performances (measuring window, reliability, robustness) and to identify the pros and the cons of each method.","container-title":"Water Research","DOI":"10.1016/j.watres.2013.10.066","ISSN":"0043-1354","journalAbbreviation":"Water Research","page":"62-82","source":"ScienceDirect","title":"Methods for assessing biochemical oxygen demand (BOD): A review","title-short":"Methods for assessing biochemical oxygen demand (BOD)","volume":"49","author":[{"family":"Jouanneau","given":"S."},{"family":"Recoules","given":"L."},{"family":"Durand","given":"M. J."},{"family":"Boukabache","given":"A."},{"family":"Picot","given":"V."},{"family":"Primault","given":"Y."},{"family":"Lakel","given":"A."},{"family":"Sengelin","given":"M."},{"family":"Barillon","given":"B."},{"family":"Thouand","given":"G."}],"issued":{"date-parts":[["2014",2,1]]}}}],"schema":"https://github.com/citation-style-language/schema/raw/master/csl-citation.json"} </w:instrText>
      </w:r>
      <w:r w:rsidR="00AE2DE8">
        <w:fldChar w:fldCharType="separate"/>
      </w:r>
      <w:r w:rsidR="005C324C" w:rsidRPr="005C324C">
        <w:t>[23]</w:t>
      </w:r>
      <w:r w:rsidR="00AE2DE8">
        <w:fldChar w:fldCharType="end"/>
      </w:r>
      <w:r>
        <w:t>.</w:t>
      </w:r>
    </w:p>
    <w:p w14:paraId="41B32267" w14:textId="05970C86" w:rsidR="005275BE" w:rsidRDefault="002252B0">
      <w:pPr>
        <w:spacing w:before="240" w:after="240"/>
        <w:ind w:firstLine="0"/>
      </w:pPr>
      <w:r>
        <w:lastRenderedPageBreak/>
        <w:t xml:space="preserve">There are also molecular methods for detecting microorganisms in wastewater, which allow a more preventive estimation of the risks associated with reuse based on the expression and function of genes specific to each species by Polymerase Chain Reaction (PCR) or Loop-Mediated isothermal Amplification (LAMP); however, the cost generated is high due to the use of reagents and equipment, so currently low-cost portable devices are being developed to facilitate the method and reduce the time to obtain results for the detection of fecal and </w:t>
      </w:r>
      <w:r>
        <w:rPr>
          <w:i/>
        </w:rPr>
        <w:t xml:space="preserve">E. coli </w:t>
      </w:r>
      <w:r>
        <w:t xml:space="preserve">indicator bacteria in water, these methods are based mainly on the color change at first sight of the sample that are produced by an isothermal amplification reaction mediated by PCR loop obtaining results in 30 min which allows a rapid and in situ monitoring of microorganisms in water </w:t>
      </w:r>
      <w:r w:rsidR="00AE2DE8">
        <w:fldChar w:fldCharType="begin"/>
      </w:r>
      <w:r w:rsidR="004F22BB">
        <w:instrText xml:space="preserve"> ADDIN ZOTERO_ITEM CSL_CITATION {"citationID":"Sl903BgM","properties":{"formattedCitation":"[40,41]","plainCitation":"[40,41]","noteIndex":0},"citationItems":[{"id":1170,"uris":["http://zotero.org/users/local/8TMZWfC3/items/K9ZPNCKQ"],"itemData":{"id":1170,"type":"article-journal","abstract":"Contamination of water by fecal matter and potential human enteric pathogens is a serious health concern. Microbiological water quality has been assessed by conventional culture-based methods of fecal indicator bacteria (FIB). Recently, molecular techniques for FIB have been introduced as alternative tools for rapid detection. However, such molecular techniques require a modern laboratory setting, expensive equipment, and skilled personnel. In this study, we developed a simple and rapid DNA extraction method based on a syringe filter without any specialized equipment. Furthermore, loop-mediated isothermal amplification (LAMP) PCR for fecal indicator bacteria (FIB) (i.e. E. coli and E. faecalis) was carried out using the DNA extracts from the syringe-filter based DNA extraction method. The efficiency of the extracted DNA from the syringe-filter based method was comparable to the results of the commercial kit method. We also tested fresh and marine-water collected directly from different locations in Singapore that were spiked with E. coli or E. faecalis. The LAMP assays combined with our DNA extraction method showed higher sensitivity and more tolerance to PCR inhibitors than that of conventional PCR methods. We further developed a portable LAMP device to conduct isothermal PCR reactions for rapid on-site measurement of FIB. As the color changes in the end point of the LAMP reaction can be observed with the naked eye, the portable LAMP device was easily operated and quick, obtaining results in 30 min. The simple, portable and user-friendly platform can be used as an initial screening for the rapid detection of the presence FIB in lower-resource settings. In conclusion, the portable LAMP device coupled with a syringe-filter based DNA extraction method enables us to detect the presence of FIB for assessing microbial water quality within 1 h without any sophisticated laboratory equipment or highly trained personnel.","container-title":"Water Research","DOI":"10.1016/j.watres.2019.05.049","ISSN":"0043-1354","journalAbbreviation":"Water Research","page":"371-379","source":"ScienceDirect","title":"Rapid and in-situ detection of fecal indicator bacteria in water using simple DNA extraction and portable loop-mediated isothermal amplification (LAMP) PCR methods","volume":"160","author":[{"family":"Lee","given":"Seunguk"},{"family":"Khoo","given":"Valerie Si Ling"},{"family":"Medriano","given":"Carl Angelo Dulatre"},{"family":"Lee","given":"Taewoo"},{"family":"Park","given":"Sung-Yong"},{"family":"Bae","given":"Sungwoo"}],"issued":{"date-parts":[["2019",9,1]]}}},{"id":1171,"uris":["http://zotero.org/users/local/8TMZWfC3/items/EJZVTSHY"],"itemData":{"id":1171,"type":"article-journal","abstract":"In exposure to outer pressure, microorganisms are capable of entry into the Viable But Non-Culturable (VBNC) state, and thus survive under various elimination processing. The survival microorganisms may yield negative results on culturing, and cause false negative for this golden standard methodology. In this study, a novel PMA-LAMP assay on the detection of Enterohemorrhage E. coli and shiga toxins has been developed and evaluated, with further application on a number of food borne E. coli strains. LAMP primers were designed on the target of rfbe for Enterohemorrhage E. coli and stx1with stx2 for shiga toxins. Via specific penetration through the damaged cell membrane of dead cells and intercalating into DNA, PMA could prevent DNA amplification of dead bacteria from LAMP, which enabled the differentiation of bacteria between VBNC state and dead state. The established PMA-LAMP showed significant advantage in rapidity, sensitivity and specificity, compared with regular PCR assay. The applicability had also been verified, demonstrating the PMA-LAMP was capable of detection on Enterohemorrhage E. coli and shiga toxins.","container-title":"Microbial Pathogenesis","DOI":"10.1016/j.micpath.2017.02.001","ISSN":"0882-4010","journalAbbreviation":"Microbial Pathogenesis","page":"245-250","source":"ScienceDirect","title":"PMA-LAMP for rapid detection of &lt;i&gt;Escherichia coli&lt;/i&gt; and shiga toxins from viable but non-culturable state","volume":"105","author":[{"family":"Yan","given":"Muxia"},{"family":"Xu","given":"Ling"},{"family":"Jiang","given":"Hua"},{"family":"Zhou","given":"Zhenwen"},{"family":"Zhou","given":"Shishui"},{"family":"Zhang","given":"Li"}],"issued":{"date-parts":[["2017",4,1]]}}}],"schema":"https://github.com/citation-style-language/schema/raw/master/csl-citation.json"} </w:instrText>
      </w:r>
      <w:r w:rsidR="00AE2DE8">
        <w:fldChar w:fldCharType="separate"/>
      </w:r>
      <w:r w:rsidR="005C324C" w:rsidRPr="005C324C">
        <w:t>[40,41]</w:t>
      </w:r>
      <w:r w:rsidR="00AE2DE8">
        <w:fldChar w:fldCharType="end"/>
      </w:r>
      <w:r>
        <w:t>.</w:t>
      </w:r>
    </w:p>
    <w:p w14:paraId="103BB325" w14:textId="2265D7A0" w:rsidR="004340D6" w:rsidRDefault="004340D6" w:rsidP="004340D6">
      <w:pPr>
        <w:spacing w:before="240" w:after="240"/>
        <w:ind w:firstLine="0"/>
        <w:rPr>
          <w:lang w:val="en-GB"/>
        </w:rPr>
      </w:pPr>
      <w:r>
        <w:t xml:space="preserve">A critical review of the literature regarding the latest analytical methods to analyze pathogen contamination of water resources was performed by Canciu et al </w:t>
      </w:r>
      <w:r w:rsidR="00AE2DE8">
        <w:fldChar w:fldCharType="begin"/>
      </w:r>
      <w:r w:rsidR="004F22BB">
        <w:instrText xml:space="preserve"> ADDIN ZOTERO_ITEM CSL_CITATION {"citationID":"HSD7BoMO","properties":{"formattedCitation":"[42]","plainCitation":"[42]","noteIndex":0},"citationItems":[{"id":1178,"uris":["http://zotero.org/users/local/8TMZWfC3/items/AM4A83V4"],"itemData":{"id":1178,"type":"article-journal","abstract":"Contamination of surface waters with pathogens as well as all diseases associated with such events are a significant concern worldwide. In recent decades, there has been a growing interest in developing analytical methods with good performance for the detection of this category of contaminants. The most important analytical methods applied for the determination of bacteria in waters are traditional ones (such as bacterial culturing methods, enzyme-linked immunoassay, polymerase chain reaction, and loop-mediated isothermal amplification) and advanced alternative methods (such as spectrometry, chromatography, capillary electrophoresis, surface-enhanced Raman scattering, and magnetic field-assisted and hyphenated techniques). In addition, optical and electrochemical sensors have gained much attention as essential alternatives for the conventional detection of bacteria. The large number of available methods have been materialized by many publications in this field aimed to ensure the control of water quality in water resources. This study represents a critical synthesis of the literature regarding the latest analytical methods covering comparative aspects of pathogen contamination of water resources. All these aspects are presented as representative examples, focusing on two important bacteria with essential implications on the health of the population, namely Pseudomonas aeruginosa and Escherichia coli.","container-title":"Sustainability","DOI":"10.3390/su13137229","ISSN":"2071-1050","issue":"13","language":"en","license":"http://creativecommons.org/licenses/by/3.0/","note":"number: 13\npublisher: Multidisciplinary Digital Publishing Institute","page":"7229","source":"www.mdpi.com","title":"Modern Analytical Techniques for Detection of Bacteria in Surface and Wastewaters","volume":"13","author":[{"family":"Canciu","given":"Alexandra"},{"family":"Tertis","given":"Mihaela"},{"family":"Hosu","given":"Oana"},{"family":"Cernat","given":"Andreea"},{"family":"Cristea","given":"Cecilia"},{"family":"Graur","given":"Florin"}],"issued":{"date-parts":[["2021",1]]}}}],"schema":"https://github.com/citation-style-language/schema/raw/master/csl-citation.json"} </w:instrText>
      </w:r>
      <w:r w:rsidR="00AE2DE8">
        <w:fldChar w:fldCharType="separate"/>
      </w:r>
      <w:r w:rsidR="005C324C" w:rsidRPr="005C324C">
        <w:t>[42]</w:t>
      </w:r>
      <w:r w:rsidR="00AE2DE8">
        <w:fldChar w:fldCharType="end"/>
      </w:r>
      <w:r>
        <w:t xml:space="preserve">, focusing on two bacteria strictly related to the health of the population, that are </w:t>
      </w:r>
      <w:r w:rsidRPr="004340D6">
        <w:rPr>
          <w:i/>
          <w:lang w:val="en-GB"/>
        </w:rPr>
        <w:t>Pseudomonas aeruginosa</w:t>
      </w:r>
      <w:r w:rsidRPr="004340D6">
        <w:rPr>
          <w:lang w:val="en-GB"/>
        </w:rPr>
        <w:t xml:space="preserve"> and </w:t>
      </w:r>
      <w:r w:rsidR="000E7333" w:rsidRPr="004340D6">
        <w:rPr>
          <w:i/>
          <w:lang w:val="en-GB"/>
        </w:rPr>
        <w:t>E</w:t>
      </w:r>
      <w:r w:rsidR="000E7333">
        <w:rPr>
          <w:i/>
          <w:lang w:val="en-GB"/>
        </w:rPr>
        <w:t>.</w:t>
      </w:r>
      <w:r w:rsidR="000E7333" w:rsidRPr="004340D6">
        <w:rPr>
          <w:i/>
          <w:lang w:val="en-GB"/>
        </w:rPr>
        <w:t xml:space="preserve"> </w:t>
      </w:r>
      <w:r w:rsidRPr="004340D6">
        <w:rPr>
          <w:i/>
          <w:lang w:val="en-GB"/>
        </w:rPr>
        <w:t>coli</w:t>
      </w:r>
      <w:r w:rsidRPr="004340D6">
        <w:rPr>
          <w:lang w:val="en-GB"/>
        </w:rPr>
        <w:t>.</w:t>
      </w:r>
      <w:r>
        <w:rPr>
          <w:lang w:val="en-GB"/>
        </w:rPr>
        <w:t xml:space="preserve"> A summary of the </w:t>
      </w:r>
      <w:r w:rsidRPr="004340D6">
        <w:rPr>
          <w:lang w:val="en-GB"/>
        </w:rPr>
        <w:t xml:space="preserve">main advantages and disadvantages of different methods </w:t>
      </w:r>
      <w:r>
        <w:rPr>
          <w:lang w:val="en-GB"/>
        </w:rPr>
        <w:t xml:space="preserve">that have been applied to the analysis of these bacteria is presented in </w:t>
      </w:r>
      <w:r w:rsidRPr="00686384">
        <w:rPr>
          <w:lang w:val="en-GB"/>
        </w:rPr>
        <w:t xml:space="preserve">Table </w:t>
      </w:r>
      <w:r w:rsidR="00686384">
        <w:rPr>
          <w:lang w:val="en-GB"/>
        </w:rPr>
        <w:t>1</w:t>
      </w:r>
      <w:r>
        <w:rPr>
          <w:lang w:val="en-GB"/>
        </w:rPr>
        <w:t>.</w:t>
      </w:r>
    </w:p>
    <w:p w14:paraId="5D54513B" w14:textId="03502753" w:rsidR="00473DF9" w:rsidRDefault="00473DF9" w:rsidP="004340D6">
      <w:pPr>
        <w:spacing w:before="240" w:after="240"/>
        <w:ind w:firstLine="0"/>
        <w:rPr>
          <w:lang w:val="en-GB"/>
        </w:rPr>
      </w:pPr>
      <w:r>
        <w:rPr>
          <w:lang w:val="en-GB"/>
        </w:rPr>
        <w:t xml:space="preserve">Table </w:t>
      </w:r>
      <w:r w:rsidR="00686384">
        <w:rPr>
          <w:lang w:val="en-GB"/>
        </w:rPr>
        <w:t>1</w:t>
      </w:r>
      <w:r>
        <w:rPr>
          <w:lang w:val="en-GB"/>
        </w:rPr>
        <w:t xml:space="preserve">. </w:t>
      </w:r>
      <w:r w:rsidRPr="00473DF9">
        <w:rPr>
          <w:lang w:val="en-GB"/>
        </w:rPr>
        <w:t>Comparative table presenting advantages, disadvantages, and other characteristics of methods for</w:t>
      </w:r>
      <w:r w:rsidRPr="00473DF9">
        <w:rPr>
          <w:i/>
          <w:lang w:val="en-GB"/>
        </w:rPr>
        <w:t xml:space="preserve"> </w:t>
      </w:r>
      <w:r w:rsidRPr="004340D6">
        <w:rPr>
          <w:i/>
          <w:lang w:val="en-GB"/>
        </w:rPr>
        <w:t>P</w:t>
      </w:r>
      <w:r>
        <w:rPr>
          <w:i/>
          <w:lang w:val="en-GB"/>
        </w:rPr>
        <w:t>.</w:t>
      </w:r>
      <w:r w:rsidRPr="004340D6">
        <w:rPr>
          <w:i/>
          <w:lang w:val="en-GB"/>
        </w:rPr>
        <w:t xml:space="preserve"> aeruginosa</w:t>
      </w:r>
      <w:r w:rsidRPr="004340D6">
        <w:rPr>
          <w:lang w:val="en-GB"/>
        </w:rPr>
        <w:t xml:space="preserve"> and </w:t>
      </w:r>
      <w:r w:rsidRPr="004340D6">
        <w:rPr>
          <w:i/>
          <w:lang w:val="en-GB"/>
        </w:rPr>
        <w:t>E</w:t>
      </w:r>
      <w:r>
        <w:rPr>
          <w:i/>
          <w:lang w:val="en-GB"/>
        </w:rPr>
        <w:t>.</w:t>
      </w:r>
      <w:r w:rsidRPr="004340D6">
        <w:rPr>
          <w:i/>
          <w:lang w:val="en-GB"/>
        </w:rPr>
        <w:t xml:space="preserve"> coli</w:t>
      </w:r>
      <w:r>
        <w:rPr>
          <w:i/>
          <w:lang w:val="en-GB"/>
        </w:rPr>
        <w:t xml:space="preserve"> </w:t>
      </w:r>
      <w:r w:rsidRPr="00473DF9">
        <w:rPr>
          <w:lang w:val="en-GB"/>
        </w:rPr>
        <w:t>determination</w:t>
      </w:r>
      <w:r w:rsidR="00274D54">
        <w:rPr>
          <w:lang w:val="en-GB"/>
        </w:rPr>
        <w:t>. Adapted from</w:t>
      </w:r>
      <w:r w:rsidR="00C87A61">
        <w:rPr>
          <w:lang w:val="en-GB"/>
        </w:rPr>
        <w:t xml:space="preserve"> </w:t>
      </w:r>
      <w:r w:rsidR="00AE2DE8">
        <w:rPr>
          <w:lang w:val="en-GB"/>
        </w:rPr>
        <w:fldChar w:fldCharType="begin"/>
      </w:r>
      <w:r w:rsidR="004F22BB">
        <w:rPr>
          <w:lang w:val="en-GB"/>
        </w:rPr>
        <w:instrText xml:space="preserve"> ADDIN ZOTERO_ITEM CSL_CITATION {"citationID":"XGvQ8Kd2","properties":{"formattedCitation":"[42]","plainCitation":"[42]","noteIndex":0},"citationItems":[{"id":1178,"uris":["http://zotero.org/users/local/8TMZWfC3/items/AM4A83V4"],"itemData":{"id":1178,"type":"article-journal","abstract":"Contamination of surface waters with pathogens as well as all diseases associated with such events are a significant concern worldwide. In recent decades, there has been a growing interest in developing analytical methods with good performance for the detection of this category of contaminants. The most important analytical methods applied for the determination of bacteria in waters are traditional ones (such as bacterial culturing methods, enzyme-linked immunoassay, polymerase chain reaction, and loop-mediated isothermal amplification) and advanced alternative methods (such as spectrometry, chromatography, capillary electrophoresis, surface-enhanced Raman scattering, and magnetic field-assisted and hyphenated techniques). In addition, optical and electrochemical sensors have gained much attention as essential alternatives for the conventional detection of bacteria. The large number of available methods have been materialized by many publications in this field aimed to ensure the control of water quality in water resources. This study represents a critical synthesis of the literature regarding the latest analytical methods covering comparative aspects of pathogen contamination of water resources. All these aspects are presented as representative examples, focusing on two important bacteria with essential implications on the health of the population, namely Pseudomonas aeruginosa and Escherichia coli.","container-title":"Sustainability","DOI":"10.3390/su13137229","ISSN":"2071-1050","issue":"13","language":"en","license":"http://creativecommons.org/licenses/by/3.0/","note":"number: 13\npublisher: Multidisciplinary Digital Publishing Institute","page":"7229","source":"www.mdpi.com","title":"Modern Analytical Techniques for Detection of Bacteria in Surface and Wastewaters","volume":"13","author":[{"family":"Canciu","given":"Alexandra"},{"family":"Tertis","given":"Mihaela"},{"family":"Hosu","given":"Oana"},{"family":"Cernat","given":"Andreea"},{"family":"Cristea","given":"Cecilia"},{"family":"Graur","given":"Florin"}],"issued":{"date-parts":[["2021",1]]}}}],"schema":"https://github.com/citation-style-language/schema/raw/master/csl-citation.json"} </w:instrText>
      </w:r>
      <w:r w:rsidR="00AE2DE8">
        <w:rPr>
          <w:lang w:val="en-GB"/>
        </w:rPr>
        <w:fldChar w:fldCharType="separate"/>
      </w:r>
      <w:r w:rsidR="005C324C" w:rsidRPr="005C324C">
        <w:t>[42]</w:t>
      </w:r>
      <w:r w:rsidR="00AE2DE8">
        <w:rPr>
          <w:lang w:val="en-GB"/>
        </w:rPr>
        <w:fldChar w:fldCharType="end"/>
      </w:r>
      <w:r w:rsidR="00C87A61">
        <w:rPr>
          <w:lang w:val="en-GB"/>
        </w:rPr>
        <w:t>.</w:t>
      </w:r>
    </w:p>
    <w:tbl>
      <w:tblPr>
        <w:tblStyle w:val="Grigliatabella"/>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9"/>
        <w:gridCol w:w="1134"/>
        <w:gridCol w:w="1842"/>
        <w:gridCol w:w="2127"/>
        <w:gridCol w:w="992"/>
        <w:gridCol w:w="958"/>
        <w:gridCol w:w="815"/>
      </w:tblGrid>
      <w:tr w:rsidR="008739DD" w:rsidRPr="00EE4709" w14:paraId="5D8790C3" w14:textId="77777777" w:rsidTr="006F3E2C">
        <w:tc>
          <w:tcPr>
            <w:tcW w:w="1419" w:type="dxa"/>
            <w:tcBorders>
              <w:bottom w:val="single" w:sz="4" w:space="0" w:color="auto"/>
            </w:tcBorders>
          </w:tcPr>
          <w:p w14:paraId="06BD2685" w14:textId="77777777" w:rsidR="009D54DA" w:rsidRPr="00EE4709" w:rsidRDefault="009D54DA" w:rsidP="008739DD">
            <w:pPr>
              <w:spacing w:before="240" w:after="20" w:line="276" w:lineRule="auto"/>
              <w:ind w:firstLine="0"/>
              <w:rPr>
                <w:rFonts w:ascii="Arial Narrow" w:hAnsi="Arial Narrow"/>
                <w:b/>
                <w:sz w:val="18"/>
                <w:szCs w:val="18"/>
                <w:lang w:val="en-GB"/>
              </w:rPr>
            </w:pPr>
            <w:r w:rsidRPr="00EE4709">
              <w:rPr>
                <w:rFonts w:ascii="Arial Narrow" w:hAnsi="Arial Narrow"/>
                <w:b/>
                <w:sz w:val="18"/>
                <w:szCs w:val="18"/>
              </w:rPr>
              <w:t>Detection Method</w:t>
            </w:r>
          </w:p>
        </w:tc>
        <w:tc>
          <w:tcPr>
            <w:tcW w:w="1134" w:type="dxa"/>
            <w:tcBorders>
              <w:bottom w:val="single" w:sz="4" w:space="0" w:color="auto"/>
            </w:tcBorders>
          </w:tcPr>
          <w:p w14:paraId="217B66E1" w14:textId="77777777" w:rsidR="009D54DA" w:rsidRPr="00EE4709" w:rsidRDefault="009D54DA" w:rsidP="008739DD">
            <w:pPr>
              <w:spacing w:before="240" w:after="20" w:line="276" w:lineRule="auto"/>
              <w:ind w:firstLine="0"/>
              <w:jc w:val="center"/>
              <w:rPr>
                <w:rFonts w:ascii="Arial Narrow" w:hAnsi="Arial Narrow"/>
                <w:b/>
                <w:sz w:val="18"/>
                <w:szCs w:val="18"/>
              </w:rPr>
            </w:pPr>
            <w:r w:rsidRPr="00EE4709">
              <w:rPr>
                <w:rFonts w:ascii="Arial Narrow" w:hAnsi="Arial Narrow"/>
                <w:b/>
                <w:sz w:val="18"/>
                <w:szCs w:val="18"/>
              </w:rPr>
              <w:t>Type of Method</w:t>
            </w:r>
          </w:p>
        </w:tc>
        <w:tc>
          <w:tcPr>
            <w:tcW w:w="1842" w:type="dxa"/>
            <w:tcBorders>
              <w:bottom w:val="single" w:sz="4" w:space="0" w:color="auto"/>
            </w:tcBorders>
          </w:tcPr>
          <w:p w14:paraId="16267FD0" w14:textId="77777777" w:rsidR="009D54DA" w:rsidRPr="00EE4709" w:rsidRDefault="009D54DA" w:rsidP="008739DD">
            <w:pPr>
              <w:spacing w:before="240" w:after="20" w:line="276" w:lineRule="auto"/>
              <w:ind w:firstLine="0"/>
              <w:rPr>
                <w:rFonts w:ascii="Arial Narrow" w:hAnsi="Arial Narrow"/>
                <w:b/>
                <w:sz w:val="18"/>
                <w:szCs w:val="18"/>
              </w:rPr>
            </w:pPr>
            <w:r w:rsidRPr="00EE4709">
              <w:rPr>
                <w:rFonts w:ascii="Arial Narrow" w:hAnsi="Arial Narrow"/>
                <w:b/>
                <w:sz w:val="18"/>
                <w:szCs w:val="18"/>
              </w:rPr>
              <w:t>Advantages</w:t>
            </w:r>
          </w:p>
        </w:tc>
        <w:tc>
          <w:tcPr>
            <w:tcW w:w="2127" w:type="dxa"/>
            <w:tcBorders>
              <w:bottom w:val="single" w:sz="4" w:space="0" w:color="auto"/>
            </w:tcBorders>
          </w:tcPr>
          <w:p w14:paraId="5E01F945" w14:textId="77777777" w:rsidR="009D54DA" w:rsidRPr="00EE4709" w:rsidRDefault="009D54DA" w:rsidP="008739DD">
            <w:pPr>
              <w:spacing w:before="240" w:after="20" w:line="276" w:lineRule="auto"/>
              <w:ind w:firstLine="0"/>
              <w:rPr>
                <w:rFonts w:ascii="Arial Narrow" w:hAnsi="Arial Narrow"/>
                <w:b/>
                <w:sz w:val="18"/>
                <w:szCs w:val="18"/>
              </w:rPr>
            </w:pPr>
            <w:r w:rsidRPr="00EE4709">
              <w:rPr>
                <w:rFonts w:ascii="Arial Narrow" w:hAnsi="Arial Narrow"/>
                <w:b/>
                <w:sz w:val="18"/>
                <w:szCs w:val="18"/>
              </w:rPr>
              <w:t>Disadvantages</w:t>
            </w:r>
          </w:p>
        </w:tc>
        <w:tc>
          <w:tcPr>
            <w:tcW w:w="992" w:type="dxa"/>
            <w:tcBorders>
              <w:bottom w:val="single" w:sz="4" w:space="0" w:color="auto"/>
            </w:tcBorders>
          </w:tcPr>
          <w:p w14:paraId="0CC4BA70" w14:textId="77777777" w:rsidR="009D54DA" w:rsidRPr="00EE4709" w:rsidRDefault="009D54DA" w:rsidP="008739DD">
            <w:pPr>
              <w:spacing w:before="240" w:after="20" w:line="276" w:lineRule="auto"/>
              <w:ind w:firstLine="0"/>
              <w:rPr>
                <w:rFonts w:ascii="Arial Narrow" w:hAnsi="Arial Narrow"/>
                <w:b/>
                <w:sz w:val="18"/>
                <w:szCs w:val="18"/>
              </w:rPr>
            </w:pPr>
            <w:r w:rsidRPr="00EE4709">
              <w:rPr>
                <w:rFonts w:ascii="Arial Narrow" w:hAnsi="Arial Narrow"/>
                <w:b/>
                <w:sz w:val="18"/>
                <w:szCs w:val="18"/>
              </w:rPr>
              <w:t>Analysis Duration</w:t>
            </w:r>
          </w:p>
        </w:tc>
        <w:tc>
          <w:tcPr>
            <w:tcW w:w="958" w:type="dxa"/>
            <w:tcBorders>
              <w:bottom w:val="single" w:sz="4" w:space="0" w:color="auto"/>
            </w:tcBorders>
          </w:tcPr>
          <w:p w14:paraId="72312384" w14:textId="77777777" w:rsidR="009D54DA" w:rsidRPr="00EE4709" w:rsidRDefault="009D54DA" w:rsidP="008739DD">
            <w:pPr>
              <w:spacing w:before="240" w:after="20" w:line="276" w:lineRule="auto"/>
              <w:ind w:firstLine="0"/>
              <w:rPr>
                <w:rFonts w:ascii="Arial Narrow" w:hAnsi="Arial Narrow"/>
                <w:b/>
                <w:sz w:val="18"/>
                <w:szCs w:val="18"/>
              </w:rPr>
            </w:pPr>
            <w:r w:rsidRPr="00EE4709">
              <w:rPr>
                <w:rFonts w:ascii="Arial Narrow" w:hAnsi="Arial Narrow"/>
                <w:b/>
                <w:sz w:val="18"/>
                <w:szCs w:val="18"/>
              </w:rPr>
              <w:t>Estimated Cost *</w:t>
            </w:r>
          </w:p>
        </w:tc>
        <w:tc>
          <w:tcPr>
            <w:tcW w:w="815" w:type="dxa"/>
            <w:tcBorders>
              <w:bottom w:val="single" w:sz="4" w:space="0" w:color="auto"/>
            </w:tcBorders>
          </w:tcPr>
          <w:p w14:paraId="622C6E12" w14:textId="77777777" w:rsidR="009D54DA" w:rsidRPr="00EE4709" w:rsidRDefault="009D54DA" w:rsidP="008739DD">
            <w:pPr>
              <w:spacing w:before="240" w:after="20" w:line="276" w:lineRule="auto"/>
              <w:ind w:firstLine="0"/>
              <w:rPr>
                <w:rFonts w:ascii="Arial Narrow" w:hAnsi="Arial Narrow"/>
                <w:b/>
                <w:sz w:val="18"/>
                <w:szCs w:val="18"/>
              </w:rPr>
            </w:pPr>
            <w:r w:rsidRPr="00EE4709">
              <w:rPr>
                <w:rFonts w:ascii="Arial Narrow" w:hAnsi="Arial Narrow"/>
                <w:b/>
                <w:sz w:val="18"/>
                <w:szCs w:val="18"/>
              </w:rPr>
              <w:t>On-Site Testing</w:t>
            </w:r>
          </w:p>
        </w:tc>
      </w:tr>
      <w:tr w:rsidR="008739DD" w:rsidRPr="00EE4709" w14:paraId="2D1C080D" w14:textId="77777777" w:rsidTr="006F3E2C">
        <w:trPr>
          <w:trHeight w:val="1286"/>
        </w:trPr>
        <w:tc>
          <w:tcPr>
            <w:tcW w:w="1419" w:type="dxa"/>
            <w:tcBorders>
              <w:top w:val="single" w:sz="4" w:space="0" w:color="auto"/>
            </w:tcBorders>
          </w:tcPr>
          <w:p w14:paraId="34C97C15" w14:textId="77777777" w:rsidR="009D54DA" w:rsidRPr="00EE4709" w:rsidRDefault="009D54DA"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Microbiological culturing</w:t>
            </w:r>
          </w:p>
        </w:tc>
        <w:tc>
          <w:tcPr>
            <w:tcW w:w="1134" w:type="dxa"/>
            <w:tcBorders>
              <w:top w:val="single" w:sz="4" w:space="0" w:color="auto"/>
            </w:tcBorders>
          </w:tcPr>
          <w:p w14:paraId="30A9F30B" w14:textId="77777777" w:rsidR="009D54DA" w:rsidRPr="00EE4709" w:rsidRDefault="00EE470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Conventional</w:t>
            </w:r>
          </w:p>
        </w:tc>
        <w:tc>
          <w:tcPr>
            <w:tcW w:w="1842" w:type="dxa"/>
            <w:tcBorders>
              <w:top w:val="single" w:sz="4" w:space="0" w:color="auto"/>
            </w:tcBorders>
          </w:tcPr>
          <w:p w14:paraId="02DDB66E" w14:textId="77777777" w:rsidR="009D54DA" w:rsidRPr="00EE4709" w:rsidRDefault="00EE4709" w:rsidP="00942134">
            <w:pPr>
              <w:spacing w:before="240" w:after="20" w:line="276" w:lineRule="auto"/>
              <w:ind w:firstLine="0"/>
              <w:jc w:val="left"/>
              <w:rPr>
                <w:rFonts w:ascii="Arial Narrow" w:hAnsi="Arial Narrow"/>
                <w:sz w:val="18"/>
                <w:szCs w:val="18"/>
              </w:rPr>
            </w:pPr>
            <w:r w:rsidRPr="00EE4709">
              <w:rPr>
                <w:rFonts w:ascii="Arial Narrow" w:hAnsi="Arial Narrow"/>
                <w:sz w:val="18"/>
                <w:szCs w:val="18"/>
              </w:rPr>
              <w:t>High sensitivity, accuracy, can provide diagnosis of acute infections</w:t>
            </w:r>
          </w:p>
        </w:tc>
        <w:tc>
          <w:tcPr>
            <w:tcW w:w="2127" w:type="dxa"/>
            <w:tcBorders>
              <w:top w:val="single" w:sz="4" w:space="0" w:color="auto"/>
            </w:tcBorders>
          </w:tcPr>
          <w:p w14:paraId="0EAC4DBD" w14:textId="77777777" w:rsidR="009D54DA" w:rsidRPr="00EE4709" w:rsidRDefault="00F345B9" w:rsidP="008739DD">
            <w:pPr>
              <w:spacing w:before="240" w:after="20" w:line="276" w:lineRule="auto"/>
              <w:ind w:firstLine="0"/>
              <w:rPr>
                <w:rFonts w:ascii="Arial Narrow" w:hAnsi="Arial Narrow"/>
                <w:sz w:val="18"/>
                <w:szCs w:val="18"/>
              </w:rPr>
            </w:pPr>
            <w:r w:rsidRPr="00F345B9">
              <w:rPr>
                <w:rFonts w:ascii="Arial Narrow" w:hAnsi="Arial Narrow"/>
                <w:sz w:val="18"/>
                <w:szCs w:val="18"/>
              </w:rPr>
              <w:t>Intensive labor, lengthy analysis, requires sterile laboratory conditions</w:t>
            </w:r>
          </w:p>
        </w:tc>
        <w:tc>
          <w:tcPr>
            <w:tcW w:w="992" w:type="dxa"/>
            <w:tcBorders>
              <w:top w:val="single" w:sz="4" w:space="0" w:color="auto"/>
            </w:tcBorders>
          </w:tcPr>
          <w:p w14:paraId="032F12D9" w14:textId="77777777" w:rsidR="009D54DA" w:rsidRPr="00EE4709" w:rsidRDefault="003B45EF" w:rsidP="008739DD">
            <w:pPr>
              <w:spacing w:before="240" w:after="20" w:line="276" w:lineRule="auto"/>
              <w:ind w:firstLine="0"/>
              <w:rPr>
                <w:rFonts w:ascii="Arial Narrow" w:hAnsi="Arial Narrow"/>
                <w:sz w:val="18"/>
                <w:szCs w:val="18"/>
              </w:rPr>
            </w:pPr>
            <w:r w:rsidRPr="003B45EF">
              <w:rPr>
                <w:rFonts w:ascii="Arial Narrow" w:hAnsi="Arial Narrow"/>
                <w:sz w:val="18"/>
                <w:szCs w:val="18"/>
              </w:rPr>
              <w:t>Several days (48–72 h)</w:t>
            </w:r>
          </w:p>
        </w:tc>
        <w:tc>
          <w:tcPr>
            <w:tcW w:w="958" w:type="dxa"/>
            <w:tcBorders>
              <w:top w:val="single" w:sz="4" w:space="0" w:color="auto"/>
            </w:tcBorders>
          </w:tcPr>
          <w:p w14:paraId="3FF2C861" w14:textId="77777777" w:rsidR="009D54DA" w:rsidRPr="00EE4709" w:rsidRDefault="003B45EF" w:rsidP="008739DD">
            <w:pPr>
              <w:spacing w:before="240" w:after="20" w:line="276" w:lineRule="auto"/>
              <w:ind w:firstLine="0"/>
              <w:rPr>
                <w:rFonts w:ascii="Arial Narrow" w:hAnsi="Arial Narrow"/>
                <w:sz w:val="18"/>
                <w:szCs w:val="18"/>
              </w:rPr>
            </w:pPr>
            <w:r>
              <w:rPr>
                <w:rFonts w:ascii="Arial Narrow" w:hAnsi="Arial Narrow"/>
                <w:sz w:val="18"/>
                <w:szCs w:val="18"/>
              </w:rPr>
              <w:t>Low</w:t>
            </w:r>
          </w:p>
        </w:tc>
        <w:tc>
          <w:tcPr>
            <w:tcW w:w="815" w:type="dxa"/>
            <w:tcBorders>
              <w:top w:val="single" w:sz="4" w:space="0" w:color="auto"/>
            </w:tcBorders>
          </w:tcPr>
          <w:p w14:paraId="5FFDF7E5" w14:textId="77777777" w:rsidR="009D54DA" w:rsidRPr="00EE4709" w:rsidRDefault="003B45EF" w:rsidP="008739DD">
            <w:pPr>
              <w:spacing w:before="240" w:after="20" w:line="276" w:lineRule="auto"/>
              <w:ind w:firstLine="0"/>
              <w:rPr>
                <w:rFonts w:ascii="Arial Narrow" w:hAnsi="Arial Narrow"/>
                <w:sz w:val="18"/>
                <w:szCs w:val="18"/>
              </w:rPr>
            </w:pPr>
            <w:r>
              <w:rPr>
                <w:rFonts w:ascii="Arial Narrow" w:hAnsi="Arial Narrow"/>
                <w:sz w:val="18"/>
                <w:szCs w:val="18"/>
              </w:rPr>
              <w:t>No</w:t>
            </w:r>
          </w:p>
        </w:tc>
      </w:tr>
      <w:tr w:rsidR="008739DD" w:rsidRPr="00EE4709" w14:paraId="7C34B7AB" w14:textId="77777777" w:rsidTr="006F3E2C">
        <w:trPr>
          <w:trHeight w:val="519"/>
        </w:trPr>
        <w:tc>
          <w:tcPr>
            <w:tcW w:w="1419" w:type="dxa"/>
            <w:vMerge w:val="restart"/>
          </w:tcPr>
          <w:p w14:paraId="276D97DE" w14:textId="77777777" w:rsidR="00EE4709" w:rsidRPr="00EE4709" w:rsidRDefault="00EE470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ELISA</w:t>
            </w:r>
          </w:p>
        </w:tc>
        <w:tc>
          <w:tcPr>
            <w:tcW w:w="1134" w:type="dxa"/>
          </w:tcPr>
          <w:p w14:paraId="3267DB84" w14:textId="77777777" w:rsidR="00EE4709" w:rsidRPr="00EE4709" w:rsidRDefault="00EE470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Conventional</w:t>
            </w:r>
          </w:p>
        </w:tc>
        <w:tc>
          <w:tcPr>
            <w:tcW w:w="1842" w:type="dxa"/>
          </w:tcPr>
          <w:p w14:paraId="555D35D0" w14:textId="77777777" w:rsidR="00EE4709" w:rsidRPr="00EE4709" w:rsidRDefault="00E65526" w:rsidP="00942134">
            <w:pPr>
              <w:spacing w:before="240" w:after="20" w:line="276" w:lineRule="auto"/>
              <w:ind w:firstLine="0"/>
              <w:rPr>
                <w:rFonts w:ascii="Arial Narrow" w:hAnsi="Arial Narrow"/>
                <w:sz w:val="18"/>
                <w:szCs w:val="18"/>
              </w:rPr>
            </w:pPr>
            <w:r w:rsidRPr="00E65526">
              <w:rPr>
                <w:rFonts w:ascii="Arial Narrow" w:hAnsi="Arial Narrow"/>
                <w:sz w:val="18"/>
                <w:szCs w:val="18"/>
              </w:rPr>
              <w:t>High specificity and sensitivity</w:t>
            </w:r>
          </w:p>
        </w:tc>
        <w:tc>
          <w:tcPr>
            <w:tcW w:w="2127" w:type="dxa"/>
            <w:vMerge w:val="restart"/>
          </w:tcPr>
          <w:p w14:paraId="73E644C0" w14:textId="77777777" w:rsidR="00EE4709" w:rsidRPr="00EE4709" w:rsidRDefault="00F345B9" w:rsidP="00942134">
            <w:pPr>
              <w:spacing w:before="240" w:after="20" w:line="276" w:lineRule="auto"/>
              <w:ind w:firstLine="0"/>
              <w:jc w:val="left"/>
              <w:rPr>
                <w:rFonts w:ascii="Arial Narrow" w:hAnsi="Arial Narrow"/>
                <w:sz w:val="18"/>
                <w:szCs w:val="18"/>
              </w:rPr>
            </w:pPr>
            <w:r w:rsidRPr="00F345B9">
              <w:rPr>
                <w:rFonts w:ascii="Arial Narrow" w:hAnsi="Arial Narrow"/>
                <w:sz w:val="18"/>
                <w:szCs w:val="18"/>
              </w:rPr>
              <w:t>Requires enrichment for quantification, expensive plate reader</w:t>
            </w:r>
          </w:p>
        </w:tc>
        <w:tc>
          <w:tcPr>
            <w:tcW w:w="992" w:type="dxa"/>
          </w:tcPr>
          <w:p w14:paraId="63E871EF" w14:textId="77777777" w:rsidR="00EE4709" w:rsidRPr="00EE4709" w:rsidRDefault="003B45EF" w:rsidP="008739DD">
            <w:pPr>
              <w:spacing w:before="240" w:after="20" w:line="276" w:lineRule="auto"/>
              <w:ind w:firstLine="0"/>
              <w:rPr>
                <w:rFonts w:ascii="Arial Narrow" w:hAnsi="Arial Narrow"/>
                <w:sz w:val="18"/>
                <w:szCs w:val="18"/>
              </w:rPr>
            </w:pPr>
            <w:r w:rsidRPr="00A05906">
              <w:rPr>
                <w:rFonts w:ascii="Arial Narrow" w:hAnsi="Arial Narrow"/>
                <w:sz w:val="18"/>
                <w:szCs w:val="18"/>
              </w:rPr>
              <w:t>&gt;8 h</w:t>
            </w:r>
          </w:p>
        </w:tc>
        <w:tc>
          <w:tcPr>
            <w:tcW w:w="958" w:type="dxa"/>
          </w:tcPr>
          <w:p w14:paraId="6767C526" w14:textId="77777777" w:rsidR="00EE4709" w:rsidRPr="00EE4709" w:rsidRDefault="003B45EF" w:rsidP="008739DD">
            <w:pPr>
              <w:spacing w:before="240" w:after="20" w:line="276" w:lineRule="auto"/>
              <w:ind w:firstLine="0"/>
              <w:rPr>
                <w:rFonts w:ascii="Arial Narrow" w:hAnsi="Arial Narrow"/>
                <w:sz w:val="18"/>
                <w:szCs w:val="18"/>
              </w:rPr>
            </w:pPr>
            <w:r>
              <w:rPr>
                <w:rFonts w:ascii="Arial Narrow" w:hAnsi="Arial Narrow"/>
                <w:sz w:val="18"/>
                <w:szCs w:val="18"/>
              </w:rPr>
              <w:t>High</w:t>
            </w:r>
          </w:p>
        </w:tc>
        <w:tc>
          <w:tcPr>
            <w:tcW w:w="815" w:type="dxa"/>
          </w:tcPr>
          <w:p w14:paraId="13032F27" w14:textId="77777777" w:rsidR="00EE4709" w:rsidRPr="00EE4709" w:rsidRDefault="003B45EF" w:rsidP="008739DD">
            <w:pPr>
              <w:spacing w:before="240" w:after="20" w:line="276" w:lineRule="auto"/>
              <w:ind w:firstLine="0"/>
              <w:rPr>
                <w:rFonts w:ascii="Arial Narrow" w:hAnsi="Arial Narrow"/>
                <w:sz w:val="18"/>
                <w:szCs w:val="18"/>
              </w:rPr>
            </w:pPr>
            <w:r>
              <w:rPr>
                <w:rFonts w:ascii="Arial Narrow" w:hAnsi="Arial Narrow"/>
                <w:sz w:val="18"/>
                <w:szCs w:val="18"/>
              </w:rPr>
              <w:t>N</w:t>
            </w:r>
            <w:r w:rsidR="00A05906">
              <w:rPr>
                <w:rFonts w:ascii="Arial Narrow" w:hAnsi="Arial Narrow"/>
                <w:sz w:val="18"/>
                <w:szCs w:val="18"/>
              </w:rPr>
              <w:t>o</w:t>
            </w:r>
          </w:p>
        </w:tc>
      </w:tr>
      <w:tr w:rsidR="008739DD" w:rsidRPr="00EE4709" w14:paraId="5C8E92AB" w14:textId="77777777" w:rsidTr="006F3E2C">
        <w:trPr>
          <w:trHeight w:val="518"/>
        </w:trPr>
        <w:tc>
          <w:tcPr>
            <w:tcW w:w="1419" w:type="dxa"/>
            <w:vMerge/>
          </w:tcPr>
          <w:p w14:paraId="0D77066C" w14:textId="77777777" w:rsidR="00EE4709" w:rsidRPr="00EE4709" w:rsidRDefault="00EE4709" w:rsidP="008739DD">
            <w:pPr>
              <w:spacing w:before="240" w:after="20" w:line="276" w:lineRule="auto"/>
              <w:ind w:firstLine="0"/>
              <w:jc w:val="left"/>
              <w:rPr>
                <w:rFonts w:ascii="Arial Narrow" w:hAnsi="Arial Narrow"/>
                <w:sz w:val="18"/>
                <w:szCs w:val="18"/>
              </w:rPr>
            </w:pPr>
          </w:p>
        </w:tc>
        <w:tc>
          <w:tcPr>
            <w:tcW w:w="1134" w:type="dxa"/>
          </w:tcPr>
          <w:p w14:paraId="2A3E14E8" w14:textId="77777777" w:rsidR="00EE4709" w:rsidRPr="00EE4709" w:rsidRDefault="00EE470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Paper-based</w:t>
            </w:r>
          </w:p>
        </w:tc>
        <w:tc>
          <w:tcPr>
            <w:tcW w:w="1842" w:type="dxa"/>
          </w:tcPr>
          <w:p w14:paraId="2AB4E08C" w14:textId="77777777" w:rsidR="00EE4709" w:rsidRPr="00EE4709" w:rsidRDefault="00E65526" w:rsidP="00942134">
            <w:pPr>
              <w:spacing w:before="240" w:after="20" w:line="276" w:lineRule="auto"/>
              <w:ind w:firstLine="0"/>
              <w:rPr>
                <w:rFonts w:ascii="Arial Narrow" w:hAnsi="Arial Narrow"/>
                <w:sz w:val="18"/>
                <w:szCs w:val="18"/>
              </w:rPr>
            </w:pPr>
            <w:r w:rsidRPr="00E65526">
              <w:rPr>
                <w:rFonts w:ascii="Arial Narrow" w:hAnsi="Arial Narrow"/>
                <w:sz w:val="18"/>
                <w:szCs w:val="18"/>
              </w:rPr>
              <w:t>Lightweight, disposable, biodegradable, chemically compatible, low LOD</w:t>
            </w:r>
          </w:p>
        </w:tc>
        <w:tc>
          <w:tcPr>
            <w:tcW w:w="2127" w:type="dxa"/>
            <w:vMerge/>
          </w:tcPr>
          <w:p w14:paraId="781733A5" w14:textId="77777777" w:rsidR="00EE4709" w:rsidRPr="00EE4709" w:rsidRDefault="00EE4709" w:rsidP="008739DD">
            <w:pPr>
              <w:spacing w:before="240" w:after="20" w:line="276" w:lineRule="auto"/>
              <w:ind w:firstLine="0"/>
              <w:rPr>
                <w:rFonts w:ascii="Arial Narrow" w:hAnsi="Arial Narrow"/>
                <w:sz w:val="18"/>
                <w:szCs w:val="18"/>
              </w:rPr>
            </w:pPr>
          </w:p>
        </w:tc>
        <w:tc>
          <w:tcPr>
            <w:tcW w:w="992" w:type="dxa"/>
          </w:tcPr>
          <w:p w14:paraId="2D254A83" w14:textId="77777777" w:rsidR="00EE4709" w:rsidRPr="00EE4709" w:rsidRDefault="003B45EF" w:rsidP="008739DD">
            <w:pPr>
              <w:spacing w:before="240" w:after="20" w:line="276" w:lineRule="auto"/>
              <w:ind w:firstLine="0"/>
              <w:rPr>
                <w:rFonts w:ascii="Arial Narrow" w:hAnsi="Arial Narrow"/>
                <w:sz w:val="18"/>
                <w:szCs w:val="18"/>
              </w:rPr>
            </w:pPr>
            <w:r w:rsidRPr="003B45EF">
              <w:rPr>
                <w:rFonts w:ascii="Arial Narrow" w:hAnsi="Arial Narrow"/>
                <w:sz w:val="18"/>
                <w:szCs w:val="18"/>
              </w:rPr>
              <w:t>175 min/sample</w:t>
            </w:r>
          </w:p>
        </w:tc>
        <w:tc>
          <w:tcPr>
            <w:tcW w:w="958" w:type="dxa"/>
          </w:tcPr>
          <w:p w14:paraId="0AA849F3" w14:textId="77777777" w:rsidR="00EE4709" w:rsidRPr="00EE4709" w:rsidRDefault="003B45EF" w:rsidP="008739DD">
            <w:pPr>
              <w:spacing w:before="240" w:after="20" w:line="276" w:lineRule="auto"/>
              <w:ind w:firstLine="0"/>
              <w:rPr>
                <w:rFonts w:ascii="Arial Narrow" w:hAnsi="Arial Narrow"/>
                <w:sz w:val="18"/>
                <w:szCs w:val="18"/>
              </w:rPr>
            </w:pPr>
            <w:r>
              <w:rPr>
                <w:rFonts w:ascii="Arial Narrow" w:hAnsi="Arial Narrow"/>
                <w:sz w:val="18"/>
                <w:szCs w:val="18"/>
              </w:rPr>
              <w:t>Low</w:t>
            </w:r>
          </w:p>
        </w:tc>
        <w:tc>
          <w:tcPr>
            <w:tcW w:w="815" w:type="dxa"/>
          </w:tcPr>
          <w:p w14:paraId="7529B841" w14:textId="77777777" w:rsidR="00EE4709" w:rsidRPr="00EE4709" w:rsidRDefault="003B45EF" w:rsidP="008739DD">
            <w:pPr>
              <w:spacing w:before="240" w:after="20" w:line="276" w:lineRule="auto"/>
              <w:ind w:firstLine="0"/>
              <w:rPr>
                <w:rFonts w:ascii="Arial Narrow" w:hAnsi="Arial Narrow"/>
                <w:sz w:val="18"/>
                <w:szCs w:val="18"/>
              </w:rPr>
            </w:pPr>
            <w:r>
              <w:rPr>
                <w:rFonts w:ascii="Arial Narrow" w:hAnsi="Arial Narrow"/>
                <w:sz w:val="18"/>
                <w:szCs w:val="18"/>
              </w:rPr>
              <w:t>Yes</w:t>
            </w:r>
          </w:p>
        </w:tc>
      </w:tr>
      <w:tr w:rsidR="008739DD" w:rsidRPr="00EE4709" w14:paraId="229A4E48" w14:textId="77777777" w:rsidTr="006F3E2C">
        <w:tc>
          <w:tcPr>
            <w:tcW w:w="1419" w:type="dxa"/>
          </w:tcPr>
          <w:p w14:paraId="649D8A1A" w14:textId="77777777" w:rsidR="00A05906" w:rsidRPr="00EE4709" w:rsidRDefault="00A05906"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PCR</w:t>
            </w:r>
          </w:p>
        </w:tc>
        <w:tc>
          <w:tcPr>
            <w:tcW w:w="1134" w:type="dxa"/>
          </w:tcPr>
          <w:p w14:paraId="0AC7FB70" w14:textId="77777777" w:rsidR="00A05906" w:rsidRPr="00EE4709" w:rsidRDefault="00A05906"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Conventional</w:t>
            </w:r>
          </w:p>
        </w:tc>
        <w:tc>
          <w:tcPr>
            <w:tcW w:w="1842" w:type="dxa"/>
          </w:tcPr>
          <w:p w14:paraId="3505B20F" w14:textId="77777777" w:rsidR="00A05906" w:rsidRPr="00EE4709" w:rsidRDefault="00A05906" w:rsidP="00942134">
            <w:pPr>
              <w:spacing w:before="240" w:after="20" w:line="276" w:lineRule="auto"/>
              <w:ind w:firstLine="0"/>
              <w:rPr>
                <w:rFonts w:ascii="Arial Narrow" w:hAnsi="Arial Narrow"/>
                <w:sz w:val="18"/>
                <w:szCs w:val="18"/>
              </w:rPr>
            </w:pPr>
            <w:r w:rsidRPr="00E65526">
              <w:rPr>
                <w:rFonts w:ascii="Arial Narrow" w:hAnsi="Arial Narrow"/>
                <w:sz w:val="18"/>
                <w:szCs w:val="18"/>
              </w:rPr>
              <w:t>High specificity and sensitivity</w:t>
            </w:r>
          </w:p>
        </w:tc>
        <w:tc>
          <w:tcPr>
            <w:tcW w:w="2127" w:type="dxa"/>
          </w:tcPr>
          <w:p w14:paraId="368CB008" w14:textId="77777777" w:rsidR="00A05906" w:rsidRPr="00EE4709" w:rsidRDefault="00A05906" w:rsidP="008739DD">
            <w:pPr>
              <w:spacing w:before="240" w:after="20" w:line="276" w:lineRule="auto"/>
              <w:ind w:firstLine="0"/>
              <w:rPr>
                <w:rFonts w:ascii="Arial Narrow" w:hAnsi="Arial Narrow"/>
                <w:sz w:val="18"/>
                <w:szCs w:val="18"/>
              </w:rPr>
            </w:pPr>
            <w:r w:rsidRPr="00F345B9">
              <w:rPr>
                <w:rFonts w:ascii="Arial Narrow" w:hAnsi="Arial Narrow"/>
                <w:sz w:val="18"/>
                <w:szCs w:val="18"/>
              </w:rPr>
              <w:t>Requires sterile laboratory conditions, costly reagents, and highly trained personnel; false negatives due to sample cross-contamination; inhibition of amplification reaction by matrix sample compounds; challenges in differentiating viable from nonviable cells</w:t>
            </w:r>
          </w:p>
        </w:tc>
        <w:tc>
          <w:tcPr>
            <w:tcW w:w="992" w:type="dxa"/>
          </w:tcPr>
          <w:p w14:paraId="4E4A00CA" w14:textId="77777777" w:rsidR="00A05906" w:rsidRPr="00EE4709" w:rsidRDefault="00A05906" w:rsidP="008739DD">
            <w:pPr>
              <w:spacing w:before="240" w:after="20" w:line="276" w:lineRule="auto"/>
              <w:ind w:firstLine="0"/>
              <w:rPr>
                <w:rFonts w:ascii="Arial Narrow" w:hAnsi="Arial Narrow"/>
                <w:sz w:val="18"/>
                <w:szCs w:val="18"/>
              </w:rPr>
            </w:pPr>
            <w:r w:rsidRPr="00A05906">
              <w:rPr>
                <w:rFonts w:ascii="Arial Narrow" w:hAnsi="Arial Narrow"/>
                <w:sz w:val="18"/>
                <w:szCs w:val="18"/>
              </w:rPr>
              <w:t>1–4 h</w:t>
            </w:r>
          </w:p>
        </w:tc>
        <w:tc>
          <w:tcPr>
            <w:tcW w:w="958" w:type="dxa"/>
          </w:tcPr>
          <w:p w14:paraId="080D3614" w14:textId="77777777" w:rsidR="00A05906" w:rsidRPr="00EE4709" w:rsidRDefault="00A05906" w:rsidP="008739DD">
            <w:pPr>
              <w:spacing w:before="240" w:after="20" w:line="276" w:lineRule="auto"/>
              <w:ind w:firstLine="0"/>
              <w:rPr>
                <w:rFonts w:ascii="Arial Narrow" w:hAnsi="Arial Narrow"/>
                <w:sz w:val="18"/>
                <w:szCs w:val="18"/>
              </w:rPr>
            </w:pPr>
            <w:r w:rsidRPr="009C2B29">
              <w:rPr>
                <w:rFonts w:ascii="Arial Narrow" w:hAnsi="Arial Narrow"/>
                <w:sz w:val="18"/>
                <w:szCs w:val="18"/>
              </w:rPr>
              <w:t>High</w:t>
            </w:r>
          </w:p>
        </w:tc>
        <w:tc>
          <w:tcPr>
            <w:tcW w:w="815" w:type="dxa"/>
          </w:tcPr>
          <w:p w14:paraId="7DE057EE" w14:textId="77777777" w:rsidR="00A05906" w:rsidRPr="00EE4709" w:rsidRDefault="00A05906" w:rsidP="008739DD">
            <w:pPr>
              <w:spacing w:before="240" w:after="20" w:line="276" w:lineRule="auto"/>
              <w:ind w:firstLine="0"/>
              <w:rPr>
                <w:rFonts w:ascii="Arial Narrow" w:hAnsi="Arial Narrow"/>
                <w:sz w:val="18"/>
                <w:szCs w:val="18"/>
              </w:rPr>
            </w:pPr>
            <w:r w:rsidRPr="008664EE">
              <w:rPr>
                <w:rFonts w:ascii="Arial Narrow" w:hAnsi="Arial Narrow"/>
                <w:sz w:val="18"/>
                <w:szCs w:val="18"/>
              </w:rPr>
              <w:t>No</w:t>
            </w:r>
          </w:p>
        </w:tc>
      </w:tr>
      <w:tr w:rsidR="008739DD" w:rsidRPr="00EE4709" w14:paraId="201302D4" w14:textId="77777777" w:rsidTr="006F3E2C">
        <w:trPr>
          <w:trHeight w:val="288"/>
        </w:trPr>
        <w:tc>
          <w:tcPr>
            <w:tcW w:w="1419" w:type="dxa"/>
            <w:vMerge w:val="restart"/>
          </w:tcPr>
          <w:p w14:paraId="14B9EDB6" w14:textId="77777777" w:rsidR="00A05906" w:rsidRPr="00EE4709" w:rsidRDefault="00A05906"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MS</w:t>
            </w:r>
          </w:p>
        </w:tc>
        <w:tc>
          <w:tcPr>
            <w:tcW w:w="1134" w:type="dxa"/>
          </w:tcPr>
          <w:p w14:paraId="3BE11285" w14:textId="77777777" w:rsidR="00A05906" w:rsidRPr="00EE4709" w:rsidRDefault="00A05906"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MALDI-TOF</w:t>
            </w:r>
          </w:p>
        </w:tc>
        <w:tc>
          <w:tcPr>
            <w:tcW w:w="1842" w:type="dxa"/>
          </w:tcPr>
          <w:p w14:paraId="44904305" w14:textId="77777777" w:rsidR="00A05906" w:rsidRPr="00EE4709" w:rsidRDefault="00A05906" w:rsidP="00942134">
            <w:pPr>
              <w:spacing w:before="240" w:after="20" w:line="276" w:lineRule="auto"/>
              <w:ind w:firstLine="0"/>
              <w:jc w:val="left"/>
              <w:rPr>
                <w:rFonts w:ascii="Arial Narrow" w:hAnsi="Arial Narrow"/>
                <w:sz w:val="18"/>
                <w:szCs w:val="18"/>
              </w:rPr>
            </w:pPr>
            <w:r w:rsidRPr="00E65526">
              <w:rPr>
                <w:rFonts w:ascii="Arial Narrow" w:hAnsi="Arial Narrow"/>
                <w:sz w:val="18"/>
                <w:szCs w:val="18"/>
              </w:rPr>
              <w:t>High sensitivity, rapid, robust, high throughput</w:t>
            </w:r>
          </w:p>
        </w:tc>
        <w:tc>
          <w:tcPr>
            <w:tcW w:w="2127" w:type="dxa"/>
          </w:tcPr>
          <w:p w14:paraId="6D67F453" w14:textId="77777777" w:rsidR="00A05906" w:rsidRPr="00EE4709" w:rsidRDefault="00A05906" w:rsidP="00942134">
            <w:pPr>
              <w:spacing w:before="240" w:after="20" w:line="276" w:lineRule="auto"/>
              <w:ind w:firstLine="0"/>
              <w:jc w:val="left"/>
              <w:rPr>
                <w:rFonts w:ascii="Arial Narrow" w:hAnsi="Arial Narrow"/>
                <w:sz w:val="18"/>
                <w:szCs w:val="18"/>
              </w:rPr>
            </w:pPr>
            <w:r w:rsidRPr="00F345B9">
              <w:rPr>
                <w:rFonts w:ascii="Arial Narrow" w:hAnsi="Arial Narrow"/>
                <w:sz w:val="18"/>
                <w:szCs w:val="18"/>
              </w:rPr>
              <w:t>Lower resolution spectrometer, incompatibility with tandem analysis, lack of sufficient reference spectra</w:t>
            </w:r>
          </w:p>
        </w:tc>
        <w:tc>
          <w:tcPr>
            <w:tcW w:w="992" w:type="dxa"/>
          </w:tcPr>
          <w:p w14:paraId="4815085E" w14:textId="77777777" w:rsidR="00A05906" w:rsidRPr="00EE4709" w:rsidRDefault="00A05906" w:rsidP="008739DD">
            <w:pPr>
              <w:spacing w:before="240" w:after="20" w:line="276" w:lineRule="auto"/>
              <w:ind w:firstLine="0"/>
              <w:rPr>
                <w:rFonts w:ascii="Arial Narrow" w:hAnsi="Arial Narrow"/>
                <w:sz w:val="18"/>
                <w:szCs w:val="18"/>
              </w:rPr>
            </w:pPr>
            <w:r w:rsidRPr="00A05906">
              <w:rPr>
                <w:rFonts w:ascii="Arial Narrow" w:hAnsi="Arial Narrow"/>
                <w:sz w:val="18"/>
                <w:szCs w:val="18"/>
              </w:rPr>
              <w:t>Several hours</w:t>
            </w:r>
          </w:p>
        </w:tc>
        <w:tc>
          <w:tcPr>
            <w:tcW w:w="958" w:type="dxa"/>
          </w:tcPr>
          <w:p w14:paraId="69EECD7F" w14:textId="77777777" w:rsidR="00A05906" w:rsidRPr="00EE4709" w:rsidRDefault="00A05906" w:rsidP="008739DD">
            <w:pPr>
              <w:spacing w:before="240" w:after="20" w:line="276" w:lineRule="auto"/>
              <w:ind w:firstLine="0"/>
              <w:rPr>
                <w:rFonts w:ascii="Arial Narrow" w:hAnsi="Arial Narrow"/>
                <w:sz w:val="18"/>
                <w:szCs w:val="18"/>
              </w:rPr>
            </w:pPr>
            <w:r w:rsidRPr="009C2B29">
              <w:rPr>
                <w:rFonts w:ascii="Arial Narrow" w:hAnsi="Arial Narrow"/>
                <w:sz w:val="18"/>
                <w:szCs w:val="18"/>
              </w:rPr>
              <w:t>High</w:t>
            </w:r>
          </w:p>
        </w:tc>
        <w:tc>
          <w:tcPr>
            <w:tcW w:w="815" w:type="dxa"/>
          </w:tcPr>
          <w:p w14:paraId="094E68B1" w14:textId="77777777" w:rsidR="00A05906" w:rsidRPr="00EE4709" w:rsidRDefault="00A05906" w:rsidP="008739DD">
            <w:pPr>
              <w:spacing w:before="240" w:after="20" w:line="276" w:lineRule="auto"/>
              <w:ind w:firstLine="0"/>
              <w:rPr>
                <w:rFonts w:ascii="Arial Narrow" w:hAnsi="Arial Narrow"/>
                <w:sz w:val="18"/>
                <w:szCs w:val="18"/>
              </w:rPr>
            </w:pPr>
            <w:r w:rsidRPr="008664EE">
              <w:rPr>
                <w:rFonts w:ascii="Arial Narrow" w:hAnsi="Arial Narrow"/>
                <w:sz w:val="18"/>
                <w:szCs w:val="18"/>
              </w:rPr>
              <w:t>No</w:t>
            </w:r>
          </w:p>
        </w:tc>
      </w:tr>
      <w:tr w:rsidR="008739DD" w:rsidRPr="00EE4709" w14:paraId="2FC25BE6" w14:textId="77777777" w:rsidTr="006F3E2C">
        <w:trPr>
          <w:trHeight w:val="288"/>
        </w:trPr>
        <w:tc>
          <w:tcPr>
            <w:tcW w:w="1419" w:type="dxa"/>
            <w:vMerge/>
          </w:tcPr>
          <w:p w14:paraId="14603F28" w14:textId="77777777" w:rsidR="00A05906" w:rsidRPr="00EE4709" w:rsidRDefault="00A05906" w:rsidP="008739DD">
            <w:pPr>
              <w:spacing w:before="240" w:after="20" w:line="276" w:lineRule="auto"/>
              <w:ind w:firstLine="0"/>
              <w:jc w:val="left"/>
              <w:rPr>
                <w:rFonts w:ascii="Arial Narrow" w:hAnsi="Arial Narrow"/>
                <w:sz w:val="18"/>
                <w:szCs w:val="18"/>
              </w:rPr>
            </w:pPr>
          </w:p>
        </w:tc>
        <w:tc>
          <w:tcPr>
            <w:tcW w:w="1134" w:type="dxa"/>
          </w:tcPr>
          <w:p w14:paraId="4B63A797" w14:textId="77777777" w:rsidR="00A05906" w:rsidRPr="00EE4709" w:rsidRDefault="00A05906"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SPR sensors</w:t>
            </w:r>
          </w:p>
        </w:tc>
        <w:tc>
          <w:tcPr>
            <w:tcW w:w="1842" w:type="dxa"/>
          </w:tcPr>
          <w:p w14:paraId="49211F53" w14:textId="77777777" w:rsidR="00A05906" w:rsidRPr="00EE4709" w:rsidRDefault="00A05906" w:rsidP="00942134">
            <w:pPr>
              <w:spacing w:before="240" w:after="20" w:line="276" w:lineRule="auto"/>
              <w:ind w:firstLine="0"/>
              <w:jc w:val="left"/>
              <w:rPr>
                <w:rFonts w:ascii="Arial Narrow" w:hAnsi="Arial Narrow"/>
                <w:sz w:val="18"/>
                <w:szCs w:val="18"/>
              </w:rPr>
            </w:pPr>
            <w:r w:rsidRPr="00F345B9">
              <w:rPr>
                <w:rFonts w:ascii="Arial Narrow" w:hAnsi="Arial Narrow"/>
                <w:sz w:val="18"/>
                <w:szCs w:val="18"/>
              </w:rPr>
              <w:t>High-sensitivity, rapid, label-free, real-time analysis with reproducible results</w:t>
            </w:r>
          </w:p>
        </w:tc>
        <w:tc>
          <w:tcPr>
            <w:tcW w:w="2127" w:type="dxa"/>
          </w:tcPr>
          <w:p w14:paraId="16BB9A55" w14:textId="77777777" w:rsidR="00A05906" w:rsidRPr="00EE4709" w:rsidRDefault="00A05906" w:rsidP="008739DD">
            <w:pPr>
              <w:spacing w:before="240" w:after="20" w:line="276" w:lineRule="auto"/>
              <w:ind w:firstLine="0"/>
              <w:rPr>
                <w:rFonts w:ascii="Arial Narrow" w:hAnsi="Arial Narrow"/>
                <w:sz w:val="18"/>
                <w:szCs w:val="18"/>
              </w:rPr>
            </w:pPr>
            <w:r w:rsidRPr="00F345B9">
              <w:rPr>
                <w:rFonts w:ascii="Arial Narrow" w:hAnsi="Arial Narrow"/>
                <w:sz w:val="18"/>
                <w:szCs w:val="18"/>
              </w:rPr>
              <w:t>Chance of false results due to fluctuations in refractive index with the temperature or composition of the sample,</w:t>
            </w:r>
            <w:r w:rsidR="008739DD">
              <w:rPr>
                <w:rFonts w:ascii="Arial Narrow" w:hAnsi="Arial Narrow"/>
                <w:sz w:val="18"/>
                <w:szCs w:val="18"/>
              </w:rPr>
              <w:t xml:space="preserve"> N</w:t>
            </w:r>
            <w:r w:rsidRPr="00F345B9">
              <w:rPr>
                <w:rFonts w:ascii="Arial Narrow" w:hAnsi="Arial Narrow"/>
                <w:sz w:val="18"/>
                <w:szCs w:val="18"/>
              </w:rPr>
              <w:t>onspecific interactions from nontarget or structurally similar molecules to the sensor surface</w:t>
            </w:r>
          </w:p>
        </w:tc>
        <w:tc>
          <w:tcPr>
            <w:tcW w:w="992" w:type="dxa"/>
          </w:tcPr>
          <w:p w14:paraId="361C66ED" w14:textId="77777777" w:rsidR="00A05906" w:rsidRPr="00EE4709" w:rsidRDefault="00A05906" w:rsidP="008739DD">
            <w:pPr>
              <w:spacing w:before="240" w:after="20" w:line="276" w:lineRule="auto"/>
              <w:ind w:firstLine="0"/>
              <w:rPr>
                <w:rFonts w:ascii="Arial Narrow" w:hAnsi="Arial Narrow"/>
                <w:sz w:val="18"/>
                <w:szCs w:val="18"/>
              </w:rPr>
            </w:pPr>
            <w:r w:rsidRPr="00A05906">
              <w:rPr>
                <w:rFonts w:ascii="Arial Narrow" w:hAnsi="Arial Narrow"/>
                <w:sz w:val="18"/>
                <w:szCs w:val="18"/>
              </w:rPr>
              <w:t>&lt;30 min</w:t>
            </w:r>
          </w:p>
        </w:tc>
        <w:tc>
          <w:tcPr>
            <w:tcW w:w="958" w:type="dxa"/>
          </w:tcPr>
          <w:p w14:paraId="7AA566D7" w14:textId="77777777" w:rsidR="00A05906" w:rsidRPr="00EE4709" w:rsidRDefault="00A05906" w:rsidP="008739DD">
            <w:pPr>
              <w:spacing w:before="240" w:after="20" w:line="276" w:lineRule="auto"/>
              <w:ind w:firstLine="0"/>
              <w:rPr>
                <w:rFonts w:ascii="Arial Narrow" w:hAnsi="Arial Narrow"/>
                <w:sz w:val="18"/>
                <w:szCs w:val="18"/>
              </w:rPr>
            </w:pPr>
            <w:r w:rsidRPr="009C2B29">
              <w:rPr>
                <w:rFonts w:ascii="Arial Narrow" w:hAnsi="Arial Narrow"/>
                <w:sz w:val="18"/>
                <w:szCs w:val="18"/>
              </w:rPr>
              <w:t>High</w:t>
            </w:r>
          </w:p>
        </w:tc>
        <w:tc>
          <w:tcPr>
            <w:tcW w:w="815" w:type="dxa"/>
          </w:tcPr>
          <w:p w14:paraId="366730A8" w14:textId="77777777" w:rsidR="00A05906" w:rsidRPr="00EE4709" w:rsidRDefault="00A05906" w:rsidP="008739DD">
            <w:pPr>
              <w:spacing w:before="240" w:after="20" w:line="276" w:lineRule="auto"/>
              <w:ind w:firstLine="0"/>
              <w:rPr>
                <w:rFonts w:ascii="Arial Narrow" w:hAnsi="Arial Narrow"/>
                <w:sz w:val="18"/>
                <w:szCs w:val="18"/>
              </w:rPr>
            </w:pPr>
            <w:r>
              <w:rPr>
                <w:rFonts w:ascii="Arial Narrow" w:hAnsi="Arial Narrow"/>
                <w:sz w:val="18"/>
                <w:szCs w:val="18"/>
              </w:rPr>
              <w:t>No</w:t>
            </w:r>
          </w:p>
        </w:tc>
      </w:tr>
      <w:tr w:rsidR="006F3E2C" w:rsidRPr="00EE4709" w14:paraId="20D99766" w14:textId="77777777" w:rsidTr="006F3E2C">
        <w:trPr>
          <w:trHeight w:val="2342"/>
        </w:trPr>
        <w:tc>
          <w:tcPr>
            <w:tcW w:w="1419" w:type="dxa"/>
            <w:vMerge w:val="restart"/>
          </w:tcPr>
          <w:p w14:paraId="4E4C493E" w14:textId="77777777" w:rsidR="00F345B9" w:rsidRPr="00EE4709" w:rsidRDefault="00F345B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lastRenderedPageBreak/>
              <w:t>Optical</w:t>
            </w:r>
          </w:p>
        </w:tc>
        <w:tc>
          <w:tcPr>
            <w:tcW w:w="1134" w:type="dxa"/>
          </w:tcPr>
          <w:p w14:paraId="5FA29C53" w14:textId="77777777" w:rsidR="00F345B9" w:rsidRPr="00EE4709" w:rsidRDefault="00F345B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SERS sensors</w:t>
            </w:r>
          </w:p>
        </w:tc>
        <w:tc>
          <w:tcPr>
            <w:tcW w:w="1842" w:type="dxa"/>
          </w:tcPr>
          <w:p w14:paraId="7C53FCF5" w14:textId="77777777" w:rsidR="00F345B9" w:rsidRPr="00EE4709" w:rsidRDefault="00F345B9" w:rsidP="00942134">
            <w:pPr>
              <w:spacing w:before="240" w:after="20" w:line="276" w:lineRule="auto"/>
              <w:ind w:firstLine="0"/>
              <w:rPr>
                <w:rFonts w:ascii="Arial Narrow" w:hAnsi="Arial Narrow"/>
                <w:sz w:val="18"/>
                <w:szCs w:val="18"/>
              </w:rPr>
            </w:pPr>
            <w:r w:rsidRPr="00F345B9">
              <w:rPr>
                <w:rFonts w:ascii="Arial Narrow" w:hAnsi="Arial Narrow"/>
                <w:sz w:val="18"/>
                <w:szCs w:val="18"/>
              </w:rPr>
              <w:t>High sensitivity and high spectra resolution, the possibility of multiplexed detection,</w:t>
            </w:r>
            <w:r>
              <w:rPr>
                <w:rFonts w:ascii="Arial Narrow" w:hAnsi="Arial Narrow"/>
                <w:sz w:val="18"/>
                <w:szCs w:val="18"/>
              </w:rPr>
              <w:t xml:space="preserve"> </w:t>
            </w:r>
            <w:r w:rsidRPr="00F345B9">
              <w:rPr>
                <w:rFonts w:ascii="Arial Narrow" w:hAnsi="Arial Narrow"/>
                <w:sz w:val="18"/>
                <w:szCs w:val="18"/>
              </w:rPr>
              <w:t>Label-free SERS also helps in the differentiation of viable and nonviable bacterial cells</w:t>
            </w:r>
          </w:p>
        </w:tc>
        <w:tc>
          <w:tcPr>
            <w:tcW w:w="2127" w:type="dxa"/>
          </w:tcPr>
          <w:p w14:paraId="3D1C36EB" w14:textId="77777777" w:rsidR="00F345B9" w:rsidRPr="00EE4709" w:rsidRDefault="00F345B9" w:rsidP="00942134">
            <w:pPr>
              <w:spacing w:before="240" w:after="20" w:line="276" w:lineRule="auto"/>
              <w:ind w:firstLine="0"/>
              <w:jc w:val="left"/>
              <w:rPr>
                <w:rFonts w:ascii="Arial Narrow" w:hAnsi="Arial Narrow"/>
                <w:sz w:val="18"/>
                <w:szCs w:val="18"/>
              </w:rPr>
            </w:pPr>
            <w:r w:rsidRPr="00F345B9">
              <w:rPr>
                <w:rFonts w:ascii="Arial Narrow" w:hAnsi="Arial Narrow"/>
                <w:sz w:val="18"/>
                <w:szCs w:val="18"/>
              </w:rPr>
              <w:t>Limited usage of label-based SERS for in situ and high-throughput recognition of pathogens because of increased requirements of reactant volumes, preparation steps, and analytical time</w:t>
            </w:r>
          </w:p>
        </w:tc>
        <w:tc>
          <w:tcPr>
            <w:tcW w:w="992" w:type="dxa"/>
          </w:tcPr>
          <w:p w14:paraId="7E73AF35" w14:textId="77777777" w:rsidR="00F345B9" w:rsidRPr="00EE4709" w:rsidRDefault="00A05906" w:rsidP="008739DD">
            <w:pPr>
              <w:spacing w:before="240" w:after="20" w:line="276" w:lineRule="auto"/>
              <w:ind w:firstLine="0"/>
              <w:rPr>
                <w:rFonts w:ascii="Arial Narrow" w:hAnsi="Arial Narrow"/>
                <w:sz w:val="18"/>
                <w:szCs w:val="18"/>
              </w:rPr>
            </w:pPr>
            <w:r w:rsidRPr="00A05906">
              <w:rPr>
                <w:rFonts w:ascii="Arial Narrow" w:hAnsi="Arial Narrow"/>
                <w:sz w:val="18"/>
                <w:szCs w:val="18"/>
              </w:rPr>
              <w:t>10 min–2 h</w:t>
            </w:r>
          </w:p>
        </w:tc>
        <w:tc>
          <w:tcPr>
            <w:tcW w:w="958" w:type="dxa"/>
          </w:tcPr>
          <w:p w14:paraId="37157C4A" w14:textId="77777777" w:rsidR="00F345B9" w:rsidRPr="00EE4709" w:rsidRDefault="00A05906" w:rsidP="008739DD">
            <w:pPr>
              <w:spacing w:before="240" w:after="20" w:line="276" w:lineRule="auto"/>
              <w:ind w:firstLine="0"/>
              <w:rPr>
                <w:rFonts w:ascii="Arial Narrow" w:hAnsi="Arial Narrow"/>
                <w:sz w:val="18"/>
                <w:szCs w:val="18"/>
              </w:rPr>
            </w:pPr>
            <w:r>
              <w:rPr>
                <w:rFonts w:ascii="Arial Narrow" w:hAnsi="Arial Narrow"/>
                <w:sz w:val="18"/>
                <w:szCs w:val="18"/>
              </w:rPr>
              <w:t>High</w:t>
            </w:r>
          </w:p>
        </w:tc>
        <w:tc>
          <w:tcPr>
            <w:tcW w:w="815" w:type="dxa"/>
          </w:tcPr>
          <w:p w14:paraId="4E4DFC6C" w14:textId="77777777" w:rsidR="00F345B9" w:rsidRPr="00EE4709" w:rsidRDefault="00A05906" w:rsidP="008739DD">
            <w:pPr>
              <w:spacing w:before="240" w:after="20" w:line="276" w:lineRule="auto"/>
              <w:ind w:firstLine="0"/>
              <w:rPr>
                <w:rFonts w:ascii="Arial Narrow" w:hAnsi="Arial Narrow"/>
                <w:sz w:val="18"/>
                <w:szCs w:val="18"/>
              </w:rPr>
            </w:pPr>
            <w:r>
              <w:rPr>
                <w:rFonts w:ascii="Arial Narrow" w:hAnsi="Arial Narrow"/>
                <w:sz w:val="18"/>
                <w:szCs w:val="18"/>
              </w:rPr>
              <w:t>No</w:t>
            </w:r>
          </w:p>
        </w:tc>
      </w:tr>
      <w:tr w:rsidR="006F3E2C" w:rsidRPr="00EE4709" w14:paraId="4084611B" w14:textId="77777777" w:rsidTr="006F3E2C">
        <w:trPr>
          <w:trHeight w:val="288"/>
        </w:trPr>
        <w:tc>
          <w:tcPr>
            <w:tcW w:w="1419" w:type="dxa"/>
            <w:vMerge/>
          </w:tcPr>
          <w:p w14:paraId="5691E790" w14:textId="77777777" w:rsidR="00F345B9" w:rsidRPr="00EE4709" w:rsidRDefault="00F345B9" w:rsidP="008739DD">
            <w:pPr>
              <w:spacing w:before="240" w:after="20" w:line="276" w:lineRule="auto"/>
              <w:ind w:firstLine="0"/>
              <w:jc w:val="left"/>
              <w:rPr>
                <w:rFonts w:ascii="Arial Narrow" w:hAnsi="Arial Narrow"/>
                <w:sz w:val="18"/>
                <w:szCs w:val="18"/>
              </w:rPr>
            </w:pPr>
          </w:p>
        </w:tc>
        <w:tc>
          <w:tcPr>
            <w:tcW w:w="1134" w:type="dxa"/>
          </w:tcPr>
          <w:p w14:paraId="366D7267" w14:textId="77777777" w:rsidR="00F345B9" w:rsidRPr="00EE4709" w:rsidRDefault="00F345B9" w:rsidP="006F3E2C">
            <w:pPr>
              <w:spacing w:before="20" w:after="20" w:line="276" w:lineRule="auto"/>
              <w:ind w:firstLine="0"/>
              <w:jc w:val="left"/>
              <w:rPr>
                <w:rFonts w:ascii="Arial Narrow" w:hAnsi="Arial Narrow"/>
                <w:sz w:val="18"/>
                <w:szCs w:val="18"/>
              </w:rPr>
            </w:pPr>
            <w:r w:rsidRPr="00EE4709">
              <w:rPr>
                <w:rFonts w:ascii="Arial Narrow" w:hAnsi="Arial Narrow"/>
                <w:sz w:val="18"/>
                <w:szCs w:val="18"/>
              </w:rPr>
              <w:t>CL sensors</w:t>
            </w:r>
          </w:p>
        </w:tc>
        <w:tc>
          <w:tcPr>
            <w:tcW w:w="1842" w:type="dxa"/>
          </w:tcPr>
          <w:p w14:paraId="1FCAB342" w14:textId="77777777" w:rsidR="00F345B9" w:rsidRPr="00EE4709" w:rsidRDefault="00F345B9" w:rsidP="006F3E2C">
            <w:pPr>
              <w:spacing w:before="20" w:after="20" w:line="276" w:lineRule="auto"/>
              <w:ind w:firstLine="0"/>
              <w:jc w:val="left"/>
              <w:rPr>
                <w:rFonts w:ascii="Arial Narrow" w:hAnsi="Arial Narrow"/>
                <w:sz w:val="18"/>
                <w:szCs w:val="18"/>
              </w:rPr>
            </w:pPr>
            <w:r w:rsidRPr="00F345B9">
              <w:rPr>
                <w:rFonts w:ascii="Arial Narrow" w:hAnsi="Arial Narrow"/>
                <w:sz w:val="18"/>
                <w:szCs w:val="18"/>
              </w:rPr>
              <w:t>Easy device handling, flexibility, specificity,</w:t>
            </w:r>
            <w:r>
              <w:rPr>
                <w:rFonts w:ascii="Arial Narrow" w:hAnsi="Arial Narrow"/>
                <w:sz w:val="18"/>
                <w:szCs w:val="18"/>
              </w:rPr>
              <w:t xml:space="preserve"> </w:t>
            </w:r>
            <w:r w:rsidRPr="00F345B9">
              <w:rPr>
                <w:rFonts w:ascii="Arial Narrow" w:hAnsi="Arial Narrow"/>
                <w:sz w:val="18"/>
                <w:szCs w:val="18"/>
              </w:rPr>
              <w:t>sensitivity, rapidity, wide dynamic range, relatively simple</w:t>
            </w:r>
            <w:r>
              <w:rPr>
                <w:rFonts w:ascii="Arial Narrow" w:hAnsi="Arial Narrow"/>
                <w:sz w:val="18"/>
                <w:szCs w:val="18"/>
              </w:rPr>
              <w:t xml:space="preserve"> </w:t>
            </w:r>
            <w:r w:rsidRPr="00F345B9">
              <w:rPr>
                <w:rFonts w:ascii="Arial Narrow" w:hAnsi="Arial Narrow"/>
                <w:sz w:val="18"/>
                <w:szCs w:val="18"/>
              </w:rPr>
              <w:t>equipment (no sophisticated optics with excitation source required), low instrumentation costs</w:t>
            </w:r>
          </w:p>
        </w:tc>
        <w:tc>
          <w:tcPr>
            <w:tcW w:w="2127" w:type="dxa"/>
          </w:tcPr>
          <w:p w14:paraId="3E4BBCA6" w14:textId="77777777" w:rsidR="00F345B9" w:rsidRPr="00EE4709" w:rsidRDefault="00F345B9" w:rsidP="006F3E2C">
            <w:pPr>
              <w:spacing w:before="20" w:after="20" w:line="276" w:lineRule="auto"/>
              <w:ind w:firstLine="0"/>
              <w:jc w:val="left"/>
              <w:rPr>
                <w:rFonts w:ascii="Arial Narrow" w:hAnsi="Arial Narrow"/>
                <w:sz w:val="18"/>
                <w:szCs w:val="18"/>
              </w:rPr>
            </w:pPr>
            <w:r w:rsidRPr="00F345B9">
              <w:rPr>
                <w:rFonts w:ascii="Arial Narrow" w:hAnsi="Arial Narrow"/>
                <w:sz w:val="18"/>
                <w:szCs w:val="18"/>
              </w:rPr>
              <w:t>Requirement of chemiluminescent labels</w:t>
            </w:r>
          </w:p>
        </w:tc>
        <w:tc>
          <w:tcPr>
            <w:tcW w:w="992" w:type="dxa"/>
          </w:tcPr>
          <w:p w14:paraId="7A9105B1" w14:textId="77777777" w:rsidR="00F345B9" w:rsidRPr="00EE4709" w:rsidRDefault="00A05906" w:rsidP="006F3E2C">
            <w:pPr>
              <w:spacing w:before="20" w:after="20" w:line="276" w:lineRule="auto"/>
              <w:ind w:firstLine="0"/>
              <w:jc w:val="left"/>
              <w:rPr>
                <w:rFonts w:ascii="Arial Narrow" w:hAnsi="Arial Narrow"/>
                <w:sz w:val="18"/>
                <w:szCs w:val="18"/>
              </w:rPr>
            </w:pPr>
            <w:r w:rsidRPr="00A05906">
              <w:rPr>
                <w:rFonts w:ascii="Arial Narrow" w:hAnsi="Arial Narrow"/>
                <w:sz w:val="18"/>
                <w:szCs w:val="18"/>
              </w:rPr>
              <w:t>A few minutes to a few hours</w:t>
            </w:r>
          </w:p>
        </w:tc>
        <w:tc>
          <w:tcPr>
            <w:tcW w:w="958" w:type="dxa"/>
          </w:tcPr>
          <w:p w14:paraId="28944BE4" w14:textId="77777777" w:rsidR="00F345B9" w:rsidRPr="00EE4709" w:rsidRDefault="00A05906" w:rsidP="006F3E2C">
            <w:pPr>
              <w:spacing w:before="20" w:after="20" w:line="276" w:lineRule="auto"/>
              <w:ind w:firstLine="0"/>
              <w:rPr>
                <w:rFonts w:ascii="Arial Narrow" w:hAnsi="Arial Narrow"/>
                <w:sz w:val="18"/>
                <w:szCs w:val="18"/>
              </w:rPr>
            </w:pPr>
            <w:r>
              <w:rPr>
                <w:rFonts w:ascii="Arial Narrow" w:hAnsi="Arial Narrow"/>
                <w:sz w:val="18"/>
                <w:szCs w:val="18"/>
              </w:rPr>
              <w:t>Low</w:t>
            </w:r>
          </w:p>
        </w:tc>
        <w:tc>
          <w:tcPr>
            <w:tcW w:w="815" w:type="dxa"/>
          </w:tcPr>
          <w:p w14:paraId="5C303594" w14:textId="77777777" w:rsidR="00F345B9" w:rsidRPr="00EE4709" w:rsidRDefault="00A05906" w:rsidP="006F3E2C">
            <w:pPr>
              <w:spacing w:before="20" w:after="20" w:line="276" w:lineRule="auto"/>
              <w:ind w:firstLine="0"/>
              <w:rPr>
                <w:rFonts w:ascii="Arial Narrow" w:hAnsi="Arial Narrow"/>
                <w:sz w:val="18"/>
                <w:szCs w:val="18"/>
              </w:rPr>
            </w:pPr>
            <w:r>
              <w:rPr>
                <w:rFonts w:ascii="Arial Narrow" w:hAnsi="Arial Narrow"/>
                <w:sz w:val="18"/>
                <w:szCs w:val="18"/>
              </w:rPr>
              <w:t>Yes</w:t>
            </w:r>
          </w:p>
        </w:tc>
      </w:tr>
      <w:tr w:rsidR="008739DD" w:rsidRPr="00EE4709" w14:paraId="400BBDCC" w14:textId="77777777" w:rsidTr="006F3E2C">
        <w:trPr>
          <w:trHeight w:val="288"/>
        </w:trPr>
        <w:tc>
          <w:tcPr>
            <w:tcW w:w="1419" w:type="dxa"/>
            <w:vMerge w:val="restart"/>
            <w:tcBorders>
              <w:bottom w:val="single" w:sz="4" w:space="0" w:color="auto"/>
            </w:tcBorders>
          </w:tcPr>
          <w:p w14:paraId="318E29B1" w14:textId="77777777" w:rsidR="00EE4709" w:rsidRPr="00EE4709" w:rsidRDefault="00EE470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Electrochemistry</w:t>
            </w:r>
          </w:p>
        </w:tc>
        <w:tc>
          <w:tcPr>
            <w:tcW w:w="1134" w:type="dxa"/>
          </w:tcPr>
          <w:p w14:paraId="35E23FD2" w14:textId="77777777" w:rsidR="00EE4709" w:rsidRPr="00EE4709" w:rsidRDefault="00EE4709" w:rsidP="008739DD">
            <w:pPr>
              <w:spacing w:before="240" w:after="20" w:line="276" w:lineRule="auto"/>
              <w:ind w:firstLine="0"/>
              <w:jc w:val="left"/>
              <w:rPr>
                <w:rFonts w:ascii="Arial Narrow" w:hAnsi="Arial Narrow"/>
                <w:sz w:val="18"/>
                <w:szCs w:val="18"/>
              </w:rPr>
            </w:pPr>
          </w:p>
        </w:tc>
        <w:tc>
          <w:tcPr>
            <w:tcW w:w="1842" w:type="dxa"/>
          </w:tcPr>
          <w:p w14:paraId="43B730EF" w14:textId="77777777" w:rsidR="00EE4709" w:rsidRPr="00EE4709" w:rsidRDefault="00F345B9" w:rsidP="00942134">
            <w:pPr>
              <w:spacing w:before="240" w:after="20" w:line="276" w:lineRule="auto"/>
              <w:ind w:firstLine="0"/>
              <w:rPr>
                <w:rFonts w:ascii="Arial Narrow" w:hAnsi="Arial Narrow"/>
                <w:sz w:val="18"/>
                <w:szCs w:val="18"/>
              </w:rPr>
            </w:pPr>
            <w:r w:rsidRPr="00F345B9">
              <w:rPr>
                <w:rFonts w:ascii="Arial Narrow" w:hAnsi="Arial Narrow"/>
                <w:sz w:val="18"/>
                <w:szCs w:val="18"/>
              </w:rPr>
              <w:t>Simplicity, specificity, low detection limit, ease of use, real-time measurement, multitarget testing and automation, portability, m</w:t>
            </w:r>
            <w:r>
              <w:rPr>
                <w:rFonts w:ascii="Arial Narrow" w:hAnsi="Arial Narrow"/>
                <w:sz w:val="18"/>
                <w:szCs w:val="18"/>
              </w:rPr>
              <w:t>iniaturization, rapid detection</w:t>
            </w:r>
          </w:p>
        </w:tc>
        <w:tc>
          <w:tcPr>
            <w:tcW w:w="2127" w:type="dxa"/>
            <w:vMerge w:val="restart"/>
          </w:tcPr>
          <w:p w14:paraId="65DD0BE6" w14:textId="77777777" w:rsidR="00EE4709" w:rsidRPr="00EE4709" w:rsidRDefault="00EE4709" w:rsidP="008739DD">
            <w:pPr>
              <w:spacing w:before="240" w:after="20" w:line="276" w:lineRule="auto"/>
              <w:ind w:firstLine="0"/>
              <w:rPr>
                <w:rFonts w:ascii="Arial Narrow" w:hAnsi="Arial Narrow"/>
                <w:sz w:val="18"/>
                <w:szCs w:val="18"/>
              </w:rPr>
            </w:pPr>
          </w:p>
        </w:tc>
        <w:tc>
          <w:tcPr>
            <w:tcW w:w="992" w:type="dxa"/>
            <w:vMerge w:val="restart"/>
          </w:tcPr>
          <w:p w14:paraId="6C1E76E8" w14:textId="77777777" w:rsidR="00EE4709" w:rsidRPr="00EE4709" w:rsidRDefault="00F345B9" w:rsidP="006F3E2C">
            <w:pPr>
              <w:spacing w:before="240" w:after="20" w:line="276" w:lineRule="auto"/>
              <w:ind w:firstLine="0"/>
              <w:jc w:val="left"/>
              <w:rPr>
                <w:rFonts w:ascii="Arial Narrow" w:hAnsi="Arial Narrow"/>
                <w:sz w:val="18"/>
                <w:szCs w:val="18"/>
              </w:rPr>
            </w:pPr>
            <w:r w:rsidRPr="00F345B9">
              <w:rPr>
                <w:rFonts w:ascii="Arial Narrow" w:hAnsi="Arial Narrow"/>
                <w:sz w:val="18"/>
                <w:szCs w:val="18"/>
              </w:rPr>
              <w:t>A few minutes to a few hours</w:t>
            </w:r>
          </w:p>
        </w:tc>
        <w:tc>
          <w:tcPr>
            <w:tcW w:w="958" w:type="dxa"/>
          </w:tcPr>
          <w:p w14:paraId="67C481E3" w14:textId="77777777" w:rsidR="00EE4709" w:rsidRPr="00EE4709" w:rsidRDefault="00F345B9" w:rsidP="008739DD">
            <w:pPr>
              <w:spacing w:before="240" w:after="20" w:line="276" w:lineRule="auto"/>
              <w:ind w:firstLine="0"/>
              <w:rPr>
                <w:rFonts w:ascii="Arial Narrow" w:hAnsi="Arial Narrow"/>
                <w:sz w:val="18"/>
                <w:szCs w:val="18"/>
              </w:rPr>
            </w:pPr>
            <w:r>
              <w:rPr>
                <w:rFonts w:ascii="Arial Narrow" w:hAnsi="Arial Narrow"/>
                <w:sz w:val="18"/>
                <w:szCs w:val="18"/>
              </w:rPr>
              <w:t>Low</w:t>
            </w:r>
          </w:p>
        </w:tc>
        <w:tc>
          <w:tcPr>
            <w:tcW w:w="815" w:type="dxa"/>
          </w:tcPr>
          <w:p w14:paraId="78B7D8F9" w14:textId="77777777" w:rsidR="00EE4709" w:rsidRPr="00EE4709" w:rsidRDefault="00F345B9" w:rsidP="008739DD">
            <w:pPr>
              <w:spacing w:before="240" w:after="20" w:line="276" w:lineRule="auto"/>
              <w:ind w:firstLine="0"/>
              <w:rPr>
                <w:rFonts w:ascii="Arial Narrow" w:hAnsi="Arial Narrow"/>
                <w:sz w:val="18"/>
                <w:szCs w:val="18"/>
              </w:rPr>
            </w:pPr>
            <w:r>
              <w:rPr>
                <w:rFonts w:ascii="Arial Narrow" w:hAnsi="Arial Narrow"/>
                <w:sz w:val="18"/>
                <w:szCs w:val="18"/>
              </w:rPr>
              <w:t>Yes</w:t>
            </w:r>
          </w:p>
        </w:tc>
      </w:tr>
      <w:tr w:rsidR="008739DD" w:rsidRPr="00EE4709" w14:paraId="2A04BFDF" w14:textId="77777777" w:rsidTr="006F3E2C">
        <w:trPr>
          <w:trHeight w:val="288"/>
        </w:trPr>
        <w:tc>
          <w:tcPr>
            <w:tcW w:w="1419" w:type="dxa"/>
            <w:vMerge/>
            <w:tcBorders>
              <w:bottom w:val="single" w:sz="4" w:space="0" w:color="auto"/>
            </w:tcBorders>
          </w:tcPr>
          <w:p w14:paraId="1D7CFFF9" w14:textId="77777777" w:rsidR="00EE4709" w:rsidRPr="00EE4709" w:rsidRDefault="00EE4709" w:rsidP="008739DD">
            <w:pPr>
              <w:spacing w:before="240" w:after="20" w:line="276" w:lineRule="auto"/>
              <w:ind w:firstLine="0"/>
              <w:jc w:val="left"/>
              <w:rPr>
                <w:rFonts w:ascii="Arial Narrow" w:hAnsi="Arial Narrow"/>
                <w:sz w:val="18"/>
                <w:szCs w:val="18"/>
              </w:rPr>
            </w:pPr>
          </w:p>
        </w:tc>
        <w:tc>
          <w:tcPr>
            <w:tcW w:w="1134" w:type="dxa"/>
            <w:tcBorders>
              <w:bottom w:val="single" w:sz="4" w:space="0" w:color="auto"/>
            </w:tcBorders>
          </w:tcPr>
          <w:p w14:paraId="5F74A429" w14:textId="77777777" w:rsidR="00EE4709" w:rsidRPr="00EE4709" w:rsidRDefault="00EE4709" w:rsidP="008739DD">
            <w:pPr>
              <w:spacing w:before="240" w:after="20" w:line="276" w:lineRule="auto"/>
              <w:ind w:firstLine="0"/>
              <w:jc w:val="left"/>
              <w:rPr>
                <w:rFonts w:ascii="Arial Narrow" w:hAnsi="Arial Narrow"/>
                <w:sz w:val="18"/>
                <w:szCs w:val="18"/>
              </w:rPr>
            </w:pPr>
            <w:r w:rsidRPr="00EE4709">
              <w:rPr>
                <w:rFonts w:ascii="Arial Narrow" w:hAnsi="Arial Narrow"/>
                <w:sz w:val="18"/>
                <w:szCs w:val="18"/>
              </w:rPr>
              <w:t>Paper-based sensors</w:t>
            </w:r>
          </w:p>
        </w:tc>
        <w:tc>
          <w:tcPr>
            <w:tcW w:w="1842" w:type="dxa"/>
            <w:tcBorders>
              <w:bottom w:val="single" w:sz="4" w:space="0" w:color="auto"/>
            </w:tcBorders>
          </w:tcPr>
          <w:p w14:paraId="18CA9549" w14:textId="77777777" w:rsidR="00EE4709" w:rsidRPr="00EE4709" w:rsidRDefault="00F345B9" w:rsidP="00942134">
            <w:pPr>
              <w:spacing w:before="240" w:after="20" w:line="276" w:lineRule="auto"/>
              <w:ind w:firstLine="0"/>
              <w:jc w:val="left"/>
              <w:rPr>
                <w:rFonts w:ascii="Arial Narrow" w:hAnsi="Arial Narrow"/>
                <w:sz w:val="18"/>
                <w:szCs w:val="18"/>
              </w:rPr>
            </w:pPr>
            <w:r w:rsidRPr="00F345B9">
              <w:rPr>
                <w:rFonts w:ascii="Arial Narrow" w:hAnsi="Arial Narrow"/>
                <w:sz w:val="18"/>
                <w:szCs w:val="18"/>
              </w:rPr>
              <w:t>Low cost, single-use, portable, environmentally friendly</w:t>
            </w:r>
          </w:p>
        </w:tc>
        <w:tc>
          <w:tcPr>
            <w:tcW w:w="2127" w:type="dxa"/>
            <w:vMerge/>
            <w:tcBorders>
              <w:bottom w:val="single" w:sz="4" w:space="0" w:color="auto"/>
            </w:tcBorders>
          </w:tcPr>
          <w:p w14:paraId="2ECDC393" w14:textId="77777777" w:rsidR="00EE4709" w:rsidRPr="00EE4709" w:rsidRDefault="00EE4709" w:rsidP="008739DD">
            <w:pPr>
              <w:spacing w:before="240" w:after="20" w:line="276" w:lineRule="auto"/>
              <w:ind w:firstLine="0"/>
              <w:rPr>
                <w:rFonts w:ascii="Arial Narrow" w:hAnsi="Arial Narrow"/>
                <w:sz w:val="18"/>
                <w:szCs w:val="18"/>
              </w:rPr>
            </w:pPr>
          </w:p>
        </w:tc>
        <w:tc>
          <w:tcPr>
            <w:tcW w:w="992" w:type="dxa"/>
            <w:vMerge/>
            <w:tcBorders>
              <w:bottom w:val="single" w:sz="4" w:space="0" w:color="auto"/>
            </w:tcBorders>
          </w:tcPr>
          <w:p w14:paraId="26D49EC5" w14:textId="77777777" w:rsidR="00EE4709" w:rsidRPr="00EE4709" w:rsidRDefault="00EE4709" w:rsidP="008739DD">
            <w:pPr>
              <w:spacing w:before="240" w:after="20" w:line="276" w:lineRule="auto"/>
              <w:ind w:firstLine="0"/>
              <w:rPr>
                <w:rFonts w:ascii="Arial Narrow" w:hAnsi="Arial Narrow"/>
                <w:sz w:val="18"/>
                <w:szCs w:val="18"/>
              </w:rPr>
            </w:pPr>
          </w:p>
        </w:tc>
        <w:tc>
          <w:tcPr>
            <w:tcW w:w="958" w:type="dxa"/>
            <w:tcBorders>
              <w:bottom w:val="single" w:sz="4" w:space="0" w:color="auto"/>
            </w:tcBorders>
          </w:tcPr>
          <w:p w14:paraId="45DBA02B" w14:textId="77777777" w:rsidR="00EE4709" w:rsidRPr="00EE4709" w:rsidRDefault="00F345B9" w:rsidP="008739DD">
            <w:pPr>
              <w:spacing w:before="240" w:after="20" w:line="276" w:lineRule="auto"/>
              <w:ind w:firstLine="0"/>
              <w:rPr>
                <w:rFonts w:ascii="Arial Narrow" w:hAnsi="Arial Narrow"/>
                <w:sz w:val="18"/>
                <w:szCs w:val="18"/>
              </w:rPr>
            </w:pPr>
            <w:r>
              <w:rPr>
                <w:rFonts w:ascii="Arial Narrow" w:hAnsi="Arial Narrow"/>
                <w:sz w:val="18"/>
                <w:szCs w:val="18"/>
              </w:rPr>
              <w:t>Low</w:t>
            </w:r>
          </w:p>
        </w:tc>
        <w:tc>
          <w:tcPr>
            <w:tcW w:w="815" w:type="dxa"/>
            <w:tcBorders>
              <w:bottom w:val="single" w:sz="4" w:space="0" w:color="auto"/>
            </w:tcBorders>
          </w:tcPr>
          <w:p w14:paraId="159C58BB" w14:textId="77777777" w:rsidR="00EE4709" w:rsidRPr="00EE4709" w:rsidRDefault="00F345B9" w:rsidP="008739DD">
            <w:pPr>
              <w:spacing w:before="240" w:after="20" w:line="276" w:lineRule="auto"/>
              <w:ind w:firstLine="0"/>
              <w:rPr>
                <w:rFonts w:ascii="Arial Narrow" w:hAnsi="Arial Narrow"/>
                <w:sz w:val="18"/>
                <w:szCs w:val="18"/>
              </w:rPr>
            </w:pPr>
            <w:r>
              <w:rPr>
                <w:rFonts w:ascii="Arial Narrow" w:hAnsi="Arial Narrow"/>
                <w:sz w:val="18"/>
                <w:szCs w:val="18"/>
              </w:rPr>
              <w:t>Yes</w:t>
            </w:r>
          </w:p>
        </w:tc>
      </w:tr>
    </w:tbl>
    <w:p w14:paraId="1341A1DC" w14:textId="77777777" w:rsidR="009D54DA" w:rsidRPr="00942134" w:rsidRDefault="00942134" w:rsidP="00942134">
      <w:pPr>
        <w:spacing w:before="240" w:after="20" w:line="276" w:lineRule="auto"/>
        <w:ind w:firstLine="0"/>
        <w:jc w:val="left"/>
        <w:rPr>
          <w:rFonts w:ascii="Arial Narrow" w:hAnsi="Arial Narrow"/>
          <w:sz w:val="18"/>
          <w:szCs w:val="18"/>
        </w:rPr>
      </w:pPr>
      <w:r w:rsidRPr="00942134">
        <w:rPr>
          <w:rFonts w:ascii="Arial Narrow" w:hAnsi="Arial Narrow"/>
          <w:sz w:val="18"/>
          <w:szCs w:val="18"/>
        </w:rPr>
        <w:t>Note: * The cost was estimated based on required equipment and reagents.</w:t>
      </w:r>
    </w:p>
    <w:p w14:paraId="57EB3236" w14:textId="4DC5E695" w:rsidR="00B1586B" w:rsidRDefault="0032564A" w:rsidP="002252B0">
      <w:pPr>
        <w:spacing w:before="240" w:after="240" w:line="276" w:lineRule="auto"/>
        <w:ind w:firstLine="0"/>
        <w:rPr>
          <w:lang w:val="en-GB"/>
        </w:rPr>
      </w:pPr>
      <w:r>
        <w:rPr>
          <w:lang w:val="en-GB"/>
        </w:rPr>
        <w:t>Very recently, t</w:t>
      </w:r>
      <w:r w:rsidR="002252B0">
        <w:rPr>
          <w:lang w:val="en-GB"/>
        </w:rPr>
        <w:t>hanks to the development of machine learning algorithms, also peculiar cases of water treatment</w:t>
      </w:r>
      <w:r>
        <w:rPr>
          <w:lang w:val="en-GB"/>
        </w:rPr>
        <w:t xml:space="preserve"> were considered</w:t>
      </w:r>
      <w:r w:rsidR="002252B0">
        <w:rPr>
          <w:lang w:val="en-GB"/>
        </w:rPr>
        <w:t xml:space="preserve">, where high sampling and analysis is not achievable with traditional analytical approach, </w:t>
      </w:r>
      <w:r>
        <w:rPr>
          <w:lang w:val="en-GB"/>
        </w:rPr>
        <w:t>to perform</w:t>
      </w:r>
      <w:r w:rsidR="002252B0">
        <w:rPr>
          <w:lang w:val="en-GB"/>
        </w:rPr>
        <w:t xml:space="preserve"> microbial water quality assessment.  For instance, </w:t>
      </w:r>
      <w:r w:rsidR="002252B0" w:rsidRPr="002252B0">
        <w:rPr>
          <w:lang w:val="en-GB"/>
        </w:rPr>
        <w:t>Membrane Bio-</w:t>
      </w:r>
      <w:r w:rsidR="002252B0">
        <w:rPr>
          <w:lang w:val="en-GB"/>
        </w:rPr>
        <w:t xml:space="preserve"> R</w:t>
      </w:r>
      <w:r w:rsidR="002252B0" w:rsidRPr="002252B0">
        <w:rPr>
          <w:lang w:val="en-GB"/>
        </w:rPr>
        <w:t xml:space="preserve">eactor (MBR) </w:t>
      </w:r>
      <w:r w:rsidR="00F728B4">
        <w:rPr>
          <w:lang w:val="en-GB"/>
        </w:rPr>
        <w:t>including</w:t>
      </w:r>
      <w:r w:rsidR="002252B0" w:rsidRPr="002252B0">
        <w:rPr>
          <w:lang w:val="en-GB"/>
        </w:rPr>
        <w:t xml:space="preserve"> chlorine disinfection (MBR+Cl</w:t>
      </w:r>
      <w:r w:rsidR="002252B0" w:rsidRPr="002252B0">
        <w:rPr>
          <w:vertAlign w:val="subscript"/>
          <w:lang w:val="en-GB"/>
        </w:rPr>
        <w:t>2</w:t>
      </w:r>
      <w:r w:rsidR="00F728B4">
        <w:rPr>
          <w:lang w:val="en-GB"/>
        </w:rPr>
        <w:t>) is an already well tested</w:t>
      </w:r>
      <w:r w:rsidR="002252B0" w:rsidRPr="002252B0">
        <w:rPr>
          <w:lang w:val="en-GB"/>
        </w:rPr>
        <w:t xml:space="preserve"> and robust </w:t>
      </w:r>
      <w:r w:rsidR="00F728B4">
        <w:rPr>
          <w:lang w:val="en-GB"/>
        </w:rPr>
        <w:t>train</w:t>
      </w:r>
      <w:r w:rsidR="002252B0" w:rsidRPr="002252B0">
        <w:rPr>
          <w:lang w:val="en-GB"/>
        </w:rPr>
        <w:t xml:space="preserve"> of technologies for </w:t>
      </w:r>
      <w:r w:rsidR="009C3F7F">
        <w:rPr>
          <w:lang w:val="en-GB"/>
        </w:rPr>
        <w:t>waste</w:t>
      </w:r>
      <w:r w:rsidR="002252B0" w:rsidRPr="002252B0">
        <w:rPr>
          <w:lang w:val="en-GB"/>
        </w:rPr>
        <w:t xml:space="preserve">water </w:t>
      </w:r>
      <w:r w:rsidR="009C3F7F">
        <w:rPr>
          <w:lang w:val="en-GB"/>
        </w:rPr>
        <w:t xml:space="preserve">treatment, in theory not easily subject to </w:t>
      </w:r>
      <w:r w:rsidR="002252B0" w:rsidRPr="002252B0">
        <w:rPr>
          <w:lang w:val="en-GB"/>
        </w:rPr>
        <w:t>treatment disruptions.</w:t>
      </w:r>
      <w:r w:rsidR="002252B0">
        <w:rPr>
          <w:lang w:val="en-GB"/>
        </w:rPr>
        <w:t xml:space="preserve"> </w:t>
      </w:r>
      <w:r w:rsidR="002252B0" w:rsidRPr="002252B0">
        <w:rPr>
          <w:lang w:val="en-GB"/>
        </w:rPr>
        <w:t xml:space="preserve">However, even </w:t>
      </w:r>
      <w:r w:rsidR="009C3F7F">
        <w:rPr>
          <w:lang w:val="en-GB"/>
        </w:rPr>
        <w:t xml:space="preserve">in case of </w:t>
      </w:r>
      <w:r w:rsidR="002252B0" w:rsidRPr="002252B0">
        <w:rPr>
          <w:lang w:val="en-GB"/>
        </w:rPr>
        <w:t xml:space="preserve">a single day of </w:t>
      </w:r>
      <w:r w:rsidR="000E7333">
        <w:rPr>
          <w:lang w:val="en-GB"/>
        </w:rPr>
        <w:t xml:space="preserve">bad </w:t>
      </w:r>
      <w:r w:rsidR="009C3F7F">
        <w:rPr>
          <w:lang w:val="en-GB"/>
        </w:rPr>
        <w:t xml:space="preserve">functioning </w:t>
      </w:r>
      <w:r w:rsidR="002252B0" w:rsidRPr="002252B0">
        <w:rPr>
          <w:lang w:val="en-GB"/>
        </w:rPr>
        <w:t>a risk to human health</w:t>
      </w:r>
      <w:r w:rsidR="009C3F7F">
        <w:rPr>
          <w:lang w:val="en-GB"/>
        </w:rPr>
        <w:t xml:space="preserve"> can occur</w:t>
      </w:r>
      <w:r w:rsidR="002252B0" w:rsidRPr="002252B0">
        <w:rPr>
          <w:lang w:val="en-GB"/>
        </w:rPr>
        <w:t>.</w:t>
      </w:r>
      <w:r w:rsidR="002252B0">
        <w:rPr>
          <w:lang w:val="en-GB"/>
        </w:rPr>
        <w:t xml:space="preserve"> </w:t>
      </w:r>
      <w:r w:rsidR="002252B0" w:rsidRPr="002252B0">
        <w:rPr>
          <w:lang w:val="en-GB"/>
        </w:rPr>
        <w:t>Quantitative microbial risk assessment can be used to calculate treatment log removal targets (LRTs) for pathogens for reuse applications</w:t>
      </w:r>
      <w:r w:rsidR="002252B0">
        <w:rPr>
          <w:lang w:val="en-GB"/>
        </w:rPr>
        <w:t xml:space="preserve">. </w:t>
      </w:r>
      <w:r w:rsidR="005706EA">
        <w:rPr>
          <w:lang w:val="en-GB"/>
        </w:rPr>
        <w:t>T</w:t>
      </w:r>
      <w:r w:rsidR="002252B0" w:rsidRPr="002252B0">
        <w:rPr>
          <w:lang w:val="en-GB"/>
        </w:rPr>
        <w:t>he monitoring frequencies required to prevent a significant increase in risk as a function of the LRT</w:t>
      </w:r>
      <w:r w:rsidR="005706EA">
        <w:rPr>
          <w:lang w:val="en-GB"/>
        </w:rPr>
        <w:t>, determined by means of a s</w:t>
      </w:r>
      <w:r w:rsidR="005706EA" w:rsidRPr="002252B0">
        <w:rPr>
          <w:lang w:val="en-GB"/>
        </w:rPr>
        <w:t>tochastic models</w:t>
      </w:r>
      <w:r w:rsidR="009C3F7F">
        <w:rPr>
          <w:lang w:val="en-GB"/>
        </w:rPr>
        <w:t>,</w:t>
      </w:r>
      <w:r w:rsidR="005706EA" w:rsidRPr="002252B0">
        <w:rPr>
          <w:lang w:val="en-GB"/>
        </w:rPr>
        <w:t xml:space="preserve"> </w:t>
      </w:r>
      <w:r w:rsidR="005706EA">
        <w:rPr>
          <w:lang w:val="en-GB"/>
        </w:rPr>
        <w:t>resulted in values</w:t>
      </w:r>
      <w:r w:rsidR="002252B0" w:rsidRPr="002252B0">
        <w:rPr>
          <w:lang w:val="en-GB"/>
        </w:rPr>
        <w:t xml:space="preserve"> as low as 1 s</w:t>
      </w:r>
      <w:r w:rsidR="005706EA">
        <w:rPr>
          <w:lang w:val="en-GB"/>
        </w:rPr>
        <w:t>, not affordable with m</w:t>
      </w:r>
      <w:r w:rsidR="002252B0" w:rsidRPr="002252B0">
        <w:rPr>
          <w:lang w:val="en-GB"/>
        </w:rPr>
        <w:t xml:space="preserve">anual sampling </w:t>
      </w:r>
      <w:r w:rsidR="002252B0" w:rsidRPr="002252B0">
        <w:rPr>
          <w:lang w:val="en-GB"/>
        </w:rPr>
        <w:lastRenderedPageBreak/>
        <w:t>and laboratory-based analytical methods</w:t>
      </w:r>
      <w:r w:rsidR="009C3F7F">
        <w:rPr>
          <w:lang w:val="en-GB"/>
        </w:rPr>
        <w:t>,</w:t>
      </w:r>
      <w:r w:rsidR="005706EA">
        <w:rPr>
          <w:lang w:val="en-GB"/>
        </w:rPr>
        <w:t xml:space="preserve"> </w:t>
      </w:r>
      <w:r w:rsidR="009C3F7F">
        <w:rPr>
          <w:lang w:val="en-GB"/>
        </w:rPr>
        <w:t xml:space="preserve">making </w:t>
      </w:r>
      <w:r w:rsidR="005706EA">
        <w:rPr>
          <w:lang w:val="en-GB"/>
        </w:rPr>
        <w:t xml:space="preserve">therefore </w:t>
      </w:r>
      <w:r w:rsidR="009C3F7F" w:rsidRPr="002252B0">
        <w:rPr>
          <w:lang w:val="en-GB"/>
        </w:rPr>
        <w:t>indispensable</w:t>
      </w:r>
      <w:r w:rsidR="009C3F7F">
        <w:rPr>
          <w:lang w:val="en-GB"/>
        </w:rPr>
        <w:t xml:space="preserve"> </w:t>
      </w:r>
      <w:r w:rsidR="005706EA">
        <w:rPr>
          <w:lang w:val="en-GB"/>
        </w:rPr>
        <w:t>the</w:t>
      </w:r>
      <w:r w:rsidR="002252B0" w:rsidRPr="002252B0">
        <w:rPr>
          <w:lang w:val="en-GB"/>
        </w:rPr>
        <w:t xml:space="preserve"> online monitoring of the microbial water quality </w:t>
      </w:r>
      <w:r w:rsidR="00AE2DE8">
        <w:rPr>
          <w:lang w:val="en-GB"/>
        </w:rPr>
        <w:fldChar w:fldCharType="begin"/>
      </w:r>
      <w:r w:rsidR="004F22BB">
        <w:rPr>
          <w:lang w:val="en-GB"/>
        </w:rPr>
        <w:instrText xml:space="preserve"> ADDIN ZOTERO_ITEM CSL_CITATION {"citationID":"U8fr9iCb","properties":{"formattedCitation":"[43]","plainCitation":"[43]","noteIndex":0},"citationItems":[{"id":1180,"uris":["http://zotero.org/users/local/8TMZWfC3/items/6QWRLBVS"],"itemData":{"id":1180,"type":"article-journal","abstract":"Widespread implementation of on-site water reuse is hindered by the limited availability of monitoring approaches that ensure microbial quality during operation. In this study, we developed a methodology for monitoring microbial water quality in on-site water reuse systems using inexpensive and commercially available online sensors. An extensive dataset containing sensor and microbial water quality data for six of the most critical types of disruptions in membrane bioreactors with chlorination was collected. We then tested the ability of three typological machine learning algorithms – logistic regression, support-vector machine, and random forest – to predict the microbial water quality as “safe” or “unsafe” for reuse. The main criteria for model optimization was to ensure a low false positive rate (FPR) – the percentage of safe predictions when the actual condition is unsafe – which is essential to protect users health. This resulted in enforcing a fixed FPR ≤ 2%. Maximizing the true positive rate (TPR) – the percentage of safe predictions when the actual condition is safe – was given second priority. Our results show that logistic-regression-based models using only two out of the six sensors (free chlorine and oxidation–reduction potential) achieved the highest TPR. Including sensor slopes as engineered features allowed to reach similar TPRs using only one sensor instead of two. Analysis of the occurrence of false predictions showed that these were mostly early alarms, a characteristic that could be regarded as an asset in alarm management. In conclusion, the simplest algorithm in combination with only one or two sensors performed best at predicting the microbial water quality. This result provides useful insights for water quality modeling or for applications where small datasets are a common challenge and a general advantage might be gained by using simpler models that reduce the risk of overfitting, allow better interpretability, and require less computational power.","container-title":"Water Research","DOI":"10.1016/j.watres.2023.120075","ISSN":"0043-1354","journalAbbreviation":"Water Research","page":"120075","source":"ScienceDirect","title":"Predicting microbial water quality in on-site water reuse systems with online sensors","volume":"240","author":[{"family":"Reynaert","given":"Eva"},{"family":"Steiner","given":"Philipp"},{"family":"Yu","given":"Qixing"},{"family":"D'Olif","given":"Lukas"},{"family":"Joller","given":"Noah"},{"family":"Schneider","given":"Mariane Y."},{"family":"Morgenroth","given":"Eberhard"}],"issued":{"date-parts":[["2023",7,15]]}}}],"schema":"https://github.com/citation-style-language/schema/raw/master/csl-citation.json"} </w:instrText>
      </w:r>
      <w:r w:rsidR="00AE2DE8">
        <w:rPr>
          <w:lang w:val="en-GB"/>
        </w:rPr>
        <w:fldChar w:fldCharType="separate"/>
      </w:r>
      <w:r w:rsidR="005C324C" w:rsidRPr="005C324C">
        <w:t>[43]</w:t>
      </w:r>
      <w:r w:rsidR="00AE2DE8">
        <w:rPr>
          <w:lang w:val="en-GB"/>
        </w:rPr>
        <w:fldChar w:fldCharType="end"/>
      </w:r>
      <w:r w:rsidR="005706EA">
        <w:rPr>
          <w:lang w:val="en-GB"/>
        </w:rPr>
        <w:t xml:space="preserve">. </w:t>
      </w:r>
      <w:r w:rsidR="002252B0" w:rsidRPr="002252B0">
        <w:rPr>
          <w:lang w:val="en-GB"/>
        </w:rPr>
        <w:t xml:space="preserve">Soft sensors </w:t>
      </w:r>
      <w:r w:rsidR="005706EA">
        <w:rPr>
          <w:lang w:val="en-GB"/>
        </w:rPr>
        <w:t>(</w:t>
      </w:r>
      <w:r w:rsidR="002252B0" w:rsidRPr="002252B0">
        <w:rPr>
          <w:lang w:val="en-GB"/>
        </w:rPr>
        <w:t>software-based models</w:t>
      </w:r>
      <w:r w:rsidR="005706EA">
        <w:rPr>
          <w:lang w:val="en-GB"/>
        </w:rPr>
        <w:t xml:space="preserve">) </w:t>
      </w:r>
      <w:r w:rsidR="004463B2">
        <w:rPr>
          <w:lang w:val="en-GB"/>
        </w:rPr>
        <w:t>have been</w:t>
      </w:r>
      <w:r w:rsidR="005706EA">
        <w:rPr>
          <w:lang w:val="en-GB"/>
        </w:rPr>
        <w:t xml:space="preserve"> developed and tested</w:t>
      </w:r>
      <w:r w:rsidR="005706EA" w:rsidRPr="005706EA">
        <w:rPr>
          <w:lang w:val="en-GB"/>
        </w:rPr>
        <w:t xml:space="preserve"> to </w:t>
      </w:r>
      <w:r w:rsidR="009C3F7F">
        <w:rPr>
          <w:lang w:val="en-GB"/>
        </w:rPr>
        <w:t>generate</w:t>
      </w:r>
      <w:r w:rsidR="005706EA" w:rsidRPr="005706EA">
        <w:rPr>
          <w:lang w:val="en-GB"/>
        </w:rPr>
        <w:t xml:space="preserve"> an al</w:t>
      </w:r>
      <w:r w:rsidR="009C3F7F">
        <w:rPr>
          <w:lang w:val="en-GB"/>
        </w:rPr>
        <w:t>ert</w:t>
      </w:r>
      <w:r w:rsidR="005706EA" w:rsidRPr="005706EA">
        <w:rPr>
          <w:lang w:val="en-GB"/>
        </w:rPr>
        <w:t xml:space="preserve"> if microbial water quality targets for </w:t>
      </w:r>
      <w:r w:rsidR="009C3F7F" w:rsidRPr="005706EA">
        <w:rPr>
          <w:lang w:val="en-GB"/>
        </w:rPr>
        <w:t xml:space="preserve">maximum bacterial regrowth </w:t>
      </w:r>
      <w:r w:rsidR="005706EA" w:rsidRPr="005706EA">
        <w:rPr>
          <w:lang w:val="en-GB"/>
        </w:rPr>
        <w:t xml:space="preserve">and </w:t>
      </w:r>
      <w:r w:rsidR="009C3F7F" w:rsidRPr="005706EA">
        <w:rPr>
          <w:lang w:val="en-GB"/>
        </w:rPr>
        <w:t xml:space="preserve">minimum virus removal </w:t>
      </w:r>
      <w:r w:rsidR="005706EA" w:rsidRPr="005706EA">
        <w:rPr>
          <w:lang w:val="en-GB"/>
        </w:rPr>
        <w:t>are not met</w:t>
      </w:r>
      <w:r w:rsidR="009C3F7F">
        <w:rPr>
          <w:lang w:val="en-GB"/>
        </w:rPr>
        <w:t>; to build such models</w:t>
      </w:r>
      <w:r w:rsidR="005706EA" w:rsidRPr="005706EA">
        <w:rPr>
          <w:lang w:val="en-GB"/>
        </w:rPr>
        <w:t xml:space="preserve"> </w:t>
      </w:r>
      <w:r w:rsidR="004463B2">
        <w:rPr>
          <w:lang w:val="en-GB"/>
        </w:rPr>
        <w:t>the signals coming from an array of</w:t>
      </w:r>
      <w:r w:rsidR="005706EA">
        <w:rPr>
          <w:lang w:val="en-GB"/>
        </w:rPr>
        <w:t xml:space="preserve"> non expensive</w:t>
      </w:r>
      <w:r w:rsidR="005706EA" w:rsidRPr="002252B0">
        <w:rPr>
          <w:lang w:val="en-GB"/>
        </w:rPr>
        <w:t xml:space="preserve"> </w:t>
      </w:r>
      <w:r w:rsidR="005706EA">
        <w:rPr>
          <w:lang w:val="en-GB"/>
        </w:rPr>
        <w:t>sensors</w:t>
      </w:r>
      <w:r w:rsidR="005706EA" w:rsidRPr="002252B0">
        <w:rPr>
          <w:lang w:val="en-GB"/>
        </w:rPr>
        <w:t xml:space="preserve">, including </w:t>
      </w:r>
      <w:r w:rsidR="00B1586B" w:rsidRPr="00B1586B">
        <w:t>free chlorine, oxidation–reduction potential, pH, turbidity, conductivity and T</w:t>
      </w:r>
      <w:r w:rsidR="00B1586B" w:rsidRPr="00B1586B">
        <w:rPr>
          <w:lang w:val="en-GB"/>
        </w:rPr>
        <w:t xml:space="preserve"> </w:t>
      </w:r>
      <w:r w:rsidR="009C3F7F">
        <w:rPr>
          <w:lang w:val="en-GB"/>
        </w:rPr>
        <w:t xml:space="preserve">have been used </w:t>
      </w:r>
      <w:r w:rsidR="005706EA">
        <w:rPr>
          <w:lang w:val="en-GB"/>
        </w:rPr>
        <w:t xml:space="preserve">in combination </w:t>
      </w:r>
      <w:r w:rsidR="002252B0" w:rsidRPr="002252B0">
        <w:rPr>
          <w:lang w:val="en-GB"/>
        </w:rPr>
        <w:t xml:space="preserve">with </w:t>
      </w:r>
      <w:r w:rsidR="00B1586B" w:rsidRPr="00B1586B">
        <w:rPr>
          <w:lang w:val="en-GB"/>
        </w:rPr>
        <w:t>machine learning algorithms</w:t>
      </w:r>
      <w:r w:rsidR="002252B0" w:rsidRPr="00B1586B">
        <w:rPr>
          <w:lang w:val="en-GB"/>
        </w:rPr>
        <w:t>.</w:t>
      </w:r>
      <w:r w:rsidR="00B1586B">
        <w:rPr>
          <w:lang w:val="en-GB"/>
        </w:rPr>
        <w:t xml:space="preserve"> </w:t>
      </w:r>
      <w:r w:rsidR="00B1586B" w:rsidRPr="00686384">
        <w:rPr>
          <w:lang w:val="en-GB"/>
        </w:rPr>
        <w:t xml:space="preserve">Table </w:t>
      </w:r>
      <w:r w:rsidR="00686384" w:rsidRPr="00686384">
        <w:rPr>
          <w:lang w:val="en-GB"/>
        </w:rPr>
        <w:t>2</w:t>
      </w:r>
      <w:r w:rsidR="00B1586B" w:rsidRPr="00686384">
        <w:rPr>
          <w:lang w:val="en-GB"/>
        </w:rPr>
        <w:t xml:space="preserve"> summarizes</w:t>
      </w:r>
      <w:r w:rsidR="00B1586B">
        <w:rPr>
          <w:lang w:val="en-GB"/>
        </w:rPr>
        <w:t xml:space="preserve"> the links between the properties measured by the sensors installed and the microbial water quality.</w:t>
      </w:r>
    </w:p>
    <w:p w14:paraId="74F231C8" w14:textId="36EF98C2" w:rsidR="005275BE" w:rsidRDefault="00B1586B" w:rsidP="002252B0">
      <w:pPr>
        <w:spacing w:before="240" w:after="240" w:line="276" w:lineRule="auto"/>
        <w:ind w:firstLine="0"/>
        <w:rPr>
          <w:lang w:val="en-GB"/>
        </w:rPr>
      </w:pPr>
      <w:r>
        <w:rPr>
          <w:lang w:val="en-GB"/>
        </w:rPr>
        <w:t xml:space="preserve"> </w:t>
      </w:r>
      <w:r w:rsidRPr="00686384">
        <w:rPr>
          <w:lang w:val="en-GB"/>
        </w:rPr>
        <w:t xml:space="preserve">Table </w:t>
      </w:r>
      <w:r w:rsidR="00686384">
        <w:rPr>
          <w:lang w:val="en-GB"/>
        </w:rPr>
        <w:t>2</w:t>
      </w:r>
      <w:r w:rsidRPr="00686384">
        <w:rPr>
          <w:lang w:val="en-GB"/>
        </w:rPr>
        <w:t>.</w:t>
      </w:r>
      <w:r>
        <w:rPr>
          <w:lang w:val="en-GB"/>
        </w:rPr>
        <w:t xml:space="preserve"> </w:t>
      </w:r>
      <w:r w:rsidRPr="00B1586B">
        <w:rPr>
          <w:lang w:val="en-GB"/>
        </w:rPr>
        <w:t>Specifications and expected links to microbial water quality of the sensors installed</w:t>
      </w:r>
      <w:r w:rsidR="004D1286">
        <w:rPr>
          <w:lang w:val="en-GB"/>
        </w:rPr>
        <w:t xml:space="preserve">. Adapted from </w:t>
      </w:r>
      <w:r w:rsidR="00AE2DE8">
        <w:rPr>
          <w:lang w:val="en-GB"/>
        </w:rPr>
        <w:fldChar w:fldCharType="begin"/>
      </w:r>
      <w:r w:rsidR="004F22BB">
        <w:rPr>
          <w:lang w:val="en-GB"/>
        </w:rPr>
        <w:instrText xml:space="preserve"> ADDIN ZOTERO_ITEM CSL_CITATION {"citationID":"lGwlRFcN","properties":{"formattedCitation":"[43]","plainCitation":"[43]","noteIndex":0},"citationItems":[{"id":1180,"uris":["http://zotero.org/users/local/8TMZWfC3/items/6QWRLBVS"],"itemData":{"id":1180,"type":"article-journal","abstract":"Widespread implementation of on-site water reuse is hindered by the limited availability of monitoring approaches that ensure microbial quality during operation. In this study, we developed a methodology for monitoring microbial water quality in on-site water reuse systems using inexpensive and commercially available online sensors. An extensive dataset containing sensor and microbial water quality data for six of the most critical types of disruptions in membrane bioreactors with chlorination was collected. We then tested the ability of three typological machine learning algorithms – logistic regression, support-vector machine, and random forest – to predict the microbial water quality as “safe” or “unsafe” for reuse. The main criteria for model optimization was to ensure a low false positive rate (FPR) – the percentage of safe predictions when the actual condition is unsafe – which is essential to protect users health. This resulted in enforcing a fixed FPR ≤ 2%. Maximizing the true positive rate (TPR) – the percentage of safe predictions when the actual condition is safe – was given second priority. Our results show that logistic-regression-based models using only two out of the six sensors (free chlorine and oxidation–reduction potential) achieved the highest TPR. Including sensor slopes as engineered features allowed to reach similar TPRs using only one sensor instead of two. Analysis of the occurrence of false predictions showed that these were mostly early alarms, a characteristic that could be regarded as an asset in alarm management. In conclusion, the simplest algorithm in combination with only one or two sensors performed best at predicting the microbial water quality. This result provides useful insights for water quality modeling or for applications where small datasets are a common challenge and a general advantage might be gained by using simpler models that reduce the risk of overfitting, allow better interpretability, and require less computational power.","container-title":"Water Research","DOI":"10.1016/j.watres.2023.120075","ISSN":"0043-1354","journalAbbreviation":"Water Research","page":"120075","source":"ScienceDirect","title":"Predicting microbial water quality in on-site water reuse systems with online sensors","volume":"240","author":[{"family":"Reynaert","given":"Eva"},{"family":"Steiner","given":"Philipp"},{"family":"Yu","given":"Qixing"},{"family":"D'Olif","given":"Lukas"},{"family":"Joller","given":"Noah"},{"family":"Schneider","given":"Mariane Y."},{"family":"Morgenroth","given":"Eberhard"}],"issued":{"date-parts":[["2023",7,15]]}}}],"schema":"https://github.com/citation-style-language/schema/raw/master/csl-citation.json"} </w:instrText>
      </w:r>
      <w:r w:rsidR="00AE2DE8">
        <w:rPr>
          <w:lang w:val="en-GB"/>
        </w:rPr>
        <w:fldChar w:fldCharType="separate"/>
      </w:r>
      <w:r w:rsidR="005C324C" w:rsidRPr="005C324C">
        <w:t>[43]</w:t>
      </w:r>
      <w:r w:rsidR="00AE2DE8">
        <w:rPr>
          <w:lang w:val="en-GB"/>
        </w:rPr>
        <w:fldChar w:fldCharType="end"/>
      </w:r>
      <w:r>
        <w:rPr>
          <w:lang w:val="en-GB"/>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0"/>
        <w:gridCol w:w="1852"/>
        <w:gridCol w:w="2824"/>
        <w:gridCol w:w="2815"/>
      </w:tblGrid>
      <w:tr w:rsidR="00935BD7" w:rsidRPr="00935BD7" w14:paraId="13392E72" w14:textId="77777777" w:rsidTr="00935BD7">
        <w:trPr>
          <w:tblHeader/>
          <w:tblCellSpacing w:w="15" w:type="dxa"/>
        </w:trPr>
        <w:tc>
          <w:tcPr>
            <w:tcW w:w="0" w:type="auto"/>
            <w:tcBorders>
              <w:bottom w:val="single" w:sz="4" w:space="0" w:color="auto"/>
            </w:tcBorders>
            <w:vAlign w:val="center"/>
            <w:hideMark/>
          </w:tcPr>
          <w:p w14:paraId="0A6CC2A4" w14:textId="77777777" w:rsidR="00935BD7" w:rsidRPr="00935BD7" w:rsidRDefault="00935BD7" w:rsidP="00935BD7">
            <w:pPr>
              <w:spacing w:after="0" w:line="240" w:lineRule="auto"/>
              <w:ind w:firstLine="0"/>
              <w:jc w:val="center"/>
              <w:rPr>
                <w:rFonts w:ascii="Arial Narrow" w:hAnsi="Arial Narrow"/>
                <w:b/>
                <w:bCs/>
                <w:sz w:val="18"/>
                <w:szCs w:val="18"/>
                <w:lang w:val="en-GB" w:eastAsia="en-GB"/>
              </w:rPr>
            </w:pPr>
            <w:r w:rsidRPr="00935BD7">
              <w:rPr>
                <w:rFonts w:ascii="Arial Narrow" w:hAnsi="Arial Narrow"/>
                <w:b/>
                <w:bCs/>
                <w:sz w:val="18"/>
                <w:szCs w:val="18"/>
                <w:lang w:val="en-GB" w:eastAsia="en-GB"/>
              </w:rPr>
              <w:t>Measurement</w:t>
            </w:r>
          </w:p>
        </w:tc>
        <w:tc>
          <w:tcPr>
            <w:tcW w:w="0" w:type="auto"/>
            <w:tcBorders>
              <w:bottom w:val="single" w:sz="4" w:space="0" w:color="auto"/>
            </w:tcBorders>
            <w:vAlign w:val="center"/>
            <w:hideMark/>
          </w:tcPr>
          <w:p w14:paraId="0973C029" w14:textId="77777777" w:rsidR="00935BD7" w:rsidRPr="00935BD7" w:rsidRDefault="00935BD7" w:rsidP="00935BD7">
            <w:pPr>
              <w:spacing w:after="0" w:line="240" w:lineRule="auto"/>
              <w:ind w:firstLine="0"/>
              <w:jc w:val="center"/>
              <w:rPr>
                <w:rFonts w:ascii="Arial Narrow" w:hAnsi="Arial Narrow"/>
                <w:b/>
                <w:bCs/>
                <w:sz w:val="18"/>
                <w:szCs w:val="18"/>
                <w:lang w:val="en-GB" w:eastAsia="en-GB"/>
              </w:rPr>
            </w:pPr>
            <w:r w:rsidRPr="00935BD7">
              <w:rPr>
                <w:rFonts w:ascii="Arial Narrow" w:hAnsi="Arial Narrow"/>
                <w:b/>
                <w:bCs/>
                <w:sz w:val="18"/>
                <w:szCs w:val="18"/>
                <w:lang w:val="en-GB" w:eastAsia="en-GB"/>
              </w:rPr>
              <w:t>Sensor specification</w:t>
            </w:r>
          </w:p>
        </w:tc>
        <w:tc>
          <w:tcPr>
            <w:tcW w:w="0" w:type="auto"/>
            <w:tcBorders>
              <w:bottom w:val="single" w:sz="4" w:space="0" w:color="auto"/>
            </w:tcBorders>
            <w:vAlign w:val="center"/>
            <w:hideMark/>
          </w:tcPr>
          <w:p w14:paraId="389F894F" w14:textId="77777777" w:rsidR="00935BD7" w:rsidRPr="00935BD7" w:rsidRDefault="00935BD7" w:rsidP="00935BD7">
            <w:pPr>
              <w:spacing w:after="0" w:line="240" w:lineRule="auto"/>
              <w:ind w:firstLine="0"/>
              <w:jc w:val="center"/>
              <w:rPr>
                <w:rFonts w:ascii="Arial Narrow" w:hAnsi="Arial Narrow"/>
                <w:b/>
                <w:bCs/>
                <w:sz w:val="18"/>
                <w:szCs w:val="18"/>
                <w:lang w:val="en-GB" w:eastAsia="en-GB"/>
              </w:rPr>
            </w:pPr>
            <w:r w:rsidRPr="00935BD7">
              <w:rPr>
                <w:rFonts w:ascii="Arial Narrow" w:hAnsi="Arial Narrow"/>
                <w:b/>
                <w:bCs/>
                <w:sz w:val="18"/>
                <w:szCs w:val="18"/>
                <w:lang w:val="en-GB" w:eastAsia="en-GB"/>
              </w:rPr>
              <w:t>Measurement principle</w:t>
            </w:r>
          </w:p>
        </w:tc>
        <w:tc>
          <w:tcPr>
            <w:tcW w:w="0" w:type="auto"/>
            <w:tcBorders>
              <w:bottom w:val="single" w:sz="4" w:space="0" w:color="auto"/>
            </w:tcBorders>
            <w:vAlign w:val="center"/>
            <w:hideMark/>
          </w:tcPr>
          <w:p w14:paraId="5B63802D" w14:textId="77777777" w:rsidR="00935BD7" w:rsidRPr="00935BD7" w:rsidRDefault="00935BD7" w:rsidP="00935BD7">
            <w:pPr>
              <w:spacing w:after="0" w:line="240" w:lineRule="auto"/>
              <w:ind w:firstLine="0"/>
              <w:jc w:val="center"/>
              <w:rPr>
                <w:rFonts w:ascii="Arial Narrow" w:hAnsi="Arial Narrow"/>
                <w:b/>
                <w:bCs/>
                <w:sz w:val="18"/>
                <w:szCs w:val="18"/>
                <w:lang w:val="en-GB" w:eastAsia="en-GB"/>
              </w:rPr>
            </w:pPr>
            <w:r w:rsidRPr="00935BD7">
              <w:rPr>
                <w:rFonts w:ascii="Arial Narrow" w:hAnsi="Arial Narrow"/>
                <w:b/>
                <w:bCs/>
                <w:sz w:val="18"/>
                <w:szCs w:val="18"/>
                <w:lang w:val="en-GB" w:eastAsia="en-GB"/>
              </w:rPr>
              <w:t>Mechanistic relationship with the microbial water quality</w:t>
            </w:r>
          </w:p>
        </w:tc>
      </w:tr>
      <w:tr w:rsidR="00935BD7" w:rsidRPr="00935BD7" w14:paraId="363E4685" w14:textId="77777777" w:rsidTr="00935BD7">
        <w:trPr>
          <w:tblCellSpacing w:w="15" w:type="dxa"/>
        </w:trPr>
        <w:tc>
          <w:tcPr>
            <w:tcW w:w="0" w:type="auto"/>
            <w:vAlign w:val="center"/>
            <w:hideMark/>
          </w:tcPr>
          <w:p w14:paraId="13B774B4"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Conductivity</w:t>
            </w:r>
          </w:p>
        </w:tc>
        <w:tc>
          <w:tcPr>
            <w:tcW w:w="0" w:type="auto"/>
            <w:vAlign w:val="center"/>
            <w:hideMark/>
          </w:tcPr>
          <w:p w14:paraId="0004D418"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Condumax CLS21D</w:t>
            </w:r>
          </w:p>
        </w:tc>
        <w:tc>
          <w:tcPr>
            <w:tcW w:w="0" w:type="auto"/>
            <w:vAlign w:val="center"/>
            <w:hideMark/>
          </w:tcPr>
          <w:p w14:paraId="544940C2"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Electric current carried by charged ions</w:t>
            </w:r>
          </w:p>
        </w:tc>
        <w:tc>
          <w:tcPr>
            <w:tcW w:w="0" w:type="auto"/>
            <w:vAlign w:val="center"/>
            <w:hideMark/>
          </w:tcPr>
          <w:p w14:paraId="19463A7B"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Information on changes in the water composition</w:t>
            </w:r>
          </w:p>
        </w:tc>
      </w:tr>
      <w:tr w:rsidR="00935BD7" w:rsidRPr="00935BD7" w14:paraId="69FC630A" w14:textId="77777777" w:rsidTr="00935BD7">
        <w:trPr>
          <w:tblCellSpacing w:w="15" w:type="dxa"/>
        </w:trPr>
        <w:tc>
          <w:tcPr>
            <w:tcW w:w="0" w:type="auto"/>
            <w:vAlign w:val="center"/>
            <w:hideMark/>
          </w:tcPr>
          <w:p w14:paraId="0E241AE3"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Free chlorine (FC)</w:t>
            </w:r>
          </w:p>
        </w:tc>
        <w:tc>
          <w:tcPr>
            <w:tcW w:w="0" w:type="auto"/>
            <w:vAlign w:val="center"/>
            <w:hideMark/>
          </w:tcPr>
          <w:p w14:paraId="1A281D48"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Digital free chlorine sensor Memosens CCS51D</w:t>
            </w:r>
          </w:p>
        </w:tc>
        <w:tc>
          <w:tcPr>
            <w:tcW w:w="0" w:type="auto"/>
            <w:vAlign w:val="center"/>
            <w:hideMark/>
          </w:tcPr>
          <w:p w14:paraId="0FF80A15"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Closed, membrane-covered measuring cell; reduction of free chlorine at the cathode</w:t>
            </w:r>
          </w:p>
        </w:tc>
        <w:tc>
          <w:tcPr>
            <w:tcW w:w="0" w:type="auto"/>
            <w:vAlign w:val="center"/>
            <w:hideMark/>
          </w:tcPr>
          <w:p w14:paraId="39A78093"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Direct measurement of free chlorine concentration</w:t>
            </w:r>
          </w:p>
        </w:tc>
      </w:tr>
      <w:tr w:rsidR="00935BD7" w:rsidRPr="00935BD7" w14:paraId="7325C93B" w14:textId="77777777" w:rsidTr="00935BD7">
        <w:trPr>
          <w:tblCellSpacing w:w="15" w:type="dxa"/>
        </w:trPr>
        <w:tc>
          <w:tcPr>
            <w:tcW w:w="0" w:type="auto"/>
            <w:vAlign w:val="center"/>
            <w:hideMark/>
          </w:tcPr>
          <w:p w14:paraId="12705618"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Oxidation-reduction potential (ORP)</w:t>
            </w:r>
          </w:p>
        </w:tc>
        <w:tc>
          <w:tcPr>
            <w:tcW w:w="0" w:type="auto"/>
            <w:vAlign w:val="center"/>
            <w:hideMark/>
          </w:tcPr>
          <w:p w14:paraId="7AA399ED"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Ceragel CPS72D</w:t>
            </w:r>
          </w:p>
        </w:tc>
        <w:tc>
          <w:tcPr>
            <w:tcW w:w="0" w:type="auto"/>
            <w:vAlign w:val="center"/>
            <w:hideMark/>
          </w:tcPr>
          <w:p w14:paraId="715516AD"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Ceramic diaphragm double chamber and double gel reference- platinum ring</w:t>
            </w:r>
          </w:p>
        </w:tc>
        <w:tc>
          <w:tcPr>
            <w:tcW w:w="0" w:type="auto"/>
            <w:vAlign w:val="center"/>
            <w:hideMark/>
          </w:tcPr>
          <w:p w14:paraId="6853D52B"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Measurement of the oxidative capacity of all chlorine species</w:t>
            </w:r>
          </w:p>
        </w:tc>
      </w:tr>
      <w:tr w:rsidR="00935BD7" w:rsidRPr="00935BD7" w14:paraId="701A0277" w14:textId="77777777" w:rsidTr="00935BD7">
        <w:trPr>
          <w:tblCellSpacing w:w="15" w:type="dxa"/>
        </w:trPr>
        <w:tc>
          <w:tcPr>
            <w:tcW w:w="0" w:type="auto"/>
            <w:vAlign w:val="center"/>
            <w:hideMark/>
          </w:tcPr>
          <w:p w14:paraId="0BA5CAE2"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pH</w:t>
            </w:r>
          </w:p>
        </w:tc>
        <w:tc>
          <w:tcPr>
            <w:tcW w:w="0" w:type="auto"/>
            <w:vAlign w:val="center"/>
            <w:hideMark/>
          </w:tcPr>
          <w:p w14:paraId="7264E9AF"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Orbisint CPS11D</w:t>
            </w:r>
          </w:p>
        </w:tc>
        <w:tc>
          <w:tcPr>
            <w:tcW w:w="0" w:type="auto"/>
            <w:vAlign w:val="center"/>
            <w:hideMark/>
          </w:tcPr>
          <w:p w14:paraId="2465D783"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Gel compact electrode with PTFE ring diaphragm</w:t>
            </w:r>
          </w:p>
        </w:tc>
        <w:tc>
          <w:tcPr>
            <w:tcW w:w="0" w:type="auto"/>
            <w:vAlign w:val="center"/>
            <w:hideMark/>
          </w:tcPr>
          <w:p w14:paraId="720976A8"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Information on speciation and thus disinfection potential of free chlorine</w:t>
            </w:r>
          </w:p>
        </w:tc>
      </w:tr>
      <w:tr w:rsidR="00935BD7" w:rsidRPr="00935BD7" w14:paraId="1E51D671" w14:textId="77777777" w:rsidTr="00935BD7">
        <w:trPr>
          <w:tblCellSpacing w:w="15" w:type="dxa"/>
        </w:trPr>
        <w:tc>
          <w:tcPr>
            <w:tcW w:w="0" w:type="auto"/>
            <w:vAlign w:val="center"/>
            <w:hideMark/>
          </w:tcPr>
          <w:p w14:paraId="30DD7DC0"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Temperature</w:t>
            </w:r>
          </w:p>
        </w:tc>
        <w:tc>
          <w:tcPr>
            <w:tcW w:w="0" w:type="auto"/>
            <w:vAlign w:val="center"/>
            <w:hideMark/>
          </w:tcPr>
          <w:p w14:paraId="3C2E0598"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Orbisint CPS11D</w:t>
            </w:r>
          </w:p>
        </w:tc>
        <w:tc>
          <w:tcPr>
            <w:tcW w:w="0" w:type="auto"/>
            <w:vAlign w:val="center"/>
            <w:hideMark/>
          </w:tcPr>
          <w:p w14:paraId="4C995FB3"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Change in electrical resistance</w:t>
            </w:r>
          </w:p>
        </w:tc>
        <w:tc>
          <w:tcPr>
            <w:tcW w:w="0" w:type="auto"/>
            <w:vAlign w:val="center"/>
            <w:hideMark/>
          </w:tcPr>
          <w:p w14:paraId="32F93ACF"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Information on speciation and efficacy of chlorine; influence on regrowth of bacteria</w:t>
            </w:r>
          </w:p>
        </w:tc>
      </w:tr>
      <w:tr w:rsidR="00935BD7" w:rsidRPr="00935BD7" w14:paraId="1538AB7B" w14:textId="77777777" w:rsidTr="00935BD7">
        <w:trPr>
          <w:tblCellSpacing w:w="15" w:type="dxa"/>
        </w:trPr>
        <w:tc>
          <w:tcPr>
            <w:tcW w:w="0" w:type="auto"/>
            <w:tcBorders>
              <w:bottom w:val="single" w:sz="4" w:space="0" w:color="auto"/>
            </w:tcBorders>
            <w:vAlign w:val="center"/>
            <w:hideMark/>
          </w:tcPr>
          <w:p w14:paraId="449C6C37"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Turbidity</w:t>
            </w:r>
          </w:p>
        </w:tc>
        <w:tc>
          <w:tcPr>
            <w:tcW w:w="0" w:type="auto"/>
            <w:tcBorders>
              <w:bottom w:val="single" w:sz="4" w:space="0" w:color="auto"/>
            </w:tcBorders>
            <w:vAlign w:val="center"/>
            <w:hideMark/>
          </w:tcPr>
          <w:p w14:paraId="3FF0588A"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Turbimax CUS52D</w:t>
            </w:r>
          </w:p>
        </w:tc>
        <w:tc>
          <w:tcPr>
            <w:tcW w:w="0" w:type="auto"/>
            <w:tcBorders>
              <w:bottom w:val="single" w:sz="4" w:space="0" w:color="auto"/>
            </w:tcBorders>
            <w:vAlign w:val="center"/>
            <w:hideMark/>
          </w:tcPr>
          <w:p w14:paraId="028188D1"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Nephelometric turbidity sensor (90° scattering) according to ISO7027</w:t>
            </w:r>
          </w:p>
        </w:tc>
        <w:tc>
          <w:tcPr>
            <w:tcW w:w="0" w:type="auto"/>
            <w:tcBorders>
              <w:bottom w:val="single" w:sz="4" w:space="0" w:color="auto"/>
            </w:tcBorders>
            <w:vAlign w:val="center"/>
            <w:hideMark/>
          </w:tcPr>
          <w:p w14:paraId="3E6A75DE" w14:textId="77777777" w:rsidR="00935BD7" w:rsidRPr="00935BD7" w:rsidRDefault="00935BD7" w:rsidP="00935BD7">
            <w:pPr>
              <w:spacing w:after="0" w:line="240" w:lineRule="auto"/>
              <w:ind w:firstLine="0"/>
              <w:jc w:val="left"/>
              <w:rPr>
                <w:rFonts w:ascii="Arial Narrow" w:hAnsi="Arial Narrow"/>
                <w:sz w:val="18"/>
                <w:szCs w:val="18"/>
                <w:lang w:val="en-GB" w:eastAsia="en-GB"/>
              </w:rPr>
            </w:pPr>
            <w:r w:rsidRPr="00935BD7">
              <w:rPr>
                <w:rFonts w:ascii="Arial Narrow" w:hAnsi="Arial Narrow"/>
                <w:sz w:val="18"/>
                <w:szCs w:val="18"/>
                <w:lang w:val="en-GB" w:eastAsia="en-GB"/>
              </w:rPr>
              <w:t>Turbidity can be linked to bacteria concentrations</w:t>
            </w:r>
          </w:p>
        </w:tc>
      </w:tr>
    </w:tbl>
    <w:p w14:paraId="3A175265" w14:textId="77777777" w:rsidR="00B1586B" w:rsidRPr="002252B0" w:rsidRDefault="00B1586B" w:rsidP="00B1586B">
      <w:pPr>
        <w:spacing w:before="240" w:after="240" w:line="276" w:lineRule="auto"/>
        <w:ind w:firstLine="0"/>
        <w:jc w:val="center"/>
        <w:rPr>
          <w:lang w:val="en-GB"/>
        </w:rPr>
      </w:pPr>
    </w:p>
    <w:p w14:paraId="2BC0B5D3" w14:textId="77777777" w:rsidR="0032564A" w:rsidRDefault="0032564A" w:rsidP="0032564A">
      <w:pPr>
        <w:spacing w:before="240" w:after="240" w:line="276" w:lineRule="auto"/>
        <w:ind w:firstLine="0"/>
        <w:rPr>
          <w:lang w:val="en-GB"/>
        </w:rPr>
      </w:pPr>
      <w:r w:rsidRPr="0032564A">
        <w:rPr>
          <w:lang w:val="en-GB"/>
        </w:rPr>
        <w:t xml:space="preserve">Microbial water quality was evaluated </w:t>
      </w:r>
      <w:r>
        <w:rPr>
          <w:lang w:val="en-GB"/>
        </w:rPr>
        <w:t>upon spiking the water with t</w:t>
      </w:r>
      <w:r w:rsidRPr="0032564A">
        <w:rPr>
          <w:lang w:val="en-GB"/>
        </w:rPr>
        <w:t>he bacteriophage MS2</w:t>
      </w:r>
      <w:r>
        <w:rPr>
          <w:lang w:val="en-GB"/>
        </w:rPr>
        <w:t>,</w:t>
      </w:r>
      <w:r w:rsidRPr="0032564A">
        <w:rPr>
          <w:lang w:val="en-GB"/>
        </w:rPr>
        <w:t xml:space="preserve"> used as an indicator of the removal of enteric viruses </w:t>
      </w:r>
      <w:r>
        <w:rPr>
          <w:lang w:val="en-GB"/>
        </w:rPr>
        <w:t xml:space="preserve">in the treated water. </w:t>
      </w:r>
    </w:p>
    <w:p w14:paraId="1B0C1DEC" w14:textId="77777777" w:rsidR="00BF5D25" w:rsidRDefault="0032564A" w:rsidP="0032564A">
      <w:pPr>
        <w:spacing w:before="240" w:after="240" w:line="276" w:lineRule="auto"/>
        <w:ind w:firstLine="0"/>
        <w:rPr>
          <w:lang w:val="en-GB"/>
        </w:rPr>
      </w:pPr>
      <w:r>
        <w:rPr>
          <w:lang w:val="en-GB"/>
        </w:rPr>
        <w:t>The obtained results showed</w:t>
      </w:r>
      <w:r w:rsidRPr="0032564A">
        <w:rPr>
          <w:lang w:val="en-GB"/>
        </w:rPr>
        <w:t xml:space="preserve"> that the monitoring</w:t>
      </w:r>
      <w:r>
        <w:rPr>
          <w:lang w:val="en-GB"/>
        </w:rPr>
        <w:t xml:space="preserve"> </w:t>
      </w:r>
      <w:r w:rsidRPr="0032564A">
        <w:rPr>
          <w:lang w:val="en-GB"/>
        </w:rPr>
        <w:t>models ar</w:t>
      </w:r>
      <w:r>
        <w:rPr>
          <w:lang w:val="en-GB"/>
        </w:rPr>
        <w:t xml:space="preserve">e well-suited for early warning </w:t>
      </w:r>
      <w:r w:rsidRPr="0032564A">
        <w:rPr>
          <w:lang w:val="en-GB"/>
        </w:rPr>
        <w:t xml:space="preserve">systems, </w:t>
      </w:r>
      <w:r>
        <w:rPr>
          <w:lang w:val="en-GB"/>
        </w:rPr>
        <w:t xml:space="preserve">but need </w:t>
      </w:r>
      <w:r w:rsidRPr="0032564A">
        <w:rPr>
          <w:lang w:val="en-GB"/>
        </w:rPr>
        <w:t xml:space="preserve">to be trained for </w:t>
      </w:r>
      <w:r w:rsidR="009C3F7F">
        <w:rPr>
          <w:lang w:val="en-GB"/>
        </w:rPr>
        <w:t xml:space="preserve">each </w:t>
      </w:r>
      <w:r w:rsidRPr="0032564A">
        <w:rPr>
          <w:lang w:val="en-GB"/>
        </w:rPr>
        <w:t>specific application</w:t>
      </w:r>
      <w:r w:rsidR="009C3F7F">
        <w:rPr>
          <w:lang w:val="en-GB"/>
        </w:rPr>
        <w:t>, being highly dependent from the type of water analysed</w:t>
      </w:r>
      <w:r w:rsidRPr="0032564A">
        <w:rPr>
          <w:lang w:val="en-GB"/>
        </w:rPr>
        <w:t>.</w:t>
      </w:r>
    </w:p>
    <w:p w14:paraId="3AE4980A" w14:textId="77777777" w:rsidR="00BF5D25" w:rsidRDefault="00BF5D25" w:rsidP="0032564A">
      <w:pPr>
        <w:spacing w:before="240" w:after="240" w:line="276" w:lineRule="auto"/>
        <w:ind w:firstLine="0"/>
        <w:rPr>
          <w:lang w:val="en-GB"/>
        </w:rPr>
      </w:pPr>
    </w:p>
    <w:p w14:paraId="6EA97F09" w14:textId="77777777" w:rsidR="00BF5D25" w:rsidRDefault="00BF5D25" w:rsidP="00BF5D25">
      <w:pPr>
        <w:pStyle w:val="Titolo1"/>
        <w:numPr>
          <w:ilvl w:val="0"/>
          <w:numId w:val="0"/>
        </w:numPr>
        <w:spacing w:after="240"/>
        <w:ind w:firstLine="640"/>
      </w:pPr>
      <w:r>
        <w:t>3.</w:t>
      </w:r>
      <w:r>
        <w:tab/>
        <w:t>CECs monitoring</w:t>
      </w:r>
    </w:p>
    <w:p w14:paraId="777B8071" w14:textId="77777777" w:rsidR="00533B53" w:rsidRDefault="00533B53" w:rsidP="00533B53">
      <w:pPr>
        <w:spacing w:before="240" w:after="240" w:line="276" w:lineRule="auto"/>
        <w:ind w:firstLine="0"/>
      </w:pPr>
      <w:r>
        <w:t>Undertake a CECs analysis means to dealing with a huge number of compounds belonging to many categories</w:t>
      </w:r>
      <w:r w:rsidR="002F15BA">
        <w:t xml:space="preserve">: </w:t>
      </w:r>
      <w:r>
        <w:t>pharmaceuticals,</w:t>
      </w:r>
      <w:r w:rsidRPr="000724F8">
        <w:t xml:space="preserve"> </w:t>
      </w:r>
      <w:r>
        <w:t xml:space="preserve">artificial sweeteners, perfluorinated compounds, </w:t>
      </w:r>
      <w:r w:rsidR="003D796C">
        <w:t xml:space="preserve">UN filters of </w:t>
      </w:r>
      <w:r>
        <w:t>sunscreens, brominated flame retardants, benzotriazoles,</w:t>
      </w:r>
      <w:r w:rsidRPr="000724F8">
        <w:t xml:space="preserve"> </w:t>
      </w:r>
      <w:r>
        <w:t>hormones,</w:t>
      </w:r>
      <w:r w:rsidRPr="000724F8">
        <w:t xml:space="preserve"> </w:t>
      </w:r>
      <w:r>
        <w:t xml:space="preserve">disinfection by-products, musk fragrances, etc., </w:t>
      </w:r>
      <w:r w:rsidR="002F15BA">
        <w:t>together with</w:t>
      </w:r>
      <w:r>
        <w:t xml:space="preserve"> the</w:t>
      </w:r>
      <w:r w:rsidR="002F15BA">
        <w:t>ir</w:t>
      </w:r>
      <w:r>
        <w:t xml:space="preserve"> transformation products (TPs) generated by natural processes or during water </w:t>
      </w:r>
      <w:r w:rsidR="00BA7858">
        <w:t>treatment</w:t>
      </w:r>
      <w:r>
        <w:t>, since it has been recognized that</w:t>
      </w:r>
      <w:r w:rsidR="00A83406">
        <w:t>, where sewage collect</w:t>
      </w:r>
      <w:r w:rsidR="003D796C">
        <w:t>s</w:t>
      </w:r>
      <w:r w:rsidR="00A83406">
        <w:t xml:space="preserve"> the wastewater,</w:t>
      </w:r>
      <w:r>
        <w:t xml:space="preserve"> the main source of CECs is represented by the effluent of WWTPs. </w:t>
      </w:r>
    </w:p>
    <w:p w14:paraId="57FB58C6" w14:textId="77777777" w:rsidR="000724F8" w:rsidRDefault="000724F8" w:rsidP="000724F8">
      <w:pPr>
        <w:spacing w:before="240" w:after="240" w:line="276" w:lineRule="auto"/>
        <w:ind w:firstLine="0"/>
      </w:pPr>
      <w:r>
        <w:lastRenderedPageBreak/>
        <w:t xml:space="preserve">In the last decade great advances took place in the determination of CECs at laboratory level in ultrapure water as well as in the effluents of WWTPs, </w:t>
      </w:r>
      <w:r w:rsidR="00533B53">
        <w:t>solving the issues due to the features of many CECs (high polarity, low stability) and to the matrix effects. Th</w:t>
      </w:r>
      <w:r w:rsidR="00FE36F3">
        <w:t>ese</w:t>
      </w:r>
      <w:r w:rsidR="00533B53">
        <w:t xml:space="preserve"> successful results have been possible </w:t>
      </w:r>
      <w:r>
        <w:t xml:space="preserve">thanks to the impressive improvement of available analytical tools, both in term of devices for sample pre-treatments and in terms of powerful instrumentations, above all </w:t>
      </w:r>
      <w:r w:rsidR="00CB7BF0">
        <w:t>High-Resolution</w:t>
      </w:r>
      <w:r>
        <w:t xml:space="preserve"> Mass Spectrometry.</w:t>
      </w:r>
    </w:p>
    <w:p w14:paraId="60898928" w14:textId="77777777" w:rsidR="00FE36F3" w:rsidRDefault="00FE36F3" w:rsidP="00FE36F3">
      <w:pPr>
        <w:pStyle w:val="Titolo2"/>
        <w:numPr>
          <w:ilvl w:val="0"/>
          <w:numId w:val="0"/>
        </w:numPr>
        <w:ind w:left="1440" w:hanging="720"/>
      </w:pPr>
      <w:r>
        <w:t>3.1 Sample treatment</w:t>
      </w:r>
    </w:p>
    <w:p w14:paraId="175FAC95" w14:textId="200E73AA" w:rsidR="004570A2" w:rsidRDefault="00AC026D" w:rsidP="004570A2">
      <w:pPr>
        <w:spacing w:before="240" w:after="240" w:line="276" w:lineRule="auto"/>
        <w:ind w:firstLine="0"/>
      </w:pPr>
      <w:r>
        <w:t>Agü</w:t>
      </w:r>
      <w:r w:rsidRPr="00AC026D">
        <w:t>era</w:t>
      </w:r>
      <w:r>
        <w:t xml:space="preserve"> and Lambropoulou extensively reviewed</w:t>
      </w:r>
      <w:r w:rsidRPr="00AC026D">
        <w:t xml:space="preserve"> </w:t>
      </w:r>
      <w:r>
        <w:t>the main analytical methodologies applied to identify and quantify CECs and their TPs in wastewater, presenting new developments in sample preparation and determination</w:t>
      </w:r>
      <w:r w:rsidR="004D1286">
        <w:t xml:space="preserve"> </w:t>
      </w:r>
      <w:r w:rsidR="00AE2DE8">
        <w:fldChar w:fldCharType="begin"/>
      </w:r>
      <w:r w:rsidR="004F22BB">
        <w:instrText xml:space="preserve"> ADDIN ZOTERO_ITEM CSL_CITATION {"citationID":"FUQTueC1","properties":{"formattedCitation":"[44]","plainCitation":"[44]","noteIndex":0},"citationItems":[{"id":1183,"uris":["http://zotero.org/users/local/8TMZWfC3/items/86EATPRV"],"itemData":{"id":1183,"type":"article-journal","abstract":"Presence of unregulated and not assessed organic microcontaminants in wastewater effluents represents a significant challenge to wastewater reclamation, especially if intended for human consumption or irrigation practices. Problems associated to the repeated release of treated wastewater in the environment for reuse applications, such as infiltration into the underground including pollution of ground water or accumulation in soil and plants, are still scarcely investigated. Consequently, comprehensive and high-throughput analytical methods have to be developed and validated to provide a comprehensive evaluation of these microcontaminants in water, soils and crops. This chapter aims to give an overview of the analytical strategies currently used in this field, its requirements and limitations.","DOI":"10.1007/698-2015-364","page":"7-47","source":"ResearchGate","title":"New challenges for the analytical evaluation of reclaimed water and reuse applications","volume":"44","author":[{"family":"Agüera","given":"Ana"},{"family":"Lambropoulou","given":"Dimitra"}],"issued":{"date-parts":[["2016",1,1]]}}}],"schema":"https://github.com/citation-style-language/schema/raw/master/csl-citation.json"} </w:instrText>
      </w:r>
      <w:r w:rsidR="00AE2DE8">
        <w:fldChar w:fldCharType="separate"/>
      </w:r>
      <w:r w:rsidR="005C324C" w:rsidRPr="005C324C">
        <w:t>[44]</w:t>
      </w:r>
      <w:r w:rsidR="00AE2DE8">
        <w:fldChar w:fldCharType="end"/>
      </w:r>
      <w:r>
        <w:t xml:space="preserve">. First of </w:t>
      </w:r>
      <w:r w:rsidR="00991F9E">
        <w:t>all,</w:t>
      </w:r>
      <w:r>
        <w:t xml:space="preserve"> they made an excursus over sample preparation approaches, starting from liquid-liquid extraction</w:t>
      </w:r>
      <w:r w:rsidR="00991F9E">
        <w:t xml:space="preserve">, suitable for </w:t>
      </w:r>
      <w:r w:rsidR="00FE36F3">
        <w:t>non-polar</w:t>
      </w:r>
      <w:r w:rsidR="00991F9E">
        <w:t xml:space="preserve"> compounds</w:t>
      </w:r>
      <w:r>
        <w:t xml:space="preserve"> and moving to the presently mostly applied solid phase extraction (SPE)</w:t>
      </w:r>
      <w:r w:rsidR="00991F9E">
        <w:t xml:space="preserve"> that can be applied in a wider compound polarity range, thanks to the progress made in the development of stationary phase able to retain polar and ionic compounds</w:t>
      </w:r>
      <w:r>
        <w:t>.</w:t>
      </w:r>
      <w:r w:rsidR="00991F9E">
        <w:t xml:space="preserve"> Due to the very low concentration of CECs in wastewater, their enrichment is </w:t>
      </w:r>
      <w:r w:rsidR="00FE36F3">
        <w:t xml:space="preserve">indeed </w:t>
      </w:r>
      <w:r w:rsidR="00991F9E">
        <w:t>a critical step.</w:t>
      </w:r>
      <w:r w:rsidR="00BA7858">
        <w:t xml:space="preserve"> A further progress compared to classical SPE is its online automation yielding smaller sample and organic solvents volumes</w:t>
      </w:r>
      <w:r w:rsidR="00991F9E">
        <w:t xml:space="preserve"> </w:t>
      </w:r>
      <w:r w:rsidR="00BA7858">
        <w:t>consumption</w:t>
      </w:r>
      <w:r w:rsidR="004D1286">
        <w:t xml:space="preserve"> </w:t>
      </w:r>
      <w:r w:rsidR="00AE2DE8">
        <w:fldChar w:fldCharType="begin"/>
      </w:r>
      <w:r w:rsidR="004F22BB">
        <w:instrText xml:space="preserve"> ADDIN ZOTERO_ITEM CSL_CITATION {"citationID":"BoA44RZM","properties":{"formattedCitation":"[45]","plainCitation":"[45]","noteIndex":0},"citationItems":[{"id":1185,"uris":["http://zotero.org/users/local/8TMZWfC3/items/BIBYNM9J"],"itemData":{"id":1185,"type":"article-journal","abstract":"An automated multiresidue method consisting of an online solid-phase extraction step coupled to a high performance liquid chromatography-tandem mass spectrometer (online-SPE-HPLC-MS/MS method) was developed for the determination of 88 polar organic micropollutants with a broad range of physicochemical properties (logD(OW) (pH 7): -4.2 to 4.2). Based on theoretical considerations, a single mixed-bed multilayer cartridge containing four different extraction materials was composed for the automated enrichment of water samples. This allowed the simultaneous analysis of pesticides, biocides, pharmaceuticals, corrosion inhibitors, many of their transformation products, and the artificial sweetener sucralose in three matrices groundwater, surface water, and wastewater. Limits of quantification (LOQs) were in the environmentally relevant concentration range of 0.1-87 ng/L for groundwater and surface water, and 1.5-206 ng/L for wastewater. The majority of the compounds could be quantified below 10 ng/L in groundwater (82%) and surface water (80%) and below 100 ng/L in wastewater (80%). Relative recoveries were largely between 80 and 120%. Intraday and inter-day precision, expressed as relative standard deviation, were generally better than 10% and 20%, respectively. 50 isotope labeled internal standards were used for quantification and accordingly, relative recoveries as well as intraday and inter-day precision were better for compounds with corresponding internal standard. The applicability of this method was shown during a sampling campaign at a riverbank filtration site for drinking water production with travel times of up to 5 days. 36 substances of all compound classes investigated could be found in concentrations between 0.1 and 600 ng/L. The results revealed the persistence of carbamazepine and sucralose in the groundwater aquifer as well as degradation of the metamizole metabolite 4-acetamidoantipyrine.","container-title":"Journal of Chromatography. A","DOI":"10.1016/j.chroma.2012.10.032","ISSN":"1873-3778","journalAbbreviation":"J Chromatogr A","language":"eng","note":"PMID: 23137864","page":"74-83","source":"PubMed","title":"Multiresidue analysis of 88 polar organic micropollutants in ground, surface and wastewater using online mixed-bed multilayer solid-phase extraction coupled to high performance liquid chromatography-tandem mass spectrometry","volume":"1268","author":[{"family":"Huntscha","given":"Sebastian"},{"family":"Singer","given":"Heinz P."},{"family":"McArdell","given":"Christa S."},{"family":"Frank","given":"Carolin E."},{"family":"Hollender","given":"Juliane"}],"issued":{"date-parts":[["2012",12,14]]}}}],"schema":"https://github.com/citation-style-language/schema/raw/master/csl-citation.json"} </w:instrText>
      </w:r>
      <w:r w:rsidR="00AE2DE8">
        <w:fldChar w:fldCharType="separate"/>
      </w:r>
      <w:r w:rsidR="005C324C" w:rsidRPr="005C324C">
        <w:t>[45]</w:t>
      </w:r>
      <w:r w:rsidR="00AE2DE8">
        <w:fldChar w:fldCharType="end"/>
      </w:r>
      <w:r w:rsidR="00BA7858">
        <w:t xml:space="preserve">; </w:t>
      </w:r>
      <w:r w:rsidR="00FE36F3">
        <w:t>furthermore,</w:t>
      </w:r>
      <w:r w:rsidR="00BA7858">
        <w:t xml:space="preserve"> </w:t>
      </w:r>
      <w:r w:rsidR="00BA7858" w:rsidRPr="00BA7858">
        <w:t>robotic systems working in parallel mode</w:t>
      </w:r>
      <w:r w:rsidR="00BA7858">
        <w:t xml:space="preserve"> ha</w:t>
      </w:r>
      <w:r w:rsidR="00FE36F3">
        <w:t>ve</w:t>
      </w:r>
      <w:r w:rsidR="004D1286">
        <w:t xml:space="preserve"> been developed </w:t>
      </w:r>
      <w:r w:rsidR="00AE2DE8">
        <w:fldChar w:fldCharType="begin"/>
      </w:r>
      <w:r w:rsidR="004F22BB">
        <w:instrText xml:space="preserve"> ADDIN ZOTERO_ITEM CSL_CITATION {"citationID":"XhkR4pXs","properties":{"formattedCitation":"[46]","plainCitation":"[46]","noteIndex":0},"citationItems":[{"id":1187,"uris":["http://zotero.org/users/local/8TMZWfC3/items/UTLGFXC5"],"itemData":{"id":1187,"type":"article-journal","abstract":"On-line solid phase extraction (SPE) coupled to liquid chromatography–mass spectrometry (LC–MS) and biosensors are advanced technologies that have found increasing application in the analysis of environmental contaminants although their application to the determination of emerging contaminants (previously unknown or unrecognized pollutants) has been still limited. This review covers the most recent advances occurred in the areas of on-line SPE–LC–MS and biosensors, discusses and compares the main strengths and limitations of the two approaches, and examines their most relevant applications to the analysis of emerging contaminants in environmental waters. So far, the on-line configuration most frequently used has been SPE coupled to liquid chromatography–(tandem) mass spectrometry. Sorbents used for on-line SPE have included both traditional (alkyl-bonded silicas and polymers) and novel (restricted access materials (RAMs), molecularly imprinted synthetic polymers (MIPs), and immobilized receptors or antibodies (immunosorbents) materials. The biosensor technologies most frequently applied have been based on the use of antibodies and, to a lesser extent, enzymes, bacteria, receptors and DNA as recognition elements, and the use of optical and electrochemical transducing elements. Emerging contaminants investigated by means of these two techniques have included pharmaceuticals, endocrine disrupting compounds such as estrogens, alkylphenols and bisphenol A, pesticides transformation products, disinfection by-products, and bacterial toxins and mycotoxins, among others. Both techniques offer advantageous, and frequently comparable, features such as high sensitivity and selectivity, minimum sample manipulation, and automation. Biosensors are, in addition, relatively cheap and fast, which make them ideally suited for routine testing and screening of samples; however, in most cases, they can not compete yet with on-line SPE procedures in terms of accuracy, reproducibility, reliability (confirmation) of results, and capacity for multi-analyte determination.","collection-title":"Advances in Sample Preparation","container-title":"Journal of Chromatography A","DOI":"10.1016/j.chroma.2007.01.046","ISSN":"0021-9673","issue":"1","journalAbbreviation":"Journal of Chromatography A","page":"97-115","source":"ScienceDirect","title":"Advantages and limitations of on-line solid phase extraction coupled to liquid chromatography–mass spectrometry technologies versus biosensors for monitoring of emerging contaminants in water","volume":"1152","author":[{"family":"Rodriguez-Mozaz","given":"Sara"},{"family":"Lopez de Alda","given":"Maria J."},{"family":"Barceló","given":"Damià"}],"issued":{"date-parts":[["2007",6,8]]}}}],"schema":"https://github.com/citation-style-language/schema/raw/master/csl-citation.json"} </w:instrText>
      </w:r>
      <w:r w:rsidR="00AE2DE8">
        <w:fldChar w:fldCharType="separate"/>
      </w:r>
      <w:r w:rsidR="005C324C" w:rsidRPr="005C324C">
        <w:t>[46]</w:t>
      </w:r>
      <w:r w:rsidR="00AE2DE8">
        <w:fldChar w:fldCharType="end"/>
      </w:r>
      <w:r w:rsidR="004570A2">
        <w:t>.</w:t>
      </w:r>
    </w:p>
    <w:p w14:paraId="4C6C9CEE" w14:textId="5BDE54E6" w:rsidR="00FE36F3" w:rsidRDefault="004570A2" w:rsidP="004570A2">
      <w:pPr>
        <w:spacing w:before="240" w:after="240" w:line="276" w:lineRule="auto"/>
        <w:ind w:firstLine="0"/>
      </w:pPr>
      <w:r>
        <w:t xml:space="preserve">Other sorptive methods make use of solid phase micro-extraction (SPME) or </w:t>
      </w:r>
      <w:r w:rsidRPr="004570A2">
        <w:t>stir-bar sorptive extraction (SBSE)</w:t>
      </w:r>
      <w:r>
        <w:t xml:space="preserve">, both </w:t>
      </w:r>
      <w:r w:rsidR="00BC075B">
        <w:t xml:space="preserve">solvent-free and </w:t>
      </w:r>
      <w:r>
        <w:t>easy to perform and being fully automated</w:t>
      </w:r>
      <w:r w:rsidR="00BC075B">
        <w:t xml:space="preserve">. As an alternative to extraction procedure, is gaining attention the direct injection technique, </w:t>
      </w:r>
      <w:r w:rsidR="00BC075B" w:rsidRPr="00BC075B">
        <w:t>based on the</w:t>
      </w:r>
      <w:r w:rsidR="00BC075B">
        <w:t xml:space="preserve"> </w:t>
      </w:r>
      <w:r w:rsidR="00BC075B" w:rsidRPr="00BC075B">
        <w:t>injection of filtrated, diluted or centrifuged samples directly into</w:t>
      </w:r>
      <w:r w:rsidR="00BC075B">
        <w:t xml:space="preserve"> </w:t>
      </w:r>
      <w:r w:rsidR="00BC075B" w:rsidRPr="00BC075B">
        <w:t xml:space="preserve">the </w:t>
      </w:r>
      <w:r w:rsidR="00A83406">
        <w:t>analytical instrumentation</w:t>
      </w:r>
      <w:r w:rsidR="004D1286">
        <w:t xml:space="preserve"> </w:t>
      </w:r>
      <w:r w:rsidR="00AE2DE8">
        <w:fldChar w:fldCharType="begin"/>
      </w:r>
      <w:r w:rsidR="00A51550">
        <w:instrText xml:space="preserve"> ADDIN ZOTERO_ITEM CSL_CITATION {"citationID":"YXirlTdc","properties":{"formattedCitation":"[47,48]","plainCitation":"[47,48]","noteIndex":0},"citationItems":[{"id":1189,"uris":["http://zotero.org/users/local/8TMZWfC3/items/QI6SCMQ2"],"itemData":{"id":1189,"type":"article-journal","abstract":"It is well known that wastewater treatment plant (WWTP) effluents usually contain micropollutants such as pharmaceuticals (or their transformation products, TPs) or pesticides, which is a major issue when evaluating their possible reuse (e.g. for irrigation in agriculture). In search for an improved accuracy and simplicity, methods based on the direct injection of the sample (DI) represent a recent trend taking advantage of the increasing sensitivity of new mass spectrometry (MS) instruments. Thus, the present study shows the development and validation of a DI-based method by ultra-high-performance liquid chromatography quadrupole-linear ion trap analyser (UHPLC-QqLIT-MS/MS). The proposed method was applied to the monitoring of 115 organic microcontaminants (including pharmaceuticals, TPs and pesticides) at the ngL−1/μgL−1 level in wastewater effluents from urban WWTPs. Sample pre-treatment was reduced to acetonitrile addition and filtration of the mixture previous to LC–MS analysis. Total analysis time was &lt;15min. A subsequent validation protocol was carried out in treated WW (TWW), following indications of SANTE and Eurachem Guidelines. Linearity and matrix effect were evaluated in the range of 10–1000ngL−1. 70% of the analytes showed a moderate matrix effect (≤25%). Trueness (expressed as recovery) and precision (calculated as relative standard deviation, RSD) were evaluated at four concentration levels (20, 50, 500 and 1000ngL−1) in TWW samples. The LODs ranged from 1 to 357ngL−1 and the LOQs from 10 to 500ngL−1. 92% of the compounds showed limits of quantification ≤100ngL−1. In most cases, mean recoveries were in the range 70–120%, and RSD values were ≤20%. The validated method was successfully applied to the analysis of 10 TWW samples, demonstrating the occurrence of 67 target compounds at concentration levels from 26705ngL−1 (4-aminoantipyrine) to 10ngL−1 (tebuconazole and bezafibrate).","container-title":"Journal of Chromatography A","DOI":"10.1016/j.chroma.2017.05.053","ISSN":"0021-9673","journalAbbreviation":"Journal of Chromatography A","page":"84-94","source":"ScienceDirect","title":"Fast determination of pesticides and other contaminants of emerging concern in treated wastewater using direct injection coupled to highly sensitive ultra-high performance liquid chromatography-tandem mass spectrometry","volume":"1507","author":[{"family":"Campos-Mañas","given":"Marina Celia"},{"family":"Plaza-Bolaños","given":"Patricia"},{"family":"Sánchez-Pérez","given":"José Antonio"},{"family":"Malato","given":"Sixto"},{"family":"Agüera","given":"Ana"}],"issued":{"date-parts":[["2017",7,21]]}}},{"id":1311,"uris":["http://zotero.org/users/local/8TMZWfC3/items/BJSJ6F2S"],"itemData":{"id":1311,"type":"article-journal","container-title":"International Journal of Environmental Analytical Chemistry","DOI":"10.1080/03067319.2024.2322098","ISSN":"0306-7319","note":"publisher: Taylor &amp; Francis","page":"1-19","source":"tandfonline.com (Atypon)","title":"Development and application of a sustainable approach for the determination of 95 pharmaceutical substances and metabolites in urban wastewater by means of ultra-high-performance liquid-chromatography-tandem mass spectrometry","author":[{"family":"Massano","given":"Marta"},{"family":"Privitera","given":"Dana"},{"family":"Alladio","given":"Eugenio"},{"family":"Gerace","given":"Enrico"},{"family":"Minella","given":"Marco"},{"family":"Vincenti","given":"Marco"},{"family":"Salomone","given":"Alberto"}]}}],"schema":"https://github.com/citation-style-language/schema/raw/master/csl-citation.json"} </w:instrText>
      </w:r>
      <w:r w:rsidR="00AE2DE8">
        <w:fldChar w:fldCharType="separate"/>
      </w:r>
      <w:r w:rsidR="005C324C" w:rsidRPr="005C324C">
        <w:t>[47,48]</w:t>
      </w:r>
      <w:r w:rsidR="00AE2DE8">
        <w:fldChar w:fldCharType="end"/>
      </w:r>
      <w:bookmarkStart w:id="4" w:name="_GoBack"/>
      <w:bookmarkEnd w:id="4"/>
      <w:r w:rsidR="00FE36F3">
        <w:t>.</w:t>
      </w:r>
    </w:p>
    <w:p w14:paraId="7DCD3744" w14:textId="77777777" w:rsidR="00BC075B" w:rsidRDefault="00FE36F3" w:rsidP="00FE36F3">
      <w:pPr>
        <w:pStyle w:val="Titolo2"/>
        <w:numPr>
          <w:ilvl w:val="0"/>
          <w:numId w:val="0"/>
        </w:numPr>
        <w:ind w:left="1440" w:hanging="720"/>
      </w:pPr>
      <w:r>
        <w:t xml:space="preserve">3.2 CECs determination </w:t>
      </w:r>
      <w:r w:rsidR="00AC026D">
        <w:t xml:space="preserve"> </w:t>
      </w:r>
    </w:p>
    <w:p w14:paraId="44CE1F9E" w14:textId="77777777" w:rsidR="00885A50" w:rsidRPr="004A77F8" w:rsidRDefault="00FE36F3" w:rsidP="00885A50">
      <w:pPr>
        <w:spacing w:before="240" w:after="240" w:line="276" w:lineRule="auto"/>
        <w:ind w:firstLine="0"/>
      </w:pPr>
      <w:r w:rsidRPr="004A77F8">
        <w:t xml:space="preserve">Both liquid and gas chromatography coupled with mass spectrometry analyzers have been demonstrated as </w:t>
      </w:r>
      <w:r w:rsidR="00885A50" w:rsidRPr="004A77F8">
        <w:t>powerful</w:t>
      </w:r>
      <w:r w:rsidRPr="004A77F8">
        <w:t xml:space="preserve"> complementary analytical techniques for CECs determination</w:t>
      </w:r>
      <w:r w:rsidR="00681DB7" w:rsidRPr="004A77F8">
        <w:t xml:space="preserve">, being GC the elective approach for volatile or </w:t>
      </w:r>
      <w:r w:rsidR="004A77F8" w:rsidRPr="004A77F8">
        <w:t>semi volatile</w:t>
      </w:r>
      <w:r w:rsidR="00681DB7" w:rsidRPr="004A77F8">
        <w:t xml:space="preserve"> compound and LC more suitable for polar, low volatile substances</w:t>
      </w:r>
      <w:r w:rsidRPr="004A77F8">
        <w:t xml:space="preserve">. </w:t>
      </w:r>
    </w:p>
    <w:p w14:paraId="329FCA3D" w14:textId="77777777" w:rsidR="00B3582C" w:rsidRDefault="00B3582C" w:rsidP="00B3582C">
      <w:pPr>
        <w:spacing w:before="240" w:after="240" w:line="276" w:lineRule="auto"/>
        <w:ind w:firstLine="0"/>
      </w:pPr>
      <w:r w:rsidRPr="004A77F8">
        <w:t>The choice of a specific technique is determined by the nature of the analytes (from low polar up to ionic ones) and by the aim of the analysis. Three main objectives can be envisaged: 1) analysis of target compounds, 2) screening</w:t>
      </w:r>
      <w:r>
        <w:t xml:space="preserve"> methods for the analysis of target and non-target compounds, 3) identification of unknown TPs.</w:t>
      </w:r>
    </w:p>
    <w:p w14:paraId="371E57D5" w14:textId="66D24C30" w:rsidR="00B07249" w:rsidRDefault="00885A50" w:rsidP="00EE6F4F">
      <w:pPr>
        <w:spacing w:before="240" w:after="240" w:line="276" w:lineRule="auto"/>
        <w:ind w:firstLine="0"/>
      </w:pPr>
      <w:r w:rsidRPr="004A77F8">
        <w:t xml:space="preserve">Mass analyzers progressive improvement and widespread use </w:t>
      </w:r>
      <w:r w:rsidR="004A77F8" w:rsidRPr="004A77F8">
        <w:t>represents</w:t>
      </w:r>
      <w:r w:rsidRPr="004A77F8">
        <w:t xml:space="preserve"> a crucial turning point in term of analytical specificity and selectivity. </w:t>
      </w:r>
      <w:r>
        <w:t>In particular, the tandem mass spectrometry with Triple Quadrupole (QqQ) or Hybrid Triple Quadrupole-Linear Ion Trap mass spectrometer (QqLIT) have shown the capability to provide accurate quantification of target pollutants with excellent sensitivity, selectively and efficiency</w:t>
      </w:r>
      <w:r w:rsidR="004D1286">
        <w:t xml:space="preserve"> </w:t>
      </w:r>
      <w:r w:rsidR="00AE2DE8">
        <w:fldChar w:fldCharType="begin"/>
      </w:r>
      <w:r w:rsidR="00A51550">
        <w:instrText xml:space="preserve"> ADDIN ZOTERO_ITEM CSL_CITATION {"citationID":"yUsy7IVq","properties":{"formattedCitation":"[49,50]","plainCitation":"[49,50]","noteIndex":0},"citationItems":[{"id":1191,"uris":["http://zotero.org/users/local/8TMZWfC3/items/6FK982BP"],"itemData":{"id":1191,"type":"article-journal","abstract":"A rapid quantitative method for 135 contaminants of emerging concern (CECs) in untreated wastewater enabled with direct injection liquid chromatography-tandem mass spectrometry is presented. All compounds were analysed within 5 min on a short biphenyl cartridge using only 10 μL of filtered sample per injection. Up to 76 compounds were monitored simultaneously during the gradient (including mostly two transitions per compound and stable isotope-labelled analogues) while yielding &gt;10 data points per peak. Evaluation of seven solid phase extraction sorbents showed no advantage for wastewater matrix removal. Excellent linearity, range, accuracy and precision was achieved for most compounds. Matrix effects were &lt;11 % and detection limits were &lt;30 ng L−1 on average. Application to untreated wastewater samples from three wastewater treatment works in the UK, USA and Mexico, enabled quantification of 56 compounds. Banned and EU ‘watch-list’ substances are critically discussed, including pesticides, macrolide antibiotics, diclofenac, illicit drugs as well as multiple pharmaceuticals and biocides. This high-throughput method sets a new standard for the speedy and confident determination of over a hundred CECs in wastewater at the part-per-trillion level, as demonstrated by performing over 260 injections per day.","container-title":"Journal of Hazardous Materials","DOI":"10.1016/j.jhazmat.2020.122933","ISSN":"0304-3894","journalAbbreviation":"Journal of Hazardous Materials","page":"122933","source":"ScienceDirect","title":"High-throughput multi-residue quantification of contaminants of emerging concern in wastewaters enabled using direct injection liquid chromatography-tandem mass spectrometry","volume":"398","author":[{"family":"Ng","given":"Keng Tiong"},{"family":"Rapp-Wright","given":"Helena"},{"family":"Egli","given":"Melanie"},{"family":"Hartmann","given":"Alicia"},{"family":"Steele","given":"Joshua C."},{"family":"Sosa-Hernández","given":"Juan Eduardo"},{"family":"Melchor-Martínez","given":"Elda M."},{"family":"Jacobs","given":"Matthew"},{"family":"White","given":"Blánaid"},{"family":"Regan","given":"Fiona"},{"family":"Parra-Saldivar","given":"Roberto"},{"family":"Couchman","given":"Lewis"},{"family":"Halden","given":"Rolf U."},{"family":"Barron","given":"Leon P."}],"issued":{"date-parts":[["2020",11,5]]}}},{"id":1192,"uris":["http://zotero.org/users/local/8TMZWfC3/items/FNQ4BLZM"],"itemData":{"id":1192,"type":"article-journal","abstract":"This article describes the development, optimization, and validation of an analytical method for the simultaneous detection and identification of 73 pharmaceutical residues, covering various therapeutic groups, in both surface and wastewaters. The method is based on the simultaneous extraction of all target compounds by Solid Phase Extraction (SPE), using a hydrophilic−lipophilic balanced polymer followed by liquid chromatography tandem mass spectrometry, using a hybrid triple quadrupole-linear ion trap mass spectrometer (QqLIT). Quantitative analysis was performed using the 4000 Qtrap tandem mass spectrometer in Selected Reaction Monitoring (SRM) mode, monitoring two SRM transitions to fulfill EC guidelines, as well as to ensure an accurate identification of target compounds in the samples. Quantitation is performed by the internal standard approach, indispensable to correct matrix effects. Moreover, to obtain an extra tool for confirmation and identification of the studied pharmaceuticals, an Information Dependent Acquisition (IDA) experiment was performed, with SRM as the survey scan and an enhanced product ion (EPI) scan, at three different collision energies, as dependent scan. Compound identification was carried out by library search with a developed library, created by the infusion of standards, based on EPI spectra at the three collision energies. The main advantages of the developed method, besides high sensitivity (limits of detection ranging from 0.1−55 ng/L, depending on the matrix), selectivity, and reliability of results, are that all compounds are extracted in a single step, speeding up considerably sample preparation. Recoveries obtained were generally higher than 50% for both surface and wastewaters, with the exception of metronidazole (20−30%), salbutamol (33−43%), atorvastatin (40% in surface water), and nadolol (31% in surface water) that yielded lower but still acceptable recoveries. The overall variability of the method was below 15%, for all compounds and all matrixes tested. Finally, the method developed has been applied to the analysis of various influent and effluent wastewaters as well as river waters from Spain.","container-title":"Analytical Chemistry","DOI":"10.1021/ac801358e","ISSN":"0003-2700","issue":"3","journalAbbreviation":"Anal. Chem.","note":"publisher: American Chemical Society","page":"898-912","source":"ACS Publications","title":"Tracing Pharmaceutical Residues of Different Therapeutic Classes in Environmental Waters by Using Liquid Chromatography/Quadrupole-Linear Ion Trap Mass Spectrometry and Automated Library Searching","volume":"81","author":[{"family":"Gros","given":"Meritxell"},{"family":"Petrović","given":"Mira"},{"family":"Barceló","given":"Damià"}],"issued":{"date-parts":[["2009",2,1]]}}}],"schema":"https://github.com/citation-style-language/schema/raw/master/csl-citation.json"} </w:instrText>
      </w:r>
      <w:r w:rsidR="00AE2DE8">
        <w:fldChar w:fldCharType="separate"/>
      </w:r>
      <w:r w:rsidR="005C324C" w:rsidRPr="005C324C">
        <w:t>[49,50]</w:t>
      </w:r>
      <w:r w:rsidR="00AE2DE8">
        <w:fldChar w:fldCharType="end"/>
      </w:r>
      <w:r>
        <w:t xml:space="preserve">. The performances of tandem mass spectrometry can </w:t>
      </w:r>
      <w:r w:rsidR="00B3582C">
        <w:t>be</w:t>
      </w:r>
      <w:r>
        <w:t xml:space="preserve"> further enhanced when high resolution</w:t>
      </w:r>
      <w:r w:rsidRPr="004A77F8">
        <w:t xml:space="preserve"> </w:t>
      </w:r>
      <w:r w:rsidR="00B3582C">
        <w:t xml:space="preserve">MS </w:t>
      </w:r>
      <w:r w:rsidR="00B07249">
        <w:t xml:space="preserve">(HRMS) </w:t>
      </w:r>
      <w:r w:rsidR="00B3582C">
        <w:t xml:space="preserve">able to perform </w:t>
      </w:r>
      <w:r>
        <w:t>accurate-mass measurements</w:t>
      </w:r>
      <w:r w:rsidR="00B3582C">
        <w:t>, i.e. time-of-flight (TOF), Orbitrap or Fourier-transform ion-</w:t>
      </w:r>
      <w:r w:rsidR="00B3582C">
        <w:lastRenderedPageBreak/>
        <w:t>cyclotron re</w:t>
      </w:r>
      <w:r w:rsidR="004D1286">
        <w:t xml:space="preserve">sonance (FT-ICR), are employed </w:t>
      </w:r>
      <w:r w:rsidR="00AE2DE8">
        <w:fldChar w:fldCharType="begin"/>
      </w:r>
      <w:r w:rsidR="00A51550">
        <w:instrText xml:space="preserve"> ADDIN ZOTERO_ITEM CSL_CITATION {"citationID":"cAfaIVxa","properties":{"formattedCitation":"[51]","plainCitation":"[51]","noteIndex":0},"citationItems":[{"id":1196,"uris":["http://zotero.org/users/local/8TMZWfC3/items/ZD3L7HG7"],"itemData":{"id":1196,"type":"article-journal","abstract":"As a novelty, the combination of headspace solid phase microextraction and gas chromatography coupled to an Orbitrap mass analyzer in full scan mode (HS-SPME-GC-Orbitrap-MS) was evaluated for the monitoring of organic pollutants in wastewaters. The developed methodology showed good linearity (R2 &gt; 0.999), sensitivity as well as suitable relative recoveries (89–115%) and precision values (RSD = 1–16%) for 15 polycyclic aromatic hydrocarbons (PAHs) selected as target compounds. Naphthalene, acenapthene and phenanthrene were found in the analyzed samples (influent and effluent wastewaters). Naphthalene was present in 62% of them, ranging from 1.33 to 24.32 ng L−1. Acenapthene was observed in 1 single sample (4.17 ng L−1) while phenanthrene was found in 7 samples (1.51–8.67 ng L−1). In addition, in order to identify other pollutants in the samples, retrospective analyses were addressed through target and non-target screenings. An in-house database containing close to 1,000 pollutants including, among others, polychlorinated biphenyls (PCBs), brominated diphenyl ethers (BDEs) and pesticides, was applied in the post-target analysis. For the non-target screening, after a deconvolution process, high resolution filtering (HRF) and Kovats retention index (KI) were used for tentative analyte identification. Thus, 51 additional pollutants were tentatively identified in the wastewaters, most of them used as flavoring agents and household product ingredients, highlighting the presence of linear alkyl benzenes (LABs).","container-title":"Journal of Chromatography A","DOI":"10.1016/j.chroma.2020.460964","ISSN":"0021-9673","journalAbbreviation":"Journal of Chromatography A","page":"460964","source":"ScienceDirect","title":"Assessment of wastewater pollution by gas chromatography and high resolution Orbitrap mass spectrometry","volume":"1619","author":[{"family":"Domínguez","given":"Irene"},{"family":"Arrebola","given":"Francisco Javier"},{"family":"Martínez Vidal","given":"José Luis"},{"family":"Garrido Frenich","given":"Antonia"}],"issued":{"date-parts":[["2020",5,24]]}}}],"schema":"https://github.com/citation-style-language/schema/raw/master/csl-citation.json"} </w:instrText>
      </w:r>
      <w:r w:rsidR="00AE2DE8">
        <w:fldChar w:fldCharType="separate"/>
      </w:r>
      <w:r w:rsidR="005C324C" w:rsidRPr="005C324C">
        <w:t>[51]</w:t>
      </w:r>
      <w:r w:rsidR="00AE2DE8">
        <w:fldChar w:fldCharType="end"/>
      </w:r>
      <w:r w:rsidR="00B3582C">
        <w:t>.</w:t>
      </w:r>
      <w:r w:rsidR="00B07249">
        <w:t xml:space="preserve"> Actually, a successful approach for the identification of suspected and non-target screening is represented by the couplin</w:t>
      </w:r>
      <w:r w:rsidR="004D1286">
        <w:t xml:space="preserve">g of full-scan HRMS with MS/MS </w:t>
      </w:r>
      <w:r w:rsidR="00AE2DE8">
        <w:fldChar w:fldCharType="begin"/>
      </w:r>
      <w:r w:rsidR="00A51550">
        <w:instrText xml:space="preserve"> ADDIN ZOTERO_ITEM CSL_CITATION {"citationID":"ehO92tyl","properties":{"formattedCitation":"[52]","plainCitation":"[52]","noteIndex":0},"citationItems":[{"id":1198,"uris":["http://zotero.org/users/local/8TMZWfC3/items/X5WDQ8CX"],"itemData":{"id":1198,"type":"article-journal","abstract":"The presence of micropollutants in wastewater treatment plant (WWTP) poses potential risks to the aquatic system and human health. This study comprehensively characterized the presence, elimination, and transformation of micropollutants in the WWTP using the suspect screening approaches by employing the gas chromatography coupled with quadrupole time-of-flight mass spectrometry. Overall, 5724 features were identified in influent, while only 3418 features existed in effluents. Hierarchical cluster analysis (HCA) was used to group features based on intensity profiles to investigate the behavior and fate of detected features. Four representative trends were defined with the corresponding features. Among 117 compounds identified during the treatment process, there were 99 compounds in influent, 10 biological transformation products (TPs), 3 ozone TPs, and 5 ultraviolet TPs. Furthermore, the removal efficiencies for the detected compounds were determined. The study findings highlight the importance of the removal of emerging pollutants and TPs such as fipronil, fipronil sulfide, and fipronil sulfone.","container-title":"Journal of Hazardous Materials","DOI":"10.1016/j.jhazmat.2019.05.031","ISSN":"0304-3894","journalAbbreviation":"Journal of Hazardous Materials","page":"153-159","source":"ScienceDirect","title":"Suspect screening analysis of the occurrence and removal of micropollutants by GC-QTOF MS during wastewater treatment processes","volume":"376","author":[{"family":"Wang","given":"Yingjun"},{"family":"Gao","given":"Wei"},{"family":"Wang","given":"Yawei"},{"family":"Jiang","given":"Guibin"}],"issued":{"date-parts":[["2019",8,15]]}}}],"schema":"https://github.com/citation-style-language/schema/raw/master/csl-citation.json"} </w:instrText>
      </w:r>
      <w:r w:rsidR="00AE2DE8">
        <w:fldChar w:fldCharType="separate"/>
      </w:r>
      <w:r w:rsidR="005C324C" w:rsidRPr="005C324C">
        <w:t>[52]</w:t>
      </w:r>
      <w:r w:rsidR="00AE2DE8">
        <w:fldChar w:fldCharType="end"/>
      </w:r>
      <w:r w:rsidR="00B07249">
        <w:t>.</w:t>
      </w:r>
      <w:r w:rsidR="00EE6F4F">
        <w:t xml:space="preserve"> Employing HRMS instruments has also been demonstrated </w:t>
      </w:r>
      <w:r w:rsidR="009841D8">
        <w:t xml:space="preserve">to be </w:t>
      </w:r>
      <w:r w:rsidR="00EE6F4F">
        <w:t>a suitable approach to elucidate the structure of unknown transformation products</w:t>
      </w:r>
      <w:r w:rsidR="004D1286">
        <w:t xml:space="preserve"> </w:t>
      </w:r>
      <w:r w:rsidR="00AE2DE8">
        <w:fldChar w:fldCharType="begin"/>
      </w:r>
      <w:r w:rsidR="00A51550">
        <w:instrText xml:space="preserve"> ADDIN ZOTERO_ITEM CSL_CITATION {"citationID":"vhAzIMGH","properties":{"formattedCitation":"[53,54]","plainCitation":"[53,54]","noteIndex":0},"citationItems":[{"id":1200,"uris":["http://zotero.org/users/local/8TMZWfC3/items/J74CCKFP"],"itemData":{"id":1200,"type":"article-journal","abstract":"Ozonation and subsequent post-treatments are increasingly implemented in wastewater treatment plants (WWTPs) for enhanced micropollutant abatement. While this technology is effective, micropollutant oxidation leads to the formation of ozonation transformation products (OTPs). Target and suspect screening provide information about known parent compounds and known OTPs, but for a more comprehensive picture, non-target screening is needed. Here, sampling was conducted at a full-scale WWTP to investigate OTP formation at four ozone doses (2, 3, 4, and 5 mg/L, ranging from 0.3 to 1.0 gO3/gDOC) and subsequent changes during five post-treatment steps (i.e., sand filter, fixed bed bioreactor, moving bed bioreactor, and two granular activated carbon (GAC) filters, relatively fresh and pre-loaded). Samples were measured with online solid-phase extraction coupled to liquid chromatography high-resolution tandem mass spectrometry (LC-HRMS/MS) using electrospray ionization (ESI) in positive and negative modes. Existing non-target screening workflows were adapted to (1) examine the formation of potential OTPs at four ozone doses and (2) compare the removal of OTPs among five post-treatments. In (1), data processing included principal component analysis (PCA) and chemical knowledge on possible oxidation reactions to prioritize non-target features likely to be OTPs. Between 394 and 1328 unique potential OTPs were detected in positive ESI for the four ozone doses tested; between 12 and 324 unique potential OTPs were detected in negative ESI. At a specific ozone dose of 0.5 gO3/gDOC, 27 parent compounds were identified and were related to 69 non-target features selected as potential OTPs. Two OTPs were confirmed with reference standards (venlafaxine N-oxide and chlorothiazide); 34 other potential OTPs were in agreement with literature data and/or reaction mechanisms. In (2), hierarchical cluster analysis (HCA) was applied on profiles detected in positive ESI mode across the WWTP and revealed 11 relevant trends. OTP removal was compared among the five post-treatments and 54–83% of the non-target features that appeared after ozonation were removed, with the two GAC filters performing the best. Overall, these data analysis strategies for non-target screening provide a useful tool to understand the behavior of unknown features during ozonation and post-treatment and to prioritize certain non-targets for further identification.","container-title":"Water Research","DOI":"10.1016/j.watres.2018.05.045","ISSN":"0043-1354","journalAbbreviation":"Water Research","page":"267-278","source":"ScienceDirect","title":"Non-target screening to trace ozonation transformation products in a wastewater treatment train including different post-treatments","volume":"142","author":[{"family":"Schollée","given":"Jennifer E."},{"family":"Bourgin","given":"Marc"},{"family":"Gunten","given":"Urs","non-dropping-particle":"von"},{"family":"McArdell","given":"Christa S."},{"family":"Hollender","given":"Juliane"}],"issued":{"date-parts":[["2018",10,1]]}}},{"id":1201,"uris":["http://zotero.org/users/local/8TMZWfC3/items/8ZPZVZLM"],"itemData":{"id":1201,"type":"article-journal","abstract":"In the present study, the photoinduced degradation of the antidepressant drug sertraline under artificial solar radiation was examined. Photolysis was studied under different experimental conditions to explore its photolytic fate in the aqueous environment. Photolytic degradation kinetics were carried out in ultrapure water, wastewater effluent, as well as in the presence of dissolved organic matter (humic acids), bicarbonate and nitrate ions which enabled their assessment on sertraline photo-transformation. The reaction of sertraline with photoactive compounds accelerated sertraline transformation in comparison with direct photolysis. Moreover, TiO2-mediated photocatalytic degradation of sertraline was investigated, and focus was placed on the identification of by-products. As expected, photocatalysis was extremely effective for sertraline degradation. Photocatalytic degradation proceeded through the formation of forty-four transformation products identified by HPLC-HRMS and after 240 min of irradiation total mineralization was achieved. Microtox bioassay (Vibrio fischeri) was employed to assess the ecotoxicity of the photocatalysis-treated solutions and results have indicated that sertraline photo-transformation proceeds through the formation of toxic compounds.","container-title":"Science of The Total Environment","DOI":"10.1016/j.scitotenv.2020.143805","ISSN":"0048-9697","journalAbbreviation":"Science of The Total Environment","page":"143805","source":"ScienceDirect","title":"Study of the photoinduced transformations of sertraline in aqueous media","volume":"756","author":[{"family":"Calza","given":"Paola"},{"family":"Jiménez-Holgado","given":"Cristina"},{"family":"Coha","given":"Marco"},{"family":"Chrimatopoulos","given":"Christoforos"},{"family":"Dal Bello","given":"Federica"},{"family":"Medana","given":"Claudio"},{"family":"Sakkas","given":"Vasilios"}],"issued":{"date-parts":[["2021",2,20]]}}}],"schema":"https://github.com/citation-style-language/schema/raw/master/csl-citation.json"} </w:instrText>
      </w:r>
      <w:r w:rsidR="00AE2DE8">
        <w:fldChar w:fldCharType="separate"/>
      </w:r>
      <w:r w:rsidR="005C324C" w:rsidRPr="005C324C">
        <w:t>[53,54]</w:t>
      </w:r>
      <w:r w:rsidR="00AE2DE8">
        <w:fldChar w:fldCharType="end"/>
      </w:r>
      <w:r w:rsidR="008C64D8">
        <w:t>.</w:t>
      </w:r>
    </w:p>
    <w:p w14:paraId="221C5FC5" w14:textId="19ACB0B7" w:rsidR="008C64D8" w:rsidRDefault="008C64D8" w:rsidP="00EE6F4F">
      <w:pPr>
        <w:spacing w:before="240" w:after="240" w:line="276" w:lineRule="auto"/>
        <w:ind w:firstLine="0"/>
      </w:pPr>
      <w:r>
        <w:t xml:space="preserve">Recently a </w:t>
      </w:r>
      <w:r w:rsidR="00C93E50" w:rsidRPr="00C93E50">
        <w:t xml:space="preserve">broad and comprehensive overview of the potential of different types of mass analyzers has been </w:t>
      </w:r>
      <w:r w:rsidR="00252C0D">
        <w:t>proposed</w:t>
      </w:r>
      <w:r w:rsidR="00C93E50" w:rsidRPr="00C93E50">
        <w:t xml:space="preserve">, with particular focus on the analysis of pharmaceutical compounds and their </w:t>
      </w:r>
      <w:r w:rsidR="00252C0D">
        <w:t xml:space="preserve">TPs formed during </w:t>
      </w:r>
      <w:r w:rsidR="00C93E50" w:rsidRPr="00C93E50">
        <w:t xml:space="preserve">degradation treatments </w:t>
      </w:r>
      <w:r w:rsidR="00252C0D">
        <w:t>aimed to their elimination</w:t>
      </w:r>
      <w:r w:rsidR="00C93E50" w:rsidRPr="00C93E50">
        <w:t xml:space="preserve"> from different matrices including surface waters</w:t>
      </w:r>
      <w:r w:rsidR="009841D8">
        <w:t xml:space="preserve"> (</w:t>
      </w:r>
      <w:r w:rsidR="00AE2DE8">
        <w:fldChar w:fldCharType="begin"/>
      </w:r>
      <w:r w:rsidR="00A51550">
        <w:instrText xml:space="preserve"> ADDIN ZOTERO_ITEM CSL_CITATION {"citationID":"dzCNd8NX","properties":{"formattedCitation":"[55]","plainCitation":"[55]","noteIndex":0},"citationItems":[{"id":1206,"uris":["http://zotero.org/users/local/8TMZWfC3/items/8QFBSNM9"],"itemData":{"id":1206,"type":"article-journal","abstract":"Water pollution is the most serious problem threatening global water resources. The release of both natural and anthropogenic factors in the aquatic environment is affecting the quality of water bodies, with Contaminants of Emerging Concern (CECs) being one of the major issues. In recent years, the availability of robust and sensitive analytical methods has allowed the detection and identification of a wide variety of pollutants. Pharmaceutically Active Compounds (PhACs) represent one large category of CECs detected in the aquatic environment, posing serious threats to human health and ecosystems. Hence, there is an urgent need for a better understanding of their environmental occurrence, fate, exposure-associated risks, and degradation in order to regulate exposure to pharmaceuticals in the environment. This review covers the current trends, newly developed state-of-the-art analytical methods, their challenges for PhACs detection in different water matrices, and the occurrence patterns in the aquatic environment. We also make a compressive assessment of the ineffective classic drinking water treatment plants (DWTPs) and the novel technologies such as membrane filtration and advanced oxidation processes that have been implemented to upgrade DWTPs. Their efficiency in removing PhACs is here discussed, as well as other embryonic technologies as promising solutions. The aim of this review article is to provide a comprehensive summary of the pathways and fate of PhACs in the environment, solutions for improving their monitoring assessments and the best methods for their removal in drinking water treatment plants.","container-title":"Chemical Engineering Journal Advances","DOI":"10.1016/j.ceja.2022.100245","ISSN":"2666-8211","journalAbbreviation":"Chemical Engineering Journal Advances","page":"100245","source":"ScienceDirect","title":"From monitoring to treatment, how to improve water quality: The pharmaceuticals case","title-short":"From monitoring to treatment, how to improve water quality","volume":"10","author":[{"family":"Papagiannaki","given":"Dimitra"},{"family":"Belay","given":"Masho H."},{"family":"Gonçalves","given":"Nuno P. F."},{"family":"Robotti","given":"Elisa"},{"family":"Bianco-Prevot","given":"Alessandra"},{"family":"Binetti","given":"Rita"},{"family":"Calza","given":"Paola"}],"issued":{"date-parts":[["2022",5,15]]}}}],"schema":"https://github.com/citation-style-language/schema/raw/master/csl-citation.json"} </w:instrText>
      </w:r>
      <w:r w:rsidR="00AE2DE8">
        <w:fldChar w:fldCharType="separate"/>
      </w:r>
      <w:r w:rsidR="005C324C" w:rsidRPr="005C324C">
        <w:t>[55]</w:t>
      </w:r>
      <w:r w:rsidR="00AE2DE8">
        <w:fldChar w:fldCharType="end"/>
      </w:r>
      <w:r w:rsidR="009841D8">
        <w:t xml:space="preserve"> </w:t>
      </w:r>
      <w:r w:rsidR="00C93E50" w:rsidRPr="00C84F2E">
        <w:t>and references therein</w:t>
      </w:r>
      <w:r w:rsidR="000A1D1D">
        <w:t>)</w:t>
      </w:r>
      <w:r w:rsidR="00C93E50" w:rsidRPr="00C84F2E">
        <w:t>.</w:t>
      </w:r>
    </w:p>
    <w:p w14:paraId="3592D6CB" w14:textId="77777777" w:rsidR="00F45201" w:rsidRDefault="00F45201" w:rsidP="00EE6F4F">
      <w:pPr>
        <w:spacing w:before="240" w:after="240" w:line="276" w:lineRule="auto"/>
        <w:ind w:firstLine="0"/>
      </w:pPr>
      <w:r>
        <w:t>At the present time GC/LC-HRMS can be considered the gold standard for CECs determination.</w:t>
      </w:r>
    </w:p>
    <w:p w14:paraId="5D46F57F" w14:textId="77777777" w:rsidR="00F22723" w:rsidRDefault="00F22723" w:rsidP="00F22723">
      <w:pPr>
        <w:spacing w:before="240" w:after="240" w:line="276" w:lineRule="auto"/>
        <w:ind w:firstLine="0"/>
      </w:pPr>
      <w:r>
        <w:t xml:space="preserve">Nonetheless, the </w:t>
      </w:r>
      <w:r w:rsidR="000A1D1D">
        <w:t>above-mentioned</w:t>
      </w:r>
      <w:r>
        <w:t xml:space="preserve"> analytical techniques suffer relative high costs, are time demanding and require highly skilled operators, while the control of proper functioning of quaternary treatment implemented in a WWTP for CECs abatement need fast and reliable response. </w:t>
      </w:r>
    </w:p>
    <w:p w14:paraId="0644FB7B" w14:textId="0A0B5457" w:rsidR="00B91DA2" w:rsidRDefault="00EF4474" w:rsidP="00B91DA2">
      <w:pPr>
        <w:spacing w:before="240" w:after="240" w:line="276" w:lineRule="auto"/>
        <w:ind w:firstLine="0"/>
      </w:pPr>
      <w:r>
        <w:t>At this purpose sophisticated approaches like the one above presented can be reserved to a limited number of selected samples</w:t>
      </w:r>
      <w:r w:rsidR="000D20FF">
        <w:t xml:space="preserve">. On the contrary, </w:t>
      </w:r>
      <w:r>
        <w:t xml:space="preserve">for </w:t>
      </w:r>
      <w:r w:rsidR="000D20FF">
        <w:t xml:space="preserve">the </w:t>
      </w:r>
      <w:r>
        <w:t>continuous control of the wastewater treatment functioning the use of indicator compounds together with the d</w:t>
      </w:r>
      <w:r w:rsidR="00A86341">
        <w:t xml:space="preserve">eployment of surrogate methods </w:t>
      </w:r>
      <w:r w:rsidR="00C25F57">
        <w:t xml:space="preserve">has been explored and proposed as a possible alternative </w:t>
      </w:r>
      <w:r w:rsidR="00AE2DE8">
        <w:fldChar w:fldCharType="begin"/>
      </w:r>
      <w:r w:rsidR="00A51550">
        <w:instrText xml:space="preserve"> ADDIN ZOTERO_ITEM CSL_CITATION {"citationID":"rQZWCIEy","properties":{"formattedCitation":"[8,10,56\\uc0\\u8211{}59]","plainCitation":"[8,10,56–59]","noteIndex":0},"citationItems":[{"id":1103,"uris":["http://zotero.org/users/local/8TMZWfC3/items/CGPPH8AR"],"itemData":{"id":1103,"type":"article-journal","abstract":"This paper offers a critical review from classical to new perspectives of advanced oxidation processes (AOPs) coupled to two- and multi-way calibration strategies based on multivariate curve resolution – alternating least-squares (MCR-ALS) and parallel factory analysis (PARAFAC) with various analytical techniques to monitor the degradation of contaminants in environmental samples. It focuses on the generation of highly reactive hydroxyl (HO•) radicals (classical AOPs with emphasis on Fenton, photo-Fenton and ozonation processes) and emerging reactive sulphate (SO4•−) radicals (new perspectives of AOPs) for effective degradation of recalcitrant compounds. Other new perspectives of AOPs were also addressed, namely semiconductor photocatalysis (TiO2/UV), combination of processes involving at least one AOP (hybrid or single-step processes and sequential or two-step processes), novel advanced electrochemical oxidation technologies (electro-Fenton and electro-photo-Fenton) and nanocatalytic heterogeneous Fenton technology with high specific surface area. Literature reports since 2008 for real applications in the environmental remediation based on AOPs (from classical to new perspectives) coupled to PARAFAC and MCR-ALS with first-, second- and third-order data were reviewed and the improvements obtained were briefly discussed. The two- and multi-way calibration strategies allow one the successful decomposition of first-, second- and third-order data collected from different analytical techniques. Therefore, the respective profiles obtained allowed qualitative (spectral profiles) and quantitative (concentration profiles) analysis of complex samples during the degradation of contaminants through the second-order advantage. Finally, trends of future research directions for AOPs coupled to various analytical techniques and advanced chemometric models were provided.","container-title":"Trends in Environmental Analytical Chemistry","DOI":"10.1016/j.teac.2019.e00072","ISSN":"2214-1588","journalAbbreviation":"Trends in Environmental Analytical Chemistry","page":"e00072","source":"ScienceDirect","title":"A review on advanced oxidation processes: From classical to new perspectives coupled to two- and multi-way calibration strategies to monitor degradation of contaminants in environmental samples","title-short":"A review on advanced oxidation processes","volume":"24","author":[{"family":"Mazivila","given":"Sarmento J."},{"family":"Ricardo","given":"Ivo A."},{"family":"Leitão","given":"João M. M."},{"family":"Esteves da Silva","given":"Joaquim C. G."}],"issued":{"date-parts":[["2019",10,1]]}}},{"id":1105,"uris":["http://zotero.org/users/local/8TMZWfC3/items/6595V2CR"],"itemData":{"id":1105,"type":"article-journal","abstract":"Advanced oxidation processes (AOPs) have been studied since many years for the removal of organic bio recalcitrant molecules and proposed as tertiary treatment for effluent waters. Mostly ozonation and UV-H2O2 have found application in water treatment utilities plant. It is highly relevant establish reliable measurement for real-time monitoring of the AOPs course in order to allowing fast intervention in case of malfunctioning. Sophisticated and powerful analytical techniques based on mass spectrometry do not fulfil requirements for being used inline. Surrogate-based models have been therefore considered for their suitability, together with the use of carefully selected indicator molecules for the creation of correlation models representative of groups of pollutants. The most relevant features of the above mentioned approaches are discussed evidencing their strength and weakness as well as their complementary role when optimizing AOP, at laboratory scale for an in depth system characterization, and at plant scale for the process monitoring during its application at real cases.","container-title":"Microchemical Journal","DOI":"10.1016/j.microc.2021.106799","ISSN":"0026-265X","journalAbbreviation":"Microchemical Journal","page":"106799","source":"ScienceDirect","title":"Analytical control in advanced oxidation processes: Surrogate models and indicators vs traditional methods","title-short":"Analytical control in advanced oxidation processes","volume":"171","author":[{"family":"Fabbri","given":"Debora"},{"family":"Bianco Prevot","given":"Alessandra"}],"issued":{"date-parts":[["2021",12,1]]}}},{"id":1213,"uris":["http://zotero.org/users/local/8TMZWfC3/items/PGFJPZFF"],"itemData":{"id":1213,"type":"article-journal","abstract":"In response to water scarcity, strategies relying on multiple processes to turn wastewater effluent into potable water are being increasingly considered by many cities. In such context, the occurrence of contaminants as well as their fate during treatment processes is a major concern. Three analytical approaches where used to characterize the efficacy of UV and UV/H2O2 processes on a secondary wastewater effluent. The first analytical approach assessed bulk organic parameters or surrogates before and after treatment, while the second analytical approach measured the removal of specific indicator compounds. Sixteen trace organic contaminants were selected due to their relative high concentration and detection frequency over eight monitoring campaigns. While their removal rate ranges from approximately 10 to &gt;90%, some of these compounds can be used to gauge process efficacy (or failure). The third analytical approach assessed the fate of unknown contaminants through high-resolution time-of-flight (TOF) mass spectrometry with advanced data processing and demonstrated the occurrence of several thousand organic compounds in the water. A heat map clearly evidenced compounds as recalcitrant or transformed by the UV processes applied. In addition, those chemicals with similar fate were grouped together into clusters to identify new indicator compounds. In this manuscript, each approach is evaluated with advantages and disadvantages compared.","collection-title":"Advances in Analysis, Treatment Technologies, and Environmental Fate of Emerging Contaminants","container-title":"Journal of Hazardous Materials","DOI":"10.1016/j.jhazmat.2014.09.008","ISSN":"0304-3894","journalAbbreviation":"Journal of Hazardous Materials","page":"75-85","source":"ScienceDirect","title":"Application of surrogates, indicators, and high-resolution mass spectrometry to evaluate the efficacy of UV processes for attenuation of emerging contaminants in water","volume":"282","author":[{"family":"Merel","given":"Sylvain"},{"family":"Anumol","given":"Tarun"},{"family":"Park","given":"Minkyu"},{"family":"Snyder","given":"Shane A."}],"issued":{"date-parts":[["2015",1,23]]}}},{"id":1211,"uris":["http://zotero.org/users/local/8TMZWfC3/items/5Y8CXDGE"],"itemData":{"id":1211,"type":"article-journal","abstract":"UV-based advanced oxidation processes (AOPs) have been widely explored to remove organic contaminants from water streams. In this lab-scale study, the removal of 17 trace organic chemicals (TOrCs) by UV/H2O2, UV/PDS and UV/Chlorine was investigated at equimolar radical promoter concentrations in municipal wastewater. Direct comparison of the UV-AOPs was conducted with eight TOrCs being resistant to direct oxidation by H2O2, PDS and chlorine and revealed a general oxidation performance following the order of UV/Chlorine &gt; UV/H2O2 ≈ UV/PDS while UV/PDS and UV/Chlorine exhibited higher compound selectivity than UV/H2O2. However, although oxidation performance of UV/Chlorine is outstanding in comparison of the three UV-AOPs, it has to be noted that oxidation by-product (OBP) formation potential might be substantially higher during both UV/PDS and UV/Chlorine compared to UV/H2O2 which was not investigated in this study. Evaluating potential optical surrogates to predict trace organic chemical (TOrCs) removal in UV-AOPs, nine parameters were selected representing chromophore and fluorophore features of DOM including components derived by parallel factor analysis (PARAFAC) of excitation-emission matrices. UV absorbance (UVA), total fluorescence (TF) and the selected fluorescence peak P_IV revealed highest linear correlation coefficients and were therefore identified as surrogates representing underlying mechanistic reactions of each UV-AOP. As none of the surrogates directly reacted with UV irradiation, slopes of surrogate-indicator correlations for photo-susceptible TOrCs decreased towards higher oxidant dosages. Correlations for these compounds should therefore only be determined for a limited range of oxidant dosage.","container-title":"Chemical Engineering Journal","DOI":"10.1016/j.cej.2019.01.041","ISSN":"1385-8947","journalAbbreviation":"Chemical Engineering Journal","page":"537-547","source":"ScienceDirect","title":"Comparison of UV-AOPs (UV/H2O2, UV/PDS and UV/Chlorine) for TOrC removal from municipal wastewater effluent and optical surrogate model evaluation","volume":"362","author":[{"family":"Miklos","given":"D. B."},{"family":"Wang","given":"W. -L."},{"family":"Linden","given":"K. G."},{"family":"Drewes","given":"J. E."},{"family":"Hübner","given":"U."}],"issued":{"date-parts":[["2019",4,15]]}}},{"id":1209,"uris":["http://zotero.org/users/local/8TMZWfC3/items/YHP6V4XB"],"itemData":{"id":1209,"type":"article-journal","abstract":"Ozone oxidation has been demonstrated to be an effective treatment process for the attenuation of trace organic compounds (TOrCs); however, predicting TOrC attenuation by ozone processes is challenging in wastewaters. Since ozone is rapidly consumed, determining the exposure times of ozone and hydroxyl radical proves to be difficult. As direct potable reuse schemes continue to gain traction, there is an increasing need for the development of real-time monitoring strategies for TOrC abatement in ozone oxidation processes. Hence, this study is primarily aimed at developing indicator and surrogate models for the prediction of TOrC attenuation by ozone oxidation. To this end, the second-order kinetic equations with a second-phase Rct value (ratio of hydroxyl radical exposure to molecular ozone exposure) were used to calculate comparative kinetics of TOrC attenuation and the reduction of indicator and spectroscopic surrogate parameters, including UV absorbance at 254 nm (UVA254) and total fluorescence (TF). The developed indicator model using meprobamate as an indicator compound and the surrogate models with UVA254 and TF exhibited good predictive power for the attenuation of 13 kinetically distinct TOrCs in five filtered and unfiltered wastewater effluents (R2 values &gt; 0.8). This study is intended to help provide a guideline for the implementation of indicator/surrogate models for real-time monitoring of TOrC abatement with ozone processes and integrate them into a regulatory framework in water reuse.","container-title":"Water Research","DOI":"10.1016/j.watres.2017.04.024","ISSN":"0043-1354","journalAbbreviation":"Water Research","page":"21-32","source":"ScienceDirect","title":"Predicting trace organic compound attenuation by ozone oxidation: Development of indicator and surrogate models","title-short":"Predicting trace organic compound attenuation by ozone oxidation","volume":"119","author":[{"family":"Park","given":"Minkyu"},{"family":"Anumol","given":"Tarun"},{"family":"Daniels","given":"Kevin D."},{"family":"Wu","given":"Shimin"},{"family":"Ziska","given":"Austin D."},{"family":"Snyder","given":"Shane A."}],"issued":{"date-parts":[["2017",8,1]]}}},{"id":1208,"uris":["http://zotero.org/users/local/8TMZWfC3/items/E3HN5QNH"],"itemData":{"id":1208,"type":"article-journal","abstract":"Although ozonation is nowadays recognized as one of the most efficient technologies for micropollutants abatement in municipal wastewater effluents, several of the compounds potentially present in those waters exhibit a strong resistance to direct ozone oxidation. In addition, the real-time control of the removal process is still challenging. In this work, the abatement of ozone-recalcitrant micropollutants during wastewater ozonation of six different wastewater effluents was explored using the pesticide acetamiprid as hydroxyl radical (OH) probe. By means of this data, the oxidation efficiency (i.e., hydroxyl radical exposure per consumed ozone) could be described by means of a two-stage model based on the ROHO3 concept. This was possible using a semi-continuous bubbling ozone contactor in all experiments, which permitted the inclusion of the ozone mass balance in the model. ROHO3 values of (1.53–7.60)·10−7 s for initial ozonation stage and (0.61–2.95)·10−6 s for the secondary stage were obtained allowing the characterization and comparison of the process performance in a wide range of effluent qualities, including water matrices with a high content of dissolved and particulate organic matter (total organic carbon (TOC), dissolved organic carbon (DOC) and turbidity tested ranges: 6.7–50 mg C L−1, 6.6–27.6 mg C L−1 and 0.3–28.6 NTU, respectively). Finally, a surrogate strategy involving OH exposure estimation by means of ultraviolet absorbance at 254 nm (UVA254) measurements was proposed based on the ROHO3 concept, and by means of its application the removal of atrazine and ibuprofen in six different wastewaters could be rightly predicted (R2 &gt; 0.98).","container-title":"Chemical Engineering Journal","DOI":"10.1016/j.cej.2018.10.206","ISSN":"1385-8947","journalAbbreviation":"Chemical Engineering Journal","page":"1092-1100","source":"ScienceDirect","title":"Abatement of ozone-recalcitrant micropollutants during municipal wastewater ozonation: Kinetic modelling and surrogate-based control strategies","title-short":"Abatement of ozone-recalcitrant micropollutants during municipal wastewater ozonation","volume":"360","author":[{"family":"Cruz-Alcalde","given":"Alberto"},{"family":"Esplugas","given":"Santiago"},{"family":"Sans","given":"Carme"}],"issued":{"date-parts":[["2019",3,15]]}}}],"schema":"https://github.com/citation-style-language/schema/raw/master/csl-citation.json"} </w:instrText>
      </w:r>
      <w:r w:rsidR="00AE2DE8">
        <w:fldChar w:fldCharType="separate"/>
      </w:r>
      <w:r w:rsidR="005C324C" w:rsidRPr="005C324C">
        <w:t>[8,10,56–59]</w:t>
      </w:r>
      <w:r w:rsidR="00AE2DE8">
        <w:fldChar w:fldCharType="end"/>
      </w:r>
      <w:r w:rsidR="00A86341">
        <w:t>.</w:t>
      </w:r>
    </w:p>
    <w:p w14:paraId="18769D31" w14:textId="47C6A346" w:rsidR="00C12D37" w:rsidRDefault="00EF4474" w:rsidP="00A86341">
      <w:pPr>
        <w:spacing w:before="240" w:after="240" w:line="276" w:lineRule="auto"/>
        <w:ind w:firstLine="0"/>
      </w:pPr>
      <w:r>
        <w:t xml:space="preserve">An indicator compound can be defined as an individual chemical that can be taken as representative of a larger class of compounds and used to measure the effectiveness of a wastewater treatment process. </w:t>
      </w:r>
      <w:r w:rsidR="005469CA">
        <w:t>A</w:t>
      </w:r>
      <w:r w:rsidR="005469CA" w:rsidRPr="005469CA">
        <w:t xml:space="preserve"> good indicator must </w:t>
      </w:r>
      <w:r w:rsidR="005469CA">
        <w:t>feature</w:t>
      </w:r>
      <w:r w:rsidR="005469CA" w:rsidRPr="005469CA">
        <w:t xml:space="preserve"> frequent detection before treatment and </w:t>
      </w:r>
      <w:r w:rsidR="005469CA">
        <w:t>a not-negligible</w:t>
      </w:r>
      <w:r w:rsidR="005469CA" w:rsidRPr="005469CA">
        <w:t xml:space="preserve"> concentration after treatment </w:t>
      </w:r>
      <w:r w:rsidR="005469CA">
        <w:t xml:space="preserve">in order to guarantee the possibility to </w:t>
      </w:r>
      <w:r w:rsidR="005469CA" w:rsidRPr="005469CA">
        <w:t>calculat</w:t>
      </w:r>
      <w:r w:rsidR="005469CA">
        <w:t>e the degree</w:t>
      </w:r>
      <w:r w:rsidR="005469CA" w:rsidRPr="005469CA">
        <w:t xml:space="preserve"> of attenuation. </w:t>
      </w:r>
      <w:r w:rsidR="0005213D">
        <w:t xml:space="preserve">Park et al. </w:t>
      </w:r>
      <w:r w:rsidR="00C41D76">
        <w:fldChar w:fldCharType="begin"/>
      </w:r>
      <w:r w:rsidR="00C41D76">
        <w:instrText xml:space="preserve"> ADDIN ZOTERO_ITEM CSL_CITATION {"citationID":"HlJg35LC","properties":{"formattedCitation":"[58]","plainCitation":"[58]","noteIndex":0},"citationItems":[{"id":1209,"uris":["http://zotero.org/users/local/8TMZWfC3/items/YHP6V4XB"],"itemData":{"id":1209,"type":"article-journal","abstract":"Ozone oxidation has been demonstrated to be an effective treatment process for the attenuation of trace organic compounds (TOrCs); however, predicting TOrC attenuation by ozone processes is challenging in wastewaters. Since ozone is rapidly consumed, determining the exposure times of ozone and hydroxyl radical proves to be difficult. As direct potable reuse schemes continue to gain traction, there is an increasing need for the development of real-time monitoring strategies for TOrC abatement in ozone oxidation processes. Hence, this study is primarily aimed at developing indicator and surrogate models for the prediction of TOrC attenuation by ozone oxidation. To this end, the second-order kinetic equations with a second-phase Rct value (ratio of hydroxyl radical exposure to molecular ozone exposure) were used to calculate comparative kinetics of TOrC attenuation and the reduction of indicator and spectroscopic surrogate parameters, including UV absorbance at 254 nm (UVA254) and total fluorescence (TF). The developed indicator model using meprobamate as an indicator compound and the surrogate models with UVA254 and TF exhibited good predictive power for the attenuation of 13 kinetically distinct TOrCs in five filtered and unfiltered wastewater effluents (R2 values &gt; 0.8). This study is intended to help provide a guideline for the implementation of indicator/surrogate models for real-time monitoring of TOrC abatement with ozone processes and integrate them into a regulatory framework in water reuse.","container-title":"Water Research","DOI":"10.1016/j.watres.2017.04.024","ISSN":"0043-1354","journalAbbreviation":"Water Research","page":"21-32","source":"ScienceDirect","title":"Predicting trace organic compound attenuation by ozone oxidation: Development of indicator and surrogate models","title-short":"Predicting trace organic compound attenuation by ozone oxidation","volume":"119","author":[{"family":"Park","given":"Minkyu"},{"family":"Anumol","given":"Tarun"},{"family":"Daniels","given":"Kevin D."},{"family":"Wu","given":"Shimin"},{"family":"Ziska","given":"Austin D."},{"family":"Snyder","given":"Shane A."}],"issued":{"date-parts":[["2017",8,1]]}}}],"schema":"https://github.com/citation-style-language/schema/raw/master/csl-citation.json"} </w:instrText>
      </w:r>
      <w:r w:rsidR="00C41D76">
        <w:fldChar w:fldCharType="separate"/>
      </w:r>
      <w:r w:rsidR="00C41D76" w:rsidRPr="00C41D76">
        <w:t>[58]</w:t>
      </w:r>
      <w:r w:rsidR="00C41D76">
        <w:fldChar w:fldCharType="end"/>
      </w:r>
      <w:r w:rsidR="0005213D">
        <w:t xml:space="preserve"> studied the removal of Trace Organic Compounds (TrOCs) </w:t>
      </w:r>
      <w:r w:rsidR="00C12D37">
        <w:t>during the</w:t>
      </w:r>
      <w:r w:rsidR="0005213D">
        <w:t xml:space="preserve"> ozonation </w:t>
      </w:r>
      <w:r w:rsidR="00C12D37">
        <w:t xml:space="preserve">of </w:t>
      </w:r>
      <w:r w:rsidR="0005213D">
        <w:t xml:space="preserve">water exiting a secondary treatment in a WWTP. </w:t>
      </w:r>
      <w:r w:rsidR="00C12D37">
        <w:t xml:space="preserve">They used </w:t>
      </w:r>
      <w:r w:rsidR="00C12D37" w:rsidRPr="00C12D37">
        <w:t xml:space="preserve">second-order kinetic equations to calculate comparative kinetics of </w:t>
      </w:r>
      <w:r w:rsidR="00C12D37">
        <w:t xml:space="preserve">the </w:t>
      </w:r>
      <w:r w:rsidR="00C12D37" w:rsidRPr="00C12D37">
        <w:t>attenuation</w:t>
      </w:r>
      <w:r w:rsidR="00C12D37">
        <w:t xml:space="preserve"> of 20 TrOCs</w:t>
      </w:r>
      <w:r w:rsidR="00C12D37" w:rsidRPr="00C12D37">
        <w:t xml:space="preserve"> based on the reduction of meprobamate as an indicator </w:t>
      </w:r>
      <w:r w:rsidR="009E06E7">
        <w:t xml:space="preserve">that resulted suitable to predict the TrOCs removal </w:t>
      </w:r>
      <w:r w:rsidR="009E06E7" w:rsidRPr="009E06E7">
        <w:t>structural similarities</w:t>
      </w:r>
      <w:r w:rsidR="009E06E7">
        <w:t xml:space="preserve"> among them</w:t>
      </w:r>
      <w:r w:rsidR="00C12D37" w:rsidRPr="009E06E7">
        <w:t>.</w:t>
      </w:r>
      <w:r w:rsidR="00C12D37">
        <w:t xml:space="preserve"> The analyses to obtain the data necessary for validating the model were obtained by means of HPLC-MS-MS. </w:t>
      </w:r>
    </w:p>
    <w:p w14:paraId="09BFF904" w14:textId="173DE09A" w:rsidR="00805C3C" w:rsidRPr="00EE2810" w:rsidRDefault="00805C3C" w:rsidP="00EE2810">
      <w:pPr>
        <w:spacing w:before="240" w:after="240" w:line="276" w:lineRule="auto"/>
        <w:ind w:firstLine="0"/>
      </w:pPr>
      <w:r>
        <w:t xml:space="preserve">Merel et al. </w:t>
      </w:r>
      <w:r w:rsidR="00C41D76">
        <w:fldChar w:fldCharType="begin"/>
      </w:r>
      <w:r w:rsidR="00C41D76">
        <w:instrText xml:space="preserve"> ADDIN ZOTERO_ITEM CSL_CITATION {"citationID":"gZAbI5RS","properties":{"formattedCitation":"[56]","plainCitation":"[56]","noteIndex":0},"citationItems":[{"id":1213,"uris":["http://zotero.org/users/local/8TMZWfC3/items/PGFJPZFF"],"itemData":{"id":1213,"type":"article-journal","abstract":"In response to water scarcity, strategies relying on multiple processes to turn wastewater effluent into potable water are being increasingly considered by many cities. In such context, the occurrence of contaminants as well as their fate during treatment processes is a major concern. Three analytical approaches where used to characterize the efficacy of UV and UV/H2O2 processes on a secondary wastewater effluent. The first analytical approach assessed bulk organic parameters or surrogates before and after treatment, while the second analytical approach measured the removal of specific indicator compounds. Sixteen trace organic contaminants were selected due to their relative high concentration and detection frequency over eight monitoring campaigns. While their removal rate ranges from approximately 10 to &gt;90%, some of these compounds can be used to gauge process efficacy (or failure). The third analytical approach assessed the fate of unknown contaminants through high-resolution time-of-flight (TOF) mass spectrometry with advanced data processing and demonstrated the occurrence of several thousand organic compounds in the water. A heat map clearly evidenced compounds as recalcitrant or transformed by the UV processes applied. In addition, those chemicals with similar fate were grouped together into clusters to identify new indicator compounds. In this manuscript, each approach is evaluated with advantages and disadvantages compared.","collection-title":"Advances in Analysis, Treatment Technologies, and Environmental Fate of Emerging Contaminants","container-title":"Journal of Hazardous Materials","DOI":"10.1016/j.jhazmat.2014.09.008","ISSN":"0304-3894","journalAbbreviation":"Journal of Hazardous Materials","page":"75-85","source":"ScienceDirect","title":"Application of surrogates, indicators, and high-resolution mass spectrometry to evaluate the efficacy of UV processes for attenuation of emerging contaminants in water","volume":"282","author":[{"family":"Merel","given":"Sylvain"},{"family":"Anumol","given":"Tarun"},{"family":"Park","given":"Minkyu"},{"family":"Snyder","given":"Shane A."}],"issued":{"date-parts":[["2015",1,23]]}}}],"schema":"https://github.com/citation-style-language/schema/raw/master/csl-citation.json"} </w:instrText>
      </w:r>
      <w:r w:rsidR="00C41D76">
        <w:fldChar w:fldCharType="separate"/>
      </w:r>
      <w:r w:rsidR="00C41D76" w:rsidRPr="00C41D76">
        <w:t>[56]</w:t>
      </w:r>
      <w:r w:rsidR="00C41D76">
        <w:fldChar w:fldCharType="end"/>
      </w:r>
      <w:r w:rsidR="00C41D76">
        <w:t xml:space="preserve"> </w:t>
      </w:r>
      <w:r w:rsidRPr="00805C3C">
        <w:t>characterize</w:t>
      </w:r>
      <w:r>
        <w:t>d</w:t>
      </w:r>
      <w:r w:rsidRPr="00805C3C">
        <w:t xml:space="preserve"> the efficacy of UV and UV/H</w:t>
      </w:r>
      <w:r w:rsidRPr="00805C3C">
        <w:rPr>
          <w:vertAlign w:val="subscript"/>
        </w:rPr>
        <w:t>2</w:t>
      </w:r>
      <w:r w:rsidRPr="00805C3C">
        <w:t>O</w:t>
      </w:r>
      <w:r w:rsidRPr="00805C3C">
        <w:rPr>
          <w:vertAlign w:val="subscript"/>
        </w:rPr>
        <w:t>2</w:t>
      </w:r>
      <w:r w:rsidRPr="00805C3C">
        <w:t xml:space="preserve"> processes </w:t>
      </w:r>
      <w:r>
        <w:t>to remove TrOCs from the effluent of</w:t>
      </w:r>
      <w:r w:rsidRPr="00805C3C">
        <w:t xml:space="preserve"> a secondary wastewater </w:t>
      </w:r>
      <w:r>
        <w:t>in a WWTP</w:t>
      </w:r>
      <w:r>
        <w:rPr>
          <w:rFonts w:ascii="Georgia" w:hAnsi="Georgia"/>
          <w:color w:val="1F1F1F"/>
        </w:rPr>
        <w:t>.</w:t>
      </w:r>
      <w:r w:rsidRPr="00805C3C">
        <w:t xml:space="preserve"> </w:t>
      </w:r>
      <w:r>
        <w:t xml:space="preserve">A </w:t>
      </w:r>
      <w:r w:rsidRPr="00805C3C">
        <w:t xml:space="preserve">comprehensive screening of unknown organic contaminants </w:t>
      </w:r>
      <w:r>
        <w:t xml:space="preserve">was performed by means of </w:t>
      </w:r>
      <w:r w:rsidRPr="00805C3C">
        <w:t xml:space="preserve">an offline solid-phase extraction followed by </w:t>
      </w:r>
      <w:r>
        <w:t>HP</w:t>
      </w:r>
      <w:r w:rsidRPr="00805C3C">
        <w:t>LC</w:t>
      </w:r>
      <w:r>
        <w:t>-</w:t>
      </w:r>
      <w:r w:rsidRPr="00805C3C">
        <w:t xml:space="preserve">TOF. </w:t>
      </w:r>
      <w:r w:rsidR="00EE2810">
        <w:t>T</w:t>
      </w:r>
      <w:r w:rsidR="00EE2810" w:rsidRPr="00EE2810">
        <w:t xml:space="preserve">he interpretation of total ion chromatograms (TIC) </w:t>
      </w:r>
      <w:r w:rsidR="00EE2810">
        <w:t>required the use of a d</w:t>
      </w:r>
      <w:r w:rsidR="00EE2810" w:rsidRPr="00EE2810">
        <w:t>econvolution</w:t>
      </w:r>
      <w:r w:rsidR="00EE2810">
        <w:t xml:space="preserve"> </w:t>
      </w:r>
      <w:r w:rsidR="00EE2810" w:rsidRPr="00EE2810">
        <w:t>algorithm</w:t>
      </w:r>
      <w:r w:rsidR="00EE2810">
        <w:t xml:space="preserve"> that allowed the isolation of </w:t>
      </w:r>
      <w:r w:rsidR="00EE2810" w:rsidRPr="00EE2810">
        <w:t>16,778 potential compounds from 18 chromatograms</w:t>
      </w:r>
      <w:r w:rsidR="00EE2810">
        <w:t xml:space="preserve">. A further statistical “cleaning” reduced the data-set </w:t>
      </w:r>
      <w:r w:rsidR="00EE2810" w:rsidRPr="00EE2810">
        <w:t>to 11,804 compounds</w:t>
      </w:r>
      <w:r w:rsidR="00EE2810">
        <w:t xml:space="preserve">; </w:t>
      </w:r>
      <w:r w:rsidR="00EE2810" w:rsidRPr="00EE2810">
        <w:t>the samples were</w:t>
      </w:r>
      <w:r w:rsidR="00EE2810">
        <w:t xml:space="preserve"> successively </w:t>
      </w:r>
      <w:r w:rsidR="00EE2810" w:rsidRPr="00EE2810">
        <w:t xml:space="preserve">compared </w:t>
      </w:r>
      <w:r w:rsidR="00EE2810">
        <w:t>with a heatmap, where t</w:t>
      </w:r>
      <w:r w:rsidR="00EE2810" w:rsidRPr="00EE2810">
        <w:t xml:space="preserve">he shift in color </w:t>
      </w:r>
      <w:r w:rsidR="00EE2810">
        <w:t xml:space="preserve">helps to asses </w:t>
      </w:r>
      <w:r w:rsidR="00EE2810" w:rsidRPr="00EE2810">
        <w:t xml:space="preserve">the fate of each contaminant </w:t>
      </w:r>
      <w:r w:rsidR="00EE2810">
        <w:t>upon</w:t>
      </w:r>
      <w:r w:rsidR="00EE2810" w:rsidRPr="00EE2810">
        <w:t xml:space="preserve"> the treatment. </w:t>
      </w:r>
      <w:r w:rsidR="00EE2810">
        <w:t xml:space="preserve">Based on the </w:t>
      </w:r>
      <w:r w:rsidR="00EE2810" w:rsidRPr="00EE2810">
        <w:t>similar color shift</w:t>
      </w:r>
      <w:r w:rsidR="00EE2810">
        <w:t xml:space="preserve">, the compounds revealed the presence of different </w:t>
      </w:r>
      <w:r w:rsidR="00EE2810" w:rsidRPr="00EE2810">
        <w:t>compounds that are attenuated, resilient, or formed (including intermediates)</w:t>
      </w:r>
      <w:r w:rsidR="00B43778">
        <w:t xml:space="preserve"> by the treatment</w:t>
      </w:r>
      <w:r w:rsidR="00EE2810" w:rsidRPr="00EE2810">
        <w:t xml:space="preserve">. </w:t>
      </w:r>
      <w:r w:rsidR="00B43778">
        <w:t xml:space="preserve">In each </w:t>
      </w:r>
      <w:r w:rsidR="00EE2810" w:rsidRPr="00EE2810">
        <w:t>cluster</w:t>
      </w:r>
      <w:r w:rsidR="00B43778">
        <w:t xml:space="preserve"> </w:t>
      </w:r>
      <w:r w:rsidR="00B43778" w:rsidRPr="00EE2810">
        <w:t>suitable indicator compounds</w:t>
      </w:r>
      <w:r w:rsidR="00B43778">
        <w:t xml:space="preserve"> </w:t>
      </w:r>
      <w:r w:rsidR="00EE2810" w:rsidRPr="00EE2810">
        <w:t>could represent the larger amount of chemical possible</w:t>
      </w:r>
      <w:r w:rsidR="00B43778">
        <w:t xml:space="preserve"> (e.g. </w:t>
      </w:r>
      <w:r w:rsidR="00EE2810" w:rsidRPr="00EE2810">
        <w:t xml:space="preserve">lamotrigine </w:t>
      </w:r>
      <w:r w:rsidR="00B43778">
        <w:t xml:space="preserve">was revealed as a suitable </w:t>
      </w:r>
      <w:r w:rsidR="00EE2810" w:rsidRPr="00EE2810">
        <w:t>indicator for 1644 other chemicals</w:t>
      </w:r>
      <w:r w:rsidR="00B43778">
        <w:t>).</w:t>
      </w:r>
    </w:p>
    <w:p w14:paraId="1F705834" w14:textId="384940D6" w:rsidR="00B91DA2" w:rsidRDefault="00EF4474" w:rsidP="00A86341">
      <w:pPr>
        <w:spacing w:before="240" w:after="240" w:line="276" w:lineRule="auto"/>
        <w:ind w:firstLine="0"/>
      </w:pPr>
      <w:r>
        <w:lastRenderedPageBreak/>
        <w:t>A surrogate method instead is a quantifiable parameter which can serve as a performance measure of treatment processes that</w:t>
      </w:r>
      <w:r w:rsidR="000A372E">
        <w:t xml:space="preserve"> </w:t>
      </w:r>
      <w:r>
        <w:t xml:space="preserve">relates to the removal of specific contaminants. </w:t>
      </w:r>
      <w:r w:rsidR="000A372E">
        <w:t>Among s</w:t>
      </w:r>
      <w:r>
        <w:t>urrogate parameters</w:t>
      </w:r>
      <w:r w:rsidR="000A372E">
        <w:t xml:space="preserve"> are gaining momentum fluorescence </w:t>
      </w:r>
      <w:r>
        <w:t>excitation emission matrices</w:t>
      </w:r>
      <w:r w:rsidR="000A372E">
        <w:t xml:space="preserve"> (</w:t>
      </w:r>
      <w:r>
        <w:t>EEMs)</w:t>
      </w:r>
      <w:r w:rsidR="000A372E">
        <w:t xml:space="preserve"> coupled to PARAFAC data decomposition </w:t>
      </w:r>
      <w:r w:rsidR="00AE2DE8">
        <w:fldChar w:fldCharType="begin"/>
      </w:r>
      <w:r w:rsidR="00A51550">
        <w:instrText xml:space="preserve"> ADDIN ZOTERO_ITEM CSL_CITATION {"citationID":"yvR4L3hU","properties":{"formattedCitation":"[60\\uc0\\u8211{}62]","plainCitation":"[60–62]","noteIndex":0},"citationItems":[{"id":1220,"uris":["http://zotero.org/users/local/8TMZWfC3/items/22B88YQT"],"itemData":{"id":1220,"type":"article-journal","abstract":"For the first time, a simple and environmentally friendly third-order/four-way calibration was applied for the simultaneous determination of five heavy-polycyclic aromatic hydrocarbons (PAHs) in interfering environments. The kinetic evolution of the Fenton degradation of benzo[a]pyrene, dibenz[a,h]anthracene, benzo[b]fluoranthene, benzo[k]fluoranthene and benz[a]anthracene was followed by recording full excitation-emission fluorescence matrices (EEFMs) of the samples at different reaction times, obtaining third-order EEFM-kinetic (EEFM-K) data. The sensitivity of the method was increased by carrying out the reaction in the presence of methyl-β-cyclodextrin. The four-way parallel factor (PARAFAC) algorithm, which was used for data processing, exploits the second-order advantage, allowing analyte concentrations to be estimated even in the presence of an uncalibrated fluorescent background. The clear superiority of the applied approach in comparison with second-order/three-way calibration performed with unreacting EEFMs is demonstrated, using two sets of samples with foreign compounds with particular spectral profiles. In one of the latter sets, the existence of a third-order advantage was explored and discussed. The feasibility to directly determine parts-per-trillion concentration levels of PAHs after a very simple solid-phase extraction with C18 membranes is established with natural water samples containing uncalibrated constituents.","container-title":"Talanta","DOI":"10.1016/j.talanta.2016.12.030","ISSN":"0039-9140","journalAbbreviation":"Talanta","page":"52-63","source":"ScienceDirect","title":"Excitation-emission fluorescence-kinetic data obtained by Fenton degradation. Determination of heavy-polycyclic aromatic hydrocarbons by four-way parallel factor analysis","volume":"165","author":[{"family":"Carabajal","given":"Maira D."},{"family":"Arancibia","given":"Juan A."},{"family":"Escandar","given":"Graciela M."}],"issued":{"date-parts":[["2017",4,1]]}}},{"id":1223,"uris":["http://zotero.org/users/local/8TMZWfC3/items/K5R9TKEK"],"itemData":{"id":1223,"type":"article-journal","abstract":"A methodology combining experimental design methodology, liquid chromatography, excitation emission matrixes (EEM) and bioassays has been applied to study the performance of O3 and O3/UVA-vis in the treatment of a mixture of eight phenolic pollutants. An experimental design methodology based on Doehlert matrixes was employed to determine the effect of pH (between 3 and 12), ozone dosage (02–1.0 g/h) and initial concentration of the pollutants (1–6 mg/L each). The following conclusions were obtained: a) acidic pH and low O3 dosage resulted in an inefficient process, b) increasing pH and O3 amount produced an enhancement of the reaction, and c) interaction of basic pH and high amounts of ozone decreased the efficiency of the process. The combination of O3/UVA-vis was able to enhance ozonation in those experimental regions were this reagent was less efficient, namely low pH and low ozone dosages. The application of EEM-PARAFAC showed four components, corresponding to the parent pollutants and three different groups of reaction product and its evolution with time. Bioassys indicated important detoxification (from 100% to less than 30% after 1 min of treatment with initial pollutant concentration of 6 mg/L, pH = 9 and ozone dosage of 0.8 g/h) according to the studied methods (D. magna and P. subcapitata). Also estrogenic activity and dioxin-like behavior were significantly decreased.","container-title":"Chemosphere","DOI":"10.1016/j.chemosphere.2019.01.015","ISSN":"0045-6535","journalAbbreviation":"Chemosphere","page":"114-123","source":"ScienceDirect","title":"A new methodology to assess the performance of AOPs in complex samples: Application to the degradation of phenolic compounds by O3 and O3/UV-A–Vis","title-short":"A new methodology to assess the performance of AOPs in complex samples","volume":"222","author":[{"family":"García-Ballesteros","given":"S."},{"family":"Mora","given":"M."},{"family":"Vicente","given":"R."},{"family":"Vercher","given":"R. F."},{"family":"Sabater","given":"C."},{"family":"Castillo","given":"M. A."},{"family":"Amat","given":"A. M."},{"family":"Arques","given":"A."}],"issued":{"date-parts":[["2019",5,1]]}}},{"id":1226,"uris":["http://zotero.org/users/local/8TMZWfC3/items/T4233VGG"],"itemData":{"id":1226,"type":"article-journal","abstract":"In this work, fluorescence excitation–emission matrices (EEMs), in combination with the chemometric tool and parallel factor analysis (PARAFAC), have been proposed as an unexplored methodology to follow the removal of the fluorescent contaminants of emerging concern, fluoroquinolones (FQs). Ofloxacin, enrofloxacin, and sarafloxacin were degraded by different advanced oxidation processes employing simulated sunlight (hν): photolysis, H2O2/hν, and photo-Fenton. All experiments were performed in ultrapure water at three different pH values: 2.8, 5.0, and 7.0. With the obvious advantage of multivariate analysis methods, EEM-PARAFAC allowed the monitoring of degradation from the overall substances (original and formed ones) through simultaneous, rapid, and cost-efficient fluorescence spectroscopy determinations. A five-component model was found to best fit the experimental data, allowing us to (i) describe the decay of the fluorescence signals of the three parent pollutants, (ii) follow the kinetics profile of FQ-like byproducts with similar EEM fingerprints than the original FQs, and (iii) observe the formation of two families of reaction intermediates with completely different EEMs. Results were finally correlated with high pressure liquid chromatography, total organic carbon, and toxicity tests on Escherichia coli, showing good agreement with all the studied techniques.","container-title":"ACS Omega","DOI":"10.1021/acsomega.0c05370","issue":"7","journalAbbreviation":"ACS Omega","note":"publisher: American Chemical Society","page":"4663-4671","source":"ACS Publications","title":"Fluorescence Spectroscopy and Chemometrics: A Simple and Easy Way for the Monitoring of Fluoroquinolone Mixture Degradation","title-short":"Fluorescence Spectroscopy and Chemometrics","volume":"6","author":[{"family":"Sciscenko","given":"Iván"},{"family":"Thị Mỹ Hắng","given":"Hoàng"},{"family":"Escudero-Oñate","given":"Carlos"},{"family":"Oller","given":"Isabel"},{"family":"Arques","given":"Antonio"}],"issued":{"date-parts":[["2021",2,23]]}}}],"schema":"https://github.com/citation-style-language/schema/raw/master/csl-citation.json"} </w:instrText>
      </w:r>
      <w:r w:rsidR="00AE2DE8">
        <w:fldChar w:fldCharType="separate"/>
      </w:r>
      <w:r w:rsidR="005C324C" w:rsidRPr="005C324C">
        <w:t>[60–62]</w:t>
      </w:r>
      <w:r w:rsidR="00AE2DE8">
        <w:fldChar w:fldCharType="end"/>
      </w:r>
      <w:r w:rsidR="00A86341">
        <w:t>.</w:t>
      </w:r>
    </w:p>
    <w:p w14:paraId="33F49769" w14:textId="77777777" w:rsidR="00A77221" w:rsidRDefault="00A77221" w:rsidP="00A86341">
      <w:pPr>
        <w:spacing w:before="240" w:after="240" w:line="276" w:lineRule="auto"/>
        <w:ind w:firstLine="0"/>
      </w:pPr>
    </w:p>
    <w:p w14:paraId="49616CCA" w14:textId="77777777" w:rsidR="00A77221" w:rsidRDefault="00A77221" w:rsidP="00A86341">
      <w:pPr>
        <w:spacing w:before="240" w:after="240" w:line="276" w:lineRule="auto"/>
        <w:ind w:firstLine="0"/>
      </w:pPr>
    </w:p>
    <w:p w14:paraId="39974C76" w14:textId="77777777" w:rsidR="00A77221" w:rsidRDefault="00A77221" w:rsidP="00A77221">
      <w:pPr>
        <w:pStyle w:val="Titolo1"/>
        <w:numPr>
          <w:ilvl w:val="0"/>
          <w:numId w:val="0"/>
        </w:numPr>
        <w:ind w:left="720"/>
      </w:pPr>
      <w:r>
        <w:t>4.        Parallel factor analysis (PARAFAC)</w:t>
      </w:r>
    </w:p>
    <w:p w14:paraId="7C5D24DA" w14:textId="77777777" w:rsidR="00A77221" w:rsidRDefault="00A77221" w:rsidP="00A77221">
      <w:pPr>
        <w:pStyle w:val="Titolo2"/>
        <w:numPr>
          <w:ilvl w:val="0"/>
          <w:numId w:val="0"/>
        </w:numPr>
        <w:ind w:left="1440" w:hanging="720"/>
      </w:pPr>
      <w:bookmarkStart w:id="5" w:name="_heading=h.m7fjf485in2z" w:colFirst="0" w:colLast="0"/>
      <w:bookmarkEnd w:id="5"/>
      <w:r>
        <w:t>4.1      Introduction</w:t>
      </w:r>
    </w:p>
    <w:p w14:paraId="1C5BC52B" w14:textId="3EAA4B3A" w:rsidR="00A77221" w:rsidRDefault="00A77221" w:rsidP="00A77221">
      <w:pPr>
        <w:spacing w:before="240" w:after="240"/>
        <w:ind w:firstLine="0"/>
      </w:pPr>
      <w:r>
        <w:t>The presence of dissolved organic matter (DOM) in water is a key parameter to be considered when evaluating treatment technologies efficiency. DOM is defined as the mixture of complex macromolecules coming from the decomposition and excretion from algae, plants and animals</w:t>
      </w:r>
      <w:r w:rsidR="001E01EC">
        <w:t xml:space="preserve">. Regarding </w:t>
      </w:r>
      <w:r>
        <w:t>drinking- or waste-water treatment plants (DWTP and WWTP, respectively), the presence of DOM affects the current discharge standards as well as it also presents significant challenges, such as microorganism proliferation, membrane fouling and hazardous disinfection byproducts (DBPs) formation upon chlorination</w:t>
      </w:r>
      <w:r w:rsidR="001E01EC">
        <w:t xml:space="preserve"> are strictly related to the presence of DOM</w:t>
      </w:r>
      <w:r>
        <w:t xml:space="preserve">. Therefore, these facilities must know very well the types and amounts of DOM within their treatment lines </w:t>
      </w:r>
      <w:r w:rsidR="00AE2DE8">
        <w:fldChar w:fldCharType="begin"/>
      </w:r>
      <w:r w:rsidR="00A51550">
        <w:instrText xml:space="preserve"> ADDIN ZOTERO_ITEM CSL_CITATION {"citationID":"KOf3u907","properties":{"formattedCitation":"[63,64]","plainCitation":"[63,64]","noteIndex":0},"citationItems":[{"id":1229,"uris":["http://zotero.org/users/local/8TMZWfC3/items/M7FM9PWW"],"itemData":{"id":1229,"type":"article-journal","abstract":"With the development of analytical technology, more emerging disinfection by-products (DBPs) have been identified and detected. Among them, aromatic DBPs, especially heterocyclic DBPs, possess relatively high toxicity compared with regulated DBPs, which has been proved by bioassays. Thus, the occurrence of aromatic DBPs is of great concern. This article provides a comprehensive review and summary of the characteristics, occurrence, transformation pathways and control of aromatic DBPs. Aromatic DBPs are frequently detected in drinking water, wastewater and swimming pool water, among which swimming pool water illustrates highest concentration. Considering the relatively high concentration and toxicity, halophenylacetonitriles (HPANs) and halonitrophenols (HNPs) are more likely to be toxicity driver among frequently detected phenyl DBPs. Aromatic DBPs can be viewed as important intermediate products of dissolved organic matter (DOM) during chlor(am)ination. High molecular weight DOM could convert to aromatic DBPs via direct or indirect pathways, and they can further decompose into regulated aliphatic DBPs such as trihalomethanes (THMs) and haloacetic acids (HAAs) by ring opening and side chain cleavage. Even though no single DBPs control strategy is efficient to all aromatic DBPs, the decrease of overall toxicity may be achieved by several methods including absorption, solar radiation and boiling. By systematically considering aromatic DBPs and aliphatic DBPs, a better trade-off can be made to reduce health risk induced by DBPs.","container-title":"Water Research","DOI":"10.1016/j.watres.2020.116076","ISSN":"0043-1354","journalAbbreviation":"Water Research","page":"116076","source":"ScienceDirect","title":"The occurrence, characteristics, transformation and control of aromatic disinfection by-products: A review","title-short":"The occurrence, characteristics, transformation and control of aromatic disinfection by-products","volume":"184","author":[{"family":"Liu","given":"Xiaoyu"},{"family":"Chen","given":"Li"},{"family":"Yang","given":"Mengting"},{"family":"Tan","given":"Chaoqun"},{"family":"Chu","given":"Wenhai"}],"issued":{"date-parts":[["2020",10,1]]}}},{"id":1228,"uris":["http://zotero.org/users/local/8TMZWfC3/items/R9KS8NKY"],"itemData":{"id":1228,"type":"article-journal","abstract":"Micropollutants are emerging as a new challenge to the scientific community. This review provides a summary of the recent occurrence of micropollutants in the aquatic environment including sewage, surface water, groundwater and drinking water. The discharge of treated effluent from WWTPs is a major pathway for the introduction of micropollutants to surface water. WWTPs act as primary barriers against the spread of micropollutants. WWTP removal efficiency of the selected micropollutants in 14 countries/regions depicts compound-specific variation in removal, ranging from 12.5 to 100%. Advanced treatment processes, such as activated carbon adsorption, advanced oxidation processes, nanofiltration, reverse osmosis, and membrane bioreactors can achieve higher and more consistent micropollutant removal. However, regardless of what technology is employed, the removal of micropollutants depends on physico-chemical properties of micropollutants and treatment conditions. The evaluation of micropollutant removal from municipal wastewater should cover a series of aspects from sources to end uses. After the release of micropollutants, a better understanding and modeling of their fate in surface water is essential for effectively predicting their impacts on the receiving environment.","container-title":"Science of The Total Environment","DOI":"10.1016/j.scitotenv.2013.12.065","ISSN":"0048-9697","journalAbbreviation":"Science of The Total Environment","page":"619-641","source":"ScienceDirect","title":"A review on the occurrence of micropollutants in the aquatic environment and their fate and removal during wastewater treatment","volume":"473-474","author":[{"family":"Luo","given":"Yunlong"},{"family":"Guo","given":"Wenshan"},{"family":"Ngo","given":"Huu Hao"},{"family":"Nghiem","given":"Long Duc"},{"family":"Hai","given":"Faisal Ibney"},{"family":"Zhang","given":"Jian"},{"family":"Liang","given":"Shuang"},{"family":"Wang","given":"Xiaochang C."}],"issued":{"date-parts":[["2014",3,1]]}}}],"schema":"https://github.com/citation-style-language/schema/raw/master/csl-citation.json"} </w:instrText>
      </w:r>
      <w:r w:rsidR="00AE2DE8">
        <w:fldChar w:fldCharType="separate"/>
      </w:r>
      <w:r w:rsidR="005C324C" w:rsidRPr="005C324C">
        <w:t>[63,64]</w:t>
      </w:r>
      <w:r w:rsidR="00AE2DE8">
        <w:fldChar w:fldCharType="end"/>
      </w:r>
      <w:r>
        <w:t>.</w:t>
      </w:r>
    </w:p>
    <w:p w14:paraId="07A7D3C6" w14:textId="5348063F" w:rsidR="00A77221" w:rsidRDefault="00A77221" w:rsidP="00A77221">
      <w:pPr>
        <w:spacing w:before="240" w:after="240"/>
        <w:ind w:firstLine="0"/>
      </w:pPr>
      <w:r>
        <w:t>The composition of DOM depends on countless factors, resulting in a wide range of sizes, charge and hydrophobicity. There is a consensus, however, on common fractions normally constituting DOM in natural water, being</w:t>
      </w:r>
      <w:r w:rsidR="001E01EC">
        <w:t xml:space="preserve"> </w:t>
      </w:r>
      <w:r>
        <w:t xml:space="preserve">humic and fulvic acids, proteins, carbohydrates, and other aromatic or aliphatic organic compounds </w:t>
      </w:r>
      <w:r w:rsidR="001E01EC">
        <w:t>the most representative families of compounds forming the DOM</w:t>
      </w:r>
      <w:r w:rsidR="00E27A91">
        <w:t xml:space="preserve"> </w:t>
      </w:r>
      <w:r w:rsidR="00AE2DE8">
        <w:fldChar w:fldCharType="begin"/>
      </w:r>
      <w:r w:rsidR="00A51550">
        <w:instrText xml:space="preserve"> ADDIN ZOTERO_ITEM CSL_CITATION {"citationID":"giKVHZaV","properties":{"formattedCitation":"[65]","plainCitation":"[65]","noteIndex":0},"citationItems":[{"id":310,"uris":["http://zotero.org/users/local/8TMZWfC3/items/WNV8TZHA"],"itemData":{"id":310,"type":"article-journal","abstract":"Understanding the unknown structures is key to better treatment of drinking water.","container-title":"Environmental Science &amp; Technology","DOI":"10.1021/es032333c","ISSN":"0013-936X","issue":"1","journalAbbreviation":"Environ. Sci. Technol.","note":"number: 1\npublisher: American Chemical Society","page":"18A-26A","source":"ACS Publications","title":"Peer Reviewed: Characterizing Aquatic Dissolved Organic Matter","title-short":"Peer Reviewed","volume":"37","author":[{"family":"Leenheer","given":"Jerry A."},{"family":"Croué","given":"Jean-Philippe"}],"issued":{"date-parts":[["2003",1,1]]}}}],"schema":"https://github.com/citation-style-language/schema/raw/master/csl-citation.json"} </w:instrText>
      </w:r>
      <w:r w:rsidR="00AE2DE8">
        <w:fldChar w:fldCharType="separate"/>
      </w:r>
      <w:r w:rsidR="005C324C" w:rsidRPr="005C324C">
        <w:t>[65]</w:t>
      </w:r>
      <w:r w:rsidR="00AE2DE8">
        <w:fldChar w:fldCharType="end"/>
      </w:r>
      <w:r>
        <w:t>.</w:t>
      </w:r>
    </w:p>
    <w:p w14:paraId="4C73FB8A" w14:textId="6F52D753" w:rsidR="00A77221" w:rsidRDefault="001E01EC" w:rsidP="00A77221">
      <w:pPr>
        <w:spacing w:before="240" w:after="240"/>
        <w:ind w:firstLine="0"/>
      </w:pPr>
      <w:r>
        <w:t xml:space="preserve">It is </w:t>
      </w:r>
      <w:r w:rsidR="00A77221">
        <w:t>mostly due to the complexity of DOM as a whole that, up to date, its characterization is still challenging</w:t>
      </w:r>
      <w:r>
        <w:t>. M</w:t>
      </w:r>
      <w:r w:rsidR="00A77221">
        <w:t xml:space="preserve">ost useful techniques including size-exclusion chromatography to isolate the different types of DOM, and FTIR, NMR and/or mass spectrometry for its </w:t>
      </w:r>
      <w:r>
        <w:t xml:space="preserve">molecular </w:t>
      </w:r>
      <w:r w:rsidR="00A77221">
        <w:t xml:space="preserve">characterization </w:t>
      </w:r>
      <w:r w:rsidR="00AE2DE8">
        <w:fldChar w:fldCharType="begin"/>
      </w:r>
      <w:r w:rsidR="00A51550">
        <w:instrText xml:space="preserve"> ADDIN ZOTERO_ITEM CSL_CITATION {"citationID":"8yxQnjKG","properties":{"formattedCitation":"[66]","plainCitation":"[66]","noteIndex":0},"citationItems":[{"id":1235,"uris":["http://zotero.org/users/local/8TMZWfC3/items/8ZT8TG8S"],"itemData":{"id":1235,"type":"article-journal","container-title":"Comptes Rendus. Géoscience","DOI":"10.1016/j.crte.2014.02.005","ISSN":"1778-7025","issue":"3-4","language":"fr","page":"53-63","source":"comptes-rendus.academie-sciences.fr","title":"Characterizing the molecular structure of organic matter from natural environments: An analytical challenge","title-short":"Characterizing the molecular structure of organic matter from natural environments","volume":"346","author":[{"family":"Derenne","given":"Sylvie"},{"family":"Tu","given":"Thanh Thuy Nguyen"}],"issued":{"date-parts":[["2014"]]}}}],"schema":"https://github.com/citation-style-language/schema/raw/master/csl-citation.json"} </w:instrText>
      </w:r>
      <w:r w:rsidR="00AE2DE8">
        <w:fldChar w:fldCharType="separate"/>
      </w:r>
      <w:r w:rsidR="005C324C" w:rsidRPr="005C324C">
        <w:t>[66]</w:t>
      </w:r>
      <w:r w:rsidR="00AE2DE8">
        <w:fldChar w:fldCharType="end"/>
      </w:r>
      <w:r w:rsidR="00A77221">
        <w:t xml:space="preserve">. Though, none of the mentioned techniques could be useful in terms of the frequent (or even continuous) DOM monitoring that a WWTP require. For this reason, mostly employed methods for water quality analysis are </w:t>
      </w:r>
      <w:r w:rsidR="00211D84">
        <w:t xml:space="preserve">spectroscopic </w:t>
      </w:r>
      <w:r w:rsidR="00A77221">
        <w:t>measurement</w:t>
      </w:r>
      <w:r w:rsidR="00211D84">
        <w:t>s</w:t>
      </w:r>
      <w:r w:rsidR="00A77221">
        <w:t xml:space="preserve"> (</w:t>
      </w:r>
      <w:r w:rsidR="00211D84">
        <w:t xml:space="preserve">e.g., measurement of the absorbance </w:t>
      </w:r>
      <w:r w:rsidR="00A77221">
        <w:t>at 254 nm), total organic carbon, and fluorescence spectroscopy, which are compl</w:t>
      </w:r>
      <w:r w:rsidR="00211D84">
        <w:t>e</w:t>
      </w:r>
      <w:r w:rsidR="00A77221">
        <w:t>mentary between them, economic and easy to use</w:t>
      </w:r>
      <w:r w:rsidR="004F22BB">
        <w:t xml:space="preserve"> </w:t>
      </w:r>
      <w:r w:rsidR="00AE2DE8">
        <w:fldChar w:fldCharType="begin"/>
      </w:r>
      <w:r w:rsidR="00A51550">
        <w:instrText xml:space="preserve"> ADDIN ZOTERO_ITEM CSL_CITATION {"citationID":"BeoJynnv","properties":{"formattedCitation":"[67]","plainCitation":"[67]","noteIndex":0},"citationItems":[{"id":29,"uris":["http://zotero.org/users/local/8TMZWfC3/items/PTTMXFCJ"],"itemData":{"id":29,"type":"article-journal","abstract":"Wetlands are recognized for the importance of their hydrological function and biodiversity, and there is now a consensus to protect and restore them as well as to complete the knowledge on their functioning. Here, we studied the dissolved organic matter (DOM) of a wetland composed of the Auzon cut-off meander, the Allier River, the alluvial fluvial flow, and watershed aquifer. Water was sampled at different locations, in spring, summer, and autumn. For each sample, DOM was characterized for its chemical and optical properties and its photooxidant capacity through its ability to generate DOM triplet excited states (3DOM*) and singlet oxygen upon simulated solar light exposure. UV-visible and fluorescence indices revealed that DOM was mainly microbial-derived whatever the sampling sites with spatial and temporal variations in terms of aromaticity (5.5–22%), specific UV absorbance at 254 nm (0.28–2.82 L m−1mgC−1), ratio of the absorbance at 254 and 365 nm (4.6–10.8), fluorescence index (1.35–166), and biological index (0.812–2.25). All the samples generated 3DOM* and singlet oxygen, rates of formation of which showed parallel variations. Using principal component analysis (PCA), we found positive correlations between the sensitizing properties of DOM samples and parameters associated to the abundance of low molecular weight and low absorbing chromophores. Moreover, the parameter variation across the wetland reinforced the hydrological movements observed in a previous study, suggesting that these parameters could be used as water connection tracers.","container-title":"Environmental Science and Pollution Research","DOI":"10.1007/s11356-020-09005-7","ISSN":"1614-7499","issue":"21","journalAbbreviation":"Environ Sci Pollut Res","language":"en","note":"number: 21","page":"26385-26394","source":"Springer Link","title":"Study of the dissolved organic matter (DOM) of the Auzon cut-off meander (Allier River, France) by spectral and photoreactivity approaches","volume":"27","author":[{"family":"Palma","given":"Davide"},{"family":"Sleiman","given":"Mohamad"},{"family":"Voldoire","given":"Olivier"},{"family":"Beauger","given":"Aude"},{"family":"Parlanti","given":"Edith"},{"family":"Richard","given":"Claire"}],"issued":{"date-parts":[["2020",7,1]]}}}],"schema":"https://github.com/citation-style-language/schema/raw/master/csl-citation.json"} </w:instrText>
      </w:r>
      <w:r w:rsidR="00AE2DE8">
        <w:fldChar w:fldCharType="separate"/>
      </w:r>
      <w:r w:rsidR="005C324C" w:rsidRPr="005C324C">
        <w:t>[67]</w:t>
      </w:r>
      <w:r w:rsidR="00AE2DE8">
        <w:fldChar w:fldCharType="end"/>
      </w:r>
      <w:r w:rsidR="004F22BB">
        <w:t>.</w:t>
      </w:r>
    </w:p>
    <w:p w14:paraId="1885C835" w14:textId="2691C30A" w:rsidR="00A77221" w:rsidRDefault="00A77221" w:rsidP="00A77221">
      <w:pPr>
        <w:spacing w:before="240" w:after="240"/>
        <w:ind w:firstLine="0"/>
      </w:pPr>
      <w:r>
        <w:t xml:space="preserve">Fluorescence spectroscopy, due to its high sensitivity, good selectivity, and non-destructive nature, is frequently employed for DOM characterization in water and wastewater treatment systems </w:t>
      </w:r>
      <w:r w:rsidR="00AE2DE8">
        <w:fldChar w:fldCharType="begin"/>
      </w:r>
      <w:r w:rsidR="00A51550">
        <w:instrText xml:space="preserve"> ADDIN ZOTERO_ITEM CSL_CITATION {"citationID":"d92SIiV4","properties":{"formattedCitation":"[68]","plainCitation":"[68]","noteIndex":0},"citationItems":[{"id":1237,"uris":["http://zotero.org/users/local/8TMZWfC3/items/22TX3UTP"],"itemData":{"id":1237,"type":"article-journal","abstract":"Dissolved organic matter (DOM) is a complex pool of compounds with a key role in the global carbon cycle. To understand its role in natural and engineered systems, efficient approaches are necessary for tracking DOM quality and quantity. Fluorescence spectroscopy combined with parallel factor analysis (PARAFAC) is very widely used to identify and quantify different fractions of DOM as proxies of DOM source, concentration and biogeochemical processing. A major limitation of the PARAFAC approach is the requirement for a large data set containing many variable samples in which the fractions vary independently. This severely curtails the possibilities to study fluorescence composition and behavior in small or unique datasets. Herein, we present a simple and inexpensive experimental procedure that makes it possible to mathematically decompose a small dataset containing only highly-correlated fluorescent fractions. The approach, which uses widely-available commercial extraction sorbents and previously established protocols to expand the original dataset and inject the missing chemical variability, can be widely implemented at low cost. A demonstration of the procedure shows how a robust six-component PARAFAC model can be extracted from even a river-water dataset with only five bulk samples. Widespread adoption of the procedure for analyzing small fluorescence datasets is needed to confirm the suspected ubiquity of certain DOM fluorescence fractions and to create a shared inventory of ubiquitous components. Such an inventory could greatly simplify and improve the use of fluorescence as a tool to investigate biogeochemical processing of DOM in diverse water sources.","container-title":"Water Research","DOI":"10.1016/j.watres.2020.116730","ISSN":"0043-1354","journalAbbreviation":"Water Research","page":"116730","source":"ScienceDirect","title":"A simple method to isolate fluorescence spectra from small dissolved organic matter datasets","volume":"190","author":[{"family":"Wünsch","given":"Urban J."},{"family":"Murphy","given":"Kathleen"}],"issued":{"date-parts":[["2021",2,15]]}}}],"schema":"https://github.com/citation-style-language/schema/raw/master/csl-citation.json"} </w:instrText>
      </w:r>
      <w:r w:rsidR="00AE2DE8">
        <w:fldChar w:fldCharType="separate"/>
      </w:r>
      <w:r w:rsidR="005C324C" w:rsidRPr="005C324C">
        <w:t>[68]</w:t>
      </w:r>
      <w:r w:rsidR="00AE2DE8">
        <w:fldChar w:fldCharType="end"/>
      </w:r>
      <w:r>
        <w:t xml:space="preserve">. Three dimensional plots, known as excitation-emission-matrix (EEM), can offer outstanding information about the fluorescent organic matter present in a water sample. Basically, to obtain an EEM, the sample is excited with multiple excitation wavelengths, measuring the corresponding emission spectra at each excitation wavelength. Therefore, </w:t>
      </w:r>
      <w:r w:rsidR="00211D84">
        <w:t xml:space="preserve">the analysis of </w:t>
      </w:r>
      <w:r>
        <w:t xml:space="preserve">an EEM allows the </w:t>
      </w:r>
      <w:r w:rsidR="00211D84">
        <w:t>visualization</w:t>
      </w:r>
      <w:r>
        <w:t xml:space="preserve"> of fluorophores within a mixture. Noteworthy, the interpretation of an EEM can be challenging. Up to date, several multivariate analysis methods, such as principal component analysis, artificial neural networks or parallel factor analysis </w:t>
      </w:r>
      <w:r>
        <w:lastRenderedPageBreak/>
        <w:t xml:space="preserve">(PARAFAC) have been developed to decipher the complex information in EEM, being the latter the most applied one </w:t>
      </w:r>
      <w:r w:rsidR="00AE2DE8">
        <w:fldChar w:fldCharType="begin"/>
      </w:r>
      <w:r w:rsidR="00A51550">
        <w:instrText xml:space="preserve"> ADDIN ZOTERO_ITEM CSL_CITATION {"citationID":"eno9xWQi","properties":{"formattedCitation":"[69]","plainCitation":"[69]","noteIndex":0},"citationItems":[{"id":1240,"uris":["http://zotero.org/users/local/8TMZWfC3/items/24CC44VD"],"itemData":{"id":1240,"type":"article-journal","abstract":"Fluorescence technology has been increasingly applied in dissolved organic matter (DOM) characterization due to its remarkable sensitivity and selectivity. Interest in using fluorescence technology to investigate drinking water treatment with a focus on coagulation, adsorption, membrane filtration and disinfection is growing. Fluorescence excitation-emission matrix (EEM) spectroscopy, also known as three-dimensional fluorescence (3D-EEM) or fluorescence fingerprinting, is one of the most predominant approaches because of the massive amount of data, visual maps and multidimensional information it provides. Various EEM map interpretation methods have been developed. This paper reviews current predominant 3D-EEM interpretation methods (ranging from basic methods, peak picking and fluorescence regional integration (FRI) to chemometric methods) and summarizes the latest findings and problems related to practical applications. The correlations between optical and physicochemical properties, such as molecular weight and hydrophilic-hydrophobic properties, are investigated. Novel findings on drinking water trains obtained with the assistance of these interpretation methods are discussed and broadly classified as follows: a) evaluating water treatment performance, b) observing DOM behavior, c) monitoring and predicting micropollutants and disinfection byproducts (DBPs). The importance of using artificial intelligence in fluorescence technology and developing advanced real-time sensors, the weaknesses of fluorescence spectroscopy and the need for combination with other technologies (e.g., fractionation techniques) are highlighted.","container-title":"Chemical Engineering Journal","DOI":"10.1016/j.cej.2019.122676","ISSN":"1385-8947","journalAbbreviation":"Chemical Engineering Journal","page":"122676","source":"ScienceDirect","title":"New advances in fluorescence excitation-emission matrix spectroscopy for the characterization of dissolved organic matter in drinking water treatment: A review","title-short":"New advances in fluorescence excitation-emission matrix spectroscopy for the characterization of dissolved organic matter in drinking water treatment","volume":"381","author":[{"family":"Li","given":"Lei"},{"family":"Wang","given":"Yang"},{"family":"Zhang","given":"Wenjun"},{"family":"Yu","given":"Shuili"},{"family":"Wang","given":"Xianyun"},{"family":"Gao","given":"Naiyun"}],"issued":{"date-parts":[["2020",2,1]]}}}],"schema":"https://github.com/citation-style-language/schema/raw/master/csl-citation.json"} </w:instrText>
      </w:r>
      <w:r w:rsidR="00AE2DE8">
        <w:fldChar w:fldCharType="separate"/>
      </w:r>
      <w:r w:rsidR="005C324C" w:rsidRPr="005C324C">
        <w:t>[69]</w:t>
      </w:r>
      <w:r w:rsidR="00AE2DE8">
        <w:fldChar w:fldCharType="end"/>
      </w:r>
      <w:r>
        <w:t>.</w:t>
      </w:r>
    </w:p>
    <w:p w14:paraId="5F5E6262" w14:textId="0FDA5CDC" w:rsidR="00A77221" w:rsidRDefault="00A77221" w:rsidP="00A77221">
      <w:pPr>
        <w:spacing w:before="240" w:after="240"/>
        <w:ind w:firstLine="0"/>
        <w:rPr>
          <w:highlight w:val="yellow"/>
        </w:rPr>
      </w:pPr>
      <w:r>
        <w:t xml:space="preserve">PARAFAC mathematically decomposes complex fluorescence spectra into individual fluorescent components (this is, identifying the individual fingerprint of a fluorophore that is overlapped with the analogous of another compound), allowing their quantitative and qualitative analysis </w:t>
      </w:r>
      <w:r w:rsidR="00AE2DE8">
        <w:fldChar w:fldCharType="begin"/>
      </w:r>
      <w:r w:rsidR="00A51550">
        <w:instrText xml:space="preserve"> ADDIN ZOTERO_ITEM CSL_CITATION {"citationID":"JcvXfHFz","properties":{"formattedCitation":"[70,71]","plainCitation":"[70,71]","noteIndex":0},"citationItems":[{"id":1241,"uris":["http://zotero.org/users/local/8TMZWfC3/items/ZR89UE9U"],"itemData":{"id":1241,"type":"article-journal","abstract":"A rapid, highly sensitive and selective detector is urgently required to detect contamination events in recycled water systems – for example, cross-connection events in dual reticulation pipes that recycle advanced treated sewage effluent – as existing technologies, including total organic carbon and conductivity monitoring, cannot always provide the sensitivity required. Fluorescence spectroscopy has been suggested as a potential monitoring tool given its high sensitivity and selectivity. A review of recent literature demonstrates that by monitoring the fluorescence of dissolved organic matter (DOM), the ratios of humic-like (Peak C) and protein-like (Peak T) fluorescence peaks can be used to identify trace sewage contamination in river waters and estuaries, a situation analogous to contamination detection in recycled water systems. Additionally, strong correlations have been shown between Peak T and biochemical oxygen demand (BOD) in rivers, which is indicative of water impacted by microbial activity and therefore of sewage impacted systems. Hence, this review concludes that the sensitive detection of contamination events in recycled water systems may be achieved by monitoring Peak T and/or Peak C fluorescence. However, in such systems, effluent is treated to a high standard resulting in much lower DOM concentrations and the impact of these advanced treatment processes on Peaks T and C fluorescence is largely unknown and requires investigation. This review has highlighted that further work is also required to determine (a) the stability and distinctiveness of recycled water fluorescence in relation to the treatment processes utilised, (b) the impact of matrix effects, particularly the impact of oxidation, (c) calibration issues for online monitoring, and (d) the advanced data analytical techniques required, if any, to improve detection of contamination events.","container-title":"Water Research","DOI":"10.1016/j.watres.2008.11.027","ISSN":"0043-1354","issue":"4","journalAbbreviation":"Water Research","page":"863-881","source":"ScienceDirect","title":"Fluorescence as a potential monitoring tool for recycled water systems: A review","title-short":"Fluorescence as a potential monitoring tool for recycled water systems","volume":"43","author":[{"family":"Henderson","given":"R. K."},{"family":"Baker","given":"A."},{"family":"Murphy","given":"K. R."},{"family":"Hambly","given":"A."},{"family":"Stuetz","given":"R. M."},{"family":"Khan","given":"S. J."}],"issued":{"date-parts":[["2009",3,1]]}}},{"id":465,"uris":["http://zotero.org/users/local/8TMZWfC3/items/5SCSAEXH"],"itemData":{"id":465,"type":"article-journal","abstract":"Dissolved organic matter (DOM) controls the degradation and sequestration of aquatic pollutants and, in turn, water quality. In particular, pollutant degradation is performed by oxidant species that are generated by exposure of DOM to solar light, yet, since DOM is a very complex mixture of poorly known substances, the relationships between potential oxidant precursors in DOM and their oxydative capacity is poorly known. Here, we hypothesized that production of oxidant species could be predicted using fluorescence analysis. We analysed water samples from an alluvial plain by fluorescence spectroscopy; the three-dimensional spectra were then decomposed into seven individual components using a multi-way algorithm. Components include a protein-like fluorophore, e.g. tryptophan-like and tyrosine-like, three humic fluorophores, 2-naphthoxyacetic acid, and a by-product. We compared component levels with the ability of water samples to generate reactive species under solar light. The results show a strong correlation between reactive species production and the intensity of two humic-like fluorophores assigned to reduced quinones. Monitoring these fluorophores should thus allow to predict the ability of DOM degradation of pollutants in surface waters.","container-title":"Environmental Chemistry Letters","DOI":"10.1007/s10311-020-01137-z","ISSN":"1610-3661","issue":"2","journalAbbreviation":"Environ Chem Lett","language":"en","page":"1857-1863","source":"Springer Link","title":"Fluorescence analysis allows to predict the oxidative capacity of humic quinones in dissolved organic matter: implication for pollutant degradation","title-short":"Fluorescence analysis allows to predict the oxidative capacity of humic quinones in dissolved organic matter","volume":"19","author":[{"family":"Palma","given":"Davide"},{"family":"Parlanti","given":"Edith"},{"family":"Sourzac","given":"Mahaut"},{"family":"Voldoire","given":"Olivier"},{"family":"Beauger","given":"Aude"},{"family":"Sleiman","given":"Mohamad"},{"family":"Richard","given":"Claire"}],"issued":{"date-parts":[["2021",4,1]]}}}],"schema":"https://github.com/citation-style-language/schema/raw/master/csl-citation.json"} </w:instrText>
      </w:r>
      <w:r w:rsidR="00AE2DE8">
        <w:fldChar w:fldCharType="separate"/>
      </w:r>
      <w:r w:rsidR="005C324C" w:rsidRPr="005C324C">
        <w:t>[70,71]</w:t>
      </w:r>
      <w:r w:rsidR="00AE2DE8">
        <w:fldChar w:fldCharType="end"/>
      </w:r>
      <w:r>
        <w:t xml:space="preserve">. A set of EEM can be analysed with PARAFAC employing several toolboxes, although the “drEEM toolbox”, developed by the group Kathleen Murphy and co-workers </w:t>
      </w:r>
      <w:r w:rsidR="00AE2DE8">
        <w:fldChar w:fldCharType="begin"/>
      </w:r>
      <w:r w:rsidR="00A51550">
        <w:instrText xml:space="preserve"> ADDIN ZOTERO_ITEM CSL_CITATION {"citationID":"ZGNh7ZiZ","properties":{"formattedCitation":"[72]","plainCitation":"[72]","noteIndex":0},"citationItems":[{"id":1242,"uris":["http://zotero.org/users/local/8TMZWfC3/items/ETGMEWNZ"],"itemData":{"id":1242,"type":"article-journal","abstract":"PARAllel FACtor analysis (PARAFAC) is increasingly used to decompose fluorescence excitation emission matrices (EEMs) into their underlying chemical components. In the ideal case where fluorescence conforms to Beers Law, this process can lead to the mathematical identification and quantification of independently varying fluorophores. However, many practical and analytical hurdles stand between EEM datasets and their chemical interpretation. This article provides a tutorial in the practical application of PARAFAC to fluorescence datasets, demonstrated using a dissolved organic matter (DOM) fluorescence dataset. A new toolbox for MATLAB is presented to support improved visualisation and sensitivity analyses of PARAFAC models in fluorescence spectroscopy.","container-title":"Analytical Methods","DOI":"10.1039/C3AY41160E","ISSN":"1759-9679","issue":"23","journalAbbreviation":"Anal. Methods","language":"en","note":"publisher: The Royal Society of Chemistry","page":"6557-6566","source":"pubs.rsc.org","title":"Fluorescence spectroscopy and multi-way techniques. PARAFAC","volume":"5","author":[{"family":"Murphy","given":"Kathleen R."},{"family":"Stedmon","given":"Colin A."},{"family":"Graeber","given":"Daniel"},{"family":"Bro","given":"Rasmus"}],"issued":{"date-parts":[["2013",11,7]]}}}],"schema":"https://github.com/citation-style-language/schema/raw/master/csl-citation.json"} </w:instrText>
      </w:r>
      <w:r w:rsidR="00AE2DE8">
        <w:fldChar w:fldCharType="separate"/>
      </w:r>
      <w:r w:rsidR="005C324C" w:rsidRPr="005C324C">
        <w:t>[72]</w:t>
      </w:r>
      <w:r w:rsidR="00AE2DE8">
        <w:fldChar w:fldCharType="end"/>
      </w:r>
      <w:r>
        <w:t xml:space="preserve">, is one of the most used ones. </w:t>
      </w:r>
    </w:p>
    <w:p w14:paraId="42F12E3B" w14:textId="62DA389F" w:rsidR="00A77221" w:rsidRDefault="00A77221" w:rsidP="00A77221">
      <w:pPr>
        <w:spacing w:before="240" w:after="240"/>
        <w:ind w:firstLine="0"/>
      </w:pPr>
      <w:r>
        <w:t xml:space="preserve">Determining the right number of components is not trivial: the user is the one giving the tentative number of components that might be in a dataset, the latter plausibly being better explained by a lower or higher number of factors than the chosen one. Therefore, one of the weakest points of PARAFAC is currently selecting the proper number of components, as it is frequently more challenging and subjective rather than precise and unequivocal. To help solving this issue, some strategies were developed, as the core consistency diagnostic (CORCONDIA) or split half analysis  </w:t>
      </w:r>
      <w:r w:rsidR="00AE2DE8">
        <w:fldChar w:fldCharType="begin"/>
      </w:r>
      <w:r w:rsidR="00A51550">
        <w:instrText xml:space="preserve"> ADDIN ZOTERO_ITEM CSL_CITATION {"citationID":"50Hpox9n","properties":{"formattedCitation":"[73]","plainCitation":"[73]","noteIndex":0},"citationItems":[{"id":1247,"uris":["http://zotero.org/users/local/8TMZWfC3/items/8X7PQJLV"],"itemData":{"id":1247,"type":"article-journal","abstract":"In this work, the application of EEM-PARAFAC (fluorescence excitation-emission matrix-parallel factor analysis) in water treatment processes, has been summarized. First, its most common use, the characterization and monitoring of dissolved organic matter (DOM) along freshwater ecosystems, drinking and wastewater treatment plants (DWTP and WWTP, respectively), was reviewed. In particular for DWWT/WWTP, the effect towards the different DOM fractions after adsorption, coagulation, biological/chemical processes or tertiary treatments (e.g. advanced oxidation processes), as well as the PARAFAC components scores (i.e. fluorescence intensity) correlation with disinfection by-products formation, were reported. On the other hand, barely barely for the first time, we also reviewed the emerging uses of EEM-PARAFAC focused on water treatment studies, such as, the simultaneous analysis of several fluorescent CECs degradation (with the concomitant formation of major by-products), the use of PARAFAC components scores decay to estimate certain CECs removals, the correlation of reactive oxygen species formation with the specific DOM fractions originating them, or even the study of interactions between DOM with other water constituents. Therefore, this study aims to extend the uses of this economical, reagentless and low time-consuming tool to obtain further insight into fluorescent compounds during water treatment processes, mainly to: i) tentatively elucidate structural modifications of target analyte (DOM or CECs), ii) obtain semi-quantitative data on parent pollutants and by-products variation, and iii) investigate the plausible mechanistic aspects which are involved.","container-title":"Chemical Engineering Journal Advances","DOI":"10.1016/j.ceja.2022.100286","ISSN":"2666-8211","journalAbbreviation":"Chemical Engineering Journal Advances","page":"100286","source":"ScienceDirect","title":"Emerging applications of EEM-PARAFAC for water treatment: a concise review","title-short":"Emerging applications of EEM-PARAFAC for water treatment","volume":"10","author":[{"family":"Sciscenko","given":"Iván"},{"family":"Arques","given":"Antonio"},{"family":"Micó","given":"Pau"},{"family":"Mora","given":"Margarita"},{"family":"García-Ballesteros","given":"Sara"}],"issued":{"date-parts":[["2022",5,15]]}}}],"schema":"https://github.com/citation-style-language/schema/raw/master/csl-citation.json"} </w:instrText>
      </w:r>
      <w:r w:rsidR="00AE2DE8">
        <w:fldChar w:fldCharType="separate"/>
      </w:r>
      <w:r w:rsidR="005C324C" w:rsidRPr="005C324C">
        <w:t>[73]</w:t>
      </w:r>
      <w:r w:rsidR="00AE2DE8">
        <w:fldChar w:fldCharType="end"/>
      </w:r>
      <w:r>
        <w:t>.</w:t>
      </w:r>
    </w:p>
    <w:p w14:paraId="3987651A" w14:textId="528E3A5C" w:rsidR="00A77221" w:rsidRDefault="00A77221" w:rsidP="00A77221">
      <w:pPr>
        <w:spacing w:before="240" w:after="240"/>
        <w:ind w:firstLine="0"/>
      </w:pPr>
      <w:r>
        <w:t xml:space="preserve">In Figure </w:t>
      </w:r>
      <w:r w:rsidR="00C84F2E">
        <w:t>3</w:t>
      </w:r>
      <w:r>
        <w:t xml:space="preserve">, a schematic example demonstrating how PARAFAC is applied to deconvolute the corresponding fluorescence fingerprint of the different analytes present in </w:t>
      </w:r>
      <w:r w:rsidR="00441F52">
        <w:t xml:space="preserve">a </w:t>
      </w:r>
      <w:r>
        <w:t xml:space="preserve">dataset is shown. The example is based on the degradation of 5 fluoroquinolones (antibiotics considered emerging contaminants) by an advanced oxidation process. In the example, the chosen model consists of seven components, where only 4 components fitted the fingerprint of the original pollutants (named FQ1+FQ2, FQ3, FQ4 and FQ5). As a conclusion, one fluoroquinolone has an identical fingerprint to another one (explaining 4 components devoted to the original pollutants instead of 5) and the other three must fit the fingerprints of interferences, as it is the case of humic acid substances (named as HA-L in the </w:t>
      </w:r>
      <w:r w:rsidR="00422689">
        <w:t>F</w:t>
      </w:r>
      <w:r w:rsidRPr="00C84F2E">
        <w:t>igure</w:t>
      </w:r>
      <w:r>
        <w:t>) or other pollutants (named as POL), and the third one fitting the fingerprint of generated by-products (named as BP) emitting in that region. HA-L and POL were therefore originally present in the wastewater, but their standards are not available. Noteworthy, due to the second order advantage, PARAFAC is able of identifying them, allowing the user to measure their fluorescence changes.</w:t>
      </w:r>
    </w:p>
    <w:p w14:paraId="1A3E5DDB" w14:textId="04F69A09" w:rsidR="00A77221" w:rsidRDefault="00A77221" w:rsidP="00A77221">
      <w:pPr>
        <w:spacing w:before="240" w:after="240"/>
        <w:ind w:firstLine="0"/>
      </w:pPr>
      <w:r>
        <w:t xml:space="preserve">Each of the aforementioned 7 components has a score value in the respective EEM, this one being proportional to the fluorescence intensity of the fluorophore. Therefore, the concentration of each analyte (the 5 fluoroquinolones in our example) can be calibrated in an EEM-PARAFAC model by confronting it against the respective score values. Noteworthy, the formed by-products might have an identical fingerprint to that of the original compound or other analyte, increasing the scores on time instead of the expected decrease of fluorescence signal </w:t>
      </w:r>
      <w:r w:rsidR="00AE2DE8">
        <w:fldChar w:fldCharType="begin"/>
      </w:r>
      <w:r w:rsidR="00A51550">
        <w:instrText xml:space="preserve"> ADDIN ZOTERO_ITEM CSL_CITATION {"citationID":"NsC7MXBU","properties":{"formattedCitation":"[74]","plainCitation":"[74]","noteIndex":0},"citationItems":[{"id":1248,"uris":["http://zotero.org/users/local/8TMZWfC3/items/YS4HT3VX"],"itemData":{"id":1248,"type":"article-journal","abstract":"Commercial (fluoro)quinolones ((F)Qs), ciprofloxacin (CIP), enrofloxacin (ENR), ofloxacin (OFL), oxolinic acid (OA) and flumequine (FLU) (3 μM each), were degraded with solar-photo-Fenton in a compound parabolic concentrator photoreactor (total volume 5 L) in ultra-pure water at pH = 5.0, salty water at pH = 5.0, and simulated wastewater at pH = 5.0 and 7.5. Iron speciation (its hydrolysis and the complexation with (F)Qs 15 μM and/or chlorides 0.5 M) was calculated at pH 5.0, observing, negligible formation of Fe(III)-chloride complexes, and that &gt;99 % of the total (F)Qs are forming complexes stoichiometry 1:1 with Fe(III) (which also increases the percentage of Fe(OH)2+), being minoritarian the free antibiotic form. On the other hand, EEM-PARAFAC (fluorescence excitation-emission matrices-parallel factor analysis) was employed to simultaneously study the behaviour of: i) 4 structure-related groups corresponding to parent pollutants and slightly oxidised by-products, ENR-like (including CIP), OFL-like, OA-like, FLU-like; ii) intermediates still showing (F)Q characteristics (exhibiting analogous fluorescent fingerprint to ENR-like one, but shifted to shorter wavelengths); iii) humic-like substances. The scores from the 4 PARAFAC components corresponding to the parent pollutants were plotted vs. accumulated energy, exhibiting slower decay than their individual removals (measured with HPLC-UV/vis) due to the contribution of the aforementioned by-products to the overall fluorescence. Moreover, thiabendazole (TBZ) 3 μM was added as fluorescence interference. The presence of (F)Qs greatly enhanced TBZ degradation due to (F)Q-Fe(III) complex formation, keeping iron active at pH = 5.0 for Fenton process. The EEM-PARAFAC model was able to recognise the former six components plus an additional one attributable to TBZ-like.","container-title":"Science of The Total Environment","DOI":"10.1016/j.scitotenv.2022.158338","ISSN":"0048-9697","journalAbbreviation":"Science of The Total Environment","page":"158338","source":"ScienceDirect","title":"EEM-PARAFAC as a convenient methodology to study fluorescent emerging pollutants degradation: (fluoro)quinolones oxidation in different water matrices","title-short":"EEM-PARAFAC as a convenient methodology to study fluorescent emerging pollutants degradation","volume":"852","author":[{"family":"Sciscenko","given":"Iván"},{"family":"Mora","given":"Margarita"},{"family":"Micó","given":"Pau"},{"family":"Escudero-Oñate","given":"Carlos"},{"family":"Oller","given":"Isabel"},{"family":"Arques","given":"Antonio"}],"issued":{"date-parts":[["2022",12,15]]}}}],"schema":"https://github.com/citation-style-language/schema/raw/master/csl-citation.json"} </w:instrText>
      </w:r>
      <w:r w:rsidR="00AE2DE8">
        <w:fldChar w:fldCharType="separate"/>
      </w:r>
      <w:r w:rsidR="005C324C" w:rsidRPr="005C324C">
        <w:t>[74]</w:t>
      </w:r>
      <w:r w:rsidR="00AE2DE8">
        <w:fldChar w:fldCharType="end"/>
      </w:r>
      <w:r>
        <w:t>. Finally, since fluorescence intensity is dependent on its quantum yield, when comparing the scores from different compounds, if one has higher score values than the other component, it does not necessarily mean that it is present in a higher concentration. Furthermore, buffer use is always suggested in order to standardize the working pH conditions</w:t>
      </w:r>
      <w:r w:rsidR="00441F52">
        <w:t>, which can strongly affect the fluorescence of compounds with acid-base equilibria.</w:t>
      </w:r>
    </w:p>
    <w:p w14:paraId="65A35201" w14:textId="77777777" w:rsidR="00A77221" w:rsidRDefault="00A77221" w:rsidP="00A77221">
      <w:pPr>
        <w:spacing w:before="240" w:after="240"/>
        <w:ind w:firstLine="0"/>
      </w:pPr>
      <w:r>
        <w:rPr>
          <w:noProof/>
          <w:lang w:val="it-IT" w:eastAsia="it-IT"/>
        </w:rPr>
        <w:lastRenderedPageBreak/>
        <w:drawing>
          <wp:inline distT="0" distB="0" distL="0" distR="0" wp14:anchorId="147720B8" wp14:editId="392EFFCC">
            <wp:extent cx="5760085" cy="2214880"/>
            <wp:effectExtent l="0" t="0" r="0" b="0"/>
            <wp:docPr id="1672954498" name="Picture 2" descr="A diagram of a computer mod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954498" name="Picture 2" descr="A diagram of a computer model&#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085" cy="2214880"/>
                    </a:xfrm>
                    <a:prstGeom prst="rect">
                      <a:avLst/>
                    </a:prstGeom>
                  </pic:spPr>
                </pic:pic>
              </a:graphicData>
            </a:graphic>
          </wp:inline>
        </w:drawing>
      </w:r>
    </w:p>
    <w:p w14:paraId="458DDA16" w14:textId="4D0F5B08" w:rsidR="00A77221" w:rsidRDefault="00A77221" w:rsidP="00A77221">
      <w:pPr>
        <w:spacing w:before="240" w:after="240"/>
        <w:ind w:firstLine="0"/>
      </w:pPr>
      <w:r>
        <w:t xml:space="preserve">Figure </w:t>
      </w:r>
      <w:r w:rsidR="00C84F2E">
        <w:t>3</w:t>
      </w:r>
      <w:r>
        <w:t xml:space="preserve">. PARAFAC used for fluorescent signal deconvolution for an EEM dataset. A model of 7 components and their scores from each of the dataset’s samples (time intervals) is the final result. Adapted from </w:t>
      </w:r>
      <w:r w:rsidR="00AE2DE8">
        <w:fldChar w:fldCharType="begin"/>
      </w:r>
      <w:r w:rsidR="00A51550">
        <w:instrText xml:space="preserve"> ADDIN ZOTERO_ITEM CSL_CITATION {"citationID":"zDzJD6Pz","properties":{"formattedCitation":"[74]","plainCitation":"[74]","noteIndex":0},"citationItems":[{"id":1248,"uris":["http://zotero.org/users/local/8TMZWfC3/items/YS4HT3VX"],"itemData":{"id":1248,"type":"article-journal","abstract":"Commercial (fluoro)quinolones ((F)Qs), ciprofloxacin (CIP), enrofloxacin (ENR), ofloxacin (OFL), oxolinic acid (OA) and flumequine (FLU) (3 μM each), were degraded with solar-photo-Fenton in a compound parabolic concentrator photoreactor (total volume 5 L) in ultra-pure water at pH = 5.0, salty water at pH = 5.0, and simulated wastewater at pH = 5.0 and 7.5. Iron speciation (its hydrolysis and the complexation with (F)Qs 15 μM and/or chlorides 0.5 M) was calculated at pH 5.0, observing, negligible formation of Fe(III)-chloride complexes, and that &gt;99 % of the total (F)Qs are forming complexes stoichiometry 1:1 with Fe(III) (which also increases the percentage of Fe(OH)2+), being minoritarian the free antibiotic form. On the other hand, EEM-PARAFAC (fluorescence excitation-emission matrices-parallel factor analysis) was employed to simultaneously study the behaviour of: i) 4 structure-related groups corresponding to parent pollutants and slightly oxidised by-products, ENR-like (including CIP), OFL-like, OA-like, FLU-like; ii) intermediates still showing (F)Q characteristics (exhibiting analogous fluorescent fingerprint to ENR-like one, but shifted to shorter wavelengths); iii) humic-like substances. The scores from the 4 PARAFAC components corresponding to the parent pollutants were plotted vs. accumulated energy, exhibiting slower decay than their individual removals (measured with HPLC-UV/vis) due to the contribution of the aforementioned by-products to the overall fluorescence. Moreover, thiabendazole (TBZ) 3 μM was added as fluorescence interference. The presence of (F)Qs greatly enhanced TBZ degradation due to (F)Q-Fe(III) complex formation, keeping iron active at pH = 5.0 for Fenton process. The EEM-PARAFAC model was able to recognise the former six components plus an additional one attributable to TBZ-like.","container-title":"Science of The Total Environment","DOI":"10.1016/j.scitotenv.2022.158338","ISSN":"0048-9697","journalAbbreviation":"Science of The Total Environment","page":"158338","source":"ScienceDirect","title":"EEM-PARAFAC as a convenient methodology to study fluorescent emerging pollutants degradation: (fluoro)quinolones oxidation in different water matrices","title-short":"EEM-PARAFAC as a convenient methodology to study fluorescent emerging pollutants degradation","volume":"852","author":[{"family":"Sciscenko","given":"Iván"},{"family":"Mora","given":"Margarita"},{"family":"Micó","given":"Pau"},{"family":"Escudero-Oñate","given":"Carlos"},{"family":"Oller","given":"Isabel"},{"family":"Arques","given":"Antonio"}],"issued":{"date-parts":[["2022",12,15]]}}}],"schema":"https://github.com/citation-style-language/schema/raw/master/csl-citation.json"} </w:instrText>
      </w:r>
      <w:r w:rsidR="00AE2DE8">
        <w:fldChar w:fldCharType="separate"/>
      </w:r>
      <w:r w:rsidR="005C324C" w:rsidRPr="005C324C">
        <w:t>[74]</w:t>
      </w:r>
      <w:r w:rsidR="00AE2DE8">
        <w:fldChar w:fldCharType="end"/>
      </w:r>
      <w:r>
        <w:t>.</w:t>
      </w:r>
    </w:p>
    <w:p w14:paraId="6DF46325" w14:textId="77777777" w:rsidR="00A77221" w:rsidRDefault="00A77221" w:rsidP="00A77221">
      <w:pPr>
        <w:pStyle w:val="Titolo2"/>
        <w:numPr>
          <w:ilvl w:val="0"/>
          <w:numId w:val="0"/>
        </w:numPr>
        <w:ind w:left="1440" w:hanging="720"/>
      </w:pPr>
      <w:bookmarkStart w:id="6" w:name="_heading=h.w1x18qkhdc4n" w:colFirst="0" w:colLast="0"/>
      <w:bookmarkEnd w:id="6"/>
      <w:r>
        <w:t>4.2      PARAFAC model generation</w:t>
      </w:r>
    </w:p>
    <w:p w14:paraId="538C6486" w14:textId="69EFED88" w:rsidR="00A77221" w:rsidRDefault="00A77221" w:rsidP="00A77221">
      <w:pPr>
        <w:spacing w:before="240" w:after="240"/>
        <w:ind w:firstLine="0"/>
      </w:pPr>
      <w:r>
        <w:t xml:space="preserve">Before running PARAFAC </w:t>
      </w:r>
      <w:r w:rsidR="004A1F41">
        <w:t>modelling</w:t>
      </w:r>
      <w:r>
        <w:t xml:space="preserve"> the user must detect all the weaknesses that shall not be considered or corrected. A summary of the steps required to perform a PARAFAC model is shown in Figure </w:t>
      </w:r>
      <w:r w:rsidR="00C84F2E">
        <w:t>4</w:t>
      </w:r>
      <w:r>
        <w:t xml:space="preserve">. </w:t>
      </w:r>
    </w:p>
    <w:p w14:paraId="4BF939AD" w14:textId="77777777" w:rsidR="00A77221" w:rsidRDefault="00A77221" w:rsidP="00A77221">
      <w:pPr>
        <w:spacing w:before="240" w:after="240"/>
        <w:ind w:firstLine="0"/>
      </w:pPr>
      <w:r>
        <w:t xml:space="preserve">As part of the data preparation, </w:t>
      </w:r>
      <w:r w:rsidR="00D07FE4">
        <w:t>t</w:t>
      </w:r>
      <w:r>
        <w:t>he issues to take into account are:</w:t>
      </w:r>
    </w:p>
    <w:p w14:paraId="33268940" w14:textId="5F5670FA" w:rsidR="00A77221" w:rsidRDefault="00A77221" w:rsidP="00A77221">
      <w:pPr>
        <w:spacing w:before="240" w:after="240"/>
        <w:ind w:left="1080" w:hanging="360"/>
      </w:pPr>
      <w:r>
        <w:t xml:space="preserve">a)      Correct systematic biases. This considers the errors associated with the imperfections in the equipment, lamp’s wear, and inner filter effect. The first one (e.g. issues such as those related to light efficiency transmission changes through the monochromators) are corrected by multiplying the EEM by a correction matrix, something that most commercial fluorescence spectrometers do automatically. Secondly, the lamp’s power reduction is easily solved </w:t>
      </w:r>
      <w:r w:rsidR="008A0E2C">
        <w:t>standardizing</w:t>
      </w:r>
      <w:r>
        <w:t xml:space="preserve"> each EEM with quinine emission signal or water Raman scatter peak at 350 nm </w:t>
      </w:r>
      <w:r w:rsidR="00AE2DE8">
        <w:fldChar w:fldCharType="begin"/>
      </w:r>
      <w:r w:rsidR="00A51550">
        <w:instrText xml:space="preserve"> ADDIN ZOTERO_ITEM CSL_CITATION {"citationID":"2qbyrEDr","properties":{"formattedCitation":"[75]","plainCitation":"[75]","noteIndex":0},"citationItems":[{"id":1253,"uris":["http://zotero.org/users/local/8TMZWfC3/items/7YLS36PF"],"itemData":{"id":1253,"type":"article-journal","abstract":"Fluorescence data of replicate samples obtained from different fluorescence spectrometers or by the same spectrometer but with different instrument settings can have great intensity differences. In order to compare such data an intensity calibration must be applied. Here we explain a simple calibration method for fluorescence intensity using only the integrated area of a water Raman peak. By applying this method to data from three different instruments, we show that it is possible to remove instrument-dependent intensity factors, and we present results on a unified scale of Raman units. The method presented is a rapid and simple approach suitable for routine measurements with no need for hazardous chemicals.","container-title":"Applied Spectroscopy","DOI":"10.1366/000370209788964548","ISSN":"0003-7028","issue":"8","journalAbbreviation":"Appl Spectrosc","language":"en","note":"publisher: SAGE Publications Ltd STM","page":"936-940","source":"SAGE Journals","title":"Fluorescence Intensity Calibration Using the Raman Scatter Peak of Water","volume":"63","author":[{"family":"Lawaetz","given":"A. J."},{"family":"Stedmon","given":"C. A."}],"issued":{"date-parts":[["2009",8,1]]}}}],"schema":"https://github.com/citation-style-language/schema/raw/master/csl-citation.json"} </w:instrText>
      </w:r>
      <w:r w:rsidR="00AE2DE8">
        <w:fldChar w:fldCharType="separate"/>
      </w:r>
      <w:r w:rsidR="005C324C" w:rsidRPr="005C324C">
        <w:t>[75]</w:t>
      </w:r>
      <w:r w:rsidR="00AE2DE8">
        <w:fldChar w:fldCharType="end"/>
      </w:r>
      <w:r>
        <w:t>. Finally, to correct the inner filter effect, absorbance spectra from each sample must be measured and introduced into the dataset. The absorbance spectra must be measured considering the excitation and emission respective ranges. For example, if the EEM were measured in the range 250 ‒ 400 nm excitation axis and 300 ‒ 600 nm emission axis, then the absorbance from each sample must be taken from 250 to 600 nm.</w:t>
      </w:r>
    </w:p>
    <w:p w14:paraId="686C2933" w14:textId="16754C62" w:rsidR="00A77221" w:rsidRDefault="00A77221" w:rsidP="00A77221">
      <w:pPr>
        <w:spacing w:before="240" w:after="240"/>
        <w:ind w:left="1080" w:hanging="360"/>
      </w:pPr>
      <w:r>
        <w:t xml:space="preserve">b)      Correct light scattering. Interferences due to the light scattering (Raman and Rayleigh). Since primary Rayleigh usually not overlaps with the regions where there are fluorescence signals, is eliminated with missing values. The secondary Rayleigh as well as both Raman bands, on the contrary, often overlap with fluorescence signals, therefore data interpolation is usually employed. Noteworthy, when correcting by data interpolation, fluorescence signals from the analyte could suffer from broadening or even eliminated, causing mistakes by the time of </w:t>
      </w:r>
      <w:r w:rsidR="004A1F41">
        <w:t>modelling</w:t>
      </w:r>
      <w:r>
        <w:t xml:space="preserve">. A balance between using interpolation wavelength ranges and excision must always be considered for the last ones </w:t>
      </w:r>
      <w:r w:rsidR="00AE2DE8">
        <w:fldChar w:fldCharType="begin"/>
      </w:r>
      <w:r w:rsidR="00A51550">
        <w:instrText xml:space="preserve"> ADDIN ZOTERO_ITEM CSL_CITATION {"citationID":"gQRXPbG4","properties":{"formattedCitation":"[76]","plainCitation":"[76]","noteIndex":0},"citationItems":[{"id":1255,"uris":["http://zotero.org/users/local/8TMZWfC3/items/KJ4KSPUA"],"itemData":{"id":1255,"type":"article-journal","abstract":"Fluorescence has been widely employed for the characterization of organic matter. In particular, excitation emission matrixes (EEM) provide important qualitative information on its composition. However, the application of this technique is limited by the mathematical complexity involved, which requires the use of PARAFAC for deconvolution of the EEM in their components. To overcome the numerical problem specific MATLAB toolboxes for the PARAFAC deconvolution have been implemented (e.g. drEEM). This toolbox is widely used by the scientific community but its intrinsic complexity in terms of programming knowledge makes it difficult to use. In this regard and in order to facilitate the first approximation to the PARAFAC programming problem, this paper describes and offers to the community the EEMlab software application: a graphical user-firendly interface for fluorimetry experiments based on the drEEM toolbox. The interface is developed in order to facilitate not only the intuitive use of the drEEM (no previous MATLAB knowledge is needed) but also to automate many repetitive tasks (as the data load or the modeling loop) or even to manage the different formats of files being produced by all the devices involved in the process. In order to validate the EEMlab, the same experiment documented by the drEEM is reproduced. In addition, the EEMlab is tested again with conducting a new fluorimetry experiment and the results are presented at the end of the paper. Finally to appoint a reference to the public web site pabmitor.webs.upv.es/eemlab in where all the components of the EEMlab GUI (software, tutorial and datasets) are publicly available to the readers.","container-title":"Chemometrics and Intelligent Laboratory Systems","DOI":"10.1016/j.chemolab.2019.03.001","ISSN":"0169-7439","journalAbbreviation":"Chemometrics and Intelligent Laboratory Systems","page":"6-13","source":"ScienceDirect","title":"EEMlab: A graphical user-friendly interface for fluorimetry experiments based on the drEEM toolbox","title-short":"EEMlab","volume":"188","author":[{"family":"Micó","given":"P."},{"family":"García-Ballesteros","given":"S."},{"family":"Mora","given":"M."},{"family":"Vicente","given":"R."},{"family":"Amat","given":"A. M."},{"family":"Arques","given":"A."}],"issued":{"date-parts":[["2019",5,15]]}}}],"schema":"https://github.com/citation-style-language/schema/raw/master/csl-citation.json"} </w:instrText>
      </w:r>
      <w:r w:rsidR="00AE2DE8">
        <w:fldChar w:fldCharType="separate"/>
      </w:r>
      <w:r w:rsidR="005C324C" w:rsidRPr="005C324C">
        <w:t>[76]</w:t>
      </w:r>
      <w:r w:rsidR="00AE2DE8">
        <w:fldChar w:fldCharType="end"/>
      </w:r>
      <w:r>
        <w:t>.</w:t>
      </w:r>
    </w:p>
    <w:p w14:paraId="18757846" w14:textId="526535A0" w:rsidR="00A77221" w:rsidRDefault="00A77221" w:rsidP="00A77221">
      <w:pPr>
        <w:spacing w:before="240" w:after="240"/>
        <w:ind w:left="1080" w:hanging="360"/>
      </w:pPr>
      <w:r>
        <w:lastRenderedPageBreak/>
        <w:t xml:space="preserve">c)      EEM </w:t>
      </w:r>
      <w:r w:rsidR="00972CE2">
        <w:t>normalization</w:t>
      </w:r>
      <w:r>
        <w:t xml:space="preserve">. EEM are </w:t>
      </w:r>
      <w:r w:rsidR="00972CE2">
        <w:t>normalized</w:t>
      </w:r>
      <w:r>
        <w:t xml:space="preserve"> by their total signal to give the same leverage to every analyte (or interference) present in the dataset, allowing the PARAFAC algorithm to focus on the fingerprint of each fluorophore, avoiding </w:t>
      </w:r>
      <w:r w:rsidR="004A1F41">
        <w:t>modelling</w:t>
      </w:r>
      <w:r>
        <w:t xml:space="preserve"> mistakes due to low fluorescence signal intensity.</w:t>
      </w:r>
    </w:p>
    <w:p w14:paraId="6D93DABC" w14:textId="165106A7" w:rsidR="00A77221" w:rsidRDefault="00A77221" w:rsidP="00A77221">
      <w:pPr>
        <w:spacing w:before="240" w:after="240"/>
        <w:ind w:firstLine="0"/>
      </w:pPr>
      <w:r>
        <w:t xml:space="preserve">Once the aforementioned steps are finished, a first exploratory model can be carried out. For this, the user must select the numbers of plausible components the dataset is suspected to contain (e.g., 3, 4 or 5). Within this preliminary </w:t>
      </w:r>
      <w:r w:rsidR="004A1F41">
        <w:t>modelling</w:t>
      </w:r>
      <w:r>
        <w:t xml:space="preserve">, outliers can appear as well as pre-processing lacks become evident. If detected, one must go back to the pre-processing state, therefore, reverse the </w:t>
      </w:r>
      <w:r w:rsidR="00972CE2">
        <w:t>normalization</w:t>
      </w:r>
      <w:r>
        <w:t xml:space="preserve">, and afterwards correct the possible model weaknesses (e.g., eliminate outliers from the dataset as they might have noise/signal ratio). Once the dataset and EEM were improved, one can perform again the exploration </w:t>
      </w:r>
      <w:r w:rsidR="004A1F41">
        <w:t>modelling</w:t>
      </w:r>
      <w:r>
        <w:t>. This loop will be repeated until obtaining a convincing model that accomplish: i) the components fits with the fingerprints of the analytes and/or interferences, ii) the residual error between the modelled EEM and the measured ones is low and randomly distributed, and iii) there are no PARAFAC components with more than one emission maximum or any other chemical inconsistency. Once we have obtained the exploratory model, this one can be refined by performing a more restrictive PARAFAC run.</w:t>
      </w:r>
    </w:p>
    <w:p w14:paraId="5C3B5F2C" w14:textId="77777777" w:rsidR="00A77221" w:rsidRDefault="00A77221" w:rsidP="00A77221">
      <w:pPr>
        <w:spacing w:before="240" w:after="240"/>
        <w:ind w:firstLine="0"/>
      </w:pPr>
      <w:r>
        <w:t xml:space="preserve">As previously mentioned, selecting the right PARAFAC model is not trivial; there are two main criteria that might help: CORCONDIA and the split-half analysis. The former is based on the idea that a model is only appropriate if, when adding additional components, they do not considerably improve the fit. The second, as the name indicates, tests the fitting of the chosen PARAFAC model with a new dataset formed by the split of the original one. </w:t>
      </w:r>
    </w:p>
    <w:p w14:paraId="6CBF0501" w14:textId="77777777" w:rsidR="00A77221" w:rsidRDefault="00A77221" w:rsidP="00A77221">
      <w:pPr>
        <w:spacing w:before="240" w:after="240"/>
        <w:ind w:firstLine="0"/>
      </w:pPr>
      <w:r w:rsidDel="0027191C">
        <w:t xml:space="preserve"> </w:t>
      </w:r>
    </w:p>
    <w:p w14:paraId="772FF863" w14:textId="77777777" w:rsidR="00A77221" w:rsidRDefault="00A77221" w:rsidP="00A77221">
      <w:pPr>
        <w:spacing w:before="240" w:after="240"/>
        <w:ind w:firstLine="0"/>
        <w:jc w:val="center"/>
      </w:pPr>
      <w:r>
        <w:rPr>
          <w:noProof/>
          <w:lang w:val="it-IT" w:eastAsia="it-IT"/>
        </w:rPr>
        <w:lastRenderedPageBreak/>
        <w:drawing>
          <wp:inline distT="0" distB="0" distL="0" distR="0" wp14:anchorId="5B17FD7D" wp14:editId="42649015">
            <wp:extent cx="4070717" cy="5702060"/>
            <wp:effectExtent l="0" t="0" r="6350" b="0"/>
            <wp:docPr id="1184264884" name="Picture 9" descr="A diagram of a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264884" name="Picture 9" descr="A diagram of a process&#10;&#10;Description automatically generated"/>
                    <pic:cNvPicPr/>
                  </pic:nvPicPr>
                  <pic:blipFill rotWithShape="1">
                    <a:blip r:embed="rId12" cstate="print">
                      <a:extLst>
                        <a:ext uri="{28A0092B-C50C-407E-A947-70E740481C1C}">
                          <a14:useLocalDpi xmlns:a14="http://schemas.microsoft.com/office/drawing/2010/main" val="0"/>
                        </a:ext>
                      </a:extLst>
                    </a:blip>
                    <a:srcRect l="22315" t="1415" r="6997" b="5065"/>
                    <a:stretch/>
                  </pic:blipFill>
                  <pic:spPr bwMode="auto">
                    <a:xfrm>
                      <a:off x="0" y="0"/>
                      <a:ext cx="4071633" cy="5703343"/>
                    </a:xfrm>
                    <a:prstGeom prst="rect">
                      <a:avLst/>
                    </a:prstGeom>
                    <a:ln>
                      <a:noFill/>
                    </a:ln>
                    <a:extLst>
                      <a:ext uri="{53640926-AAD7-44D8-BBD7-CCE9431645EC}">
                        <a14:shadowObscured xmlns:a14="http://schemas.microsoft.com/office/drawing/2010/main"/>
                      </a:ext>
                    </a:extLst>
                  </pic:spPr>
                </pic:pic>
              </a:graphicData>
            </a:graphic>
          </wp:inline>
        </w:drawing>
      </w:r>
    </w:p>
    <w:p w14:paraId="0658E614" w14:textId="14A66402" w:rsidR="00A77221" w:rsidRDefault="00A77221" w:rsidP="00C84F2E">
      <w:pPr>
        <w:spacing w:before="240" w:after="240"/>
        <w:ind w:firstLine="0"/>
        <w:jc w:val="left"/>
        <w:rPr>
          <w:highlight w:val="yellow"/>
        </w:rPr>
      </w:pPr>
      <w:r>
        <w:t xml:space="preserve">Figure </w:t>
      </w:r>
      <w:r w:rsidR="00C84F2E">
        <w:t>4</w:t>
      </w:r>
      <w:r>
        <w:t xml:space="preserve">. </w:t>
      </w:r>
      <w:r w:rsidRPr="005E6C51">
        <w:rPr>
          <w:lang w:val="nb-NO"/>
        </w:rPr>
        <w:t xml:space="preserve">EEM-PARAFAC </w:t>
      </w:r>
      <w:r w:rsidR="004A1F41" w:rsidRPr="005E6C51">
        <w:rPr>
          <w:lang w:val="nb-NO"/>
        </w:rPr>
        <w:t>modelling</w:t>
      </w:r>
      <w:r w:rsidRPr="005E6C51">
        <w:rPr>
          <w:lang w:val="nb-NO"/>
        </w:rPr>
        <w:t xml:space="preserve"> steps diagram. </w:t>
      </w:r>
      <w:r w:rsidR="00070593">
        <w:t>Based on</w:t>
      </w:r>
      <w:r>
        <w:t xml:space="preserve"> </w:t>
      </w:r>
      <w:r w:rsidR="00AE2DE8">
        <w:fldChar w:fldCharType="begin"/>
      </w:r>
      <w:r w:rsidR="00A51550">
        <w:instrText xml:space="preserve"> ADDIN ZOTERO_ITEM CSL_CITATION {"citationID":"6tKlKNUD","properties":{"formattedCitation":"[76]","plainCitation":"[76]","noteIndex":0},"citationItems":[{"id":1255,"uris":["http://zotero.org/users/local/8TMZWfC3/items/KJ4KSPUA"],"itemData":{"id":1255,"type":"article-journal","abstract":"Fluorescence has been widely employed for the characterization of organic matter. In particular, excitation emission matrixes (EEM) provide important qualitative information on its composition. However, the application of this technique is limited by the mathematical complexity involved, which requires the use of PARAFAC for deconvolution of the EEM in their components. To overcome the numerical problem specific MATLAB toolboxes for the PARAFAC deconvolution have been implemented (e.g. drEEM). This toolbox is widely used by the scientific community but its intrinsic complexity in terms of programming knowledge makes it difficult to use. In this regard and in order to facilitate the first approximation to the PARAFAC programming problem, this paper describes and offers to the community the EEMlab software application: a graphical user-firendly interface for fluorimetry experiments based on the drEEM toolbox. The interface is developed in order to facilitate not only the intuitive use of the drEEM (no previous MATLAB knowledge is needed) but also to automate many repetitive tasks (as the data load or the modeling loop) or even to manage the different formats of files being produced by all the devices involved in the process. In order to validate the EEMlab, the same experiment documented by the drEEM is reproduced. In addition, the EEMlab is tested again with conducting a new fluorimetry experiment and the results are presented at the end of the paper. Finally to appoint a reference to the public web site pabmitor.webs.upv.es/eemlab in where all the components of the EEMlab GUI (software, tutorial and datasets) are publicly available to the readers.","container-title":"Chemometrics and Intelligent Laboratory Systems","DOI":"10.1016/j.chemolab.2019.03.001","ISSN":"0169-7439","journalAbbreviation":"Chemometrics and Intelligent Laboratory Systems","page":"6-13","source":"ScienceDirect","title":"EEMlab: A graphical user-friendly interface for fluorimetry experiments based on the drEEM toolbox","title-short":"EEMlab","volume":"188","author":[{"family":"Micó","given":"P."},{"family":"García-Ballesteros","given":"S."},{"family":"Mora","given":"M."},{"family":"Vicente","given":"R."},{"family":"Amat","given":"A. M."},{"family":"Arques","given":"A."}],"issued":{"date-parts":[["2019",5,15]]}}}],"schema":"https://github.com/citation-style-language/schema/raw/master/csl-citation.json"} </w:instrText>
      </w:r>
      <w:r w:rsidR="00AE2DE8">
        <w:fldChar w:fldCharType="separate"/>
      </w:r>
      <w:r w:rsidR="005C324C" w:rsidRPr="005C324C">
        <w:t>[76]</w:t>
      </w:r>
      <w:r w:rsidR="00AE2DE8">
        <w:fldChar w:fldCharType="end"/>
      </w:r>
      <w:r>
        <w:t>.</w:t>
      </w:r>
    </w:p>
    <w:p w14:paraId="1B7F4756" w14:textId="77777777" w:rsidR="00A77221" w:rsidRDefault="00A77221" w:rsidP="00A77221">
      <w:pPr>
        <w:pStyle w:val="Titolo2"/>
        <w:numPr>
          <w:ilvl w:val="0"/>
          <w:numId w:val="0"/>
        </w:numPr>
        <w:ind w:left="1440" w:hanging="720"/>
      </w:pPr>
      <w:r>
        <w:t>4.3      EEM-PARAFAC applications</w:t>
      </w:r>
    </w:p>
    <w:p w14:paraId="7CE07F50" w14:textId="4AADB3C7" w:rsidR="00A77221" w:rsidRDefault="00A77221" w:rsidP="00A77221">
      <w:pPr>
        <w:spacing w:before="240" w:after="240"/>
        <w:ind w:firstLine="0"/>
      </w:pPr>
      <w:r>
        <w:t xml:space="preserve">EEM-PARAFAC has been applied for DOM </w:t>
      </w:r>
      <w:r w:rsidR="004F22BB">
        <w:t>characterization</w:t>
      </w:r>
      <w:r>
        <w:t xml:space="preserve"> and monitoring in natural and engineered water systems for almost 20 years due to its intrinsic second order advantage, giving the possibility of making analytical determinations in the presence of non-modelled interferents and to identify the analyte of interest </w:t>
      </w:r>
      <w:r w:rsidR="00AE2DE8">
        <w:fldChar w:fldCharType="begin"/>
      </w:r>
      <w:r w:rsidR="00A51550">
        <w:instrText xml:space="preserve"> ADDIN ZOTERO_ITEM CSL_CITATION {"citationID":"rooFAh6I","properties":{"formattedCitation":"[77,78]","plainCitation":"[77,78]","noteIndex":0},"citationItems":[{"id":1258,"uris":["http://zotero.org/users/local/8TMZWfC3/items/ZGQC676M"],"itemData":{"id":1258,"type":"article-journal","abstract":"Fluorescence spectroscopy coupled with parallel factor analysis (PARAFAC) has been widely used to characterize dissolved organic matter (DOM). Characterization is based on the intensity and location of independent fluorescent components identified in models constructed from excitation–emission matrices (EEMs). Similar fluorescent components have been identified in PARAFAC studies across a wide range of systems; however, there is a lack of discussion regarding the consistency with which these similar components behave. The overall goal of this critical review is to compare results for PARAFAC studies published since the year 2000 which include one or more of three reoccurring humic-like components. Components are compared and characterized based on EEM location, characteristic ecosystems, and behavior in natural and engineered systems. This synthesis allows PARAFAC users to more confidently infer DOM characteristics based on identified components. Additionally, behavioral inconsistencies between similar components help elucidate DOM properties for which fluorescence spectroscopy with PARAFAC may be a weak predictive tool.","container-title":"Environmental Science &amp; Technology","DOI":"10.1021/es2043504","ISSN":"0013-936X","issue":"4","journalAbbreviation":"Environ. Sci. Technol.","note":"publisher: American Chemical Society","page":"2006-2017","source":"ACS Publications","title":"Behavior of Reoccurring PARAFAC Components in Fluorescent Dissolved Organic Matter in Natural and Engineered Systems: A Critical Review","title-short":"Behavior of Reoccurring PARAFAC Components in Fluorescent Dissolved Organic Matter in Natural and Engineered Systems","volume":"46","author":[{"family":"Ishii","given":"Stephanie K. L."},{"family":"Boyer","given":"Treavor H."}],"issued":{"date-parts":[["2012",2,21]]}}},{"id":1257,"uris":["http://zotero.org/users/local/8TMZWfC3/items/JQGXPGK3"],"itemData":{"id":1257,"type":"article-journal","abstract":"The primary method for the prevention of the introduction of nonindigenous aquatic nuisance species in the U.S. is ballast water exchange (BWE). Our recent work focused on the use of the excitation emission matrix (EEM) spectroscopy of the colored dissolved organic matter (CDOM) to “fingerprint” water as a function of its port of origin, and therefore provide a forensic tool for the enforcement of BWE regulations. In that work, we utilized N-way partial least squares with discriminant analysis (NPLS-DA), which models the data with an emphasis on differences among classes (ports of origin). In this work, EEMs of samples from three different U.S. ports were analyzed by parallel factor analysis (PARAFAC) coupled with soft independent modeling of class analogy (SIMCA) to provide an effective classification method with a low false positive rate. This coupling, which is shown for the first time in this work, can be a useful alternative to NPLS-DA in that PARAFAC–SIMCA decomposes the EEM signal into chemical components and utilizes the scores for these components in the classification scheme. This gives the user the option of removing the contributions of interfering or unidentifiable fluorescent components prior to classification.","container-title":"Analytica Chimica Acta","DOI":"10.1016/j.aca.2006.08.034","ISSN":"0003-2670","issue":"1","journalAbbreviation":"Analytica Chimica Acta","page":"118-124","source":"ScienceDirect","title":"Estuarine water classification using EEM spectroscopy and PARAFAC–SIMCA","volume":"581","author":[{"family":"Hall","given":"Gregory J."},{"family":"Kenny","given":"Jonathan E."}],"issued":{"date-parts":[["2007",1,2]]}}}],"schema":"https://github.com/citation-style-language/schema/raw/master/csl-citation.json"} </w:instrText>
      </w:r>
      <w:r w:rsidR="00AE2DE8">
        <w:fldChar w:fldCharType="separate"/>
      </w:r>
      <w:r w:rsidR="005C324C" w:rsidRPr="005C324C">
        <w:t>[77,78]</w:t>
      </w:r>
      <w:r w:rsidR="00AE2DE8">
        <w:fldChar w:fldCharType="end"/>
      </w:r>
      <w:r>
        <w:t xml:space="preserve">. Researchers have reported its usefulness in several types of water matrices, allowing to compare different water treatments efficiencies, such as reverse osmosis, ozonation or chlorination </w:t>
      </w:r>
      <w:r w:rsidR="00AE2DE8">
        <w:fldChar w:fldCharType="begin"/>
      </w:r>
      <w:r w:rsidR="00A51550">
        <w:instrText xml:space="preserve"> ADDIN ZOTERO_ITEM CSL_CITATION {"citationID":"ctlMjJ6p","properties":{"formattedCitation":"[79\\uc0\\u8211{}81]","plainCitation":"[79–81]","noteIndex":0},"citationItems":[{"id":1137,"uris":["http://zotero.org/users/local/8TMZWfC3/items/X4WVJCR9"],"itemData":{"id":1137,"type":"article-journal","abstract":"Periods of drought coupled with increasing population growth have prompted increased interest in potable water reuse in Gwinnett County, Georgia, USA. However, such inland water recycling facilities are challenged with treatment approaches where reverse osmosis (RO) membrane concentrate disposal is a barrier to implementation of potable reuse. To evaluate alternative treatment processes, testing of two side-by-side pilot systems using multi-stage ozone and biological filtration without RO was conducted to compare indirect potable reuse (IPR) to direct potable reuse (DPR). Two water sources were investigated—influent from Lake Lanier for the IPR pilot, and a blend of 25 % reclaimed water mixed with lake water (75 %) for the DPR pilot. To assess the nature of organic matter removed during potable reuse, excitation–emission matrix (EEM) fluorescence spectroscopy/PARAllel FACtor (PARAFAC) analyses were examined as a fingerprinting tool. The objectives were to determine (a) if a DPR scenario, when preceded by advanced wastewater treatment, could achieve drinking water quality comparable to IPR and (b) if water quality monitoring using EEM/PARAFAC methods could predict results for DPR and IPR water quality, comparable to parameters obtained in a supplementary study that required more expensive, time-consuming, and complicated analytical techniques. Sample scores representing relative concentrations of fluorescing organic matter derived from the EEM-PARAFAC model decreased in the order of reclaimed water &gt; lake water &gt; DPR pilot &gt; IPR pilot, demonstrating that EEM/PARAFAC could distinguish between DPR and IPR water quality. An assessment of a comprehensive list of individual organic compounds (reported separately) validated that blend ratios of 25 % reclaimed water, or higher mixed with lake water (75 %) did not meet primary and secondary drinking water standards. Likewise, in this study, EEM/PARAFAC analysis demonstrated the 25 % blend did not provide drinking water quality indicating this simple, inexpensive method could be used for potable reuse monitoring.","container-title":"Science of The Total Environment","DOI":"10.1016/j.scitotenv.2023.163937","ISSN":"0048-9697","journalAbbreviation":"Science of The Total Environment","page":"163937","source":"ScienceDirect","title":"Application of a fluorescence EEM-PARAFAC model for direct and indirect potable water reuse monitoring: Multi-stage ozone–biofiltration without reverse osmosis at Gwinnett County, Georgia, USA","title-short":"Application of a fluorescence EEM-PARAFAC model for direct and indirect potable water reuse monitoring","volume":"886","author":[{"family":"Wells","given":"Martha J. M."},{"family":"Funk","given":"Denise"},{"family":"Mullins","given":"Gene A."},{"family":"Bell","given":"Katherine Y."}],"issued":{"date-parts":[["2023",8,15]]}}},{"id":1139,"uris":["http://zotero.org/users/local/8TMZWfC3/items/B2HP3Q8J"],"itemData":{"id":1139,"type":"article-journal","abstract":"Organic matter dissolved in tertiary effluents (effluent organic matter, EfOM) is the predominant organic membrane foulant in tertiary wastewater reverse osmosis (RO) desalination, ultimately causing biofouling. The interrelated effects of EfOM fractions of different hydrophobicity and polarity on membrane performance were studied by (i) examining each fraction’s overall effect on membrane permeability; (ii) analyzing the intrinsic hydraulic resistance induced by each fraction; (iii) studying their adsorption on the active layer of an RO membrane using a quartz crystal microbalance with dissipation monitoring (QCM-D); (iv) assessing their “dry” molecular mass when adsorbed on polyamide using localized surface plasmon resonance (LSPR) sensing; (v) analyzing their hydrodynamic radii by dynamic light scattering (DLS); and (vi) characterization using excitation–emission matrix (EEM) analysis and parallel-factor (PARAFAC) modeling. Hydrophobic and transphilic neutral fractions (containing </w:instrText>
      </w:r>
      <w:r w:rsidR="00A51550">
        <w:rPr>
          <w:rFonts w:ascii="Cambria Math" w:hAnsi="Cambria Math" w:cs="Cambria Math"/>
        </w:rPr>
        <w:instrText>∼</w:instrText>
      </w:r>
      <w:r w:rsidR="00A51550">
        <w:instrText xml:space="preserve">12.5% total organic carbon) have the greatest effect on membrane flux reduction and the highest hydraulic resistance and adhere most strongly to polyamide surfaces, resulting in the highest adsorbed “dry” mass. Therefore, in terms of their effect on RO permeate flux reduction, these fractions are the most detrimental in the EfOM mix. EEM analysis and associated PARAFAC modeling indicate that the main components causing this effect are mixtures of protein-like compounds, together with humic-like substances. Novel LSPR-based analysis elucidated the role of the fractions most detrimental to membrane permeability through measurement of dry mass surface concentration on a polyamide mimetic sensor. This study provides valuable insights into the roles of different EfOM fractions in RO membrane fouling and enhances our understanding of fouling during tertiary wastewater desalination.","container-title":"ACS ES&amp;T Water","DOI":"10.1021/acsestwater.3c00116","issue":"8","journalAbbreviation":"ACS EST Water","note":"publisher: American Chemical Society","page":"2491-2501","source":"ACS Publications","title":"Fouling of Reverse Osmosis Membrane with Effluent Organic Matter: Componential Role of Hydrophobicity","title-short":"Fouling of Reverse Osmosis Membrane with Effluent Organic Matter","volume":"3","author":[{"family":"Stein","given":"Noa"},{"family":"Sharon-Gojman","given":"Revital"},{"family":"Mauter","given":"Meagan S."},{"family":"Bernstein","given":"Roy"},{"family":"Herzberg","given":"Moshe"}],"issued":{"date-parts":[["2023",8,11]]}}},{"id":1140,"uris":["http://zotero.org/users/local/8TMZWfC3/items/DF7XVRA5"],"itemData":{"id":1140,"type":"article-journal","abstract":"Organic matter (OM) causes many problems in drinking water treatment. It is difficult to monitor OM concentrations and character during treatment processes due to its complexity. Fluorescence spectroscopy is a promising tool for online monitoring. In this study, a unique dataset of fluorescence excitation emission matrixes (EEMs) (n = 867) was collected from all treatment stages of five drinking water treatment plants (WTPs) situated in diverse locations from subtropical to temperate climate. The WTPs incorporated various water sources, treatment processes and OM removal efficiencies (DOC removal 0%–68%). Despite these differences, four common fluorescence PARAFAC components were identified for characterisation of OM concentration and treatability. Moreover, fluorescence component ratios showed site-specific statistically significant correlations with OM removal, which contrasted with correlations between specific UV absorbance at 254 nm (SUVA) and OM removal that were not statistically significant. This indicates that use of fluorescence spectroscopy may be a more robust alternative for predicting DOC removal than UV spectroscopy. Based on the identified fluorescence components, four optical locations were selected in order to move towards single wavelength online OM monitoring.","container-title":"Water Research","DOI":"10.1016/j.watres.2014.01.053","ISSN":"0043-1354","journalAbbreviation":"Water Research","page":"159-169","source":"ScienceDirect","title":"Spectroscopic characterisation of dissolved organic matter changes in drinking water treatment: From PARAFAC analysis to online monitoring wavelengths","title-short":"Spectroscopic characterisation of dissolved organic matter changes in drinking water treatment","volume":"54","author":[{"family":"Shutova","given":"Yulia"},{"family":"Baker","given":"Andy"},{"family":"Bridgeman","given":"John"},{"family":"Henderson","given":"Rita K."}],"issued":{"date-parts":[["2014",5,1]]}}}],"schema":"https://github.com/citation-style-language/schema/raw/master/csl-citation.json"} </w:instrText>
      </w:r>
      <w:r w:rsidR="00AE2DE8">
        <w:fldChar w:fldCharType="separate"/>
      </w:r>
      <w:r w:rsidR="005C324C" w:rsidRPr="005C324C">
        <w:t>[79–81]</w:t>
      </w:r>
      <w:r w:rsidR="00AE2DE8">
        <w:fldChar w:fldCharType="end"/>
      </w:r>
      <w:r>
        <w:t>.</w:t>
      </w:r>
    </w:p>
    <w:p w14:paraId="4B810E6E" w14:textId="72981FB1" w:rsidR="00A77221" w:rsidRDefault="00A77221" w:rsidP="00A77221">
      <w:pPr>
        <w:spacing w:before="240" w:after="240"/>
        <w:ind w:firstLine="0"/>
      </w:pPr>
      <w:r>
        <w:t xml:space="preserve">Nevertheless, the use of EEM-PARAFAC for DOM monitoring on DWTP and WWTP is still infrequent. Instead, the DOM control by fluorescence is performed by exciting at a single wavelength (typically 254 nm) and </w:t>
      </w:r>
      <w:r w:rsidR="004F22BB">
        <w:t>analyzing</w:t>
      </w:r>
      <w:r>
        <w:t xml:space="preserve"> the resulting fluorescence at a specific range of emission wavelengths, normally presenting results as fluorescence indexes </w:t>
      </w:r>
      <w:r w:rsidR="00AE2DE8">
        <w:fldChar w:fldCharType="begin"/>
      </w:r>
      <w:r w:rsidR="00A51550">
        <w:instrText xml:space="preserve"> ADDIN ZOTERO_ITEM CSL_CITATION {"citationID":"Px0G8QMw","properties":{"formattedCitation":"[80]","plainCitation":"[80]","noteIndex":0},"citationItems":[{"id":1139,"uris":["http://zotero.org/users/local/8TMZWfC3/items/B2HP3Q8J"],"itemData":{"id":1139,"type":"article-journal","abstract":"Organic matter dissolved in tertiary effluents (effluent organic matter, EfOM) is the predominant organic membrane foulant in tertiary wastewater reverse osmosis (RO) desalination, ultimately causing biofouling. The interrelated effects of EfOM fractions of different hydrophobicity and polarity on membrane performance were studied by (i) examining each fraction’s overall effect on membrane permeability; (ii) analyzing the intrinsic hydraulic resistance induced by each fraction; (iii) studying their adsorption on the active layer of an RO membrane using a quartz crystal microbalance with dissipation monitoring (QCM-D); (iv) assessing their “dry” molecular mass when adsorbed on polyamide using localized surface plasmon resonance (LSPR) sensing; (v) analyzing their hydrodynamic radii by dynamic light scattering (DLS); and (vi) characterization using excitation–emission matrix (EEM) analysis and parallel-factor (PARAFAC) modeling. Hydrophobic and transphilic neutral fractions (containing </w:instrText>
      </w:r>
      <w:r w:rsidR="00A51550">
        <w:rPr>
          <w:rFonts w:ascii="Cambria Math" w:hAnsi="Cambria Math" w:cs="Cambria Math"/>
        </w:rPr>
        <w:instrText>∼</w:instrText>
      </w:r>
      <w:r w:rsidR="00A51550">
        <w:instrText xml:space="preserve">12.5% total organic carbon) have the greatest effect on membrane flux reduction and the highest hydraulic resistance and adhere most strongly to polyamide surfaces, resulting in the highest adsorbed “dry” mass. Therefore, in terms of their effect on RO permeate flux reduction, these fractions are the most detrimental in the EfOM mix. EEM analysis and associated PARAFAC modeling indicate that the main components causing this effect are mixtures of protein-like compounds, together with humic-like substances. Novel LSPR-based analysis elucidated the role of the fractions most detrimental to membrane permeability through measurement of dry mass surface concentration on a polyamide mimetic sensor. This study provides valuable insights into the roles of different EfOM fractions in RO membrane fouling and enhances our understanding of fouling during tertiary wastewater desalination.","container-title":"ACS ES&amp;T Water","DOI":"10.1021/acsestwater.3c00116","issue":"8","journalAbbreviation":"ACS EST Water","note":"publisher: American Chemical Society","page":"2491-2501","source":"ACS Publications","title":"Fouling of Reverse Osmosis Membrane with Effluent Organic Matter: Componential Role of Hydrophobicity","title-short":"Fouling of Reverse Osmosis Membrane with Effluent Organic Matter","volume":"3","author":[{"family":"Stein","given":"Noa"},{"family":"Sharon-Gojman","given":"Revital"},{"family":"Mauter","given":"Meagan S."},{"family":"Bernstein","given":"Roy"},{"family":"Herzberg","given":"Moshe"}],"issued":{"date-parts":[["2023",8,11]]}}}],"schema":"https://github.com/citation-style-language/schema/raw/master/csl-citation.json"} </w:instrText>
      </w:r>
      <w:r w:rsidR="00AE2DE8">
        <w:fldChar w:fldCharType="separate"/>
      </w:r>
      <w:r w:rsidR="005C324C" w:rsidRPr="005C324C">
        <w:t>[80]</w:t>
      </w:r>
      <w:r w:rsidR="00AE2DE8">
        <w:fldChar w:fldCharType="end"/>
      </w:r>
      <w:r>
        <w:t xml:space="preserve">. Although useful, evidently, a single excitation spectrum cannot provide the same amount of information </w:t>
      </w:r>
      <w:r>
        <w:lastRenderedPageBreak/>
        <w:t xml:space="preserve">than a three-dimensional one as an EEM. Fortunately, due to the constant advancements on fluorescence spectrometers (as the incorporation of multiple single wavelength LED as excitation source instead of typical Xe lamp and monochromator </w:t>
      </w:r>
      <w:r w:rsidR="00AE2DE8">
        <w:fldChar w:fldCharType="begin"/>
      </w:r>
      <w:r w:rsidR="00A51550">
        <w:instrText xml:space="preserve"> ADDIN ZOTERO_ITEM CSL_CITATION {"citationID":"5RaS6gBz","properties":{"formattedCitation":"[82]","plainCitation":"[82]","noteIndex":0},"citationItems":[{"id":1268,"uris":["http://zotero.org/users/local/8TMZWfC3/items/8ZXPXXPJ"],"itemData":{"id":1268,"type":"article-journal","abstract":"We present a new rapid-acquisition HPLC detector based on a Hadamard-transform (HT) excitation-emission-matrix (EEM) fluorescence spectrometer allowing the acquisition of two-dimensional spectra at a rate faster than 6 spectra per second (&lt;150 ms per spectrum). The instrument uses discrete ultraviolet light emitting diode (UV LED) light sources which are multiplexed using patterns derived from a Hadamard-matrix and affords faster spectral acquisition compared to conventional sequentially scanning EEM spectrometers. This new programmable light source was combined with a commercial fluorescence spectrometer and integrated as a detector into an HPLC system. We characterize the HT-EEM spectrometer by rapidly separating and detecting a mixture of five different coumarin dyes, with all five analytes eluting in under 2 min. A parallel factor analysis (PARAFAC) algorithm was able to readily separate and identify all coumarin fluorophores without any prior knowledge of the system, even decomposing two coeluting analytes into two distinct PARAFAC components. The HT-EEM spectrometer provides a novel and versatile detection technique suited for rapid online analysis and quantification of analytes in separation methods such as HPLC.","container-title":"Analytical Chemistry","DOI":"10.1021/acs.analchem.1c01037","ISSN":"0003-2700","issue":"23","journalAbbreviation":"Anal. Chem.","note":"publisher: American Chemical Society","page":"8116-8121","source":"ACS Publications","title":"HPLC-Detector Based on Hadamard-Transform Fluorescence Excitation-Emission-Matrix Spectroscopy","volume":"93","author":[{"family":"Ferguson","given":"Travis"},{"family":"Bernicky","given":"Adam"},{"family":"Kozin","given":"Igor"},{"family":"Loock","given":"Hans-Peter"}],"issued":{"date-parts":[["2021",6,15]]}}}],"schema":"https://github.com/citation-style-language/schema/raw/master/csl-citation.json"} </w:instrText>
      </w:r>
      <w:r w:rsidR="00AE2DE8">
        <w:fldChar w:fldCharType="separate"/>
      </w:r>
      <w:r w:rsidR="005C324C" w:rsidRPr="005C324C">
        <w:t>[82]</w:t>
      </w:r>
      <w:r w:rsidR="00AE2DE8">
        <w:fldChar w:fldCharType="end"/>
      </w:r>
      <w:r>
        <w:t>) will allow the development of economic equipment for instantaneous acquisition of EEM, allowing a true on-line monitoring instead of sampling and measuring on conventional fluorescence spectrometers, where the complete acquisition of an EEM might take between 10 or 40 min depending on the instrument.</w:t>
      </w:r>
    </w:p>
    <w:p w14:paraId="3113813B" w14:textId="61AE5A3C" w:rsidR="00A77221" w:rsidRDefault="00A77221" w:rsidP="00A77221">
      <w:pPr>
        <w:spacing w:before="240" w:after="240"/>
        <w:ind w:firstLine="0"/>
      </w:pPr>
      <w:r>
        <w:rPr>
          <w:rFonts w:ascii="Cardo" w:eastAsia="Cardo" w:hAnsi="Cardo" w:cs="Cardo"/>
        </w:rPr>
        <w:t xml:space="preserve">Figure </w:t>
      </w:r>
      <w:r w:rsidR="00C84F2E">
        <w:rPr>
          <w:rFonts w:ascii="Cardo" w:eastAsia="Cardo" w:hAnsi="Cardo" w:cs="Cardo"/>
        </w:rPr>
        <w:t>5</w:t>
      </w:r>
      <w:r>
        <w:rPr>
          <w:rFonts w:ascii="Cardo" w:eastAsia="Cardo" w:hAnsi="Cardo" w:cs="Cardo"/>
        </w:rPr>
        <w:t xml:space="preserve"> shows the emission regions of the </w:t>
      </w:r>
      <w:r w:rsidR="00E63DB9">
        <w:rPr>
          <w:rFonts w:ascii="Cardo" w:eastAsia="Cardo" w:hAnsi="Cardo" w:cs="Cardo"/>
        </w:rPr>
        <w:t xml:space="preserve">different classes of DOM most frequently </w:t>
      </w:r>
      <w:r>
        <w:rPr>
          <w:rFonts w:ascii="Cardo" w:eastAsia="Cardo" w:hAnsi="Cardo" w:cs="Cardo"/>
        </w:rPr>
        <w:t xml:space="preserve">found: tyrosine-like, tryptophan-like, and humic/fulvic acid-like. The latter, being the one with the highest molecular size and greater content on conjugated double bonds, when </w:t>
      </w:r>
      <w:r w:rsidR="004F22BB">
        <w:rPr>
          <w:rFonts w:ascii="Cardo" w:eastAsia="Cardo" w:hAnsi="Cardo" w:cs="Cardo"/>
        </w:rPr>
        <w:t>oxidized</w:t>
      </w:r>
      <w:r>
        <w:rPr>
          <w:rFonts w:ascii="Cardo" w:eastAsia="Cardo" w:hAnsi="Cardo" w:cs="Cardo"/>
        </w:rPr>
        <w:t>, typically exhibits blue-shifts (change of fluorescence fingerprint to shorter excitation and emission wavelengths) of its emission maximum, indicating an increase of the HOMO – LUMO difference. This explains the increase of tryptophane-like scores (λ</w:t>
      </w:r>
      <w:r w:rsidRPr="00454BA1">
        <w:rPr>
          <w:rFonts w:ascii="Cardo" w:eastAsia="Cardo" w:hAnsi="Cardo" w:cs="Cardo"/>
          <w:vertAlign w:val="subscript"/>
        </w:rPr>
        <w:t>exc</w:t>
      </w:r>
      <w:r>
        <w:rPr>
          <w:rFonts w:ascii="Cardo" w:eastAsia="Cardo" w:hAnsi="Cardo" w:cs="Cardo"/>
        </w:rPr>
        <w:t xml:space="preserve"> &lt; 250 nm; λ</w:t>
      </w:r>
      <w:r w:rsidRPr="00454BA1">
        <w:rPr>
          <w:rFonts w:ascii="Cardo" w:eastAsia="Cardo" w:hAnsi="Cardo" w:cs="Cardo"/>
          <w:vertAlign w:val="subscript"/>
        </w:rPr>
        <w:t>em</w:t>
      </w:r>
      <w:r>
        <w:rPr>
          <w:rFonts w:ascii="Cardo" w:eastAsia="Cardo" w:hAnsi="Cardo" w:cs="Cardo"/>
        </w:rPr>
        <w:t xml:space="preserve"> ≈ 350 nm) while observing a decay for humic acid-like ones (λ</w:t>
      </w:r>
      <w:r w:rsidRPr="00454BA1">
        <w:rPr>
          <w:rFonts w:ascii="Cardo" w:eastAsia="Cardo" w:hAnsi="Cardo" w:cs="Cardo"/>
          <w:vertAlign w:val="subscript"/>
        </w:rPr>
        <w:t>exc</w:t>
      </w:r>
      <w:r>
        <w:rPr>
          <w:rFonts w:ascii="Cardo" w:eastAsia="Cardo" w:hAnsi="Cardo" w:cs="Cardo"/>
        </w:rPr>
        <w:t xml:space="preserve"> ≈ 250 nm; λ</w:t>
      </w:r>
      <w:r w:rsidRPr="00454BA1">
        <w:rPr>
          <w:rFonts w:ascii="Cardo" w:eastAsia="Cardo" w:hAnsi="Cardo" w:cs="Cardo"/>
          <w:vertAlign w:val="subscript"/>
        </w:rPr>
        <w:t>em</w:t>
      </w:r>
      <w:r>
        <w:rPr>
          <w:rFonts w:ascii="Cardo" w:eastAsia="Cardo" w:hAnsi="Cardo" w:cs="Cardo"/>
        </w:rPr>
        <w:t xml:space="preserve"> ≈ 450 nm) </w:t>
      </w:r>
      <w:r w:rsidR="00AE2DE8">
        <w:rPr>
          <w:rFonts w:ascii="Cardo" w:eastAsia="Cardo" w:hAnsi="Cardo" w:cs="Cardo"/>
        </w:rPr>
        <w:fldChar w:fldCharType="begin"/>
      </w:r>
      <w:r w:rsidR="00A51550">
        <w:rPr>
          <w:rFonts w:ascii="Cardo" w:eastAsia="Cardo" w:hAnsi="Cardo" w:cs="Cardo"/>
        </w:rPr>
        <w:instrText xml:space="preserve"> ADDIN ZOTERO_ITEM CSL_CITATION {"citationID":"fPSun2eh","properties":{"formattedCitation":"[83,84]","plainCitation":"[83,84]","noteIndex":0},"citationItems":[{"id":1267,"uris":["http://zotero.org/users/local/8TMZWfC3/items/MJDUVM9B"],"itemData":{"id":1267,"type":"article-journal","abstract":"In this study, different fluorescent constituents of dissolved organic matter (DOM) with terrestrial sources and their membrane fouling potentials were tracked in the hybrid ultrafiltration (UF) processes adopting UV photooxidation with TiO2 nanoparticles (NPs) as a form of pretreatment via fluorescence excitation emission matrix coupled with parallel factor analysis (EEM-PARAFAC). The photocatalytic oxidation processes consistently resulted in enhanced removal rates of DOM and membrane fouling mitigation regardless of DOM sources. EEM-PARAFAC decomposed bulk DOM into four different fluorescent DOM (FDOM) components including three humic-like components (C1, C2, and C3) and one protein/polyphenol-like component (C4). The results showed that direct hole oxidation was primarily involved in attacking large sized humic-like C1 on TiO2 surfaces, while indirect oxidation with hydroxyl radicals was responsible for the removal of the small sized humic-like C3 and C4. Under a short irradiation period of 30min, the intermediate-sized humic-like C2 was released into solutions from adsorbed C1. Among the FDOM components, C4 was the most associated with reversible fouling of the hybrid UF system, while C1 contributed most of the fouling of the UF system without the photocatalysis. Meanwhile, C3 was the most important FDOM component responsible for irreversible fouling, and the contribution was more pronounced at longer irradiation. This study revealed the great applicability of EEM-PARAFAC in probing the extent of membrane fouling in TiO2/UV-UF hybrid systems. Considering the unique characteristics of the individual FDOM components, EEM-PARAFAC can provide valuable information providing further insight into system optimization as well as predictions of the treated water quality.","container-title":"Journal of Membrane Science","DOI":"10.1016/j.memsci.2017.12.020","ISSN":"0376-7388","journalAbbreviation":"Journal of Membrane Science","page":"275-282","source":"ScienceDirect","title":"Tracking fluorescent dissolved organic matter in hybrid ultrafiltration systems with TiO2/UV oxidation via EEM-PARAFAC","volume":"549","author":[{"family":"Ly","given":"Quang Viet"},{"family":"Kim","given":"Hyun-Chul"},{"family":"Hur","given":"Jin"}],"issued":{"date-parts":[["2018",3,1]]}}},{"id":1271,"uris":["http://zotero.org/users/local/8TMZWfC3/items/JIHKIKFG"],"itemData":{"id":1271,"type":"article-journal","abstract":"The composition of natural organic matter (NOM) fractions before and after the reaction with chlorine dioxide as well as ozone was studied by means of total luminescence spectroscopy (TLS) and synchronous scanning fluorescence measurements. The excitation–emission matrices spectra (EEMs) of natural as well as oxidised NOM fractions revealed two well-resolved bands with maxima at Ex/Em of 250–265/422–452nm and at Ex/Em 300–336/414–446nm ascribed to humic and fulvic material. The study of emission and synchronous spectra also confirmed the presence of protein-like constituents in all examined NOM fractions. The study of EEMs proved, that oxidation of all NOM fractions with ClO2 caused mainly the break-up of molecules into smaller fragments and a decrease of the aromaticity. Changes in EEMs after the oxidation of individual NOM fractions with O3 confirmed the formation of a significant amount of ozonation by-products, i.e. carboxylic acids, aldehydes and ketones during the oxidation process. In addition, the fluorescence studies confirmed relatively high reactivity of all NOM fractions with ClO2 as well as with ozone.","container-title":"Water Research","DOI":"10.1016/j.watres.2004.06.010","ISSN":"0043-1354","issue":"17","journalAbbreviation":"Water Research","page":"3791-3799","source":"ScienceDirect","title":"Application of fluorescence spectroscopy in the studies of natural organic matter fractions reactivity with chlorine dioxide and ozone","volume":"38","author":[{"family":"Świetlik","given":"Joanna"},{"family":"Sikorska","given":"Ewa"}],"issued":{"date-parts":[["2004",10,1]]}}}],"schema":"https://github.com/citation-style-language/schema/raw/master/csl-citation.json"} </w:instrText>
      </w:r>
      <w:r w:rsidR="00AE2DE8">
        <w:rPr>
          <w:rFonts w:ascii="Cardo" w:eastAsia="Cardo" w:hAnsi="Cardo" w:cs="Cardo"/>
        </w:rPr>
        <w:fldChar w:fldCharType="separate"/>
      </w:r>
      <w:r w:rsidR="005C324C" w:rsidRPr="005C324C">
        <w:rPr>
          <w:rFonts w:ascii="Cardo" w:eastAsia="Cardo" w:hAnsi="Cardo"/>
        </w:rPr>
        <w:t>[83,84]</w:t>
      </w:r>
      <w:r w:rsidR="00AE2DE8">
        <w:rPr>
          <w:rFonts w:ascii="Cardo" w:eastAsia="Cardo" w:hAnsi="Cardo" w:cs="Cardo"/>
        </w:rPr>
        <w:fldChar w:fldCharType="end"/>
      </w:r>
      <w:r>
        <w:rPr>
          <w:rFonts w:ascii="Cardo" w:eastAsia="Cardo" w:hAnsi="Cardo" w:cs="Cardo"/>
        </w:rPr>
        <w:t>.</w:t>
      </w:r>
    </w:p>
    <w:p w14:paraId="54518428" w14:textId="77777777" w:rsidR="00A77221" w:rsidRDefault="00A77221" w:rsidP="00A77221">
      <w:pPr>
        <w:spacing w:before="240" w:after="240"/>
        <w:ind w:firstLine="0"/>
      </w:pPr>
    </w:p>
    <w:p w14:paraId="5647D68F" w14:textId="77777777" w:rsidR="00F41D90" w:rsidRDefault="00F41D90" w:rsidP="00A77221">
      <w:pPr>
        <w:spacing w:before="240" w:after="240"/>
        <w:ind w:firstLine="0"/>
      </w:pPr>
      <w:r>
        <w:rPr>
          <w:noProof/>
          <w:lang w:val="it-IT" w:eastAsia="it-IT"/>
        </w:rPr>
        <w:drawing>
          <wp:inline distT="0" distB="0" distL="0" distR="0" wp14:anchorId="26F85025" wp14:editId="1F275F1B">
            <wp:extent cx="5760085" cy="2185831"/>
            <wp:effectExtent l="0" t="0" r="0" b="5080"/>
            <wp:docPr id="1" name="Immagine 1"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085" cy="2185831"/>
                    </a:xfrm>
                    <a:prstGeom prst="rect">
                      <a:avLst/>
                    </a:prstGeom>
                    <a:noFill/>
                    <a:ln>
                      <a:noFill/>
                    </a:ln>
                  </pic:spPr>
                </pic:pic>
              </a:graphicData>
            </a:graphic>
          </wp:inline>
        </w:drawing>
      </w:r>
    </w:p>
    <w:p w14:paraId="1CFF1899" w14:textId="683E057E" w:rsidR="00A77221" w:rsidRDefault="00A77221" w:rsidP="00A77221">
      <w:pPr>
        <w:spacing w:before="240" w:after="240"/>
        <w:ind w:firstLine="0"/>
        <w:rPr>
          <w:highlight w:val="yellow"/>
        </w:rPr>
      </w:pPr>
      <w:r>
        <w:t xml:space="preserve">Figure </w:t>
      </w:r>
      <w:r w:rsidR="00C84F2E">
        <w:t>5</w:t>
      </w:r>
      <w:r>
        <w:t xml:space="preserve">. </w:t>
      </w:r>
      <w:r w:rsidR="00C94B4F">
        <w:t>(</w:t>
      </w:r>
      <w:r>
        <w:t>a</w:t>
      </w:r>
      <w:r w:rsidR="00C94B4F">
        <w:t xml:space="preserve">) </w:t>
      </w:r>
      <w:r>
        <w:t xml:space="preserve">The EEM maxima of PARAFAC components identified from DWTP and WWTP: tyrosine-like (Ty), tryptophan-like (Try), protein/amino acid-like (Pro), microbial humic/fulvic acid-like (MH/FA), terrestrial humic/humic acid-like (TH/HA), humic-like (H); others: undefined/special components. </w:t>
      </w:r>
      <w:r w:rsidR="00C94B4F">
        <w:t>(</w:t>
      </w:r>
      <w:r>
        <w:t>b–e</w:t>
      </w:r>
      <w:r w:rsidR="00C94B4F">
        <w:t xml:space="preserve">) </w:t>
      </w:r>
      <w:r>
        <w:t>Typical fluorescence fingerprints of tyrosine-like, tryptophan-like, microbial humic-like, and terrestrial humic-like components, respectively. Figure reprinted with permission of Springer</w:t>
      </w:r>
      <w:r w:rsidR="00D07FE4">
        <w:t xml:space="preserve"> </w:t>
      </w:r>
      <w:r>
        <w:t xml:space="preserve">Nature, reference </w:t>
      </w:r>
      <w:r w:rsidR="00AE2DE8">
        <w:fldChar w:fldCharType="begin"/>
      </w:r>
      <w:r w:rsidR="00A51550">
        <w:instrText xml:space="preserve"> ADDIN ZOTERO_ITEM CSL_CITATION {"citationID":"afvHrsLm","properties":{"formattedCitation":"[85]","plainCitation":"[85]","noteIndex":0},"citationItems":[{"id":1283,"uris":["http://zotero.org/users/local/8TMZWfC3/items/SAM4A6E2"],"itemData":{"id":1283,"type":"article-journal","abstract":"Fluorescence excitation emission matrices-parallel factor analysis (EEM-PARAFAC) is a powerful tool for characterizing dissolved organic matter (DOM), and it is applied in a rapidly growing number of studies on drinking water and wastewater treatments. This paper presents an overview of recent findings about the occurrence and behavior of PARAFAC components in drinking water and wastewater treatments, as well as their feasibility for assessing the treatment performance and water quality including disinfection by-product formation potentials (DBPs FPs). A variety of humic-like, protein-like, and unique (e.g., pyrene-like) fluorescent components have been identified, providing valuable insights into the chemical composition of DOM and the effects of various treatment processes in engineered systems. Coagulation/flocculation-clarification preferentially removes humic-like components, and additional treatments such as biological activated carbon filtration, anion exchange, and UV irradiation can further remove DOM from drinking water. In contrast, biological treatments are more effective for protein-like components in wastewater treatments. PARAFAC components have been proven to be valuable as surrogates for conventional water quality parameter, to track the changes of organic matter quantity and quality in drinking water and wastewater treatments. They are also feasible for assessing formations of trihalomethanes and other DBPs and evaluating treatment system performance. Further studies of EEM-PARAFAC for assessing the effects of the raw water quality and variable treatment conditions on the removal of DOM, and the formation potentials of various emerging DBPs, are essential for optimizing the treatment processes to ensure treated water quality.","container-title":"Environmental Science and Pollution Research","DOI":"10.1007/s11356-015-4214-3","ISSN":"1614-7499","issue":"9","journalAbbreviation":"Environ Sci Pollut Res","language":"en","page":"6500-6510","source":"Springer Link","title":"Occurrence and behaviors of fluorescence EEM-PARAFAC components in drinking water and wastewater treatment systems and their applications: a review","title-short":"Occurrence and behaviors of fluorescence EEM-PARAFAC components in drinking water and wastewater treatment systems and their applications","volume":"22","author":[{"family":"Yang","given":"Liyang"},{"family":"Hur","given":"Jin"},{"family":"Zhuang","given":"Wane"}],"issued":{"date-parts":[["2015",5,1]]}}}],"schema":"https://github.com/citation-style-language/schema/raw/master/csl-citation.json"} </w:instrText>
      </w:r>
      <w:r w:rsidR="00AE2DE8">
        <w:fldChar w:fldCharType="separate"/>
      </w:r>
      <w:r w:rsidR="005C324C" w:rsidRPr="005C324C">
        <w:t>[85]</w:t>
      </w:r>
      <w:r w:rsidR="00AE2DE8">
        <w:fldChar w:fldCharType="end"/>
      </w:r>
      <w:r>
        <w:t xml:space="preserve">. </w:t>
      </w:r>
    </w:p>
    <w:p w14:paraId="015F6799" w14:textId="499C2A2B" w:rsidR="00A77221" w:rsidRDefault="00A77221" w:rsidP="00A77221">
      <w:pPr>
        <w:spacing w:before="240" w:after="240"/>
        <w:ind w:firstLine="0"/>
      </w:pPr>
      <w:r>
        <w:t xml:space="preserve">Several authors reported that some PARAFAC components scores were correlated with biological oxygen demand (BOD), chemical oxygen demand (COD) </w:t>
      </w:r>
      <w:r w:rsidR="00AE2DE8">
        <w:fldChar w:fldCharType="begin"/>
      </w:r>
      <w:r w:rsidR="00A51550">
        <w:instrText xml:space="preserve"> ADDIN ZOTERO_ITEM CSL_CITATION {"citationID":"7oofja5R","properties":{"formattedCitation":"[86]","plainCitation":"[86]","noteIndex":0},"citationItems":[{"id":1281,"uris":["http://zotero.org/users/local/8TMZWfC3/items/M9ZRKY4M"],"itemData":{"id":1281,"type":"article-journal","abstract":"The development of a real-time monitoring tool for the estimation of water quality is essential for efficient management of river pollution in urban areas. The Gap River in Korea is a typical urban river, which is affected by the effluent of a wastewater treatment plant (WWTP) and various anthropogenic activities. In this study, fluorescence excitation-emission matrices (EEM) with parallel factor analysis (PARAFAC) and UV absorption values at 220 nm and 254 nm were applied to evaluate the estimation capabilities for biochemical oxygen demand (BOD), chemical oxygen demand (COD), and total nitrogen (TN) concentrations of the river samples. Three components were successfully identified by the PARAFAC modeling from the fluorescence EEM data, in which each fluorophore group represents microbial humic-like (C1), terrestrial humic-like organic substances (C2), and protein-like organic substances (C3), and UV absorption indices (UV220 and UV254), and the score values of the three PARAFAC components were selected as the estimation parameters for the nitrogen and the organic pollution of the river samples. Among the selected indices, UV220, C3 and C1 exhibited the highest correlation coefficients with BOD, COD, and TN concentrations, respectively. Multiple regression analysis using UV220 and C3 demonstrated the enhancement of the prediction capability for TN.","container-title":"Sensors","DOI":"10.3390/s120100972","ISSN":"1424-8220","issue":"1","language":"en","license":"http://creativecommons.org/licenses/by/3.0/","note":"number: 1\npublisher: Molecular Diversity Preservation International","page":"972-986","source":"www.mdpi.com","title":"Prediction of BOD, COD, and Total Nitrogen Concentrations in a Typical Urban River Using a Fluorescence Excitation-Emission Matrix with PARAFAC and UV Absorption Indices","volume":"12","author":[{"family":"Hur","given":"Jin"},{"family":"Cho","given":"Jinwoo"}],"issued":{"date-parts":[["2012",1]]}}}],"schema":"https://github.com/citation-style-language/schema/raw/master/csl-citation.json"} </w:instrText>
      </w:r>
      <w:r w:rsidR="00AE2DE8">
        <w:fldChar w:fldCharType="separate"/>
      </w:r>
      <w:r w:rsidR="005C324C" w:rsidRPr="005C324C">
        <w:t>[86]</w:t>
      </w:r>
      <w:r w:rsidR="00AE2DE8">
        <w:fldChar w:fldCharType="end"/>
      </w:r>
      <w:r>
        <w:t xml:space="preserve">, chlorinated DBP </w:t>
      </w:r>
      <w:r w:rsidR="00AE2DE8">
        <w:fldChar w:fldCharType="begin"/>
      </w:r>
      <w:r w:rsidR="00A51550">
        <w:instrText xml:space="preserve"> ADDIN ZOTERO_ITEM CSL_CITATION {"citationID":"ah1YuVs8","properties":{"formattedCitation":"[87]","plainCitation":"[87]","noteIndex":0},"citationItems":[{"id":1279,"uris":["http://zotero.org/users/local/8TMZWfC3/items/A3ZHM347"],"itemData":{"id":1279,"type":"article-journal","abstract":"The formation of disinfection byproducts (DBPs) is a major challenge in drinking water treatments. This study explored the applicability of fluorescence excitation–emission matrices and parallel factor analysis (EEM–PARAFAC) for assessing the formation potentials (FPs) of trihalomethanes (THMs) and N-nitrosodimethylamine (NDMA), and the treatability of THM and NDMA precursors in nine drinking water treatment plants. Two humic-like and one tryptophan-like components were identified for the samples using PARAFAC. The total THM FP (TTHM FP) correlated strongly with humic-like component C2 (r=0.874), while NDMA FP showed a moderate and significant correlation with the tryptophan-like component C3 (r=0.628). The reduction by conventional treatment was more effective for C2 than C3, and for TTHM FP than NDMA FP. The treatability of DOM and TTHM FP correlated negatively with the absorption spectral slope (S275–295) and biological index (BIX) of the raw water, but it correlated positively with humification index (HIX). Our results demonstrated that PARAFAC components were valuable for assessing DBPs FP in drinking water treatments, and also that the raw water quality could affect the treatment efficiency.","container-title":"Chemosphere","DOI":"10.1016/j.chemosphere.2014.11.033","ISSN":"0045-6535","journalAbbreviation":"Chemosphere","page":"84-91","source":"ScienceDirect","title":"Assessing trihalomethanes (THMs) and &lt;i&gt;N&lt;/i&gt;-nitrosodimethylamine (NDMA) formation potentials in drinking water treatment plants using fluorescence spectroscopy and parallel factor analysis","volume":"121","author":[{"family":"Yang","given":"Liyang"},{"family":"Kim","given":"Daekyun"},{"family":"Uzun","given":"Habibullah"},{"family":"Karanfil","given":"Tanju"},{"family":"Hur","given":"Jin"}],"issued":{"date-parts":[["2015",2,1]]}}}],"schema":"https://github.com/citation-style-language/schema/raw/master/csl-citation.json"} </w:instrText>
      </w:r>
      <w:r w:rsidR="00AE2DE8">
        <w:fldChar w:fldCharType="separate"/>
      </w:r>
      <w:r w:rsidR="005C324C" w:rsidRPr="005C324C">
        <w:t>[87]</w:t>
      </w:r>
      <w:r w:rsidR="00AE2DE8">
        <w:fldChar w:fldCharType="end"/>
      </w:r>
      <w:r>
        <w:t xml:space="preserve">, or even concentration of emerging contaminants (e.g. pharmaceuticals, hormones, pesticides) </w:t>
      </w:r>
      <w:r w:rsidR="00AE2DE8">
        <w:fldChar w:fldCharType="begin"/>
      </w:r>
      <w:r w:rsidR="00A51550">
        <w:instrText xml:space="preserve"> ADDIN ZOTERO_ITEM CSL_CITATION {"citationID":"SkYNE6Ro","properties":{"formattedCitation":"[88,89]","plainCitation":"[88,89]","noteIndex":0},"citationItems":[{"id":1278,"uris":["http://zotero.org/users/local/8TMZWfC3/items/34CGMKDB"],"itemData":{"id":1278,"type":"article-journal","abstract":"Monitoring the removal of organic micropollutants (OMPs) in advanced wastewater treatment facilities requires expensive and time-consuming analytical methods that cannot be installed online. Spectroscopic techniques such as fluorescence excitation/emission spectroscopy were demonstrated to offer the potential for monitoring OMPs removal in conventional wastewater treatment plants or ozonation pilots but their application to activated carbon (AC) adsorption processes was only investigated at lab scale and not in real treatment facilities. In this study, indexes from fluorescence emission/excitation matrices (EEMs) were used to find correlations with the removal of 28 OMPs from a large-scale AC pilot in fluidized bed employed for wastewater advanced treatment, as well as from batch experiments. Differences in OMPs removal could be observed depending on the operational conditions (i.e. pilot or batch experiments, contact time, type of AC) and the physico-chemical properties of the molecules. 7 PARAFAC components were derived from the fluorescence EEMs of 60 samples obtained before and after adsorption. Positive correlations were obtained between the removal of fluorescence indexes and most OMPs, and correlation coefficients were much higher than the ones obtained with UV254, confirming the interesting potential of fluorescence spectroscopy to accurately monitor adsorption performances at the industrial scale. The highest correlation coefficients were obtained for OMPs having the best removals while the ones that were refractory to adsorption, as well as to interactions with DOM, exhibited weak correlations. These results suggest that interactions between OMPs and fluorescing DOM and their subsequent co-adsorption onto AC were at the origin of the correlations found. Lower correlations were also found for the most biodegradable OMPs, which indicated that the occurrence of biological effects could make the monitoring of these compounds more challenging.","container-title":"Water Research","DOI":"10.1016/j.watres.2020.116749","ISSN":"0043-1354","journalAbbreviation":"Water Research","page":"116749","source":"ScienceDirect","title":"Fluorescence excitation/emission matrices as a tool to monitor the removal of organic micropollutants from wastewater effluents by adsorption onto activated carbon","volume":"190","author":[{"family":"Guillossou","given":"Ronan"},{"family":"Le Roux","given":"Julien"},{"family":"Goffin","given":"Angélique"},{"family":"Mailler","given":"Romain"},{"family":"Varrault","given":"Gilles"},{"family":"Vulliet","given":"Emmanuelle"},{"family":"Morlay","given":"Catherine"},{"family":"Nauleau","given":"Fabrice"},{"family":"Guérin","given":"Sabrina"},{"family":"Rocher","given":"Vincent"},{"family":"Gaspéri","given":"Johnny"}],"issued":{"date-parts":[["2021",2,15]]}}},{"id":1277,"uris":["http://zotero.org/users/local/8TMZWfC3/items/HS4LHIJP"],"itemData":{"id":1277,"type":"article-journal","abstract":"This study investigated the applicability of different techniques for fluorescence excitation/emission matrices data interpretations, including peak-picking method, fluorescence regional integration and PARAFAC modelling, to act as surrogates in predicting emerging trace organic compounds (ETOrCs) removal during conventional wastewater treatments that usually comprise primary and secondary treatments. Results showed that fluorescence indexes developed using alternative methodologies but indicative of a same dissolved organic matter component resulted in similar predictions of the removal of the target compounds. The peak index defined by the excitation/emission wavelength positions (λex/λem) 225/290nm and related to aromatic proteins and tyrosine-like fluorescence was determined to be a particularly suitable surrogate for monitoring ETOrCs that had very high removal rates (average removal &gt;70%) (i.e., triclosan, caffeine and ibuprofen). The peak index defined by λex/λem=245/440nm and the PARAFAC component with wavelength of the maxima λex/λem=245, 350/450, both identified as humic-like fluorescence, were found remarkably well correlated with ETOrCs such as atenolol, naproxen and gemfibrozil that were moderately removed (51–70% average removal). Finally, the PARAFAC component with wavelength of the maxima λex/λem=&lt;240, 315/380 identified as microbial humic-like fluorescence was the only index correlated with the removal of the antibiotic trimethoprim (average removal 68%).","collection-title":"Special Issue on Emerging Contaminants in engineered and natural environment","container-title":"Journal of Hazardous Materials","DOI":"10.1016/j.jhazmat.2016.05.035","ISSN":"0304-3894","journalAbbreviation":"Journal of Hazardous Materials","page":"367-376","source":"ScienceDirect","title":"Use of fluorescence EEM to monitor the removal of emerging contaminants in full scale wastewater treatment plants","volume":"323","author":[{"family":"Sgroi","given":"Massimiliano"},{"family":"Roccaro","given":"Paolo"},{"family":"Korshin","given":"Gregory V."},{"family":"Greco","given":"Valentina"},{"family":"Sciuto","given":"Sebastiano"},{"family":"Anumol","given":"Tarun"},{"family":"Snyder","given":"Shane A."},{"family":"Vagliasindi","given":"Federico G. A."}],"issued":{"date-parts":[["2017",2,5]]}}}],"schema":"https://github.com/citation-style-language/schema/raw/master/csl-citation.json"} </w:instrText>
      </w:r>
      <w:r w:rsidR="00AE2DE8">
        <w:fldChar w:fldCharType="separate"/>
      </w:r>
      <w:r w:rsidR="005C324C" w:rsidRPr="005C324C">
        <w:t>[88,89]</w:t>
      </w:r>
      <w:r w:rsidR="00AE2DE8">
        <w:fldChar w:fldCharType="end"/>
      </w:r>
      <w:r>
        <w:t xml:space="preserve">. From these findings, the latter is truly useful, as predictions can be made just from fluorescence spectroscopy measurements on the degradation of emerging contaminants, thus avoiding expensive and time-consuming LC/MS-MS analysis. </w:t>
      </w:r>
      <w:r w:rsidR="00C94B4F">
        <w:t>For the same reasons</w:t>
      </w:r>
      <w:r>
        <w:t xml:space="preserve">, screening methods as EEM-PARAFAC are becoming useful to study, at laboratory scale, chemical reactions between fluorescent compounds, allowing the extraction of high amount of information about their reaction mechanism (e.g. formation of by-products and </w:t>
      </w:r>
      <w:r>
        <w:lastRenderedPageBreak/>
        <w:t xml:space="preserve">plausible molecular structure) by employing an equipment that is present in almost every water quality laboratory around the world </w:t>
      </w:r>
      <w:r w:rsidR="00AE2DE8">
        <w:fldChar w:fldCharType="begin"/>
      </w:r>
      <w:r w:rsidR="00A51550">
        <w:instrText xml:space="preserve"> ADDIN ZOTERO_ITEM CSL_CITATION {"citationID":"ETkt0oIw","properties":{"formattedCitation":"[74,90]","plainCitation":"[74,90]","noteIndex":0},"citationItems":[{"id":1248,"uris":["http://zotero.org/users/local/8TMZWfC3/items/YS4HT3VX"],"itemData":{"id":1248,"type":"article-journal","abstract":"Commercial (fluoro)quinolones ((F)Qs), ciprofloxacin (CIP), enrofloxacin (ENR), ofloxacin (OFL), oxolinic acid (OA) and flumequine (FLU) (3 μM each), were degraded with solar-photo-Fenton in a compound parabolic concentrator photoreactor (total volume 5 L) in ultra-pure water at pH = 5.0, salty water at pH = 5.0, and simulated wastewater at pH = 5.0 and 7.5. Iron speciation (its hydrolysis and the complexation with (F)Qs 15 μM and/or chlorides 0.5 M) was calculated at pH 5.0, observing, negligible formation of Fe(III)-chloride complexes, and that &gt;99 % of the total (F)Qs are forming complexes stoichiometry 1:1 with Fe(III) (which also increases the percentage of Fe(OH)2+), being minoritarian the free antibiotic form. On the other hand, EEM-PARAFAC (fluorescence excitation-emission matrices-parallel factor analysis) was employed to simultaneously study the behaviour of: i) 4 structure-related groups corresponding to parent pollutants and slightly oxidised by-products, ENR-like (including CIP), OFL-like, OA-like, FLU-like; ii) intermediates still showing (F)Q characteristics (exhibiting analogous fluorescent fingerprint to ENR-like one, but shifted to shorter wavelengths); iii) humic-like substances. The scores from the 4 PARAFAC components corresponding to the parent pollutants were plotted vs. accumulated energy, exhibiting slower decay than their individual removals (measured with HPLC-UV/vis) due to the contribution of the aforementioned by-products to the overall fluorescence. Moreover, thiabendazole (TBZ) 3 μM was added as fluorescence interference. The presence of (F)Qs greatly enhanced TBZ degradation due to (F)Q-Fe(III) complex formation, keeping iron active at pH = 5.0 for Fenton process. The EEM-PARAFAC model was able to recognise the former six components plus an additional one attributable to TBZ-like.","container-title":"Science of The Total Environment","DOI":"10.1016/j.scitotenv.2022.158338","ISSN":"0048-9697","journalAbbreviation":"Science of The Total Environment","page":"158338","source":"ScienceDirect","title":"EEM-PARAFAC as a convenient methodology to study fluorescent emerging pollutants degradation: (fluoro)quinolones oxidation in different water matrices","title-short":"EEM-PARAFAC as a convenient methodology to study fluorescent emerging pollutants degradation","volume":"852","author":[{"family":"Sciscenko","given":"Iván"},{"family":"Mora","given":"Margarita"},{"family":"Micó","given":"Pau"},{"family":"Escudero-Oñate","given":"Carlos"},{"family":"Oller","given":"Isabel"},{"family":"Arques","given":"Antonio"}],"issued":{"date-parts":[["2022",12,15]]}}},{"id":1274,"uris":["http://zotero.org/users/local/8TMZWfC3/items/2KBQ4TAC"],"itemData":{"id":1274,"type":"article-journal","abstract":"The fluorescence spectral fingerprint, also known as the excitation-emission matrix (EEM), is used to assess and visualize therapeutic drug photodegradation in combination with chemometrics. Examination of EEM-parallel factor analysis (PARAFAC) data showed that an individual component was easily separated from a mixture of photogenerated products of a heterocyclic pharmacophore, in this case, phenothiazine drugs (PTZs). Detailed investigations of both structure–EEM relationships and kinetics revealed that the components extracted from EEM–PARAFAC could be quantitatively attributed to such photogenerated products as phenothiazine sulfoxide and carbazole derivatives. EEM in combination with principal component analysis (PCA) could be used as a mapping tool to visualize information of the photodegradation process of PTZs. We also assessed the photostability of various types of PTZs containing side chains by using validated EEM–PARAFAC methodology.","container-title":"RSC Advances","DOI":"10.1039/D2RA03534K","ISSN":"2046-2069","issue":"32","journalAbbreviation":"RSC Adv.","language":"en","note":"publisher: The Royal Society of Chemistry","page":"20714-20720","source":"pubs.rsc.org","title":"Visualization of the photodegradation of a therapeutic drug by chemometric-assisted fluorescence spectroscopy","volume":"12","author":[{"family":"Tanioka","given":"Masaru"},{"family":"Ebihana","given":"Tsugumi"},{"family":"Uraguchi","given":"Manae"},{"family":"Shoji","given":"Haruka"},{"family":"Nakamura","given":"Yuka"},{"family":"Ueda","given":"Rina"},{"family":"Ogura","given":"Shota"},{"family":"Wakiya","given":"Yoshifumi"},{"family":"Obata","given":"Tohru"},{"family":"Ida","given":"Takahiro"},{"family":"Horigome","given":"Jun"},{"family":"Kamino","given":"Shinichiro"}],"issued":{"date-parts":[["2022",7,14]]}}}],"schema":"https://github.com/citation-style-language/schema/raw/master/csl-citation.json"} </w:instrText>
      </w:r>
      <w:r w:rsidR="00AE2DE8">
        <w:fldChar w:fldCharType="separate"/>
      </w:r>
      <w:r w:rsidR="005C324C" w:rsidRPr="005C324C">
        <w:t>[74,90]</w:t>
      </w:r>
      <w:r w:rsidR="00AE2DE8">
        <w:fldChar w:fldCharType="end"/>
      </w:r>
      <w:r>
        <w:t>.</w:t>
      </w:r>
    </w:p>
    <w:p w14:paraId="44160D08" w14:textId="6E2AC08F" w:rsidR="00A77221" w:rsidRDefault="00A77221" w:rsidP="00A77221">
      <w:pPr>
        <w:spacing w:before="240" w:after="240"/>
        <w:ind w:firstLine="0"/>
      </w:pPr>
      <w:r>
        <w:t xml:space="preserve">Regarding these less explored situations where to apply EEM-PARAFAC (reviewed on a recent work </w:t>
      </w:r>
      <w:r w:rsidR="00AE2DE8">
        <w:fldChar w:fldCharType="begin"/>
      </w:r>
      <w:r w:rsidR="00A51550">
        <w:instrText xml:space="preserve"> ADDIN ZOTERO_ITEM CSL_CITATION {"citationID":"GUMdyKTe","properties":{"formattedCitation":"[73]","plainCitation":"[73]","noteIndex":0},"citationItems":[{"id":1247,"uris":["http://zotero.org/users/local/8TMZWfC3/items/8X7PQJLV"],"itemData":{"id":1247,"type":"article-journal","abstract":"In this work, the application of EEM-PARAFAC (fluorescence excitation-emission matrix-parallel factor analysis) in water treatment processes, has been summarized. First, its most common use, the characterization and monitoring of dissolved organic matter (DOM) along freshwater ecosystems, drinking and wastewater treatment plants (DWTP and WWTP, respectively), was reviewed. In particular for DWWT/WWTP, the effect towards the different DOM fractions after adsorption, coagulation, biological/chemical processes or tertiary treatments (e.g. advanced oxidation processes), as well as the PARAFAC components scores (i.e. fluorescence intensity) correlation with disinfection by-products formation, were reported. On the other hand, barely barely for the first time, we also reviewed the emerging uses of EEM-PARAFAC focused on water treatment studies, such as, the simultaneous analysis of several fluorescent CECs degradation (with the concomitant formation of major by-products), the use of PARAFAC components scores decay to estimate certain CECs removals, the correlation of reactive oxygen species formation with the specific DOM fractions originating them, or even the study of interactions between DOM with other water constituents. Therefore, this study aims to extend the uses of this economical, reagentless and low time-consuming tool to obtain further insight into fluorescent compounds during water treatment processes, mainly to: i) tentatively elucidate structural modifications of target analyte (DOM or CECs), ii) obtain semi-quantitative data on parent pollutants and by-products variation, and iii) investigate the plausible mechanistic aspects which are involved.","container-title":"Chemical Engineering Journal Advances","DOI":"10.1016/j.ceja.2022.100286","ISSN":"2666-8211","journalAbbreviation":"Chemical Engineering Journal Advances","page":"100286","source":"ScienceDirect","title":"Emerging applications of EEM-PARAFAC for water treatment: a concise review","title-short":"Emerging applications of EEM-PARAFAC for water treatment","volume":"10","author":[{"family":"Sciscenko","given":"Iván"},{"family":"Arques","given":"Antonio"},{"family":"Micó","given":"Pau"},{"family":"Mora","given":"Margarita"},{"family":"García-Ballesteros","given":"Sara"}],"issued":{"date-parts":[["2022",5,15]]}}}],"schema":"https://github.com/citation-style-language/schema/raw/master/csl-citation.json"} </w:instrText>
      </w:r>
      <w:r w:rsidR="00AE2DE8">
        <w:fldChar w:fldCharType="separate"/>
      </w:r>
      <w:r w:rsidR="005C324C" w:rsidRPr="005C324C">
        <w:t>[73]</w:t>
      </w:r>
      <w:r w:rsidR="00AE2DE8">
        <w:fldChar w:fldCharType="end"/>
      </w:r>
      <w:r>
        <w:t>) the measurement/monitoring of fluorescent emerging contaminants in real scenarios (e.g., secondary effluent of a WWTP) is still very limited. One must bear in mind that only some emerging contaminants decay by fluorescence with a considerable quantum yield and exhibiting maximum excitation wavelengths &gt;250 nm (Xe lamps, the most employed ones in conventional fluorescence spectrometers, have negligible emission below 250 nm). Furthermore, due to the low concentrations of these pollutants (typically 10 – 100 ng L</w:t>
      </w:r>
      <w:r>
        <w:rPr>
          <w:vertAlign w:val="superscript"/>
        </w:rPr>
        <w:t>-1</w:t>
      </w:r>
      <w:r>
        <w:t xml:space="preserve"> range) and the</w:t>
      </w:r>
      <w:r w:rsidR="00CF177D">
        <w:t xml:space="preserve"> significative</w:t>
      </w:r>
      <w:r>
        <w:t xml:space="preserve"> presence of DOM (whose intense fluorescence signal obscure the negligible one coming from the contaminants), the idea of tracking the concentration of emerging contaminants by fluorescence spectroscopy without a preconcentration method is practically impossible.</w:t>
      </w:r>
    </w:p>
    <w:p w14:paraId="1CFECB72" w14:textId="2A6D09A7" w:rsidR="00A77221" w:rsidRDefault="00A77221" w:rsidP="00A77221">
      <w:pPr>
        <w:spacing w:before="240" w:after="240"/>
        <w:ind w:firstLine="0"/>
      </w:pPr>
      <w:r>
        <w:t xml:space="preserve">In spite of the above mentioned difficulties, recently, the group of Murphy and co-workers employed a prior PARAFAC model to eliminate background signals of DOM and measure the concentration of some emerging contaminants (ciprofloxacin, naproxen, and zolpidem) within a WWTP </w:t>
      </w:r>
      <w:r w:rsidR="00AE2DE8">
        <w:fldChar w:fldCharType="begin"/>
      </w:r>
      <w:r w:rsidR="00A51550">
        <w:instrText xml:space="preserve"> ADDIN ZOTERO_ITEM CSL_CITATION {"citationID":"dxBj1LnU","properties":{"formattedCitation":"[91]","plainCitation":"[91]","noteIndex":0},"citationItems":[{"id":1273,"uris":["http://zotero.org/users/local/8TMZWfC3/items/CVCPFVXK"],"itemData":{"id":1273,"type":"article-journal","abstract":"Quantifying organic micropollutants (OMPs) in aquatic environments and assessing their removal by water treatment requires expensive and time-consuming analyses typically using liquid chromatographic separation and tandem mass spectrometry (LC-MS/MS). In this study, we evaluated the potential for detecting fluorescent OMPs via spectroscopy, which is cheap, rapid, and widely accessible. The method involved using a priori PARAFAC models to eliminate interfering background fluorescence emitted by naturally occurring dissolved organic matter. Of 20 screened pharmaceutical OMPs, three (ciprofloxacin, naproxen, and zolpidem) with calculated fluorescence quantum yields 0.14, 0.21, and 0.71, respectively, could be quantified in the low μg L–1 range when added alone or in combination to water samples without any sample pretreatment other than filtration and pH adjustment. Limits of detection for all three OMPs were 1.0–3.3 μg L–1 in surface waters, while in wastewater, they were 0.6–9.0 μg L–1 for ciprofloxacin and naproxen and 1.0–2.6 μg L–1 for zolpidem. Given the high cost of pharmaceutical analyses and widespread availability of fluorometers, the new approach will improve access to rapid and cost-effective results by supporting data-intensive lab-scale studies, wherein the types of OMPs studied and their concentration ranges are under the control of the analyst.","container-title":"ACS ES&amp;T Water","DOI":"10.1021/acsestwater.3c00323","issue":"12","journalAbbreviation":"ACS EST Water","note":"publisher: American Chemical Society","page":"3905-3915","source":"ACS Publications","title":"Direct Measurement of Organic Micropollutants in Water and Wastewater Using Fluorescence Spectroscopy","volume":"3","author":[{"family":"Paradina-Fernández","given":"Lesly"},{"family":"Wünsch","given":"Urban"},{"family":"Bro","given":"Rasmus"},{"family":"Murphy","given":"Kathleen"}],"issued":{"date-parts":[["2023",12,8]]}}}],"schema":"https://github.com/citation-style-language/schema/raw/master/csl-citation.json"} </w:instrText>
      </w:r>
      <w:r w:rsidR="00AE2DE8">
        <w:fldChar w:fldCharType="separate"/>
      </w:r>
      <w:r w:rsidR="005C324C" w:rsidRPr="005C324C">
        <w:t>[91]</w:t>
      </w:r>
      <w:r w:rsidR="00AE2DE8">
        <w:fldChar w:fldCharType="end"/>
      </w:r>
      <w:r>
        <w:t>. Therefore, instead of employing the algorithm to deconvolute the signals coming from interferences (as mentioned in the previous sections), here, the approach was using the wide known information about DOM fingerprints to eliminate them previously and later deconvolute that corresponding to the three pollutants. The additional advantage from this is that large datasets are not required, being even possible to measure the emerging contaminants in dataset containing even one EEM. The authors stated that, with this method, the three pollutants were easily measured by EEM-PARAFAC with detection limits of few μg L</w:t>
      </w:r>
      <w:r>
        <w:rPr>
          <w:vertAlign w:val="superscript"/>
        </w:rPr>
        <w:t>-1</w:t>
      </w:r>
      <w:r>
        <w:t>. Emphasizing the significance of a cost-effective "screening" methodology for the semi-quantitative analysis of certain fluorescent emerging contaminants in real wastewater is an important development, as it can offer an economical alternative for understanding the behavior of other pollutants (not necessarily fluorescent) possessing comparable molecular structures</w:t>
      </w:r>
      <w:r w:rsidR="00C94B4F">
        <w:t xml:space="preserve"> and/or similar ecotoxicity</w:t>
      </w:r>
      <w:r>
        <w:t>.</w:t>
      </w:r>
    </w:p>
    <w:p w14:paraId="75CF83B1" w14:textId="77777777" w:rsidR="00A86341" w:rsidRDefault="00A86341" w:rsidP="000C7E26">
      <w:pPr>
        <w:pStyle w:val="Titolo1"/>
        <w:numPr>
          <w:ilvl w:val="0"/>
          <w:numId w:val="0"/>
        </w:numPr>
        <w:ind w:left="720"/>
      </w:pPr>
      <w:bookmarkStart w:id="7" w:name="_heading=h.t7uc4aklmyzi" w:colFirst="0" w:colLast="0"/>
      <w:bookmarkEnd w:id="7"/>
    </w:p>
    <w:p w14:paraId="34FC0EBE" w14:textId="77777777" w:rsidR="005275BE" w:rsidRDefault="00326E4C" w:rsidP="00C97C27">
      <w:pPr>
        <w:pStyle w:val="Titolo1"/>
        <w:numPr>
          <w:ilvl w:val="0"/>
          <w:numId w:val="0"/>
        </w:numPr>
        <w:ind w:left="567" w:hanging="567"/>
      </w:pPr>
      <w:r>
        <w:t>5.</w:t>
      </w:r>
      <w:r w:rsidR="00C97C27">
        <w:t xml:space="preserve"> </w:t>
      </w:r>
      <w:r w:rsidR="00C97C27" w:rsidRPr="00C97C27">
        <w:t xml:space="preserve">Transitioning from laboratory-based to </w:t>
      </w:r>
      <w:r w:rsidR="00C97C27">
        <w:t xml:space="preserve">real </w:t>
      </w:r>
      <w:r w:rsidR="00B84C67">
        <w:t xml:space="preserve">time </w:t>
      </w:r>
      <w:r w:rsidR="00B84C67" w:rsidRPr="00C97C27">
        <w:t>measurements</w:t>
      </w:r>
    </w:p>
    <w:p w14:paraId="44CE692A" w14:textId="77777777" w:rsidR="00326E4C" w:rsidRDefault="00326E4C"/>
    <w:p w14:paraId="3DA53771" w14:textId="1F8FC63D" w:rsidR="00DD271F" w:rsidRDefault="007642C8" w:rsidP="007642C8">
      <w:pPr>
        <w:spacing w:before="240" w:after="240" w:line="261" w:lineRule="auto"/>
        <w:ind w:firstLine="0"/>
      </w:pPr>
      <w:r>
        <w:t xml:space="preserve">Most of the present chapter </w:t>
      </w:r>
      <w:r w:rsidR="00C94B4F">
        <w:t xml:space="preserve">is </w:t>
      </w:r>
      <w:r>
        <w:t xml:space="preserve">devoted to the discussion of the analytical approaches that can be adopted for the monitoring of i) microbiological quality of a reclaimed water and ii) CECs and related transformation products. </w:t>
      </w:r>
    </w:p>
    <w:p w14:paraId="064CB2F6" w14:textId="6ECE06C0" w:rsidR="007642C8" w:rsidRDefault="007642C8" w:rsidP="007642C8">
      <w:pPr>
        <w:spacing w:before="240" w:after="240" w:line="261" w:lineRule="auto"/>
        <w:ind w:firstLine="0"/>
      </w:pPr>
      <w:r>
        <w:t xml:space="preserve">These are indeed relevant aspects to be </w:t>
      </w:r>
      <w:r w:rsidR="00D07FE4">
        <w:t>considered</w:t>
      </w:r>
      <w:r>
        <w:t xml:space="preserve"> in the water reuse scenario </w:t>
      </w:r>
      <w:r w:rsidR="00A077B0">
        <w:t>that</w:t>
      </w:r>
      <w:r>
        <w:t xml:space="preserve"> </w:t>
      </w:r>
      <w:r w:rsidR="00C94B4F">
        <w:t>implies</w:t>
      </w:r>
      <w:r>
        <w:t xml:space="preserve">, as stated before, the presence in the WWTP of tertiary and quaternary treatment stages. </w:t>
      </w:r>
    </w:p>
    <w:p w14:paraId="477A30BA" w14:textId="77777777" w:rsidR="00020CDD" w:rsidRDefault="007642C8" w:rsidP="007642C8">
      <w:pPr>
        <w:spacing w:before="240" w:after="240" w:line="261" w:lineRule="auto"/>
        <w:ind w:firstLine="0"/>
      </w:pPr>
      <w:r>
        <w:t>From the WWTPs manager perspective</w:t>
      </w:r>
      <w:r w:rsidR="00E77A4B">
        <w:t xml:space="preserve">, </w:t>
      </w:r>
      <w:r>
        <w:t xml:space="preserve">being </w:t>
      </w:r>
      <w:r w:rsidR="00E77A4B">
        <w:t>cap</w:t>
      </w:r>
      <w:r>
        <w:t xml:space="preserve">able to guarantee a thorough control of </w:t>
      </w:r>
      <w:r w:rsidR="00020CDD">
        <w:t>the processes</w:t>
      </w:r>
      <w:r>
        <w:t xml:space="preserve"> </w:t>
      </w:r>
      <w:r w:rsidR="00020CDD">
        <w:t>is highly demanding in terms of parameters to be monitored, number of samples to be taken, availability of sophisticated instrumentation, time, cost, skilled operators.</w:t>
      </w:r>
    </w:p>
    <w:p w14:paraId="35AC339A" w14:textId="6B5E0802" w:rsidR="005F5ED9" w:rsidRDefault="00020CDD" w:rsidP="00944DF3">
      <w:pPr>
        <w:spacing w:before="240" w:after="240" w:line="261" w:lineRule="auto"/>
        <w:ind w:firstLine="0"/>
      </w:pPr>
      <w:r>
        <w:lastRenderedPageBreak/>
        <w:t xml:space="preserve">The possibility of moving from a laboratory-based to </w:t>
      </w:r>
      <w:r w:rsidR="00320EF1">
        <w:t>a real time measurement</w:t>
      </w:r>
      <w:r>
        <w:t xml:space="preserve"> is already available for many parameters</w:t>
      </w:r>
      <w:r w:rsidR="007642C8">
        <w:t xml:space="preserve"> </w:t>
      </w:r>
      <w:r>
        <w:t>that are included in regulations related to the quality of effluents from WWTPs, due to the availability of several analytical devices for online and inline measurements</w:t>
      </w:r>
      <w:r w:rsidR="00DC538D">
        <w:t xml:space="preserve"> </w:t>
      </w:r>
      <w:r w:rsidR="00AE2DE8">
        <w:fldChar w:fldCharType="begin"/>
      </w:r>
      <w:r w:rsidR="00603300">
        <w:instrText xml:space="preserve"> ADDIN ZOTERO_ITEM CSL_CITATION {"citationID":"aWqWrjzw","properties":{"formattedCitation":"[7]","plainCitation":"[7]","noteIndex":0},"citationItems":[{"id":1099,"uris":["http://zotero.org/users/local/8TMZWfC3/items/3S8GU8VQ"],"itemData":{"id":1099,"type":"article-journal","abstract":"Efficient characterization of wastewater stream quality is vital to ensure the safe discharge or reuse of treated wastewater (WW). There are numerous parameters employed to characterize water quality, some required by directives (e.g. biological oxygen demand (BOD), total nitrogen (TN), total phosphates (TP)), while others used for process controls (e.g. flow, temperature, pH). Well-accepted methods to assess these parameters have traditionally been laboratory-based, taking place either off-line or at-line, and presenting a significant delay between sampling and result. Alternative characterization methods can run in-line or on-line, generally being more cost-effective. Unfortunately, these methods are often not accepted when providing information to regulatory bodies. The current review aims to describe available laboratory-based approaches and compare them with innovative real-time (RT) solutions. Transitioning from laboratory-based to RT measurements means obtaining valuable process data, avoiding time delays, and the possibility to optimize the (WW) treatment management. A variety of sensor categories are examined to illustrate a general framework in which RT applications can replace longer conventional processes, with an eye toward potential drawbacks. A significant enhancement in the RT measurements can be achieved through the employment of advanced soft-sensing techniques and the Internet of Things (IoT), coupled with machine learning (ML) and artificial intelligence (AI).","container-title":"Journal of Water Process Engineering","DOI":"10.1016/j.jwpe.2024.105061","ISSN":"2214-7144","journalAbbreviation":"Journal of Water Process Engineering","page":"105061","source":"ScienceDirect","title":"A review of the state-of-the-art wastewater quality characterization and measurement technologies. Is the shift to real-time monitoring nowadays feasible?","volume":"60","author":[{"family":"Moretti","given":"Alessandro"},{"family":"Ivan","given":"Heidi Lynn"},{"family":"Skvaril","given":"Jan"}],"issued":{"date-parts":[["2024",4,1]]}}}],"schema":"https://github.com/citation-style-language/schema/raw/master/csl-citation.json"} </w:instrText>
      </w:r>
      <w:r w:rsidR="00AE2DE8">
        <w:fldChar w:fldCharType="separate"/>
      </w:r>
      <w:r w:rsidR="005C324C" w:rsidRPr="005C324C">
        <w:t>[7]</w:t>
      </w:r>
      <w:r w:rsidR="00AE2DE8">
        <w:fldChar w:fldCharType="end"/>
      </w:r>
      <w:r w:rsidR="00603300">
        <w:t xml:space="preserve">. </w:t>
      </w:r>
      <w:r>
        <w:t xml:space="preserve">The following step should include the real time measurements of microbiological parameters, CECs and related TPs. This in not straightforward even if the impressive growth of </w:t>
      </w:r>
      <w:r w:rsidR="00E77A4B">
        <w:t>advanced soft-sensing techniques and the Internet of Things (IoT), coupled with machine learning (ML) and artificial intelligence (AI), allows to foresee an upcoming possible transition from the laboratory-based approach to the real time one.</w:t>
      </w:r>
      <w:r>
        <w:t xml:space="preserve">  </w:t>
      </w:r>
    </w:p>
    <w:p w14:paraId="2A44613B" w14:textId="562CD384" w:rsidR="00020CDD" w:rsidRDefault="00944DF3" w:rsidP="005F5ED9">
      <w:pPr>
        <w:spacing w:before="240" w:after="240" w:line="261" w:lineRule="auto"/>
        <w:ind w:firstLine="0"/>
      </w:pPr>
      <w:r>
        <w:t xml:space="preserve">A possible approach to speed up progress in this direction </w:t>
      </w:r>
      <w:r w:rsidR="00455D3F">
        <w:t xml:space="preserve">is </w:t>
      </w:r>
      <w:r>
        <w:t xml:space="preserve">to shed light on already available tools and </w:t>
      </w:r>
      <w:r w:rsidR="00455D3F">
        <w:t xml:space="preserve">disseminate </w:t>
      </w:r>
      <w:r>
        <w:t>information on</w:t>
      </w:r>
      <w:r w:rsidR="00455D3F">
        <w:t xml:space="preserve"> their</w:t>
      </w:r>
      <w:r>
        <w:t xml:space="preserve"> successful applications. For instance, recent </w:t>
      </w:r>
      <w:r w:rsidR="005F5ED9">
        <w:t>publications</w:t>
      </w:r>
      <w:r w:rsidR="00455D3F">
        <w:t xml:space="preserve"> </w:t>
      </w:r>
      <w:r w:rsidR="004F22BB">
        <w:t xml:space="preserve">investigated </w:t>
      </w:r>
      <w:r>
        <w:t>the potential use of biosensors</w:t>
      </w:r>
      <w:r w:rsidR="00603300">
        <w:t xml:space="preserve"> </w:t>
      </w:r>
      <w:r w:rsidR="00AE2DE8">
        <w:fldChar w:fldCharType="begin"/>
      </w:r>
      <w:r w:rsidR="00A51550">
        <w:instrText xml:space="preserve"> ADDIN ZOTERO_ITEM CSL_CITATION {"citationID":"FIfL7Mhg","properties":{"formattedCitation":"[92]","plainCitation":"[92]","noteIndex":0},"citationItems":[{"id":1291,"uris":["http://zotero.org/users/local/8TMZWfC3/items/VYFKCDCF"],"itemData":{"id":1291,"type":"article-journal","abstract":"Water pollution and habitat degradation are the cause of increasing water scarcity and decline in aquatic biodiversity. While the freshwater availability has been declining through past decades, water demand has continued to increase particularly in areas with arid and semi-arid climate. Monitoring of pollutants in wastewater effluents are critical to identifying water pollution area for treatment. Conventional detection methods are not effective in tracing multiple harmful components in wastewater due to their variability along different times and sources. Currently, the development of biosensing instruments attracted significant attention because of their high sensitivity, selectivity, reliability, simplicity, low-cost and real-time response. This paper provides a general overview on reported biosensors, which have been applied for the recognition of important organic chemicals, heavy metals, and microorganisms in dark waters. The significance and successes of nanotechnology in the field of biomolecular detection are also reviewed. The commercially available biosensors and their main challenges in wastewater monitoring are finally discussed.","container-title":"Biosensors and Bioelectronics","DOI":"10.1016/j.bios.2018.07.019","ISSN":"0956-5663","journalAbbreviation":"Biosensors and Bioelectronics","page":"66-79","source":"ScienceDirect","title":"Biosensors for wastewater monitoring: A review","title-short":"Biosensors for wastewater monitoring","volume":"118","author":[{"family":"Ejeian","given":"Fatemeh"},{"family":"Etedali","given":"Parisa"},{"family":"Mansouri-Tehrani","given":"Hajar-Alsadat"},{"family":"Soozanipour","given":"Asieh"},{"family":"Low","given":"Ze-Xian"},{"family":"Asadnia","given":"Mohsen"},{"family":"Taheri-Kafrani","given":"Asghar"},{"family":"Razmjou","given":"Amir"}],"issued":{"date-parts":[["2018",10,30]]}}}],"schema":"https://github.com/citation-style-language/schema/raw/master/csl-citation.json"} </w:instrText>
      </w:r>
      <w:r w:rsidR="00AE2DE8">
        <w:fldChar w:fldCharType="separate"/>
      </w:r>
      <w:r w:rsidR="005C324C" w:rsidRPr="005C324C">
        <w:t>[92]</w:t>
      </w:r>
      <w:r w:rsidR="00AE2DE8">
        <w:fldChar w:fldCharType="end"/>
      </w:r>
      <w:r>
        <w:t xml:space="preserve"> and fluorescence spectroscopy</w:t>
      </w:r>
      <w:r w:rsidR="00603300">
        <w:t xml:space="preserve"> </w:t>
      </w:r>
      <w:r w:rsidR="00AE2DE8">
        <w:fldChar w:fldCharType="begin"/>
      </w:r>
      <w:r w:rsidR="00A51550">
        <w:instrText xml:space="preserve"> ADDIN ZOTERO_ITEM CSL_CITATION {"citationID":"n0tFGaIA","properties":{"formattedCitation":"[93]","plainCitation":"[93]","noteIndex":0},"citationItems":[{"id":1293,"uris":["http://zotero.org/users/local/8TMZWfC3/items/UBIKKC6K"],"itemData":{"id":1293,"type":"article-journal","abstract":"Wastewater quality is usually assessed using physical, chemical and microbiological tests, which are not suitable for online monitoring, provide unreliable results, or use hazardous chemicals. Hence, there is an urgent need to find a rapid and effective method for the evaluation of water quality in natural and engineered systems and for providing an early warning of pollution events. Fluorescence spectroscopy has been shown to be a valuable technique to characterize and monitor wastewater in surface waters for tracking sources of pollution, and in treatment works for process control and optimization. This paper reviews the current progress in applying fluorescence to assess wastewater quality. Studies have shown that, in general, wastewater presents higher fluorescence intensity compared to natural waters for the components associated with peak T (living and dead cellular material and their exudates) and peak C (microbially reprocessed organic matter). Furthermore, peak T fluorescence is significantly reduced after the biological treatment process and peak C is almost completely removed after the chlorination and reverse osmosis stages. Thus, simple fluorometers with appropriate wavelength selectivity, particularly for peaks T and C could be used for online monitoring in wastewater treatment works. This review also shows that care should be taken in any attempt to identify wastewater pollution sources due to potential overlapping fluorophores. Correlations between fluorescence intensity and water quality parameters such as biochemical oxygen demand (BOD) and total organic carbon (TOC) have been developed and dilution of samples, typically up to ×10, has been shown to be useful to limit inner filter effect. It has been concluded that the following research gaps need to be filled: lack of studies on the on-line application of fluorescence spectroscopy in wastewater treatment works and lack of data processing tools suitable for rapid correction and extraction of data contained in fluorescence excitation-emission matrices (EEMs) for real-time studies.","container-title":"Water Research","DOI":"10.1016/j.watres.2016.03.021","ISSN":"1879-2448","journalAbbreviation":"Water Res","language":"eng","note":"PMID: 26999254","page":"205-219","source":"PubMed","title":"Fluorescence spectroscopy for wastewater monitoring: A review","title-short":"Fluorescence spectroscopy for wastewater monitoring","volume":"95","author":[{"family":"Carstea","given":"Elfrida M."},{"family":"Bridgeman","given":"John"},{"family":"Baker","given":"Andy"},{"family":"Reynolds","given":"Darren M."}],"issued":{"date-parts":[["2016",5,15]]}}}],"schema":"https://github.com/citation-style-language/schema/raw/master/csl-citation.json"} </w:instrText>
      </w:r>
      <w:r w:rsidR="00AE2DE8">
        <w:fldChar w:fldCharType="separate"/>
      </w:r>
      <w:r w:rsidR="005C324C" w:rsidRPr="005C324C">
        <w:t>[93]</w:t>
      </w:r>
      <w:r w:rsidR="00AE2DE8">
        <w:fldChar w:fldCharType="end"/>
      </w:r>
      <w:r>
        <w:t xml:space="preserve"> in wastewater monitoring, </w:t>
      </w:r>
      <w:r w:rsidR="005F5ED9">
        <w:t xml:space="preserve">methods for wastewater control </w:t>
      </w:r>
      <w:r>
        <w:t>and use of  big data</w:t>
      </w:r>
      <w:r w:rsidR="00455D3F">
        <w:t>,</w:t>
      </w:r>
      <w:r>
        <w:t xml:space="preserve"> and statistical process control </w:t>
      </w:r>
      <w:r w:rsidR="004A62BB">
        <w:t xml:space="preserve">to deal with peculiar </w:t>
      </w:r>
      <w:r>
        <w:t>characteristics in wastewater</w:t>
      </w:r>
      <w:r w:rsidR="004A62BB">
        <w:t xml:space="preserve"> </w:t>
      </w:r>
      <w:r>
        <w:t>treatment</w:t>
      </w:r>
      <w:r w:rsidR="00603300">
        <w:t xml:space="preserve"> </w:t>
      </w:r>
      <w:r w:rsidR="00AE2DE8">
        <w:fldChar w:fldCharType="begin"/>
      </w:r>
      <w:r w:rsidR="00A51550">
        <w:instrText xml:space="preserve"> ADDIN ZOTERO_ITEM CSL_CITATION {"citationID":"BjaleJoY","properties":{"formattedCitation":"[94]","plainCitation":"[94]","noteIndex":0},"citationItems":[{"id":1296,"uris":["http://zotero.org/users/local/8TMZWfC3/items/RFNP23TH"],"itemData":{"id":1296,"type":"article-journal","abstract":"Recent advancements in data-driven process control and performance analysis could provide the wastewater treatment industry with an opportunity to reduce costs and improve operations. However, big data in wastewater treatment plants (WWTP) is widely underutilized, due in part to a workforce that lacks background knowledge of data science required to fully analyze the unique characteristics of WWTP. Wastewater treatment processes exhibit nonlinear, nonstationary, autocorrelated, and co-correlated behavior that (i) is very difficult to model using first principals and (ii) must be considered when implementing data-driven methods. This review provides an overview of data-driven methods of achieving fault detection, variable prediction, and advanced control of WWTP. We present how big data has been used in the context of WWTP, and much of the discussion can also be applied to water treatment. Due to the assumptions inherent in different data-driven modeling approaches (e.g., control charts, statistical process control, model predictive control, neural networks, transfer functions, fuzzy logic), not all methods are appropriate for every goal or every dataset. Practical guidance is given for matching a desired goal with a particular methodology along with considerations regarding the assumed data structure. References for further reading are provided, and an overall analysis framework is presented.","container-title":"Water Research","DOI":"10.1016/j.watres.2019.03.030","ISSN":"1879-2448","journalAbbreviation":"Water Res","language":"eng","note":"PMID: 30981980","page":"498-513","source":"PubMed","title":"Data-driven performance analyses of wastewater treatment plants: A review","title-short":"Data-driven performance analyses of wastewater treatment plants","volume":"157","author":[{"family":"Newhart","given":"Kathryn B."},{"family":"Holloway","given":"Ryan W."},{"family":"Hering","given":"Amanda S."},{"family":"Cath","given":"Tzahi Y."}],"issued":{"date-parts":[["2019",6,15]]}}}],"schema":"https://github.com/citation-style-language/schema/raw/master/csl-citation.json"} </w:instrText>
      </w:r>
      <w:r w:rsidR="00AE2DE8">
        <w:fldChar w:fldCharType="separate"/>
      </w:r>
      <w:r w:rsidR="005C324C" w:rsidRPr="005C324C">
        <w:t>[94]</w:t>
      </w:r>
      <w:r w:rsidR="00AE2DE8">
        <w:fldChar w:fldCharType="end"/>
      </w:r>
      <w:r w:rsidR="00603300">
        <w:t xml:space="preserve">. </w:t>
      </w:r>
      <w:r w:rsidR="00455D3F">
        <w:t>For</w:t>
      </w:r>
      <w:r w:rsidR="004A62BB">
        <w:t xml:space="preserve"> this last purpose, </w:t>
      </w:r>
      <w:r>
        <w:t xml:space="preserve">regression models </w:t>
      </w:r>
      <w:r w:rsidR="004A62BB">
        <w:t>for biological process variable</w:t>
      </w:r>
      <w:r w:rsidR="00455D3F">
        <w:t>s</w:t>
      </w:r>
      <w:r w:rsidR="004A62BB">
        <w:t xml:space="preserve"> prediction</w:t>
      </w:r>
      <w:r w:rsidR="005F5ED9">
        <w:t xml:space="preserve"> </w:t>
      </w:r>
      <w:r>
        <w:t>and development of multiple</w:t>
      </w:r>
      <w:r w:rsidR="004A62BB">
        <w:t xml:space="preserve"> </w:t>
      </w:r>
      <w:r>
        <w:t>sensor-driven models</w:t>
      </w:r>
      <w:r w:rsidR="005F5ED9">
        <w:t xml:space="preserve"> </w:t>
      </w:r>
      <w:r w:rsidR="004A62BB">
        <w:t>have been reported in the literature</w:t>
      </w:r>
      <w:r w:rsidR="00C84F2E">
        <w:t xml:space="preserve"> </w:t>
      </w:r>
      <w:r w:rsidR="00AE2DE8">
        <w:fldChar w:fldCharType="begin"/>
      </w:r>
      <w:r w:rsidR="00A51550">
        <w:instrText xml:space="preserve"> ADDIN ZOTERO_ITEM CSL_CITATION {"citationID":"p0muIiaZ","properties":{"formattedCitation":"[95]","plainCitation":"[95]","noteIndex":0},"citationItems":[{"id":1298,"uris":["http://zotero.org/users/local/8TMZWfC3/items/ITVWG57P"],"itemData":{"id":1298,"type":"article-journal","abstract":"A soft sensor for regression applications (SSR) are inferential models that use on-line available sensors (e.g. temperature, pressure, flow rate, etc) to predict quality variables which cannot be automatically measured at all, or can only be measured at high cost, sporadically, or with high delays (e.g. laboratory analysis). SSR are built using historical data of the process, usually provided from the supervisory control and data acquisition (SCADA) system or obtained from the laboratory annotations/measurements. In the SSR development, there are many issues to deal with. The main issues are the treatment of missing data, outliers detection, selection of input variables, model training, validation, and SSR maintenance. In this work the literature review, on each of these topics will be performed, reviewing the most important works in these areas. The emphasis will be given to the methods and not the applications.","container-title":"Chemometrics and Intelligent Laboratory Systems","DOI":"10.1016/j.chemolab.2015.12.011","journalAbbreviation":"Chemometrics and Intelligent Laboratory Systems","source":"ResearchGate","title":"Review of Soft Sensors Methods for Regression Applications","volume":"152","author":[{"family":"Souza","given":"Francisco"},{"family":"Araújo","given":"Rui"},{"family":"Mendes","given":"Jérôme"}],"issued":{"date-parts":[["2015",12,1]]}}}],"schema":"https://github.com/citation-style-language/schema/raw/master/csl-citation.json"} </w:instrText>
      </w:r>
      <w:r w:rsidR="00AE2DE8">
        <w:fldChar w:fldCharType="separate"/>
      </w:r>
      <w:r w:rsidR="005C324C" w:rsidRPr="005C324C">
        <w:t>[95]</w:t>
      </w:r>
      <w:r w:rsidR="00AE2DE8">
        <w:fldChar w:fldCharType="end"/>
      </w:r>
      <w:r w:rsidR="004A62BB">
        <w:t xml:space="preserve">. Moreover, </w:t>
      </w:r>
      <w:r w:rsidR="005F5ED9" w:rsidRPr="005F5ED9">
        <w:t xml:space="preserve">the leveraging </w:t>
      </w:r>
      <w:r w:rsidR="00455D3F">
        <w:t xml:space="preserve">of </w:t>
      </w:r>
      <w:r w:rsidR="005F5ED9" w:rsidRPr="005F5ED9">
        <w:t>real-time sensing of wastewater chemistry for process monitoring and control has been recently reviewed</w:t>
      </w:r>
      <w:r w:rsidR="00C84F2E">
        <w:t xml:space="preserve"> </w:t>
      </w:r>
      <w:r w:rsidR="00AE2DE8">
        <w:fldChar w:fldCharType="begin"/>
      </w:r>
      <w:r w:rsidR="00A51550">
        <w:instrText xml:space="preserve"> ADDIN ZOTERO_ITEM CSL_CITATION {"citationID":"o4W1puiY","properties":{"formattedCitation":"[96]","plainCitation":"[96]","noteIndex":0},"citationItems":[{"id":1300,"uris":["http://zotero.org/users/local/8TMZWfC3/items/R25V3FVG"],"itemData":{"id":1300,"type":"article-journal","abstract":"The primary mandate of wastewater treatment facilities is the limitation of pollutant discharges, however both continued tightening of permit limits and unique challenges associated with improving sustainability (i.e., resource recovery) demand innovation. Enabling increasingly sophisticated treatment processes in a cost-effective and energy-efficient way requires expanding capabilities for rapid, accurate real-time quantification of a broadened range of wastewater constituents as well as envisioning novel feedback control strategies based on these signals. This manuscript quantitatively compares results of early adoption of instrumentation and process upgrades at operating wastewater treatment facilities and proof-of-concept research results, with a focus on leveraging real-time sensing of wastewater chemistry for process monitoring and control. Up to 10% improvement in nutrient removal and energy savings are already being achieved, yet shortfalls in hardware readiness, lack of field-relevant context of research results, and a widening gap between the training of environmental engineers and the skillsets required to develop and maintain sensor-driven solutions present challenges. A forward-looking roadmap highlights opportunities for accelerating innovation, including (1) ensuring research results are published in units and context that allow operators to make an informed cost–benefit analysis with explicit comparison to existing operational baselines, (2) promoting integrated design of hardware and software to generate novel approaches for improved sensing of target analytes, (3) strengthening partnerships nationally, including for data sharing, field testing of new hardware, and expanding educational curricula, and (4) building forums for sharing of expertise and data among plant operators to enable smaller facilities to more cost-effectively collect information required to design and evaluate upgrades.","container-title":"Environmental Science: Water Research &amp; Technology","DOI":"10.1039/D0EW00394H","ISSN":"2053-1419","issue":"11","journalAbbreviation":"Environ. Sci.: Water Res. Technol.","language":"en","note":"publisher: The Royal Society of Chemistry","page":"2973-2992","source":"pubs.rsc.org","title":"Enabling wastewater treatment process automation: leveraging innovations in real-time sensing, data analysis, and online controls","title-short":"Enabling wastewater treatment process automation","volume":"6","author":[{"family":"Zhang","given":"Wenjin"},{"family":"Tooker","given":"Nicholas B."},{"family":"Mueller","given":"Amy V."}],"issued":{"date-parts":[["2020",10,29]]}}}],"schema":"https://github.com/citation-style-language/schema/raw/master/csl-citation.json"} </w:instrText>
      </w:r>
      <w:r w:rsidR="00AE2DE8">
        <w:fldChar w:fldCharType="separate"/>
      </w:r>
      <w:r w:rsidR="005C324C" w:rsidRPr="005C324C">
        <w:t>[96]</w:t>
      </w:r>
      <w:r w:rsidR="00AE2DE8">
        <w:fldChar w:fldCharType="end"/>
      </w:r>
      <w:r w:rsidR="00C524E4">
        <w:t>.</w:t>
      </w:r>
      <w:r w:rsidR="00F21D9B">
        <w:t xml:space="preserve"> Although extremely promising, these innovative approaches represent just a first step</w:t>
      </w:r>
      <w:r w:rsidR="00BC5D2E" w:rsidRPr="00BC5D2E">
        <w:t xml:space="preserve"> toward transitioning from lab-scale analyses to real-time, in situ, and cost-effective monitoring of </w:t>
      </w:r>
      <w:r w:rsidR="00B84C67">
        <w:t xml:space="preserve">microbiological </w:t>
      </w:r>
      <w:r w:rsidR="00B84C67" w:rsidRPr="00BC5D2E">
        <w:t>parameters</w:t>
      </w:r>
      <w:r w:rsidR="00BC5D2E">
        <w:t xml:space="preserve"> and trace elements</w:t>
      </w:r>
      <w:r w:rsidR="00BC5D2E" w:rsidRPr="00BC5D2E">
        <w:t>, enabling more efficient and responsive water treatment processes</w:t>
      </w:r>
      <w:r w:rsidR="00BC5D2E">
        <w:t>.</w:t>
      </w:r>
    </w:p>
    <w:p w14:paraId="1C52D673" w14:textId="77777777" w:rsidR="005275BE" w:rsidRDefault="005275BE"/>
    <w:p w14:paraId="30F9AE3A" w14:textId="77777777" w:rsidR="005275BE" w:rsidRDefault="005275BE">
      <w:pPr>
        <w:jc w:val="center"/>
      </w:pPr>
    </w:p>
    <w:p w14:paraId="759DC69A" w14:textId="77777777" w:rsidR="001E74EE" w:rsidRDefault="001E74EE" w:rsidP="001E74EE">
      <w:pPr>
        <w:spacing w:before="480" w:after="120"/>
        <w:rPr>
          <w:b/>
        </w:rPr>
      </w:pPr>
      <w:r>
        <w:rPr>
          <w:b/>
        </w:rPr>
        <w:t>Acknowledgements</w:t>
      </w:r>
    </w:p>
    <w:p w14:paraId="40D8F27D" w14:textId="77777777" w:rsidR="001E74EE" w:rsidRDefault="001E74EE" w:rsidP="001E74EE">
      <w:pPr>
        <w:spacing w:before="240" w:after="240"/>
        <w:ind w:firstLine="0"/>
      </w:pPr>
      <w:r>
        <w:t>IS acknowledges the Generalitat Valenciana for the financement under the project SANITISE (CIAPOS/2021/311).</w:t>
      </w:r>
    </w:p>
    <w:p w14:paraId="5DDB78A7" w14:textId="77777777" w:rsidR="0072435B" w:rsidRPr="00761F7E" w:rsidRDefault="0072435B" w:rsidP="0072435B">
      <w:pPr>
        <w:ind w:firstLine="0"/>
      </w:pPr>
      <w:r w:rsidRPr="00761F7E">
        <w:t>DP and ABP acknowledge support from the Project CH4.0 under the MUR program "Dipartimenti di Eccellenza 2023-2027" (CUP: D13C220035200</w:t>
      </w:r>
      <w:r>
        <w:t>0</w:t>
      </w:r>
      <w:r w:rsidRPr="00761F7E">
        <w:t>1).</w:t>
      </w:r>
    </w:p>
    <w:p w14:paraId="47B0974D" w14:textId="77777777" w:rsidR="0072435B" w:rsidRDefault="0072435B" w:rsidP="001E74EE">
      <w:pPr>
        <w:spacing w:before="240" w:after="240"/>
        <w:ind w:firstLine="0"/>
      </w:pPr>
    </w:p>
    <w:p w14:paraId="5CA94FBE" w14:textId="0DAA044E" w:rsidR="009F009B" w:rsidRDefault="008A0E2C" w:rsidP="001E74EE">
      <w:pPr>
        <w:spacing w:before="240" w:after="240"/>
        <w:ind w:firstLine="0"/>
      </w:pPr>
      <w:r>
        <w:t>Ref</w:t>
      </w:r>
      <w:r w:rsidR="00B43778">
        <w:t>e</w:t>
      </w:r>
      <w:r>
        <w:t>rences</w:t>
      </w:r>
    </w:p>
    <w:p w14:paraId="7D15A7A1" w14:textId="77777777" w:rsidR="00C41D76" w:rsidRDefault="00AE2DE8" w:rsidP="00C41D76">
      <w:pPr>
        <w:pStyle w:val="Bibliografia"/>
      </w:pPr>
      <w:r>
        <w:fldChar w:fldCharType="begin"/>
      </w:r>
      <w:r w:rsidR="005C324C">
        <w:instrText xml:space="preserve"> ADDIN ZOTERO_BIBL {"uncited":[],"omitted":[],"custom":[]} CSL_BIBLIOGRAPHY </w:instrText>
      </w:r>
      <w:r>
        <w:fldChar w:fldCharType="separate"/>
      </w:r>
      <w:r w:rsidR="00C41D76">
        <w:t xml:space="preserve">[1] </w:t>
      </w:r>
      <w:r w:rsidR="00C41D76">
        <w:tab/>
        <w:t xml:space="preserve">Adeel, M.; Maniakova, G.; Rizzo, L. Tertiary/Quaternary Treatment of Urban Wastewater by UV/H2O2 or Ozonation: Microplastics May Affect Removal of </w:t>
      </w:r>
      <w:r w:rsidR="00C41D76">
        <w:rPr>
          <w:i/>
          <w:iCs/>
        </w:rPr>
        <w:t>E. Coli</w:t>
      </w:r>
      <w:r w:rsidR="00C41D76">
        <w:t xml:space="preserve"> and Contaminants of Emerging Concern. </w:t>
      </w:r>
      <w:r w:rsidR="00C41D76">
        <w:rPr>
          <w:i/>
          <w:iCs/>
        </w:rPr>
        <w:t>Sci. Total Environ.</w:t>
      </w:r>
      <w:r w:rsidR="00C41D76">
        <w:t xml:space="preserve">, </w:t>
      </w:r>
      <w:r w:rsidR="00C41D76">
        <w:rPr>
          <w:b/>
          <w:bCs/>
        </w:rPr>
        <w:t>2024</w:t>
      </w:r>
      <w:r w:rsidR="00C41D76">
        <w:t xml:space="preserve">, </w:t>
      </w:r>
      <w:r w:rsidR="00C41D76">
        <w:rPr>
          <w:i/>
          <w:iCs/>
        </w:rPr>
        <w:t>907</w:t>
      </w:r>
      <w:r w:rsidR="00C41D76">
        <w:t>, 167940.</w:t>
      </w:r>
    </w:p>
    <w:p w14:paraId="42CCCDB7" w14:textId="77777777" w:rsidR="00C41D76" w:rsidRDefault="00C41D76" w:rsidP="00C41D76">
      <w:pPr>
        <w:pStyle w:val="Bibliografia"/>
      </w:pPr>
      <w:r>
        <w:t xml:space="preserve">[2] </w:t>
      </w:r>
      <w:r>
        <w:tab/>
        <w:t xml:space="preserve">Rizzo, L.; Malato, S.; Antakyali, D.; Beretsou, V.G.; Đolić, M.B.; Gernjak, W.; Heath, E.; Ivancev-Tumbas, I.; Karaolia, P.; Lado Ribeiro, A.R.; Mascolo, G.; McArdell, C.S.; Schaar, H.; Silva, A.M.T.; Fatta-Kassinos, D. Consolidated vs New Advanced Treatment Methods for the Removal of Contaminants of Emerging Concern from Urban Wastewater. </w:t>
      </w:r>
      <w:r>
        <w:rPr>
          <w:i/>
          <w:iCs/>
        </w:rPr>
        <w:t>Sci. Total Environ.</w:t>
      </w:r>
      <w:r>
        <w:t xml:space="preserve">, </w:t>
      </w:r>
      <w:r>
        <w:rPr>
          <w:b/>
          <w:bCs/>
        </w:rPr>
        <w:t>2019</w:t>
      </w:r>
      <w:r>
        <w:t xml:space="preserve">, </w:t>
      </w:r>
      <w:r>
        <w:rPr>
          <w:i/>
          <w:iCs/>
        </w:rPr>
        <w:t>655</w:t>
      </w:r>
      <w:r>
        <w:t>, 986–1008.</w:t>
      </w:r>
    </w:p>
    <w:p w14:paraId="45FCB3A1" w14:textId="77777777" w:rsidR="00C41D76" w:rsidRDefault="00C41D76" w:rsidP="00C41D76">
      <w:pPr>
        <w:pStyle w:val="Bibliografia"/>
      </w:pPr>
      <w:r>
        <w:t xml:space="preserve">[3] </w:t>
      </w:r>
      <w:r>
        <w:tab/>
      </w:r>
      <w:r>
        <w:rPr>
          <w:i/>
          <w:iCs/>
        </w:rPr>
        <w:t>Proposal for a DIRECTIVE OF THE EUROPEAN PARLIAMENT AND OF THE COUNCIL Concerning Urban Wastewater Treatment (Recast)</w:t>
      </w:r>
      <w:r>
        <w:t xml:space="preserve">; </w:t>
      </w:r>
      <w:r>
        <w:rPr>
          <w:b/>
          <w:bCs/>
        </w:rPr>
        <w:t>2022</w:t>
      </w:r>
      <w:r>
        <w:t>.</w:t>
      </w:r>
    </w:p>
    <w:p w14:paraId="0A8412A4" w14:textId="77777777" w:rsidR="00C41D76" w:rsidRDefault="00C41D76" w:rsidP="00C41D76">
      <w:pPr>
        <w:pStyle w:val="Bibliografia"/>
      </w:pPr>
      <w:r>
        <w:lastRenderedPageBreak/>
        <w:t xml:space="preserve">[4] </w:t>
      </w:r>
      <w:r>
        <w:tab/>
      </w:r>
      <w:r>
        <w:rPr>
          <w:i/>
          <w:iCs/>
        </w:rPr>
        <w:t>Commission Notice Guidelines to Support the Application of Regulation 2020/741 on Minimum Requirements for Water Reuse 2022/C 298/01</w:t>
      </w:r>
      <w:r>
        <w:t xml:space="preserve">; </w:t>
      </w:r>
      <w:r>
        <w:rPr>
          <w:b/>
          <w:bCs/>
        </w:rPr>
        <w:t>2022</w:t>
      </w:r>
      <w:r>
        <w:t>.</w:t>
      </w:r>
    </w:p>
    <w:p w14:paraId="07CBC751" w14:textId="77777777" w:rsidR="00C41D76" w:rsidRDefault="00C41D76" w:rsidP="00C41D76">
      <w:pPr>
        <w:pStyle w:val="Bibliografia"/>
      </w:pPr>
      <w:r>
        <w:t xml:space="preserve">[5] </w:t>
      </w:r>
      <w:r>
        <w:tab/>
        <w:t>Kadeli, L. 2012 Guidelines for Water Reuse.</w:t>
      </w:r>
    </w:p>
    <w:p w14:paraId="2FAA2892" w14:textId="77777777" w:rsidR="00C41D76" w:rsidRDefault="00C41D76" w:rsidP="00C41D76">
      <w:pPr>
        <w:pStyle w:val="Bibliografia"/>
      </w:pPr>
      <w:r>
        <w:t xml:space="preserve">[6] </w:t>
      </w:r>
      <w:r>
        <w:tab/>
        <w:t xml:space="preserve">Shoushtarian, F.; Negahban-Azar, M. Worldwide Regulations and Guidelines for Agricultural Water Reuse: A Critical Review. </w:t>
      </w:r>
      <w:r>
        <w:rPr>
          <w:i/>
          <w:iCs/>
        </w:rPr>
        <w:t>Water</w:t>
      </w:r>
      <w:r>
        <w:t xml:space="preserve">, </w:t>
      </w:r>
      <w:r>
        <w:rPr>
          <w:b/>
          <w:bCs/>
        </w:rPr>
        <w:t>2020</w:t>
      </w:r>
      <w:r>
        <w:t xml:space="preserve">, </w:t>
      </w:r>
      <w:r>
        <w:rPr>
          <w:i/>
          <w:iCs/>
        </w:rPr>
        <w:t>12</w:t>
      </w:r>
      <w:r>
        <w:t>, 971.</w:t>
      </w:r>
    </w:p>
    <w:p w14:paraId="2DE34115" w14:textId="77777777" w:rsidR="00C41D76" w:rsidRDefault="00C41D76" w:rsidP="00C41D76">
      <w:pPr>
        <w:pStyle w:val="Bibliografia"/>
      </w:pPr>
      <w:r>
        <w:t xml:space="preserve">[7] </w:t>
      </w:r>
      <w:r>
        <w:tab/>
        <w:t xml:space="preserve">Moretti, A.; Ivan, H.L.; Skvaril, J. A Review of the State-of-the-Art Wastewater Quality Characterization and Measurement Technologies. Is the Shift to Real-Time Monitoring Nowadays Feasible? </w:t>
      </w:r>
      <w:r>
        <w:rPr>
          <w:i/>
          <w:iCs/>
        </w:rPr>
        <w:t>J. Water Process Eng.</w:t>
      </w:r>
      <w:r>
        <w:t xml:space="preserve">, </w:t>
      </w:r>
      <w:r>
        <w:rPr>
          <w:b/>
          <w:bCs/>
        </w:rPr>
        <w:t>2024</w:t>
      </w:r>
      <w:r>
        <w:t xml:space="preserve">, </w:t>
      </w:r>
      <w:r>
        <w:rPr>
          <w:i/>
          <w:iCs/>
        </w:rPr>
        <w:t>60</w:t>
      </w:r>
      <w:r>
        <w:t>, 105061.</w:t>
      </w:r>
    </w:p>
    <w:p w14:paraId="02448685" w14:textId="77777777" w:rsidR="00C41D76" w:rsidRDefault="00C41D76" w:rsidP="00C41D76">
      <w:pPr>
        <w:pStyle w:val="Bibliografia"/>
      </w:pPr>
      <w:r>
        <w:t xml:space="preserve">[8] </w:t>
      </w:r>
      <w:r>
        <w:tab/>
        <w:t xml:space="preserve">Mazivila, S.J.; Ricardo, I.A.; Leitão, J.M.M.; Esteves da Silva, J.C.G. A Review on Advanced Oxidation Processes: From Classical to New Perspectives Coupled to Two- and Multi-Way Calibration Strategies to Monitor Degradation of Contaminants in Environmental Samples. </w:t>
      </w:r>
      <w:r>
        <w:rPr>
          <w:i/>
          <w:iCs/>
        </w:rPr>
        <w:t>Trends Environ. Anal. Chem.</w:t>
      </w:r>
      <w:r>
        <w:t xml:space="preserve">, </w:t>
      </w:r>
      <w:r>
        <w:rPr>
          <w:b/>
          <w:bCs/>
        </w:rPr>
        <w:t>2019</w:t>
      </w:r>
      <w:r>
        <w:t xml:space="preserve">, </w:t>
      </w:r>
      <w:r>
        <w:rPr>
          <w:i/>
          <w:iCs/>
        </w:rPr>
        <w:t>24</w:t>
      </w:r>
      <w:r>
        <w:t>, e00072.</w:t>
      </w:r>
    </w:p>
    <w:p w14:paraId="19E93F29" w14:textId="77777777" w:rsidR="00C41D76" w:rsidRDefault="00C41D76" w:rsidP="00C41D76">
      <w:pPr>
        <w:pStyle w:val="Bibliografia"/>
      </w:pPr>
      <w:r>
        <w:t xml:space="preserve">[9] </w:t>
      </w:r>
      <w:r>
        <w:tab/>
        <w:t xml:space="preserve">Drewes, J.E.; Anderson, P.; Denslow, N.; Olivieri, A.; Schlenk, D.; Snyder, S.A.; Maruya, K.A. Designing Monitoring Programs for Chemicals of Emerging Concern in Potable Reuse – What to Include and What Not to Include? </w:t>
      </w:r>
      <w:r>
        <w:rPr>
          <w:i/>
          <w:iCs/>
        </w:rPr>
        <w:t>Water Sci. Technol.</w:t>
      </w:r>
      <w:r>
        <w:t xml:space="preserve">, </w:t>
      </w:r>
      <w:r>
        <w:rPr>
          <w:b/>
          <w:bCs/>
        </w:rPr>
        <w:t>2013</w:t>
      </w:r>
      <w:r>
        <w:t xml:space="preserve">, </w:t>
      </w:r>
      <w:r>
        <w:rPr>
          <w:i/>
          <w:iCs/>
        </w:rPr>
        <w:t>67</w:t>
      </w:r>
      <w:r>
        <w:t>, 433–439.</w:t>
      </w:r>
    </w:p>
    <w:p w14:paraId="2428CD22" w14:textId="77777777" w:rsidR="00C41D76" w:rsidRDefault="00C41D76" w:rsidP="00C41D76">
      <w:pPr>
        <w:pStyle w:val="Bibliografia"/>
      </w:pPr>
      <w:r>
        <w:t xml:space="preserve">[10] </w:t>
      </w:r>
      <w:r>
        <w:tab/>
        <w:t xml:space="preserve">Fabbri, D.; Bianco Prevot, A. Analytical Control in Advanced Oxidation Processes: Surrogate Models and Indicators vs Traditional Methods. </w:t>
      </w:r>
      <w:r>
        <w:rPr>
          <w:i/>
          <w:iCs/>
        </w:rPr>
        <w:t>Microchem. J.</w:t>
      </w:r>
      <w:r>
        <w:t xml:space="preserve">, </w:t>
      </w:r>
      <w:r>
        <w:rPr>
          <w:b/>
          <w:bCs/>
        </w:rPr>
        <w:t>2021</w:t>
      </w:r>
      <w:r>
        <w:t xml:space="preserve">, </w:t>
      </w:r>
      <w:r>
        <w:rPr>
          <w:i/>
          <w:iCs/>
        </w:rPr>
        <w:t>171</w:t>
      </w:r>
      <w:r>
        <w:t>, 106799.</w:t>
      </w:r>
    </w:p>
    <w:p w14:paraId="4C525589" w14:textId="77777777" w:rsidR="00C41D76" w:rsidRDefault="00C41D76" w:rsidP="00C41D76">
      <w:pPr>
        <w:pStyle w:val="Bibliografia"/>
      </w:pPr>
      <w:r>
        <w:t xml:space="preserve">[11] </w:t>
      </w:r>
      <w:r>
        <w:tab/>
        <w:t xml:space="preserve">Antela, K.U.; Palma, D.; Morales-Rubio, A.; Cervera, M.L.; Bianco Prevot, A. Automated H2O2 Monitoring during Photo-Fenton Processes Using an Arduino Self-Assembled Automatic System. </w:t>
      </w:r>
      <w:r>
        <w:rPr>
          <w:i/>
          <w:iCs/>
        </w:rPr>
        <w:t>Talanta</w:t>
      </w:r>
      <w:r>
        <w:t xml:space="preserve">, </w:t>
      </w:r>
      <w:r>
        <w:rPr>
          <w:b/>
          <w:bCs/>
        </w:rPr>
        <w:t>2024</w:t>
      </w:r>
      <w:r>
        <w:t xml:space="preserve">, </w:t>
      </w:r>
      <w:r>
        <w:rPr>
          <w:i/>
          <w:iCs/>
        </w:rPr>
        <w:t>275</w:t>
      </w:r>
      <w:r>
        <w:t>, 126195.</w:t>
      </w:r>
    </w:p>
    <w:p w14:paraId="0DA84DDA" w14:textId="77777777" w:rsidR="00C41D76" w:rsidRDefault="00C41D76" w:rsidP="00C41D76">
      <w:pPr>
        <w:pStyle w:val="Bibliografia"/>
      </w:pPr>
      <w:r>
        <w:t xml:space="preserve">[12] </w:t>
      </w:r>
      <w:r>
        <w:tab/>
        <w:t xml:space="preserve">Recio-Colmenares, R.; León Becerril, E.; Gurubel Tun, K.J.; Conchas, R.F. Design of a Soft Sensor Based on Long Short-Term Memory Artificial Neural Network (LSTM) for Wastewater Treatment Plants. </w:t>
      </w:r>
      <w:r>
        <w:rPr>
          <w:i/>
          <w:iCs/>
        </w:rPr>
        <w:t>Sensors</w:t>
      </w:r>
      <w:r>
        <w:t xml:space="preserve">, </w:t>
      </w:r>
      <w:r>
        <w:rPr>
          <w:b/>
          <w:bCs/>
        </w:rPr>
        <w:t>2023</w:t>
      </w:r>
      <w:r>
        <w:t xml:space="preserve">, </w:t>
      </w:r>
      <w:r>
        <w:rPr>
          <w:i/>
          <w:iCs/>
        </w:rPr>
        <w:t>23</w:t>
      </w:r>
      <w:r>
        <w:t>.</w:t>
      </w:r>
    </w:p>
    <w:p w14:paraId="0CBF58F3" w14:textId="77777777" w:rsidR="00C41D76" w:rsidRDefault="00C41D76" w:rsidP="00C41D76">
      <w:pPr>
        <w:pStyle w:val="Bibliografia"/>
      </w:pPr>
      <w:r>
        <w:t xml:space="preserve">[13] </w:t>
      </w:r>
      <w:r>
        <w:tab/>
        <w:t xml:space="preserve">Han, Y.-Z.; Tian, Y.-C.; Ji, W.-X.; Li, W.-B.; Xue, X.-F.; Dong, Y.-Q.; Guan, C.-Y.; Zhou, D.; Li, W.-T.; Lu, H.; Li, A.-M. Development and Application of the UVC LED-Based Spectrophotometer for High Frequency Online Monitoring of Nitrate Concentration in Municipal Wastewater. </w:t>
      </w:r>
      <w:r>
        <w:rPr>
          <w:i/>
          <w:iCs/>
        </w:rPr>
        <w:t>Sens. Actuators B Chem.</w:t>
      </w:r>
      <w:r>
        <w:t xml:space="preserve">, </w:t>
      </w:r>
      <w:r>
        <w:rPr>
          <w:b/>
          <w:bCs/>
        </w:rPr>
        <w:t>2024</w:t>
      </w:r>
      <w:r>
        <w:t xml:space="preserve">, </w:t>
      </w:r>
      <w:r>
        <w:rPr>
          <w:i/>
          <w:iCs/>
        </w:rPr>
        <w:t>403</w:t>
      </w:r>
      <w:r>
        <w:t>.</w:t>
      </w:r>
    </w:p>
    <w:p w14:paraId="23C410F6" w14:textId="77777777" w:rsidR="00C41D76" w:rsidRDefault="00C41D76" w:rsidP="00C41D76">
      <w:pPr>
        <w:pStyle w:val="Bibliografia"/>
      </w:pPr>
      <w:r>
        <w:t xml:space="preserve">[14] </w:t>
      </w:r>
      <w:r>
        <w:tab/>
        <w:t>Water Reuse - European Commission https://environment.ec.europa.eu/topics/water/water-reuse_en (accessed May 23, 2024).</w:t>
      </w:r>
    </w:p>
    <w:p w14:paraId="33CB6710" w14:textId="77777777" w:rsidR="00C41D76" w:rsidRDefault="00C41D76" w:rsidP="00C41D76">
      <w:pPr>
        <w:pStyle w:val="Bibliografia"/>
      </w:pPr>
      <w:r>
        <w:t xml:space="preserve">[15] </w:t>
      </w:r>
      <w:r>
        <w:tab/>
        <w:t xml:space="preserve">Nappier, S.P.; Soller, J.A.; Eftim, S.E. Potable Water Reuse: What Are the Microbiological Risks? </w:t>
      </w:r>
      <w:r>
        <w:rPr>
          <w:i/>
          <w:iCs/>
        </w:rPr>
        <w:t>Curr. Environ. Health Rep.</w:t>
      </w:r>
      <w:r>
        <w:t xml:space="preserve">, </w:t>
      </w:r>
      <w:r>
        <w:rPr>
          <w:b/>
          <w:bCs/>
        </w:rPr>
        <w:t>2018</w:t>
      </w:r>
      <w:r>
        <w:t xml:space="preserve">, </w:t>
      </w:r>
      <w:r>
        <w:rPr>
          <w:i/>
          <w:iCs/>
        </w:rPr>
        <w:t>5</w:t>
      </w:r>
      <w:r>
        <w:t>, 283–292.</w:t>
      </w:r>
    </w:p>
    <w:p w14:paraId="1D3DA569" w14:textId="77777777" w:rsidR="00C41D76" w:rsidRDefault="00C41D76" w:rsidP="00C41D76">
      <w:pPr>
        <w:pStyle w:val="Bibliografia"/>
      </w:pPr>
      <w:r>
        <w:t xml:space="preserve">[16] </w:t>
      </w:r>
      <w:r>
        <w:tab/>
        <w:t xml:space="preserve">Bonetta, S.; Pignata, C.; Gasparro, E.; Richiardi, L.; Bonetta, S.; Carraro, E. Impact of Wastewater Treatment Plants on Microbiological Contamination for Evaluating the Risks of Wastewater Reuse. </w:t>
      </w:r>
      <w:r>
        <w:rPr>
          <w:i/>
          <w:iCs/>
        </w:rPr>
        <w:t>Environ. Sci. Eur.</w:t>
      </w:r>
      <w:r>
        <w:t xml:space="preserve">, </w:t>
      </w:r>
      <w:r>
        <w:rPr>
          <w:b/>
          <w:bCs/>
        </w:rPr>
        <w:t>2022</w:t>
      </w:r>
      <w:r>
        <w:t xml:space="preserve">, </w:t>
      </w:r>
      <w:r>
        <w:rPr>
          <w:i/>
          <w:iCs/>
        </w:rPr>
        <w:t>34</w:t>
      </w:r>
      <w:r>
        <w:t>, 20.</w:t>
      </w:r>
    </w:p>
    <w:p w14:paraId="60FF6364" w14:textId="77777777" w:rsidR="00C41D76" w:rsidRDefault="00C41D76" w:rsidP="00C41D76">
      <w:pPr>
        <w:pStyle w:val="Bibliografia"/>
      </w:pPr>
      <w:r>
        <w:t xml:space="preserve">[17] </w:t>
      </w:r>
      <w:r>
        <w:tab/>
        <w:t xml:space="preserve">Hai, F.I.; Riley, T.; Shawkat, S.; Magram, S.F.; Yamamoto, K. Removal of Pathogens by Membrane Bioreactors: A Review of the Mechanisms, Influencing Factors and Reduction in Chemical Disinfectant Dosing. </w:t>
      </w:r>
      <w:r>
        <w:rPr>
          <w:i/>
          <w:iCs/>
        </w:rPr>
        <w:t>Water</w:t>
      </w:r>
      <w:r>
        <w:t xml:space="preserve">, </w:t>
      </w:r>
      <w:r>
        <w:rPr>
          <w:b/>
          <w:bCs/>
        </w:rPr>
        <w:t>2014</w:t>
      </w:r>
      <w:r>
        <w:t xml:space="preserve">, </w:t>
      </w:r>
      <w:r>
        <w:rPr>
          <w:i/>
          <w:iCs/>
        </w:rPr>
        <w:t>6</w:t>
      </w:r>
      <w:r>
        <w:t>, 3603–3630.</w:t>
      </w:r>
    </w:p>
    <w:p w14:paraId="4094E0A6" w14:textId="77777777" w:rsidR="00C41D76" w:rsidRDefault="00C41D76" w:rsidP="00C41D76">
      <w:pPr>
        <w:pStyle w:val="Bibliografia"/>
      </w:pPr>
      <w:r>
        <w:t xml:space="preserve">[18] </w:t>
      </w:r>
      <w:r>
        <w:tab/>
        <w:t xml:space="preserve">Chavez, A.; Jimenez, B.; Maya, C. Particle Size Distribution as a Useful Tool for Microbial Detection. </w:t>
      </w:r>
      <w:r>
        <w:rPr>
          <w:i/>
          <w:iCs/>
        </w:rPr>
        <w:t>Water Sci. Technol.</w:t>
      </w:r>
      <w:r>
        <w:t xml:space="preserve">, </w:t>
      </w:r>
      <w:r>
        <w:rPr>
          <w:b/>
          <w:bCs/>
        </w:rPr>
        <w:t>2004</w:t>
      </w:r>
      <w:r>
        <w:t xml:space="preserve">, </w:t>
      </w:r>
      <w:r>
        <w:rPr>
          <w:i/>
          <w:iCs/>
        </w:rPr>
        <w:t>50</w:t>
      </w:r>
      <w:r>
        <w:t>, 179–186.</w:t>
      </w:r>
    </w:p>
    <w:p w14:paraId="2A7B1AAB" w14:textId="77777777" w:rsidR="00C41D76" w:rsidRDefault="00C41D76" w:rsidP="00C41D76">
      <w:pPr>
        <w:pStyle w:val="Bibliografia"/>
      </w:pPr>
      <w:r>
        <w:t xml:space="preserve">[19] </w:t>
      </w:r>
      <w:r>
        <w:tab/>
        <w:t xml:space="preserve">Ellouze, M.; Saddoud, A.; Dhouib, A.; Sayadi, S. Assessment of the Impact of Excessive Chemical Additions to Municipal Wastewaters and Comparison of Three Technologies in the Removal Performance of Pathogens and Toxicity. </w:t>
      </w:r>
      <w:r>
        <w:rPr>
          <w:i/>
          <w:iCs/>
        </w:rPr>
        <w:t>Microbiol. Res.</w:t>
      </w:r>
      <w:r>
        <w:t xml:space="preserve">, </w:t>
      </w:r>
      <w:r>
        <w:rPr>
          <w:b/>
          <w:bCs/>
        </w:rPr>
        <w:t>2009</w:t>
      </w:r>
      <w:r>
        <w:t xml:space="preserve">, </w:t>
      </w:r>
      <w:r>
        <w:rPr>
          <w:i/>
          <w:iCs/>
        </w:rPr>
        <w:t>164</w:t>
      </w:r>
      <w:r>
        <w:t>, 138–148.</w:t>
      </w:r>
    </w:p>
    <w:p w14:paraId="4FBAEE35" w14:textId="77777777" w:rsidR="00C41D76" w:rsidRDefault="00C41D76" w:rsidP="00C41D76">
      <w:pPr>
        <w:pStyle w:val="Bibliografia"/>
      </w:pPr>
      <w:r>
        <w:t xml:space="preserve">[20] </w:t>
      </w:r>
      <w:r>
        <w:tab/>
        <w:t xml:space="preserve">Korajkic, A.; Wanjugi, P.; Brooks, L.; Cao, Y.; Harwood, V.J. Persistence and Decay of Fecal Microbiota in Aquatic Habitats. </w:t>
      </w:r>
      <w:r>
        <w:rPr>
          <w:i/>
          <w:iCs/>
        </w:rPr>
        <w:t>Microbiol. Mol. Biol. Rev.</w:t>
      </w:r>
      <w:r>
        <w:t xml:space="preserve">, </w:t>
      </w:r>
      <w:r>
        <w:rPr>
          <w:b/>
          <w:bCs/>
        </w:rPr>
        <w:t>2019</w:t>
      </w:r>
      <w:r>
        <w:t xml:space="preserve">, </w:t>
      </w:r>
      <w:r>
        <w:rPr>
          <w:i/>
          <w:iCs/>
        </w:rPr>
        <w:t>83</w:t>
      </w:r>
      <w:r>
        <w:t>, 10.1128/mmbr.00005-19.</w:t>
      </w:r>
    </w:p>
    <w:p w14:paraId="51514A29" w14:textId="77777777" w:rsidR="00C41D76" w:rsidRDefault="00C41D76" w:rsidP="00C41D76">
      <w:pPr>
        <w:pStyle w:val="Bibliografia"/>
      </w:pPr>
      <w:r>
        <w:lastRenderedPageBreak/>
        <w:t xml:space="preserve">[21] </w:t>
      </w:r>
      <w:r>
        <w:tab/>
        <w:t>Wang, F.; Zhou, K.; Fu, D.; Prasad Singh, R. Removal of Fecal Coliforms from Sewage Treatment Plant Tailwater through AMF-</w:t>
      </w:r>
      <w:r>
        <w:rPr>
          <w:i/>
          <w:iCs/>
        </w:rPr>
        <w:t>Canna Indica</w:t>
      </w:r>
      <w:r>
        <w:t xml:space="preserve"> Induced Bioretention Cells. </w:t>
      </w:r>
      <w:r>
        <w:rPr>
          <w:i/>
          <w:iCs/>
        </w:rPr>
        <w:t>Ecol. Indic.</w:t>
      </w:r>
      <w:r>
        <w:t xml:space="preserve">, </w:t>
      </w:r>
      <w:r>
        <w:rPr>
          <w:b/>
          <w:bCs/>
        </w:rPr>
        <w:t>2023</w:t>
      </w:r>
      <w:r>
        <w:t xml:space="preserve">, </w:t>
      </w:r>
      <w:r>
        <w:rPr>
          <w:i/>
          <w:iCs/>
        </w:rPr>
        <w:t>154</w:t>
      </w:r>
      <w:r>
        <w:t>, 110526.</w:t>
      </w:r>
    </w:p>
    <w:p w14:paraId="3696D7BE" w14:textId="77777777" w:rsidR="00C41D76" w:rsidRDefault="00C41D76" w:rsidP="00C41D76">
      <w:pPr>
        <w:pStyle w:val="Bibliografia"/>
      </w:pPr>
      <w:r>
        <w:t xml:space="preserve">[22] </w:t>
      </w:r>
      <w:r>
        <w:tab/>
        <w:t xml:space="preserve">Nagel, B.; Dellweg, H.; Gierasch, L.M. Glossary for Chemists of Terms Used in Biotechnology (IUPAC Recommendations 1992). </w:t>
      </w:r>
      <w:r>
        <w:rPr>
          <w:i/>
          <w:iCs/>
        </w:rPr>
        <w:t>Pure Appl. Chem.</w:t>
      </w:r>
      <w:r>
        <w:t xml:space="preserve">, </w:t>
      </w:r>
      <w:r>
        <w:rPr>
          <w:b/>
          <w:bCs/>
        </w:rPr>
        <w:t>1992</w:t>
      </w:r>
      <w:r>
        <w:t xml:space="preserve">, </w:t>
      </w:r>
      <w:r>
        <w:rPr>
          <w:i/>
          <w:iCs/>
        </w:rPr>
        <w:t>64</w:t>
      </w:r>
      <w:r>
        <w:t>, 143–168.</w:t>
      </w:r>
    </w:p>
    <w:p w14:paraId="53DF6D7D" w14:textId="77777777" w:rsidR="00C41D76" w:rsidRDefault="00C41D76" w:rsidP="00C41D76">
      <w:pPr>
        <w:pStyle w:val="Bibliografia"/>
      </w:pPr>
      <w:r>
        <w:t xml:space="preserve">[23] </w:t>
      </w:r>
      <w:r>
        <w:tab/>
        <w:t xml:space="preserve">Jouanneau, S.; Recoules, L.; Durand, M.J.; Boukabache, A.; Picot, V.; Primault, Y.; Lakel, A.; Sengelin, M.; Barillon, B.; Thouand, G. Methods for Assessing Biochemical Oxygen Demand (BOD): A Review. </w:t>
      </w:r>
      <w:r>
        <w:rPr>
          <w:i/>
          <w:iCs/>
        </w:rPr>
        <w:t>Water Res.</w:t>
      </w:r>
      <w:r>
        <w:t xml:space="preserve">, </w:t>
      </w:r>
      <w:r>
        <w:rPr>
          <w:b/>
          <w:bCs/>
        </w:rPr>
        <w:t>2014</w:t>
      </w:r>
      <w:r>
        <w:t xml:space="preserve">, </w:t>
      </w:r>
      <w:r>
        <w:rPr>
          <w:i/>
          <w:iCs/>
        </w:rPr>
        <w:t>49</w:t>
      </w:r>
      <w:r>
        <w:t>, 62–82.</w:t>
      </w:r>
    </w:p>
    <w:p w14:paraId="3D78299B" w14:textId="77777777" w:rsidR="00C41D76" w:rsidRDefault="00C41D76" w:rsidP="00C41D76">
      <w:pPr>
        <w:pStyle w:val="Bibliografia"/>
      </w:pPr>
      <w:r>
        <w:t xml:space="preserve">[24] </w:t>
      </w:r>
      <w:r>
        <w:tab/>
        <w:t xml:space="preserve">Mahapatra, S.; Ali, Md.H.; Samal, K.; Moulick, S. Diagnostic and Treatment Technologies for Detection and Removal of Helminth in Wastewater and Sludge. </w:t>
      </w:r>
      <w:r>
        <w:rPr>
          <w:i/>
          <w:iCs/>
        </w:rPr>
        <w:t>Energy Nexus</w:t>
      </w:r>
      <w:r>
        <w:t xml:space="preserve">, </w:t>
      </w:r>
      <w:r>
        <w:rPr>
          <w:b/>
          <w:bCs/>
        </w:rPr>
        <w:t>2022</w:t>
      </w:r>
      <w:r>
        <w:t xml:space="preserve">, </w:t>
      </w:r>
      <w:r>
        <w:rPr>
          <w:i/>
          <w:iCs/>
        </w:rPr>
        <w:t>8</w:t>
      </w:r>
      <w:r>
        <w:t>, 100147.</w:t>
      </w:r>
    </w:p>
    <w:p w14:paraId="45E0E6F1" w14:textId="77777777" w:rsidR="00C41D76" w:rsidRDefault="00C41D76" w:rsidP="00C41D76">
      <w:pPr>
        <w:pStyle w:val="Bibliografia"/>
      </w:pPr>
      <w:r>
        <w:t xml:space="preserve">[25] </w:t>
      </w:r>
      <w:r>
        <w:tab/>
        <w:t xml:space="preserve">Benito, M.; Menacho, C.; Chueca, P.; Ormad, M.P.; Goñi, P. Seeking the Reuse of Effluents and Sludge from Conventional Wastewater Treatment Plants: Analysis of the Presence of Intestinal Protozoa and Nematode Eggs. </w:t>
      </w:r>
      <w:r>
        <w:rPr>
          <w:i/>
          <w:iCs/>
        </w:rPr>
        <w:t>J. Environ. Manage.</w:t>
      </w:r>
      <w:r>
        <w:t xml:space="preserve">, </w:t>
      </w:r>
      <w:r>
        <w:rPr>
          <w:b/>
          <w:bCs/>
        </w:rPr>
        <w:t>2020</w:t>
      </w:r>
      <w:r>
        <w:t xml:space="preserve">, </w:t>
      </w:r>
      <w:r>
        <w:rPr>
          <w:i/>
          <w:iCs/>
        </w:rPr>
        <w:t>261</w:t>
      </w:r>
      <w:r>
        <w:t>, 110268.</w:t>
      </w:r>
    </w:p>
    <w:p w14:paraId="600877E7" w14:textId="77777777" w:rsidR="00C41D76" w:rsidRDefault="00C41D76" w:rsidP="00C41D76">
      <w:pPr>
        <w:pStyle w:val="Bibliografia"/>
      </w:pPr>
      <w:r>
        <w:t xml:space="preserve">[26] </w:t>
      </w:r>
      <w:r>
        <w:tab/>
        <w:t xml:space="preserve">Janiak, K.; Trusz, A.; Miodoński, S.; Muszyński-Huhajło, M.; Ratkiewicz, K.; Zięba, B.; Jurga, A.; Struk-Sokołowska, J.; Ofman, P. Comparing Methods for Protozoa Removal in Activated Sludge. </w:t>
      </w:r>
      <w:r>
        <w:rPr>
          <w:i/>
          <w:iCs/>
        </w:rPr>
        <w:t>Sep. Purif. Technol.</w:t>
      </w:r>
      <w:r>
        <w:t xml:space="preserve">, </w:t>
      </w:r>
      <w:r>
        <w:rPr>
          <w:b/>
          <w:bCs/>
        </w:rPr>
        <w:t>2023</w:t>
      </w:r>
      <w:r>
        <w:t xml:space="preserve">, </w:t>
      </w:r>
      <w:r>
        <w:rPr>
          <w:i/>
          <w:iCs/>
        </w:rPr>
        <w:t>306</w:t>
      </w:r>
      <w:r>
        <w:t>, 122729.</w:t>
      </w:r>
    </w:p>
    <w:p w14:paraId="3FECB647" w14:textId="77777777" w:rsidR="00C41D76" w:rsidRDefault="00C41D76" w:rsidP="00C41D76">
      <w:pPr>
        <w:pStyle w:val="Bibliografia"/>
      </w:pPr>
      <w:r>
        <w:t xml:space="preserve">[27] </w:t>
      </w:r>
      <w:r>
        <w:tab/>
        <w:t xml:space="preserve">Orr, I.; Mazari, K.; Shukle, J.T.; Li, R.; Filippelli, G.M. The Impact of Combined Sewer Outflows on Urban Water Quality: Spatio-Temporal Patterns of Fecal Coliform in Indianapolis. </w:t>
      </w:r>
      <w:r>
        <w:rPr>
          <w:i/>
          <w:iCs/>
        </w:rPr>
        <w:t>Environ. Pollut.</w:t>
      </w:r>
      <w:r>
        <w:t xml:space="preserve">, </w:t>
      </w:r>
      <w:r>
        <w:rPr>
          <w:b/>
          <w:bCs/>
        </w:rPr>
        <w:t>2023</w:t>
      </w:r>
      <w:r>
        <w:t xml:space="preserve">, </w:t>
      </w:r>
      <w:r>
        <w:rPr>
          <w:i/>
          <w:iCs/>
        </w:rPr>
        <w:t>327</w:t>
      </w:r>
      <w:r>
        <w:t>, 121531.</w:t>
      </w:r>
    </w:p>
    <w:p w14:paraId="7719A811" w14:textId="77777777" w:rsidR="00C41D76" w:rsidRDefault="00C41D76" w:rsidP="00C41D76">
      <w:pPr>
        <w:pStyle w:val="Bibliografia"/>
      </w:pPr>
      <w:r>
        <w:t xml:space="preserve">[28] </w:t>
      </w:r>
      <w:r>
        <w:tab/>
        <w:t xml:space="preserve">Niyoyitungiye, L.; Giri, A.; Ndayisenga, M. Assessment of Coliforms Bacteria Contamination in Lake Tanganyika as Bioindicators of Recreational and Drinking Water Quality. </w:t>
      </w:r>
      <w:r>
        <w:rPr>
          <w:i/>
          <w:iCs/>
        </w:rPr>
        <w:t>South Asian J. Res. Microbiol.</w:t>
      </w:r>
      <w:r>
        <w:t xml:space="preserve">, </w:t>
      </w:r>
      <w:r>
        <w:rPr>
          <w:b/>
          <w:bCs/>
        </w:rPr>
        <w:t>2020</w:t>
      </w:r>
      <w:r>
        <w:t>, 9–16.</w:t>
      </w:r>
    </w:p>
    <w:p w14:paraId="2E51920F" w14:textId="77777777" w:rsidR="00C41D76" w:rsidRDefault="00C41D76" w:rsidP="00C41D76">
      <w:pPr>
        <w:pStyle w:val="Bibliografia"/>
      </w:pPr>
      <w:r>
        <w:t xml:space="preserve">[29] </w:t>
      </w:r>
      <w:r>
        <w:tab/>
        <w:t>Home Page - TNI LAMS - National Environmental Laboratory Accreditation Management System https://lams.nelac-institute.org/ (accessed May 23, 2024).</w:t>
      </w:r>
    </w:p>
    <w:p w14:paraId="0A5D02EC" w14:textId="77777777" w:rsidR="00C41D76" w:rsidRDefault="00C41D76" w:rsidP="00C41D76">
      <w:pPr>
        <w:pStyle w:val="Bibliografia"/>
      </w:pPr>
      <w:r>
        <w:t xml:space="preserve">[30] </w:t>
      </w:r>
      <w:r>
        <w:tab/>
        <w:t xml:space="preserve">Manly, B. Using Statistical Methods for Water Quality Management: Issues, Problems, and Solutions. </w:t>
      </w:r>
      <w:r>
        <w:rPr>
          <w:i/>
          <w:iCs/>
        </w:rPr>
        <w:t>J. Am. Stat. Assoc.</w:t>
      </w:r>
      <w:r>
        <w:t xml:space="preserve">, </w:t>
      </w:r>
      <w:r>
        <w:rPr>
          <w:b/>
          <w:bCs/>
        </w:rPr>
        <w:t>2007</w:t>
      </w:r>
      <w:r>
        <w:t xml:space="preserve">, </w:t>
      </w:r>
      <w:r>
        <w:rPr>
          <w:i/>
          <w:iCs/>
        </w:rPr>
        <w:t>102</w:t>
      </w:r>
      <w:r>
        <w:t>, 1080–1080.</w:t>
      </w:r>
    </w:p>
    <w:p w14:paraId="2D45D76D" w14:textId="77777777" w:rsidR="00C41D76" w:rsidRDefault="00C41D76" w:rsidP="00C41D76">
      <w:pPr>
        <w:pStyle w:val="Bibliografia"/>
      </w:pPr>
      <w:r>
        <w:t xml:space="preserve">[31] </w:t>
      </w:r>
      <w:r>
        <w:tab/>
        <w:t xml:space="preserve">Gronewold, A.D.; Wolpert, R.L. Modeling the Relationship between Most Probable Number (MPN) and Colony-Forming Unit (CFU) Estimates of Fecal Coliform Concentration. </w:t>
      </w:r>
      <w:r>
        <w:rPr>
          <w:i/>
          <w:iCs/>
        </w:rPr>
        <w:t>Water Res.</w:t>
      </w:r>
      <w:r>
        <w:t xml:space="preserve">, </w:t>
      </w:r>
      <w:r>
        <w:rPr>
          <w:b/>
          <w:bCs/>
        </w:rPr>
        <w:t>2008</w:t>
      </w:r>
      <w:r>
        <w:t xml:space="preserve">, </w:t>
      </w:r>
      <w:r>
        <w:rPr>
          <w:i/>
          <w:iCs/>
        </w:rPr>
        <w:t>42</w:t>
      </w:r>
      <w:r>
        <w:t>, 3327–3334.</w:t>
      </w:r>
    </w:p>
    <w:p w14:paraId="6B663335" w14:textId="77777777" w:rsidR="00C41D76" w:rsidRDefault="00C41D76" w:rsidP="00C41D76">
      <w:pPr>
        <w:pStyle w:val="Bibliografia"/>
      </w:pPr>
      <w:r>
        <w:t xml:space="preserve">[32] </w:t>
      </w:r>
      <w:r>
        <w:tab/>
        <w:t xml:space="preserve">Shanker, R.; Singh, G.; Jyoti, A.; Dwivedi, P.D.; Singh, S.P. Chapter 28 - Nanotechnology and Detection of Microbial Pathogens. In </w:t>
      </w:r>
      <w:r>
        <w:rPr>
          <w:i/>
          <w:iCs/>
        </w:rPr>
        <w:t>Animal Biotechnology</w:t>
      </w:r>
      <w:r>
        <w:t xml:space="preserve">; Verma, A.S.; Singh, A., Eds.; Academic Press: San Diego, </w:t>
      </w:r>
      <w:r>
        <w:rPr>
          <w:b/>
          <w:bCs/>
        </w:rPr>
        <w:t>2014</w:t>
      </w:r>
      <w:r>
        <w:t>; pp. 525–540.</w:t>
      </w:r>
    </w:p>
    <w:p w14:paraId="4AC76473" w14:textId="77777777" w:rsidR="00C41D76" w:rsidRDefault="00C41D76" w:rsidP="00C41D76">
      <w:pPr>
        <w:pStyle w:val="Bibliografia"/>
      </w:pPr>
      <w:r>
        <w:t xml:space="preserve">[33] </w:t>
      </w:r>
      <w:r>
        <w:tab/>
        <w:t xml:space="preserve">Sengupta, M.E.; Thamsborg, S.M.; Andersen, T.J.; Olsen, A.; Dalsgaard, A. Sedimentation of Helminth Eggs in Water. </w:t>
      </w:r>
      <w:r>
        <w:rPr>
          <w:i/>
          <w:iCs/>
        </w:rPr>
        <w:t>Water Res.</w:t>
      </w:r>
      <w:r>
        <w:t xml:space="preserve">, </w:t>
      </w:r>
      <w:r>
        <w:rPr>
          <w:b/>
          <w:bCs/>
        </w:rPr>
        <w:t>2011</w:t>
      </w:r>
      <w:r>
        <w:t xml:space="preserve">, </w:t>
      </w:r>
      <w:r>
        <w:rPr>
          <w:i/>
          <w:iCs/>
        </w:rPr>
        <w:t>45</w:t>
      </w:r>
      <w:r>
        <w:t>, 4651–4660.</w:t>
      </w:r>
    </w:p>
    <w:p w14:paraId="5E6574B4" w14:textId="77777777" w:rsidR="00C41D76" w:rsidRDefault="00C41D76" w:rsidP="00C41D76">
      <w:pPr>
        <w:pStyle w:val="Bibliografia"/>
      </w:pPr>
      <w:r>
        <w:t xml:space="preserve">[34] </w:t>
      </w:r>
      <w:r>
        <w:tab/>
        <w:t xml:space="preserve">de Victorica, J.; Galván, M. Preliminary Testing of a Rapid Coupled Methodology for Quantitation/Viability Determination of Helminth Eggs in Raw and Treated Wastewater. </w:t>
      </w:r>
      <w:r>
        <w:rPr>
          <w:i/>
          <w:iCs/>
        </w:rPr>
        <w:t>Water Res.</w:t>
      </w:r>
      <w:r>
        <w:t xml:space="preserve">, </w:t>
      </w:r>
      <w:r>
        <w:rPr>
          <w:b/>
          <w:bCs/>
        </w:rPr>
        <w:t>2003</w:t>
      </w:r>
      <w:r>
        <w:t xml:space="preserve">, </w:t>
      </w:r>
      <w:r>
        <w:rPr>
          <w:i/>
          <w:iCs/>
        </w:rPr>
        <w:t>37</w:t>
      </w:r>
      <w:r>
        <w:t>, 1278–1287.</w:t>
      </w:r>
    </w:p>
    <w:p w14:paraId="753B10ED" w14:textId="77777777" w:rsidR="00C41D76" w:rsidRDefault="00C41D76" w:rsidP="00C41D76">
      <w:pPr>
        <w:pStyle w:val="Bibliografia"/>
      </w:pPr>
      <w:r>
        <w:t xml:space="preserve">[35] </w:t>
      </w:r>
      <w:r>
        <w:tab/>
        <w:t xml:space="preserve">Berglund, B.; Dienus, O.; Sokolova, E.; Berglind, E.; Matussek, A.; Pettersson, T.; Lindgren, P.-E. Occurrence and Removal Efficiency of Parasitic Protozoa in Swedish Wastewater Treatment Plants. </w:t>
      </w:r>
      <w:r>
        <w:rPr>
          <w:i/>
          <w:iCs/>
        </w:rPr>
        <w:t>Sci. Total Environ.</w:t>
      </w:r>
      <w:r>
        <w:t xml:space="preserve">, </w:t>
      </w:r>
      <w:r>
        <w:rPr>
          <w:b/>
          <w:bCs/>
        </w:rPr>
        <w:t>2017</w:t>
      </w:r>
      <w:r>
        <w:t xml:space="preserve">, </w:t>
      </w:r>
      <w:r>
        <w:rPr>
          <w:i/>
          <w:iCs/>
        </w:rPr>
        <w:t>598</w:t>
      </w:r>
      <w:r>
        <w:t>, 821–827.</w:t>
      </w:r>
    </w:p>
    <w:p w14:paraId="760557BE" w14:textId="77777777" w:rsidR="00C41D76" w:rsidRDefault="00C41D76" w:rsidP="00C41D76">
      <w:pPr>
        <w:pStyle w:val="Bibliografia"/>
      </w:pPr>
      <w:r>
        <w:t xml:space="preserve">[36] </w:t>
      </w:r>
      <w:r>
        <w:tab/>
        <w:t xml:space="preserve">Baldursson, S.; Karanis, P. Waterborne Transmission of Protozoan Parasites: Review of Worldwide Outbreaks – An Update 2004–2010. </w:t>
      </w:r>
      <w:r>
        <w:rPr>
          <w:i/>
          <w:iCs/>
        </w:rPr>
        <w:t>Water Res.</w:t>
      </w:r>
      <w:r>
        <w:t xml:space="preserve">, </w:t>
      </w:r>
      <w:r>
        <w:rPr>
          <w:b/>
          <w:bCs/>
        </w:rPr>
        <w:t>2011</w:t>
      </w:r>
      <w:r>
        <w:t xml:space="preserve">, </w:t>
      </w:r>
      <w:r>
        <w:rPr>
          <w:i/>
          <w:iCs/>
        </w:rPr>
        <w:t>45</w:t>
      </w:r>
      <w:r>
        <w:t>, 6603–6614.</w:t>
      </w:r>
    </w:p>
    <w:p w14:paraId="460419C5" w14:textId="77777777" w:rsidR="00C41D76" w:rsidRDefault="00C41D76" w:rsidP="00C41D76">
      <w:pPr>
        <w:pStyle w:val="Bibliografia"/>
      </w:pPr>
      <w:r>
        <w:t xml:space="preserve">[37] </w:t>
      </w:r>
      <w:r>
        <w:tab/>
        <w:t xml:space="preserve">Lin, H.; Xu, N.; Xing, G.; Shang, Y.; Wang, X.; Lin, L. Microfluidic Chip-Based Microbial Metabolism-Indexed BOD Sensor for Rapid Determination of Biochemical Oxygen Demand. </w:t>
      </w:r>
      <w:r>
        <w:rPr>
          <w:i/>
          <w:iCs/>
        </w:rPr>
        <w:t>Sens. Actuators B Chem.</w:t>
      </w:r>
      <w:r>
        <w:t xml:space="preserve">, </w:t>
      </w:r>
      <w:r>
        <w:rPr>
          <w:b/>
          <w:bCs/>
        </w:rPr>
        <w:t>2024</w:t>
      </w:r>
      <w:r>
        <w:t xml:space="preserve">, </w:t>
      </w:r>
      <w:r>
        <w:rPr>
          <w:i/>
          <w:iCs/>
        </w:rPr>
        <w:t>400</w:t>
      </w:r>
      <w:r>
        <w:t>, 134868.</w:t>
      </w:r>
    </w:p>
    <w:p w14:paraId="265D7D40" w14:textId="77777777" w:rsidR="00C41D76" w:rsidRDefault="00C41D76" w:rsidP="00C41D76">
      <w:pPr>
        <w:pStyle w:val="Bibliografia"/>
      </w:pPr>
      <w:r>
        <w:t xml:space="preserve">[38] </w:t>
      </w:r>
      <w:r>
        <w:tab/>
        <w:t xml:space="preserve">Lin, Z.; Cheng, S.; Sun, Y.; Li, H.; Jin, B. Realizing BOD Detection of Real Wastewater by Considering the Bioelectrochemical Degradability of Organic Pollutants in a Bioelectrochemical System. </w:t>
      </w:r>
      <w:r>
        <w:rPr>
          <w:i/>
          <w:iCs/>
        </w:rPr>
        <w:t>Chem. Eng. J.</w:t>
      </w:r>
      <w:r>
        <w:t xml:space="preserve">, </w:t>
      </w:r>
      <w:r>
        <w:rPr>
          <w:b/>
          <w:bCs/>
        </w:rPr>
        <w:t>2022</w:t>
      </w:r>
      <w:r>
        <w:t xml:space="preserve">, </w:t>
      </w:r>
      <w:r>
        <w:rPr>
          <w:i/>
          <w:iCs/>
        </w:rPr>
        <w:t>444</w:t>
      </w:r>
      <w:r>
        <w:t>, 136520.</w:t>
      </w:r>
    </w:p>
    <w:p w14:paraId="6B9ABC31" w14:textId="77777777" w:rsidR="00C41D76" w:rsidRDefault="00C41D76" w:rsidP="00C41D76">
      <w:pPr>
        <w:pStyle w:val="Bibliografia"/>
      </w:pPr>
      <w:r>
        <w:lastRenderedPageBreak/>
        <w:t xml:space="preserve">[39] </w:t>
      </w:r>
      <w:r>
        <w:tab/>
        <w:t xml:space="preserve">Muela, A.; Orruño, M.; Alonso, M.L.; Pazos, M.; Arana, I.; Alonso, R.M.; Jiménez, R.M.; Garaizabal, I.; Maguregui, M.I.; Barcina, I. Microbiological Parameters as an Additional Tool to Improve Wastewater Treatment Plant Monitoring. </w:t>
      </w:r>
      <w:r>
        <w:rPr>
          <w:i/>
          <w:iCs/>
        </w:rPr>
        <w:t>Ecol. Indic.</w:t>
      </w:r>
      <w:r>
        <w:t xml:space="preserve">, </w:t>
      </w:r>
      <w:r>
        <w:rPr>
          <w:b/>
          <w:bCs/>
        </w:rPr>
        <w:t>2011</w:t>
      </w:r>
      <w:r>
        <w:t xml:space="preserve">, </w:t>
      </w:r>
      <w:r>
        <w:rPr>
          <w:i/>
          <w:iCs/>
        </w:rPr>
        <w:t>11</w:t>
      </w:r>
      <w:r>
        <w:t>, 431–437.</w:t>
      </w:r>
    </w:p>
    <w:p w14:paraId="2A3289A1" w14:textId="77777777" w:rsidR="00C41D76" w:rsidRDefault="00C41D76" w:rsidP="00C41D76">
      <w:pPr>
        <w:pStyle w:val="Bibliografia"/>
      </w:pPr>
      <w:r>
        <w:t xml:space="preserve">[40] </w:t>
      </w:r>
      <w:r>
        <w:tab/>
        <w:t xml:space="preserve">Lee, S.; Khoo, V.S.L.; Medriano, C.A.D.; Lee, T.; Park, S.-Y.; Bae, S. Rapid and In-Situ Detection of Fecal Indicator Bacteria in Water Using Simple DNA Extraction and Portable Loop-Mediated Isothermal Amplification (LAMP) PCR Methods. </w:t>
      </w:r>
      <w:r>
        <w:rPr>
          <w:i/>
          <w:iCs/>
        </w:rPr>
        <w:t>Water Res.</w:t>
      </w:r>
      <w:r>
        <w:t xml:space="preserve">, </w:t>
      </w:r>
      <w:r>
        <w:rPr>
          <w:b/>
          <w:bCs/>
        </w:rPr>
        <w:t>2019</w:t>
      </w:r>
      <w:r>
        <w:t xml:space="preserve">, </w:t>
      </w:r>
      <w:r>
        <w:rPr>
          <w:i/>
          <w:iCs/>
        </w:rPr>
        <w:t>160</w:t>
      </w:r>
      <w:r>
        <w:t>, 371–379.</w:t>
      </w:r>
    </w:p>
    <w:p w14:paraId="6FD6B9A1" w14:textId="77777777" w:rsidR="00C41D76" w:rsidRDefault="00C41D76" w:rsidP="00C41D76">
      <w:pPr>
        <w:pStyle w:val="Bibliografia"/>
      </w:pPr>
      <w:r>
        <w:t xml:space="preserve">[41] </w:t>
      </w:r>
      <w:r>
        <w:tab/>
        <w:t xml:space="preserve">Yan, M.; Xu, L.; Jiang, H.; Zhou, Z.; Zhou, S.; Zhang, L. PMA-LAMP for Rapid Detection of </w:t>
      </w:r>
      <w:r>
        <w:rPr>
          <w:i/>
          <w:iCs/>
        </w:rPr>
        <w:t>Escherichia Coli</w:t>
      </w:r>
      <w:r>
        <w:t xml:space="preserve"> and Shiga Toxins from Viable but Non-Culturable State. </w:t>
      </w:r>
      <w:r>
        <w:rPr>
          <w:i/>
          <w:iCs/>
        </w:rPr>
        <w:t>Microb. Pathog.</w:t>
      </w:r>
      <w:r>
        <w:t xml:space="preserve">, </w:t>
      </w:r>
      <w:r>
        <w:rPr>
          <w:b/>
          <w:bCs/>
        </w:rPr>
        <w:t>2017</w:t>
      </w:r>
      <w:r>
        <w:t xml:space="preserve">, </w:t>
      </w:r>
      <w:r>
        <w:rPr>
          <w:i/>
          <w:iCs/>
        </w:rPr>
        <w:t>105</w:t>
      </w:r>
      <w:r>
        <w:t>, 245–250.</w:t>
      </w:r>
    </w:p>
    <w:p w14:paraId="1B9C5505" w14:textId="77777777" w:rsidR="00C41D76" w:rsidRDefault="00C41D76" w:rsidP="00C41D76">
      <w:pPr>
        <w:pStyle w:val="Bibliografia"/>
      </w:pPr>
      <w:r>
        <w:t xml:space="preserve">[42] </w:t>
      </w:r>
      <w:r>
        <w:tab/>
        <w:t xml:space="preserve">Canciu, A.; Tertis, M.; Hosu, O.; Cernat, A.; Cristea, C.; Graur, F. Modern Analytical Techniques for Detection of Bacteria in Surface and Wastewaters. </w:t>
      </w:r>
      <w:r>
        <w:rPr>
          <w:i/>
          <w:iCs/>
        </w:rPr>
        <w:t>Sustainability</w:t>
      </w:r>
      <w:r>
        <w:t xml:space="preserve">, </w:t>
      </w:r>
      <w:r>
        <w:rPr>
          <w:b/>
          <w:bCs/>
        </w:rPr>
        <w:t>2021</w:t>
      </w:r>
      <w:r>
        <w:t xml:space="preserve">, </w:t>
      </w:r>
      <w:r>
        <w:rPr>
          <w:i/>
          <w:iCs/>
        </w:rPr>
        <w:t>13</w:t>
      </w:r>
      <w:r>
        <w:t>, 7229.</w:t>
      </w:r>
    </w:p>
    <w:p w14:paraId="57765A49" w14:textId="77777777" w:rsidR="00C41D76" w:rsidRDefault="00C41D76" w:rsidP="00C41D76">
      <w:pPr>
        <w:pStyle w:val="Bibliografia"/>
      </w:pPr>
      <w:r>
        <w:t xml:space="preserve">[43] </w:t>
      </w:r>
      <w:r>
        <w:tab/>
        <w:t xml:space="preserve">Reynaert, E.; Steiner, P.; Yu, Q.; D’Olif, L.; Joller, N.; Schneider, M.Y.; Morgenroth, E. Predicting Microbial Water Quality in On-Site Water Reuse Systems with Online Sensors. </w:t>
      </w:r>
      <w:r>
        <w:rPr>
          <w:i/>
          <w:iCs/>
        </w:rPr>
        <w:t>Water Res.</w:t>
      </w:r>
      <w:r>
        <w:t xml:space="preserve">, </w:t>
      </w:r>
      <w:r>
        <w:rPr>
          <w:b/>
          <w:bCs/>
        </w:rPr>
        <w:t>2023</w:t>
      </w:r>
      <w:r>
        <w:t xml:space="preserve">, </w:t>
      </w:r>
      <w:r>
        <w:rPr>
          <w:i/>
          <w:iCs/>
        </w:rPr>
        <w:t>240</w:t>
      </w:r>
      <w:r>
        <w:t>, 120075.</w:t>
      </w:r>
    </w:p>
    <w:p w14:paraId="72728892" w14:textId="77777777" w:rsidR="00C41D76" w:rsidRDefault="00C41D76" w:rsidP="00C41D76">
      <w:pPr>
        <w:pStyle w:val="Bibliografia"/>
      </w:pPr>
      <w:r>
        <w:t xml:space="preserve">[44] </w:t>
      </w:r>
      <w:r>
        <w:tab/>
        <w:t xml:space="preserve">Agüera, A.; Lambropoulou, D. New Challenges for the Analytical Evaluation of Reclaimed Water and Reuse Applications. </w:t>
      </w:r>
      <w:r>
        <w:rPr>
          <w:b/>
          <w:bCs/>
        </w:rPr>
        <w:t>2016</w:t>
      </w:r>
      <w:r>
        <w:t xml:space="preserve">, </w:t>
      </w:r>
      <w:r>
        <w:rPr>
          <w:i/>
          <w:iCs/>
        </w:rPr>
        <w:t>44</w:t>
      </w:r>
      <w:r>
        <w:t>, 7–47.</w:t>
      </w:r>
    </w:p>
    <w:p w14:paraId="2EEE3204" w14:textId="77777777" w:rsidR="00C41D76" w:rsidRDefault="00C41D76" w:rsidP="00C41D76">
      <w:pPr>
        <w:pStyle w:val="Bibliografia"/>
      </w:pPr>
      <w:r>
        <w:t xml:space="preserve">[45] </w:t>
      </w:r>
      <w:r>
        <w:tab/>
        <w:t xml:space="preserve">Huntscha, S.; Singer, H.P.; McArdell, C.S.; Frank, C.E.; Hollender, J. Multiresidue Analysis of 88 Polar Organic Micropollutants in Ground, Surface and Wastewater Using Online Mixed-Bed Multilayer Solid-Phase Extraction Coupled to High Performance Liquid Chromatography-Tandem Mass Spectrometry. </w:t>
      </w:r>
      <w:r>
        <w:rPr>
          <w:i/>
          <w:iCs/>
        </w:rPr>
        <w:t>J. Chromatogr. A</w:t>
      </w:r>
      <w:r>
        <w:t xml:space="preserve">, </w:t>
      </w:r>
      <w:r>
        <w:rPr>
          <w:b/>
          <w:bCs/>
        </w:rPr>
        <w:t>2012</w:t>
      </w:r>
      <w:r>
        <w:t xml:space="preserve">, </w:t>
      </w:r>
      <w:r>
        <w:rPr>
          <w:i/>
          <w:iCs/>
        </w:rPr>
        <w:t>1268</w:t>
      </w:r>
      <w:r>
        <w:t>, 74–83.</w:t>
      </w:r>
    </w:p>
    <w:p w14:paraId="0301895E" w14:textId="77777777" w:rsidR="00C41D76" w:rsidRDefault="00C41D76" w:rsidP="00C41D76">
      <w:pPr>
        <w:pStyle w:val="Bibliografia"/>
      </w:pPr>
      <w:r>
        <w:t xml:space="preserve">[46] </w:t>
      </w:r>
      <w:r>
        <w:tab/>
        <w:t xml:space="preserve">Rodriguez-Mozaz, S.; Lopez de Alda, M.J.; Barceló, D. Advantages and Limitations of On-Line Solid Phase Extraction Coupled to Liquid Chromatography–Mass Spectrometry Technologies versus Biosensors for Monitoring of Emerging Contaminants in Water. </w:t>
      </w:r>
      <w:r>
        <w:rPr>
          <w:i/>
          <w:iCs/>
        </w:rPr>
        <w:t>J. Chromatogr. A</w:t>
      </w:r>
      <w:r>
        <w:t xml:space="preserve">, </w:t>
      </w:r>
      <w:r>
        <w:rPr>
          <w:b/>
          <w:bCs/>
        </w:rPr>
        <w:t>2007</w:t>
      </w:r>
      <w:r>
        <w:t xml:space="preserve">, </w:t>
      </w:r>
      <w:r>
        <w:rPr>
          <w:i/>
          <w:iCs/>
        </w:rPr>
        <w:t>1152</w:t>
      </w:r>
      <w:r>
        <w:t>, 97–115.</w:t>
      </w:r>
    </w:p>
    <w:p w14:paraId="6CFF7A51" w14:textId="77777777" w:rsidR="00C41D76" w:rsidRDefault="00C41D76" w:rsidP="00C41D76">
      <w:pPr>
        <w:pStyle w:val="Bibliografia"/>
      </w:pPr>
      <w:r>
        <w:t xml:space="preserve">[47] </w:t>
      </w:r>
      <w:r>
        <w:tab/>
        <w:t xml:space="preserve">Campos-Mañas, M.C.; Plaza-Bolaños, P.; Sánchez-Pérez, J.A.; Malato, S.; Agüera, A. Fast Determination of Pesticides and Other Contaminants of Emerging Concern in Treated Wastewater Using Direct Injection Coupled to Highly Sensitive Ultra-High Performance Liquid Chromatography-Tandem Mass Spectrometry. </w:t>
      </w:r>
      <w:r>
        <w:rPr>
          <w:i/>
          <w:iCs/>
        </w:rPr>
        <w:t>J. Chromatogr. A</w:t>
      </w:r>
      <w:r>
        <w:t xml:space="preserve">, </w:t>
      </w:r>
      <w:r>
        <w:rPr>
          <w:b/>
          <w:bCs/>
        </w:rPr>
        <w:t>2017</w:t>
      </w:r>
      <w:r>
        <w:t xml:space="preserve">, </w:t>
      </w:r>
      <w:r>
        <w:rPr>
          <w:i/>
          <w:iCs/>
        </w:rPr>
        <w:t>1507</w:t>
      </w:r>
      <w:r>
        <w:t>, 84–94.</w:t>
      </w:r>
    </w:p>
    <w:p w14:paraId="200464D9" w14:textId="77777777" w:rsidR="00C41D76" w:rsidRDefault="00C41D76" w:rsidP="00C41D76">
      <w:pPr>
        <w:pStyle w:val="Bibliografia"/>
      </w:pPr>
      <w:r>
        <w:t xml:space="preserve">[48] </w:t>
      </w:r>
      <w:r>
        <w:tab/>
        <w:t xml:space="preserve">Massano, M.; Privitera, D.; Alladio, E.; Gerace, E.; Minella, M.; Vincenti, M.; Salomone, A. Development and Application of a Sustainable Approach for the Determination of 95 Pharmaceutical Substances and Metabolites in Urban Wastewater by Means of Ultra-High-Performance Liquid-Chromatography-Tandem Mass Spectrometry. </w:t>
      </w:r>
      <w:r>
        <w:rPr>
          <w:i/>
          <w:iCs/>
        </w:rPr>
        <w:t>Int. J. Environ. Anal. Chem.</w:t>
      </w:r>
      <w:r>
        <w:t>, 1–19.</w:t>
      </w:r>
    </w:p>
    <w:p w14:paraId="639DA721" w14:textId="77777777" w:rsidR="00C41D76" w:rsidRDefault="00C41D76" w:rsidP="00C41D76">
      <w:pPr>
        <w:pStyle w:val="Bibliografia"/>
      </w:pPr>
      <w:r>
        <w:t xml:space="preserve">[49] </w:t>
      </w:r>
      <w:r>
        <w:tab/>
        <w:t xml:space="preserve">Ng, K.T.; Rapp-Wright, H.; Egli, M.; Hartmann, A.; Steele, J.C.; Sosa-Hernández, J.E.; Melchor-Martínez, E.M.; Jacobs, M.; White, B.; Regan, F.; Parra-Saldivar, R.; Couchman, L.; Halden, R.U.; Barron, L.P. High-Throughput Multi-Residue Quantification of Contaminants of Emerging Concern in Wastewaters Enabled Using Direct Injection Liquid Chromatography-Tandem Mass Spectrometry. </w:t>
      </w:r>
      <w:r>
        <w:rPr>
          <w:i/>
          <w:iCs/>
        </w:rPr>
        <w:t>J. Hazard. Mater.</w:t>
      </w:r>
      <w:r>
        <w:t xml:space="preserve">, </w:t>
      </w:r>
      <w:r>
        <w:rPr>
          <w:b/>
          <w:bCs/>
        </w:rPr>
        <w:t>2020</w:t>
      </w:r>
      <w:r>
        <w:t xml:space="preserve">, </w:t>
      </w:r>
      <w:r>
        <w:rPr>
          <w:i/>
          <w:iCs/>
        </w:rPr>
        <w:t>398</w:t>
      </w:r>
      <w:r>
        <w:t>, 122933.</w:t>
      </w:r>
    </w:p>
    <w:p w14:paraId="32219613" w14:textId="77777777" w:rsidR="00C41D76" w:rsidRDefault="00C41D76" w:rsidP="00C41D76">
      <w:pPr>
        <w:pStyle w:val="Bibliografia"/>
      </w:pPr>
      <w:r>
        <w:t xml:space="preserve">[50] </w:t>
      </w:r>
      <w:r>
        <w:tab/>
        <w:t xml:space="preserve">Gros, M.; Petrović, M.; Barceló, D. Tracing Pharmaceutical Residues of Different Therapeutic Classes in Environmental Waters by Using Liquid Chromatography/Quadrupole-Linear Ion Trap Mass Spectrometry and Automated Library Searching. </w:t>
      </w:r>
      <w:r>
        <w:rPr>
          <w:i/>
          <w:iCs/>
        </w:rPr>
        <w:t>Anal. Chem.</w:t>
      </w:r>
      <w:r>
        <w:t xml:space="preserve">, </w:t>
      </w:r>
      <w:r>
        <w:rPr>
          <w:b/>
          <w:bCs/>
        </w:rPr>
        <w:t>2009</w:t>
      </w:r>
      <w:r>
        <w:t xml:space="preserve">, </w:t>
      </w:r>
      <w:r>
        <w:rPr>
          <w:i/>
          <w:iCs/>
        </w:rPr>
        <w:t>81</w:t>
      </w:r>
      <w:r>
        <w:t>, 898–912.</w:t>
      </w:r>
    </w:p>
    <w:p w14:paraId="4D871EC2" w14:textId="77777777" w:rsidR="00C41D76" w:rsidRDefault="00C41D76" w:rsidP="00C41D76">
      <w:pPr>
        <w:pStyle w:val="Bibliografia"/>
      </w:pPr>
      <w:r>
        <w:lastRenderedPageBreak/>
        <w:t xml:space="preserve">[51] </w:t>
      </w:r>
      <w:r>
        <w:tab/>
        <w:t xml:space="preserve">Domínguez, I.; Arrebola, F.J.; Martínez Vidal, J.L.; Garrido Frenich, A. Assessment of Wastewater Pollution by Gas Chromatography and High Resolution Orbitrap Mass Spectrometry. </w:t>
      </w:r>
      <w:r>
        <w:rPr>
          <w:i/>
          <w:iCs/>
        </w:rPr>
        <w:t>J. Chromatogr. A</w:t>
      </w:r>
      <w:r>
        <w:t xml:space="preserve">, </w:t>
      </w:r>
      <w:r>
        <w:rPr>
          <w:b/>
          <w:bCs/>
        </w:rPr>
        <w:t>2020</w:t>
      </w:r>
      <w:r>
        <w:t xml:space="preserve">, </w:t>
      </w:r>
      <w:r>
        <w:rPr>
          <w:i/>
          <w:iCs/>
        </w:rPr>
        <w:t>1619</w:t>
      </w:r>
      <w:r>
        <w:t>, 460964.</w:t>
      </w:r>
    </w:p>
    <w:p w14:paraId="53B3D9BC" w14:textId="77777777" w:rsidR="00C41D76" w:rsidRDefault="00C41D76" w:rsidP="00C41D76">
      <w:pPr>
        <w:pStyle w:val="Bibliografia"/>
      </w:pPr>
      <w:r>
        <w:t xml:space="preserve">[52] </w:t>
      </w:r>
      <w:r>
        <w:tab/>
        <w:t xml:space="preserve">Wang, Y.; Gao, W.; Wang, Y.; Jiang, G. Suspect Screening Analysis of the Occurrence and Removal of Micropollutants by GC-QTOF MS during Wastewater Treatment Processes. </w:t>
      </w:r>
      <w:r>
        <w:rPr>
          <w:i/>
          <w:iCs/>
        </w:rPr>
        <w:t>J. Hazard. Mater.</w:t>
      </w:r>
      <w:r>
        <w:t xml:space="preserve">, </w:t>
      </w:r>
      <w:r>
        <w:rPr>
          <w:b/>
          <w:bCs/>
        </w:rPr>
        <w:t>2019</w:t>
      </w:r>
      <w:r>
        <w:t xml:space="preserve">, </w:t>
      </w:r>
      <w:r>
        <w:rPr>
          <w:i/>
          <w:iCs/>
        </w:rPr>
        <w:t>376</w:t>
      </w:r>
      <w:r>
        <w:t>, 153–159.</w:t>
      </w:r>
    </w:p>
    <w:p w14:paraId="35B4D24C" w14:textId="77777777" w:rsidR="00C41D76" w:rsidRDefault="00C41D76" w:rsidP="00C41D76">
      <w:pPr>
        <w:pStyle w:val="Bibliografia"/>
      </w:pPr>
      <w:r>
        <w:t xml:space="preserve">[53] </w:t>
      </w:r>
      <w:r>
        <w:tab/>
        <w:t xml:space="preserve">Schollée, J.E.; Bourgin, M.; von Gunten, U.; McArdell, C.S.; Hollender, J. Non-Target Screening to Trace Ozonation Transformation Products in a Wastewater Treatment Train Including Different Post-Treatments. </w:t>
      </w:r>
      <w:r>
        <w:rPr>
          <w:i/>
          <w:iCs/>
        </w:rPr>
        <w:t>Water Res.</w:t>
      </w:r>
      <w:r>
        <w:t xml:space="preserve">, </w:t>
      </w:r>
      <w:r>
        <w:rPr>
          <w:b/>
          <w:bCs/>
        </w:rPr>
        <w:t>2018</w:t>
      </w:r>
      <w:r>
        <w:t xml:space="preserve">, </w:t>
      </w:r>
      <w:r>
        <w:rPr>
          <w:i/>
          <w:iCs/>
        </w:rPr>
        <w:t>142</w:t>
      </w:r>
      <w:r>
        <w:t>, 267–278.</w:t>
      </w:r>
    </w:p>
    <w:p w14:paraId="74F46EA5" w14:textId="77777777" w:rsidR="00C41D76" w:rsidRDefault="00C41D76" w:rsidP="00C41D76">
      <w:pPr>
        <w:pStyle w:val="Bibliografia"/>
      </w:pPr>
      <w:r>
        <w:t xml:space="preserve">[54] </w:t>
      </w:r>
      <w:r>
        <w:tab/>
        <w:t xml:space="preserve">Calza, P.; Jiménez-Holgado, C.; Coha, M.; Chrimatopoulos, C.; Dal Bello, F.; Medana, C.; Sakkas, V. Study of the Photoinduced Transformations of Sertraline in Aqueous Media. </w:t>
      </w:r>
      <w:r>
        <w:rPr>
          <w:i/>
          <w:iCs/>
        </w:rPr>
        <w:t>Sci. Total Environ.</w:t>
      </w:r>
      <w:r>
        <w:t xml:space="preserve">, </w:t>
      </w:r>
      <w:r>
        <w:rPr>
          <w:b/>
          <w:bCs/>
        </w:rPr>
        <w:t>2021</w:t>
      </w:r>
      <w:r>
        <w:t xml:space="preserve">, </w:t>
      </w:r>
      <w:r>
        <w:rPr>
          <w:i/>
          <w:iCs/>
        </w:rPr>
        <w:t>756</w:t>
      </w:r>
      <w:r>
        <w:t>, 143805.</w:t>
      </w:r>
    </w:p>
    <w:p w14:paraId="6045A341" w14:textId="77777777" w:rsidR="00C41D76" w:rsidRDefault="00C41D76" w:rsidP="00C41D76">
      <w:pPr>
        <w:pStyle w:val="Bibliografia"/>
      </w:pPr>
      <w:r>
        <w:t xml:space="preserve">[55] </w:t>
      </w:r>
      <w:r>
        <w:tab/>
        <w:t xml:space="preserve">Papagiannaki, D.; Belay, M.H.; Gonçalves, N.P.F.; Robotti, E.; Bianco-Prevot, A.; Binetti, R.; Calza, P. From Monitoring to Treatment, How to Improve Water Quality: The Pharmaceuticals Case. </w:t>
      </w:r>
      <w:r>
        <w:rPr>
          <w:i/>
          <w:iCs/>
        </w:rPr>
        <w:t>Chem. Eng. J. Adv.</w:t>
      </w:r>
      <w:r>
        <w:t xml:space="preserve">, </w:t>
      </w:r>
      <w:r>
        <w:rPr>
          <w:b/>
          <w:bCs/>
        </w:rPr>
        <w:t>2022</w:t>
      </w:r>
      <w:r>
        <w:t xml:space="preserve">, </w:t>
      </w:r>
      <w:r>
        <w:rPr>
          <w:i/>
          <w:iCs/>
        </w:rPr>
        <w:t>10</w:t>
      </w:r>
      <w:r>
        <w:t>, 100245.</w:t>
      </w:r>
    </w:p>
    <w:p w14:paraId="6A94E36E" w14:textId="77777777" w:rsidR="00C41D76" w:rsidRDefault="00C41D76" w:rsidP="00C41D76">
      <w:pPr>
        <w:pStyle w:val="Bibliografia"/>
      </w:pPr>
      <w:r>
        <w:t xml:space="preserve">[56] </w:t>
      </w:r>
      <w:r>
        <w:tab/>
        <w:t xml:space="preserve">Merel, S.; Anumol, T.; Park, M.; Snyder, S.A. Application of Surrogates, Indicators, and High-Resolution Mass Spectrometry to Evaluate the Efficacy of UV Processes for Attenuation of Emerging Contaminants in Water. </w:t>
      </w:r>
      <w:r>
        <w:rPr>
          <w:i/>
          <w:iCs/>
        </w:rPr>
        <w:t>J. Hazard. Mater.</w:t>
      </w:r>
      <w:r>
        <w:t xml:space="preserve">, </w:t>
      </w:r>
      <w:r>
        <w:rPr>
          <w:b/>
          <w:bCs/>
        </w:rPr>
        <w:t>2015</w:t>
      </w:r>
      <w:r>
        <w:t xml:space="preserve">, </w:t>
      </w:r>
      <w:r>
        <w:rPr>
          <w:i/>
          <w:iCs/>
        </w:rPr>
        <w:t>282</w:t>
      </w:r>
      <w:r>
        <w:t>, 75–85.</w:t>
      </w:r>
    </w:p>
    <w:p w14:paraId="6CE5E599" w14:textId="77777777" w:rsidR="00C41D76" w:rsidRDefault="00C41D76" w:rsidP="00C41D76">
      <w:pPr>
        <w:pStyle w:val="Bibliografia"/>
      </w:pPr>
      <w:r>
        <w:t xml:space="preserve">[57] </w:t>
      </w:r>
      <w:r>
        <w:tab/>
        <w:t xml:space="preserve">Miklos, D.B.; Wang, W.-L.; Linden, K.G.; Drewes, J.E.; Hübner, U. Comparison of UV-AOPs (UV/H2O2, UV/PDS and UV/Chlorine) for TOrC Removal from Municipal Wastewater Effluent and Optical Surrogate Model Evaluation. </w:t>
      </w:r>
      <w:r>
        <w:rPr>
          <w:i/>
          <w:iCs/>
        </w:rPr>
        <w:t>Chem. Eng. J.</w:t>
      </w:r>
      <w:r>
        <w:t xml:space="preserve">, </w:t>
      </w:r>
      <w:r>
        <w:rPr>
          <w:b/>
          <w:bCs/>
        </w:rPr>
        <w:t>2019</w:t>
      </w:r>
      <w:r>
        <w:t xml:space="preserve">, </w:t>
      </w:r>
      <w:r>
        <w:rPr>
          <w:i/>
          <w:iCs/>
        </w:rPr>
        <w:t>362</w:t>
      </w:r>
      <w:r>
        <w:t>, 537–547.</w:t>
      </w:r>
    </w:p>
    <w:p w14:paraId="4AA61B56" w14:textId="77777777" w:rsidR="00C41D76" w:rsidRDefault="00C41D76" w:rsidP="00C41D76">
      <w:pPr>
        <w:pStyle w:val="Bibliografia"/>
      </w:pPr>
      <w:r>
        <w:t xml:space="preserve">[58] </w:t>
      </w:r>
      <w:r>
        <w:tab/>
        <w:t xml:space="preserve">Park, M.; Anumol, T.; Daniels, K.D.; Wu, S.; Ziska, A.D.; Snyder, S.A. Predicting Trace Organic Compound Attenuation by Ozone Oxidation: Development of Indicator and Surrogate Models. </w:t>
      </w:r>
      <w:r>
        <w:rPr>
          <w:i/>
          <w:iCs/>
        </w:rPr>
        <w:t>Water Res.</w:t>
      </w:r>
      <w:r>
        <w:t xml:space="preserve">, </w:t>
      </w:r>
      <w:r>
        <w:rPr>
          <w:b/>
          <w:bCs/>
        </w:rPr>
        <w:t>2017</w:t>
      </w:r>
      <w:r>
        <w:t xml:space="preserve">, </w:t>
      </w:r>
      <w:r>
        <w:rPr>
          <w:i/>
          <w:iCs/>
        </w:rPr>
        <w:t>119</w:t>
      </w:r>
      <w:r>
        <w:t>, 21–32.</w:t>
      </w:r>
    </w:p>
    <w:p w14:paraId="61739CB7" w14:textId="77777777" w:rsidR="00C41D76" w:rsidRDefault="00C41D76" w:rsidP="00C41D76">
      <w:pPr>
        <w:pStyle w:val="Bibliografia"/>
      </w:pPr>
      <w:r>
        <w:t xml:space="preserve">[59] </w:t>
      </w:r>
      <w:r>
        <w:tab/>
        <w:t xml:space="preserve">Cruz-Alcalde, A.; Esplugas, S.; Sans, C. Abatement of Ozone-Recalcitrant Micropollutants during Municipal Wastewater Ozonation: Kinetic Modelling and Surrogate-Based Control Strategies. </w:t>
      </w:r>
      <w:r>
        <w:rPr>
          <w:i/>
          <w:iCs/>
        </w:rPr>
        <w:t>Chem. Eng. J.</w:t>
      </w:r>
      <w:r>
        <w:t xml:space="preserve">, </w:t>
      </w:r>
      <w:r>
        <w:rPr>
          <w:b/>
          <w:bCs/>
        </w:rPr>
        <w:t>2019</w:t>
      </w:r>
      <w:r>
        <w:t xml:space="preserve">, </w:t>
      </w:r>
      <w:r>
        <w:rPr>
          <w:i/>
          <w:iCs/>
        </w:rPr>
        <w:t>360</w:t>
      </w:r>
      <w:r>
        <w:t>, 1092–1100.</w:t>
      </w:r>
    </w:p>
    <w:p w14:paraId="2B4FF698" w14:textId="77777777" w:rsidR="00C41D76" w:rsidRDefault="00C41D76" w:rsidP="00C41D76">
      <w:pPr>
        <w:pStyle w:val="Bibliografia"/>
      </w:pPr>
      <w:r>
        <w:t xml:space="preserve">[60] </w:t>
      </w:r>
      <w:r>
        <w:tab/>
        <w:t xml:space="preserve">Carabajal, M.D.; Arancibia, J.A.; Escandar, G.M. Excitation-Emission Fluorescence-Kinetic Data Obtained by Fenton Degradation. Determination of Heavy-Polycyclic Aromatic Hydrocarbons by Four-Way Parallel Factor Analysis. </w:t>
      </w:r>
      <w:r>
        <w:rPr>
          <w:i/>
          <w:iCs/>
        </w:rPr>
        <w:t>Talanta</w:t>
      </w:r>
      <w:r>
        <w:t xml:space="preserve">, </w:t>
      </w:r>
      <w:r>
        <w:rPr>
          <w:b/>
          <w:bCs/>
        </w:rPr>
        <w:t>2017</w:t>
      </w:r>
      <w:r>
        <w:t xml:space="preserve">, </w:t>
      </w:r>
      <w:r>
        <w:rPr>
          <w:i/>
          <w:iCs/>
        </w:rPr>
        <w:t>165</w:t>
      </w:r>
      <w:r>
        <w:t>, 52–63.</w:t>
      </w:r>
    </w:p>
    <w:p w14:paraId="35B3DE17" w14:textId="77777777" w:rsidR="00C41D76" w:rsidRDefault="00C41D76" w:rsidP="00C41D76">
      <w:pPr>
        <w:pStyle w:val="Bibliografia"/>
      </w:pPr>
      <w:r>
        <w:t xml:space="preserve">[61] </w:t>
      </w:r>
      <w:r>
        <w:tab/>
        <w:t xml:space="preserve">García-Ballesteros, S.; Mora, M.; Vicente, R.; Vercher, R.F.; Sabater, C.; Castillo, M.A.; Amat, A.M.; Arques, A. A New Methodology to Assess the Performance of AOPs in Complex Samples: Application to the Degradation of Phenolic Compounds by O3 and O3/UV-A–Vis. </w:t>
      </w:r>
      <w:r>
        <w:rPr>
          <w:i/>
          <w:iCs/>
        </w:rPr>
        <w:t>Chemosphere</w:t>
      </w:r>
      <w:r>
        <w:t xml:space="preserve">, </w:t>
      </w:r>
      <w:r>
        <w:rPr>
          <w:b/>
          <w:bCs/>
        </w:rPr>
        <w:t>2019</w:t>
      </w:r>
      <w:r>
        <w:t xml:space="preserve">, </w:t>
      </w:r>
      <w:r>
        <w:rPr>
          <w:i/>
          <w:iCs/>
        </w:rPr>
        <w:t>222</w:t>
      </w:r>
      <w:r>
        <w:t>, 114–123.</w:t>
      </w:r>
    </w:p>
    <w:p w14:paraId="505BED06" w14:textId="77777777" w:rsidR="00C41D76" w:rsidRDefault="00C41D76" w:rsidP="00C41D76">
      <w:pPr>
        <w:pStyle w:val="Bibliografia"/>
      </w:pPr>
      <w:r>
        <w:t xml:space="preserve">[62] </w:t>
      </w:r>
      <w:r>
        <w:tab/>
        <w:t xml:space="preserve">Sciscenko, I.; Thị Mỹ Hắng, H.; Escudero-Oñate, C.; Oller, I.; Arques, A. Fluorescence Spectroscopy and Chemometrics: A Simple and Easy Way for the Monitoring of Fluoroquinolone Mixture Degradation. </w:t>
      </w:r>
      <w:r>
        <w:rPr>
          <w:i/>
          <w:iCs/>
        </w:rPr>
        <w:t>ACS Omega</w:t>
      </w:r>
      <w:r>
        <w:t xml:space="preserve">, </w:t>
      </w:r>
      <w:r>
        <w:rPr>
          <w:b/>
          <w:bCs/>
        </w:rPr>
        <w:t>2021</w:t>
      </w:r>
      <w:r>
        <w:t xml:space="preserve">, </w:t>
      </w:r>
      <w:r>
        <w:rPr>
          <w:i/>
          <w:iCs/>
        </w:rPr>
        <w:t>6</w:t>
      </w:r>
      <w:r>
        <w:t>, 4663–4671.</w:t>
      </w:r>
    </w:p>
    <w:p w14:paraId="71A0E2C2" w14:textId="77777777" w:rsidR="00C41D76" w:rsidRDefault="00C41D76" w:rsidP="00C41D76">
      <w:pPr>
        <w:pStyle w:val="Bibliografia"/>
      </w:pPr>
      <w:r>
        <w:t xml:space="preserve">[63] </w:t>
      </w:r>
      <w:r>
        <w:tab/>
        <w:t xml:space="preserve">Liu, X.; Chen, L.; Yang, M.; Tan, C.; Chu, W. The Occurrence, Characteristics, Transformation and Control of Aromatic Disinfection by-Products: A Review. </w:t>
      </w:r>
      <w:r>
        <w:rPr>
          <w:i/>
          <w:iCs/>
        </w:rPr>
        <w:t>Water Res.</w:t>
      </w:r>
      <w:r>
        <w:t xml:space="preserve">, </w:t>
      </w:r>
      <w:r>
        <w:rPr>
          <w:b/>
          <w:bCs/>
        </w:rPr>
        <w:t>2020</w:t>
      </w:r>
      <w:r>
        <w:t xml:space="preserve">, </w:t>
      </w:r>
      <w:r>
        <w:rPr>
          <w:i/>
          <w:iCs/>
        </w:rPr>
        <w:t>184</w:t>
      </w:r>
      <w:r>
        <w:t>, 116076.</w:t>
      </w:r>
    </w:p>
    <w:p w14:paraId="442815AD" w14:textId="77777777" w:rsidR="00C41D76" w:rsidRDefault="00C41D76" w:rsidP="00C41D76">
      <w:pPr>
        <w:pStyle w:val="Bibliografia"/>
      </w:pPr>
      <w:r>
        <w:t xml:space="preserve">[64] </w:t>
      </w:r>
      <w:r>
        <w:tab/>
        <w:t xml:space="preserve">Luo, Y.; Guo, W.; Ngo, H.H.; Nghiem, L.D.; Hai, F.I.; Zhang, J.; Liang, S.; Wang, X.C. A Review on the Occurrence of Micropollutants in the Aquatic Environment and Their Fate and Removal during Wastewater Treatment. </w:t>
      </w:r>
      <w:r>
        <w:rPr>
          <w:i/>
          <w:iCs/>
        </w:rPr>
        <w:t>Sci. Total Environ.</w:t>
      </w:r>
      <w:r>
        <w:t xml:space="preserve">, </w:t>
      </w:r>
      <w:r>
        <w:rPr>
          <w:b/>
          <w:bCs/>
        </w:rPr>
        <w:t>2014</w:t>
      </w:r>
      <w:r>
        <w:t xml:space="preserve">, </w:t>
      </w:r>
      <w:r>
        <w:rPr>
          <w:i/>
          <w:iCs/>
        </w:rPr>
        <w:t>473–474</w:t>
      </w:r>
      <w:r>
        <w:t>, 619–641.</w:t>
      </w:r>
    </w:p>
    <w:p w14:paraId="50D46896" w14:textId="77777777" w:rsidR="00C41D76" w:rsidRDefault="00C41D76" w:rsidP="00C41D76">
      <w:pPr>
        <w:pStyle w:val="Bibliografia"/>
      </w:pPr>
      <w:r>
        <w:t xml:space="preserve">[65] </w:t>
      </w:r>
      <w:r>
        <w:tab/>
        <w:t xml:space="preserve">Leenheer, J.A.; Croué, J.-P. Peer Reviewed: Characterizing Aquatic Dissolved Organic Matter. </w:t>
      </w:r>
      <w:r>
        <w:rPr>
          <w:i/>
          <w:iCs/>
        </w:rPr>
        <w:t>Environ. Sci. Technol.</w:t>
      </w:r>
      <w:r>
        <w:t xml:space="preserve">, </w:t>
      </w:r>
      <w:r>
        <w:rPr>
          <w:b/>
          <w:bCs/>
        </w:rPr>
        <w:t>2003</w:t>
      </w:r>
      <w:r>
        <w:t xml:space="preserve">, </w:t>
      </w:r>
      <w:r>
        <w:rPr>
          <w:i/>
          <w:iCs/>
        </w:rPr>
        <w:t>37</w:t>
      </w:r>
      <w:r>
        <w:t>, 18A-26A.</w:t>
      </w:r>
    </w:p>
    <w:p w14:paraId="7FBD1B0E" w14:textId="77777777" w:rsidR="00C41D76" w:rsidRDefault="00C41D76" w:rsidP="00C41D76">
      <w:pPr>
        <w:pStyle w:val="Bibliografia"/>
      </w:pPr>
      <w:r>
        <w:lastRenderedPageBreak/>
        <w:t xml:space="preserve">[66] </w:t>
      </w:r>
      <w:r>
        <w:tab/>
        <w:t xml:space="preserve">Derenne, S.; Tu, T.T.N. Characterizing the molecular structure of organic matter from natural environments: An analytical challenge. </w:t>
      </w:r>
      <w:r>
        <w:rPr>
          <w:i/>
          <w:iCs/>
        </w:rPr>
        <w:t>Comptes Rendus Géoscience</w:t>
      </w:r>
      <w:r>
        <w:t xml:space="preserve">, </w:t>
      </w:r>
      <w:r>
        <w:rPr>
          <w:b/>
          <w:bCs/>
        </w:rPr>
        <w:t>2014</w:t>
      </w:r>
      <w:r>
        <w:t xml:space="preserve">, </w:t>
      </w:r>
      <w:r>
        <w:rPr>
          <w:i/>
          <w:iCs/>
        </w:rPr>
        <w:t>346</w:t>
      </w:r>
      <w:r>
        <w:t>, 53–63.</w:t>
      </w:r>
    </w:p>
    <w:p w14:paraId="14C3DCC1" w14:textId="77777777" w:rsidR="00C41D76" w:rsidRDefault="00C41D76" w:rsidP="00C41D76">
      <w:pPr>
        <w:pStyle w:val="Bibliografia"/>
      </w:pPr>
      <w:r>
        <w:t xml:space="preserve">[67] </w:t>
      </w:r>
      <w:r>
        <w:tab/>
        <w:t xml:space="preserve">Palma, D.; Sleiman, M.; Voldoire, O.; Beauger, A.; Parlanti, E.; Richard, C. Study of the Dissolved Organic Matter (DOM) of the Auzon Cut-off Meander (Allier River, France) by Spectral and Photoreactivity Approaches. </w:t>
      </w:r>
      <w:r>
        <w:rPr>
          <w:i/>
          <w:iCs/>
        </w:rPr>
        <w:t>Environ. Sci. Pollut. Res.</w:t>
      </w:r>
      <w:r>
        <w:t xml:space="preserve">, </w:t>
      </w:r>
      <w:r>
        <w:rPr>
          <w:b/>
          <w:bCs/>
        </w:rPr>
        <w:t>2020</w:t>
      </w:r>
      <w:r>
        <w:t xml:space="preserve">, </w:t>
      </w:r>
      <w:r>
        <w:rPr>
          <w:i/>
          <w:iCs/>
        </w:rPr>
        <w:t>27</w:t>
      </w:r>
      <w:r>
        <w:t>, 26385–26394.</w:t>
      </w:r>
    </w:p>
    <w:p w14:paraId="38F8848C" w14:textId="77777777" w:rsidR="00C41D76" w:rsidRDefault="00C41D76" w:rsidP="00C41D76">
      <w:pPr>
        <w:pStyle w:val="Bibliografia"/>
      </w:pPr>
      <w:r>
        <w:t xml:space="preserve">[68] </w:t>
      </w:r>
      <w:r>
        <w:tab/>
        <w:t xml:space="preserve">Wünsch, U.J.; Murphy, K. A Simple Method to Isolate Fluorescence Spectra from Small Dissolved Organic Matter Datasets. </w:t>
      </w:r>
      <w:r>
        <w:rPr>
          <w:i/>
          <w:iCs/>
        </w:rPr>
        <w:t>Water Res.</w:t>
      </w:r>
      <w:r>
        <w:t xml:space="preserve">, </w:t>
      </w:r>
      <w:r>
        <w:rPr>
          <w:b/>
          <w:bCs/>
        </w:rPr>
        <w:t>2021</w:t>
      </w:r>
      <w:r>
        <w:t xml:space="preserve">, </w:t>
      </w:r>
      <w:r>
        <w:rPr>
          <w:i/>
          <w:iCs/>
        </w:rPr>
        <w:t>190</w:t>
      </w:r>
      <w:r>
        <w:t>, 116730.</w:t>
      </w:r>
    </w:p>
    <w:p w14:paraId="3101BDAF" w14:textId="77777777" w:rsidR="00C41D76" w:rsidRDefault="00C41D76" w:rsidP="00C41D76">
      <w:pPr>
        <w:pStyle w:val="Bibliografia"/>
      </w:pPr>
      <w:r>
        <w:t xml:space="preserve">[69] </w:t>
      </w:r>
      <w:r>
        <w:tab/>
        <w:t xml:space="preserve">Li, L.; Wang, Y.; Zhang, W.; Yu, S.; Wang, X.; Gao, N. New Advances in Fluorescence Excitation-Emission Matrix Spectroscopy for the Characterization of Dissolved Organic Matter in Drinking Water Treatment: A Review. </w:t>
      </w:r>
      <w:r>
        <w:rPr>
          <w:i/>
          <w:iCs/>
        </w:rPr>
        <w:t>Chem. Eng. J.</w:t>
      </w:r>
      <w:r>
        <w:t xml:space="preserve">, </w:t>
      </w:r>
      <w:r>
        <w:rPr>
          <w:b/>
          <w:bCs/>
        </w:rPr>
        <w:t>2020</w:t>
      </w:r>
      <w:r>
        <w:t xml:space="preserve">, </w:t>
      </w:r>
      <w:r>
        <w:rPr>
          <w:i/>
          <w:iCs/>
        </w:rPr>
        <w:t>381</w:t>
      </w:r>
      <w:r>
        <w:t>, 122676.</w:t>
      </w:r>
    </w:p>
    <w:p w14:paraId="2AD6BFB6" w14:textId="77777777" w:rsidR="00C41D76" w:rsidRDefault="00C41D76" w:rsidP="00C41D76">
      <w:pPr>
        <w:pStyle w:val="Bibliografia"/>
      </w:pPr>
      <w:r>
        <w:t xml:space="preserve">[70] </w:t>
      </w:r>
      <w:r>
        <w:tab/>
        <w:t xml:space="preserve">Henderson, R.K.; Baker, A.; Murphy, K.R.; Hambly, A.; Stuetz, R.M.; Khan, S.J. Fluorescence as a Potential Monitoring Tool for Recycled Water Systems: A Review. </w:t>
      </w:r>
      <w:r>
        <w:rPr>
          <w:i/>
          <w:iCs/>
        </w:rPr>
        <w:t>Water Res.</w:t>
      </w:r>
      <w:r>
        <w:t xml:space="preserve">, </w:t>
      </w:r>
      <w:r>
        <w:rPr>
          <w:b/>
          <w:bCs/>
        </w:rPr>
        <w:t>2009</w:t>
      </w:r>
      <w:r>
        <w:t xml:space="preserve">, </w:t>
      </w:r>
      <w:r>
        <w:rPr>
          <w:i/>
          <w:iCs/>
        </w:rPr>
        <w:t>43</w:t>
      </w:r>
      <w:r>
        <w:t>, 863–881.</w:t>
      </w:r>
    </w:p>
    <w:p w14:paraId="0B857A7E" w14:textId="77777777" w:rsidR="00C41D76" w:rsidRDefault="00C41D76" w:rsidP="00C41D76">
      <w:pPr>
        <w:pStyle w:val="Bibliografia"/>
      </w:pPr>
      <w:r>
        <w:t xml:space="preserve">[71] </w:t>
      </w:r>
      <w:r>
        <w:tab/>
        <w:t xml:space="preserve">Palma, D.; Parlanti, E.; Sourzac, M.; Voldoire, O.; Beauger, A.; Sleiman, M.; Richard, C. Fluorescence Analysis Allows to Predict the Oxidative Capacity of Humic Quinones in Dissolved Organic Matter: Implication for Pollutant Degradation. </w:t>
      </w:r>
      <w:r>
        <w:rPr>
          <w:i/>
          <w:iCs/>
        </w:rPr>
        <w:t>Environ. Chem. Lett.</w:t>
      </w:r>
      <w:r>
        <w:t xml:space="preserve">, </w:t>
      </w:r>
      <w:r>
        <w:rPr>
          <w:b/>
          <w:bCs/>
        </w:rPr>
        <w:t>2021</w:t>
      </w:r>
      <w:r>
        <w:t xml:space="preserve">, </w:t>
      </w:r>
      <w:r>
        <w:rPr>
          <w:i/>
          <w:iCs/>
        </w:rPr>
        <w:t>19</w:t>
      </w:r>
      <w:r>
        <w:t>, 1857–1863.</w:t>
      </w:r>
    </w:p>
    <w:p w14:paraId="1AB8F14B" w14:textId="77777777" w:rsidR="00C41D76" w:rsidRDefault="00C41D76" w:rsidP="00C41D76">
      <w:pPr>
        <w:pStyle w:val="Bibliografia"/>
      </w:pPr>
      <w:r>
        <w:t xml:space="preserve">[72] </w:t>
      </w:r>
      <w:r>
        <w:tab/>
        <w:t xml:space="preserve">Murphy, K.R.; Stedmon, C.A.; Graeber, D.; Bro, R. Fluorescence Spectroscopy and Multi-Way Techniques. PARAFAC. </w:t>
      </w:r>
      <w:r>
        <w:rPr>
          <w:i/>
          <w:iCs/>
        </w:rPr>
        <w:t>Anal. Methods</w:t>
      </w:r>
      <w:r>
        <w:t xml:space="preserve">, </w:t>
      </w:r>
      <w:r>
        <w:rPr>
          <w:b/>
          <w:bCs/>
        </w:rPr>
        <w:t>2013</w:t>
      </w:r>
      <w:r>
        <w:t xml:space="preserve">, </w:t>
      </w:r>
      <w:r>
        <w:rPr>
          <w:i/>
          <w:iCs/>
        </w:rPr>
        <w:t>5</w:t>
      </w:r>
      <w:r>
        <w:t>, 6557–6566.</w:t>
      </w:r>
    </w:p>
    <w:p w14:paraId="440D8298" w14:textId="77777777" w:rsidR="00C41D76" w:rsidRDefault="00C41D76" w:rsidP="00C41D76">
      <w:pPr>
        <w:pStyle w:val="Bibliografia"/>
      </w:pPr>
      <w:r>
        <w:t xml:space="preserve">[73] </w:t>
      </w:r>
      <w:r>
        <w:tab/>
        <w:t xml:space="preserve">Sciscenko, I.; Arques, A.; Micó, P.; Mora, M.; García-Ballesteros, S. Emerging Applications of EEM-PARAFAC for Water Treatment: A Concise Review. </w:t>
      </w:r>
      <w:r>
        <w:rPr>
          <w:i/>
          <w:iCs/>
        </w:rPr>
        <w:t>Chem. Eng. J. Adv.</w:t>
      </w:r>
      <w:r>
        <w:t xml:space="preserve">, </w:t>
      </w:r>
      <w:r>
        <w:rPr>
          <w:b/>
          <w:bCs/>
        </w:rPr>
        <w:t>2022</w:t>
      </w:r>
      <w:r>
        <w:t xml:space="preserve">, </w:t>
      </w:r>
      <w:r>
        <w:rPr>
          <w:i/>
          <w:iCs/>
        </w:rPr>
        <w:t>10</w:t>
      </w:r>
      <w:r>
        <w:t>, 100286.</w:t>
      </w:r>
    </w:p>
    <w:p w14:paraId="5557CB79" w14:textId="77777777" w:rsidR="00C41D76" w:rsidRDefault="00C41D76" w:rsidP="00C41D76">
      <w:pPr>
        <w:pStyle w:val="Bibliografia"/>
      </w:pPr>
      <w:r>
        <w:t xml:space="preserve">[74] </w:t>
      </w:r>
      <w:r>
        <w:tab/>
        <w:t xml:space="preserve">Sciscenko, I.; Mora, M.; Micó, P.; Escudero-Oñate, C.; Oller, I.; Arques, A. EEM-PARAFAC as a Convenient Methodology to Study Fluorescent Emerging Pollutants Degradation: (Fluoro)Quinolones Oxidation in Different Water Matrices. </w:t>
      </w:r>
      <w:r>
        <w:rPr>
          <w:i/>
          <w:iCs/>
        </w:rPr>
        <w:t>Sci. Total Environ.</w:t>
      </w:r>
      <w:r>
        <w:t xml:space="preserve">, </w:t>
      </w:r>
      <w:r>
        <w:rPr>
          <w:b/>
          <w:bCs/>
        </w:rPr>
        <w:t>2022</w:t>
      </w:r>
      <w:r>
        <w:t xml:space="preserve">, </w:t>
      </w:r>
      <w:r>
        <w:rPr>
          <w:i/>
          <w:iCs/>
        </w:rPr>
        <w:t>852</w:t>
      </w:r>
      <w:r>
        <w:t>, 158338.</w:t>
      </w:r>
    </w:p>
    <w:p w14:paraId="2425BB06" w14:textId="77777777" w:rsidR="00C41D76" w:rsidRDefault="00C41D76" w:rsidP="00C41D76">
      <w:pPr>
        <w:pStyle w:val="Bibliografia"/>
      </w:pPr>
      <w:r>
        <w:t xml:space="preserve">[75] </w:t>
      </w:r>
      <w:r>
        <w:tab/>
        <w:t xml:space="preserve">Lawaetz, A.J.; Stedmon, C.A. Fluorescence Intensity Calibration Using the Raman Scatter Peak of Water. </w:t>
      </w:r>
      <w:r>
        <w:rPr>
          <w:i/>
          <w:iCs/>
        </w:rPr>
        <w:t>Appl. Spectrosc.</w:t>
      </w:r>
      <w:r>
        <w:t xml:space="preserve">, </w:t>
      </w:r>
      <w:r>
        <w:rPr>
          <w:b/>
          <w:bCs/>
        </w:rPr>
        <w:t>2009</w:t>
      </w:r>
      <w:r>
        <w:t xml:space="preserve">, </w:t>
      </w:r>
      <w:r>
        <w:rPr>
          <w:i/>
          <w:iCs/>
        </w:rPr>
        <w:t>63</w:t>
      </w:r>
      <w:r>
        <w:t>, 936–940.</w:t>
      </w:r>
    </w:p>
    <w:p w14:paraId="56849564" w14:textId="77777777" w:rsidR="00C41D76" w:rsidRDefault="00C41D76" w:rsidP="00C41D76">
      <w:pPr>
        <w:pStyle w:val="Bibliografia"/>
      </w:pPr>
      <w:r>
        <w:t xml:space="preserve">[76] </w:t>
      </w:r>
      <w:r>
        <w:tab/>
        <w:t xml:space="preserve">Micó, P.; García-Ballesteros, S.; Mora, M.; Vicente, R.; Amat, A.M.; Arques, A. EEMlab: A Graphical User-Friendly Interface for Fluorimetry Experiments Based on the drEEM Toolbox. </w:t>
      </w:r>
      <w:r>
        <w:rPr>
          <w:i/>
          <w:iCs/>
        </w:rPr>
        <w:t>Chemom. Intell. Lab. Syst.</w:t>
      </w:r>
      <w:r>
        <w:t xml:space="preserve">, </w:t>
      </w:r>
      <w:r>
        <w:rPr>
          <w:b/>
          <w:bCs/>
        </w:rPr>
        <w:t>2019</w:t>
      </w:r>
      <w:r>
        <w:t xml:space="preserve">, </w:t>
      </w:r>
      <w:r>
        <w:rPr>
          <w:i/>
          <w:iCs/>
        </w:rPr>
        <w:t>188</w:t>
      </w:r>
      <w:r>
        <w:t>, 6–13.</w:t>
      </w:r>
    </w:p>
    <w:p w14:paraId="376410B8" w14:textId="77777777" w:rsidR="00C41D76" w:rsidRDefault="00C41D76" w:rsidP="00C41D76">
      <w:pPr>
        <w:pStyle w:val="Bibliografia"/>
      </w:pPr>
      <w:r>
        <w:t xml:space="preserve">[77] </w:t>
      </w:r>
      <w:r>
        <w:tab/>
        <w:t xml:space="preserve">Ishii, S.K.L.; Boyer, T.H. Behavior of Reoccurring PARAFAC Components in Fluorescent Dissolved Organic Matter in Natural and Engineered Systems: A Critical Review. </w:t>
      </w:r>
      <w:r>
        <w:rPr>
          <w:i/>
          <w:iCs/>
        </w:rPr>
        <w:t>Environ. Sci. Technol.</w:t>
      </w:r>
      <w:r>
        <w:t xml:space="preserve">, </w:t>
      </w:r>
      <w:r>
        <w:rPr>
          <w:b/>
          <w:bCs/>
        </w:rPr>
        <w:t>2012</w:t>
      </w:r>
      <w:r>
        <w:t xml:space="preserve">, </w:t>
      </w:r>
      <w:r>
        <w:rPr>
          <w:i/>
          <w:iCs/>
        </w:rPr>
        <w:t>46</w:t>
      </w:r>
      <w:r>
        <w:t>, 2006–2017.</w:t>
      </w:r>
    </w:p>
    <w:p w14:paraId="14E23232" w14:textId="77777777" w:rsidR="00C41D76" w:rsidRDefault="00C41D76" w:rsidP="00C41D76">
      <w:pPr>
        <w:pStyle w:val="Bibliografia"/>
      </w:pPr>
      <w:r>
        <w:t xml:space="preserve">[78] </w:t>
      </w:r>
      <w:r>
        <w:tab/>
        <w:t xml:space="preserve">Hall, G.J.; Kenny, J.E. Estuarine Water Classification Using EEM Spectroscopy and PARAFAC–SIMCA. </w:t>
      </w:r>
      <w:r>
        <w:rPr>
          <w:i/>
          <w:iCs/>
        </w:rPr>
        <w:t>Anal. Chim. Acta</w:t>
      </w:r>
      <w:r>
        <w:t xml:space="preserve">, </w:t>
      </w:r>
      <w:r>
        <w:rPr>
          <w:b/>
          <w:bCs/>
        </w:rPr>
        <w:t>2007</w:t>
      </w:r>
      <w:r>
        <w:t xml:space="preserve">, </w:t>
      </w:r>
      <w:r>
        <w:rPr>
          <w:i/>
          <w:iCs/>
        </w:rPr>
        <w:t>581</w:t>
      </w:r>
      <w:r>
        <w:t>, 118–124.</w:t>
      </w:r>
    </w:p>
    <w:p w14:paraId="44AC695A" w14:textId="77777777" w:rsidR="00C41D76" w:rsidRDefault="00C41D76" w:rsidP="00C41D76">
      <w:pPr>
        <w:pStyle w:val="Bibliografia"/>
      </w:pPr>
      <w:r>
        <w:t xml:space="preserve">[79] </w:t>
      </w:r>
      <w:r>
        <w:tab/>
        <w:t xml:space="preserve">Wells, M.J.M.; Funk, D.; Mullins, G.A.; Bell, K.Y. Application of a Fluorescence EEM-PARAFAC Model for Direct and Indirect Potable Water Reuse Monitoring: Multi-Stage Ozone–Biofiltration without Reverse Osmosis at Gwinnett County, Georgia, USA. </w:t>
      </w:r>
      <w:r>
        <w:rPr>
          <w:i/>
          <w:iCs/>
        </w:rPr>
        <w:t>Sci. Total Environ.</w:t>
      </w:r>
      <w:r>
        <w:t xml:space="preserve">, </w:t>
      </w:r>
      <w:r>
        <w:rPr>
          <w:b/>
          <w:bCs/>
        </w:rPr>
        <w:t>2023</w:t>
      </w:r>
      <w:r>
        <w:t xml:space="preserve">, </w:t>
      </w:r>
      <w:r>
        <w:rPr>
          <w:i/>
          <w:iCs/>
        </w:rPr>
        <w:t>886</w:t>
      </w:r>
      <w:r>
        <w:t>, 163937.</w:t>
      </w:r>
    </w:p>
    <w:p w14:paraId="25527C96" w14:textId="77777777" w:rsidR="00C41D76" w:rsidRDefault="00C41D76" w:rsidP="00C41D76">
      <w:pPr>
        <w:pStyle w:val="Bibliografia"/>
      </w:pPr>
      <w:r>
        <w:t xml:space="preserve">[80] </w:t>
      </w:r>
      <w:r>
        <w:tab/>
        <w:t xml:space="preserve">Stein, N.; Sharon-Gojman, R.; Mauter, M.S.; Bernstein, R.; Herzberg, M. Fouling of Reverse Osmosis Membrane with Effluent Organic Matter: Componential Role of Hydrophobicity. </w:t>
      </w:r>
      <w:r>
        <w:rPr>
          <w:i/>
          <w:iCs/>
        </w:rPr>
        <w:t>ACS EST Water</w:t>
      </w:r>
      <w:r>
        <w:t xml:space="preserve">, </w:t>
      </w:r>
      <w:r>
        <w:rPr>
          <w:b/>
          <w:bCs/>
        </w:rPr>
        <w:t>2023</w:t>
      </w:r>
      <w:r>
        <w:t xml:space="preserve">, </w:t>
      </w:r>
      <w:r>
        <w:rPr>
          <w:i/>
          <w:iCs/>
        </w:rPr>
        <w:t>3</w:t>
      </w:r>
      <w:r>
        <w:t>, 2491–2501.</w:t>
      </w:r>
    </w:p>
    <w:p w14:paraId="688246A1" w14:textId="77777777" w:rsidR="00C41D76" w:rsidRDefault="00C41D76" w:rsidP="00C41D76">
      <w:pPr>
        <w:pStyle w:val="Bibliografia"/>
      </w:pPr>
      <w:r>
        <w:t xml:space="preserve">[81] </w:t>
      </w:r>
      <w:r>
        <w:tab/>
        <w:t xml:space="preserve">Shutova, Y.; Baker, A.; Bridgeman, J.; Henderson, R.K. Spectroscopic Characterisation of Dissolved Organic Matter Changes in Drinking Water Treatment: From PARAFAC Analysis to Online Monitoring Wavelengths. </w:t>
      </w:r>
      <w:r>
        <w:rPr>
          <w:i/>
          <w:iCs/>
        </w:rPr>
        <w:t>Water Res.</w:t>
      </w:r>
      <w:r>
        <w:t xml:space="preserve">, </w:t>
      </w:r>
      <w:r>
        <w:rPr>
          <w:b/>
          <w:bCs/>
        </w:rPr>
        <w:t>2014</w:t>
      </w:r>
      <w:r>
        <w:t xml:space="preserve">, </w:t>
      </w:r>
      <w:r>
        <w:rPr>
          <w:i/>
          <w:iCs/>
        </w:rPr>
        <w:t>54</w:t>
      </w:r>
      <w:r>
        <w:t>, 159–169.</w:t>
      </w:r>
    </w:p>
    <w:p w14:paraId="68DC7AE8" w14:textId="77777777" w:rsidR="00C41D76" w:rsidRDefault="00C41D76" w:rsidP="00C41D76">
      <w:pPr>
        <w:pStyle w:val="Bibliografia"/>
      </w:pPr>
      <w:r>
        <w:lastRenderedPageBreak/>
        <w:t xml:space="preserve">[82] </w:t>
      </w:r>
      <w:r>
        <w:tab/>
        <w:t xml:space="preserve">Ferguson, T.; Bernicky, A.; Kozin, I.; Loock, H.-P. HPLC-Detector Based on Hadamard-Transform Fluorescence Excitation-Emission-Matrix Spectroscopy. </w:t>
      </w:r>
      <w:r>
        <w:rPr>
          <w:i/>
          <w:iCs/>
        </w:rPr>
        <w:t>Anal. Chem.</w:t>
      </w:r>
      <w:r>
        <w:t xml:space="preserve">, </w:t>
      </w:r>
      <w:r>
        <w:rPr>
          <w:b/>
          <w:bCs/>
        </w:rPr>
        <w:t>2021</w:t>
      </w:r>
      <w:r>
        <w:t xml:space="preserve">, </w:t>
      </w:r>
      <w:r>
        <w:rPr>
          <w:i/>
          <w:iCs/>
        </w:rPr>
        <w:t>93</w:t>
      </w:r>
      <w:r>
        <w:t>, 8116–8121.</w:t>
      </w:r>
    </w:p>
    <w:p w14:paraId="6D64101D" w14:textId="77777777" w:rsidR="00C41D76" w:rsidRDefault="00C41D76" w:rsidP="00C41D76">
      <w:pPr>
        <w:pStyle w:val="Bibliografia"/>
      </w:pPr>
      <w:r>
        <w:t xml:space="preserve">[83] </w:t>
      </w:r>
      <w:r>
        <w:tab/>
        <w:t xml:space="preserve">Ly, Q.V.; Kim, H.-C.; Hur, J. Tracking Fluorescent Dissolved Organic Matter in Hybrid Ultrafiltration Systems with TiO2/UV Oxidation via EEM-PARAFAC. </w:t>
      </w:r>
      <w:r>
        <w:rPr>
          <w:i/>
          <w:iCs/>
        </w:rPr>
        <w:t>J. Membr. Sci.</w:t>
      </w:r>
      <w:r>
        <w:t xml:space="preserve">, </w:t>
      </w:r>
      <w:r>
        <w:rPr>
          <w:b/>
          <w:bCs/>
        </w:rPr>
        <w:t>2018</w:t>
      </w:r>
      <w:r>
        <w:t xml:space="preserve">, </w:t>
      </w:r>
      <w:r>
        <w:rPr>
          <w:i/>
          <w:iCs/>
        </w:rPr>
        <w:t>549</w:t>
      </w:r>
      <w:r>
        <w:t>, 275–282.</w:t>
      </w:r>
    </w:p>
    <w:p w14:paraId="32CB0FB6" w14:textId="77777777" w:rsidR="00C41D76" w:rsidRDefault="00C41D76" w:rsidP="00C41D76">
      <w:pPr>
        <w:pStyle w:val="Bibliografia"/>
      </w:pPr>
      <w:r>
        <w:t xml:space="preserve">[84] </w:t>
      </w:r>
      <w:r>
        <w:tab/>
        <w:t xml:space="preserve">Świetlik, J.; Sikorska, E. Application of Fluorescence Spectroscopy in the Studies of Natural Organic Matter Fractions Reactivity with Chlorine Dioxide and Ozone. </w:t>
      </w:r>
      <w:r>
        <w:rPr>
          <w:i/>
          <w:iCs/>
        </w:rPr>
        <w:t>Water Res.</w:t>
      </w:r>
      <w:r>
        <w:t xml:space="preserve">, </w:t>
      </w:r>
      <w:r>
        <w:rPr>
          <w:b/>
          <w:bCs/>
        </w:rPr>
        <w:t>2004</w:t>
      </w:r>
      <w:r>
        <w:t xml:space="preserve">, </w:t>
      </w:r>
      <w:r>
        <w:rPr>
          <w:i/>
          <w:iCs/>
        </w:rPr>
        <w:t>38</w:t>
      </w:r>
      <w:r>
        <w:t>, 3791–3799.</w:t>
      </w:r>
    </w:p>
    <w:p w14:paraId="3326979A" w14:textId="77777777" w:rsidR="00C41D76" w:rsidRDefault="00C41D76" w:rsidP="00C41D76">
      <w:pPr>
        <w:pStyle w:val="Bibliografia"/>
      </w:pPr>
      <w:r>
        <w:t xml:space="preserve">[85] </w:t>
      </w:r>
      <w:r>
        <w:tab/>
        <w:t xml:space="preserve">Yang, L.; Hur, J.; Zhuang, W. Occurrence and Behaviors of Fluorescence EEM-PARAFAC Components in Drinking Water and Wastewater Treatment Systems and Their Applications: A Review. </w:t>
      </w:r>
      <w:r>
        <w:rPr>
          <w:i/>
          <w:iCs/>
        </w:rPr>
        <w:t>Environ. Sci. Pollut. Res.</w:t>
      </w:r>
      <w:r>
        <w:t xml:space="preserve">, </w:t>
      </w:r>
      <w:r>
        <w:rPr>
          <w:b/>
          <w:bCs/>
        </w:rPr>
        <w:t>2015</w:t>
      </w:r>
      <w:r>
        <w:t xml:space="preserve">, </w:t>
      </w:r>
      <w:r>
        <w:rPr>
          <w:i/>
          <w:iCs/>
        </w:rPr>
        <w:t>22</w:t>
      </w:r>
      <w:r>
        <w:t>, 6500–6510.</w:t>
      </w:r>
    </w:p>
    <w:p w14:paraId="6A92CAA8" w14:textId="77777777" w:rsidR="00C41D76" w:rsidRDefault="00C41D76" w:rsidP="00C41D76">
      <w:pPr>
        <w:pStyle w:val="Bibliografia"/>
      </w:pPr>
      <w:r>
        <w:t xml:space="preserve">[86] </w:t>
      </w:r>
      <w:r>
        <w:tab/>
        <w:t xml:space="preserve">Hur, J.; Cho, J. Prediction of BOD, COD, and Total Nitrogen Concentrations in a Typical Urban River Using a Fluorescence Excitation-Emission Matrix with PARAFAC and UV Absorption Indices. </w:t>
      </w:r>
      <w:r>
        <w:rPr>
          <w:i/>
          <w:iCs/>
        </w:rPr>
        <w:t>Sensors</w:t>
      </w:r>
      <w:r>
        <w:t xml:space="preserve">, </w:t>
      </w:r>
      <w:r>
        <w:rPr>
          <w:b/>
          <w:bCs/>
        </w:rPr>
        <w:t>2012</w:t>
      </w:r>
      <w:r>
        <w:t xml:space="preserve">, </w:t>
      </w:r>
      <w:r>
        <w:rPr>
          <w:i/>
          <w:iCs/>
        </w:rPr>
        <w:t>12</w:t>
      </w:r>
      <w:r>
        <w:t>, 972–986.</w:t>
      </w:r>
    </w:p>
    <w:p w14:paraId="1C757576" w14:textId="77777777" w:rsidR="00C41D76" w:rsidRDefault="00C41D76" w:rsidP="00C41D76">
      <w:pPr>
        <w:pStyle w:val="Bibliografia"/>
      </w:pPr>
      <w:r>
        <w:t xml:space="preserve">[87] </w:t>
      </w:r>
      <w:r>
        <w:tab/>
        <w:t xml:space="preserve">Yang, L.; Kim, D.; Uzun, H.; Karanfil, T.; Hur, J. Assessing Trihalomethanes (THMs) and </w:t>
      </w:r>
      <w:r>
        <w:rPr>
          <w:i/>
          <w:iCs/>
        </w:rPr>
        <w:t>N</w:t>
      </w:r>
      <w:r>
        <w:t xml:space="preserve">-Nitrosodimethylamine (NDMA) Formation Potentials in Drinking Water Treatment Plants Using Fluorescence Spectroscopy and Parallel Factor Analysis. </w:t>
      </w:r>
      <w:r>
        <w:rPr>
          <w:i/>
          <w:iCs/>
        </w:rPr>
        <w:t>Chemosphere</w:t>
      </w:r>
      <w:r>
        <w:t xml:space="preserve">, </w:t>
      </w:r>
      <w:r>
        <w:rPr>
          <w:b/>
          <w:bCs/>
        </w:rPr>
        <w:t>2015</w:t>
      </w:r>
      <w:r>
        <w:t xml:space="preserve">, </w:t>
      </w:r>
      <w:r>
        <w:rPr>
          <w:i/>
          <w:iCs/>
        </w:rPr>
        <w:t>121</w:t>
      </w:r>
      <w:r>
        <w:t>, 84–91.</w:t>
      </w:r>
    </w:p>
    <w:p w14:paraId="6127EEF5" w14:textId="77777777" w:rsidR="00C41D76" w:rsidRDefault="00C41D76" w:rsidP="00C41D76">
      <w:pPr>
        <w:pStyle w:val="Bibliografia"/>
      </w:pPr>
      <w:r>
        <w:t xml:space="preserve">[88] </w:t>
      </w:r>
      <w:r>
        <w:tab/>
        <w:t xml:space="preserve">Guillossou, R.; Le Roux, J.; Goffin, A.; Mailler, R.; Varrault, G.; Vulliet, E.; Morlay, C.; Nauleau, F.; Guérin, S.; Rocher, V.; Gaspéri, J. Fluorescence Excitation/Emission Matrices as a Tool to Monitor the Removal of Organic Micropollutants from Wastewater Effluents by Adsorption onto Activated Carbon. </w:t>
      </w:r>
      <w:r>
        <w:rPr>
          <w:i/>
          <w:iCs/>
        </w:rPr>
        <w:t>Water Res.</w:t>
      </w:r>
      <w:r>
        <w:t xml:space="preserve">, </w:t>
      </w:r>
      <w:r>
        <w:rPr>
          <w:b/>
          <w:bCs/>
        </w:rPr>
        <w:t>2021</w:t>
      </w:r>
      <w:r>
        <w:t xml:space="preserve">, </w:t>
      </w:r>
      <w:r>
        <w:rPr>
          <w:i/>
          <w:iCs/>
        </w:rPr>
        <w:t>190</w:t>
      </w:r>
      <w:r>
        <w:t>, 116749.</w:t>
      </w:r>
    </w:p>
    <w:p w14:paraId="54070498" w14:textId="77777777" w:rsidR="00C41D76" w:rsidRDefault="00C41D76" w:rsidP="00C41D76">
      <w:pPr>
        <w:pStyle w:val="Bibliografia"/>
      </w:pPr>
      <w:r>
        <w:t xml:space="preserve">[89] </w:t>
      </w:r>
      <w:r>
        <w:tab/>
        <w:t xml:space="preserve">Sgroi, M.; Roccaro, P.; Korshin, G.V.; Greco, V.; Sciuto, S.; Anumol, T.; Snyder, S.A.; Vagliasindi, F.G.A. Use of Fluorescence EEM to Monitor the Removal of Emerging Contaminants in Full Scale Wastewater Treatment Plants. </w:t>
      </w:r>
      <w:r>
        <w:rPr>
          <w:i/>
          <w:iCs/>
        </w:rPr>
        <w:t>J. Hazard. Mater.</w:t>
      </w:r>
      <w:r>
        <w:t xml:space="preserve">, </w:t>
      </w:r>
      <w:r>
        <w:rPr>
          <w:b/>
          <w:bCs/>
        </w:rPr>
        <w:t>2017</w:t>
      </w:r>
      <w:r>
        <w:t xml:space="preserve">, </w:t>
      </w:r>
      <w:r>
        <w:rPr>
          <w:i/>
          <w:iCs/>
        </w:rPr>
        <w:t>323</w:t>
      </w:r>
      <w:r>
        <w:t>, 367–376.</w:t>
      </w:r>
    </w:p>
    <w:p w14:paraId="2C482206" w14:textId="77777777" w:rsidR="00C41D76" w:rsidRDefault="00C41D76" w:rsidP="00C41D76">
      <w:pPr>
        <w:pStyle w:val="Bibliografia"/>
      </w:pPr>
      <w:r>
        <w:t xml:space="preserve">[90] </w:t>
      </w:r>
      <w:r>
        <w:tab/>
        <w:t xml:space="preserve">Tanioka, M.; Ebihana, T.; Uraguchi, M.; Shoji, H.; Nakamura, Y.; Ueda, R.; Ogura, S.; Wakiya, Y.; Obata, T.; Ida, T.; Horigome, J.; Kamino, S. Visualization of the Photodegradation of a Therapeutic Drug by Chemometric-Assisted Fluorescence Spectroscopy. </w:t>
      </w:r>
      <w:r>
        <w:rPr>
          <w:i/>
          <w:iCs/>
        </w:rPr>
        <w:t>RSC Adv.</w:t>
      </w:r>
      <w:r>
        <w:t xml:space="preserve">, </w:t>
      </w:r>
      <w:r>
        <w:rPr>
          <w:b/>
          <w:bCs/>
        </w:rPr>
        <w:t>2022</w:t>
      </w:r>
      <w:r>
        <w:t xml:space="preserve">, </w:t>
      </w:r>
      <w:r>
        <w:rPr>
          <w:i/>
          <w:iCs/>
        </w:rPr>
        <w:t>12</w:t>
      </w:r>
      <w:r>
        <w:t>, 20714–20720.</w:t>
      </w:r>
    </w:p>
    <w:p w14:paraId="664DFBBF" w14:textId="77777777" w:rsidR="00C41D76" w:rsidRDefault="00C41D76" w:rsidP="00C41D76">
      <w:pPr>
        <w:pStyle w:val="Bibliografia"/>
      </w:pPr>
      <w:r>
        <w:t xml:space="preserve">[91] </w:t>
      </w:r>
      <w:r>
        <w:tab/>
        <w:t xml:space="preserve">Paradina-Fernández, L.; Wünsch, U.; Bro, R.; Murphy, K. Direct Measurement of Organic Micropollutants in Water and Wastewater Using Fluorescence Spectroscopy. </w:t>
      </w:r>
      <w:r>
        <w:rPr>
          <w:i/>
          <w:iCs/>
        </w:rPr>
        <w:t>ACS EST Water</w:t>
      </w:r>
      <w:r>
        <w:t xml:space="preserve">, </w:t>
      </w:r>
      <w:r>
        <w:rPr>
          <w:b/>
          <w:bCs/>
        </w:rPr>
        <w:t>2023</w:t>
      </w:r>
      <w:r>
        <w:t xml:space="preserve">, </w:t>
      </w:r>
      <w:r>
        <w:rPr>
          <w:i/>
          <w:iCs/>
        </w:rPr>
        <w:t>3</w:t>
      </w:r>
      <w:r>
        <w:t>, 3905–3915.</w:t>
      </w:r>
    </w:p>
    <w:p w14:paraId="58BFB7BC" w14:textId="77777777" w:rsidR="00C41D76" w:rsidRDefault="00C41D76" w:rsidP="00C41D76">
      <w:pPr>
        <w:pStyle w:val="Bibliografia"/>
      </w:pPr>
      <w:r>
        <w:t xml:space="preserve">[92] </w:t>
      </w:r>
      <w:r>
        <w:tab/>
        <w:t xml:space="preserve">Ejeian, F.; Etedali, P.; Mansouri-Tehrani, H.-A.; Soozanipour, A.; Low, Z.-X.; Asadnia, M.; Taheri-Kafrani, A.; Razmjou, A. Biosensors for Wastewater Monitoring: A Review. </w:t>
      </w:r>
      <w:r>
        <w:rPr>
          <w:i/>
          <w:iCs/>
        </w:rPr>
        <w:t>Biosens. Bioelectron.</w:t>
      </w:r>
      <w:r>
        <w:t xml:space="preserve">, </w:t>
      </w:r>
      <w:r>
        <w:rPr>
          <w:b/>
          <w:bCs/>
        </w:rPr>
        <w:t>2018</w:t>
      </w:r>
      <w:r>
        <w:t xml:space="preserve">, </w:t>
      </w:r>
      <w:r>
        <w:rPr>
          <w:i/>
          <w:iCs/>
        </w:rPr>
        <w:t>118</w:t>
      </w:r>
      <w:r>
        <w:t>, 66–79.</w:t>
      </w:r>
    </w:p>
    <w:p w14:paraId="4DF88FF9" w14:textId="77777777" w:rsidR="00C41D76" w:rsidRDefault="00C41D76" w:rsidP="00C41D76">
      <w:pPr>
        <w:pStyle w:val="Bibliografia"/>
      </w:pPr>
      <w:r>
        <w:t xml:space="preserve">[93] </w:t>
      </w:r>
      <w:r>
        <w:tab/>
        <w:t xml:space="preserve">Carstea, E.M.; Bridgeman, J.; Baker, A.; Reynolds, D.M. Fluorescence Spectroscopy for Wastewater Monitoring: A Review. </w:t>
      </w:r>
      <w:r>
        <w:rPr>
          <w:i/>
          <w:iCs/>
        </w:rPr>
        <w:t>Water Res.</w:t>
      </w:r>
      <w:r>
        <w:t xml:space="preserve">, </w:t>
      </w:r>
      <w:r>
        <w:rPr>
          <w:b/>
          <w:bCs/>
        </w:rPr>
        <w:t>2016</w:t>
      </w:r>
      <w:r>
        <w:t xml:space="preserve">, </w:t>
      </w:r>
      <w:r>
        <w:rPr>
          <w:i/>
          <w:iCs/>
        </w:rPr>
        <w:t>95</w:t>
      </w:r>
      <w:r>
        <w:t>, 205–219.</w:t>
      </w:r>
    </w:p>
    <w:p w14:paraId="53B813C7" w14:textId="77777777" w:rsidR="00C41D76" w:rsidRDefault="00C41D76" w:rsidP="00C41D76">
      <w:pPr>
        <w:pStyle w:val="Bibliografia"/>
      </w:pPr>
      <w:r>
        <w:t xml:space="preserve">[94] </w:t>
      </w:r>
      <w:r>
        <w:tab/>
        <w:t xml:space="preserve">Newhart, K.B.; Holloway, R.W.; Hering, A.S.; Cath, T.Y. Data-Driven Performance Analyses of Wastewater Treatment Plants: A Review. </w:t>
      </w:r>
      <w:r>
        <w:rPr>
          <w:i/>
          <w:iCs/>
        </w:rPr>
        <w:t>Water Res.</w:t>
      </w:r>
      <w:r>
        <w:t xml:space="preserve">, </w:t>
      </w:r>
      <w:r>
        <w:rPr>
          <w:b/>
          <w:bCs/>
        </w:rPr>
        <w:t>2019</w:t>
      </w:r>
      <w:r>
        <w:t xml:space="preserve">, </w:t>
      </w:r>
      <w:r>
        <w:rPr>
          <w:i/>
          <w:iCs/>
        </w:rPr>
        <w:t>157</w:t>
      </w:r>
      <w:r>
        <w:t>, 498–513.</w:t>
      </w:r>
    </w:p>
    <w:p w14:paraId="57DBAEB4" w14:textId="77777777" w:rsidR="00C41D76" w:rsidRDefault="00C41D76" w:rsidP="00C41D76">
      <w:pPr>
        <w:pStyle w:val="Bibliografia"/>
      </w:pPr>
      <w:r>
        <w:t xml:space="preserve">[95] </w:t>
      </w:r>
      <w:r>
        <w:tab/>
        <w:t xml:space="preserve">Souza, F.; Araújo, R.; Mendes, J. Review of Soft Sensors Methods for Regression Applications. </w:t>
      </w:r>
      <w:r>
        <w:rPr>
          <w:i/>
          <w:iCs/>
        </w:rPr>
        <w:t>Chemom. Intell. Lab. Syst.</w:t>
      </w:r>
      <w:r>
        <w:t xml:space="preserve">, </w:t>
      </w:r>
      <w:r>
        <w:rPr>
          <w:b/>
          <w:bCs/>
        </w:rPr>
        <w:t>2015</w:t>
      </w:r>
      <w:r>
        <w:t xml:space="preserve">, </w:t>
      </w:r>
      <w:r>
        <w:rPr>
          <w:i/>
          <w:iCs/>
        </w:rPr>
        <w:t>152</w:t>
      </w:r>
      <w:r>
        <w:t>.</w:t>
      </w:r>
    </w:p>
    <w:p w14:paraId="21CA216F" w14:textId="77777777" w:rsidR="00C41D76" w:rsidRDefault="00C41D76" w:rsidP="00C41D76">
      <w:pPr>
        <w:pStyle w:val="Bibliografia"/>
      </w:pPr>
      <w:r>
        <w:t xml:space="preserve">[96] </w:t>
      </w:r>
      <w:r>
        <w:tab/>
        <w:t xml:space="preserve">Zhang, W.; Tooker, N.B.; Mueller, A.V. Enabling Wastewater Treatment Process Automation: Leveraging Innovations in Real-Time Sensing, Data Analysis, and Online Controls. </w:t>
      </w:r>
      <w:r>
        <w:rPr>
          <w:i/>
          <w:iCs/>
        </w:rPr>
        <w:t>Environ. Sci. Water Res. Technol.</w:t>
      </w:r>
      <w:r>
        <w:t xml:space="preserve">, </w:t>
      </w:r>
      <w:r>
        <w:rPr>
          <w:b/>
          <w:bCs/>
        </w:rPr>
        <w:t>2020</w:t>
      </w:r>
      <w:r>
        <w:t xml:space="preserve">, </w:t>
      </w:r>
      <w:r>
        <w:rPr>
          <w:i/>
          <w:iCs/>
        </w:rPr>
        <w:t>6</w:t>
      </w:r>
      <w:r>
        <w:t>, 2973–2992.</w:t>
      </w:r>
    </w:p>
    <w:p w14:paraId="49F93444" w14:textId="3AE350E6" w:rsidR="009F009B" w:rsidRDefault="00AE2DE8" w:rsidP="001E74EE">
      <w:pPr>
        <w:spacing w:before="240" w:after="240"/>
        <w:ind w:firstLine="0"/>
      </w:pPr>
      <w:r>
        <w:fldChar w:fldCharType="end"/>
      </w:r>
    </w:p>
    <w:p w14:paraId="7857004C" w14:textId="77777777" w:rsidR="005275BE" w:rsidRDefault="005275BE"/>
    <w:sectPr w:rsidR="005275BE" w:rsidSect="00AE2DE8">
      <w:footerReference w:type="default" r:id="rId14"/>
      <w:pgSz w:w="11906" w:h="16838"/>
      <w:pgMar w:top="1418" w:right="1134" w:bottom="1134" w:left="1701" w:header="709" w:footer="709" w:gutter="0"/>
      <w:lnNumType w:countBy="1" w:restart="continuous"/>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D383B72" w16cex:dateUtc="2024-05-28T09:13:00Z"/>
  <w16cex:commentExtensible w16cex:durableId="74EC7BC0" w16cex:dateUtc="2024-05-28T09:13:00Z"/>
  <w16cex:commentExtensible w16cex:durableId="13FF1C0C">
    <w16cex:extLst>
      <w16:ext w16:uri="{CE6994B0-6A32-4C9F-8C6B-6E91EDA988CE}">
        <cr:reactions xmlns:cr="http://schemas.microsoft.com/office/comments/2020/reactions">
          <cr:reaction reactionType="1">
            <cr:reactionInfo dateUtc="2024-05-28T08:32:32Z">
              <cr:user userId="S::jenny.flores@polito.it::af581d96-1098-4bbc-8799-069ac92774aa" userProvider="AD" userName="Jenny  Flores Garcia"/>
            </cr:reactionInfo>
          </cr:reaction>
        </cr:reactions>
      </w16:ext>
    </w16cex:extLst>
  </w16cex:commentExtensible>
  <w16cex:commentExtensible w16cex:durableId="1C61DF0D" w16cex:dateUtc="2024-05-28T09:13:00Z"/>
  <w16cex:commentExtensible w16cex:durableId="558CB336" w16cex:dateUtc="2024-05-28T09: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7A27F43" w16cid:durableId="0F217EAC"/>
  <w16cid:commentId w16cid:paraId="1BDEAE40" w16cid:durableId="4D383B72"/>
  <w16cid:commentId w16cid:paraId="5FF91544" w16cid:durableId="6D99A476"/>
  <w16cid:commentId w16cid:paraId="7E9B19F5" w16cid:durableId="74EC7BC0"/>
  <w16cid:commentId w16cid:paraId="71B1A911" w16cid:durableId="13FF1C0C"/>
  <w16cid:commentId w16cid:paraId="2EBA387C" w16cid:durableId="1C61DF0D"/>
  <w16cid:commentId w16cid:paraId="47AFE970" w16cid:durableId="5F39D6EC"/>
  <w16cid:commentId w16cid:paraId="429B35B2" w16cid:durableId="50F01A51"/>
  <w16cid:commentId w16cid:paraId="5767B67E" w16cid:durableId="24F655CA"/>
  <w16cid:commentId w16cid:paraId="52DAC9C1" w16cid:durableId="558CB336"/>
  <w16cid:commentId w16cid:paraId="40D0EEE4" w16cid:durableId="5CE37EF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7BC2BE" w14:textId="77777777" w:rsidR="001A1BD6" w:rsidRDefault="001A1BD6">
      <w:pPr>
        <w:spacing w:after="0" w:line="240" w:lineRule="auto"/>
      </w:pPr>
      <w:r>
        <w:separator/>
      </w:r>
    </w:p>
  </w:endnote>
  <w:endnote w:type="continuationSeparator" w:id="0">
    <w:p w14:paraId="0F4925E2" w14:textId="77777777" w:rsidR="001A1BD6" w:rsidRDefault="001A1B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rd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0B50FA" w14:textId="3C3223AB" w:rsidR="006F3265" w:rsidRDefault="006F3265">
    <w:pPr>
      <w:pBdr>
        <w:top w:val="nil"/>
        <w:left w:val="nil"/>
        <w:bottom w:val="nil"/>
        <w:right w:val="nil"/>
        <w:between w:val="nil"/>
      </w:pBdr>
      <w:tabs>
        <w:tab w:val="center" w:pos="4819"/>
        <w:tab w:val="right" w:pos="9638"/>
      </w:tabs>
      <w:spacing w:line="240" w:lineRule="auto"/>
      <w:rPr>
        <w:color w:val="000000"/>
      </w:rPr>
    </w:pPr>
    <w:r>
      <w:rPr>
        <w:color w:val="000000"/>
      </w:rPr>
      <w:fldChar w:fldCharType="begin"/>
    </w:r>
    <w:r>
      <w:rPr>
        <w:color w:val="000000"/>
      </w:rPr>
      <w:instrText>PAGE</w:instrText>
    </w:r>
    <w:r>
      <w:rPr>
        <w:color w:val="000000"/>
      </w:rPr>
      <w:fldChar w:fldCharType="separate"/>
    </w:r>
    <w:r w:rsidR="003E08B2">
      <w:rPr>
        <w:noProof/>
        <w:color w:val="000000"/>
      </w:rPr>
      <w:t>1</w:t>
    </w:r>
    <w:r>
      <w:rPr>
        <w:color w:val="000000"/>
      </w:rPr>
      <w:fldChar w:fldCharType="end"/>
    </w:r>
  </w:p>
  <w:p w14:paraId="332E5426" w14:textId="77777777" w:rsidR="006F3265" w:rsidRDefault="006F3265">
    <w:pPr>
      <w:pBdr>
        <w:top w:val="nil"/>
        <w:left w:val="nil"/>
        <w:bottom w:val="nil"/>
        <w:right w:val="nil"/>
        <w:between w:val="nil"/>
      </w:pBdr>
      <w:tabs>
        <w:tab w:val="center" w:pos="4819"/>
        <w:tab w:val="right" w:pos="9638"/>
      </w:tabs>
      <w:spacing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DB31E6" w14:textId="77777777" w:rsidR="001A1BD6" w:rsidRDefault="001A1BD6">
      <w:pPr>
        <w:spacing w:after="0" w:line="240" w:lineRule="auto"/>
      </w:pPr>
      <w:r>
        <w:separator/>
      </w:r>
    </w:p>
  </w:footnote>
  <w:footnote w:type="continuationSeparator" w:id="0">
    <w:p w14:paraId="2DCABD3A" w14:textId="77777777" w:rsidR="001A1BD6" w:rsidRDefault="001A1B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13E37"/>
    <w:multiLevelType w:val="multilevel"/>
    <w:tmpl w:val="F6804ED0"/>
    <w:lvl w:ilvl="0">
      <w:start w:val="1"/>
      <w:numFmt w:val="decimal"/>
      <w:lvlText w:val="%1)"/>
      <w:lvlJc w:val="left"/>
      <w:pPr>
        <w:ind w:left="928"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 w15:restartNumberingAfterBreak="0">
    <w:nsid w:val="5DAE3892"/>
    <w:multiLevelType w:val="multilevel"/>
    <w:tmpl w:val="DCB0C662"/>
    <w:lvl w:ilvl="0">
      <w:start w:val="1"/>
      <w:numFmt w:val="decimal"/>
      <w:lvlText w:val="%1"/>
      <w:lvlJc w:val="left"/>
      <w:pPr>
        <w:ind w:left="432" w:hanging="432"/>
      </w:pPr>
      <w:rPr>
        <w:sz w:val="32"/>
        <w:szCs w:val="32"/>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E5A61DD"/>
    <w:multiLevelType w:val="multilevel"/>
    <w:tmpl w:val="303CEA1C"/>
    <w:lvl w:ilvl="0">
      <w:start w:val="1"/>
      <w:numFmt w:val="decimal"/>
      <w:pStyle w:val="Titolo1"/>
      <w:lvlText w:val="%1."/>
      <w:lvlJc w:val="left"/>
      <w:pPr>
        <w:tabs>
          <w:tab w:val="num" w:pos="720"/>
        </w:tabs>
        <w:ind w:left="720" w:hanging="720"/>
      </w:pPr>
    </w:lvl>
    <w:lvl w:ilvl="1">
      <w:start w:val="1"/>
      <w:numFmt w:val="decimal"/>
      <w:pStyle w:val="Titolo2"/>
      <w:lvlText w:val="%2."/>
      <w:lvlJc w:val="left"/>
      <w:pPr>
        <w:tabs>
          <w:tab w:val="num" w:pos="1440"/>
        </w:tabs>
        <w:ind w:left="1440" w:hanging="720"/>
      </w:pPr>
    </w:lvl>
    <w:lvl w:ilvl="2">
      <w:start w:val="1"/>
      <w:numFmt w:val="decimal"/>
      <w:pStyle w:val="Titolo3"/>
      <w:lvlText w:val="%3."/>
      <w:lvlJc w:val="left"/>
      <w:pPr>
        <w:tabs>
          <w:tab w:val="num" w:pos="2160"/>
        </w:tabs>
        <w:ind w:left="2160" w:hanging="720"/>
      </w:pPr>
    </w:lvl>
    <w:lvl w:ilvl="3">
      <w:start w:val="1"/>
      <w:numFmt w:val="decimal"/>
      <w:pStyle w:val="Titolo4"/>
      <w:lvlText w:val="%4."/>
      <w:lvlJc w:val="left"/>
      <w:pPr>
        <w:tabs>
          <w:tab w:val="num" w:pos="2880"/>
        </w:tabs>
        <w:ind w:left="2880" w:hanging="720"/>
      </w:pPr>
    </w:lvl>
    <w:lvl w:ilvl="4">
      <w:start w:val="1"/>
      <w:numFmt w:val="decimal"/>
      <w:pStyle w:val="Titolo5"/>
      <w:lvlText w:val="%5."/>
      <w:lvlJc w:val="left"/>
      <w:pPr>
        <w:tabs>
          <w:tab w:val="num" w:pos="3600"/>
        </w:tabs>
        <w:ind w:left="3600" w:hanging="720"/>
      </w:pPr>
    </w:lvl>
    <w:lvl w:ilvl="5">
      <w:start w:val="1"/>
      <w:numFmt w:val="decimal"/>
      <w:pStyle w:val="Titolo6"/>
      <w:lvlText w:val="%6."/>
      <w:lvlJc w:val="left"/>
      <w:pPr>
        <w:tabs>
          <w:tab w:val="num" w:pos="4320"/>
        </w:tabs>
        <w:ind w:left="4320" w:hanging="720"/>
      </w:pPr>
    </w:lvl>
    <w:lvl w:ilvl="6">
      <w:start w:val="1"/>
      <w:numFmt w:val="decimal"/>
      <w:pStyle w:val="Titolo7"/>
      <w:lvlText w:val="%7."/>
      <w:lvlJc w:val="left"/>
      <w:pPr>
        <w:tabs>
          <w:tab w:val="num" w:pos="5040"/>
        </w:tabs>
        <w:ind w:left="5040" w:hanging="720"/>
      </w:pPr>
    </w:lvl>
    <w:lvl w:ilvl="7">
      <w:start w:val="1"/>
      <w:numFmt w:val="decimal"/>
      <w:pStyle w:val="Titolo8"/>
      <w:lvlText w:val="%8."/>
      <w:lvlJc w:val="left"/>
      <w:pPr>
        <w:tabs>
          <w:tab w:val="num" w:pos="5760"/>
        </w:tabs>
        <w:ind w:left="5760" w:hanging="720"/>
      </w:pPr>
    </w:lvl>
    <w:lvl w:ilvl="8">
      <w:start w:val="1"/>
      <w:numFmt w:val="decimal"/>
      <w:pStyle w:val="Titolo9"/>
      <w:lvlText w:val="%9."/>
      <w:lvlJc w:val="left"/>
      <w:pPr>
        <w:tabs>
          <w:tab w:val="num" w:pos="6480"/>
        </w:tabs>
        <w:ind w:left="6480" w:hanging="720"/>
      </w:pPr>
    </w:lvl>
  </w:abstractNum>
  <w:abstractNum w:abstractNumId="3" w15:restartNumberingAfterBreak="0">
    <w:nsid w:val="738E6280"/>
    <w:multiLevelType w:val="multilevel"/>
    <w:tmpl w:val="40B00A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3"/>
  </w:num>
  <w:num w:numId="4">
    <w:abstractNumId w:val="2"/>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5BE"/>
    <w:rsid w:val="00020CDD"/>
    <w:rsid w:val="00033C44"/>
    <w:rsid w:val="0005213D"/>
    <w:rsid w:val="00062F5A"/>
    <w:rsid w:val="00070593"/>
    <w:rsid w:val="000724F8"/>
    <w:rsid w:val="000A1D1D"/>
    <w:rsid w:val="000A372E"/>
    <w:rsid w:val="000C11A5"/>
    <w:rsid w:val="000C1388"/>
    <w:rsid w:val="000C364E"/>
    <w:rsid w:val="000C7E26"/>
    <w:rsid w:val="000D20FF"/>
    <w:rsid w:val="000E6BAA"/>
    <w:rsid w:val="000E7333"/>
    <w:rsid w:val="000F3285"/>
    <w:rsid w:val="00123904"/>
    <w:rsid w:val="001674FF"/>
    <w:rsid w:val="0017596A"/>
    <w:rsid w:val="00181B88"/>
    <w:rsid w:val="00185376"/>
    <w:rsid w:val="001A1BD6"/>
    <w:rsid w:val="001C1A56"/>
    <w:rsid w:val="001C47C6"/>
    <w:rsid w:val="001D0B92"/>
    <w:rsid w:val="001D6C2B"/>
    <w:rsid w:val="001E01EC"/>
    <w:rsid w:val="001E4CFD"/>
    <w:rsid w:val="001E74EE"/>
    <w:rsid w:val="00201C30"/>
    <w:rsid w:val="00211D84"/>
    <w:rsid w:val="002252B0"/>
    <w:rsid w:val="00245A9D"/>
    <w:rsid w:val="00252C0D"/>
    <w:rsid w:val="00272DA9"/>
    <w:rsid w:val="00274D54"/>
    <w:rsid w:val="002B19E8"/>
    <w:rsid w:val="002D580E"/>
    <w:rsid w:val="002F15BA"/>
    <w:rsid w:val="00316E25"/>
    <w:rsid w:val="00320EF1"/>
    <w:rsid w:val="00324464"/>
    <w:rsid w:val="0032564A"/>
    <w:rsid w:val="00326E4C"/>
    <w:rsid w:val="003444A5"/>
    <w:rsid w:val="003565E1"/>
    <w:rsid w:val="00385286"/>
    <w:rsid w:val="0038756D"/>
    <w:rsid w:val="003A600B"/>
    <w:rsid w:val="003B45EF"/>
    <w:rsid w:val="003B76DA"/>
    <w:rsid w:val="003D796C"/>
    <w:rsid w:val="003E08B2"/>
    <w:rsid w:val="003E7FA5"/>
    <w:rsid w:val="003F1541"/>
    <w:rsid w:val="00422689"/>
    <w:rsid w:val="00422A42"/>
    <w:rsid w:val="004340D6"/>
    <w:rsid w:val="00441F52"/>
    <w:rsid w:val="004463B2"/>
    <w:rsid w:val="00454BA1"/>
    <w:rsid w:val="00455D3F"/>
    <w:rsid w:val="00455D97"/>
    <w:rsid w:val="00456C9A"/>
    <w:rsid w:val="004570A2"/>
    <w:rsid w:val="00473DF9"/>
    <w:rsid w:val="004947D1"/>
    <w:rsid w:val="00497446"/>
    <w:rsid w:val="004A1F41"/>
    <w:rsid w:val="004A62BB"/>
    <w:rsid w:val="004A77F8"/>
    <w:rsid w:val="004B2A13"/>
    <w:rsid w:val="004C4566"/>
    <w:rsid w:val="004C649B"/>
    <w:rsid w:val="004D1286"/>
    <w:rsid w:val="004F22BB"/>
    <w:rsid w:val="005126B0"/>
    <w:rsid w:val="005275BE"/>
    <w:rsid w:val="00533B53"/>
    <w:rsid w:val="005469CA"/>
    <w:rsid w:val="005706EA"/>
    <w:rsid w:val="00582BC1"/>
    <w:rsid w:val="005B6B25"/>
    <w:rsid w:val="005C324C"/>
    <w:rsid w:val="005E6C51"/>
    <w:rsid w:val="005F5ED9"/>
    <w:rsid w:val="006027DE"/>
    <w:rsid w:val="00603300"/>
    <w:rsid w:val="00610171"/>
    <w:rsid w:val="00621CD7"/>
    <w:rsid w:val="0062768C"/>
    <w:rsid w:val="0064115F"/>
    <w:rsid w:val="00645712"/>
    <w:rsid w:val="00656077"/>
    <w:rsid w:val="00681DB7"/>
    <w:rsid w:val="006856C5"/>
    <w:rsid w:val="00686384"/>
    <w:rsid w:val="006A20B9"/>
    <w:rsid w:val="006C2331"/>
    <w:rsid w:val="006F3265"/>
    <w:rsid w:val="006F3E2C"/>
    <w:rsid w:val="0071031A"/>
    <w:rsid w:val="00711E38"/>
    <w:rsid w:val="0072435B"/>
    <w:rsid w:val="007266A1"/>
    <w:rsid w:val="0074025C"/>
    <w:rsid w:val="007642C8"/>
    <w:rsid w:val="007E3075"/>
    <w:rsid w:val="00805C3C"/>
    <w:rsid w:val="00864F53"/>
    <w:rsid w:val="008739DD"/>
    <w:rsid w:val="00885A50"/>
    <w:rsid w:val="008A0E2C"/>
    <w:rsid w:val="008C2F14"/>
    <w:rsid w:val="008C64D8"/>
    <w:rsid w:val="008E22DE"/>
    <w:rsid w:val="0091119B"/>
    <w:rsid w:val="009143FA"/>
    <w:rsid w:val="0093322E"/>
    <w:rsid w:val="00933960"/>
    <w:rsid w:val="00935BD7"/>
    <w:rsid w:val="00942134"/>
    <w:rsid w:val="00942206"/>
    <w:rsid w:val="00944DF3"/>
    <w:rsid w:val="00967671"/>
    <w:rsid w:val="009708B3"/>
    <w:rsid w:val="00972CE2"/>
    <w:rsid w:val="00973174"/>
    <w:rsid w:val="00983CF5"/>
    <w:rsid w:val="009841D8"/>
    <w:rsid w:val="00991F9E"/>
    <w:rsid w:val="009B1CCF"/>
    <w:rsid w:val="009C3F7F"/>
    <w:rsid w:val="009D54DA"/>
    <w:rsid w:val="009E06E7"/>
    <w:rsid w:val="009E11EF"/>
    <w:rsid w:val="009E6FD9"/>
    <w:rsid w:val="009F009B"/>
    <w:rsid w:val="00A05906"/>
    <w:rsid w:val="00A077B0"/>
    <w:rsid w:val="00A13855"/>
    <w:rsid w:val="00A17B47"/>
    <w:rsid w:val="00A4086C"/>
    <w:rsid w:val="00A51550"/>
    <w:rsid w:val="00A77221"/>
    <w:rsid w:val="00A83406"/>
    <w:rsid w:val="00A86341"/>
    <w:rsid w:val="00AC026D"/>
    <w:rsid w:val="00AC715D"/>
    <w:rsid w:val="00AD3150"/>
    <w:rsid w:val="00AD4503"/>
    <w:rsid w:val="00AE2DE8"/>
    <w:rsid w:val="00AE5085"/>
    <w:rsid w:val="00AE73A0"/>
    <w:rsid w:val="00B01B53"/>
    <w:rsid w:val="00B0387B"/>
    <w:rsid w:val="00B07249"/>
    <w:rsid w:val="00B156C7"/>
    <w:rsid w:val="00B1586B"/>
    <w:rsid w:val="00B3582C"/>
    <w:rsid w:val="00B417C3"/>
    <w:rsid w:val="00B43778"/>
    <w:rsid w:val="00B449EC"/>
    <w:rsid w:val="00B53575"/>
    <w:rsid w:val="00B67D9F"/>
    <w:rsid w:val="00B818A3"/>
    <w:rsid w:val="00B84C67"/>
    <w:rsid w:val="00B91DA2"/>
    <w:rsid w:val="00B9672C"/>
    <w:rsid w:val="00BA7858"/>
    <w:rsid w:val="00BB0713"/>
    <w:rsid w:val="00BB6A16"/>
    <w:rsid w:val="00BC075B"/>
    <w:rsid w:val="00BC2A47"/>
    <w:rsid w:val="00BC5D2E"/>
    <w:rsid w:val="00BF5D25"/>
    <w:rsid w:val="00C12D37"/>
    <w:rsid w:val="00C25F57"/>
    <w:rsid w:val="00C41D76"/>
    <w:rsid w:val="00C524E4"/>
    <w:rsid w:val="00C64DD9"/>
    <w:rsid w:val="00C75CF7"/>
    <w:rsid w:val="00C84F2E"/>
    <w:rsid w:val="00C87A61"/>
    <w:rsid w:val="00C93E50"/>
    <w:rsid w:val="00C94B4F"/>
    <w:rsid w:val="00C97C27"/>
    <w:rsid w:val="00CB1E61"/>
    <w:rsid w:val="00CB7BF0"/>
    <w:rsid w:val="00CC6011"/>
    <w:rsid w:val="00CD315B"/>
    <w:rsid w:val="00CE1B77"/>
    <w:rsid w:val="00CF177D"/>
    <w:rsid w:val="00CF1EF0"/>
    <w:rsid w:val="00D07FE4"/>
    <w:rsid w:val="00D2786B"/>
    <w:rsid w:val="00D61FBF"/>
    <w:rsid w:val="00D75941"/>
    <w:rsid w:val="00D83E06"/>
    <w:rsid w:val="00DA2DA1"/>
    <w:rsid w:val="00DA7412"/>
    <w:rsid w:val="00DC538D"/>
    <w:rsid w:val="00DD271F"/>
    <w:rsid w:val="00DF780A"/>
    <w:rsid w:val="00E01FE2"/>
    <w:rsid w:val="00E27A91"/>
    <w:rsid w:val="00E36DF0"/>
    <w:rsid w:val="00E42E43"/>
    <w:rsid w:val="00E4630A"/>
    <w:rsid w:val="00E63DB9"/>
    <w:rsid w:val="00E65526"/>
    <w:rsid w:val="00E76486"/>
    <w:rsid w:val="00E77A4B"/>
    <w:rsid w:val="00E80A66"/>
    <w:rsid w:val="00E82460"/>
    <w:rsid w:val="00E9352C"/>
    <w:rsid w:val="00E941F1"/>
    <w:rsid w:val="00EA62AB"/>
    <w:rsid w:val="00EB283E"/>
    <w:rsid w:val="00EB3CAF"/>
    <w:rsid w:val="00EE2810"/>
    <w:rsid w:val="00EE4709"/>
    <w:rsid w:val="00EE6F4F"/>
    <w:rsid w:val="00EF4474"/>
    <w:rsid w:val="00F04826"/>
    <w:rsid w:val="00F214EA"/>
    <w:rsid w:val="00F21D9B"/>
    <w:rsid w:val="00F22723"/>
    <w:rsid w:val="00F265C4"/>
    <w:rsid w:val="00F272EE"/>
    <w:rsid w:val="00F300A9"/>
    <w:rsid w:val="00F345B9"/>
    <w:rsid w:val="00F41D90"/>
    <w:rsid w:val="00F45201"/>
    <w:rsid w:val="00F606A9"/>
    <w:rsid w:val="00F70775"/>
    <w:rsid w:val="00F728B4"/>
    <w:rsid w:val="00FA24E3"/>
    <w:rsid w:val="00FB40D5"/>
    <w:rsid w:val="00FE36F3"/>
    <w:rsid w:val="00FF3F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2785F3"/>
  <w15:docId w15:val="{E794F6E5-76AF-4A51-9E58-E3DEEC80E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it-IT" w:bidi="ar-SA"/>
      </w:rPr>
    </w:rPrDefault>
    <w:pPrDefault>
      <w:pPr>
        <w:spacing w:after="60"/>
        <w:ind w:firstLine="284"/>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926B6"/>
    <w:pPr>
      <w:spacing w:line="300" w:lineRule="atLeast"/>
    </w:pPr>
    <w:rPr>
      <w:lang w:eastAsia="en-US"/>
    </w:rPr>
  </w:style>
  <w:style w:type="paragraph" w:styleId="Titolo1">
    <w:name w:val="heading 1"/>
    <w:basedOn w:val="Normale"/>
    <w:next w:val="Normale"/>
    <w:link w:val="Titolo1Carattere"/>
    <w:uiPriority w:val="9"/>
    <w:qFormat/>
    <w:rsid w:val="00C03FF0"/>
    <w:pPr>
      <w:keepNext/>
      <w:numPr>
        <w:numId w:val="4"/>
      </w:numPr>
      <w:spacing w:before="240"/>
      <w:outlineLvl w:val="0"/>
    </w:pPr>
    <w:rPr>
      <w:rFonts w:ascii="Cambria" w:hAnsi="Cambria"/>
      <w:b/>
      <w:bCs/>
      <w:kern w:val="32"/>
      <w:sz w:val="32"/>
      <w:szCs w:val="32"/>
    </w:rPr>
  </w:style>
  <w:style w:type="paragraph" w:styleId="Titolo2">
    <w:name w:val="heading 2"/>
    <w:basedOn w:val="Normale"/>
    <w:next w:val="Normale"/>
    <w:link w:val="Titolo2Carattere"/>
    <w:uiPriority w:val="9"/>
    <w:qFormat/>
    <w:rsid w:val="00AC106A"/>
    <w:pPr>
      <w:keepNext/>
      <w:numPr>
        <w:ilvl w:val="1"/>
        <w:numId w:val="4"/>
      </w:numPr>
      <w:spacing w:before="240"/>
      <w:outlineLvl w:val="1"/>
    </w:pPr>
    <w:rPr>
      <w:rFonts w:ascii="Cambria" w:hAnsi="Cambria"/>
      <w:b/>
      <w:bCs/>
      <w:i/>
      <w:iCs/>
      <w:sz w:val="28"/>
      <w:szCs w:val="28"/>
    </w:rPr>
  </w:style>
  <w:style w:type="paragraph" w:styleId="Titolo3">
    <w:name w:val="heading 3"/>
    <w:basedOn w:val="Normale"/>
    <w:next w:val="Normale"/>
    <w:link w:val="Titolo3Carattere"/>
    <w:uiPriority w:val="9"/>
    <w:qFormat/>
    <w:rsid w:val="004C0AA9"/>
    <w:pPr>
      <w:keepNext/>
      <w:numPr>
        <w:ilvl w:val="2"/>
        <w:numId w:val="4"/>
      </w:numPr>
      <w:spacing w:before="240"/>
      <w:outlineLvl w:val="2"/>
    </w:pPr>
    <w:rPr>
      <w:rFonts w:ascii="Cambria" w:hAnsi="Cambria"/>
      <w:b/>
      <w:bCs/>
      <w:sz w:val="26"/>
      <w:szCs w:val="26"/>
    </w:rPr>
  </w:style>
  <w:style w:type="paragraph" w:styleId="Titolo4">
    <w:name w:val="heading 4"/>
    <w:basedOn w:val="Normale"/>
    <w:next w:val="Normale"/>
    <w:link w:val="Titolo4Carattere"/>
    <w:uiPriority w:val="9"/>
    <w:qFormat/>
    <w:rsid w:val="00876224"/>
    <w:pPr>
      <w:keepNext/>
      <w:numPr>
        <w:ilvl w:val="3"/>
        <w:numId w:val="4"/>
      </w:numPr>
      <w:spacing w:before="240"/>
      <w:outlineLvl w:val="3"/>
    </w:pPr>
    <w:rPr>
      <w:b/>
      <w:bCs/>
      <w:sz w:val="28"/>
      <w:szCs w:val="28"/>
    </w:rPr>
  </w:style>
  <w:style w:type="paragraph" w:styleId="Titolo5">
    <w:name w:val="heading 5"/>
    <w:basedOn w:val="Normale"/>
    <w:next w:val="Normale"/>
    <w:link w:val="Titolo5Carattere"/>
    <w:uiPriority w:val="9"/>
    <w:qFormat/>
    <w:rsid w:val="00876224"/>
    <w:pPr>
      <w:numPr>
        <w:ilvl w:val="4"/>
        <w:numId w:val="4"/>
      </w:numPr>
      <w:spacing w:before="240"/>
      <w:outlineLvl w:val="4"/>
    </w:pPr>
    <w:rPr>
      <w:b/>
      <w:bCs/>
      <w:i/>
      <w:iCs/>
      <w:sz w:val="26"/>
      <w:szCs w:val="26"/>
    </w:rPr>
  </w:style>
  <w:style w:type="paragraph" w:styleId="Titolo6">
    <w:name w:val="heading 6"/>
    <w:basedOn w:val="Normale"/>
    <w:next w:val="Normale"/>
    <w:link w:val="Titolo6Carattere"/>
    <w:uiPriority w:val="9"/>
    <w:qFormat/>
    <w:rsid w:val="00876224"/>
    <w:pPr>
      <w:numPr>
        <w:ilvl w:val="5"/>
        <w:numId w:val="4"/>
      </w:numPr>
      <w:spacing w:before="240"/>
      <w:outlineLvl w:val="5"/>
    </w:pPr>
    <w:rPr>
      <w:b/>
      <w:bCs/>
      <w:sz w:val="20"/>
      <w:szCs w:val="20"/>
    </w:rPr>
  </w:style>
  <w:style w:type="paragraph" w:styleId="Titolo7">
    <w:name w:val="heading 7"/>
    <w:basedOn w:val="Normale"/>
    <w:next w:val="Normale"/>
    <w:link w:val="Titolo7Carattere"/>
    <w:uiPriority w:val="9"/>
    <w:qFormat/>
    <w:rsid w:val="00876224"/>
    <w:pPr>
      <w:numPr>
        <w:ilvl w:val="6"/>
        <w:numId w:val="4"/>
      </w:numPr>
      <w:spacing w:before="240"/>
      <w:outlineLvl w:val="6"/>
    </w:pPr>
  </w:style>
  <w:style w:type="paragraph" w:styleId="Titolo8">
    <w:name w:val="heading 8"/>
    <w:basedOn w:val="Normale"/>
    <w:next w:val="Normale"/>
    <w:link w:val="Titolo8Carattere"/>
    <w:uiPriority w:val="9"/>
    <w:qFormat/>
    <w:rsid w:val="00876224"/>
    <w:pPr>
      <w:numPr>
        <w:ilvl w:val="7"/>
        <w:numId w:val="4"/>
      </w:numPr>
      <w:spacing w:before="240"/>
      <w:outlineLvl w:val="7"/>
    </w:pPr>
    <w:rPr>
      <w:i/>
      <w:iCs/>
    </w:rPr>
  </w:style>
  <w:style w:type="paragraph" w:styleId="Titolo9">
    <w:name w:val="heading 9"/>
    <w:basedOn w:val="Normale"/>
    <w:next w:val="Normale"/>
    <w:link w:val="Titolo9Carattere"/>
    <w:uiPriority w:val="9"/>
    <w:qFormat/>
    <w:rsid w:val="00876224"/>
    <w:pPr>
      <w:numPr>
        <w:ilvl w:val="8"/>
        <w:numId w:val="4"/>
      </w:numPr>
      <w:spacing w:before="240"/>
      <w:outlineLvl w:val="8"/>
    </w:pPr>
    <w:rPr>
      <w:rFonts w:ascii="Cambria" w:hAnsi="Cambria"/>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rsid w:val="00AE2DE8"/>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876224"/>
    <w:pPr>
      <w:spacing w:before="240"/>
      <w:jc w:val="center"/>
      <w:outlineLvl w:val="0"/>
    </w:pPr>
    <w:rPr>
      <w:rFonts w:ascii="Cambria" w:hAnsi="Cambria"/>
      <w:b/>
      <w:bCs/>
      <w:kern w:val="28"/>
      <w:sz w:val="32"/>
      <w:szCs w:val="32"/>
    </w:rPr>
  </w:style>
  <w:style w:type="character" w:customStyle="1" w:styleId="Titolo1Carattere">
    <w:name w:val="Titolo 1 Carattere"/>
    <w:link w:val="Titolo1"/>
    <w:uiPriority w:val="9"/>
    <w:rsid w:val="00C03FF0"/>
    <w:rPr>
      <w:rFonts w:ascii="Cambria" w:eastAsia="Times New Roman" w:hAnsi="Cambria"/>
      <w:b/>
      <w:bCs/>
      <w:kern w:val="32"/>
      <w:sz w:val="32"/>
      <w:szCs w:val="32"/>
      <w:lang w:val="en-US" w:eastAsia="en-US"/>
    </w:rPr>
  </w:style>
  <w:style w:type="character" w:customStyle="1" w:styleId="Titolo2Carattere">
    <w:name w:val="Titolo 2 Carattere"/>
    <w:link w:val="Titolo2"/>
    <w:uiPriority w:val="9"/>
    <w:rsid w:val="00AC106A"/>
    <w:rPr>
      <w:rFonts w:ascii="Cambria" w:eastAsia="Times New Roman" w:hAnsi="Cambria"/>
      <w:b/>
      <w:bCs/>
      <w:i/>
      <w:iCs/>
      <w:sz w:val="28"/>
      <w:szCs w:val="28"/>
      <w:lang w:val="en-US" w:eastAsia="en-US"/>
    </w:rPr>
  </w:style>
  <w:style w:type="character" w:customStyle="1" w:styleId="Titolo3Carattere">
    <w:name w:val="Titolo 3 Carattere"/>
    <w:link w:val="Titolo3"/>
    <w:uiPriority w:val="9"/>
    <w:rsid w:val="004C0AA9"/>
    <w:rPr>
      <w:rFonts w:ascii="Cambria" w:eastAsia="Times New Roman" w:hAnsi="Cambria"/>
      <w:b/>
      <w:bCs/>
      <w:sz w:val="26"/>
      <w:szCs w:val="26"/>
      <w:lang w:val="en-US" w:eastAsia="en-US"/>
    </w:rPr>
  </w:style>
  <w:style w:type="character" w:customStyle="1" w:styleId="Titolo4Carattere">
    <w:name w:val="Titolo 4 Carattere"/>
    <w:link w:val="Titolo4"/>
    <w:uiPriority w:val="9"/>
    <w:rsid w:val="00876224"/>
    <w:rPr>
      <w:rFonts w:ascii="Times New Roman" w:hAnsi="Times New Roman"/>
      <w:b/>
      <w:bCs/>
      <w:sz w:val="28"/>
      <w:szCs w:val="28"/>
      <w:lang w:val="en-US" w:eastAsia="en-US"/>
    </w:rPr>
  </w:style>
  <w:style w:type="character" w:customStyle="1" w:styleId="Titolo5Carattere">
    <w:name w:val="Titolo 5 Carattere"/>
    <w:link w:val="Titolo5"/>
    <w:uiPriority w:val="9"/>
    <w:rsid w:val="00876224"/>
    <w:rPr>
      <w:rFonts w:ascii="Times New Roman" w:hAnsi="Times New Roman"/>
      <w:b/>
      <w:bCs/>
      <w:i/>
      <w:iCs/>
      <w:sz w:val="26"/>
      <w:szCs w:val="26"/>
      <w:lang w:val="en-US" w:eastAsia="en-US"/>
    </w:rPr>
  </w:style>
  <w:style w:type="character" w:customStyle="1" w:styleId="Titolo6Carattere">
    <w:name w:val="Titolo 6 Carattere"/>
    <w:link w:val="Titolo6"/>
    <w:uiPriority w:val="9"/>
    <w:rsid w:val="00876224"/>
    <w:rPr>
      <w:rFonts w:ascii="Times New Roman" w:hAnsi="Times New Roman"/>
      <w:b/>
      <w:bCs/>
      <w:lang w:val="en-US" w:eastAsia="en-US"/>
    </w:rPr>
  </w:style>
  <w:style w:type="character" w:customStyle="1" w:styleId="Titolo7Carattere">
    <w:name w:val="Titolo 7 Carattere"/>
    <w:link w:val="Titolo7"/>
    <w:uiPriority w:val="9"/>
    <w:rsid w:val="00876224"/>
    <w:rPr>
      <w:rFonts w:ascii="Times New Roman" w:hAnsi="Times New Roman"/>
      <w:sz w:val="24"/>
      <w:szCs w:val="24"/>
      <w:lang w:val="en-US" w:eastAsia="en-US"/>
    </w:rPr>
  </w:style>
  <w:style w:type="character" w:customStyle="1" w:styleId="Titolo8Carattere">
    <w:name w:val="Titolo 8 Carattere"/>
    <w:link w:val="Titolo8"/>
    <w:uiPriority w:val="9"/>
    <w:rsid w:val="00876224"/>
    <w:rPr>
      <w:rFonts w:ascii="Times New Roman" w:hAnsi="Times New Roman"/>
      <w:i/>
      <w:iCs/>
      <w:sz w:val="24"/>
      <w:szCs w:val="24"/>
      <w:lang w:val="en-US" w:eastAsia="en-US"/>
    </w:rPr>
  </w:style>
  <w:style w:type="character" w:customStyle="1" w:styleId="Titolo9Carattere">
    <w:name w:val="Titolo 9 Carattere"/>
    <w:link w:val="Titolo9"/>
    <w:uiPriority w:val="9"/>
    <w:rsid w:val="00876224"/>
    <w:rPr>
      <w:rFonts w:ascii="Cambria" w:eastAsia="Times New Roman" w:hAnsi="Cambria"/>
      <w:lang w:val="en-US" w:eastAsia="en-US"/>
    </w:rPr>
  </w:style>
  <w:style w:type="character" w:customStyle="1" w:styleId="TitoloCarattere">
    <w:name w:val="Titolo Carattere"/>
    <w:link w:val="Titolo"/>
    <w:uiPriority w:val="10"/>
    <w:rsid w:val="00876224"/>
    <w:rPr>
      <w:rFonts w:ascii="Cambria" w:eastAsia="Times New Roman" w:hAnsi="Cambria"/>
      <w:b/>
      <w:bCs/>
      <w:kern w:val="28"/>
      <w:sz w:val="32"/>
      <w:szCs w:val="32"/>
    </w:rPr>
  </w:style>
  <w:style w:type="paragraph" w:styleId="Sottotitolo">
    <w:name w:val="Subtitle"/>
    <w:basedOn w:val="Normale"/>
    <w:next w:val="Normale"/>
    <w:link w:val="SottotitoloCarattere"/>
    <w:rsid w:val="00AE2DE8"/>
    <w:pPr>
      <w:jc w:val="center"/>
    </w:pPr>
    <w:rPr>
      <w:rFonts w:ascii="Cambria" w:eastAsia="Cambria" w:hAnsi="Cambria" w:cs="Cambria"/>
    </w:rPr>
  </w:style>
  <w:style w:type="character" w:customStyle="1" w:styleId="SottotitoloCarattere">
    <w:name w:val="Sottotitolo Carattere"/>
    <w:link w:val="Sottotitolo"/>
    <w:uiPriority w:val="11"/>
    <w:rsid w:val="00876224"/>
    <w:rPr>
      <w:rFonts w:ascii="Cambria" w:eastAsia="Times New Roman" w:hAnsi="Cambria"/>
      <w:sz w:val="24"/>
      <w:szCs w:val="24"/>
    </w:rPr>
  </w:style>
  <w:style w:type="character" w:styleId="Enfasigrassetto">
    <w:name w:val="Strong"/>
    <w:uiPriority w:val="22"/>
    <w:qFormat/>
    <w:rsid w:val="00876224"/>
    <w:rPr>
      <w:b/>
      <w:bCs/>
    </w:rPr>
  </w:style>
  <w:style w:type="character" w:styleId="Enfasicorsivo">
    <w:name w:val="Emphasis"/>
    <w:uiPriority w:val="20"/>
    <w:qFormat/>
    <w:rsid w:val="00876224"/>
    <w:rPr>
      <w:rFonts w:ascii="Calibri" w:hAnsi="Calibri"/>
      <w:b/>
      <w:i/>
      <w:iCs/>
    </w:rPr>
  </w:style>
  <w:style w:type="paragraph" w:styleId="Nessunaspaziatura">
    <w:name w:val="No Spacing"/>
    <w:basedOn w:val="Normale"/>
    <w:uiPriority w:val="1"/>
    <w:qFormat/>
    <w:rsid w:val="00876224"/>
    <w:rPr>
      <w:szCs w:val="32"/>
    </w:rPr>
  </w:style>
  <w:style w:type="paragraph" w:styleId="Paragrafoelenco">
    <w:name w:val="List Paragraph"/>
    <w:basedOn w:val="Normale"/>
    <w:uiPriority w:val="34"/>
    <w:qFormat/>
    <w:rsid w:val="00876224"/>
    <w:pPr>
      <w:ind w:left="720"/>
      <w:contextualSpacing/>
    </w:pPr>
  </w:style>
  <w:style w:type="paragraph" w:styleId="Citazione">
    <w:name w:val="Quote"/>
    <w:basedOn w:val="Normale"/>
    <w:next w:val="Normale"/>
    <w:link w:val="CitazioneCarattere"/>
    <w:uiPriority w:val="29"/>
    <w:qFormat/>
    <w:rsid w:val="00876224"/>
    <w:rPr>
      <w:i/>
    </w:rPr>
  </w:style>
  <w:style w:type="character" w:customStyle="1" w:styleId="CitazioneCarattere">
    <w:name w:val="Citazione Carattere"/>
    <w:link w:val="Citazione"/>
    <w:uiPriority w:val="29"/>
    <w:rsid w:val="00876224"/>
    <w:rPr>
      <w:i/>
      <w:sz w:val="24"/>
      <w:szCs w:val="24"/>
    </w:rPr>
  </w:style>
  <w:style w:type="paragraph" w:styleId="Citazioneintensa">
    <w:name w:val="Intense Quote"/>
    <w:basedOn w:val="Normale"/>
    <w:next w:val="Normale"/>
    <w:link w:val="CitazioneintensaCarattere"/>
    <w:uiPriority w:val="30"/>
    <w:qFormat/>
    <w:rsid w:val="00876224"/>
    <w:pPr>
      <w:ind w:left="720" w:right="720"/>
    </w:pPr>
    <w:rPr>
      <w:b/>
      <w:i/>
      <w:szCs w:val="20"/>
    </w:rPr>
  </w:style>
  <w:style w:type="character" w:customStyle="1" w:styleId="CitazioneintensaCarattere">
    <w:name w:val="Citazione intensa Carattere"/>
    <w:link w:val="Citazioneintensa"/>
    <w:uiPriority w:val="30"/>
    <w:rsid w:val="00876224"/>
    <w:rPr>
      <w:b/>
      <w:i/>
      <w:sz w:val="24"/>
    </w:rPr>
  </w:style>
  <w:style w:type="character" w:styleId="Enfasidelicata">
    <w:name w:val="Subtle Emphasis"/>
    <w:uiPriority w:val="19"/>
    <w:qFormat/>
    <w:rsid w:val="00876224"/>
    <w:rPr>
      <w:i/>
      <w:color w:val="5A5A5A"/>
    </w:rPr>
  </w:style>
  <w:style w:type="character" w:styleId="Enfasiintensa">
    <w:name w:val="Intense Emphasis"/>
    <w:uiPriority w:val="21"/>
    <w:qFormat/>
    <w:rsid w:val="00876224"/>
    <w:rPr>
      <w:b/>
      <w:i/>
      <w:sz w:val="24"/>
      <w:szCs w:val="24"/>
      <w:u w:val="single"/>
    </w:rPr>
  </w:style>
  <w:style w:type="character" w:styleId="Riferimentodelicato">
    <w:name w:val="Subtle Reference"/>
    <w:uiPriority w:val="31"/>
    <w:qFormat/>
    <w:rsid w:val="00876224"/>
    <w:rPr>
      <w:sz w:val="24"/>
      <w:szCs w:val="24"/>
      <w:u w:val="single"/>
    </w:rPr>
  </w:style>
  <w:style w:type="character" w:styleId="Riferimentointenso">
    <w:name w:val="Intense Reference"/>
    <w:uiPriority w:val="32"/>
    <w:qFormat/>
    <w:rsid w:val="00876224"/>
    <w:rPr>
      <w:b/>
      <w:sz w:val="24"/>
      <w:u w:val="single"/>
    </w:rPr>
  </w:style>
  <w:style w:type="character" w:styleId="Titolodellibro">
    <w:name w:val="Book Title"/>
    <w:uiPriority w:val="33"/>
    <w:qFormat/>
    <w:rsid w:val="00876224"/>
    <w:rPr>
      <w:rFonts w:ascii="Cambria" w:eastAsia="Times New Roman" w:hAnsi="Cambria"/>
      <w:b/>
      <w:i/>
      <w:sz w:val="24"/>
      <w:szCs w:val="24"/>
    </w:rPr>
  </w:style>
  <w:style w:type="paragraph" w:styleId="Titolosommario">
    <w:name w:val="TOC Heading"/>
    <w:basedOn w:val="Titolo1"/>
    <w:next w:val="Normale"/>
    <w:uiPriority w:val="39"/>
    <w:qFormat/>
    <w:rsid w:val="00876224"/>
    <w:pPr>
      <w:outlineLvl w:val="9"/>
    </w:pPr>
  </w:style>
  <w:style w:type="character" w:styleId="Collegamentoipertestuale">
    <w:name w:val="Hyperlink"/>
    <w:semiHidden/>
    <w:rsid w:val="004520F9"/>
    <w:rPr>
      <w:color w:val="0000FF"/>
      <w:u w:val="single"/>
    </w:rPr>
  </w:style>
  <w:style w:type="paragraph" w:styleId="Pidipagina">
    <w:name w:val="footer"/>
    <w:basedOn w:val="Normale"/>
    <w:link w:val="PidipaginaCarattere"/>
    <w:uiPriority w:val="99"/>
    <w:rsid w:val="004520F9"/>
    <w:pPr>
      <w:tabs>
        <w:tab w:val="center" w:pos="4819"/>
        <w:tab w:val="right" w:pos="9638"/>
      </w:tabs>
    </w:pPr>
    <w:rPr>
      <w:lang w:eastAsia="it-IT"/>
    </w:rPr>
  </w:style>
  <w:style w:type="character" w:customStyle="1" w:styleId="PidipaginaCarattere">
    <w:name w:val="Piè di pagina Carattere"/>
    <w:link w:val="Pidipagina"/>
    <w:uiPriority w:val="99"/>
    <w:rsid w:val="004520F9"/>
    <w:rPr>
      <w:rFonts w:ascii="Times New Roman" w:eastAsia="Times New Roman" w:hAnsi="Times New Roman"/>
      <w:sz w:val="24"/>
      <w:szCs w:val="24"/>
      <w:lang w:val="it-IT" w:eastAsia="it-IT" w:bidi="ar-SA"/>
    </w:rPr>
  </w:style>
  <w:style w:type="paragraph" w:styleId="Didascalia">
    <w:name w:val="caption"/>
    <w:basedOn w:val="Normale"/>
    <w:next w:val="Normale"/>
    <w:uiPriority w:val="35"/>
    <w:qFormat/>
    <w:rsid w:val="009250CB"/>
    <w:pPr>
      <w:spacing w:after="240" w:line="240" w:lineRule="auto"/>
      <w:ind w:left="284" w:right="284" w:firstLine="0"/>
    </w:pPr>
    <w:rPr>
      <w:bCs/>
      <w:sz w:val="20"/>
      <w:szCs w:val="20"/>
    </w:rPr>
  </w:style>
  <w:style w:type="character" w:styleId="Rimandonotadichiusura">
    <w:name w:val="endnote reference"/>
    <w:uiPriority w:val="99"/>
    <w:semiHidden/>
    <w:rsid w:val="00733CF7"/>
    <w:rPr>
      <w:caps w:val="0"/>
      <w:smallCaps w:val="0"/>
      <w:strike w:val="0"/>
      <w:dstrike w:val="0"/>
      <w:vanish w:val="0"/>
      <w:vertAlign w:val="baseline"/>
    </w:rPr>
  </w:style>
  <w:style w:type="paragraph" w:styleId="Testonotadichiusura">
    <w:name w:val="endnote text"/>
    <w:basedOn w:val="Normale"/>
    <w:link w:val="TestonotadichiusuraCarattere"/>
    <w:uiPriority w:val="99"/>
    <w:rsid w:val="00A05919"/>
    <w:pPr>
      <w:spacing w:line="240" w:lineRule="auto"/>
      <w:ind w:left="284" w:hanging="284"/>
    </w:pPr>
    <w:rPr>
      <w:rFonts w:eastAsia="MS Mincho"/>
      <w:sz w:val="22"/>
      <w:szCs w:val="20"/>
      <w:lang w:val="en-GB" w:eastAsia="ja-JP"/>
    </w:rPr>
  </w:style>
  <w:style w:type="character" w:customStyle="1" w:styleId="TestonotadichiusuraCarattere">
    <w:name w:val="Testo nota di chiusura Carattere"/>
    <w:link w:val="Testonotadichiusura"/>
    <w:uiPriority w:val="99"/>
    <w:rsid w:val="00A05919"/>
    <w:rPr>
      <w:rFonts w:ascii="Times New Roman" w:eastAsia="MS Mincho" w:hAnsi="Times New Roman"/>
      <w:sz w:val="22"/>
      <w:lang w:val="en-GB" w:eastAsia="ja-JP"/>
    </w:rPr>
  </w:style>
  <w:style w:type="paragraph" w:styleId="Intestazione">
    <w:name w:val="header"/>
    <w:basedOn w:val="Normale"/>
    <w:link w:val="IntestazioneCarattere"/>
    <w:rsid w:val="00701EF8"/>
    <w:pPr>
      <w:tabs>
        <w:tab w:val="center" w:pos="4819"/>
        <w:tab w:val="right" w:pos="9638"/>
      </w:tabs>
      <w:spacing w:line="360" w:lineRule="auto"/>
    </w:pPr>
  </w:style>
  <w:style w:type="character" w:customStyle="1" w:styleId="IntestazioneCarattere">
    <w:name w:val="Intestazione Carattere"/>
    <w:link w:val="Intestazione"/>
    <w:rsid w:val="00701EF8"/>
    <w:rPr>
      <w:rFonts w:ascii="Times New Roman" w:eastAsia="Times New Roman" w:hAnsi="Times New Roman"/>
      <w:sz w:val="24"/>
      <w:szCs w:val="24"/>
    </w:rPr>
  </w:style>
  <w:style w:type="paragraph" w:styleId="Testofumetto">
    <w:name w:val="Balloon Text"/>
    <w:basedOn w:val="Normale"/>
    <w:link w:val="TestofumettoCarattere"/>
    <w:uiPriority w:val="99"/>
    <w:semiHidden/>
    <w:unhideWhenUsed/>
    <w:rsid w:val="00B44FCC"/>
    <w:rPr>
      <w:rFonts w:ascii="Tahoma" w:hAnsi="Tahoma" w:cs="Tahoma"/>
      <w:sz w:val="16"/>
      <w:szCs w:val="16"/>
    </w:rPr>
  </w:style>
  <w:style w:type="character" w:customStyle="1" w:styleId="TestofumettoCarattere">
    <w:name w:val="Testo fumetto Carattere"/>
    <w:link w:val="Testofumetto"/>
    <w:uiPriority w:val="99"/>
    <w:semiHidden/>
    <w:rsid w:val="00B44FCC"/>
    <w:rPr>
      <w:rFonts w:ascii="Tahoma" w:hAnsi="Tahoma" w:cs="Tahoma"/>
      <w:sz w:val="16"/>
      <w:szCs w:val="16"/>
      <w:lang w:eastAsia="en-US" w:bidi="en-US"/>
    </w:rPr>
  </w:style>
  <w:style w:type="character" w:styleId="Rimandocommento">
    <w:name w:val="annotation reference"/>
    <w:uiPriority w:val="99"/>
    <w:semiHidden/>
    <w:unhideWhenUsed/>
    <w:rsid w:val="006A02A7"/>
    <w:rPr>
      <w:sz w:val="16"/>
      <w:szCs w:val="16"/>
    </w:rPr>
  </w:style>
  <w:style w:type="paragraph" w:styleId="Testocommento">
    <w:name w:val="annotation text"/>
    <w:basedOn w:val="Normale"/>
    <w:link w:val="TestocommentoCarattere"/>
    <w:uiPriority w:val="99"/>
    <w:unhideWhenUsed/>
    <w:rsid w:val="006A02A7"/>
    <w:rPr>
      <w:sz w:val="20"/>
      <w:szCs w:val="20"/>
    </w:rPr>
  </w:style>
  <w:style w:type="character" w:customStyle="1" w:styleId="TestocommentoCarattere">
    <w:name w:val="Testo commento Carattere"/>
    <w:link w:val="Testocommento"/>
    <w:uiPriority w:val="99"/>
    <w:rsid w:val="006A02A7"/>
    <w:rPr>
      <w:lang w:eastAsia="en-US" w:bidi="en-US"/>
    </w:rPr>
  </w:style>
  <w:style w:type="paragraph" w:styleId="Soggettocommento">
    <w:name w:val="annotation subject"/>
    <w:basedOn w:val="Testocommento"/>
    <w:next w:val="Testocommento"/>
    <w:link w:val="SoggettocommentoCarattere"/>
    <w:uiPriority w:val="99"/>
    <w:semiHidden/>
    <w:unhideWhenUsed/>
    <w:rsid w:val="006A02A7"/>
    <w:rPr>
      <w:b/>
      <w:bCs/>
    </w:rPr>
  </w:style>
  <w:style w:type="character" w:customStyle="1" w:styleId="SoggettocommentoCarattere">
    <w:name w:val="Soggetto commento Carattere"/>
    <w:link w:val="Soggettocommento"/>
    <w:uiPriority w:val="99"/>
    <w:semiHidden/>
    <w:rsid w:val="006A02A7"/>
    <w:rPr>
      <w:b/>
      <w:bCs/>
      <w:lang w:eastAsia="en-US" w:bidi="en-US"/>
    </w:rPr>
  </w:style>
  <w:style w:type="character" w:customStyle="1" w:styleId="apple-style-span">
    <w:name w:val="apple-style-span"/>
    <w:rsid w:val="00172DD7"/>
  </w:style>
  <w:style w:type="table" w:styleId="Grigliatabella">
    <w:name w:val="Table Grid"/>
    <w:basedOn w:val="Tabellanormale"/>
    <w:uiPriority w:val="59"/>
    <w:rsid w:val="00715C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162254"/>
  </w:style>
  <w:style w:type="paragraph" w:customStyle="1" w:styleId="Default">
    <w:name w:val="Default"/>
    <w:rsid w:val="00EF1319"/>
    <w:pPr>
      <w:autoSpaceDE w:val="0"/>
      <w:autoSpaceDN w:val="0"/>
      <w:adjustRightInd w:val="0"/>
    </w:pPr>
    <w:rPr>
      <w:rFonts w:ascii="Arial" w:hAnsi="Arial" w:cs="Arial"/>
      <w:color w:val="000000"/>
    </w:rPr>
  </w:style>
  <w:style w:type="character" w:customStyle="1" w:styleId="shorttext">
    <w:name w:val="short_text"/>
    <w:basedOn w:val="Carpredefinitoparagrafo"/>
    <w:rsid w:val="005807AB"/>
  </w:style>
  <w:style w:type="character" w:styleId="Testosegnaposto">
    <w:name w:val="Placeholder Text"/>
    <w:basedOn w:val="Carpredefinitoparagrafo"/>
    <w:uiPriority w:val="99"/>
    <w:semiHidden/>
    <w:rsid w:val="00322EB1"/>
    <w:rPr>
      <w:color w:val="808080"/>
    </w:rPr>
  </w:style>
  <w:style w:type="table" w:customStyle="1" w:styleId="a">
    <w:basedOn w:val="TableNormal1"/>
    <w:rsid w:val="00AE2DE8"/>
    <w:tblPr>
      <w:tblStyleRowBandSize w:val="1"/>
      <w:tblStyleColBandSize w:val="1"/>
      <w:tblCellMar>
        <w:left w:w="108" w:type="dxa"/>
        <w:right w:w="108" w:type="dxa"/>
      </w:tblCellMar>
    </w:tblPr>
  </w:style>
  <w:style w:type="table" w:customStyle="1" w:styleId="a0">
    <w:basedOn w:val="TableNormal1"/>
    <w:rsid w:val="00AE2DE8"/>
    <w:tblPr>
      <w:tblStyleRowBandSize w:val="1"/>
      <w:tblStyleColBandSize w:val="1"/>
      <w:tblCellMar>
        <w:top w:w="100" w:type="dxa"/>
        <w:left w:w="100" w:type="dxa"/>
        <w:bottom w:w="100" w:type="dxa"/>
        <w:right w:w="100" w:type="dxa"/>
      </w:tblCellMar>
    </w:tblPr>
  </w:style>
  <w:style w:type="table" w:customStyle="1" w:styleId="a1">
    <w:basedOn w:val="TableNormal1"/>
    <w:rsid w:val="00AE2DE8"/>
    <w:tblPr>
      <w:tblStyleRowBandSize w:val="1"/>
      <w:tblStyleColBandSize w:val="1"/>
      <w:tblCellMar>
        <w:left w:w="108" w:type="dxa"/>
        <w:right w:w="108" w:type="dxa"/>
      </w:tblCellMar>
    </w:tblPr>
  </w:style>
  <w:style w:type="table" w:customStyle="1" w:styleId="a2">
    <w:basedOn w:val="TableNormal1"/>
    <w:rsid w:val="00AE2DE8"/>
    <w:tblPr>
      <w:tblStyleRowBandSize w:val="1"/>
      <w:tblStyleColBandSize w:val="1"/>
      <w:tblCellMar>
        <w:left w:w="108" w:type="dxa"/>
        <w:right w:w="108" w:type="dxa"/>
      </w:tblCellMar>
    </w:tblPr>
  </w:style>
  <w:style w:type="paragraph" w:styleId="Revisione">
    <w:name w:val="Revision"/>
    <w:hidden/>
    <w:uiPriority w:val="99"/>
    <w:semiHidden/>
    <w:rsid w:val="00B53575"/>
    <w:pPr>
      <w:spacing w:after="0"/>
      <w:ind w:firstLine="0"/>
      <w:jc w:val="left"/>
    </w:pPr>
    <w:rPr>
      <w:lang w:eastAsia="en-US"/>
    </w:rPr>
  </w:style>
  <w:style w:type="paragraph" w:styleId="NormaleWeb">
    <w:name w:val="Normal (Web)"/>
    <w:basedOn w:val="Normale"/>
    <w:uiPriority w:val="99"/>
    <w:semiHidden/>
    <w:unhideWhenUsed/>
    <w:rsid w:val="00935BD7"/>
    <w:pPr>
      <w:spacing w:before="100" w:beforeAutospacing="1" w:after="100" w:afterAutospacing="1" w:line="240" w:lineRule="auto"/>
      <w:ind w:firstLine="0"/>
      <w:jc w:val="left"/>
    </w:pPr>
    <w:rPr>
      <w:lang w:val="en-GB" w:eastAsia="en-GB"/>
    </w:rPr>
  </w:style>
  <w:style w:type="character" w:customStyle="1" w:styleId="label">
    <w:name w:val="label"/>
    <w:basedOn w:val="Carpredefinitoparagrafo"/>
    <w:rsid w:val="00935BD7"/>
  </w:style>
  <w:style w:type="character" w:styleId="Collegamentovisitato">
    <w:name w:val="FollowedHyperlink"/>
    <w:basedOn w:val="Carpredefinitoparagrafo"/>
    <w:uiPriority w:val="99"/>
    <w:semiHidden/>
    <w:unhideWhenUsed/>
    <w:rsid w:val="0017596A"/>
    <w:rPr>
      <w:color w:val="800080" w:themeColor="followedHyperlink"/>
      <w:u w:val="single"/>
    </w:rPr>
  </w:style>
  <w:style w:type="paragraph" w:styleId="Bibliografia">
    <w:name w:val="Bibliography"/>
    <w:basedOn w:val="Normale"/>
    <w:next w:val="Normale"/>
    <w:uiPriority w:val="37"/>
    <w:unhideWhenUsed/>
    <w:rsid w:val="009F009B"/>
    <w:pPr>
      <w:tabs>
        <w:tab w:val="left" w:pos="624"/>
      </w:tabs>
      <w:spacing w:after="0" w:line="240" w:lineRule="atLeast"/>
      <w:ind w:left="624" w:hanging="62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83525">
      <w:bodyDiv w:val="1"/>
      <w:marLeft w:val="0"/>
      <w:marRight w:val="0"/>
      <w:marTop w:val="0"/>
      <w:marBottom w:val="0"/>
      <w:divBdr>
        <w:top w:val="none" w:sz="0" w:space="0" w:color="auto"/>
        <w:left w:val="none" w:sz="0" w:space="0" w:color="auto"/>
        <w:bottom w:val="none" w:sz="0" w:space="0" w:color="auto"/>
        <w:right w:val="none" w:sz="0" w:space="0" w:color="auto"/>
      </w:divBdr>
    </w:div>
    <w:div w:id="2146315694">
      <w:bodyDiv w:val="1"/>
      <w:marLeft w:val="0"/>
      <w:marRight w:val="0"/>
      <w:marTop w:val="0"/>
      <w:marBottom w:val="0"/>
      <w:divBdr>
        <w:top w:val="none" w:sz="0" w:space="0" w:color="auto"/>
        <w:left w:val="none" w:sz="0" w:space="0" w:color="auto"/>
        <w:bottom w:val="none" w:sz="0" w:space="0" w:color="auto"/>
        <w:right w:val="none" w:sz="0" w:space="0" w:color="auto"/>
      </w:divBdr>
      <w:divsChild>
        <w:div w:id="77339870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image" Target="media/image4.tiff"/><Relationship Id="rId2" Type="http://schemas.openxmlformats.org/officeDocument/2006/relationships/customXml" Target="../customXml/item2.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tif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cWwFUL81UcQJhbRjykfPnz3LZg==">CgMxLjAaEgoBMBINCgsIB0IHEgVDYXJkbxoUCgExEg8KDQgHQgkSB0d1bmdzdWgaHgoBMhIZChcIB0ITCgZSb2JvdG8SCU5vdmEgTW9ubzIOaC5rN21rcTJrOHY1N3AyDmgueHh5ejllZXJyZDV3MghoLmdqZGd4czIOaC5sNmw1eTJ3dmZjeDkyDmgucWhxOGZ3aDQyamQ4Mg5oLnQ3dWM0YWtsbXl6aTIOaC5tN2ZqZjQ4NWluMnoyDmgudzF4MThxa2hkYzRuOAByITFVNll0X2tiSHFXSTNhWE5PVzJTSmtYRVlkcFZnb25yQ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023F568-4044-4359-BE6D-021F8F837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49737</Words>
  <Characters>283503</Characters>
  <Application>Microsoft Office Word</Application>
  <DocSecurity>0</DocSecurity>
  <Lines>2362</Lines>
  <Paragraphs>665</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332575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Dipartimento di Chimica Analitica</dc:creator>
  <cp:lastModifiedBy>Home</cp:lastModifiedBy>
  <cp:revision>3</cp:revision>
  <dcterms:created xsi:type="dcterms:W3CDTF">2024-05-29T10:01:00Z</dcterms:created>
  <dcterms:modified xsi:type="dcterms:W3CDTF">2025-04-26T08:06:00Z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id="8fX3qFXd"/&gt;&lt;style id="http://www.zotero.org/styles/combinatorial-chemistry-and-high-throughput-screening" hasBibliography="1" bibliographyStyleHasBeenSet="1"/&gt;&lt;prefs&gt;&lt;pref name="fieldType" value=</vt:lpwstr>
  </property>
  <property fmtid="{D5CDD505-2E9C-101B-9397-08002B2CF9AE}" pid="3" name="ZOTERO_PREF_2">
    <vt:lpwstr>"Field"/&gt;&lt;pref name="automaticJournalAbbreviations" value="true"/&gt;&lt;/prefs&gt;&lt;/data&gt;</vt:lpwstr>
  </property>
</Properties>
</file>