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41822" w14:textId="608F2717" w:rsidR="00640B10" w:rsidRDefault="00640B10" w:rsidP="00640B10">
      <w:pPr>
        <w:spacing w:after="24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Ni-based coordination polymer </w:t>
      </w:r>
      <w:r w:rsidR="00EB73CA"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en-US"/>
        </w:rPr>
        <w:t xml:space="preserve">s counter electrode </w:t>
      </w:r>
      <w:r w:rsidR="000047E2">
        <w:rPr>
          <w:b/>
          <w:sz w:val="28"/>
          <w:szCs w:val="28"/>
          <w:lang w:val="en-US"/>
        </w:rPr>
        <w:t>exceeding</w:t>
      </w:r>
      <w:r w:rsidR="00EB73CA">
        <w:rPr>
          <w:b/>
          <w:sz w:val="28"/>
          <w:szCs w:val="28"/>
          <w:lang w:val="en-US"/>
        </w:rPr>
        <w:t xml:space="preserve"> 10% efficiency in dye sensitized solar cells </w:t>
      </w:r>
    </w:p>
    <w:p w14:paraId="53A67C5C" w14:textId="2A23F822" w:rsidR="00CA36D2" w:rsidRDefault="00CA36D2" w:rsidP="003C7368">
      <w:pPr>
        <w:rPr>
          <w:sz w:val="22"/>
          <w:szCs w:val="22"/>
          <w:vertAlign w:val="superscript"/>
        </w:rPr>
      </w:pPr>
      <w:r w:rsidRPr="005F0DE3">
        <w:rPr>
          <w:sz w:val="22"/>
          <w:szCs w:val="22"/>
        </w:rPr>
        <w:t>Franzini M.,</w:t>
      </w:r>
      <w:r w:rsidRPr="005F0DE3">
        <w:rPr>
          <w:sz w:val="22"/>
          <w:szCs w:val="22"/>
          <w:vertAlign w:val="superscript"/>
        </w:rPr>
        <w:t>1</w:t>
      </w:r>
      <w:r w:rsidRPr="005F0DE3">
        <w:rPr>
          <w:sz w:val="22"/>
          <w:szCs w:val="22"/>
        </w:rPr>
        <w:t xml:space="preserve"> Galliano S.,</w:t>
      </w:r>
      <w:r w:rsidRPr="005F0DE3">
        <w:rPr>
          <w:sz w:val="22"/>
          <w:szCs w:val="22"/>
          <w:vertAlign w:val="superscript"/>
        </w:rPr>
        <w:t>1</w:t>
      </w:r>
      <w:r w:rsidRPr="005F0DE3">
        <w:rPr>
          <w:sz w:val="22"/>
          <w:szCs w:val="22"/>
        </w:rPr>
        <w:t xml:space="preserve"> </w:t>
      </w:r>
      <w:proofErr w:type="spellStart"/>
      <w:r w:rsidRPr="005F0DE3">
        <w:rPr>
          <w:sz w:val="22"/>
          <w:szCs w:val="22"/>
        </w:rPr>
        <w:t>Sasitharan</w:t>
      </w:r>
      <w:proofErr w:type="spellEnd"/>
      <w:r w:rsidRPr="005F0DE3">
        <w:rPr>
          <w:sz w:val="22"/>
          <w:szCs w:val="22"/>
        </w:rPr>
        <w:t xml:space="preserve"> K.,</w:t>
      </w:r>
      <w:r w:rsidRPr="005F0DE3">
        <w:rPr>
          <w:sz w:val="22"/>
          <w:szCs w:val="22"/>
          <w:vertAlign w:val="superscript"/>
        </w:rPr>
        <w:t>2</w:t>
      </w:r>
      <w:r w:rsidRPr="005F0DE3">
        <w:rPr>
          <w:sz w:val="22"/>
          <w:szCs w:val="22"/>
        </w:rPr>
        <w:t xml:space="preserve"> </w:t>
      </w:r>
      <w:proofErr w:type="spellStart"/>
      <w:r w:rsidRPr="005F0DE3">
        <w:rPr>
          <w:sz w:val="22"/>
          <w:szCs w:val="22"/>
        </w:rPr>
        <w:t>Morritt</w:t>
      </w:r>
      <w:proofErr w:type="spellEnd"/>
      <w:r w:rsidRPr="005F0DE3">
        <w:rPr>
          <w:sz w:val="22"/>
          <w:szCs w:val="22"/>
        </w:rPr>
        <w:t xml:space="preserve"> G.H.,</w:t>
      </w:r>
      <w:r w:rsidRPr="005F0DE3">
        <w:rPr>
          <w:sz w:val="22"/>
          <w:szCs w:val="22"/>
          <w:vertAlign w:val="superscript"/>
        </w:rPr>
        <w:t>2</w:t>
      </w:r>
      <w:r w:rsidRPr="005F0DE3">
        <w:rPr>
          <w:sz w:val="22"/>
          <w:szCs w:val="22"/>
        </w:rPr>
        <w:t xml:space="preserve"> Bonomo M.,</w:t>
      </w:r>
      <w:r w:rsidRPr="005F0DE3">
        <w:rPr>
          <w:sz w:val="22"/>
          <w:szCs w:val="22"/>
          <w:vertAlign w:val="superscript"/>
        </w:rPr>
        <w:t>1</w:t>
      </w:r>
      <w:r w:rsidRPr="005F0DE3">
        <w:rPr>
          <w:sz w:val="22"/>
          <w:szCs w:val="22"/>
        </w:rPr>
        <w:t xml:space="preserve"> Reale A.,</w:t>
      </w:r>
      <w:r w:rsidRPr="005F0DE3">
        <w:rPr>
          <w:sz w:val="22"/>
          <w:szCs w:val="22"/>
          <w:vertAlign w:val="superscript"/>
        </w:rPr>
        <w:t>3</w:t>
      </w:r>
      <w:r w:rsidRPr="005F0DE3">
        <w:rPr>
          <w:sz w:val="22"/>
          <w:szCs w:val="22"/>
        </w:rPr>
        <w:t xml:space="preserve"> Freitag M.,</w:t>
      </w:r>
      <w:r w:rsidRPr="005F0DE3">
        <w:rPr>
          <w:sz w:val="22"/>
          <w:szCs w:val="22"/>
          <w:vertAlign w:val="superscript"/>
        </w:rPr>
        <w:t>2</w:t>
      </w:r>
      <w:r w:rsidRPr="005F0DE3">
        <w:rPr>
          <w:sz w:val="22"/>
          <w:szCs w:val="22"/>
        </w:rPr>
        <w:t xml:space="preserve"> Barolo C.</w:t>
      </w:r>
      <w:r w:rsidRPr="005F0DE3">
        <w:rPr>
          <w:sz w:val="22"/>
          <w:szCs w:val="22"/>
          <w:vertAlign w:val="superscript"/>
        </w:rPr>
        <w:t>1</w:t>
      </w:r>
    </w:p>
    <w:p w14:paraId="43207669" w14:textId="77777777" w:rsidR="00640B10" w:rsidRPr="006C4FC1" w:rsidRDefault="00640B10" w:rsidP="00CA36D2">
      <w:pPr>
        <w:jc w:val="center"/>
        <w:rPr>
          <w:sz w:val="22"/>
          <w:szCs w:val="22"/>
          <w:vertAlign w:val="superscript"/>
        </w:rPr>
      </w:pPr>
    </w:p>
    <w:p w14:paraId="34FDBA34" w14:textId="77777777" w:rsidR="00CA36D2" w:rsidRPr="005F0DE3" w:rsidRDefault="00CA36D2" w:rsidP="00CA36D2">
      <w:pPr>
        <w:jc w:val="center"/>
        <w:rPr>
          <w:sz w:val="22"/>
          <w:szCs w:val="22"/>
          <w:lang w:val="en-US"/>
        </w:rPr>
      </w:pPr>
      <w:r w:rsidRPr="005F0DE3">
        <w:rPr>
          <w:sz w:val="22"/>
          <w:szCs w:val="22"/>
          <w:vertAlign w:val="superscript"/>
          <w:lang w:val="en-US"/>
        </w:rPr>
        <w:t>1</w:t>
      </w:r>
      <w:r w:rsidRPr="005F0DE3">
        <w:rPr>
          <w:sz w:val="22"/>
          <w:szCs w:val="22"/>
          <w:lang w:val="en-US"/>
        </w:rPr>
        <w:t>Department of Chemistry and NIS Interdepartmental and INSTM</w:t>
      </w:r>
      <w:r w:rsidRPr="005F0DE3">
        <w:rPr>
          <w:sz w:val="22"/>
          <w:szCs w:val="22"/>
          <w:lang w:val="en-GB"/>
        </w:rPr>
        <w:t xml:space="preserve"> Reference Centre</w:t>
      </w:r>
      <w:r w:rsidRPr="005F0DE3">
        <w:rPr>
          <w:sz w:val="22"/>
          <w:szCs w:val="22"/>
          <w:lang w:val="en-US"/>
        </w:rPr>
        <w:t>. University of Turin, Torino, Italy.</w:t>
      </w:r>
    </w:p>
    <w:p w14:paraId="04DD1C22" w14:textId="77777777" w:rsidR="00CA36D2" w:rsidRPr="005F0DE3" w:rsidRDefault="00CA36D2" w:rsidP="00CA36D2">
      <w:pPr>
        <w:jc w:val="center"/>
        <w:rPr>
          <w:sz w:val="22"/>
          <w:szCs w:val="22"/>
          <w:lang w:val="en-US"/>
        </w:rPr>
      </w:pPr>
      <w:r w:rsidRPr="005F0DE3">
        <w:rPr>
          <w:sz w:val="22"/>
          <w:szCs w:val="22"/>
          <w:vertAlign w:val="superscript"/>
          <w:lang w:val="en-US"/>
        </w:rPr>
        <w:t>2</w:t>
      </w:r>
      <w:r w:rsidRPr="005F0DE3">
        <w:rPr>
          <w:sz w:val="22"/>
          <w:szCs w:val="22"/>
          <w:lang w:val="en-US"/>
        </w:rPr>
        <w:t>School of Natural and Environmental Science, Newcastle University, Newcastle upon Tyne, UK.</w:t>
      </w:r>
    </w:p>
    <w:p w14:paraId="3D009971" w14:textId="4F6B66A5" w:rsidR="00CA36D2" w:rsidRDefault="00CA36D2" w:rsidP="00640B10">
      <w:pPr>
        <w:jc w:val="center"/>
        <w:rPr>
          <w:sz w:val="22"/>
          <w:szCs w:val="22"/>
          <w:lang w:val="en-US"/>
        </w:rPr>
      </w:pPr>
      <w:r w:rsidRPr="005F0DE3">
        <w:rPr>
          <w:sz w:val="22"/>
          <w:szCs w:val="22"/>
          <w:vertAlign w:val="superscript"/>
          <w:lang w:val="en-US"/>
        </w:rPr>
        <w:t>3</w:t>
      </w:r>
      <w:r w:rsidRPr="005F0DE3">
        <w:rPr>
          <w:sz w:val="22"/>
          <w:szCs w:val="22"/>
          <w:lang w:val="en-US"/>
        </w:rPr>
        <w:t xml:space="preserve">Department of Electronic Engineering, University of Rome Tor </w:t>
      </w:r>
      <w:proofErr w:type="spellStart"/>
      <w:r w:rsidRPr="005F0DE3">
        <w:rPr>
          <w:sz w:val="22"/>
          <w:szCs w:val="22"/>
          <w:lang w:val="en-US"/>
        </w:rPr>
        <w:t>Vergata</w:t>
      </w:r>
      <w:proofErr w:type="spellEnd"/>
      <w:r w:rsidRPr="005F0DE3">
        <w:rPr>
          <w:sz w:val="22"/>
          <w:szCs w:val="22"/>
          <w:lang w:val="en-US"/>
        </w:rPr>
        <w:t>-CHOSE, Roma, Italy.</w:t>
      </w:r>
    </w:p>
    <w:p w14:paraId="4DE20932" w14:textId="77777777" w:rsidR="00640B10" w:rsidRPr="00640B10" w:rsidRDefault="00640B10" w:rsidP="00640B10">
      <w:pPr>
        <w:jc w:val="center"/>
        <w:rPr>
          <w:sz w:val="22"/>
          <w:szCs w:val="22"/>
          <w:lang w:val="en-US"/>
        </w:rPr>
      </w:pPr>
    </w:p>
    <w:p w14:paraId="4B095FF9" w14:textId="63040FD4" w:rsidR="00CA36D2" w:rsidRPr="0090268E" w:rsidRDefault="00CA36D2" w:rsidP="003C7368">
      <w:pPr>
        <w:spacing w:line="276" w:lineRule="auto"/>
        <w:jc w:val="both"/>
        <w:rPr>
          <w:sz w:val="22"/>
          <w:szCs w:val="22"/>
          <w:lang w:val="en-US"/>
        </w:rPr>
      </w:pPr>
      <w:r w:rsidRPr="0090268E">
        <w:rPr>
          <w:sz w:val="22"/>
          <w:szCs w:val="22"/>
          <w:lang w:val="en-US"/>
        </w:rPr>
        <w:t>Although silicon-based photovoltaic technology currently leads the market, it is hindered by challenges such as limited raw material availability and reduced performance under low or diffuse light. Dye-sensitized solar cells (DSSCs) present a compelling alternative, offering low cost, simple fabrication, and enhanced versatility, including the potential for flexibility and transparency. DSSCs rely on a photoelectrochemical reaction involving photoanode, dye, redox electrolyte, and counter-electrode (CE). While most of the research focuses on optimizing and investigating the</w:t>
      </w:r>
      <w:r w:rsidR="00F969F6" w:rsidRPr="0090268E">
        <w:rPr>
          <w:sz w:val="22"/>
          <w:szCs w:val="22"/>
          <w:lang w:val="en-US"/>
        </w:rPr>
        <w:t xml:space="preserve"> </w:t>
      </w:r>
      <w:r w:rsidRPr="0090268E">
        <w:rPr>
          <w:sz w:val="22"/>
          <w:szCs w:val="22"/>
          <w:lang w:val="en-US"/>
        </w:rPr>
        <w:t xml:space="preserve">dye and electrolyte, the CE plays a critical role in determining the overall photovoltaic performance; yet the </w:t>
      </w:r>
      <w:proofErr w:type="gramStart"/>
      <w:r w:rsidRPr="0090268E">
        <w:rPr>
          <w:sz w:val="22"/>
          <w:szCs w:val="22"/>
          <w:lang w:val="en-US"/>
        </w:rPr>
        <w:t>most commonly used</w:t>
      </w:r>
      <w:proofErr w:type="gramEnd"/>
      <w:r w:rsidRPr="0090268E">
        <w:rPr>
          <w:sz w:val="22"/>
          <w:szCs w:val="22"/>
          <w:lang w:val="en-US"/>
        </w:rPr>
        <w:t xml:space="preserve"> CEs are restricted to Platinum and PEDOT. Broadening the range of CEs is essential for improving DSSC efficiency and facilitating the development of novel redox couples and </w:t>
      </w:r>
      <w:r w:rsidR="000047E2" w:rsidRPr="0090268E">
        <w:rPr>
          <w:sz w:val="22"/>
          <w:szCs w:val="22"/>
          <w:lang w:val="en-US"/>
        </w:rPr>
        <w:t>electrolyt</w:t>
      </w:r>
      <w:r w:rsidRPr="0090268E">
        <w:rPr>
          <w:sz w:val="22"/>
          <w:szCs w:val="22"/>
          <w:lang w:val="en-US"/>
        </w:rPr>
        <w:t xml:space="preserve">es [1]. In this contribution, we report </w:t>
      </w:r>
      <w:r w:rsidR="000047E2" w:rsidRPr="0090268E">
        <w:rPr>
          <w:sz w:val="22"/>
          <w:szCs w:val="22"/>
          <w:lang w:val="en-US"/>
        </w:rPr>
        <w:t xml:space="preserve">for the first time </w:t>
      </w:r>
      <w:r w:rsidRPr="0090268E">
        <w:rPr>
          <w:sz w:val="22"/>
          <w:szCs w:val="22"/>
          <w:lang w:val="en-US"/>
        </w:rPr>
        <w:t>the use of a Ni-S coordination polymer, poly [</w:t>
      </w:r>
      <w:proofErr w:type="gramStart"/>
      <w:r w:rsidRPr="0090268E">
        <w:rPr>
          <w:sz w:val="22"/>
          <w:szCs w:val="22"/>
          <w:lang w:val="en-US"/>
        </w:rPr>
        <w:t>K</w:t>
      </w:r>
      <w:r w:rsidRPr="0090268E">
        <w:rPr>
          <w:sz w:val="22"/>
          <w:szCs w:val="22"/>
          <w:vertAlign w:val="subscript"/>
          <w:lang w:val="en-US"/>
        </w:rPr>
        <w:t>x</w:t>
      </w:r>
      <w:r w:rsidRPr="0090268E">
        <w:rPr>
          <w:sz w:val="22"/>
          <w:szCs w:val="22"/>
          <w:lang w:val="en-US"/>
        </w:rPr>
        <w:t>(</w:t>
      </w:r>
      <w:proofErr w:type="gramEnd"/>
      <w:r w:rsidRPr="0090268E">
        <w:rPr>
          <w:sz w:val="22"/>
          <w:szCs w:val="22"/>
          <w:lang w:val="en-US"/>
        </w:rPr>
        <w:t xml:space="preserve">Niett)]  as </w:t>
      </w:r>
      <w:r w:rsidR="000047E2" w:rsidRPr="0090268E">
        <w:rPr>
          <w:sz w:val="22"/>
          <w:szCs w:val="22"/>
          <w:lang w:val="en-US"/>
        </w:rPr>
        <w:t>catalytic layer for</w:t>
      </w:r>
      <w:r w:rsidRPr="0090268E">
        <w:rPr>
          <w:sz w:val="22"/>
          <w:szCs w:val="22"/>
          <w:lang w:val="en-US"/>
        </w:rPr>
        <w:t xml:space="preserve"> CE in DSSC.</w:t>
      </w:r>
      <w:r w:rsidR="00F969F6" w:rsidRPr="0090268E">
        <w:rPr>
          <w:sz w:val="22"/>
          <w:szCs w:val="22"/>
          <w:lang w:val="en-US"/>
        </w:rPr>
        <w:t xml:space="preserve"> </w:t>
      </w:r>
      <w:r w:rsidR="00F74F58" w:rsidRPr="0090268E">
        <w:rPr>
          <w:sz w:val="22"/>
          <w:szCs w:val="22"/>
          <w:lang w:val="en-US"/>
        </w:rPr>
        <w:t>The material was synthesized,</w:t>
      </w:r>
      <w:r w:rsidR="003C7368" w:rsidRPr="0090268E">
        <w:rPr>
          <w:sz w:val="22"/>
          <w:szCs w:val="22"/>
          <w:lang w:val="en-US"/>
        </w:rPr>
        <w:t xml:space="preserve"> characterized,</w:t>
      </w:r>
      <w:r w:rsidR="00F74F58" w:rsidRPr="0090268E">
        <w:rPr>
          <w:sz w:val="22"/>
          <w:szCs w:val="22"/>
          <w:lang w:val="en-US"/>
        </w:rPr>
        <w:t xml:space="preserve"> </w:t>
      </w:r>
      <w:r w:rsidR="00027D5F" w:rsidRPr="0090268E">
        <w:rPr>
          <w:sz w:val="22"/>
          <w:szCs w:val="22"/>
          <w:lang w:val="en-US"/>
        </w:rPr>
        <w:t xml:space="preserve">and </w:t>
      </w:r>
      <w:r w:rsidR="00F74F58" w:rsidRPr="0090268E">
        <w:rPr>
          <w:sz w:val="22"/>
          <w:szCs w:val="22"/>
          <w:lang w:val="en-US"/>
        </w:rPr>
        <w:t>dispersed in various solvents before being deposited onto fluorine-doped tin oxide glass</w:t>
      </w:r>
      <w:r w:rsidR="00027D5F" w:rsidRPr="0090268E">
        <w:rPr>
          <w:sz w:val="22"/>
          <w:szCs w:val="22"/>
          <w:lang w:val="en-US"/>
        </w:rPr>
        <w:t xml:space="preserve"> to obtain transparent counter-electrodes</w:t>
      </w:r>
      <w:r w:rsidR="00F74F58" w:rsidRPr="0090268E">
        <w:rPr>
          <w:sz w:val="22"/>
          <w:szCs w:val="22"/>
          <w:lang w:val="en-US"/>
        </w:rPr>
        <w:t>. Th</w:t>
      </w:r>
      <w:r w:rsidR="00027D5F" w:rsidRPr="0090268E">
        <w:rPr>
          <w:sz w:val="22"/>
          <w:szCs w:val="22"/>
          <w:lang w:val="en-US"/>
        </w:rPr>
        <w:t xml:space="preserve">e developed </w:t>
      </w:r>
      <w:r w:rsidR="00EB73CA" w:rsidRPr="0090268E">
        <w:rPr>
          <w:sz w:val="22"/>
          <w:szCs w:val="22"/>
          <w:lang w:val="en-US"/>
        </w:rPr>
        <w:t>CE</w:t>
      </w:r>
      <w:r w:rsidR="00027D5F" w:rsidRPr="0090268E">
        <w:rPr>
          <w:sz w:val="22"/>
          <w:szCs w:val="22"/>
          <w:lang w:val="en-US"/>
        </w:rPr>
        <w:t>s</w:t>
      </w:r>
      <w:r w:rsidR="00F74F58" w:rsidRPr="0090268E">
        <w:rPr>
          <w:sz w:val="22"/>
          <w:szCs w:val="22"/>
          <w:lang w:val="en-US"/>
        </w:rPr>
        <w:t xml:space="preserve"> </w:t>
      </w:r>
      <w:r w:rsidR="00027D5F" w:rsidRPr="0090268E">
        <w:rPr>
          <w:sz w:val="22"/>
          <w:szCs w:val="22"/>
          <w:lang w:val="en-US"/>
        </w:rPr>
        <w:t>were tested in lab-scale DSSC</w:t>
      </w:r>
      <w:r w:rsidR="00F74F58" w:rsidRPr="0090268E">
        <w:rPr>
          <w:sz w:val="22"/>
          <w:szCs w:val="22"/>
          <w:lang w:val="en-US"/>
        </w:rPr>
        <w:t xml:space="preserve"> alongside different dyes, including Y123 and XY1, and electrolytes containing copper, cobalt, and iodine-based redox mediators. In all cases, the DSSCs exhibited photocurrents and efficiencies comparable to, and in some instances exceeding, those of the PEDOT</w:t>
      </w:r>
      <w:r w:rsidR="00576AA7" w:rsidRPr="0090268E">
        <w:rPr>
          <w:sz w:val="22"/>
          <w:szCs w:val="22"/>
          <w:lang w:val="en-US"/>
        </w:rPr>
        <w:t>-based</w:t>
      </w:r>
      <w:r w:rsidR="00F74F58" w:rsidRPr="0090268E">
        <w:rPr>
          <w:sz w:val="22"/>
          <w:szCs w:val="22"/>
          <w:lang w:val="en-US"/>
        </w:rPr>
        <w:t xml:space="preserve"> reference. The best-performing device</w:t>
      </w:r>
      <w:r w:rsidR="00F969F6" w:rsidRPr="0090268E">
        <w:rPr>
          <w:sz w:val="22"/>
          <w:szCs w:val="22"/>
          <w:lang w:val="en-US"/>
        </w:rPr>
        <w:t xml:space="preserve"> yielded</w:t>
      </w:r>
      <w:r w:rsidR="00F74F58" w:rsidRPr="0090268E">
        <w:rPr>
          <w:sz w:val="22"/>
          <w:szCs w:val="22"/>
          <w:lang w:val="en-US"/>
        </w:rPr>
        <w:t xml:space="preserve"> a photovoltaic efficiency of over 10%, with impressive photocurrents surpassing 14.0 mA cm⁻².</w:t>
      </w:r>
      <w:r w:rsidR="00582B5B" w:rsidRPr="0090268E">
        <w:rPr>
          <w:sz w:val="22"/>
          <w:szCs w:val="22"/>
          <w:lang w:val="en-US"/>
        </w:rPr>
        <w:t xml:space="preserve"> Notably, Niett-based cells maintain stable power output </w:t>
      </w:r>
      <w:r w:rsidR="00D5130E" w:rsidRPr="0090268E">
        <w:rPr>
          <w:sz w:val="22"/>
          <w:szCs w:val="22"/>
          <w:lang w:val="en-US"/>
        </w:rPr>
        <w:t>during operation</w:t>
      </w:r>
      <w:r w:rsidR="00582B5B" w:rsidRPr="0090268E">
        <w:rPr>
          <w:sz w:val="22"/>
          <w:szCs w:val="22"/>
          <w:lang w:val="en-US"/>
        </w:rPr>
        <w:t xml:space="preserve"> and excel under low light conditions, achieving a remarkable PCE of 11% at 10 mW cm</w:t>
      </w:r>
      <w:r w:rsidR="00582B5B" w:rsidRPr="0090268E">
        <w:rPr>
          <w:sz w:val="22"/>
          <w:szCs w:val="22"/>
          <w:vertAlign w:val="superscript"/>
          <w:lang w:val="en-US"/>
        </w:rPr>
        <w:t>-2</w:t>
      </w:r>
      <w:r w:rsidR="0090268E" w:rsidRPr="0090268E">
        <w:rPr>
          <w:sz w:val="22"/>
          <w:szCs w:val="22"/>
          <w:lang w:val="en-US"/>
        </w:rPr>
        <w:t>.</w:t>
      </w:r>
    </w:p>
    <w:p w14:paraId="664B2ABC" w14:textId="6561CD34" w:rsidR="0090268E" w:rsidRPr="0090268E" w:rsidRDefault="0090268E" w:rsidP="0090268E">
      <w:pPr>
        <w:jc w:val="both"/>
        <w:rPr>
          <w:sz w:val="22"/>
          <w:szCs w:val="22"/>
          <w:lang w:val="en-US"/>
        </w:rPr>
      </w:pPr>
      <w:r w:rsidRPr="0090268E">
        <w:rPr>
          <w:sz w:val="22"/>
          <w:szCs w:val="22"/>
          <w:lang w:val="en-US"/>
        </w:rPr>
        <w:t xml:space="preserve">This </w:t>
      </w:r>
      <w:r w:rsidR="003F6250">
        <w:rPr>
          <w:sz w:val="22"/>
          <w:szCs w:val="22"/>
          <w:lang w:val="en-US"/>
        </w:rPr>
        <w:t xml:space="preserve">work </w:t>
      </w:r>
      <w:r w:rsidRPr="0090268E">
        <w:rPr>
          <w:sz w:val="22"/>
          <w:szCs w:val="22"/>
          <w:lang w:val="en-US"/>
        </w:rPr>
        <w:t>establishes a foundation for further advancements and optimization of this promising class of materials.</w:t>
      </w:r>
    </w:p>
    <w:p w14:paraId="11430485" w14:textId="6CB35027" w:rsidR="003C7368" w:rsidRPr="003C7368" w:rsidRDefault="0090268E" w:rsidP="003C7368">
      <w:pPr>
        <w:spacing w:line="276" w:lineRule="auto"/>
        <w:jc w:val="both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</w:t>
      </w:r>
    </w:p>
    <w:p w14:paraId="41B3ABF3" w14:textId="77777777" w:rsidR="00CA36D2" w:rsidRPr="00950619" w:rsidRDefault="00CA36D2" w:rsidP="00CA36D2">
      <w:pPr>
        <w:spacing w:line="276" w:lineRule="auto"/>
        <w:jc w:val="both"/>
        <w:rPr>
          <w:sz w:val="22"/>
          <w:szCs w:val="22"/>
          <w:lang w:val="en-US"/>
        </w:rPr>
      </w:pPr>
      <w:r w:rsidRPr="00950619">
        <w:rPr>
          <w:sz w:val="22"/>
          <w:szCs w:val="22"/>
          <w:lang w:val="en-US"/>
        </w:rPr>
        <w:t xml:space="preserve">[1] Ding, S., Yuan J., Li </w:t>
      </w:r>
      <w:proofErr w:type="spellStart"/>
      <w:r w:rsidRPr="00950619">
        <w:rPr>
          <w:sz w:val="22"/>
          <w:szCs w:val="22"/>
          <w:lang w:val="en-US"/>
        </w:rPr>
        <w:t>Huijin</w:t>
      </w:r>
      <w:proofErr w:type="spellEnd"/>
      <w:r w:rsidRPr="00950619">
        <w:rPr>
          <w:sz w:val="22"/>
          <w:szCs w:val="22"/>
          <w:lang w:val="en-US"/>
        </w:rPr>
        <w:t xml:space="preserve">, Yuan X., Li M., RSC Advances 13, (2023), 12309 </w:t>
      </w:r>
    </w:p>
    <w:p w14:paraId="24D8509C" w14:textId="77777777" w:rsidR="00CA36D2" w:rsidRPr="00950619" w:rsidRDefault="00CA36D2" w:rsidP="00CA36D2">
      <w:pPr>
        <w:spacing w:line="276" w:lineRule="auto"/>
        <w:jc w:val="both"/>
        <w:rPr>
          <w:sz w:val="22"/>
          <w:szCs w:val="22"/>
          <w:lang w:val="en-US"/>
        </w:rPr>
      </w:pPr>
    </w:p>
    <w:p w14:paraId="19994784" w14:textId="77777777" w:rsidR="00CA36D2" w:rsidRPr="00781B5D" w:rsidRDefault="00CA36D2" w:rsidP="00CA36D2">
      <w:pPr>
        <w:spacing w:line="276" w:lineRule="auto"/>
        <w:jc w:val="both"/>
        <w:rPr>
          <w:sz w:val="16"/>
          <w:szCs w:val="16"/>
          <w:lang w:val="en-US"/>
        </w:rPr>
      </w:pPr>
      <w:r w:rsidRPr="00950619">
        <w:rPr>
          <w:sz w:val="16"/>
          <w:szCs w:val="16"/>
          <w:lang w:val="en-US"/>
        </w:rPr>
        <w:t xml:space="preserve">Authors </w:t>
      </w:r>
      <w:proofErr w:type="gramStart"/>
      <w:r w:rsidRPr="00950619">
        <w:rPr>
          <w:sz w:val="16"/>
          <w:szCs w:val="16"/>
          <w:lang w:val="en-US"/>
        </w:rPr>
        <w:t>acknowledges</w:t>
      </w:r>
      <w:proofErr w:type="gramEnd"/>
      <w:r w:rsidRPr="00950619">
        <w:rPr>
          <w:sz w:val="16"/>
          <w:szCs w:val="16"/>
          <w:lang w:val="en-US"/>
        </w:rPr>
        <w:t xml:space="preserve"> support from the Project CH4.0 under the MUR program "</w:t>
      </w:r>
      <w:proofErr w:type="spellStart"/>
      <w:r w:rsidRPr="00950619">
        <w:rPr>
          <w:sz w:val="16"/>
          <w:szCs w:val="16"/>
          <w:lang w:val="en-US"/>
        </w:rPr>
        <w:t>Dipartimenti</w:t>
      </w:r>
      <w:proofErr w:type="spellEnd"/>
      <w:r w:rsidRPr="00950619">
        <w:rPr>
          <w:sz w:val="16"/>
          <w:szCs w:val="16"/>
          <w:lang w:val="en-US"/>
        </w:rPr>
        <w:t xml:space="preserve"> di </w:t>
      </w:r>
      <w:proofErr w:type="spellStart"/>
      <w:r w:rsidRPr="00950619">
        <w:rPr>
          <w:sz w:val="16"/>
          <w:szCs w:val="16"/>
          <w:lang w:val="en-US"/>
        </w:rPr>
        <w:t>Eccellenza</w:t>
      </w:r>
      <w:proofErr w:type="spellEnd"/>
      <w:r w:rsidRPr="00950619">
        <w:rPr>
          <w:sz w:val="16"/>
          <w:szCs w:val="16"/>
          <w:lang w:val="en-US"/>
        </w:rPr>
        <w:t xml:space="preserve"> 2023-2027" (CUP: D13C22003520001). </w:t>
      </w:r>
      <w:proofErr w:type="spellStart"/>
      <w:r w:rsidRPr="00950619">
        <w:rPr>
          <w:sz w:val="16"/>
          <w:szCs w:val="16"/>
          <w:lang w:val="en-US"/>
        </w:rPr>
        <w:t>M.Franzini</w:t>
      </w:r>
      <w:proofErr w:type="spellEnd"/>
      <w:r w:rsidRPr="00950619">
        <w:rPr>
          <w:sz w:val="16"/>
          <w:szCs w:val="16"/>
          <w:lang w:val="en-US"/>
        </w:rPr>
        <w:t xml:space="preserve"> acknowledges the support of </w:t>
      </w:r>
      <w:proofErr w:type="spellStart"/>
      <w:r w:rsidRPr="00950619">
        <w:rPr>
          <w:sz w:val="16"/>
          <w:szCs w:val="16"/>
          <w:lang w:val="en-US"/>
        </w:rPr>
        <w:t>Martur</w:t>
      </w:r>
      <w:proofErr w:type="spellEnd"/>
      <w:r w:rsidRPr="00950619">
        <w:rPr>
          <w:sz w:val="16"/>
          <w:szCs w:val="16"/>
          <w:lang w:val="en-US"/>
        </w:rPr>
        <w:t xml:space="preserve"> Italy </w:t>
      </w:r>
      <w:proofErr w:type="spellStart"/>
      <w:r w:rsidRPr="00950619">
        <w:rPr>
          <w:sz w:val="16"/>
          <w:szCs w:val="16"/>
          <w:lang w:val="en-US"/>
        </w:rPr>
        <w:t>srl</w:t>
      </w:r>
      <w:proofErr w:type="spellEnd"/>
      <w:r w:rsidRPr="00950619">
        <w:rPr>
          <w:sz w:val="16"/>
          <w:szCs w:val="16"/>
          <w:lang w:val="en-US"/>
        </w:rPr>
        <w:t>.</w:t>
      </w:r>
    </w:p>
    <w:p w14:paraId="7D388AFB" w14:textId="77777777" w:rsidR="00CA36D2" w:rsidRDefault="00CA36D2"/>
    <w:sectPr w:rsidR="00CA36D2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6D2"/>
    <w:rsid w:val="000047E2"/>
    <w:rsid w:val="00027D5F"/>
    <w:rsid w:val="00160F56"/>
    <w:rsid w:val="00260C21"/>
    <w:rsid w:val="002A1A1D"/>
    <w:rsid w:val="002B32E7"/>
    <w:rsid w:val="003C7368"/>
    <w:rsid w:val="003F6250"/>
    <w:rsid w:val="00484E18"/>
    <w:rsid w:val="00576AA7"/>
    <w:rsid w:val="00582B5B"/>
    <w:rsid w:val="005A3B63"/>
    <w:rsid w:val="00640B10"/>
    <w:rsid w:val="0090268E"/>
    <w:rsid w:val="009D6CBF"/>
    <w:rsid w:val="00B62FF8"/>
    <w:rsid w:val="00CA36D2"/>
    <w:rsid w:val="00D5130E"/>
    <w:rsid w:val="00EB73CA"/>
    <w:rsid w:val="00F74F58"/>
    <w:rsid w:val="00F9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CDADC5"/>
  <w15:chartTrackingRefBased/>
  <w15:docId w15:val="{4C256DF2-9EA4-4AF9-BD3A-5F10F3F39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36D2"/>
    <w:pPr>
      <w:spacing w:after="0" w:line="240" w:lineRule="auto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A36D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A36D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36D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36D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36D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36D2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36D2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36D2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36D2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A36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A36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36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36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36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36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36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36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36D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36D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A36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36D2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36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36D2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36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36D2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A36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36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36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36D2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0047E2"/>
    <w:pPr>
      <w:spacing w:after="0" w:line="240" w:lineRule="auto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0047E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047E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047E2"/>
    <w:rPr>
      <w:rFonts w:ascii="Times New Roman" w:eastAsia="Times New Roman" w:hAnsi="Times New Roman" w:cs="Times New Roman"/>
      <w:kern w:val="0"/>
      <w:sz w:val="20"/>
      <w:szCs w:val="20"/>
      <w:lang w:val="it-IT"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047E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047E2"/>
    <w:rPr>
      <w:rFonts w:ascii="Times New Roman" w:eastAsia="Times New Roman" w:hAnsi="Times New Roman" w:cs="Times New Roman"/>
      <w:b/>
      <w:bCs/>
      <w:kern w:val="0"/>
      <w:sz w:val="20"/>
      <w:szCs w:val="20"/>
      <w:lang w:val="it-IT"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9F6A56-E09D-4488-90AE-FA486432E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383</Words>
  <Characters>2356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Franzini</dc:creator>
  <cp:keywords/>
  <dc:description/>
  <cp:lastModifiedBy>Marcello Franzini</cp:lastModifiedBy>
  <cp:revision>10</cp:revision>
  <dcterms:created xsi:type="dcterms:W3CDTF">2025-03-12T08:13:00Z</dcterms:created>
  <dcterms:modified xsi:type="dcterms:W3CDTF">2025-03-14T09:22:00Z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b0b189d5-5f73-4d57-afe3-4f9e126c28ef</vt:lpwstr>
  </property>
</Properties>
</file>