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204C9" w14:textId="6690D073" w:rsidR="00E7712E" w:rsidRPr="00E7712E" w:rsidRDefault="00E7712E" w:rsidP="006F5512">
      <w:pPr>
        <w:jc w:val="both"/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</w:pP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 xml:space="preserve">Gut 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m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 xml:space="preserve">icrobiota 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si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 xml:space="preserve">gnatures at the 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o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nset of M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 xml:space="preserve">ultiple 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S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clerosis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 xml:space="preserve"> as 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p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redict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ive markers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 xml:space="preserve"> of 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d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 xml:space="preserve">isease 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p</w:t>
      </w:r>
      <w:r w:rsidRPr="00E7712E">
        <w:rPr>
          <w:rFonts w:ascii="Arial" w:eastAsia="Times New Roman" w:hAnsi="Arial" w:cs="Arial"/>
          <w:b/>
          <w:bCs/>
          <w:color w:val="000000"/>
          <w:kern w:val="0"/>
          <w:lang w:val="en-US" w:eastAsia="it-IT"/>
          <w14:ligatures w14:val="none"/>
        </w:rPr>
        <w:t>rogression</w:t>
      </w:r>
    </w:p>
    <w:p w14:paraId="20982399" w14:textId="77777777" w:rsidR="00E7712E" w:rsidRPr="00E7712E" w:rsidRDefault="00E7712E" w:rsidP="006F5512">
      <w:pPr>
        <w:jc w:val="both"/>
        <w:rPr>
          <w:rFonts w:ascii="-webkit-standard" w:hAnsi="-webkit-standard"/>
          <w:color w:val="000000"/>
          <w:sz w:val="27"/>
          <w:szCs w:val="27"/>
          <w:lang w:val="en-US"/>
        </w:rPr>
      </w:pPr>
    </w:p>
    <w:p w14:paraId="01056736" w14:textId="6DCE5B79" w:rsidR="006F5512" w:rsidRPr="006F5512" w:rsidRDefault="006F5512" w:rsidP="006F5512">
      <w:pPr>
        <w:jc w:val="both"/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</w:pPr>
      <w:r w:rsidRPr="00250229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Alessandro Maglione</w:t>
      </w:r>
      <w:r w:rsidR="00A2656E">
        <w:rPr>
          <w:rFonts w:ascii="Arial" w:eastAsia="Times New Roman" w:hAnsi="Arial" w:cs="Arial"/>
          <w:color w:val="000000" w:themeColor="text1"/>
          <w:kern w:val="0"/>
          <w:vertAlign w:val="superscript"/>
          <w:lang w:eastAsia="it-IT"/>
          <w14:ligatures w14:val="none"/>
        </w:rPr>
        <w:t>1</w:t>
      </w:r>
      <w:r w:rsidR="00DA1163">
        <w:rPr>
          <w:rFonts w:ascii="Arial" w:eastAsia="Times New Roman" w:hAnsi="Arial" w:cs="Arial"/>
          <w:color w:val="000000" w:themeColor="text1"/>
          <w:kern w:val="0"/>
          <w:vertAlign w:val="superscript"/>
          <w:lang w:eastAsia="it-IT"/>
          <w14:ligatures w14:val="none"/>
        </w:rPr>
        <w:t>,2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</w:t>
      </w:r>
      <w:r w:rsidR="00A2656E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 </w:t>
      </w:r>
      <w:r w:rsidR="00A2656E"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Simona Rolla</w:t>
      </w:r>
      <w:r w:rsidR="00A2656E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2</w:t>
      </w:r>
      <w:r w:rsidR="00A2656E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 </w:t>
      </w:r>
      <w:r w:rsidRPr="00250229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Rachele Rosso</w:t>
      </w:r>
      <w:r w:rsidR="00A2656E">
        <w:rPr>
          <w:rFonts w:ascii="Arial" w:eastAsia="Times New Roman" w:hAnsi="Arial" w:cs="Arial"/>
          <w:color w:val="000000" w:themeColor="text1"/>
          <w:kern w:val="0"/>
          <w:vertAlign w:val="superscript"/>
          <w:lang w:eastAsia="it-IT"/>
          <w14:ligatures w14:val="none"/>
        </w:rPr>
        <w:t>2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, </w:t>
      </w:r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Dora Tortarolo</w:t>
      </w:r>
      <w:r w:rsidR="00A2656E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1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, </w:t>
      </w:r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Francesco Pantini</w:t>
      </w:r>
      <w:r w:rsidR="00A2656E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1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, </w:t>
      </w:r>
      <w:r w:rsidR="00A2656E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Simone Pernic</w:t>
      </w:r>
      <w:r w:rsidR="00DA1163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e</w:t>
      </w:r>
      <w:r w:rsidR="00DA1163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1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, Sandro </w:t>
      </w:r>
      <w:proofErr w:type="spellStart"/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Gepiro</w:t>
      </w:r>
      <w:proofErr w:type="spellEnd"/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 Contaldo</w:t>
      </w:r>
      <w:r w:rsidR="00A2656E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1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 Roberta Lanzillo</w:t>
      </w:r>
      <w:r w:rsidRPr="006F5512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3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 Antonio Luca Spiezia</w:t>
      </w:r>
      <w:r w:rsidRPr="006F5512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3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 Cinzia Cordioli</w:t>
      </w:r>
      <w:r w:rsidRPr="006F5512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4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 Federica Masuzzo</w:t>
      </w:r>
      <w:r w:rsidRPr="006F5512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5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 Manuela Matta</w:t>
      </w:r>
      <w:r w:rsidRPr="006F5512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5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 Simona Malucchi</w:t>
      </w:r>
      <w:r w:rsidRPr="006F5512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6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 Eleonora Virgilio</w:t>
      </w:r>
      <w:r w:rsidR="00A2656E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2</w:t>
      </w:r>
      <w:r w:rsidRPr="006F5512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,5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 Luca Simone Cocolin</w:t>
      </w:r>
      <w:r w:rsidRPr="006F5512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7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 Marco Beccuti</w:t>
      </w:r>
      <w:r w:rsidR="00A2656E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1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 Ilario Ferrocino</w:t>
      </w:r>
      <w:r w:rsidRPr="006F5512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7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, </w:t>
      </w:r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Francesca Cordero</w:t>
      </w:r>
      <w:r w:rsidR="00A2656E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1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, Marinella Clerico</w:t>
      </w:r>
      <w:r w:rsidR="00A2656E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2</w:t>
      </w:r>
      <w:r w:rsidRPr="006F5512">
        <w:rPr>
          <w:rFonts w:ascii="Arial" w:eastAsia="Times New Roman" w:hAnsi="Arial" w:cs="Arial"/>
          <w:color w:val="000000"/>
          <w:kern w:val="0"/>
          <w:vertAlign w:val="superscript"/>
          <w:lang w:eastAsia="it-IT"/>
          <w14:ligatures w14:val="none"/>
        </w:rPr>
        <w:t>,5</w:t>
      </w:r>
      <w:r w:rsidRPr="006F5512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 </w:t>
      </w:r>
    </w:p>
    <w:p w14:paraId="3204C2F3" w14:textId="77777777" w:rsidR="006F5512" w:rsidRPr="003C0B09" w:rsidRDefault="006F5512" w:rsidP="006F5512">
      <w:pPr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</w:pPr>
    </w:p>
    <w:p w14:paraId="7BB7B7AB" w14:textId="1CB93B92" w:rsidR="006F5512" w:rsidRPr="00250229" w:rsidRDefault="00A2656E" w:rsidP="00250229">
      <w:pPr>
        <w:pStyle w:val="Paragrafoelenco"/>
        <w:numPr>
          <w:ilvl w:val="0"/>
          <w:numId w:val="4"/>
        </w:numPr>
        <w:jc w:val="both"/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</w:pPr>
      <w:r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Department of Computer Sciences, Univ</w:t>
      </w:r>
      <w:r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ersity of Torino, Torino,</w:t>
      </w:r>
      <w:r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Italy</w:t>
      </w:r>
      <w:r w:rsidR="006F5512"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;</w:t>
      </w:r>
    </w:p>
    <w:p w14:paraId="520E21B1" w14:textId="60DC749E" w:rsidR="006F5512" w:rsidRPr="00250229" w:rsidRDefault="00A2656E" w:rsidP="00250229">
      <w:pPr>
        <w:pStyle w:val="Paragrafoelenco"/>
        <w:numPr>
          <w:ilvl w:val="0"/>
          <w:numId w:val="4"/>
        </w:numPr>
        <w:jc w:val="both"/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</w:pPr>
      <w:r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Department of Clinical and Biological Sciences, Universit</w:t>
      </w:r>
      <w:r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y of Torino, </w:t>
      </w:r>
      <w:proofErr w:type="spellStart"/>
      <w:r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Orbassano</w:t>
      </w:r>
      <w:proofErr w:type="spellEnd"/>
      <w:r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, </w:t>
      </w:r>
      <w:r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Italy</w:t>
      </w:r>
    </w:p>
    <w:p w14:paraId="032F65D6" w14:textId="4EF4304E" w:rsidR="006F5512" w:rsidRPr="00250229" w:rsidRDefault="006F5512" w:rsidP="00250229">
      <w:pPr>
        <w:pStyle w:val="Paragrafoelenco"/>
        <w:numPr>
          <w:ilvl w:val="0"/>
          <w:numId w:val="4"/>
        </w:numPr>
        <w:jc w:val="both"/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</w:pPr>
      <w:r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Department of Neurosciences, Reproductive Sciences and </w:t>
      </w:r>
      <w:proofErr w:type="spellStart"/>
      <w:r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Odontostomatology</w:t>
      </w:r>
      <w:proofErr w:type="spellEnd"/>
      <w:r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, Federico II University, Naples, Italy</w:t>
      </w:r>
      <w:r w:rsidR="00250229"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;</w:t>
      </w:r>
    </w:p>
    <w:p w14:paraId="4C6270BF" w14:textId="6383F476" w:rsidR="006F5512" w:rsidRPr="00250229" w:rsidRDefault="006F5512" w:rsidP="00250229">
      <w:pPr>
        <w:pStyle w:val="Paragrafoelenco"/>
        <w:numPr>
          <w:ilvl w:val="0"/>
          <w:numId w:val="4"/>
        </w:numPr>
        <w:jc w:val="both"/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</w:pPr>
      <w:r w:rsidRPr="003C0B0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</w:t>
      </w:r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Spedali Civili di Brescia, Multiple </w:t>
      </w:r>
      <w:proofErr w:type="spellStart"/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Sclerosis</w:t>
      </w:r>
      <w:proofErr w:type="spellEnd"/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 Centre, Brescia, </w:t>
      </w:r>
      <w:proofErr w:type="spellStart"/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Italy</w:t>
      </w:r>
      <w:proofErr w:type="spellEnd"/>
      <w:r w:rsidR="00250229"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;</w:t>
      </w:r>
    </w:p>
    <w:p w14:paraId="778C3D75" w14:textId="1BECDB08" w:rsidR="006F5512" w:rsidRPr="00250229" w:rsidRDefault="006F5512" w:rsidP="00250229">
      <w:pPr>
        <w:pStyle w:val="Paragrafoelenco"/>
        <w:numPr>
          <w:ilvl w:val="0"/>
          <w:numId w:val="4"/>
        </w:numPr>
        <w:jc w:val="both"/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</w:pPr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 AOU San Luigi Gonzaga, SSD </w:t>
      </w:r>
      <w:proofErr w:type="spellStart"/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Specialist</w:t>
      </w:r>
      <w:proofErr w:type="spellEnd"/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 </w:t>
      </w:r>
      <w:proofErr w:type="spellStart"/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Neurological</w:t>
      </w:r>
      <w:proofErr w:type="spellEnd"/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 </w:t>
      </w:r>
      <w:proofErr w:type="spellStart"/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Pathologies</w:t>
      </w:r>
      <w:proofErr w:type="spellEnd"/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, Orbassano, </w:t>
      </w:r>
      <w:proofErr w:type="spellStart"/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Italy</w:t>
      </w:r>
      <w:proofErr w:type="spellEnd"/>
      <w:r w:rsidR="00250229"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;</w:t>
      </w:r>
    </w:p>
    <w:p w14:paraId="5A1E9BD3" w14:textId="3E5F2D2E" w:rsidR="006F5512" w:rsidRPr="00250229" w:rsidRDefault="006F5512" w:rsidP="00250229">
      <w:pPr>
        <w:pStyle w:val="Paragrafoelenco"/>
        <w:numPr>
          <w:ilvl w:val="0"/>
          <w:numId w:val="4"/>
        </w:numPr>
        <w:jc w:val="both"/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</w:pPr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 AOU San Luigi Gonzaga, CRESM, Orbassano, </w:t>
      </w:r>
      <w:proofErr w:type="spellStart"/>
      <w:r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Italy</w:t>
      </w:r>
      <w:proofErr w:type="spellEnd"/>
      <w:r w:rsidR="00250229" w:rsidRPr="0025022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;</w:t>
      </w:r>
    </w:p>
    <w:p w14:paraId="17DDCCC9" w14:textId="73AF05F0" w:rsidR="006F5512" w:rsidRPr="00250229" w:rsidRDefault="006F5512" w:rsidP="00250229">
      <w:pPr>
        <w:pStyle w:val="Paragrafoelenco"/>
        <w:numPr>
          <w:ilvl w:val="0"/>
          <w:numId w:val="4"/>
        </w:numPr>
        <w:jc w:val="both"/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</w:pPr>
      <w:r w:rsidRPr="003C0B09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 xml:space="preserve"> </w:t>
      </w:r>
      <w:r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Department of Agriculture, Forest and Food Science (DISAFA), University of Torino, </w:t>
      </w:r>
      <w:proofErr w:type="spellStart"/>
      <w:r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Grugliasco</w:t>
      </w:r>
      <w:proofErr w:type="spellEnd"/>
      <w:r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, Torino, 10095, Italy</w:t>
      </w:r>
      <w:r w:rsidR="00250229" w:rsidRPr="00250229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.</w:t>
      </w:r>
    </w:p>
    <w:p w14:paraId="53E7F1D7" w14:textId="77777777" w:rsidR="006F5512" w:rsidRPr="006F5512" w:rsidRDefault="006F5512" w:rsidP="006F5512">
      <w:pPr>
        <w:jc w:val="both"/>
        <w:rPr>
          <w:rFonts w:ascii="Arial" w:hAnsi="Arial" w:cs="Arial"/>
          <w:color w:val="000000"/>
          <w:lang w:val="en-US"/>
        </w:rPr>
      </w:pPr>
    </w:p>
    <w:p w14:paraId="0D8AC1BC" w14:textId="77777777" w:rsidR="00A2656E" w:rsidRDefault="003C0B09" w:rsidP="00A2656E">
      <w:pPr>
        <w:rPr>
          <w:rFonts w:ascii="Arial" w:eastAsia="Times New Roman" w:hAnsi="Arial" w:cs="Arial"/>
          <w:b/>
          <w:bCs/>
          <w:color w:val="011502"/>
          <w:kern w:val="0"/>
          <w:lang w:val="en-US" w:eastAsia="it-IT"/>
          <w14:ligatures w14:val="none"/>
        </w:rPr>
      </w:pPr>
      <w:r w:rsidRPr="00A2656E">
        <w:rPr>
          <w:rFonts w:ascii="Arial" w:eastAsia="Times New Roman" w:hAnsi="Arial" w:cs="Arial"/>
          <w:b/>
          <w:bCs/>
          <w:color w:val="011502"/>
          <w:kern w:val="0"/>
          <w:lang w:val="en-US" w:eastAsia="it-IT"/>
          <w14:ligatures w14:val="none"/>
        </w:rPr>
        <w:t xml:space="preserve">Background </w:t>
      </w:r>
    </w:p>
    <w:p w14:paraId="29DFF0C7" w14:textId="32DE19A6" w:rsidR="0044581B" w:rsidRPr="00A2656E" w:rsidRDefault="0044581B" w:rsidP="00DE0B52">
      <w:pPr>
        <w:jc w:val="both"/>
        <w:rPr>
          <w:rFonts w:ascii="Arial" w:eastAsia="Times New Roman" w:hAnsi="Arial" w:cs="Arial"/>
          <w:b/>
          <w:bCs/>
          <w:color w:val="011502"/>
          <w:kern w:val="0"/>
          <w:lang w:val="en-US" w:eastAsia="it-IT"/>
          <w14:ligatures w14:val="none"/>
        </w:rPr>
      </w:pPr>
      <w:r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Dysbiosis of the gut microbiome has been linked to Multiple Sclerosis (MS). H</w:t>
      </w:r>
      <w:r w:rsidR="00A2656E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owever, if</w:t>
      </w:r>
      <w:r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the gut microbiota influence disease severity and progression remains unknown.</w:t>
      </w:r>
    </w:p>
    <w:p w14:paraId="165FBE4E" w14:textId="77777777" w:rsidR="00A2656E" w:rsidRDefault="00A2656E" w:rsidP="00A2656E">
      <w:pPr>
        <w:rPr>
          <w:rFonts w:ascii="Arial" w:eastAsia="Times New Roman" w:hAnsi="Arial" w:cs="Arial"/>
          <w:b/>
          <w:bCs/>
          <w:color w:val="011502"/>
          <w:kern w:val="0"/>
          <w:lang w:val="en-US" w:eastAsia="it-IT"/>
          <w14:ligatures w14:val="none"/>
        </w:rPr>
      </w:pPr>
    </w:p>
    <w:p w14:paraId="48299F53" w14:textId="58B0EC22" w:rsidR="003C0B09" w:rsidRPr="00A2656E" w:rsidRDefault="003C0B09" w:rsidP="00A2656E">
      <w:pPr>
        <w:rPr>
          <w:rFonts w:ascii="Arial" w:eastAsia="Times New Roman" w:hAnsi="Arial" w:cs="Arial"/>
          <w:b/>
          <w:bCs/>
          <w:color w:val="011502"/>
          <w:kern w:val="0"/>
          <w:lang w:val="en-US" w:eastAsia="it-IT"/>
          <w14:ligatures w14:val="none"/>
        </w:rPr>
      </w:pPr>
      <w:r w:rsidRPr="00A2656E">
        <w:rPr>
          <w:rFonts w:ascii="Arial" w:eastAsia="Times New Roman" w:hAnsi="Arial" w:cs="Arial"/>
          <w:b/>
          <w:bCs/>
          <w:color w:val="011502"/>
          <w:kern w:val="0"/>
          <w:lang w:val="en-US" w:eastAsia="it-IT"/>
          <w14:ligatures w14:val="none"/>
        </w:rPr>
        <w:t>Methods</w:t>
      </w:r>
    </w:p>
    <w:p w14:paraId="33063F5C" w14:textId="5BF83B4B" w:rsidR="006F5512" w:rsidRPr="00DA1163" w:rsidRDefault="00DE0B52" w:rsidP="00DE0B52">
      <w:pPr>
        <w:jc w:val="both"/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</w:pPr>
      <w:r w:rsidRPr="00DE0B52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In this study, we analyzed the gut microbiome of 53 naive MS patients at disease onset and 18 healthy donors (HD) using shotgun metagenomic sequencing.</w:t>
      </w:r>
      <w:r>
        <w:rPr>
          <w:rFonts w:ascii="-webkit-standard" w:hAnsi="-webkit-standard"/>
          <w:color w:val="000000"/>
          <w:sz w:val="27"/>
          <w:szCs w:val="27"/>
          <w:lang w:val="en-US"/>
        </w:rPr>
        <w:t xml:space="preserve"> </w:t>
      </w:r>
      <w:r w:rsidR="0025022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Demographic and clinical features of subjects, including the</w:t>
      </w:r>
      <w:r w:rsidR="006F5512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Expanded Disability Status Scale (EDSS)</w:t>
      </w:r>
      <w:r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score</w:t>
      </w:r>
      <w:r w:rsidR="006F5512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, </w:t>
      </w:r>
      <w:r w:rsidR="0025022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magnetic resonance imaging (MRI)</w:t>
      </w:r>
      <w:r w:rsidR="0044581B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-derived</w:t>
      </w:r>
      <w:r w:rsidR="0025022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</w:t>
      </w:r>
      <w:r w:rsidR="006F5512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lesion </w:t>
      </w:r>
      <w:r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load</w:t>
      </w:r>
      <w:r w:rsidR="0025022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</w:t>
      </w:r>
      <w:r w:rsidR="006F5512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and localization were recorded at baseline</w:t>
      </w:r>
      <w:r w:rsidR="0025022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.</w:t>
      </w:r>
      <w:r w:rsidR="00DA1163" w:rsidRPr="00DA1163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During a twelve-month follow-up after disease onset, the occurrence of adverse events (i.e., worsening of the EDSS score, new lesions,</w:t>
      </w:r>
      <w:r w:rsidR="00DA1163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and </w:t>
      </w:r>
      <w:r w:rsidR="00DA1163" w:rsidRPr="00DA1163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new relapses</w:t>
      </w:r>
      <w:r w:rsidR="006A55C1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</w:t>
      </w:r>
      <w:r w:rsidR="006A55C1" w:rsidRPr="00DA1163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compared to baseline</w:t>
      </w:r>
      <w:r w:rsidR="00DA1163" w:rsidRPr="00DA1163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) was recorded</w:t>
      </w:r>
      <w:r w:rsidR="0025022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.</w:t>
      </w:r>
    </w:p>
    <w:p w14:paraId="31F29029" w14:textId="77777777" w:rsidR="003C0B09" w:rsidRPr="00A2656E" w:rsidRDefault="003C0B09" w:rsidP="00A2656E">
      <w:pPr>
        <w:spacing w:before="100" w:beforeAutospacing="1"/>
        <w:rPr>
          <w:rFonts w:ascii="Arial" w:eastAsia="Times New Roman" w:hAnsi="Arial" w:cs="Arial"/>
          <w:b/>
          <w:bCs/>
          <w:color w:val="011502"/>
          <w:kern w:val="0"/>
          <w:lang w:val="en-US" w:eastAsia="it-IT"/>
          <w14:ligatures w14:val="none"/>
        </w:rPr>
      </w:pPr>
      <w:r w:rsidRPr="00A2656E">
        <w:rPr>
          <w:rFonts w:ascii="Arial" w:eastAsia="Times New Roman" w:hAnsi="Arial" w:cs="Arial"/>
          <w:b/>
          <w:bCs/>
          <w:color w:val="011502"/>
          <w:kern w:val="0"/>
          <w:lang w:val="en-US" w:eastAsia="it-IT"/>
          <w14:ligatures w14:val="none"/>
        </w:rPr>
        <w:t>Results</w:t>
      </w:r>
    </w:p>
    <w:p w14:paraId="6A4ECEB1" w14:textId="29831F09" w:rsidR="003C0B09" w:rsidRPr="00A2656E" w:rsidRDefault="006F5512" w:rsidP="00A2656E">
      <w:pPr>
        <w:jc w:val="both"/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</w:pPr>
      <w:r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We obtained bacterial, archaeal, and eukaryotic </w:t>
      </w:r>
      <w:r w:rsidR="0025022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diversity and abundances of taxa in </w:t>
      </w:r>
      <w:r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our cohort</w:t>
      </w:r>
      <w:r w:rsidR="003C0B0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, </w:t>
      </w:r>
      <w:r w:rsidR="0025022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identifying</w:t>
      </w:r>
      <w:r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differentially abundant species (DAS)</w:t>
      </w:r>
      <w:r w:rsidR="0025022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and </w:t>
      </w:r>
      <w:r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finding that treatment with </w:t>
      </w:r>
      <w:r w:rsidR="006A55C1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g</w:t>
      </w:r>
      <w:r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lucocorticoids</w:t>
      </w:r>
      <w:r w:rsidR="0025022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 can </w:t>
      </w:r>
      <w:r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modulate microbial species abundance. </w:t>
      </w:r>
      <w:r w:rsidR="00250229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 xml:space="preserve">Moreover, we identified the DAS linked to MS clinical features, including lesion burden, lesion localization, and activity, and used them to develop a score that was used for patient clustering. </w:t>
      </w:r>
      <w:r w:rsidR="00A2656E" w:rsidRPr="00A2656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This score was sufficient to stratify patients into two or more distinct clusters and to predict disease progression in our cohort.</w:t>
      </w:r>
    </w:p>
    <w:p w14:paraId="2E63F1E4" w14:textId="77777777" w:rsidR="003C0B09" w:rsidRPr="00A2656E" w:rsidRDefault="003C0B09" w:rsidP="00A2656E">
      <w:pPr>
        <w:jc w:val="both"/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</w:pPr>
    </w:p>
    <w:p w14:paraId="61BEEF1D" w14:textId="782C5DA0" w:rsidR="003C0B09" w:rsidRPr="00975D4C" w:rsidRDefault="003C0B09" w:rsidP="00975D4C">
      <w:pPr>
        <w:jc w:val="both"/>
        <w:rPr>
          <w:rFonts w:ascii="Arial" w:hAnsi="Arial" w:cs="Arial"/>
          <w:b/>
          <w:color w:val="000000"/>
          <w:lang w:val="en-US"/>
        </w:rPr>
      </w:pPr>
      <w:r w:rsidRPr="00A2656E">
        <w:rPr>
          <w:rFonts w:ascii="Arial" w:eastAsia="Times New Roman" w:hAnsi="Arial" w:cs="Arial"/>
          <w:b/>
          <w:bCs/>
          <w:color w:val="011502"/>
          <w:kern w:val="0"/>
          <w:lang w:val="en-US" w:eastAsia="it-IT"/>
          <w14:ligatures w14:val="none"/>
        </w:rPr>
        <w:t>Conclusion</w:t>
      </w:r>
      <w:r w:rsidR="00975D4C">
        <w:rPr>
          <w:rFonts w:ascii="Arial" w:eastAsia="Times New Roman" w:hAnsi="Arial" w:cs="Arial"/>
          <w:b/>
          <w:bCs/>
          <w:color w:val="011502"/>
          <w:kern w:val="0"/>
          <w:lang w:val="en-US" w:eastAsia="it-IT"/>
          <w14:ligatures w14:val="none"/>
        </w:rPr>
        <w:t xml:space="preserve"> &amp; </w:t>
      </w:r>
      <w:r w:rsidR="00975D4C" w:rsidRPr="00975D4C">
        <w:rPr>
          <w:rFonts w:ascii="Arial" w:hAnsi="Arial" w:cs="Arial"/>
          <w:b/>
          <w:color w:val="000000"/>
          <w:lang w:val="en-US"/>
        </w:rPr>
        <w:t>Acknowledgements</w:t>
      </w:r>
    </w:p>
    <w:p w14:paraId="25B989DD" w14:textId="7ACD80E1" w:rsidR="0085491E" w:rsidRDefault="0085491E" w:rsidP="00975D4C">
      <w:pPr>
        <w:jc w:val="both"/>
        <w:rPr>
          <w:rFonts w:ascii="-webkit-standard" w:hAnsi="-webkit-standard"/>
          <w:color w:val="000000"/>
          <w:sz w:val="27"/>
          <w:szCs w:val="27"/>
          <w:lang w:val="en-US"/>
        </w:rPr>
      </w:pPr>
      <w:r w:rsidRPr="0085491E"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  <w:t>Our data suggest that the gut microbiome at the onset may be used as a novel prognostic biomarker for MS disease. Further studies will aid in refining the predictive model, considering a longer follow-up and the impact of disease-modifying therapies</w:t>
      </w:r>
      <w:r>
        <w:rPr>
          <w:rFonts w:ascii="-webkit-standard" w:hAnsi="-webkit-standard"/>
          <w:color w:val="000000"/>
          <w:sz w:val="27"/>
          <w:szCs w:val="27"/>
          <w:lang w:val="en-US"/>
        </w:rPr>
        <w:t>.</w:t>
      </w:r>
    </w:p>
    <w:p w14:paraId="4C432AFD" w14:textId="77777777" w:rsidR="0085491E" w:rsidRDefault="0085491E" w:rsidP="00975D4C">
      <w:pPr>
        <w:jc w:val="both"/>
        <w:rPr>
          <w:rFonts w:ascii="-webkit-standard" w:hAnsi="-webkit-standard"/>
          <w:color w:val="000000"/>
          <w:sz w:val="27"/>
          <w:szCs w:val="27"/>
          <w:lang w:val="en-US"/>
        </w:rPr>
      </w:pPr>
    </w:p>
    <w:p w14:paraId="671DC3FD" w14:textId="460BC2F6" w:rsidR="006F5512" w:rsidRPr="00975D4C" w:rsidRDefault="00975D4C" w:rsidP="00975D4C">
      <w:pPr>
        <w:jc w:val="both"/>
        <w:rPr>
          <w:rFonts w:ascii="Arial" w:hAnsi="Arial" w:cs="Arial"/>
          <w:i/>
          <w:lang w:val="en-US"/>
        </w:rPr>
      </w:pPr>
      <w:r w:rsidRPr="00975D4C">
        <w:rPr>
          <w:rFonts w:ascii="Arial" w:hAnsi="Arial" w:cs="Arial"/>
          <w:i/>
          <w:color w:val="000000"/>
          <w:lang w:val="en-US"/>
        </w:rPr>
        <w:t>FISM funded project 2016/R/24 to Simona Rolla</w:t>
      </w:r>
    </w:p>
    <w:sectPr w:rsidR="006F5512" w:rsidRPr="00975D4C" w:rsidSect="002C103A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-webkit-standard">
    <w:altName w:val="Cambria"/>
    <w:panose1 w:val="020B0604020202020204"/>
    <w:charset w:val="00"/>
    <w:family w:val="roman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74E88"/>
    <w:multiLevelType w:val="multilevel"/>
    <w:tmpl w:val="18886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3C40A19"/>
    <w:multiLevelType w:val="multilevel"/>
    <w:tmpl w:val="04BCF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575387E"/>
    <w:multiLevelType w:val="multilevel"/>
    <w:tmpl w:val="7DC09600"/>
    <w:lvl w:ilvl="0">
      <w:start w:val="1"/>
      <w:numFmt w:val="decimal"/>
      <w:pStyle w:val="MYTITLE1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pStyle w:val="MYTITLE2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pStyle w:val="MYTITLE4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703D20D9"/>
    <w:multiLevelType w:val="hybridMultilevel"/>
    <w:tmpl w:val="10E0E15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EC051C"/>
    <w:multiLevelType w:val="multilevel"/>
    <w:tmpl w:val="623AB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22225466">
    <w:abstractNumId w:val="2"/>
  </w:num>
  <w:num w:numId="2" w16cid:durableId="1483620660">
    <w:abstractNumId w:val="2"/>
  </w:num>
  <w:num w:numId="3" w16cid:durableId="372653244">
    <w:abstractNumId w:val="2"/>
  </w:num>
  <w:num w:numId="4" w16cid:durableId="729763899">
    <w:abstractNumId w:val="3"/>
  </w:num>
  <w:num w:numId="5" w16cid:durableId="505705066">
    <w:abstractNumId w:val="1"/>
  </w:num>
  <w:num w:numId="6" w16cid:durableId="864756892">
    <w:abstractNumId w:val="0"/>
  </w:num>
  <w:num w:numId="7" w16cid:durableId="589828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9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5512"/>
    <w:rsid w:val="001C7DAD"/>
    <w:rsid w:val="00237EC9"/>
    <w:rsid w:val="00250229"/>
    <w:rsid w:val="002C103A"/>
    <w:rsid w:val="00350A87"/>
    <w:rsid w:val="003C0B09"/>
    <w:rsid w:val="00426EA1"/>
    <w:rsid w:val="0044581B"/>
    <w:rsid w:val="00464168"/>
    <w:rsid w:val="00614922"/>
    <w:rsid w:val="006A55C1"/>
    <w:rsid w:val="006F5512"/>
    <w:rsid w:val="00795E04"/>
    <w:rsid w:val="0085491E"/>
    <w:rsid w:val="0094465D"/>
    <w:rsid w:val="00970D7C"/>
    <w:rsid w:val="00975D4C"/>
    <w:rsid w:val="00A2656E"/>
    <w:rsid w:val="00A5398F"/>
    <w:rsid w:val="00A86EE2"/>
    <w:rsid w:val="00AF565C"/>
    <w:rsid w:val="00B1376F"/>
    <w:rsid w:val="00B6095B"/>
    <w:rsid w:val="00B86361"/>
    <w:rsid w:val="00BE031C"/>
    <w:rsid w:val="00DA1163"/>
    <w:rsid w:val="00DA6C9C"/>
    <w:rsid w:val="00DB1F12"/>
    <w:rsid w:val="00DE0B52"/>
    <w:rsid w:val="00E7712E"/>
    <w:rsid w:val="00EF40FA"/>
    <w:rsid w:val="00F02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B0D9DC6"/>
  <w15:chartTrackingRefBased/>
  <w15:docId w15:val="{7EF7D814-B3BE-FB4D-BADB-465716116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F55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F55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F551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F55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F551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F551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F551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F551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F551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MYTITLE1">
    <w:name w:val="MY_TITLE_1"/>
    <w:basedOn w:val="Paragrafoelenco"/>
    <w:qFormat/>
    <w:rsid w:val="00426EA1"/>
    <w:pPr>
      <w:numPr>
        <w:numId w:val="3"/>
      </w:numPr>
      <w:spacing w:after="480"/>
      <w:jc w:val="right"/>
    </w:pPr>
    <w:rPr>
      <w:rFonts w:ascii="Palatino Linotype" w:eastAsia="Times New Roman" w:hAnsi="Palatino Linotype" w:cs="Times New Roman"/>
      <w:color w:val="000000" w:themeColor="text1"/>
      <w:sz w:val="64"/>
      <w:szCs w:val="64"/>
      <w:lang w:val="en-US" w:eastAsia="it-IT"/>
    </w:rPr>
  </w:style>
  <w:style w:type="paragraph" w:styleId="Paragrafoelenco">
    <w:name w:val="List Paragraph"/>
    <w:basedOn w:val="Normale"/>
    <w:uiPriority w:val="34"/>
    <w:qFormat/>
    <w:rsid w:val="00426EA1"/>
    <w:pPr>
      <w:ind w:left="720"/>
      <w:contextualSpacing/>
    </w:pPr>
  </w:style>
  <w:style w:type="paragraph" w:customStyle="1" w:styleId="MYTITLE2">
    <w:name w:val="MY_TITLE_2"/>
    <w:basedOn w:val="Paragrafoelenco"/>
    <w:qFormat/>
    <w:rsid w:val="00426EA1"/>
    <w:pPr>
      <w:numPr>
        <w:ilvl w:val="1"/>
        <w:numId w:val="3"/>
      </w:numPr>
      <w:shd w:val="clear" w:color="auto" w:fill="FFFFFF"/>
      <w:spacing w:after="240"/>
      <w:contextualSpacing w:val="0"/>
      <w:jc w:val="both"/>
    </w:pPr>
    <w:rPr>
      <w:rFonts w:ascii="Palatino Linotype" w:eastAsia="Times New Roman" w:hAnsi="Palatino Linotype" w:cs="Arial"/>
      <w:color w:val="222222"/>
      <w:sz w:val="32"/>
      <w:szCs w:val="32"/>
      <w:lang w:val="en-US" w:eastAsia="it-IT"/>
    </w:rPr>
  </w:style>
  <w:style w:type="paragraph" w:customStyle="1" w:styleId="MYTITLE4">
    <w:name w:val="MY_TITLE_4"/>
    <w:basedOn w:val="Paragrafoelenco"/>
    <w:qFormat/>
    <w:rsid w:val="00426EA1"/>
    <w:pPr>
      <w:numPr>
        <w:ilvl w:val="3"/>
        <w:numId w:val="3"/>
      </w:numPr>
      <w:shd w:val="clear" w:color="auto" w:fill="FFFFFF"/>
      <w:spacing w:after="240"/>
      <w:jc w:val="both"/>
    </w:pPr>
    <w:rPr>
      <w:rFonts w:ascii="Palatino Linotype" w:eastAsia="Times New Roman" w:hAnsi="Palatino Linotype" w:cs="Arial"/>
      <w:i/>
      <w:iCs/>
      <w:color w:val="222222"/>
      <w:lang w:val="en-US" w:eastAsia="it-IT"/>
    </w:rPr>
  </w:style>
  <w:style w:type="paragraph" w:customStyle="1" w:styleId="MYTEXT">
    <w:name w:val="MY_TEXT"/>
    <w:basedOn w:val="Normale"/>
    <w:qFormat/>
    <w:rsid w:val="00426EA1"/>
    <w:pPr>
      <w:shd w:val="clear" w:color="auto" w:fill="FFFFFF"/>
      <w:ind w:left="360"/>
      <w:jc w:val="both"/>
    </w:pPr>
    <w:rPr>
      <w:rFonts w:ascii="Palatino Linotype" w:eastAsia="Times New Roman" w:hAnsi="Palatino Linotype" w:cs="Arial"/>
      <w:color w:val="222222"/>
      <w:lang w:val="en-US"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F55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F55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F55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F551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F551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F551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F551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F551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F551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F551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F55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F5512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F55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F551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F5512"/>
    <w:rPr>
      <w:i/>
      <w:iCs/>
      <w:color w:val="404040" w:themeColor="text1" w:themeTint="BF"/>
    </w:rPr>
  </w:style>
  <w:style w:type="character" w:styleId="Enfasiintensa">
    <w:name w:val="Intense Emphasis"/>
    <w:basedOn w:val="Carpredefinitoparagrafo"/>
    <w:uiPriority w:val="21"/>
    <w:qFormat/>
    <w:rsid w:val="006F551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F55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F551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F5512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semiHidden/>
    <w:unhideWhenUsed/>
    <w:rsid w:val="006F551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semiHidden/>
    <w:unhideWhenUsed/>
    <w:rsid w:val="006F5512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50229"/>
    <w:rPr>
      <w:b/>
      <w:bCs/>
    </w:rPr>
  </w:style>
  <w:style w:type="character" w:customStyle="1" w:styleId="apple-converted-space">
    <w:name w:val="apple-converted-space"/>
    <w:basedOn w:val="Carpredefinitoparagrafo"/>
    <w:rsid w:val="00250229"/>
  </w:style>
  <w:style w:type="character" w:styleId="Enfasicorsivo">
    <w:name w:val="Emphasis"/>
    <w:basedOn w:val="Carpredefinitoparagrafo"/>
    <w:uiPriority w:val="20"/>
    <w:qFormat/>
    <w:rsid w:val="0025022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2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1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0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8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367</Words>
  <Characters>2335</Characters>
  <Application>Microsoft Office Word</Application>
  <DocSecurity>0</DocSecurity>
  <Lines>33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Maglione</dc:creator>
  <cp:keywords/>
  <dc:description/>
  <cp:lastModifiedBy>Alessandro Maglione</cp:lastModifiedBy>
  <cp:revision>9</cp:revision>
  <dcterms:created xsi:type="dcterms:W3CDTF">2025-03-31T15:18:00Z</dcterms:created>
  <dcterms:modified xsi:type="dcterms:W3CDTF">2025-03-31T18:44:00Z</dcterms:modified>
</cp:coreProperties>
</file>