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751C62" w14:textId="0F9DCFE1" w:rsidR="00E419D8" w:rsidRPr="001A34A9" w:rsidRDefault="00E419D8" w:rsidP="00F45764">
      <w:pPr>
        <w:pStyle w:val="Titolo"/>
        <w:rPr>
          <w:lang w:val="en-GB"/>
        </w:rPr>
      </w:pPr>
      <w:r w:rsidRPr="001A34A9">
        <w:rPr>
          <w:lang w:val="en-GB"/>
        </w:rPr>
        <w:t xml:space="preserve">Industry 4.0 and </w:t>
      </w:r>
      <w:r w:rsidR="00D44E6F" w:rsidRPr="001A34A9">
        <w:rPr>
          <w:lang w:val="en-GB"/>
        </w:rPr>
        <w:t>Ci</w:t>
      </w:r>
      <w:r w:rsidRPr="001A34A9">
        <w:rPr>
          <w:lang w:val="en-GB"/>
        </w:rPr>
        <w:t xml:space="preserve">rcular </w:t>
      </w:r>
      <w:r w:rsidR="00D44E6F" w:rsidRPr="001A34A9">
        <w:rPr>
          <w:lang w:val="en-GB"/>
        </w:rPr>
        <w:t>E</w:t>
      </w:r>
      <w:r w:rsidRPr="001A34A9">
        <w:rPr>
          <w:lang w:val="en-GB"/>
        </w:rPr>
        <w:t>conomy</w:t>
      </w:r>
      <w:r w:rsidR="00D44E6F" w:rsidRPr="001A34A9">
        <w:rPr>
          <w:lang w:val="en-GB"/>
        </w:rPr>
        <w:t xml:space="preserve">. An exploratory analysis of academic and </w:t>
      </w:r>
      <w:r w:rsidR="00784C0C">
        <w:rPr>
          <w:lang w:val="en-GB"/>
        </w:rPr>
        <w:t>practitioners</w:t>
      </w:r>
      <w:r w:rsidR="00106633">
        <w:rPr>
          <w:lang w:val="en-GB"/>
        </w:rPr>
        <w:t>'</w:t>
      </w:r>
      <w:r w:rsidR="00784C0C" w:rsidRPr="001A34A9">
        <w:rPr>
          <w:lang w:val="en-GB"/>
        </w:rPr>
        <w:t xml:space="preserve"> </w:t>
      </w:r>
      <w:r w:rsidR="00D44E6F" w:rsidRPr="001A34A9">
        <w:rPr>
          <w:lang w:val="en-GB"/>
        </w:rPr>
        <w:t>perspectives</w:t>
      </w:r>
    </w:p>
    <w:p w14:paraId="1C03AE32" w14:textId="77777777" w:rsidR="00EB4AED" w:rsidRPr="001A34A9" w:rsidRDefault="00EB4AED">
      <w:pPr>
        <w:rPr>
          <w:b/>
          <w:bCs/>
          <w:lang w:val="en-GB"/>
        </w:rPr>
      </w:pPr>
    </w:p>
    <w:p w14:paraId="2458D5A4" w14:textId="7774D7E7" w:rsidR="00E419D8" w:rsidRPr="001A34A9" w:rsidRDefault="007D314D">
      <w:pPr>
        <w:rPr>
          <w:lang w:val="en-GB"/>
        </w:rPr>
      </w:pPr>
      <w:r w:rsidRPr="001A34A9">
        <w:rPr>
          <w:lang w:val="en-GB"/>
        </w:rPr>
        <w:t>Abstract</w:t>
      </w:r>
    </w:p>
    <w:p w14:paraId="7F08BC6E" w14:textId="5DA4BCC1" w:rsidR="00D44E6F" w:rsidRDefault="008A34DA">
      <w:pPr>
        <w:rPr>
          <w:rFonts w:cstheme="minorHAnsi"/>
          <w:szCs w:val="22"/>
          <w:lang w:val="en-GB"/>
        </w:rPr>
      </w:pPr>
      <w:r>
        <w:rPr>
          <w:rFonts w:cstheme="minorHAnsi"/>
          <w:szCs w:val="22"/>
          <w:lang w:val="en-GB"/>
        </w:rPr>
        <w:t>T</w:t>
      </w:r>
      <w:r w:rsidRPr="004D46F6">
        <w:rPr>
          <w:rFonts w:cstheme="minorHAnsi"/>
          <w:szCs w:val="22"/>
          <w:lang w:val="en-GB"/>
        </w:rPr>
        <w:t xml:space="preserve">he paper </w:t>
      </w:r>
      <w:r w:rsidRPr="00093D8A">
        <w:rPr>
          <w:rFonts w:cstheme="minorHAnsi"/>
          <w:szCs w:val="22"/>
          <w:lang w:val="en-GB"/>
        </w:rPr>
        <w:t>aim</w:t>
      </w:r>
      <w:r>
        <w:rPr>
          <w:rFonts w:cstheme="minorHAnsi"/>
          <w:szCs w:val="22"/>
          <w:lang w:val="en-GB"/>
        </w:rPr>
        <w:t xml:space="preserve">s </w:t>
      </w:r>
      <w:r w:rsidRPr="004D46F6">
        <w:rPr>
          <w:rFonts w:cstheme="minorHAnsi"/>
          <w:szCs w:val="22"/>
          <w:lang w:val="en-GB"/>
        </w:rPr>
        <w:t xml:space="preserve">to </w:t>
      </w:r>
      <w:r>
        <w:rPr>
          <w:rFonts w:cstheme="minorHAnsi"/>
          <w:szCs w:val="22"/>
          <w:lang w:val="en-GB"/>
        </w:rPr>
        <w:t>investigate</w:t>
      </w:r>
      <w:r w:rsidRPr="004D46F6">
        <w:rPr>
          <w:rFonts w:cstheme="minorHAnsi"/>
          <w:szCs w:val="22"/>
          <w:lang w:val="en-GB"/>
        </w:rPr>
        <w:t xml:space="preserve"> </w:t>
      </w:r>
      <w:r w:rsidR="0006340C">
        <w:rPr>
          <w:rFonts w:cstheme="minorHAnsi"/>
          <w:szCs w:val="22"/>
          <w:lang w:val="en-GB"/>
        </w:rPr>
        <w:t>the link between</w:t>
      </w:r>
      <w:r w:rsidRPr="004D46F6">
        <w:rPr>
          <w:rFonts w:cstheme="minorHAnsi"/>
          <w:szCs w:val="22"/>
          <w:lang w:val="en-GB"/>
        </w:rPr>
        <w:t xml:space="preserve"> Industry 4.0 </w:t>
      </w:r>
      <w:r w:rsidR="0006340C">
        <w:rPr>
          <w:rFonts w:cstheme="minorHAnsi"/>
          <w:szCs w:val="22"/>
          <w:lang w:val="en-GB"/>
        </w:rPr>
        <w:t xml:space="preserve">and the </w:t>
      </w:r>
      <w:r w:rsidR="00106633">
        <w:rPr>
          <w:rFonts w:cstheme="minorHAnsi"/>
          <w:szCs w:val="22"/>
          <w:lang w:val="en-GB"/>
        </w:rPr>
        <w:t>C</w:t>
      </w:r>
      <w:r w:rsidR="0006340C">
        <w:rPr>
          <w:rFonts w:cstheme="minorHAnsi"/>
          <w:szCs w:val="22"/>
          <w:lang w:val="en-GB"/>
        </w:rPr>
        <w:t xml:space="preserve">ircular </w:t>
      </w:r>
      <w:r w:rsidR="00106633">
        <w:rPr>
          <w:rFonts w:cstheme="minorHAnsi"/>
          <w:szCs w:val="22"/>
          <w:lang w:val="en-GB"/>
        </w:rPr>
        <w:t>E</w:t>
      </w:r>
      <w:r w:rsidR="0006340C">
        <w:rPr>
          <w:rFonts w:cstheme="minorHAnsi"/>
          <w:szCs w:val="22"/>
          <w:lang w:val="en-GB"/>
        </w:rPr>
        <w:t>conomy</w:t>
      </w:r>
      <w:r w:rsidR="00527C14">
        <w:rPr>
          <w:rFonts w:cstheme="minorHAnsi"/>
          <w:szCs w:val="22"/>
          <w:lang w:val="en-GB"/>
        </w:rPr>
        <w:t xml:space="preserve"> (CE)</w:t>
      </w:r>
      <w:r w:rsidR="0006340C">
        <w:rPr>
          <w:rFonts w:cstheme="minorHAnsi"/>
          <w:szCs w:val="22"/>
          <w:lang w:val="en-GB"/>
        </w:rPr>
        <w:t xml:space="preserve"> by understanding how Industry 4.0 can</w:t>
      </w:r>
      <w:r w:rsidRPr="004D46F6">
        <w:rPr>
          <w:rFonts w:cstheme="minorHAnsi"/>
          <w:szCs w:val="22"/>
          <w:lang w:val="en-GB"/>
        </w:rPr>
        <w:t xml:space="preserve"> </w:t>
      </w:r>
      <w:r>
        <w:rPr>
          <w:rFonts w:cstheme="minorHAnsi"/>
          <w:szCs w:val="22"/>
          <w:lang w:val="en-GB"/>
        </w:rPr>
        <w:t>foster</w:t>
      </w:r>
      <w:r w:rsidRPr="004D46F6">
        <w:rPr>
          <w:rFonts w:cstheme="minorHAnsi"/>
          <w:szCs w:val="22"/>
          <w:lang w:val="en-GB"/>
        </w:rPr>
        <w:t xml:space="preserve"> the impact of the </w:t>
      </w:r>
      <w:r w:rsidR="00527C14">
        <w:rPr>
          <w:rFonts w:cstheme="minorHAnsi"/>
          <w:szCs w:val="22"/>
          <w:lang w:val="en-GB"/>
        </w:rPr>
        <w:t>CE</w:t>
      </w:r>
      <w:r w:rsidRPr="004D46F6">
        <w:rPr>
          <w:rFonts w:cstheme="minorHAnsi"/>
          <w:szCs w:val="22"/>
          <w:lang w:val="en-GB"/>
        </w:rPr>
        <w:t xml:space="preserve"> on companies. The article proposes a broader perspective that include</w:t>
      </w:r>
      <w:r>
        <w:rPr>
          <w:rFonts w:cstheme="minorHAnsi"/>
          <w:szCs w:val="22"/>
          <w:lang w:val="en-GB"/>
        </w:rPr>
        <w:t>s</w:t>
      </w:r>
      <w:r w:rsidRPr="004D46F6">
        <w:rPr>
          <w:rFonts w:cstheme="minorHAnsi"/>
          <w:szCs w:val="22"/>
          <w:lang w:val="en-GB"/>
        </w:rPr>
        <w:t xml:space="preserve"> thematic and content analysis</w:t>
      </w:r>
      <w:r w:rsidRPr="00093D8A">
        <w:rPr>
          <w:rFonts w:cstheme="minorHAnsi"/>
          <w:szCs w:val="22"/>
          <w:lang w:val="en-GB"/>
        </w:rPr>
        <w:t xml:space="preserve"> </w:t>
      </w:r>
      <w:r>
        <w:rPr>
          <w:rFonts w:cstheme="minorHAnsi"/>
          <w:szCs w:val="22"/>
          <w:lang w:val="en-GB"/>
        </w:rPr>
        <w:t>gathering data</w:t>
      </w:r>
      <w:r w:rsidRPr="00093D8A">
        <w:rPr>
          <w:rFonts w:cstheme="minorHAnsi"/>
          <w:szCs w:val="22"/>
          <w:lang w:val="en-GB"/>
        </w:rPr>
        <w:t xml:space="preserve"> on professional documents based on business cases, newspaper articles, press releases and speciali</w:t>
      </w:r>
      <w:r w:rsidR="00527C14">
        <w:rPr>
          <w:rFonts w:cstheme="minorHAnsi"/>
          <w:szCs w:val="22"/>
          <w:lang w:val="en-GB"/>
        </w:rPr>
        <w:t>s</w:t>
      </w:r>
      <w:r w:rsidRPr="00E41C68">
        <w:rPr>
          <w:rFonts w:cstheme="minorHAnsi"/>
          <w:szCs w:val="22"/>
          <w:lang w:val="en-GB"/>
        </w:rPr>
        <w:t xml:space="preserve">ed </w:t>
      </w:r>
      <w:r w:rsidRPr="00093D8A">
        <w:rPr>
          <w:rFonts w:cstheme="minorHAnsi"/>
          <w:szCs w:val="22"/>
          <w:lang w:val="en-GB"/>
        </w:rPr>
        <w:t xml:space="preserve">blogs, </w:t>
      </w:r>
      <w:r>
        <w:rPr>
          <w:rFonts w:cstheme="minorHAnsi"/>
          <w:szCs w:val="22"/>
          <w:lang w:val="en-GB"/>
        </w:rPr>
        <w:t>as well as</w:t>
      </w:r>
      <w:r w:rsidRPr="00093D8A">
        <w:rPr>
          <w:rFonts w:cstheme="minorHAnsi"/>
          <w:szCs w:val="22"/>
          <w:lang w:val="en-GB"/>
        </w:rPr>
        <w:t xml:space="preserve"> scientific papers</w:t>
      </w:r>
      <w:r>
        <w:rPr>
          <w:rFonts w:cstheme="minorHAnsi"/>
          <w:szCs w:val="22"/>
          <w:lang w:val="en-GB"/>
        </w:rPr>
        <w:t xml:space="preserve">. </w:t>
      </w:r>
      <w:r w:rsidR="0006340C" w:rsidRPr="00093D8A">
        <w:rPr>
          <w:rFonts w:cstheme="minorHAnsi"/>
          <w:szCs w:val="22"/>
          <w:lang w:val="en-GB"/>
        </w:rPr>
        <w:t xml:space="preserve">The </w:t>
      </w:r>
      <w:r w:rsidR="0006340C">
        <w:rPr>
          <w:rFonts w:cstheme="minorHAnsi"/>
          <w:szCs w:val="22"/>
          <w:lang w:val="en-GB"/>
        </w:rPr>
        <w:t>joint academic-practitioners view highlights</w:t>
      </w:r>
      <w:r w:rsidR="0006340C" w:rsidRPr="00093D8A">
        <w:rPr>
          <w:rFonts w:cstheme="minorHAnsi"/>
          <w:szCs w:val="22"/>
          <w:lang w:val="en-GB"/>
        </w:rPr>
        <w:t xml:space="preserve"> </w:t>
      </w:r>
      <w:r w:rsidR="0006340C">
        <w:rPr>
          <w:rFonts w:cstheme="minorHAnsi"/>
          <w:szCs w:val="22"/>
          <w:lang w:val="en-GB"/>
        </w:rPr>
        <w:t>how</w:t>
      </w:r>
      <w:r w:rsidR="0006340C" w:rsidRPr="00093D8A">
        <w:rPr>
          <w:rFonts w:cstheme="minorHAnsi"/>
          <w:szCs w:val="22"/>
          <w:lang w:val="en-GB"/>
        </w:rPr>
        <w:t xml:space="preserve"> </w:t>
      </w:r>
      <w:r w:rsidR="00527C14">
        <w:rPr>
          <w:rFonts w:cstheme="minorHAnsi"/>
          <w:szCs w:val="22"/>
          <w:lang w:val="en-GB"/>
        </w:rPr>
        <w:t>I</w:t>
      </w:r>
      <w:r w:rsidR="0006340C" w:rsidRPr="00093D8A">
        <w:rPr>
          <w:rFonts w:cstheme="minorHAnsi"/>
          <w:szCs w:val="22"/>
          <w:lang w:val="en-GB"/>
        </w:rPr>
        <w:t xml:space="preserve">ndustry 4.0 has the potential to </w:t>
      </w:r>
      <w:r w:rsidR="0006340C">
        <w:rPr>
          <w:rFonts w:cstheme="minorHAnsi"/>
          <w:szCs w:val="22"/>
          <w:lang w:val="en-GB"/>
        </w:rPr>
        <w:t>impact on</w:t>
      </w:r>
      <w:r w:rsidR="0006340C" w:rsidRPr="00093D8A">
        <w:rPr>
          <w:rFonts w:cstheme="minorHAnsi"/>
          <w:szCs w:val="22"/>
          <w:lang w:val="en-GB"/>
        </w:rPr>
        <w:t xml:space="preserve"> the CE through countless actions: increasing waste disposal; promoting remanufacturing; </w:t>
      </w:r>
      <w:r w:rsidR="00BF4D97">
        <w:rPr>
          <w:rFonts w:cstheme="minorHAnsi"/>
          <w:szCs w:val="22"/>
          <w:lang w:val="en-GB"/>
        </w:rPr>
        <w:t>enhancing</w:t>
      </w:r>
      <w:r w:rsidR="0006340C" w:rsidRPr="00093D8A">
        <w:rPr>
          <w:rFonts w:cstheme="minorHAnsi"/>
          <w:szCs w:val="22"/>
          <w:lang w:val="en-GB"/>
        </w:rPr>
        <w:t xml:space="preserve"> the efficiency of critical resources such as water, energy, gas and CO2; improving business models and the mission of companies.</w:t>
      </w:r>
      <w:r w:rsidR="0006340C">
        <w:rPr>
          <w:rFonts w:cstheme="minorHAnsi"/>
          <w:szCs w:val="22"/>
          <w:lang w:val="en-GB"/>
        </w:rPr>
        <w:t xml:space="preserve"> </w:t>
      </w:r>
      <w:r w:rsidR="0006340C" w:rsidRPr="004D46F6">
        <w:rPr>
          <w:rFonts w:cstheme="minorHAnsi"/>
          <w:szCs w:val="22"/>
          <w:lang w:val="en-GB"/>
        </w:rPr>
        <w:t xml:space="preserve">However, </w:t>
      </w:r>
      <w:r w:rsidR="0006340C">
        <w:rPr>
          <w:rFonts w:cstheme="minorHAnsi"/>
          <w:szCs w:val="22"/>
          <w:lang w:val="en-GB"/>
        </w:rPr>
        <w:t>barriers still exist in its</w:t>
      </w:r>
      <w:r w:rsidR="0006340C" w:rsidRPr="004D46F6">
        <w:rPr>
          <w:rFonts w:cstheme="minorHAnsi"/>
          <w:szCs w:val="22"/>
          <w:lang w:val="en-GB"/>
        </w:rPr>
        <w:t xml:space="preserve"> adoption, </w:t>
      </w:r>
      <w:r w:rsidR="0006340C">
        <w:rPr>
          <w:rFonts w:cstheme="minorHAnsi"/>
          <w:szCs w:val="22"/>
          <w:lang w:val="en-GB"/>
        </w:rPr>
        <w:t>stressing</w:t>
      </w:r>
      <w:r w:rsidR="0006340C" w:rsidRPr="004D46F6">
        <w:rPr>
          <w:rFonts w:cstheme="minorHAnsi"/>
          <w:szCs w:val="22"/>
          <w:lang w:val="en-GB"/>
        </w:rPr>
        <w:t xml:space="preserve"> the need for holistic and integrated design and a proactive environment of collaboration </w:t>
      </w:r>
      <w:r w:rsidR="0006340C">
        <w:rPr>
          <w:rFonts w:cstheme="minorHAnsi"/>
          <w:szCs w:val="22"/>
          <w:lang w:val="en-GB"/>
        </w:rPr>
        <w:t>among</w:t>
      </w:r>
      <w:r w:rsidR="0006340C" w:rsidRPr="004D46F6">
        <w:rPr>
          <w:rFonts w:cstheme="minorHAnsi"/>
          <w:szCs w:val="22"/>
          <w:lang w:val="en-GB"/>
        </w:rPr>
        <w:t xml:space="preserve"> </w:t>
      </w:r>
      <w:r w:rsidR="0006340C">
        <w:rPr>
          <w:rFonts w:cstheme="minorHAnsi"/>
          <w:szCs w:val="22"/>
          <w:lang w:val="en-GB"/>
        </w:rPr>
        <w:t>stakeholders</w:t>
      </w:r>
      <w:r w:rsidR="0006340C" w:rsidRPr="004D46F6">
        <w:rPr>
          <w:rFonts w:cstheme="minorHAnsi"/>
          <w:szCs w:val="22"/>
          <w:lang w:val="en-GB"/>
        </w:rPr>
        <w:t xml:space="preserve">. </w:t>
      </w:r>
      <w:r w:rsidR="00C71963">
        <w:rPr>
          <w:rFonts w:cstheme="minorHAnsi"/>
          <w:szCs w:val="22"/>
          <w:lang w:val="en-GB"/>
        </w:rPr>
        <w:t xml:space="preserve">Results lead to practical as well as research implications. </w:t>
      </w:r>
    </w:p>
    <w:p w14:paraId="36187BA3" w14:textId="77777777" w:rsidR="00767D32" w:rsidRPr="00767D32" w:rsidRDefault="00767D32">
      <w:pPr>
        <w:rPr>
          <w:rFonts w:cstheme="minorHAnsi"/>
          <w:szCs w:val="22"/>
          <w:lang w:val="en-GB"/>
        </w:rPr>
      </w:pPr>
    </w:p>
    <w:p w14:paraId="1234CC47" w14:textId="4146AC36" w:rsidR="00E419D8" w:rsidRDefault="00767D32">
      <w:pPr>
        <w:rPr>
          <w:rFonts w:cstheme="minorHAnsi"/>
          <w:szCs w:val="22"/>
          <w:lang w:val="en-GB"/>
        </w:rPr>
      </w:pPr>
      <w:r w:rsidRPr="00767D32">
        <w:rPr>
          <w:rFonts w:cstheme="minorHAnsi"/>
          <w:szCs w:val="22"/>
          <w:lang w:val="en-GB"/>
        </w:rPr>
        <w:t xml:space="preserve">Keywords: </w:t>
      </w:r>
      <w:r>
        <w:rPr>
          <w:rFonts w:cstheme="minorHAnsi"/>
          <w:szCs w:val="22"/>
          <w:lang w:val="en-GB"/>
        </w:rPr>
        <w:t xml:space="preserve">Industry 4.0., </w:t>
      </w:r>
      <w:r w:rsidR="00DC132C">
        <w:rPr>
          <w:rFonts w:cstheme="minorHAnsi"/>
          <w:szCs w:val="22"/>
          <w:lang w:val="en-GB"/>
        </w:rPr>
        <w:t xml:space="preserve">Circular </w:t>
      </w:r>
      <w:r w:rsidR="00106633">
        <w:rPr>
          <w:rFonts w:cstheme="minorHAnsi"/>
          <w:szCs w:val="22"/>
          <w:lang w:val="en-GB"/>
        </w:rPr>
        <w:t>E</w:t>
      </w:r>
      <w:r>
        <w:rPr>
          <w:rFonts w:cstheme="minorHAnsi"/>
          <w:szCs w:val="22"/>
          <w:lang w:val="en-GB"/>
        </w:rPr>
        <w:t>conomy, waste management, remanufacturing, resource efficiency, business models</w:t>
      </w:r>
    </w:p>
    <w:p w14:paraId="4D0C5838" w14:textId="77777777" w:rsidR="00767D32" w:rsidRPr="00767D32" w:rsidRDefault="00767D32">
      <w:pPr>
        <w:rPr>
          <w:rFonts w:cstheme="minorHAnsi"/>
          <w:szCs w:val="22"/>
          <w:lang w:val="en-GB"/>
        </w:rPr>
      </w:pPr>
    </w:p>
    <w:p w14:paraId="0E8D88ED" w14:textId="36D05CAE" w:rsidR="00E419D8" w:rsidRPr="001A34A9" w:rsidRDefault="00E419D8" w:rsidP="00F45764">
      <w:pPr>
        <w:pStyle w:val="Titolo1"/>
        <w:rPr>
          <w:lang w:val="en-GB"/>
        </w:rPr>
      </w:pPr>
      <w:r w:rsidRPr="001A34A9">
        <w:rPr>
          <w:lang w:val="en-GB"/>
        </w:rPr>
        <w:t>Introduction</w:t>
      </w:r>
    </w:p>
    <w:p w14:paraId="5AA73E29" w14:textId="727F8DDD" w:rsidR="00053E77" w:rsidRPr="004D46F6" w:rsidRDefault="00053E77">
      <w:pPr>
        <w:rPr>
          <w:rFonts w:cstheme="minorHAnsi"/>
          <w:szCs w:val="22"/>
          <w:lang w:val="en-GB"/>
        </w:rPr>
      </w:pPr>
      <w:r w:rsidRPr="004D46F6">
        <w:rPr>
          <w:rFonts w:cstheme="minorHAnsi"/>
          <w:szCs w:val="22"/>
          <w:lang w:val="en-GB"/>
        </w:rPr>
        <w:t xml:space="preserve">Industry 4.0 is linked to a progressive change, </w:t>
      </w:r>
      <w:r w:rsidR="00AE32BB">
        <w:rPr>
          <w:rFonts w:cstheme="minorHAnsi"/>
          <w:szCs w:val="22"/>
          <w:lang w:val="en-GB"/>
        </w:rPr>
        <w:t>that has</w:t>
      </w:r>
      <w:r w:rsidRPr="004D46F6">
        <w:rPr>
          <w:rFonts w:cstheme="minorHAnsi"/>
          <w:szCs w:val="22"/>
          <w:lang w:val="en-GB"/>
        </w:rPr>
        <w:t xml:space="preserve"> </w:t>
      </w:r>
      <w:r w:rsidR="00BB01BB" w:rsidRPr="004D46F6">
        <w:rPr>
          <w:rFonts w:cstheme="minorHAnsi"/>
          <w:szCs w:val="22"/>
          <w:lang w:val="en-GB"/>
        </w:rPr>
        <w:t>begun</w:t>
      </w:r>
      <w:r w:rsidRPr="00F76BE8">
        <w:rPr>
          <w:rFonts w:cstheme="minorHAnsi"/>
          <w:szCs w:val="22"/>
          <w:lang w:val="en-GB"/>
        </w:rPr>
        <w:t xml:space="preserve"> in the twentieth century, </w:t>
      </w:r>
      <w:r w:rsidR="00784C0C">
        <w:rPr>
          <w:rFonts w:cstheme="minorHAnsi"/>
          <w:szCs w:val="22"/>
          <w:lang w:val="en-GB"/>
        </w:rPr>
        <w:t>with</w:t>
      </w:r>
      <w:r w:rsidRPr="004D46F6">
        <w:rPr>
          <w:rFonts w:cstheme="minorHAnsi"/>
          <w:szCs w:val="22"/>
          <w:lang w:val="en-GB"/>
        </w:rPr>
        <w:t xml:space="preserve"> the introduction </w:t>
      </w:r>
      <w:r w:rsidRPr="00F76BE8">
        <w:rPr>
          <w:rFonts w:cstheme="minorHAnsi"/>
          <w:szCs w:val="22"/>
          <w:lang w:val="en-GB"/>
        </w:rPr>
        <w:t xml:space="preserve">of computers. </w:t>
      </w:r>
      <w:r w:rsidR="00AE32BB" w:rsidRPr="009D220E">
        <w:rPr>
          <w:rFonts w:cstheme="minorHAnsi"/>
          <w:szCs w:val="22"/>
          <w:lang w:val="en-GB"/>
        </w:rPr>
        <w:t xml:space="preserve">According to </w:t>
      </w:r>
      <w:r w:rsidR="00AE32BB" w:rsidRPr="009D220E">
        <w:rPr>
          <w:rFonts w:cstheme="minorHAnsi"/>
          <w:szCs w:val="22"/>
          <w:lang w:val="en-GB"/>
        </w:rPr>
        <w:fldChar w:fldCharType="begin"/>
      </w:r>
      <w:r w:rsidR="00F45764">
        <w:rPr>
          <w:rFonts w:cstheme="minorHAnsi"/>
          <w:szCs w:val="22"/>
          <w:lang w:val="en-GB"/>
        </w:rPr>
        <w:instrText xml:space="preserve"> ADDIN ZOTERO_ITEM CSL_CITATION {"citationID":"TMuGICna","properties":{"formattedCitation":"(B\\uc0\\u252{}chi et al., 2020)","plainCitation":"(Büchi et al., 2020)","dontUpdate":true,"noteIndex":0},"citationItems":[{"id":7017,"uris":["http://zotero.org/users/5243184/items/B7DWUD2M"],"uri":["http://zotero.org/users/5243184/items/B7DWUD2M"],"itemData":{"id":7017,"type":"article-journal","abstract":"Existing literature on the Industry 4.0 concept does not empirically verify if, how, and for which types of firms, a greater openness to enabling technologies of Industry 4.0 provides further opportunities. This study analyzes the causal relationship between this degree of openness and performance, with an empirical analysis based on a sample representing local manufacturing units. Performance is measured by the extent of opportunities businesses obtain. The degree of openness is investigated using two indicators: breadth, or the number of technologies used; and depth, or the number of value chain stages involved. The regression models demonstrate that: (1) breadth and (2) depth of Industry 4.0 allow greater opportunities, and (3) micro-level local units achieve best performances. Verifying the opportunities for companies with Industry 4.0 is extremely relevant, as investments in Industry 4.0 are high in terms of costs, the acquisition of new skills, and the risks of obsolescence to enable better strategic decisions. This work also provides a scope for future analyses of this topic conducted on panel data. Despite the limited application of Industry 4.0, this study's results can encourage managers and policy-makers to implement a wider range of enabling technologies in the various stages of the value chain.","container-title":"Technological Forecasting and Social Change","DOI":"10.1016/j.techfore.2019.119790","ISSN":"0040-1625","journalAbbreviation":"Technological Forecasting and Social Change","language":"en","page":"119790","source":"ScienceDirect","title":"Smart factory performance and Industry 4.0","volume":"150","author":[{"family":"Büchi","given":"Giacomo"},{"family":"Cugno","given":"Monica"},{"family":"Castagnoli","given":"Rebecca"}],"issued":{"date-parts":[["2020",1,1]]}}}],"schema":"https://github.com/citation-style-language/schema/raw/master/csl-citation.json"} </w:instrText>
      </w:r>
      <w:r w:rsidR="00AE32BB" w:rsidRPr="009D220E">
        <w:rPr>
          <w:rFonts w:cstheme="minorHAnsi"/>
          <w:szCs w:val="22"/>
          <w:lang w:val="en-GB"/>
        </w:rPr>
        <w:fldChar w:fldCharType="separate"/>
      </w:r>
      <w:r w:rsidR="00AE32BB" w:rsidRPr="009D220E">
        <w:rPr>
          <w:rFonts w:cstheme="minorHAnsi"/>
          <w:szCs w:val="22"/>
          <w:lang w:val="en-GB"/>
        </w:rPr>
        <w:t>Büchi et al. (2020)</w:t>
      </w:r>
      <w:r w:rsidR="00AE32BB" w:rsidRPr="009D220E">
        <w:rPr>
          <w:rFonts w:cstheme="minorHAnsi"/>
          <w:szCs w:val="22"/>
          <w:lang w:val="en-GB"/>
        </w:rPr>
        <w:fldChar w:fldCharType="end"/>
      </w:r>
      <w:r w:rsidR="00AE32BB" w:rsidRPr="009D220E">
        <w:rPr>
          <w:rFonts w:cstheme="minorHAnsi"/>
          <w:szCs w:val="22"/>
          <w:lang w:val="en-GB"/>
        </w:rPr>
        <w:t xml:space="preserve">, Industry 4.0 requires enabling technologies that can provide more openness in technological terms to </w:t>
      </w:r>
      <w:r w:rsidR="00AE32BB">
        <w:rPr>
          <w:rFonts w:cstheme="minorHAnsi"/>
          <w:szCs w:val="22"/>
          <w:lang w:val="en-GB"/>
        </w:rPr>
        <w:t>develop new business solutions</w:t>
      </w:r>
      <w:r w:rsidR="00AE32BB" w:rsidRPr="009D220E">
        <w:rPr>
          <w:rFonts w:cstheme="minorHAnsi"/>
          <w:szCs w:val="22"/>
          <w:lang w:val="en-GB"/>
        </w:rPr>
        <w:t>.</w:t>
      </w:r>
      <w:r w:rsidR="00AE32BB">
        <w:rPr>
          <w:rFonts w:cstheme="minorHAnsi"/>
          <w:szCs w:val="22"/>
          <w:lang w:val="en-GB"/>
        </w:rPr>
        <w:t xml:space="preserve"> For example, t</w:t>
      </w:r>
      <w:r w:rsidRPr="004D46F6">
        <w:rPr>
          <w:rFonts w:cstheme="minorHAnsi"/>
          <w:szCs w:val="22"/>
          <w:lang w:val="en-GB"/>
        </w:rPr>
        <w:t>he concept of the fourth industrial revolution</w:t>
      </w:r>
      <w:r w:rsidRPr="00F76BE8">
        <w:rPr>
          <w:rFonts w:cstheme="minorHAnsi"/>
          <w:szCs w:val="22"/>
          <w:lang w:val="en-GB"/>
        </w:rPr>
        <w:t xml:space="preserve"> </w:t>
      </w:r>
      <w:r w:rsidRPr="00795030">
        <w:rPr>
          <w:rFonts w:cstheme="minorHAnsi"/>
          <w:szCs w:val="22"/>
          <w:lang w:val="en-GB"/>
        </w:rPr>
        <w:t>involves the use of automation and artificial intelligence with</w:t>
      </w:r>
      <w:r w:rsidRPr="00473378">
        <w:rPr>
          <w:rFonts w:cstheme="minorHAnsi"/>
          <w:szCs w:val="22"/>
          <w:lang w:val="en-GB"/>
        </w:rPr>
        <w:t>in the production process guided by the interpretati</w:t>
      </w:r>
      <w:r w:rsidRPr="000818C9">
        <w:rPr>
          <w:rFonts w:cstheme="minorHAnsi"/>
          <w:szCs w:val="22"/>
          <w:lang w:val="en-GB"/>
        </w:rPr>
        <w:t xml:space="preserve">on of data in real-time and by the ability </w:t>
      </w:r>
      <w:r w:rsidR="00BB01BB">
        <w:rPr>
          <w:rFonts w:cstheme="minorHAnsi"/>
          <w:szCs w:val="22"/>
          <w:lang w:val="en-GB"/>
        </w:rPr>
        <w:t xml:space="preserve">of </w:t>
      </w:r>
      <w:r w:rsidRPr="004D46F6">
        <w:rPr>
          <w:rFonts w:cstheme="minorHAnsi"/>
          <w:szCs w:val="22"/>
          <w:lang w:val="en-GB"/>
        </w:rPr>
        <w:t>better respond</w:t>
      </w:r>
      <w:r w:rsidR="00BB01BB">
        <w:rPr>
          <w:rFonts w:cstheme="minorHAnsi"/>
          <w:szCs w:val="22"/>
          <w:lang w:val="en-GB"/>
        </w:rPr>
        <w:t>ing</w:t>
      </w:r>
      <w:r w:rsidRPr="004D46F6">
        <w:rPr>
          <w:rFonts w:cstheme="minorHAnsi"/>
          <w:szCs w:val="22"/>
          <w:lang w:val="en-GB"/>
        </w:rPr>
        <w:t xml:space="preserve"> to user needs. </w:t>
      </w:r>
      <w:r w:rsidR="00BB01BB">
        <w:rPr>
          <w:rFonts w:cstheme="minorHAnsi"/>
          <w:szCs w:val="22"/>
          <w:lang w:val="en-GB"/>
        </w:rPr>
        <w:t xml:space="preserve">Thus, </w:t>
      </w:r>
      <w:r w:rsidR="00872326">
        <w:rPr>
          <w:rFonts w:cstheme="minorHAnsi"/>
          <w:szCs w:val="22"/>
          <w:lang w:val="en-GB"/>
        </w:rPr>
        <w:t>I</w:t>
      </w:r>
      <w:r w:rsidR="00AE32BB">
        <w:rPr>
          <w:rFonts w:cstheme="minorHAnsi"/>
          <w:szCs w:val="22"/>
          <w:lang w:val="en-GB"/>
        </w:rPr>
        <w:t xml:space="preserve">ndustry 4.0 impacts </w:t>
      </w:r>
      <w:r w:rsidR="00BB01BB">
        <w:rPr>
          <w:rFonts w:cstheme="minorHAnsi"/>
          <w:szCs w:val="22"/>
          <w:lang w:val="en-GB"/>
        </w:rPr>
        <w:t xml:space="preserve">production activities, </w:t>
      </w:r>
      <w:r w:rsidR="00AE32BB" w:rsidRPr="00A304CE">
        <w:rPr>
          <w:rFonts w:cstheme="minorHAnsi"/>
          <w:szCs w:val="22"/>
          <w:lang w:val="en-GB"/>
        </w:rPr>
        <w:t>organi</w:t>
      </w:r>
      <w:r w:rsidR="00527C14">
        <w:rPr>
          <w:rFonts w:cstheme="minorHAnsi"/>
          <w:szCs w:val="22"/>
          <w:lang w:val="en-GB"/>
        </w:rPr>
        <w:t>s</w:t>
      </w:r>
      <w:r w:rsidR="00AE32BB" w:rsidRPr="00A304CE">
        <w:rPr>
          <w:rFonts w:cstheme="minorHAnsi"/>
          <w:szCs w:val="22"/>
          <w:lang w:val="en-GB"/>
        </w:rPr>
        <w:t xml:space="preserve">ational strategies, business models and skills </w:t>
      </w:r>
      <w:r w:rsidR="00AE32BB" w:rsidRPr="00A304CE">
        <w:rPr>
          <w:rFonts w:cstheme="minorHAnsi"/>
          <w:szCs w:val="22"/>
          <w:lang w:val="en-GB"/>
        </w:rPr>
        <w:fldChar w:fldCharType="begin"/>
      </w:r>
      <w:r w:rsidR="00A15718">
        <w:rPr>
          <w:rFonts w:cstheme="minorHAnsi"/>
          <w:szCs w:val="22"/>
          <w:lang w:val="en-GB"/>
        </w:rPr>
        <w:instrText xml:space="preserve"> ADDIN ZOTERO_ITEM CSL_CITATION {"citationID":"KIRUsCqy","properties":{"formattedCitation":"(Bagnoli et al., 2019; B\\uc0\\u252{}chi et al., 2020; Piccarozzi et al., 2018, pag. 0)","plainCitation":"(Bagnoli et al., 2019; Büchi et al., 2020; Piccarozzi et al., 2018, pag. 0)","dontUpdate":true,"noteIndex":0},"citationItems":[{"id":7017,"uris":["http://zotero.org/users/5243184/items/B7DWUD2M"],"uri":["http://zotero.org/users/5243184/items/B7DWUD2M"],"itemData":{"id":7017,"type":"article-journal","abstract":"Existing literature on the Industry 4.0 concept does not empirically verify if, how, and for which types of firms, a greater openness to enabling technologies of Industry 4.0 provides further opportunities. This study analyzes the causal relationship between this degree of openness and performance, with an empirical analysis based on a sample representing local manufacturing units. Performance is measured by the extent of opportunities businesses obtain. The degree of openness is investigated using two indicators: breadth, or the number of technologies used; and depth, or the number of value chain stages involved. The regression models demonstrate that: (1) breadth and (2) depth of Industry 4.0 allow greater opportunities, and (3) micro-level local units achieve best performances. Verifying the opportunities for companies with Industry 4.0 is extremely relevant, as investments in Industry 4.0 are high in terms of costs, the acquisition of new skills, and the risks of obsolescence to enable better strategic decisions. This work also provides a scope for future analyses of this topic conducted on panel data. Despite the limited application of Industry 4.0, this study's results can encourage managers and policy-makers to implement a wider range of enabling technologies in the various stages of the value chain.","container-title":"Technological Forecasting and Social Change","DOI":"10.1016/j.techfore.2019.119790","ISSN":"0040-1625","journalAbbreviation":"Technological Forecasting and Social Change","language":"en","page":"119790","source":"ScienceDirect","title":"Smart factory performance and Industry 4.0","volume":"150","author":[{"family":"Büchi","given":"Giacomo"},{"family":"Cugno","given":"Monica"},{"family":"Castagnoli","given":"Rebecca"}],"issued":{"date-parts":[["2020",1,1]]}}},{"id":6950,"uris":["http://zotero.org/users/5243184/items/VYSQ66CH"],"uri":["http://zotero.org/users/5243184/items/VYSQ66CH"],"itemData":{"id":6950,"type":"article-journal","abstract":"Recent developments in production processes and their automation have led to the definition of the Fourth Industrial Revolution, commonly known as &amp;ldquo;Industry 4.0&amp;rdquo;. Industry 4.0 is a very broad domain that includes: production processes, efficiency, data management, relationship with consumers, competitiveness, and much more. At the same time, obviously, Industry 4.0 has become a new theme for management scholars and business economics disciplines and a number of contributions covering various issues and aspects have been published. However, a systematic formulation of all these contributions is still lacking in management literature. Therefore, the aim of the paper is to analyze and classify the main contributions published on the topic of Industry 4.0 in management literature, seeking to give it a unique definition, discover the gaps still remaining in literature and outline future avenues of research in this domain. A systematic review of the literature of the major academic and research databases has been used as methodology to achieve the aim of the paper. This work contributes theoretically to the development of literature on Industry 4.0 and from a managerial perspective it could support entrepreneurs in better understanding the implications and fields of application of the Fourth Industrial Revolution as well as the interplay among them.","container-title":"Sustainability","DOI":"10.3390/su10103821","issue":"10","language":"en","note":"number: 10\npublisher: Multidisciplinary Digital Publishing Institute","page":"3821","source":"www.mdpi.com","title":"Industry 4.0 in Management Studies: A Systematic Literature Review","title-short":"Industry 4.0 in Management Studies","volume":"10","author":[{"family":"Piccarozzi","given":"Michela"},{"family":"Aquilani","given":"Barbara"},{"family":"Gatti","given":"Corrado"}],"issued":{"date-parts":[["2018",10]]}},"locator":"0"},{"id":7044,"uris":["http://zotero.org/users/5243184/items/EX47WLHN"],"uri":["http://zotero.org/users/5243184/items/EX47WLHN"],"itemData":{"id":7044,"type":"article-journal","abstract":"The objective of this paper is to analyze the impact of Industry 4.0 on business models considering technological change as a driver of strategic innovation. The research aims to provide the key to interpreting a process of innovation that, starting from the technological transformation, translates it into a broader change of business models. A structured literature review has been developed analyzing 144 sources divided into scientific papers, reports from consultancy firms and institutional reports. This method allowed to identify the importance given by the literature to the technologies and their impact on the single building blocks of the business model. The research has led to the identification of 12 business models that can represent a framework to interpret the Industry 4.0 phenomenon strategically. A questionnaire analysis of a sample of 111 companies based in Italy allowed us to compare the results of theoretical research with the perceptions of Italian entrepreneurs.","source":"ResearchGate","title":"The 4th Industrial Revolution and its features. Possible business models and evidence from the field","volume":"11","author":[{"family":"Bagnoli","given":"Carlo"},{"family":"Dal Mas","given":"Francesca"},{"family":"Massaro","given":"Maurizio"}],"issued":{"date-parts":[["2019",9,1]]}}}],"schema":"https://github.com/citation-style-language/schema/raw/master/csl-citation.json"} </w:instrText>
      </w:r>
      <w:r w:rsidR="00AE32BB" w:rsidRPr="00A304CE">
        <w:rPr>
          <w:rFonts w:cstheme="minorHAnsi"/>
          <w:szCs w:val="22"/>
          <w:lang w:val="en-GB"/>
        </w:rPr>
        <w:fldChar w:fldCharType="separate"/>
      </w:r>
      <w:r w:rsidR="00F45764" w:rsidRPr="00F45764">
        <w:rPr>
          <w:rFonts w:ascii="Calibri"/>
          <w:lang w:val="en-US"/>
        </w:rPr>
        <w:t>(Bagnoli et al., 2019; Büchi et al., 2020; Piccarozzi et al., 2018)</w:t>
      </w:r>
      <w:r w:rsidR="00AE32BB" w:rsidRPr="00A304CE">
        <w:rPr>
          <w:rFonts w:cstheme="minorHAnsi"/>
          <w:szCs w:val="22"/>
          <w:lang w:val="en-GB"/>
        </w:rPr>
        <w:fldChar w:fldCharType="end"/>
      </w:r>
      <w:r w:rsidR="00D46EE6">
        <w:rPr>
          <w:rFonts w:cstheme="minorHAnsi"/>
          <w:szCs w:val="22"/>
          <w:lang w:val="en-GB"/>
        </w:rPr>
        <w:t xml:space="preserve">. </w:t>
      </w:r>
    </w:p>
    <w:p w14:paraId="6AEB9013" w14:textId="12FE5CED" w:rsidR="00C44198" w:rsidRPr="00B03A7D" w:rsidRDefault="00BB01BB" w:rsidP="00053E77">
      <w:pPr>
        <w:rPr>
          <w:rFonts w:cstheme="minorHAnsi"/>
          <w:szCs w:val="22"/>
        </w:rPr>
      </w:pPr>
      <w:r>
        <w:rPr>
          <w:rFonts w:cstheme="minorHAnsi"/>
          <w:szCs w:val="22"/>
          <w:lang w:val="en-GB"/>
        </w:rPr>
        <w:t>Additionally, u</w:t>
      </w:r>
      <w:r w:rsidR="00AE32BB" w:rsidRPr="00FB24FC">
        <w:rPr>
          <w:rFonts w:cstheme="minorHAnsi"/>
          <w:szCs w:val="22"/>
          <w:lang w:val="en-GB"/>
        </w:rPr>
        <w:t xml:space="preserve">sing </w:t>
      </w:r>
      <w:r w:rsidR="00AE32BB">
        <w:rPr>
          <w:rFonts w:cstheme="minorHAnsi"/>
          <w:szCs w:val="22"/>
          <w:lang w:val="en-GB"/>
        </w:rPr>
        <w:t>industry 4.0</w:t>
      </w:r>
      <w:r w:rsidR="00AE32BB" w:rsidRPr="00FB24FC">
        <w:rPr>
          <w:rFonts w:cstheme="minorHAnsi"/>
          <w:szCs w:val="22"/>
          <w:lang w:val="en-GB"/>
        </w:rPr>
        <w:t xml:space="preserve">, companies </w:t>
      </w:r>
      <w:r>
        <w:rPr>
          <w:rFonts w:cstheme="minorHAnsi"/>
          <w:szCs w:val="22"/>
          <w:lang w:val="en-GB"/>
        </w:rPr>
        <w:t>can</w:t>
      </w:r>
      <w:r w:rsidR="00AE32BB" w:rsidRPr="00FB24FC">
        <w:rPr>
          <w:rFonts w:cstheme="minorHAnsi"/>
          <w:szCs w:val="22"/>
          <w:lang w:val="en-GB"/>
        </w:rPr>
        <w:t xml:space="preserve"> activate projects and environmental management systems aimed at energy saving, safeguarding the territory and conserving the planet</w:t>
      </w:r>
      <w:r w:rsidR="00106633">
        <w:rPr>
          <w:rFonts w:cstheme="minorHAnsi"/>
          <w:szCs w:val="22"/>
          <w:lang w:val="en-GB"/>
        </w:rPr>
        <w:t>'</w:t>
      </w:r>
      <w:r w:rsidR="00AE32BB" w:rsidRPr="00FB24FC">
        <w:rPr>
          <w:rFonts w:cstheme="minorHAnsi"/>
          <w:szCs w:val="22"/>
          <w:lang w:val="en-GB"/>
        </w:rPr>
        <w:t xml:space="preserve">s natural resources </w:t>
      </w:r>
      <w:r w:rsidR="00AE32BB" w:rsidRPr="00FB24FC">
        <w:rPr>
          <w:rFonts w:cstheme="minorHAnsi"/>
          <w:szCs w:val="22"/>
          <w:lang w:val="en-GB"/>
        </w:rPr>
        <w:fldChar w:fldCharType="begin"/>
      </w:r>
      <w:r w:rsidR="00F45764">
        <w:rPr>
          <w:rFonts w:cstheme="minorHAnsi"/>
          <w:szCs w:val="22"/>
          <w:lang w:val="en-GB"/>
        </w:rPr>
        <w:instrText xml:space="preserve"> ADDIN ZOTERO_ITEM CSL_CITATION {"citationID":"j2myvo1D","properties":{"formattedCitation":"(Oliveira et al., 2016)","plainCitation":"(Oliveira et al., 2016)","noteIndex":0},"citationItems":[{"id":6857,"uris":["http://zotero.org/users/5243184/items/2RFUAEG8"],"uri":["http://zotero.org/users/5243184/items/2RFUAEG8"],"itemData":{"id":6857,"type":"article-journal","abstract":"The Environmental Management System of ISO 14001 stands out as one of the most widely used systems for managing corporate environmental aspects and processes and the Cleaner Production is a proactive environmental strategy that has remarkably positive results in environmental corporate management. The principal aim of this article was to identify and analyze the influence relations of the ISO 14001 Environmental Management System to the Cleaner Production through a survey-based research. The maturity and the phases of planning and discipline are key factors for the systematization and continuity of Cleaner Production practices. The stages of Planning, Evaluation and Feasibility Study, and Implementation were identified as the main stages of CP fostered by the ISO 14001 Environmental Management System.","container-title":"Journal of Cleaner Production","DOI":"10.1016/j.jclepro.2016.06.013","ISSN":"0959-6526","journalAbbreviation":"Journal of Cleaner Production","language":"en","page":"1384-1394","source":"ScienceDirect","title":"Environmental Management System ISO 14001 factors for promoting the adoption of Cleaner Production practices","volume":"133","author":[{"family":"Oliveira","given":"José Augusto"},{"family":"Oliveira","given":"Otávio J."},{"family":"Ometto","given":"Aldo R."},{"family":"Ferraudo","given":"Antônio S."},{"family":"Salgado","given":"Manoel H."}],"issued":{"date-parts":[["2016",10,1]]}}}],"schema":"https://github.com/citation-style-language/schema/raw/master/csl-citation.json"} </w:instrText>
      </w:r>
      <w:r w:rsidR="00AE32BB" w:rsidRPr="00FB24FC">
        <w:rPr>
          <w:rFonts w:cstheme="minorHAnsi"/>
          <w:szCs w:val="22"/>
          <w:lang w:val="en-GB"/>
        </w:rPr>
        <w:fldChar w:fldCharType="separate"/>
      </w:r>
      <w:r w:rsidR="00802E14">
        <w:rPr>
          <w:rFonts w:cstheme="minorHAnsi"/>
          <w:noProof/>
          <w:szCs w:val="22"/>
          <w:lang w:val="en-GB"/>
        </w:rPr>
        <w:t>(Oliveira et al., 2016)</w:t>
      </w:r>
      <w:r w:rsidR="00AE32BB" w:rsidRPr="00FB24FC">
        <w:rPr>
          <w:rFonts w:cstheme="minorHAnsi"/>
          <w:szCs w:val="22"/>
          <w:lang w:val="en-GB"/>
        </w:rPr>
        <w:fldChar w:fldCharType="end"/>
      </w:r>
      <w:r w:rsidR="00AE32BB" w:rsidRPr="00FB24FC">
        <w:rPr>
          <w:rFonts w:cstheme="minorHAnsi"/>
          <w:szCs w:val="22"/>
          <w:lang w:val="en-GB"/>
        </w:rPr>
        <w:t xml:space="preserve">. Often, this leads to the creation of new business models based on the sustainability of corporate actions </w:t>
      </w:r>
      <w:r w:rsidR="00AE32BB" w:rsidRPr="00FB24FC">
        <w:rPr>
          <w:rFonts w:cstheme="minorHAnsi"/>
          <w:szCs w:val="22"/>
          <w:lang w:val="en-GB"/>
        </w:rPr>
        <w:fldChar w:fldCharType="begin"/>
      </w:r>
      <w:r w:rsidR="008228A8">
        <w:rPr>
          <w:rFonts w:cstheme="minorHAnsi"/>
          <w:szCs w:val="22"/>
          <w:lang w:val="en-GB"/>
        </w:rPr>
        <w:instrText xml:space="preserve"> ADDIN ZOTERO_ITEM CSL_CITATION {"citationID":"1J9pmVu9","properties":{"formattedCitation":"(Dal Mas et al., 2020; Maurizio Massaro et al., 2020; Tunn et al., 2019)","plainCitation":"(Dal Mas et al., 2020; Maurizio Massaro et al., 2020; Tunn et al., 2019)","dontUpdate":true,"noteIndex":0},"citationItems":[{"id":7046,"uris":["http://zotero.org/users/5243184/items/43HLS9BF"],"uri":["http://zotero.org/users/5243184/items/43HLS9BF"],"itemData":{"id":7046,"type":"article-magazine","container-title":"Journal of Business Models","issue":"2","page":"31-38","title":"Can the Blockchain Lead to New Sustainable Business Models?","volume":"8","author":[{"family":"Dal Mas","given":"Francesca"},{"family":"Massaro","given":"Maurizio"},{"family":"Verde","given":"M."},{"family":"Cobianchi","given":"L."}],"issued":{"date-parts":[["2020"]]}}},{"id":7041,"uris":["http://zotero.org/users/5243184/items/SBUYPRWK"],"uri":["http://zotero.org/users/5243184/items/SBUYPRWK"],"itemData":{"id":7041,"type":"article-journal","abstract":"The purpose of this article is to shed light on how the blockchain technology can lead to the creation of new sustainable business models (SBMs). The literature highlights the need to merge the sustainability perspective into business models, creating new SBMs. Using a case study methodology, the paper investigates how the blockchain can foster the creation of SBMs, thus exploring the following Research Question (RQ): How can blockchain facilitate the development of new SBM? The case represents an example of an SBM merging more theoretical definitions. The unique features of the blockchain foster inclusivity even in traditional sectors, allowing widespread distribution of the benefits for the community with a long-term orientation. Consequently, our study provides systematized evidence of how the blockchain can foster financial and social sustainability. This manuscript adds to the state-of-the-art literature on the application of emerging technologies to organizational sustainability by shedding light on real business case evidence.","container-title":"Corporate Social Responsibility and Environmental Management","DOI":"10.1002/csr.1954","ISSN":"1535-3966","issue":"n/a","language":"en","note":"_eprint: https://onlinelibrary.wiley.com/doi/pdf/10.1002/csr.1954","source":"Wiley Online Library","title":"Crypto-economy and new sustainable business models: Reflections and projections using a case study analysis","title-short":"Crypto-economy and new sustainable business models","URL":"http://onlinelibrary.wiley.com/doi/abs/10.1002/csr.1954","volume":"n/a","author":[{"family":"Massaro","given":"Maurizio"},{"family":"Mas","given":"Francesca Dal"},{"family":"Jabbour","given":"Charbel Jose Chiappetta"},{"family":"Bagnoli","given":"Carlo"}],"accessed":{"date-parts":[["2020",6,24]]},"issued":{"date-parts":[["2020"]]}}},{"id":6860,"uris":["http://zotero.org/users/5243184/items/6B5S75LM"],"uri":["http://zotero.org/users/5243184/items/6B5S75LM"],"itemData":{"id":6860,"type":"article-journal","abstract":"Combining sustainable consumption with the circular economy concept could help tackle challenges, such as resource scarcity and climate change by reducing resource throughput and increasing cycling of products and materials within the economic system, thereby reducing emissions and virgin material use. To achieve sustainable consumption in a circular economy production and consumption practices need to change. Business models can potentially influence both practices as it defines how a company conducts business and shapes the company-consumer relationship. This paper developed future business models for sustainable consumption through two rounds of semi-structured interviews with experts from academia, industry, and policy. During the first int</w:instrText>
      </w:r>
      <w:r w:rsidR="008228A8" w:rsidRPr="008228A8">
        <w:rPr>
          <w:rFonts w:cstheme="minorHAnsi"/>
          <w:szCs w:val="22"/>
        </w:rPr>
        <w:instrText xml:space="preserve">erview round, four business model elements that are important for sustainable consumption were identified: Resource strategy, Revenue model, Consumer effort, and Objective to (decrease/increase) consumption level. Based on these elements, we developed a comprehensive business model framework. Using this framework, experts envisioned future business models for sustainable consumption of clothing during the second interview round. The findings of this study suggest that the most promising business models for sustainable consumption are those that reduce overall consumption levels and consumer effort. Further, we found that a diverse range of business models in the market can potentially enable different customer segments to consume sustainably.","container-title":"Journal of Cleaner Production","DOI":"10.1016/j.jclepro.2018.11.290","ISSN":"0959-6526","journalAbbreviation":"Journal of Cleaner Production","language":"en","page":"324-333","source":"ScienceDirect","title":"Business models for sustainable consumption in the circular economy: An expert study","title-short":"Business models for sustainable consumption in the circular economy","volume":"212","author":[{"family":"Tunn","given":"V. S. C."},{"family":"Bocken","given":"N. M. P."},{"family":"Hende","given":"E. A.","non-dropping-particle":"van den"},{"family":"Schoormans","given":"J. P. L."}],"issued":{"date-parts":[["2019",3,1]]}}}],"schema":"https://github.com/citation-style-language/schema/raw/master/csl-citation.json"} </w:instrText>
      </w:r>
      <w:r w:rsidR="00AE32BB" w:rsidRPr="00FB24FC">
        <w:rPr>
          <w:rFonts w:cstheme="minorHAnsi"/>
          <w:szCs w:val="22"/>
          <w:lang w:val="en-GB"/>
        </w:rPr>
        <w:fldChar w:fldCharType="separate"/>
      </w:r>
      <w:r w:rsidR="008228A8" w:rsidRPr="008228A8">
        <w:rPr>
          <w:rFonts w:cstheme="minorHAnsi"/>
          <w:noProof/>
          <w:szCs w:val="22"/>
        </w:rPr>
        <w:t>(Dal Mas et al., 2020; Massaro et al., 2020; Tunn et al., 2019)</w:t>
      </w:r>
      <w:r w:rsidR="00AE32BB" w:rsidRPr="00FB24FC">
        <w:rPr>
          <w:rFonts w:cstheme="minorHAnsi"/>
          <w:szCs w:val="22"/>
          <w:lang w:val="en-GB"/>
        </w:rPr>
        <w:fldChar w:fldCharType="end"/>
      </w:r>
      <w:r w:rsidR="00AE32BB" w:rsidRPr="008228A8">
        <w:rPr>
          <w:rFonts w:cstheme="minorHAnsi"/>
          <w:szCs w:val="22"/>
        </w:rPr>
        <w:t xml:space="preserve">. </w:t>
      </w:r>
      <w:r w:rsidR="00AE32BB" w:rsidRPr="00C9084B">
        <w:rPr>
          <w:rFonts w:cstheme="minorHAnsi"/>
          <w:szCs w:val="22"/>
          <w:lang w:val="en-GB"/>
        </w:rPr>
        <w:t>The change in the organi</w:t>
      </w:r>
      <w:r w:rsidR="00527C14">
        <w:rPr>
          <w:rFonts w:cstheme="minorHAnsi"/>
          <w:szCs w:val="22"/>
          <w:lang w:val="en-GB"/>
        </w:rPr>
        <w:t>s</w:t>
      </w:r>
      <w:r w:rsidR="00AE32BB" w:rsidRPr="00C9084B">
        <w:rPr>
          <w:rFonts w:cstheme="minorHAnsi"/>
          <w:szCs w:val="22"/>
          <w:lang w:val="en-GB"/>
        </w:rPr>
        <w:t xml:space="preserve">ational strategies of companies is also an essential element. In fact, according to </w:t>
      </w:r>
      <w:r w:rsidR="00AE32BB" w:rsidRPr="00C9084B">
        <w:rPr>
          <w:rFonts w:cstheme="minorHAnsi"/>
          <w:szCs w:val="22"/>
          <w:lang w:val="en-GB"/>
        </w:rPr>
        <w:fldChar w:fldCharType="begin"/>
      </w:r>
      <w:r w:rsidR="00F45764">
        <w:rPr>
          <w:rFonts w:cstheme="minorHAnsi"/>
          <w:szCs w:val="22"/>
          <w:lang w:val="en-GB"/>
        </w:rPr>
        <w:instrText xml:space="preserve"> ADDIN ZOTERO_ITEM CSL_CITATION {"citationID":"QqW2FIMh","properties":{"formattedCitation":"(Kleme\\uc0\\u353{} et al., 2012)","plainCitation":"(Klemeš et al., 2012)","dontUpdate":true,"noteIndex":0},"citationItems":[{"id":6851,"uris":["http://zotero.org/users/5243184/items/FX9M2A7W"],"uri":["http://zotero.org/users/5243184/items/FX9M2A7W"],"itemData":{"id":6851,"type":"article-journal","abstract":"There is a growing understanding that environmental challenges, which mankind is facing cannot be solved by technological or societal sciences alone. An integrated, multi-disciplinary approach is needed, which combines the strengths of new advances in Cleaner Production technologies and political implementation of the policies and programs that are designed to help to ensure sustainable societal development based upon healthy eco-systems. With this aim in mind the organisers of the 14th International Conference on Process Integration, Modelling and Optimisation for Energy Saving and Pollution Reduction – PRES’11 – and the Editor &amp; Publishers of the Journal of Cleaner Production joined efforts in developing this Special Issue. The main topics include environmental impact assessments, footprint assessment tools, new developments in biofuels and hydrogen production and sustainable consumption. A major section is also devoted to the increasingly important area of CO2 minimisation. The final part addresses recent advances in electrical vehicles. Key conclusions and future trends include: Cleaner production is a more and more important part of the planning, design, operation and management in all industrial sectors. To assess and evaluate progress towards more sustainable systems, it is essential that proper monitoring of the environmental and social impacts is done on a regular basis and that the results are used to help focusing societal attention on ways to make further improvements towards sustainable societal lifestyles. Key CO2-related aspects are avoidance, reuse, mitigation and minimisation. The preferred option of cleaner production is prevention or minimisation by better product design, process optimisation, monitoring, training and management combined with improved governmental policies that are uniformly enforced for all industrial and business facilities. An inter-linked research field, which is receiving increasing attention is energy storage related to electrical cars. They have the potential to merge several interesting options related to smart grids by using networks of car batteries for low, extra investment, electricity storage. It is anticipated that they, as well as various other opportunities, for cleaner transport will receive more attention in the coming decade.","collection-title":"Recent Cleaner Production Advances in Process Monitoring and Optimisation","container-title":"Journal of Cleaner Production","DOI":"10.1016/j.jclepro.2012.04.026","ISSN":"0959-6526","journalAbbreviation":"Journal of Cleaner Production","language":"en","page":"1-8","source":"ScienceDirect","title":"Recent cleaner production advances in process monitoring and optimisation","volume":"34","author":[{"family":"Klemeš","given":"Jiří Jaromír"},{"family":"Varbanov","given":"Petar Sabev"},{"family":"Huisingh","given":"Donald"}],"issued":{"date-parts":[["2012",10,1]]}}}],"schema":"https://github.com/citation-style-language/schema/raw/master/csl-citation.json"} </w:instrText>
      </w:r>
      <w:r w:rsidR="00AE32BB" w:rsidRPr="00C9084B">
        <w:rPr>
          <w:rFonts w:cstheme="minorHAnsi"/>
          <w:szCs w:val="22"/>
          <w:lang w:val="en-GB"/>
        </w:rPr>
        <w:fldChar w:fldCharType="separate"/>
      </w:r>
      <w:r w:rsidR="00AE32BB" w:rsidRPr="00C9084B">
        <w:rPr>
          <w:rFonts w:cstheme="minorHAnsi"/>
          <w:szCs w:val="22"/>
          <w:lang w:val="en-GB"/>
        </w:rPr>
        <w:t>Klemeš et al. (2012)</w:t>
      </w:r>
      <w:r w:rsidR="00AE32BB" w:rsidRPr="00C9084B">
        <w:rPr>
          <w:rFonts w:cstheme="minorHAnsi"/>
          <w:szCs w:val="22"/>
          <w:lang w:val="en-GB"/>
        </w:rPr>
        <w:fldChar w:fldCharType="end"/>
      </w:r>
      <w:r w:rsidR="00AE32BB" w:rsidRPr="00C9084B">
        <w:rPr>
          <w:rFonts w:cstheme="minorHAnsi"/>
          <w:szCs w:val="22"/>
          <w:lang w:val="en-GB"/>
        </w:rPr>
        <w:t>, cleaner production will also have to consider an integrated and multidisciplinary approach that integrates and coordinates advances in technology.</w:t>
      </w:r>
      <w:r w:rsidR="00AE32BB">
        <w:rPr>
          <w:rFonts w:cstheme="minorHAnsi"/>
          <w:szCs w:val="22"/>
          <w:lang w:val="en-GB"/>
        </w:rPr>
        <w:t xml:space="preserve"> N</w:t>
      </w:r>
      <w:r w:rsidR="00AE32BB" w:rsidRPr="0088753A">
        <w:rPr>
          <w:rFonts w:cstheme="minorHAnsi"/>
          <w:szCs w:val="22"/>
          <w:lang w:val="en-GB"/>
        </w:rPr>
        <w:t xml:space="preserve">ew strategies require rethinking the product value chain by focusing on repair, recycling and product longevity </w:t>
      </w:r>
      <w:r w:rsidR="00AE32BB" w:rsidRPr="0088753A">
        <w:rPr>
          <w:rFonts w:cstheme="minorHAnsi"/>
          <w:szCs w:val="22"/>
          <w:lang w:val="en-GB"/>
        </w:rPr>
        <w:fldChar w:fldCharType="begin"/>
      </w:r>
      <w:r w:rsidR="00F45764">
        <w:rPr>
          <w:rFonts w:cstheme="minorHAnsi"/>
          <w:szCs w:val="22"/>
          <w:lang w:val="en-GB"/>
        </w:rPr>
        <w:instrText xml:space="preserve"> ADDIN ZOTERO_ITEM CSL_CITATION {"citationID":"JcIJAZRE","properties":{"formattedCitation":"(Man &amp; Strandhagen, 2017)","plainCitation":"(Man &amp; Strandhagen, 2017)","noteIndex":0},"citationItems":[{"id":6831,"uris":["http://zotero.org/users/5243184/items/Z2FU9CUB"],"uri":["http://zotero.org/users/5243184/items/Z2FU9CUB"],"itemData":{"id":6831,"type":"article-journal","abstract":"In the Industry 4.0 world that is digitalizing and automating, sustainable business models exist but have not become mainstream. Opportunities for sustainable offerings exist by designing products for longevity, repair and recycling, such that sustainability is not only focusing on being more efficient, but also on using less raw materials and recycling more products. This changes the value proposition, supply chain, relation with the customer and financial justification of a business model. This paper discusses potential sustainable business scenarios, and proposes an agenda for research into how Industry 4.0 can be used to create sustainable business models.","collection-title":"Manufacturing Systems 4.0 – Proceedings of the 50th CIRP Conference on Manufacturing Systems","container-title":"Procedia CIRP","DOI":"10.1016/j.procir.2017.03.315","ISSN":"2212-8271","journalAbbreviation":"Procedia CIRP","language":"en","page":"721-726","source":"ScienceDirect","title":"An Industry 4.0 Research Agenda for Sustainable Business Models","volume":"63","author":[{"family":"Man","given":"Johannes Cornelis","dropping-particle":"de"},{"family":"Strandhagen","given":"Jan Ola"}],"issued":{"date-parts":[["2017",1,1]]}}}],"schema":"https://github.com/citation-style-language/schema/raw/master/csl-citation.json"} </w:instrText>
      </w:r>
      <w:r w:rsidR="00AE32BB" w:rsidRPr="0088753A">
        <w:rPr>
          <w:rFonts w:cstheme="minorHAnsi"/>
          <w:szCs w:val="22"/>
          <w:lang w:val="en-GB"/>
        </w:rPr>
        <w:fldChar w:fldCharType="separate"/>
      </w:r>
      <w:r w:rsidR="00802E14">
        <w:rPr>
          <w:rFonts w:cstheme="minorHAnsi"/>
          <w:noProof/>
          <w:szCs w:val="22"/>
          <w:lang w:val="en-GB"/>
        </w:rPr>
        <w:t>(Man &amp; Strandhagen, 2017)</w:t>
      </w:r>
      <w:r w:rsidR="00AE32BB" w:rsidRPr="0088753A">
        <w:rPr>
          <w:rFonts w:cstheme="minorHAnsi"/>
          <w:szCs w:val="22"/>
          <w:lang w:val="en-GB"/>
        </w:rPr>
        <w:fldChar w:fldCharType="end"/>
      </w:r>
      <w:r w:rsidR="00AE32BB" w:rsidRPr="0088753A">
        <w:rPr>
          <w:rFonts w:cstheme="minorHAnsi"/>
          <w:szCs w:val="22"/>
          <w:lang w:val="en-GB"/>
        </w:rPr>
        <w:t xml:space="preserve">, new materials, increased product flexibility, and supply chain innovations </w:t>
      </w:r>
      <w:r w:rsidR="00AE32BB" w:rsidRPr="0088753A">
        <w:rPr>
          <w:rFonts w:cstheme="minorHAnsi"/>
          <w:szCs w:val="22"/>
          <w:lang w:val="en-GB"/>
        </w:rPr>
        <w:fldChar w:fldCharType="begin"/>
      </w:r>
      <w:r w:rsidR="00F45764">
        <w:rPr>
          <w:rFonts w:cstheme="minorHAnsi"/>
          <w:szCs w:val="22"/>
          <w:lang w:val="en-GB"/>
        </w:rPr>
        <w:instrText xml:space="preserve"> ADDIN ZOTERO_ITEM CSL_CITATION {"citationID":"HyxrkJCR","properties":{"formattedCitation":"(Jin et al., 2017)","plainCitation":"(Jin et al., 2017)","noteIndex":0},"citationItems":[{"id":6846,"uris":["http://zotero.org/users/5243184/items/UJDZASFR"],"uri":["http://zotero.org/users/5243184/items/UJDZASFR"],"itemData":{"id":6846,"type":"article-journal","abstract":"Advanced manufacturing uses emerging technologies to critically enhance not only the economic competitiveness of individual manufacturers but also the sustainability of the whole industrial sector. New materials and technologies require new manufacturing processes and novel analytical models for process controls and parameter optimization regarding cost, reliability, quality, product flexibility, energy consumption, and fossil carbon emissions. The successful adoption of advanced manufacturing for sustainability can only be realized by following a systematic approach from concept development, product design and manufacturing to product delivery and service as well as in forward and reverse supply chain management. This special volume reports on progress of advanced manufacturing on sustainability improvements along the whole life cycle and covers the six themes: 1. Design theory and methodology for sustainability with advanced manufacturing; 2. Energy efficiency assessment and control of mechanical manufacturing systems; 3. Parameter optimization for advanced manufacturing and remanufacturing; 4. Low fossil-carbon process planning and production scheduling; 5. Integration of supply-chain innovations and advanced manufacturing; 6. Sustainable innovation for product-service systems. In addition, this SV introductory article, highlights future research directions, such as the need for energy consumption and emission data for advanced manufacturing processes, optimization models and control schemes, supply chain innovations, and product-service integration.","container-title":"Journal of Cleaner Production","DOI":"10.1016/j.jclepro.2017.05.101","ISSN":"0959-6526","journalAbbreviation":"Journal of Cleaner Production","language":"en","page":"69-74","source":"ScienceDirect","title":"Impact of advanced manufacturing on sustainability: An overview of the special volume on advanced manufacturing for sustainability and low fossil carbon emissions","title-short":"Impact of advanced manufacturing on sustainability","volume":"161","author":[{"family":"Jin","given":"Mingzhou"},{"family":"Tang","given":"Renzhong"},{"family":"Ji","given":"Yangjian"},{"family":"Liu","given":"Fei"},{"family":"Gao","given":"Liang"},{"family":"Huisingh","given":"Donald"}],"issued":{"date-parts":[["2017",9,10]]}}}],"schema":"https://github.com/citation-style-language/schema/raw/master/csl-citation.json"} </w:instrText>
      </w:r>
      <w:r w:rsidR="00AE32BB" w:rsidRPr="0088753A">
        <w:rPr>
          <w:rFonts w:cstheme="minorHAnsi"/>
          <w:szCs w:val="22"/>
          <w:lang w:val="en-GB"/>
        </w:rPr>
        <w:fldChar w:fldCharType="separate"/>
      </w:r>
      <w:r w:rsidR="00802E14">
        <w:rPr>
          <w:rFonts w:cstheme="minorHAnsi"/>
          <w:noProof/>
          <w:szCs w:val="22"/>
          <w:lang w:val="en-GB"/>
        </w:rPr>
        <w:t>(Jin et al., 2017)</w:t>
      </w:r>
      <w:r w:rsidR="00AE32BB" w:rsidRPr="0088753A">
        <w:rPr>
          <w:rFonts w:cstheme="minorHAnsi"/>
          <w:szCs w:val="22"/>
          <w:lang w:val="en-GB"/>
        </w:rPr>
        <w:fldChar w:fldCharType="end"/>
      </w:r>
      <w:r w:rsidR="00AE32BB" w:rsidRPr="0088753A">
        <w:rPr>
          <w:rFonts w:cstheme="minorHAnsi"/>
          <w:szCs w:val="22"/>
          <w:lang w:val="en-GB"/>
        </w:rPr>
        <w:t xml:space="preserve">. </w:t>
      </w:r>
      <w:r w:rsidR="00AE32BB" w:rsidRPr="00FB24FC">
        <w:rPr>
          <w:rFonts w:cstheme="minorHAnsi"/>
          <w:szCs w:val="22"/>
          <w:lang w:val="en-GB"/>
        </w:rPr>
        <w:t xml:space="preserve">Moreover, the need for a new economic course based on the </w:t>
      </w:r>
      <w:r w:rsidR="00106633">
        <w:rPr>
          <w:rFonts w:cstheme="minorHAnsi"/>
          <w:szCs w:val="22"/>
          <w:lang w:val="en-GB"/>
        </w:rPr>
        <w:t>"</w:t>
      </w:r>
      <w:r w:rsidR="00AE32BB" w:rsidRPr="00FB24FC">
        <w:rPr>
          <w:rFonts w:cstheme="minorHAnsi"/>
          <w:szCs w:val="22"/>
          <w:lang w:val="en-GB"/>
        </w:rPr>
        <w:t>circularity</w:t>
      </w:r>
      <w:r w:rsidR="00106633">
        <w:rPr>
          <w:rFonts w:cstheme="minorHAnsi"/>
          <w:szCs w:val="22"/>
          <w:lang w:val="en-GB"/>
        </w:rPr>
        <w:t>"</w:t>
      </w:r>
      <w:r w:rsidR="00AE32BB" w:rsidRPr="00FB24FC">
        <w:rPr>
          <w:rFonts w:cstheme="minorHAnsi"/>
          <w:szCs w:val="22"/>
          <w:lang w:val="en-GB"/>
        </w:rPr>
        <w:t xml:space="preserve"> of resources has been repeatedly underlined by scientific studies and the European Union (EU) </w:t>
      </w:r>
      <w:r w:rsidR="00B03A7D">
        <w:rPr>
          <w:rFonts w:cstheme="minorHAnsi"/>
          <w:szCs w:val="22"/>
          <w:lang w:val="en-GB"/>
        </w:rPr>
        <w:fldChar w:fldCharType="begin"/>
      </w:r>
      <w:r w:rsidR="00B03A7D">
        <w:rPr>
          <w:rFonts w:cstheme="minorHAnsi"/>
          <w:szCs w:val="22"/>
          <w:lang w:val="en-GB"/>
        </w:rPr>
        <w:instrText xml:space="preserve"> ADDIN ZOTERO_ITEM CSL_CITATION {"citationID":"k3a3f9He","properties":{"formattedCitation":"(Pazienza &amp; Lucia, 2020)","plainCitation":"(Pazienza &amp; Lucia, 2020)","noteIndex":0},"citationItems":[{"id":7098,"uris":["http://zotero.org/users/5243184/items/UZW7A77Z"],"uri":["http://zotero.org/users/5243184/items/UZW7A77Z"],"itemData":{"id":7098,"type":"article-journal","abstract":"After reviewing the main EU policy documents on the plastic waste issue, this work conceptualises an analysis framework to investigate farmers' attitudes to market-based tools (i.e., subsidies, tax-credits, and payback mechanisms in extended producer responsibility schemes) through which the introduction of an operational scheme for a better management of their plastic waste can be incentivised in line with the 2018 European Strategy for Plastics in a Circular Economy. A total number of 1,783 farmers responded to a purpose-built questionnaire. Results show that most of the plastic waste they produce is piping and packaging and that tax credit represents their most favoured incentivising tool.","container-title":"Business Strategy and the Environment","DOI":"10.1002/bse.2445","ISSN":"1099-0836","issue":"2","language":"en","note":"_eprint: https://onlinelibrary.wiley.com/doi/pdf/10.1002/bse.2445","page":"779-788","source":"Wiley Online Library","title":"The EU policy for a plastic economy: Reflections on a sectoral implementation strategy","title-short":"The EU policy for a plastic economy","volume":"29","author":[{"family":"Pazienza","given":"Pasquale"},{"family":"Lucia","given":"Caterina De"}],"issued":{"date-parts":[["2020"]]}}}],"schema":"https://github.com/citation-style-language/schema/raw/master/csl-citation.json"} </w:instrText>
      </w:r>
      <w:r w:rsidR="00B03A7D">
        <w:rPr>
          <w:rFonts w:cstheme="minorHAnsi"/>
          <w:szCs w:val="22"/>
          <w:lang w:val="en-GB"/>
        </w:rPr>
        <w:fldChar w:fldCharType="separate"/>
      </w:r>
      <w:r w:rsidR="00802E14">
        <w:rPr>
          <w:rFonts w:cstheme="minorHAnsi"/>
          <w:noProof/>
          <w:szCs w:val="22"/>
          <w:lang w:val="en-GB"/>
        </w:rPr>
        <w:t>(Pazienza &amp; Lucia, 2020)</w:t>
      </w:r>
      <w:r w:rsidR="00B03A7D">
        <w:rPr>
          <w:rFonts w:cstheme="minorHAnsi"/>
          <w:szCs w:val="22"/>
          <w:lang w:val="en-GB"/>
        </w:rPr>
        <w:fldChar w:fldCharType="end"/>
      </w:r>
      <w:r w:rsidR="00B03A7D">
        <w:rPr>
          <w:rFonts w:cstheme="minorHAnsi"/>
          <w:szCs w:val="22"/>
          <w:lang w:val="en-GB"/>
        </w:rPr>
        <w:t xml:space="preserve"> </w:t>
      </w:r>
      <w:r w:rsidR="00AE32BB" w:rsidRPr="00FB24FC">
        <w:rPr>
          <w:rFonts w:cstheme="minorHAnsi"/>
          <w:szCs w:val="22"/>
          <w:lang w:val="en-GB"/>
        </w:rPr>
        <w:t xml:space="preserve">to mitigate the impact of human activities on the environment </w:t>
      </w:r>
      <w:r w:rsidR="00AE32BB" w:rsidRPr="00FB24FC">
        <w:rPr>
          <w:rFonts w:cstheme="minorHAnsi"/>
          <w:szCs w:val="22"/>
          <w:lang w:val="en-GB"/>
        </w:rPr>
        <w:fldChar w:fldCharType="begin"/>
      </w:r>
      <w:r w:rsidR="00F45764">
        <w:rPr>
          <w:rFonts w:cstheme="minorHAnsi"/>
          <w:szCs w:val="22"/>
          <w:lang w:val="en-GB"/>
        </w:rPr>
        <w:instrText xml:space="preserve"> ADDIN ZOTERO_ITEM CSL_CITATION {"citationID":"wpNyqM53","properties":{"formattedCitation":"(Bakhshi &amp; Krajeski, 2007; European Commission, 2014, 2015; Secinaro, Brescia, Calandra, &amp; Saiti, 2020)","plainCitation":"(Bakhshi &amp; Krajeski, 2007; European Commission, 2014, 2015; Secinaro, Brescia, Calandra, &amp; Saiti, 2020)","noteIndex":0},"citationItems":[{"id":2283,"uris":["http://zotero.org/users/5243184/items/78R35U4T"],"uri":["http://zotero.org/users/5243184/items/78R35U4T"],"itemData":{"id":2283,"type":"article-journal","abstract":"How will the prospect of climate change affect your business in the midterm? A consolidated balance sheet for a company in the year 2010 suggests answers.","container-title":"Harvard Business Review","ISSN":"0017-8012","issue":"10","journalAbbreviation":"Harv. Bus. Rev.","language":"English","note":"WOS:000249682100009","page":"36-+","source":"Web of Science","title":"Accounting for climate change: A window on the future","title-short":"Accounting for climate change","volume":"85","author":[{"family":"Bakhshi","given":"Vicki"},{"family":"Krajeski","given":"Alexis"}],"issued":{"date-parts":[["2007",10]]}}},{"id":6988,"uris":["http://zotero.org/users/5243184/items/GIKISYRK"],"uri":["http://zotero.org/users/5243184/items/GIKISYRK"],"itemData":{"id":6988,"type":"article","language":"en","title":"Towards a Circular Economy– a Zero Waste Programme for Europe","URL":"http://icams.ro/icamsresurse/2018/proceedings/XI_Towards_Circular_Economy_04.pdf","author":[{"family":"European Commission","given":""}],"accessed":{"date-parts":[["2020",6,24]]},"issued":{"date-parts":[["2014"]]}}},{"id":6986,"uris":["http://zotero.org/users/5243184/items/UWI48F5P"],"uri":["http://zotero.org/users/5243184/items/UWI48F5P"],"itemData":{"id":6986,"type":"article-journal","language":"en","page":"12","source":"Zotero","title":"Closing the Loop of the Circular Economy Action Plan 2015-2019 CE goes global","author":[{"family":"European Commission","given":""}],"issued":{"date-parts":[["2015"]]}}},{"id":7039,"uris":["http://zotero.org/users/5243184/items/IMX3URX4"],"uri":["http://zotero.org/users/5243184/items/IMX3URX4"],"itemData":{"id":7039,"type":"article-journal","abstract":"This study examines the relationship between climate change and firm performance in the context of European publicly listed companies. We conduct a multivariate regression analysis using Corporate Environmental Performance and Corporate Financial Performance as independent and dependent variables, respectively. A financial statement analysis of European publicly traded firms with high environmental performance shows that they register high corporate financial performance. Environmental performance positively impacts financial performance (β = .013, p-value &lt; .01). Return on equity (ROE) is positively related to firm size and CE1 (carbon emissions) intensity but negatively linked to CE2, CE1 &amp; 2, and capital intensities. However, return on investment (ROI) is positively correlated with all the control variables, including capital intensity, firm size, and growth. The results confirm that the firm-wide adoption of environmental practices reduces environmental risks, and thereby lowers production costs and increases profits. These findings can guide policymakers and organizations pursuing climate change mitigation and sustainable business solutions.","container-title":"Corporate Social Responsibility and Environmental Management","DOI":"10.1002/csr.1971","ISSN":"1535-3966","issue":"n/a","language":"en","note":"_eprint: https://onlinelibrary.wiley.com/doi/pdf/10.1002/csr.1971","source":"Wiley Online Library","title":"Impact of climate change mitigation policies on corporate financial performance: Evidence-based on European publicly listed firms","title-short":"Impact of climate change mitigation policies on corporate financial performance","URL":"https://onlinelibrary.wiley.com/doi/abs/10.1002/csr.1971","volume":"n/a","author":[{"family":"Secinaro","given":"Silvana"},{"family":"Brescia","given":"Valerio"},{"family":"Calandra","given":"Davide"},{"family":"Saiti","given":"Buerhan"}],"accessed":{"date-parts":[["2020",6,24]]},"issued":{"date-parts":[["2020"]]}}}],"schema":"https://github.com/citation-style-language/schema/raw/master/csl-citation.json"} </w:instrText>
      </w:r>
      <w:r w:rsidR="00AE32BB" w:rsidRPr="00FB24FC">
        <w:rPr>
          <w:rFonts w:cstheme="minorHAnsi"/>
          <w:szCs w:val="22"/>
          <w:lang w:val="en-GB"/>
        </w:rPr>
        <w:fldChar w:fldCharType="separate"/>
      </w:r>
      <w:r w:rsidR="00802E14">
        <w:rPr>
          <w:rFonts w:ascii="Calibri" w:hAnsi="Calibri" w:cs="Calibri"/>
          <w:lang w:val="en-GB"/>
        </w:rPr>
        <w:t>(Bakhshi &amp; Krajeski, 2007; European Commission, 2014, 2015; Secinaro, Brescia, Calandra, &amp; Saiti, 2020)</w:t>
      </w:r>
      <w:r w:rsidR="00AE32BB" w:rsidRPr="00FB24FC">
        <w:rPr>
          <w:rFonts w:cstheme="minorHAnsi"/>
          <w:szCs w:val="22"/>
          <w:lang w:val="en-GB"/>
        </w:rPr>
        <w:fldChar w:fldCharType="end"/>
      </w:r>
      <w:r w:rsidR="00AE32BB">
        <w:rPr>
          <w:rFonts w:cstheme="minorHAnsi"/>
          <w:szCs w:val="22"/>
          <w:lang w:val="en-GB"/>
        </w:rPr>
        <w:t xml:space="preserve">. Therefore, the progressive use of the </w:t>
      </w:r>
      <w:r w:rsidR="00E9315B" w:rsidRPr="00F45764">
        <w:rPr>
          <w:rFonts w:cstheme="minorHAnsi"/>
          <w:szCs w:val="22"/>
          <w:lang w:val="en-GB"/>
        </w:rPr>
        <w:t>technolog</w:t>
      </w:r>
      <w:r w:rsidR="00AE32BB">
        <w:rPr>
          <w:rFonts w:cstheme="minorHAnsi"/>
          <w:szCs w:val="22"/>
          <w:lang w:val="en-GB"/>
        </w:rPr>
        <w:t xml:space="preserve">ies employed in </w:t>
      </w:r>
      <w:r w:rsidR="00872326">
        <w:rPr>
          <w:rFonts w:cstheme="minorHAnsi"/>
          <w:szCs w:val="22"/>
          <w:lang w:val="en-GB"/>
        </w:rPr>
        <w:t>I</w:t>
      </w:r>
      <w:r w:rsidR="00AE32BB">
        <w:rPr>
          <w:rFonts w:cstheme="minorHAnsi"/>
          <w:szCs w:val="22"/>
          <w:lang w:val="en-GB"/>
        </w:rPr>
        <w:t xml:space="preserve">ndustry 4.0 is </w:t>
      </w:r>
      <w:r w:rsidR="00E9315B" w:rsidRPr="00F45764">
        <w:rPr>
          <w:rFonts w:cstheme="minorHAnsi"/>
          <w:szCs w:val="22"/>
          <w:lang w:val="en-GB"/>
        </w:rPr>
        <w:t>advancing the process of transition from a linear economic system to a circular one</w:t>
      </w:r>
      <w:r w:rsidR="00C44198" w:rsidRPr="00F45764">
        <w:rPr>
          <w:rFonts w:cstheme="minorHAnsi"/>
          <w:szCs w:val="22"/>
          <w:lang w:val="en-GB"/>
        </w:rPr>
        <w:t xml:space="preserve"> </w:t>
      </w:r>
      <w:r w:rsidR="00C44198" w:rsidRPr="00F45764">
        <w:rPr>
          <w:rFonts w:cstheme="minorHAnsi"/>
          <w:szCs w:val="22"/>
          <w:lang w:val="en-GB"/>
        </w:rPr>
        <w:fldChar w:fldCharType="begin"/>
      </w:r>
      <w:r w:rsidR="00B03A7D">
        <w:rPr>
          <w:rFonts w:cstheme="minorHAnsi"/>
          <w:szCs w:val="22"/>
          <w:lang w:val="en-GB"/>
        </w:rPr>
        <w:instrText xml:space="preserve"> ADDIN ZOTERO_ITEM CSL_CITATION {"citationID":"SQem0z2n","properties":{"formattedCitation":"(Centobelli et al., 2020; Chen et al., 2020; Ferasso et al., 2020; Tunn et al., 2019)","plainCitation":"(Centobelli et al., 2020; Chen et al., 2020; Ferasso et al., 2020; Tunn et al., 2019)","noteIndex":0},"citationItems":[{"id":7101,"uris":["http://zotero.org/users/5243184/items/H2GD6ILQ"],"uri":["http://zotero.org/users/5243184/items/H2GD6ILQ"],"itemData":{"id":7101,"type":"article-journal","abstract":"The concept of circular economy is increasingly receiving attention in different domains, including strategic management, operations management, and technology management. It requires companies to design their business model (i.e., the value network, the relationships with the supply chain partners, and the value propositions towards customers) around a new concept of sustainable development that reduces consumption of natural resources and preserves the environment. However, extant research falls short in terms of explaining how companies design their business model according to the circular economy principles. Starting from this premise, the present paper provides a systematic review of the literature on the design of business models in the context of circular economy, aiming to offer an overview of the state of research and outline a promising research agenda.","container-title":"Business Strategy and the Environment","DOI":"10.1002/bse.2466","ISSN":"1099-0836","issue":"4","language":"en","note":"_eprint: https://onlinelibrary.wiley.com/doi/pdf/10.1002/bse.2466","page":"1734-1749","source":"Wiley Online Library","title":"Designing business models in circular economy: A systematic literature review and research agenda","title-short":"Designing business models in circular economy","volume":"29","author":[{"family":"Centobelli","given":"Piera"},{"family":"Cerchione","given":"Roberto"},{"family":"Chiaroni","given":"Davide"},{"family":"Vecchio","given":"Pasquale Del"},{"family":"Urbinati","given":"Andrea"}],"issued":{"date-parts":[["2020"]]}}},{"id":7104,"uris":["http://zotero.org/users/5243184/items/WWA2A9KT"],"uri":["http://zotero.org/users/5243184/items/WWA2A9KT"],"itemData":{"id":7104,"type":"article-journal","abstract":"Along with the concept of circular economy growing worldwide, circular business models (CBMs) have been receiving ever greater attention in both the business sector and academia. However, the existing literature on the CBM is scattered and fragmented; this study offers an integrated firm-level framework to link CBM typologies, the circular economy transition process, and relevant tools for CBM development and clarifies the positioning and roles of those tools in the process. In response to the fragmentation issue, results of this study are presented in three subtopics: (a) CBM typologies and archetypes, (b) transition guidelines, and (c) major analytical tools for CBM research. The roles and functions of CBM typologies and tools were integrated in different stages of the transition process, and the challenges and shortfalls for CBM research in the various stages were identified. This work lays the foundation for future operational studies.","container-title":"Business Strategy and the Environment","DOI":"10.1002/bse.2477","ISSN":"1099-0836","issue":"5","language":"en","note":"_eprint: https://onlinelibrary.wiley.com/doi/pdf/10.1002/bse.2477","page":"1887-1898","source":"Wiley Online Library","title":"Integrating circular business models and development tools in the circular economy transition process: A firm-level framework","title-short":"Integrating circular business models and development tools in the circular economy transition process","volume":"29","author":[{"family":"Chen","given":"Li-Heng"},{"family":"Hung","given":"Peiying"},{"family":"Ma","given":"Hwong-wen"}],"issued":{"date-parts":[["2020"]]}}},{"id":7107,"uris":["http://zotero.org/users/5243184/items/2P4WRZ3X"],"uri":["http://zotero.org/users/5243184/items/2P4WRZ3X"],"itemData":{"id":7107,"type":"article-journal","abstract":"This study investigates how the circular economy and business models are related in the current business and management literature. Based on bibliometric analytical procedures, 253 articles were retrieved from the Scopus, Web of Science, and ScienceDirect scientific databases. The articles were analyzed according to network analysis principles, and key terms were mapped into a network. We used VOSviewer to build the network, explore the most-researched terms and their relationships, and identify less-explored terms and research gaps. We furthermore conducted a qualitative review of selected publications to provide an illustration of quantitative results and delve deeper into the research topics. The main findings revealed the networks of current topics as they appear in the publications such as business models, the circular economy, circular business models, value, supply chain, transition, resource, waste, and reuse, and their most prevalent relationships. The results also highlighted several emerging topics such as those connected with managerial, supply-side, demand-side, networking, performance, and contextual considerations of circular business models.","container-title":"Business Strategy and the Environment","DOI":"10.1002/bse.2554","ISSN":"1099-0836","issue":"n/a","language":"en","note":"_eprint: https://onlinelibrary.wiley.com/doi/pdf/10.1002/bse.2554","source":"Wiley Online Library","title":"Circular economy business models: The state of research and avenues ahead","title-short":"Circular economy business models","URL":"https://onlinelibrary.wiley.com/doi/abs/10.1002/bse.2554","volume":"n/a","author":[{"family":"Ferasso","given":"Marcos"},{"family":"Beliaeva","given":"Tatiana"},{"family":"Kraus","given":"Sascha"},{"family":"Clauss","given":"Thomas"},{"family":"Ribeiro‐Soriano","given":"Domingo"}],"accessed":{"date-parts":[["2020",7,9]]},"issued":{"date-parts":[["2020"]]}}},{"id":6860,"uris":["http://zotero.org/users/5243184/items/6B5S75LM"],"uri":["http://zotero.org/users/5243184/items/6B5S75LM"],"itemData":{"id":6860,"type":"article-journal","abstract":"Combining sustainable consumption with the circular economy concept could help tackle challenges, such as resource scarcity and climate change by reducing resource throughput and increasing cycling of products and materials within the economic system, thereby reducing emissions and virgin material use. To achieve sustainable consumption in a circular economy production and consumption practices need to change. Business models can potentially influence both practices as it defines how a company conducts business and shapes the company-consumer relationship. This paper developed future business models for sustainable consumption through two rounds of semi-structured interviews with experts from academia, industry, and policy. During the first int</w:instrText>
      </w:r>
      <w:r w:rsidR="00B03A7D" w:rsidRPr="00B03A7D">
        <w:rPr>
          <w:rFonts w:cstheme="minorHAnsi"/>
          <w:szCs w:val="22"/>
        </w:rPr>
        <w:instrText xml:space="preserve">erview round, four business model elements that are important for sustainable consumption were identified: Resource strategy, Revenue model, Consumer effort, and Objective to (decrease/increase) consumption level. Based on these elements, we developed a comprehensive business model framework. Using this framework, experts envisioned future business models for sustainable consumption of clothing during the second interview round. The findings of this study suggest that the most promising business models for sustainable consumption are those that reduce overall consumption levels and consumer effort. Further, we found that a diverse range of business models in the market can potentially enable different customer segments to consume sustainably.","container-title":"Journal of Cleaner Production","DOI":"10.1016/j.jclepro.2018.11.290","ISSN":"0959-6526","journalAbbreviation":"Journal of Cleaner Production","language":"en","page":"324-333","source":"ScienceDirect","title":"Business models for sustainable consumption in the circular economy: An expert study","title-short":"Business models for sustainable consumption in the circular economy","volume":"212","author":[{"family":"Tunn","given":"V. S. C."},{"family":"Bocken","given":"N. M. P."},{"family":"Hende","given":"E. A.","non-dropping-particle":"van den"},{"family":"Schoormans","given":"J. P. L."}],"issued":{"date-parts":[["2019",3,1]]}}}],"schema":"https://github.com/citation-style-language/schema/raw/master/csl-citation.json"} </w:instrText>
      </w:r>
      <w:r w:rsidR="00C44198" w:rsidRPr="00F45764">
        <w:rPr>
          <w:rFonts w:cstheme="minorHAnsi"/>
          <w:szCs w:val="22"/>
          <w:lang w:val="en-GB"/>
        </w:rPr>
        <w:fldChar w:fldCharType="separate"/>
      </w:r>
      <w:r w:rsidR="00802E14">
        <w:rPr>
          <w:rFonts w:cstheme="minorHAnsi"/>
          <w:noProof/>
          <w:szCs w:val="22"/>
        </w:rPr>
        <w:t>(Centobelli et al., 2020; Chen et al., 2020; Ferasso et al., 2020; Tunn et al., 2019)</w:t>
      </w:r>
      <w:r w:rsidR="00C44198" w:rsidRPr="00F45764">
        <w:rPr>
          <w:rFonts w:cstheme="minorHAnsi"/>
          <w:szCs w:val="22"/>
          <w:lang w:val="en-GB"/>
        </w:rPr>
        <w:fldChar w:fldCharType="end"/>
      </w:r>
      <w:r w:rsidR="00EA0388" w:rsidRPr="00B03A7D">
        <w:rPr>
          <w:rFonts w:cstheme="minorHAnsi"/>
          <w:szCs w:val="22"/>
        </w:rPr>
        <w:t xml:space="preserve">. </w:t>
      </w:r>
    </w:p>
    <w:p w14:paraId="0F8DBCC7" w14:textId="13EA1531" w:rsidR="00AE32BB" w:rsidRPr="00C0544D" w:rsidRDefault="00AE32BB" w:rsidP="00AE32BB">
      <w:pPr>
        <w:rPr>
          <w:rFonts w:cstheme="minorHAnsi"/>
          <w:szCs w:val="22"/>
          <w:lang w:val="en-GB"/>
        </w:rPr>
      </w:pPr>
      <w:r w:rsidRPr="00C0544D">
        <w:rPr>
          <w:rFonts w:cstheme="minorHAnsi"/>
          <w:szCs w:val="22"/>
          <w:lang w:val="en-GB"/>
        </w:rPr>
        <w:lastRenderedPageBreak/>
        <w:t xml:space="preserve">Numerous studies deal with the </w:t>
      </w:r>
      <w:r w:rsidR="00872326">
        <w:rPr>
          <w:rFonts w:cstheme="minorHAnsi"/>
          <w:szCs w:val="22"/>
          <w:lang w:val="en-GB"/>
        </w:rPr>
        <w:t>C</w:t>
      </w:r>
      <w:r w:rsidR="00BB01BB">
        <w:rPr>
          <w:rFonts w:cstheme="minorHAnsi"/>
          <w:szCs w:val="22"/>
          <w:lang w:val="en-GB"/>
        </w:rPr>
        <w:t xml:space="preserve">ircular </w:t>
      </w:r>
      <w:r w:rsidR="00106633">
        <w:rPr>
          <w:rFonts w:cstheme="minorHAnsi"/>
          <w:szCs w:val="22"/>
          <w:lang w:val="en-GB"/>
        </w:rPr>
        <w:t>E</w:t>
      </w:r>
      <w:r w:rsidR="00BB01BB">
        <w:rPr>
          <w:rFonts w:cstheme="minorHAnsi"/>
          <w:szCs w:val="22"/>
          <w:lang w:val="en-GB"/>
        </w:rPr>
        <w:t>conomy (</w:t>
      </w:r>
      <w:r w:rsidRPr="00C0544D">
        <w:rPr>
          <w:rFonts w:cstheme="minorHAnsi"/>
          <w:szCs w:val="22"/>
          <w:lang w:val="en-GB"/>
        </w:rPr>
        <w:t>CE</w:t>
      </w:r>
      <w:r w:rsidR="00BB01BB">
        <w:rPr>
          <w:rFonts w:cstheme="minorHAnsi"/>
          <w:szCs w:val="22"/>
          <w:lang w:val="en-GB"/>
        </w:rPr>
        <w:t>)</w:t>
      </w:r>
      <w:r w:rsidRPr="00C0544D">
        <w:rPr>
          <w:rFonts w:cstheme="minorHAnsi"/>
          <w:szCs w:val="22"/>
          <w:lang w:val="en-GB"/>
        </w:rPr>
        <w:t xml:space="preserve"> in a period of resource reduction and more considerable attention to sustainable development policies and practices </w:t>
      </w:r>
      <w:r w:rsidRPr="00C0544D">
        <w:rPr>
          <w:rFonts w:cstheme="minorHAnsi"/>
          <w:szCs w:val="22"/>
          <w:lang w:val="en-GB"/>
        </w:rPr>
        <w:fldChar w:fldCharType="begin"/>
      </w:r>
      <w:r w:rsidR="00F45764">
        <w:rPr>
          <w:rFonts w:cstheme="minorHAnsi"/>
          <w:szCs w:val="22"/>
          <w:lang w:val="en-GB"/>
        </w:rPr>
        <w:instrText xml:space="preserve"> ADDIN ZOTERO_ITEM CSL_CITATION {"citationID":"PNKA6uJR","properties":{"formattedCitation":"(Geissdoerfer et al., 2017; Prieto-Sandoval et al., 2018)","plainCitation":"(Geissdoerfer et al., 2017; Prieto-Sandoval et al., 2018)","noteIndex":0},"citationItems":[{"id":6979,"uris":["http://zotero.org/users/5243184/items/A7ILCCBA"],"uri":["http://zotero.org/users/5243184/items/A7ILCCBA"],"itemData":{"id":6979,"type":"article-journal","abstract":"While the terms Circular Economy and sustainability are increasingly gaining traction with academia, industry, and policymakers, the similarities and differences between both concepts remain ambiguous. The relationship between the concepts is not made explicit in literature, which is blurring their conceptual contours and constrains the efficacy of using the approaches in research and practice. This research addresses this gap and aims to provide conceptual clarity by distinguishing the terms and synthesising the different types of relationships between them. We conducted an extensive literature review, employing bibliometric analysis and snowballing techniques to investigate the state of the art in the field and synthesise the similarities, differences and relationships between both terms. We identified eight different relationship types in the literature and illustrated the most evident similarities and differences between both concepts.","container-title":"Journal of Cleaner Production","DOI":"10.1016/j.jclepro.2016.12.048","ISSN":"0959-6526","journalAbbreviation":"Journal of Cleaner Production","language":"en","page":"757-768","source":"ScienceDirect","title":"The Circular Economy – A new sustainability paradigm?","volume":"143","author":[{"family":"Geissdoerfer","given":"Martin"},{"family":"Savaget","given":"Paulo"},{"family":"Bocken","given":"Nancy M. P."},{"family":"Hultink","given":"Erik Jan"}],"issued":{"date-parts":[["2017",2,1]]}}},{"id":6982,"uris":["http://zotero.org/users/5243184/items/8P4GQAAJ"],"uri":["http://zotero.org/users/5243184/items/8P4GQAAJ"],"itemData":{"id":6982,"type":"article-journal","abstract":"The growing importance of the concept of the circular economy as a way to attain sustainable development has encouraged scholars to propose different ways to understand it. Given the large number of studies done on the circular economy, their differing approaches and their multiple applications, this paper attempts to propose a consensus view of the basic notions of the circular economy framework and highlight its relationship with eco-innovation. To that end, this study carried out a systematic literature review that resulted in four main outputs: a knowledge map of the circular economy, an analysis of the main notions of the concept, principles, and determinants of a circular economy. Finally, this study brings to light some remarkable examples of eco-innovations developed for implementation in the circular economy.","container-title":"Journal of Cleaner Production","DOI":"10.1016/j.jclepro.2017.12.224","ISSN":"0959-6526","journalAbbreviation":"Journal of Cleaner Production","language":"en","page":"605-615","source":"ScienceDirect","title":"Towards a consensus on the circular economy","volume":"179","author":[{"family":"Prieto-Sandoval","given":"Vanessa"},{"family":"Jaca","given":"Carmen"},{"family":"Ormazabal","given":"Marta"}],"issued":{"date-parts":[["2018",4,1]]}}}],"schema":"https://github.com/citation-style-language/schema/raw/master/csl-citation.json"} </w:instrText>
      </w:r>
      <w:r w:rsidRPr="00C0544D">
        <w:rPr>
          <w:rFonts w:cstheme="minorHAnsi"/>
          <w:szCs w:val="22"/>
          <w:lang w:val="en-GB"/>
        </w:rPr>
        <w:fldChar w:fldCharType="separate"/>
      </w:r>
      <w:r w:rsidR="00802E14">
        <w:rPr>
          <w:rFonts w:cstheme="minorHAnsi"/>
          <w:noProof/>
          <w:szCs w:val="22"/>
          <w:lang w:val="en-GB"/>
        </w:rPr>
        <w:t>(Geissdoerfer et al., 2017; Prieto-Sandoval et al., 2018)</w:t>
      </w:r>
      <w:r w:rsidRPr="00C0544D">
        <w:rPr>
          <w:rFonts w:cstheme="minorHAnsi"/>
          <w:szCs w:val="22"/>
          <w:lang w:val="en-GB"/>
        </w:rPr>
        <w:fldChar w:fldCharType="end"/>
      </w:r>
      <w:r w:rsidRPr="00C0544D">
        <w:rPr>
          <w:rFonts w:cstheme="minorHAnsi"/>
          <w:szCs w:val="22"/>
          <w:lang w:val="en-GB"/>
        </w:rPr>
        <w:t xml:space="preserve">. </w:t>
      </w:r>
      <w:r w:rsidR="00F518BE">
        <w:rPr>
          <w:rFonts w:cstheme="minorHAnsi"/>
          <w:szCs w:val="22"/>
          <w:lang w:val="en-GB"/>
        </w:rPr>
        <w:t>CE</w:t>
      </w:r>
      <w:r w:rsidR="00106633">
        <w:rPr>
          <w:rFonts w:cstheme="minorHAnsi"/>
          <w:szCs w:val="22"/>
          <w:lang w:val="en-GB"/>
        </w:rPr>
        <w:t>'</w:t>
      </w:r>
      <w:r w:rsidRPr="00C0544D">
        <w:rPr>
          <w:rFonts w:cstheme="minorHAnsi"/>
          <w:szCs w:val="22"/>
          <w:lang w:val="en-GB"/>
        </w:rPr>
        <w:t xml:space="preserve">s theme finds influence in European policies today </w:t>
      </w:r>
      <w:r w:rsidRPr="00C0544D">
        <w:rPr>
          <w:rFonts w:cstheme="minorHAnsi"/>
          <w:szCs w:val="22"/>
          <w:lang w:val="en-GB"/>
        </w:rPr>
        <w:fldChar w:fldCharType="begin"/>
      </w:r>
      <w:r w:rsidR="00F45764">
        <w:rPr>
          <w:rFonts w:cstheme="minorHAnsi"/>
          <w:szCs w:val="22"/>
          <w:lang w:val="en-GB"/>
        </w:rPr>
        <w:instrText xml:space="preserve"> ADDIN ZOTERO_ITEM CSL_CITATION {"citationID":"0BY7f16Q","properties":{"formattedCitation":"(European Commission, 2014, 2015)","plainCitation":"(European Commission, 2014, 2015)","noteIndex":0},"citationItems":[{"id":6988,"uris":["http://zotero.org/users/5243184/items/GIKISYRK"],"uri":["http://zotero.org/users/5243184/items/GIKISYRK"],"itemData":{"id":6988,"type":"article","language":"en","title":"Towards a Circular Economy– a Zero Waste Programme for Europe","URL":"http://icams.ro/icamsresurse/2018/proceedings/XI_Towards_Circular_Economy_04.pdf","author":[{"family":"European Commission","given":""}],"accessed":{"date-parts":[["2020",6,24]]},"issued":{"date-parts":[["2014"]]}}},{"id":6986,"uris":["http://zotero.org/users/5243184/items/UWI48F5P"],"uri":["http://zotero.org/users/5243184/items/UWI48F5P"],"itemData":{"id":6986,"type":"article-journal","language":"en","page":"12","source":"Zotero","title":"Closing the Loop of the Circular Economy Action Plan 2015-2019 CE goes global","author":[{"family":"European Commission","given":""}],"issued":{"date-parts":[["2015"]]}}}],"schema":"https://github.com/citation-style-language/schema/raw/master/csl-citation.json"} </w:instrText>
      </w:r>
      <w:r w:rsidRPr="00C0544D">
        <w:rPr>
          <w:rFonts w:cstheme="minorHAnsi"/>
          <w:szCs w:val="22"/>
          <w:lang w:val="en-GB"/>
        </w:rPr>
        <w:fldChar w:fldCharType="separate"/>
      </w:r>
      <w:r w:rsidR="00802E14">
        <w:rPr>
          <w:rFonts w:cstheme="minorHAnsi"/>
          <w:noProof/>
          <w:szCs w:val="22"/>
          <w:lang w:val="en-GB"/>
        </w:rPr>
        <w:t>(European Commission, 2014, 2015)</w:t>
      </w:r>
      <w:r w:rsidRPr="00C0544D">
        <w:rPr>
          <w:rFonts w:cstheme="minorHAnsi"/>
          <w:szCs w:val="22"/>
          <w:lang w:val="en-GB"/>
        </w:rPr>
        <w:fldChar w:fldCharType="end"/>
      </w:r>
      <w:r w:rsidRPr="00C0544D">
        <w:rPr>
          <w:rFonts w:cstheme="minorHAnsi"/>
          <w:szCs w:val="22"/>
          <w:lang w:val="en-GB"/>
        </w:rPr>
        <w:t xml:space="preserve">, and this aspect has also pushed development among the practitioners of oriented initiatives. The CE concept was first defined by </w:t>
      </w:r>
      <w:r w:rsidRPr="00C0544D">
        <w:rPr>
          <w:rFonts w:cstheme="minorHAnsi"/>
          <w:szCs w:val="22"/>
          <w:lang w:val="en-GB"/>
        </w:rPr>
        <w:fldChar w:fldCharType="begin"/>
      </w:r>
      <w:r w:rsidR="00F45764">
        <w:rPr>
          <w:rFonts w:cstheme="minorHAnsi"/>
          <w:szCs w:val="22"/>
          <w:lang w:val="en-GB"/>
        </w:rPr>
        <w:instrText xml:space="preserve"> ADDIN ZOTERO_ITEM CSL_CITATION {"citationID":"DnLVZWXE","properties":{"formattedCitation":"(Pearce &amp; Turner, 1989)","plainCitation":"(Pearce &amp; Turner, 1989)","dontUpdate":true,"noteIndex":0},"citationItems":[{"id":6989,"uris":["http://zotero.org/users/5243184/items/25HRNMCD"],"uri":["http://zotero.org/users/5243184/items/25HRNMCD"],"itemData":{"id":6989,"type":"book","publisher":"Johns Hopkins University Press","title":"Economics of Natural Resources and the Environment - David W. Pearce - R. Kerry Turner - Libro in lingua inglese - Johns Hopkins University Press - | IBS","URL":"https://www.ibs.it/economics-of-natural-resources-environment-libro-inglese-david-w-pearce-r-kerry-turner/e/9780801839870","author":[{"family":"Pearce","given":"David W."},{"family":"Turner","given":"R. Kerry"}],"accessed":{"date-parts":[["2020",6,24]]},"issued":{"date-parts":[["1989"]]}}}],"schema":"https://github.com/citation-style-language/schema/raw/master/csl-citation.json"} </w:instrText>
      </w:r>
      <w:r w:rsidRPr="00C0544D">
        <w:rPr>
          <w:rFonts w:cstheme="minorHAnsi"/>
          <w:szCs w:val="22"/>
          <w:lang w:val="en-GB"/>
        </w:rPr>
        <w:fldChar w:fldCharType="separate"/>
      </w:r>
      <w:r w:rsidRPr="00C0544D">
        <w:rPr>
          <w:rFonts w:cstheme="minorHAnsi"/>
          <w:noProof/>
          <w:szCs w:val="22"/>
          <w:lang w:val="en-GB"/>
        </w:rPr>
        <w:t>Pearce &amp; Turner (1989)</w:t>
      </w:r>
      <w:r w:rsidRPr="00C0544D">
        <w:rPr>
          <w:rFonts w:cstheme="minorHAnsi"/>
          <w:szCs w:val="22"/>
          <w:lang w:val="en-GB"/>
        </w:rPr>
        <w:fldChar w:fldCharType="end"/>
      </w:r>
      <w:r w:rsidRPr="00C0544D">
        <w:rPr>
          <w:rFonts w:cstheme="minorHAnsi"/>
          <w:szCs w:val="22"/>
          <w:lang w:val="en-GB"/>
        </w:rPr>
        <w:t xml:space="preserve"> to describe how natural resources influence the </w:t>
      </w:r>
      <w:r w:rsidR="00872326">
        <w:rPr>
          <w:rFonts w:cstheme="minorHAnsi"/>
          <w:szCs w:val="22"/>
          <w:lang w:val="en-GB"/>
        </w:rPr>
        <w:t>e</w:t>
      </w:r>
      <w:r w:rsidRPr="00C0544D">
        <w:rPr>
          <w:rFonts w:cstheme="minorHAnsi"/>
          <w:szCs w:val="22"/>
          <w:lang w:val="en-GB"/>
        </w:rPr>
        <w:t>conomy by providing inputs for production and consumption as well as serving as a sink for outputs in the form of waste, studying the characteristics of linear and open economic systems. The current definition of an industry-oriented CE involves several elements. The studies focus on the business model with a micro-level that considers products, companies, and consumers in the redefinition of the end-of-life concept with a reducing, alternatively reusing, recycling and recovering materials in production/distribution and consumption processes</w:t>
      </w:r>
      <w:r w:rsidR="00784C0C">
        <w:rPr>
          <w:rFonts w:cstheme="minorHAnsi"/>
          <w:szCs w:val="22"/>
          <w:lang w:val="en-GB"/>
        </w:rPr>
        <w:t>.</w:t>
      </w:r>
      <w:r w:rsidRPr="00C0544D">
        <w:rPr>
          <w:rFonts w:cstheme="minorHAnsi"/>
          <w:szCs w:val="22"/>
          <w:lang w:val="en-GB"/>
        </w:rPr>
        <w:t xml:space="preserve"> </w:t>
      </w:r>
      <w:r w:rsidR="00784C0C">
        <w:rPr>
          <w:rFonts w:cstheme="minorHAnsi"/>
          <w:szCs w:val="22"/>
          <w:lang w:val="en-GB"/>
        </w:rPr>
        <w:t>A</w:t>
      </w:r>
      <w:r w:rsidRPr="00C0544D">
        <w:rPr>
          <w:rFonts w:cstheme="minorHAnsi"/>
          <w:szCs w:val="22"/>
          <w:lang w:val="en-GB"/>
        </w:rPr>
        <w:t xml:space="preserve"> macro</w:t>
      </w:r>
      <w:r w:rsidR="00784C0C">
        <w:rPr>
          <w:rFonts w:cstheme="minorHAnsi"/>
          <w:szCs w:val="22"/>
          <w:lang w:val="en-GB"/>
        </w:rPr>
        <w:t>-</w:t>
      </w:r>
      <w:r w:rsidRPr="00C0544D">
        <w:rPr>
          <w:rFonts w:cstheme="minorHAnsi"/>
          <w:szCs w:val="22"/>
          <w:lang w:val="en-GB"/>
        </w:rPr>
        <w:t>level</w:t>
      </w:r>
      <w:r w:rsidR="00784C0C">
        <w:rPr>
          <w:rFonts w:cstheme="minorHAnsi"/>
          <w:szCs w:val="22"/>
          <w:lang w:val="en-GB"/>
        </w:rPr>
        <w:t xml:space="preserve"> perspective</w:t>
      </w:r>
      <w:r w:rsidRPr="00C0544D">
        <w:rPr>
          <w:rFonts w:cstheme="minorHAnsi"/>
          <w:szCs w:val="22"/>
          <w:lang w:val="en-GB"/>
        </w:rPr>
        <w:t xml:space="preserve"> considers the quality of environmental development at the local regional, national level and in relations </w:t>
      </w:r>
      <w:r w:rsidR="00784C0C">
        <w:rPr>
          <w:rFonts w:cstheme="minorHAnsi"/>
          <w:szCs w:val="22"/>
          <w:lang w:val="en-GB"/>
        </w:rPr>
        <w:t>among</w:t>
      </w:r>
      <w:r w:rsidRPr="00C0544D">
        <w:rPr>
          <w:rFonts w:cstheme="minorHAnsi"/>
          <w:szCs w:val="22"/>
          <w:lang w:val="en-GB"/>
        </w:rPr>
        <w:t xml:space="preserve"> nations </w:t>
      </w:r>
      <w:r w:rsidRPr="00C0544D">
        <w:rPr>
          <w:rFonts w:cstheme="minorHAnsi"/>
          <w:szCs w:val="22"/>
          <w:lang w:val="en-GB"/>
        </w:rPr>
        <w:fldChar w:fldCharType="begin"/>
      </w:r>
      <w:r w:rsidR="00F45764">
        <w:rPr>
          <w:rFonts w:cstheme="minorHAnsi"/>
          <w:szCs w:val="22"/>
          <w:lang w:val="en-GB"/>
        </w:rPr>
        <w:instrText xml:space="preserve"> ADDIN ZOTERO_ITEM CSL_CITATION {"citationID":"LaV7shHA","properties":{"formattedCitation":"(Kirchherr et al., 2017; Man &amp; Strandhagen, 2017)","plainCitation":"(Kirchherr et al., 2017; Man &amp; Strandhagen, 2017)","noteIndex":0},"citationItems":[{"id":6991,"uris":["http://zotero.org/users/5243184/items/REL5MB4H"],"uri":["http://zotero.org/users/5243184/items/REL5MB4H"],"itemData":{"id":6991,"type":"article-journal","abstract":"The circular economy concept has gained momentum both among scholars and practitioners. However, critics claim that it means many different things to different people. This paper provides further evidence for these critics. The aim of this paper is to create transparency regarding the current understandings of the circular economy concept. For this purpose, we have gathered 114 circular economy definitions which were coded on 17 dimensions. Our findings indicate that the circular economy is most frequently depicted as a combination of reduce, reuse and recycle activities, whereas it is oftentimes not highlighted that CE necessitates a systemic shift. We further find that the definitions show few explicit linkages of the circular economy concept to sustainable development. The main aim of the circular economy is considered to be economic prosperity, followed by environmental quality; its impact on social equity and future generations is barely mentioned. Furthermore, neither business models nor consumers are frequently outlined as enablers of the circular economy. We critically discuss the various circular economy conceptualizations throughout this paper. Overall, we hope to contribute via this study towards the coherence of the circular economy concept; we presume that significantly varying circular economy definitions may eventually result in the collapse of the concept.","container-title":"Resources, Conservation and Recycling","DOI":"10.1016/j.resconrec.2017.09.005","ISSN":"0921-3449","journalAbbreviation":"Resources, Conservation and Recycling","language":"en","page":"221-232","source":"ScienceDirect","title":"Conceptualizing the circular economy: An analysis of 114 definitions","title-short":"Conceptualizing the circular economy","volume":"127","author":[{"family":"Kirchherr","given":"Julian"},{"family":"Reike","given":"Denise"},{"family":"Hekkert","given":"Marko"}],"issued":{"date-parts":[["2017",12,1]]}}},{"id":6831,"uris":["http://zotero.org/users/5243184/items/Z2FU9CUB"],"uri":["http://zotero.org/users/5243184/items/Z2FU9CUB"],"itemData":{"id":6831,"type":"article-journal","abstract":"In the Industry 4.0 world that is digitalizing and automating, sustainable business models exist but have not become mainstream. Opportunities for sustainable offerings exist by designing products for longevity, repair and recycling, such that sustainability is not only focusing on being more efficient, but also on using less raw materials and recycling more products. This changes the value proposition, supply chain, relation with the customer and financial justification of a business model. This paper discusses potential sustainable business scenarios, and proposes an agenda for research into how Industry 4.0 can be used to create sustainable business models.","collection-title":"Manufacturing Systems 4.0 – Proceedings of the 50th CIRP Conference on Manufacturing Systems","container-title":"Procedia CIRP","DOI":"10.1016/j.procir.2017.03.315","ISSN":"2212-8271","journalAbbreviation":"Procedia CIRP","language":"en","page":"721-726","source":"ScienceDirect","title":"An Industry 4.0 Research Agenda for Sustainable Business Models","volume":"63","author":[{"family":"Man","given":"Johannes Cornelis","dropping-particle":"de"},{"family":"Strandhagen","given":"Jan Ola"}],"issued":{"date-parts":[["2017",1,1]]}}}],"schema":"https://github.com/citation-style-language/schema/raw/master/csl-citation.json"} </w:instrText>
      </w:r>
      <w:r w:rsidRPr="00C0544D">
        <w:rPr>
          <w:rFonts w:cstheme="minorHAnsi"/>
          <w:szCs w:val="22"/>
          <w:lang w:val="en-GB"/>
        </w:rPr>
        <w:fldChar w:fldCharType="separate"/>
      </w:r>
      <w:r w:rsidR="00802E14">
        <w:rPr>
          <w:rFonts w:cstheme="minorHAnsi"/>
          <w:noProof/>
          <w:szCs w:val="22"/>
          <w:lang w:val="en-GB"/>
        </w:rPr>
        <w:t>(Kirchherr et al., 2017; Man &amp; Strandhagen, 2017)</w:t>
      </w:r>
      <w:r w:rsidRPr="00C0544D">
        <w:rPr>
          <w:rFonts w:cstheme="minorHAnsi"/>
          <w:szCs w:val="22"/>
          <w:lang w:val="en-GB"/>
        </w:rPr>
        <w:fldChar w:fldCharType="end"/>
      </w:r>
      <w:r w:rsidRPr="00C0544D">
        <w:rPr>
          <w:rFonts w:cstheme="minorHAnsi"/>
          <w:szCs w:val="22"/>
          <w:lang w:val="en-GB"/>
        </w:rPr>
        <w:t xml:space="preserve">. Other studies include the reduction and exploitation of even energy resources up to a minimum consumption. </w:t>
      </w:r>
    </w:p>
    <w:p w14:paraId="2515084A" w14:textId="4F45666D" w:rsidR="00E543C1" w:rsidRPr="00CA279D" w:rsidRDefault="00E9315B" w:rsidP="00E543C1">
      <w:pPr>
        <w:rPr>
          <w:rFonts w:cstheme="minorHAnsi"/>
          <w:szCs w:val="22"/>
          <w:lang w:val="en-GB"/>
        </w:rPr>
      </w:pPr>
      <w:r w:rsidRPr="00F45764">
        <w:rPr>
          <w:rFonts w:cstheme="minorHAnsi"/>
          <w:szCs w:val="22"/>
          <w:lang w:val="en-GB"/>
        </w:rPr>
        <w:t xml:space="preserve">Despite the development of theories on Industry 4.0 and the </w:t>
      </w:r>
      <w:r w:rsidR="00784C0C">
        <w:rPr>
          <w:rFonts w:cstheme="minorHAnsi"/>
          <w:szCs w:val="22"/>
          <w:lang w:val="en-GB"/>
        </w:rPr>
        <w:t>CE</w:t>
      </w:r>
      <w:r w:rsidRPr="00E41C68">
        <w:rPr>
          <w:rFonts w:cstheme="minorHAnsi"/>
          <w:szCs w:val="22"/>
          <w:lang w:val="en-GB"/>
        </w:rPr>
        <w:t xml:space="preserve">, the union between the two appears rather recent. </w:t>
      </w:r>
      <w:r w:rsidR="00E543C1">
        <w:rPr>
          <w:rFonts w:cstheme="minorHAnsi"/>
          <w:szCs w:val="22"/>
          <w:lang w:val="en-GB"/>
        </w:rPr>
        <w:t xml:space="preserve">Additionally, new technology implementation is speeding up with new opportunities for business development </w:t>
      </w:r>
      <w:r w:rsidR="00E543C1">
        <w:fldChar w:fldCharType="begin" w:fldLock="1"/>
      </w:r>
      <w:r w:rsidR="00B03A7D">
        <w:rPr>
          <w:lang w:val="en-GB"/>
        </w:rPr>
        <w:instrText xml:space="preserve"> ADDIN ZOTERO_ITEM CSL_CITATION {"citationID":"pKkgUFiW","properties":{"formattedCitation":"(Mar, 2018)","plainCitation":"(Mar, 2018)","noteIndex":0},"citationItems":[{"id":"tWdw92P2/rJMJv4x9","uris":["http://www.mendeley.com/documents/?uuid=42bb3cb2-4afa-4a51-b72d-8f9931f51f00"],"uri":["http://www.mendeley.com/documents/?uuid=42bb3cb2-4afa-4a51-b72d-8f9931f51f00"],"itemData":{"abstract":"The amount of data we produce every day is truly mind-boggling. There are 2.5 quintillion bytes of data created each day at our current pace, but that pace is only accelerating with the growth of the Internet of Things (IoT). Over the last two years alone 90 percent of the data in the world was generated. This is worth re-reading! While it’s almost impossible to wrap your mind around these numbers, I gathered together some of my favorite stats to help illustrate some of the ways we create these colossal amounts of data every single day.","author":[{"dropping-particle":"","family":"Mar","given":"Bernard","non-dropping-particle":"","parse-names":false,"suffix":""}],"container-title":"Forbes","id":"ITEM-1","issued":{"date-parts":[["2018"]]},"page":"1-5","title":"How Much Data Do We Create Every Day? The Mind-Blowing Stats Everyone Should Read","type":"article-journal"}}],"schema":"https://github.com/citation-style-language/schema/raw/master/csl-citation.json"} </w:instrText>
      </w:r>
      <w:r w:rsidR="00E543C1">
        <w:fldChar w:fldCharType="separate"/>
      </w:r>
      <w:r w:rsidR="00802E14">
        <w:rPr>
          <w:rFonts w:ascii="Calibri" w:hAnsi="Calibri" w:cs="Calibri"/>
          <w:lang w:val="en-GB"/>
        </w:rPr>
        <w:t>(Mar, 2018)</w:t>
      </w:r>
      <w:r w:rsidR="00E543C1">
        <w:fldChar w:fldCharType="end"/>
      </w:r>
      <w:r w:rsidR="00E543C1" w:rsidRPr="008228A8">
        <w:rPr>
          <w:lang w:val="en-GB"/>
        </w:rPr>
        <w:t xml:space="preserve">. </w:t>
      </w:r>
      <w:r w:rsidR="00E543C1">
        <w:rPr>
          <w:lang w:val="en-GB"/>
        </w:rPr>
        <w:t xml:space="preserve">At the same time, scholars are struggling </w:t>
      </w:r>
      <w:r w:rsidR="00784C0C">
        <w:rPr>
          <w:lang w:val="en-GB"/>
        </w:rPr>
        <w:t>to find</w:t>
      </w:r>
      <w:r w:rsidR="00E543C1">
        <w:rPr>
          <w:lang w:val="en-GB"/>
        </w:rPr>
        <w:t xml:space="preserve"> relevant data for their research in different managerial research domain </w:t>
      </w:r>
      <w:r w:rsidR="00E543C1">
        <w:fldChar w:fldCharType="begin" w:fldLock="1"/>
      </w:r>
      <w:r w:rsidR="00B03A7D">
        <w:rPr>
          <w:lang w:val="en-GB"/>
        </w:rPr>
        <w:instrText xml:space="preserve"> ADDIN ZOTERO_ITEM CSL_CITATION {"citationID":"57NXUB8Q","properties":{"formattedCitation":"(DalleMule &amp; Davenport, 2017)","plainCitation":"(DalleMule &amp; Davenport, 2017)","noteIndex":0},"citationItems":[{"id":"tWdw92P2/3iLmCoIq","uris":["http://www.mendeley.com/documents/?uuid=cd22bb65-7295-451c-a237-6ac7ca4a8b6e"],"uri":["http://www.mendeley.com/documents/?uuid=cd22bb65-7295-451c-a237-6ac7ca4a8b6e"],"itemData":{"DOI":"10.1016/j.solener.2019.02.027","ISBN":"9789896540821","ISSN":"0038092X","abstract":"The objective of this paper is to promote the use of solar energy in powering traffic signal systems for rural areas in Qatar with no power grid. A photovoltaic system is needed in order to use this energy continuously. The results of the investigation of components, design, and market availability are shown in the paper. Solar cells, which are used for absorbing sunlight and generating electric current, are the main source for the system’s operation. A charge controller is used to control the flow of charge through the battery and to protect the battery from overcharging and deep discharging. A dc-dc converter is used to regulate the output voltage which depends on the type of dc to dc converter. Lead acid batteries are used as the electric energy storage for the PV system to use electrical energy in the absence of sunlight. The principle operation of the system and the feasibility of using it for rural area with no power grid have been studied. For this project, a mount tracker was constructed that enabled the solar panel to be placed at 0, 15, 30, 45, 60, 75 and 90 degree angles in order to determine which angle and what time provides the optimum voltage. Experimental results for different angles of radiation at different times of the day and different days of the year are shown in the paper.","author":[{"dropping-particle":"","family":"DalleMule","given":"Leonardo","non-dropping-particle":"","parse-names":false,"suffix":""},{"dropping-particle":"","family":"Davenport","given":"Thomas H.","non-dropping-particle":"","parse-names":false,"suffix":""}],"container-title":"Harvard Business Review","id":"ITEM-1","issue":"May-June","issued":{"date-parts":[["2017"]]},"page":"1-9","title":"What's your Data Strategy","type":"article-journal"}}],"schema":"https://github.com/citation-style-language/schema/raw/master/csl-citation.json"} </w:instrText>
      </w:r>
      <w:r w:rsidR="00E543C1">
        <w:fldChar w:fldCharType="separate"/>
      </w:r>
      <w:r w:rsidR="00802E14">
        <w:rPr>
          <w:rFonts w:ascii="Calibri" w:hAnsi="Calibri" w:cs="Calibri"/>
          <w:lang w:val="en-GB"/>
        </w:rPr>
        <w:t>(DalleMule &amp; Davenport, 2017)</w:t>
      </w:r>
      <w:r w:rsidR="00E543C1">
        <w:fldChar w:fldCharType="end"/>
      </w:r>
      <w:r w:rsidR="00E543C1" w:rsidRPr="008228A8">
        <w:rPr>
          <w:lang w:val="en-GB"/>
        </w:rPr>
        <w:t xml:space="preserve">. This is increasing the </w:t>
      </w:r>
      <w:r w:rsidR="00E543C1" w:rsidRPr="004D46F6">
        <w:rPr>
          <w:lang w:val="en-GB"/>
        </w:rPr>
        <w:t>academic</w:t>
      </w:r>
      <w:r w:rsidR="00E543C1">
        <w:rPr>
          <w:lang w:val="en-GB"/>
        </w:rPr>
        <w:t>-</w:t>
      </w:r>
      <w:r w:rsidR="00E543C1" w:rsidRPr="004D46F6">
        <w:rPr>
          <w:lang w:val="en-GB"/>
        </w:rPr>
        <w:t>practitioner</w:t>
      </w:r>
      <w:r w:rsidR="00E543C1" w:rsidRPr="008228A8">
        <w:rPr>
          <w:lang w:val="en-GB"/>
        </w:rPr>
        <w:t xml:space="preserve"> divide with </w:t>
      </w:r>
      <w:r w:rsidR="00E543C1">
        <w:rPr>
          <w:lang w:val="en-GB"/>
        </w:rPr>
        <w:t xml:space="preserve">practitioners that are overwhelmed by data and new technologies that offer new business opportunities and scholars that struggle </w:t>
      </w:r>
      <w:r w:rsidR="00784C0C">
        <w:rPr>
          <w:lang w:val="en-GB"/>
        </w:rPr>
        <w:t>to find</w:t>
      </w:r>
      <w:r w:rsidR="00E543C1">
        <w:rPr>
          <w:lang w:val="en-GB"/>
        </w:rPr>
        <w:t xml:space="preserve"> relevant data to develop sound theories</w:t>
      </w:r>
      <w:r w:rsidR="008228A8">
        <w:rPr>
          <w:lang w:val="en-GB"/>
        </w:rPr>
        <w:t xml:space="preserve"> </w:t>
      </w:r>
      <w:r w:rsidR="008228A8">
        <w:rPr>
          <w:lang w:val="en-GB"/>
        </w:rPr>
        <w:fldChar w:fldCharType="begin"/>
      </w:r>
      <w:r w:rsidR="00A15718">
        <w:rPr>
          <w:lang w:val="en-GB"/>
        </w:rPr>
        <w:instrText xml:space="preserve"> ADDIN ZOTERO_ITEM CSL_CITATION {"citationID":"y2vhHA4h","properties":{"formattedCitation":"(Dal Mas, 2019; Maurizio Massaro et al., 2018)","plainCitation":"(Dal Mas, 2019; Maurizio Massaro et al., 2018)","dontUpdate":true,"noteIndex":0},"citationItems":[{"id":7049,"uris":["http://zotero.org/users/5243184/items/KL22S5NG"],"uri":["http://zotero.org/users/5243184/items/KL22S5NG"],"itemData":{"id":7049,"type":"chapter","abstract":"The purpose of this chapter is to investigate how intellectual capital (IC) and sustainability influence each other in practitioners’ perspective. Three steps methodology was applied to reach this purpose. First, the study employs a text mining analysis of 1651 posts published by practitioners in one of the leading sources of sustainability: the website CSRwire.com. Concepts extracted from the posts are then analyzed using a factor analysis to summarize them within themes. Finally, themes are analyzed to identify how IC and sustainability influence each other using a correlation analysis. Results show that IC and sustainability are complex topics. Practitioners discuss 17 main themes split into Financial (also known as Economic), Social and Environmental sustainability. The three main components of IC: human capital, relational capital and structural capital connect with most of these themes proving that IC and sustainability influence each other.Financial Sustainability, Social Sustainability, Environmental Sustainability, Intellectual Capital.","container-title":"Intellectual Capital Management as a Driver of Sustainability: Perspectives for Organizations and Society","event-place":"Cham","ISBN":"978-3-319-79051-0","language":"en","note":"DOI: 10.1007/978-3-319-79051-0_2","page":"11-24","publisher":"Springer International Publishing","publisher-place":"Cham","source":"Springer Link","title":"The Relationship Between Intellectual Capital and Sustainability: An Analysis of Practitioner’s Thought","title-short":"The Relationship Between Intellectual Capital and Sustainability","URL":"https://doi.org/10.1007/978-3-319-79051-0_2","author":[{"family":"Dal Mas","given":"Francesca"}],"editor":[{"family":"Matos","given":"Florinda"},{"family":"Vairinhos","given":"Valter"},{"family":"Selig","given":"Paulo Maurício"},{"family":"Edvinsson","given":"Leif"}],"accessed":{"date-parts":[["2020",6,27]]},"issued":{"date-parts":[["2019"]]}}},{"id":6931,"uris":["http://zotero.org/users/5243184/items/ELTMPSDD"],"uri":["http://zotero.org/users/5243184/items/ELTMPSDD"],"itemData":{"id":6931,"type":"article-journal","abstract":"Purpose The purpose of this paper is to investigate the relationship between intellectual capital (IC) and sustainability using practitioners’ perspectives and by developing an analysis of comments and practices published in 1,651 blog posts in one of the leading sources of sustainability research: CSRwire.com. Design/methodology/approach A total of 1,651 posts, containing more than 1.5 million words, published by experts in the field of sustainability are analysed using Leximancer and content analysis. Findings The results reveal IC and sustainability to be complex topics under active discussion by practitioners, and several links to the IC literature are identified and compared. The findings focus on the managerial practices applied by leading companies, as discussed by practitioners, that show IC and sustainability influence each other in answering a plurality of demands or logics. Research limitations/implications First, the authors identify the need to study the managerial practices proposed by practitioners, rather than their company reports. Second, the authors propose developing a trading zone for IC researchers and practitioners. Third, the authors reflect on the role of new communication tools, such as integrated reporting, to connect IC and sustainability. Finally, the authors conclude that the relationship between IC and sustainability could benefit from a fifth stage of IC research that considers justifications of the worth of IC and sustainability practices. Originality/value The paper is novel because it addresses concerns about the relationship between IC and sustainability by examining messages posted by practitioners, rather than examining company disclosures. This leads to an understanding of the impact of practices rather than the desires motivating practice. The results support the view that it is time to remove the boundaries of IC research and work towards reconciling the worth of IC to different people in different contexts. The authors argue that practitioners require scholars to reduce the ambiguity between IC and its expected results. This would open the door to a potentially productive way of understanding IC and the complexity of economic, social, and environmental value. In short, researchers should change their research questions from, “What is IC worth to investors, customers, society, and the environment?” to “Is managing IC a worthwhile endeavour?”","container-title":"Journal of Intellectual Capital","DOI":"10.1108/JIC-02-2017-0033","ISSN":"1469-1930","issue":"2","note":"publisher: Emerald Publishing Limited","page":"367-386","source":"Emerald Insight","title":"Practitioners’ views on intellectual capital and sustainability: From a performance-based to a worth-based perspective","title-short":"Practitioners’ views on intellectual capital and sustainability","volume":"19","author":[{"family":"Massaro","given":"Maurizio"},{"family":"Dumay","given":"John"},{"family":"Garlatti","given":"Andrea"},{"family":"Dal Mas","given":"Francesca"}],"issued":{"date-parts":[["2018",1,1]]}}}],"schema":"https://github.com/citation-style-language/schema/raw/master/csl-citation.json"} </w:instrText>
      </w:r>
      <w:r w:rsidR="008228A8">
        <w:rPr>
          <w:lang w:val="en-GB"/>
        </w:rPr>
        <w:fldChar w:fldCharType="separate"/>
      </w:r>
      <w:r w:rsidR="008228A8">
        <w:rPr>
          <w:noProof/>
          <w:lang w:val="en-GB"/>
        </w:rPr>
        <w:t>(Dal Mas, 2019; Massaro et al., 2018)</w:t>
      </w:r>
      <w:r w:rsidR="008228A8">
        <w:rPr>
          <w:lang w:val="en-GB"/>
        </w:rPr>
        <w:fldChar w:fldCharType="end"/>
      </w:r>
      <w:r w:rsidR="00E543C1">
        <w:rPr>
          <w:lang w:val="en-GB"/>
        </w:rPr>
        <w:t xml:space="preserve">. While the topic of </w:t>
      </w:r>
      <w:r w:rsidR="00784C0C">
        <w:rPr>
          <w:lang w:val="en-GB"/>
        </w:rPr>
        <w:t xml:space="preserve">the </w:t>
      </w:r>
      <w:r w:rsidR="00E543C1">
        <w:rPr>
          <w:lang w:val="en-GB"/>
        </w:rPr>
        <w:t>academic-practitioner</w:t>
      </w:r>
      <w:r w:rsidR="00784C0C">
        <w:rPr>
          <w:lang w:val="en-GB"/>
        </w:rPr>
        <w:t>s</w:t>
      </w:r>
      <w:r w:rsidR="00E543C1">
        <w:rPr>
          <w:lang w:val="en-GB"/>
        </w:rPr>
        <w:t xml:space="preserve"> divide is not new</w:t>
      </w:r>
      <w:r w:rsidR="00784C0C">
        <w:rPr>
          <w:lang w:val="en-GB"/>
        </w:rPr>
        <w:t xml:space="preserve"> </w:t>
      </w:r>
      <w:r w:rsidR="00E543C1">
        <w:fldChar w:fldCharType="begin" w:fldLock="1"/>
      </w:r>
      <w:r w:rsidR="00B03A7D">
        <w:rPr>
          <w:lang w:val="en-GB"/>
        </w:rPr>
        <w:instrText xml:space="preserve"> ADDIN ZOTERO_ITEM CSL_CITATION {"citationID":"5lveafVs","properties":{"formattedCitation":"(Baruch &amp; Holtom, 2008; M Massaro et al., 2016; Tucker &amp; Lowe, 2014)","plainCitation":"(Baruch &amp; Holtom, 2008; M Massaro et al., 2016; Tucker &amp; Lowe, 2014)","noteIndex":0},"citationItems":[{"id":"tWdw92P2/Uhm0XCid","uris":["http://www.mendeley.com/documents/?uuid=9578df59-03c3-43c1-a25b-d803867dd727"],"uri":["http://www.mendeley.com/documents/?uuid=9578df59-03c3-43c1-a25b-d803867dd727"],"itemData":{"DOI":"10.1108/AAAJ-01-2012-00932","ISSN":"09513574","abstract":"Purpose: The aim of this paper is to identify and gain insights into the significance of barriers contributing to the purported \"gap\" between academic management accounting research and practice. Design/methodology/approach: Drawing on diffusion of innovations theory, this study collects and analyses data from a questionnaire survey and follow-up interviews with 19 representatives of the four principal professional accounting bodies in Australia. Findings: Professional accounting bodies perceive the gap between academic research and practice in management accounting to be of limited concern to practitioners. The two most significant barriers to research utilisation by practitioners are identified as: difficulties in understanding academic research papers; and limited access to research findings. In acting as a conduit between the worlds of academia and practice, professional bodies have an important role to play by demonstrating the mutual value to both academics and practitioners resulting from a closer engagement between MA research and practice. Research limitations/implications: As one of the few empirically-based, theoretically informed investigations exploring the research-practice gap in management accounting, this study provides insights rather than \"answers\". Its findings therefore serve as a foundational basis for further empirical and theoretical enquiry. Originality/value: This study contributes to the conversation about the \"research-practice gap\" in management accounting by adopting a distinct theoretical vantage point to organize, analyse and interpret empirical evidence obtained from Australian professional accounting bodies about management accounting practice. © Emerald Group Publishing Limited.","author":[{"dropping-particle":"","family":"Tucker","given":"Basil P.","non-dropping-particle":"","parse-names":false,"suffix":""},{"dropping-particle":"","family":"Lowe","given":"Alan D.","non-dropping-particle":"","parse-names":false,"suffix":""}],"container-title":"Accounting, Auditing and Accountability Journal","id":"ITEM-1","issue":"3","issued":{"date-parts":[["2014"]]},"page":"394-425","title":"Practitioners are from Mars; academics are from Venus?: An investigation of the research-practice gap in management accounting","type":"article-journal","volume":"27"}},{"id":"tWdw92P2/xVvuzVAm","uris":["http://www.mendeley.com/documents/?uuid=64ef7a38-8e0e-4512-b431-03b31e4ec252"],"uri":["http://www.mendeley.com/documents/?uuid=64ef7a38-8e0e-4512-b431-03b31e4ec252"],"itemData":{"DOI":"10.1177/0018726708094863","ISBN":"0018726708094","ISSN":"00187267","abstract":"This study examines the response rates for surveys used in organizational research. We analysed 1607 studies published in the years 2000 and 2005 in 17 refereed academic journals, and we identified 490 different studies that utilized surveys. We examined the response rates in these studies, which covered more than 100,000 organizations and 400,000 individual respondents. The average response rate for studies that utilized data collected from individuals was 52.7 percent with a standard deviation of 20.4, while the average response rate for studies that utilized data collected from organizations was 35.7 percent with a standard deviation of 18.8. Key insights from further analysis include relative stability in response rates in the past decade and higher response rates for journals published in the USA. The use of incentives was not found to be related to response rates and, for studies of organizations, the use of reminders was associated with lower response rates. Also, electronic data collection efforts (e.g. email, phone, web) resulted in response rates as high as or higher than traditional mail methodology. We discuss a number of implications and recommendations. Copyright © 2008 The Tavistock Institute® SAGE Publications.","author":[{"dropping-particle":"","family":"Baruch","given":"Yehuda","non-dropping-particle":"","parse-names":false,"suffix":""},{"dropping-particle":"","family":"Holtom","given":"Brooks C.","non-dropping-particle":"","parse-names":false,"suffix":""}],"container-title":"Human Relations","id":"ITEM-2","issue":"8","issued":{"date-parts":[["2008"]]},"page":"1139-1160","title":"Survey response rate levels and trends in organizational research","type":"article-journal","volume":"61"}},{"id":"tWdw92P2/aPNJqj5k","uris":["http://www.mendeley.com/documents/?uuid=b5f6e54b-d911-353f-81bd-3c8d9f2c8eb8"],"uri":["http://www.mendeley.com/documents/?uuid=b5f6e54b-d911-353f-81bd-3c8d9f2c8eb8"],"itemData":{"DOI":"10.1108/JKM-08-2015-0320","author":[{"dropping-particle":"","family":"Massaro","given":"M","non-dropping-particle":"","parse-names":false,"suffix":""},{"dropping-particle":"","family":"Handley","given":"K","non-dropping-particle":"","parse-names":false,"suffix":""},{"dropping-particle":"","family":"Bagnoli","given":"C","non-dropping-particle":"","parse-names":false,"suffix":""},{"dropping-particle":"","family":"Dumay","given":"J","non-dropping-particle":"","parse-names":false,"suffix":""}],"container-title":"Journal of Knowledge Management","id":"ITEM-3","issue":"2","issued":{"date-parts":[["2016"]]},"page":"258-291","title":"Knowledge management in small and medium enterprises: a structured literature review","type":"article-journal","volume":"20"}}],"schema":"https://github.com/citation-style-language/schema/raw/master/csl-citation.json"} </w:instrText>
      </w:r>
      <w:r w:rsidR="00E543C1">
        <w:fldChar w:fldCharType="separate"/>
      </w:r>
      <w:r w:rsidR="00802E14">
        <w:rPr>
          <w:rFonts w:ascii="Calibri" w:hAnsi="Calibri" w:cs="Calibri"/>
          <w:lang w:val="en-GB"/>
        </w:rPr>
        <w:t>(Baruch &amp; Holtom, 2008; M Massaro et al., 2016; Tucker &amp; Lowe, 2014)</w:t>
      </w:r>
      <w:r w:rsidR="00E543C1">
        <w:fldChar w:fldCharType="end"/>
      </w:r>
      <w:r w:rsidR="00E543C1">
        <w:rPr>
          <w:lang w:val="en-GB"/>
        </w:rPr>
        <w:t xml:space="preserve">, </w:t>
      </w:r>
      <w:r w:rsidR="00E543C1">
        <w:rPr>
          <w:rFonts w:cstheme="minorHAnsi"/>
          <w:szCs w:val="22"/>
          <w:lang w:val="en-GB"/>
        </w:rPr>
        <w:t>we</w:t>
      </w:r>
      <w:r w:rsidR="00E543C1" w:rsidRPr="00CA279D">
        <w:rPr>
          <w:rFonts w:cstheme="minorHAnsi"/>
          <w:szCs w:val="22"/>
          <w:lang w:val="en-GB"/>
        </w:rPr>
        <w:t xml:space="preserve"> believe that the use of </w:t>
      </w:r>
      <w:r w:rsidR="00E543C1">
        <w:rPr>
          <w:rFonts w:cstheme="minorHAnsi"/>
          <w:szCs w:val="22"/>
          <w:lang w:val="en-GB"/>
        </w:rPr>
        <w:t xml:space="preserve">researches that </w:t>
      </w:r>
      <w:r w:rsidR="00D11A05">
        <w:rPr>
          <w:rFonts w:cstheme="minorHAnsi"/>
          <w:szCs w:val="22"/>
          <w:lang w:val="en-GB"/>
        </w:rPr>
        <w:t>rely on</w:t>
      </w:r>
      <w:r w:rsidR="00E543C1">
        <w:rPr>
          <w:rFonts w:cstheme="minorHAnsi"/>
          <w:szCs w:val="22"/>
          <w:lang w:val="en-GB"/>
        </w:rPr>
        <w:t xml:space="preserve"> both </w:t>
      </w:r>
      <w:r w:rsidR="00E543C1" w:rsidRPr="00CA279D">
        <w:rPr>
          <w:rFonts w:cstheme="minorHAnsi"/>
          <w:szCs w:val="22"/>
          <w:lang w:val="en-GB"/>
        </w:rPr>
        <w:t xml:space="preserve">professional and academic data can create trading zones for sharing a common scenario on the topics under analysis </w:t>
      </w:r>
      <w:r w:rsidR="00E543C1" w:rsidRPr="00CA279D">
        <w:rPr>
          <w:rFonts w:cstheme="minorHAnsi"/>
          <w:szCs w:val="22"/>
          <w:lang w:val="en-GB"/>
        </w:rPr>
        <w:fldChar w:fldCharType="begin"/>
      </w:r>
      <w:r w:rsidR="00F45764">
        <w:rPr>
          <w:rFonts w:cstheme="minorHAnsi"/>
          <w:szCs w:val="22"/>
          <w:lang w:val="en-GB"/>
        </w:rPr>
        <w:instrText xml:space="preserve"> ADDIN ZOTERO_ITEM CSL_CITATION {"citationID":"Oj6w8d0q","properties":{"formattedCitation":"(Romme et al., 2015)","plainCitation":"(Romme et al., 2015)","noteIndex":0},"citationItems":[{"id":6935,"uris":["http://zotero.org/users/5243184/items/VRMMQIEW"],"uri":["http://zotero.org/users/5243184/items/VRMMQIEW"],"itemData":{"id":6935,"type":"article-journal","abstract":"The purpose and nature of management scholarship is contested, evidenced by debates about the ‘academic–practitioner divide’ and attendant remedies for addressing it, including mode 2 and mode 3 research, engaged scholarship, evidence-based management and design science. In this paper the authors argue that, without a culture of dialogical encounter, management scholarship will never be able to emerge from its adolescence, and management will not develop into the profession that it should and can become. The central proposition is that the highly fragmented landscape of management (practice and scholarship) lacks sufficient capability for dialogue among the plurality of actors situated across that landscape. Developing the dialogical capability ultimately required to break this fundamental impasse demands, first, a shared sense of purpose and responsibility (akin to the Hippocratic Oath in medicine) and, second, institutional entrepreneurship to establish more and better ‘trading zones’. Drawing on the philosophy of pragmatism, the authors further this endeavour by identifying and proposing key elements of a statement of shared purpose and responsibility. Finally, they explore the nature and characteristics of successful trading zones, highlighting particular examples that have already been created in management studies.","container-title":"British Journal of Management","DOI":"10.1111/1467-8551.12110","ISSN":"1467-8551","issue":"3","language":"en","note":"_eprint: https://onlinelibrary.wiley.com/doi/pdf/10.1111/1467-8551.12110","page":"544-559","source":"Wiley Online Library","title":"Towards Common Ground and Trading Zones in Management Research and Practice","volume":"26","author":[{"family":"Romme","given":"A. Georges L."},{"family":"Avenier","given":"Marie-José"},{"family":"Denyer","given":"David"},{"family":"Hodgkinson","given":"Gerard P."},{"family":"Pandza","given":"Krsto"},{"family":"Starkey","given":"Ken"},{"family":"Worren","given":"Nicolay"}],"issued":{"date-parts":[["2015"]]}}}],"schema":"https://github.com/citation-style-language/schema/raw/master/csl-citation.json"} </w:instrText>
      </w:r>
      <w:r w:rsidR="00E543C1" w:rsidRPr="00CA279D">
        <w:rPr>
          <w:rFonts w:cstheme="minorHAnsi"/>
          <w:szCs w:val="22"/>
          <w:lang w:val="en-GB"/>
        </w:rPr>
        <w:fldChar w:fldCharType="separate"/>
      </w:r>
      <w:r w:rsidR="00802E14">
        <w:rPr>
          <w:rFonts w:cstheme="minorHAnsi"/>
          <w:noProof/>
          <w:szCs w:val="22"/>
          <w:lang w:val="en-GB"/>
        </w:rPr>
        <w:t>(Romme et al., 2015)</w:t>
      </w:r>
      <w:r w:rsidR="00E543C1" w:rsidRPr="00CA279D">
        <w:rPr>
          <w:rFonts w:cstheme="minorHAnsi"/>
          <w:szCs w:val="22"/>
          <w:lang w:val="en-GB"/>
        </w:rPr>
        <w:fldChar w:fldCharType="end"/>
      </w:r>
      <w:r w:rsidR="00E543C1" w:rsidRPr="00CA279D">
        <w:rPr>
          <w:rFonts w:cstheme="minorHAnsi"/>
          <w:szCs w:val="22"/>
          <w:lang w:val="en-GB"/>
        </w:rPr>
        <w:t xml:space="preserve">. </w:t>
      </w:r>
    </w:p>
    <w:p w14:paraId="360B9470" w14:textId="03B46C9D" w:rsidR="00E9315B" w:rsidRPr="00F45764" w:rsidRDefault="00E543C1">
      <w:pPr>
        <w:rPr>
          <w:rFonts w:cstheme="minorHAnsi"/>
          <w:szCs w:val="22"/>
          <w:lang w:val="en-GB"/>
        </w:rPr>
      </w:pPr>
      <w:r>
        <w:rPr>
          <w:rFonts w:cstheme="minorHAnsi"/>
          <w:szCs w:val="22"/>
          <w:lang w:val="en-GB"/>
        </w:rPr>
        <w:t>Starting from this premise, t</w:t>
      </w:r>
      <w:r w:rsidR="00E9315B" w:rsidRPr="004D46F6">
        <w:rPr>
          <w:rFonts w:cstheme="minorHAnsi"/>
          <w:szCs w:val="22"/>
          <w:lang w:val="en-GB"/>
        </w:rPr>
        <w:t xml:space="preserve">he paper </w:t>
      </w:r>
      <w:r w:rsidR="00E9315B" w:rsidRPr="00F45764">
        <w:rPr>
          <w:rFonts w:cstheme="minorHAnsi"/>
          <w:szCs w:val="22"/>
          <w:lang w:val="en-GB"/>
        </w:rPr>
        <w:t>aim</w:t>
      </w:r>
      <w:r>
        <w:rPr>
          <w:rFonts w:cstheme="minorHAnsi"/>
          <w:szCs w:val="22"/>
          <w:lang w:val="en-GB"/>
        </w:rPr>
        <w:t xml:space="preserve">s </w:t>
      </w:r>
      <w:r w:rsidR="00E9315B" w:rsidRPr="004D46F6">
        <w:rPr>
          <w:rFonts w:cstheme="minorHAnsi"/>
          <w:szCs w:val="22"/>
          <w:lang w:val="en-GB"/>
        </w:rPr>
        <w:t xml:space="preserve">to explore how Industry 4.0 can be used to increase the impact of the </w:t>
      </w:r>
      <w:r w:rsidR="00BC0896" w:rsidRPr="004D46F6">
        <w:rPr>
          <w:rFonts w:cstheme="minorHAnsi"/>
          <w:szCs w:val="22"/>
          <w:lang w:val="en-GB"/>
        </w:rPr>
        <w:t>CE</w:t>
      </w:r>
      <w:r w:rsidR="00E9315B" w:rsidRPr="004D46F6">
        <w:rPr>
          <w:rFonts w:cstheme="minorHAnsi"/>
          <w:szCs w:val="22"/>
          <w:lang w:val="en-GB"/>
        </w:rPr>
        <w:t xml:space="preserve"> on companies. The article proposes a broader perspective that will include thematic and content analysis </w:t>
      </w:r>
      <w:r w:rsidR="00020BA4" w:rsidRPr="00F45764">
        <w:rPr>
          <w:rFonts w:cstheme="minorHAnsi"/>
          <w:szCs w:val="22"/>
          <w:lang w:val="en-GB"/>
        </w:rPr>
        <w:fldChar w:fldCharType="begin"/>
      </w:r>
      <w:r w:rsidR="00F45764">
        <w:rPr>
          <w:rFonts w:cstheme="minorHAnsi"/>
          <w:szCs w:val="22"/>
          <w:lang w:val="en-GB"/>
        </w:rPr>
        <w:instrText xml:space="preserve"> ADDIN ZOTERO_ITEM CSL_CITATION {"citationID":"hGPAjS4Q","properties":{"formattedCitation":"(Krippendorff, 2018)","plainCitation":"(Krippendorff, 2018)","noteIndex":0},"citationItems":[{"id":6806,"uris":["http://zotero.org/users/5243184/items/ARSJY8Z7"],"uri":["http://zotero.org/users/5243184/items/ARSJY8Z7"],"itemData":{"id":6806,"type":"book","abstract":"What matters in people’s social lives? What motivates and inspires our society? How do we enact what we know? Since the first edition published in 1980, Content Analysis has helped shape and define the field. In the highly anticipated Fourth Edition, award-winning scholar and author Klaus Krippendorff introduces you to the most current method of analyzing the textual fabric of contemporary society. Students and scholars will learn to treat data not as physical events but as communications that are created and disseminated to be seen, read, interpreted, enacted, and reflected upon according to the meanings they have for their recipients. Interpreting communications as texts in the contexts of their social uses distinguishes content analysis from other empirical methods of inquiry. Organized into three parts, Content Analysis first examines the conceptual aspects of content analysis, then discusses components such as unitizing and sampling, and concludes by showing readers how to trace the analytical paths and apply evaluative techniques. The Fourth Edition has been completely revised to offer you the most current techniques and research on content analysis, including new information on reliability and social media. You will also gain practical advice and experience for teaching academic and commercial researchers how to conduct content analysis.","ISBN":"978-1-5063-9567-8","language":"en","note":"Google-Books-ID: nE1aDwAAQBAJ","number-of-pages":"473","publisher":"SAGE Publications","source":"Google Books","title":"Content Analysis: An Introduction to Its Methodology","title-short":"Content Analysis","author":[{"family":"Krippendorff","given":"Klaus"}],"issued":{"date-parts":[["2018",5,9]]}}}],"schema":"https://github.com/citation-style-language/schema/raw/master/csl-citation.json"} </w:instrText>
      </w:r>
      <w:r w:rsidR="00020BA4" w:rsidRPr="00F45764">
        <w:rPr>
          <w:rFonts w:cstheme="minorHAnsi"/>
          <w:szCs w:val="22"/>
          <w:lang w:val="en-GB"/>
        </w:rPr>
        <w:fldChar w:fldCharType="separate"/>
      </w:r>
      <w:r w:rsidR="00802E14">
        <w:rPr>
          <w:rFonts w:cstheme="minorHAnsi"/>
          <w:noProof/>
          <w:szCs w:val="22"/>
          <w:lang w:val="en-GB"/>
        </w:rPr>
        <w:t>(Krippendorff, 2018)</w:t>
      </w:r>
      <w:r w:rsidR="00020BA4" w:rsidRPr="00F45764">
        <w:rPr>
          <w:rFonts w:cstheme="minorHAnsi"/>
          <w:szCs w:val="22"/>
          <w:lang w:val="en-GB"/>
        </w:rPr>
        <w:fldChar w:fldCharType="end"/>
      </w:r>
      <w:r w:rsidR="00020BA4" w:rsidRPr="00F45764">
        <w:rPr>
          <w:rFonts w:cstheme="minorHAnsi"/>
          <w:szCs w:val="22"/>
          <w:lang w:val="en-GB"/>
        </w:rPr>
        <w:t xml:space="preserve"> </w:t>
      </w:r>
      <w:r w:rsidR="00E9315B" w:rsidRPr="00F45764">
        <w:rPr>
          <w:rFonts w:cstheme="minorHAnsi"/>
          <w:szCs w:val="22"/>
          <w:lang w:val="en-GB"/>
        </w:rPr>
        <w:t xml:space="preserve">both on professional documents based on business cases, newspaper articles, press releases and </w:t>
      </w:r>
      <w:r w:rsidR="00784C0C" w:rsidRPr="00F45764">
        <w:rPr>
          <w:rFonts w:cstheme="minorHAnsi"/>
          <w:szCs w:val="22"/>
          <w:lang w:val="en-GB"/>
        </w:rPr>
        <w:t>speciali</w:t>
      </w:r>
      <w:r w:rsidR="00527C14">
        <w:rPr>
          <w:rFonts w:cstheme="minorHAnsi"/>
          <w:szCs w:val="22"/>
          <w:lang w:val="en-GB"/>
        </w:rPr>
        <w:t>s</w:t>
      </w:r>
      <w:r w:rsidR="00784C0C" w:rsidRPr="00E41C68">
        <w:rPr>
          <w:rFonts w:cstheme="minorHAnsi"/>
          <w:szCs w:val="22"/>
          <w:lang w:val="en-GB"/>
        </w:rPr>
        <w:t xml:space="preserve">ed </w:t>
      </w:r>
      <w:r w:rsidR="00E9315B" w:rsidRPr="00F45764">
        <w:rPr>
          <w:rFonts w:cstheme="minorHAnsi"/>
          <w:szCs w:val="22"/>
          <w:lang w:val="en-GB"/>
        </w:rPr>
        <w:t xml:space="preserve">blogs, and scientific papers. Professional </w:t>
      </w:r>
      <w:r w:rsidR="001A34A9" w:rsidRPr="00F45764">
        <w:rPr>
          <w:rFonts w:cstheme="minorHAnsi"/>
          <w:szCs w:val="22"/>
          <w:lang w:val="en-GB"/>
        </w:rPr>
        <w:t>records</w:t>
      </w:r>
      <w:r w:rsidR="00E9315B" w:rsidRPr="00F45764">
        <w:rPr>
          <w:rFonts w:cstheme="minorHAnsi"/>
          <w:szCs w:val="22"/>
          <w:lang w:val="en-GB"/>
        </w:rPr>
        <w:t xml:space="preserve"> have been found using the Nexis Uni database and scientific documents using Scopus. In this way, researchers will have the opportunity to propose to the reader a joint vision to understand and assess the state of the current debate on </w:t>
      </w:r>
      <w:r w:rsidR="00D11A05">
        <w:rPr>
          <w:rFonts w:cstheme="minorHAnsi"/>
          <w:szCs w:val="22"/>
          <w:lang w:val="en-GB"/>
        </w:rPr>
        <w:t>I</w:t>
      </w:r>
      <w:r w:rsidR="00E9315B" w:rsidRPr="00F45764">
        <w:rPr>
          <w:rFonts w:cstheme="minorHAnsi"/>
          <w:szCs w:val="22"/>
          <w:lang w:val="en-GB"/>
        </w:rPr>
        <w:t xml:space="preserve">ndustry 4.0 and the </w:t>
      </w:r>
      <w:r w:rsidR="00BC0896" w:rsidRPr="00F45764">
        <w:rPr>
          <w:rFonts w:cstheme="minorHAnsi"/>
          <w:szCs w:val="22"/>
          <w:lang w:val="en-GB"/>
        </w:rPr>
        <w:t>CE</w:t>
      </w:r>
      <w:r w:rsidR="00E9315B" w:rsidRPr="00F45764">
        <w:rPr>
          <w:rFonts w:cstheme="minorHAnsi"/>
          <w:szCs w:val="22"/>
          <w:lang w:val="en-GB"/>
        </w:rPr>
        <w:t>.</w:t>
      </w:r>
    </w:p>
    <w:p w14:paraId="04FF40F2" w14:textId="702A1CCA" w:rsidR="00E9315B" w:rsidRPr="000818C9" w:rsidRDefault="00E9315B">
      <w:pPr>
        <w:rPr>
          <w:rFonts w:cstheme="minorHAnsi"/>
          <w:szCs w:val="22"/>
          <w:lang w:val="en-GB"/>
        </w:rPr>
      </w:pPr>
      <w:r w:rsidRPr="00F45764">
        <w:rPr>
          <w:rFonts w:cstheme="minorHAnsi"/>
          <w:szCs w:val="22"/>
          <w:lang w:val="en-GB"/>
        </w:rPr>
        <w:t xml:space="preserve">The results show that industry 4.0 has the potential to foster the </w:t>
      </w:r>
      <w:r w:rsidR="00BC0896" w:rsidRPr="00F45764">
        <w:rPr>
          <w:rFonts w:cstheme="minorHAnsi"/>
          <w:szCs w:val="22"/>
          <w:lang w:val="en-GB"/>
        </w:rPr>
        <w:t>CE</w:t>
      </w:r>
      <w:r w:rsidRPr="00F45764">
        <w:rPr>
          <w:rFonts w:cstheme="minorHAnsi"/>
          <w:szCs w:val="22"/>
          <w:lang w:val="en-GB"/>
        </w:rPr>
        <w:t xml:space="preserve"> through countless actions: </w:t>
      </w:r>
      <w:r w:rsidR="00E37859">
        <w:rPr>
          <w:rFonts w:cstheme="minorHAnsi"/>
          <w:szCs w:val="22"/>
          <w:lang w:val="en-GB"/>
        </w:rPr>
        <w:t>enhancing</w:t>
      </w:r>
      <w:r w:rsidRPr="00F45764">
        <w:rPr>
          <w:rFonts w:cstheme="minorHAnsi"/>
          <w:szCs w:val="22"/>
          <w:lang w:val="en-GB"/>
        </w:rPr>
        <w:t xml:space="preserve"> waste disposal; promoting remanufacturing; increasing the efficiency of critical resources such as water, energy, gas</w:t>
      </w:r>
      <w:r w:rsidR="00E37859">
        <w:rPr>
          <w:rFonts w:cstheme="minorHAnsi"/>
          <w:szCs w:val="22"/>
          <w:lang w:val="en-GB"/>
        </w:rPr>
        <w:t>,</w:t>
      </w:r>
      <w:r w:rsidRPr="00F45764">
        <w:rPr>
          <w:rFonts w:cstheme="minorHAnsi"/>
          <w:szCs w:val="22"/>
          <w:lang w:val="en-GB"/>
        </w:rPr>
        <w:t xml:space="preserve"> and CO2; improving business models and the mission of companies.</w:t>
      </w:r>
      <w:r w:rsidR="0092070A">
        <w:rPr>
          <w:rFonts w:cstheme="minorHAnsi"/>
          <w:szCs w:val="22"/>
          <w:lang w:val="en-GB"/>
        </w:rPr>
        <w:t xml:space="preserve"> </w:t>
      </w:r>
      <w:r w:rsidRPr="004D46F6">
        <w:rPr>
          <w:rFonts w:cstheme="minorHAnsi"/>
          <w:szCs w:val="22"/>
          <w:lang w:val="en-GB"/>
        </w:rPr>
        <w:t xml:space="preserve">However, as </w:t>
      </w:r>
      <w:r w:rsidR="00784C0C">
        <w:rPr>
          <w:rFonts w:cstheme="minorHAnsi"/>
          <w:szCs w:val="22"/>
          <w:lang w:val="en-GB"/>
        </w:rPr>
        <w:t xml:space="preserve">it </w:t>
      </w:r>
      <w:r w:rsidRPr="004D46F6">
        <w:rPr>
          <w:rFonts w:cstheme="minorHAnsi"/>
          <w:szCs w:val="22"/>
          <w:lang w:val="en-GB"/>
        </w:rPr>
        <w:t xml:space="preserve">has been invoked several times, there are barriers to adoption, which relate to the need for holistic and integrated design and a proactive environment of collaboration </w:t>
      </w:r>
      <w:r w:rsidR="00784C0C">
        <w:rPr>
          <w:rFonts w:cstheme="minorHAnsi"/>
          <w:szCs w:val="22"/>
          <w:lang w:val="en-GB"/>
        </w:rPr>
        <w:t>among</w:t>
      </w:r>
      <w:r w:rsidR="00784C0C" w:rsidRPr="004D46F6">
        <w:rPr>
          <w:rFonts w:cstheme="minorHAnsi"/>
          <w:szCs w:val="22"/>
          <w:lang w:val="en-GB"/>
        </w:rPr>
        <w:t xml:space="preserve"> </w:t>
      </w:r>
      <w:r w:rsidRPr="004D46F6">
        <w:rPr>
          <w:rFonts w:cstheme="minorHAnsi"/>
          <w:szCs w:val="22"/>
          <w:lang w:val="en-GB"/>
        </w:rPr>
        <w:t>partners. Solving these issues, which are currently open and under investigation, will provide greater strength to th</w:t>
      </w:r>
      <w:r w:rsidRPr="00F76BE8">
        <w:rPr>
          <w:rFonts w:cstheme="minorHAnsi"/>
          <w:szCs w:val="22"/>
          <w:lang w:val="en-GB"/>
        </w:rPr>
        <w:t xml:space="preserve">e </w:t>
      </w:r>
      <w:r w:rsidR="00784C0C">
        <w:rPr>
          <w:rFonts w:cstheme="minorHAnsi"/>
          <w:szCs w:val="22"/>
          <w:lang w:val="en-GB"/>
        </w:rPr>
        <w:t>CE</w:t>
      </w:r>
      <w:r w:rsidRPr="00473378">
        <w:rPr>
          <w:rFonts w:cstheme="minorHAnsi"/>
          <w:szCs w:val="22"/>
          <w:lang w:val="en-GB"/>
        </w:rPr>
        <w:t xml:space="preserve">. </w:t>
      </w:r>
    </w:p>
    <w:p w14:paraId="7C6D3C87" w14:textId="63E9A2B8" w:rsidR="00E9315B" w:rsidRPr="00F45764" w:rsidRDefault="00C21A17">
      <w:pPr>
        <w:rPr>
          <w:rFonts w:cstheme="minorHAnsi"/>
          <w:szCs w:val="22"/>
          <w:lang w:val="en-GB"/>
        </w:rPr>
      </w:pPr>
      <w:r>
        <w:rPr>
          <w:rFonts w:cstheme="minorHAnsi"/>
          <w:szCs w:val="22"/>
          <w:lang w:val="en-GB"/>
        </w:rPr>
        <w:t>O</w:t>
      </w:r>
      <w:r w:rsidR="00E9315B" w:rsidRPr="00B7155E">
        <w:rPr>
          <w:rFonts w:cstheme="minorHAnsi"/>
          <w:szCs w:val="22"/>
          <w:lang w:val="en-GB"/>
        </w:rPr>
        <w:t xml:space="preserve">ur paper is new for several reasons. First, it is part of a </w:t>
      </w:r>
      <w:r w:rsidR="00E37859">
        <w:rPr>
          <w:rFonts w:cstheme="minorHAnsi"/>
          <w:szCs w:val="22"/>
          <w:lang w:val="en-GB"/>
        </w:rPr>
        <w:t>promising and young</w:t>
      </w:r>
      <w:r w:rsidR="00E9315B" w:rsidRPr="00B7155E">
        <w:rPr>
          <w:rFonts w:cstheme="minorHAnsi"/>
          <w:szCs w:val="22"/>
          <w:lang w:val="en-GB"/>
        </w:rPr>
        <w:t xml:space="preserve"> line </w:t>
      </w:r>
      <w:r w:rsidR="00E9315B" w:rsidRPr="00F45764">
        <w:rPr>
          <w:rFonts w:cstheme="minorHAnsi"/>
          <w:szCs w:val="22"/>
          <w:lang w:val="en-GB"/>
        </w:rPr>
        <w:t xml:space="preserve">of research with important implications for all of us. Besides, by focusing on both professional and scientific sources, the paper allows us to narrow the gap between managers and scholars. Finally, thanks to the vision of the two streams of knowledge, the work aims to provide suggestions to professionals and new lines of research to academics. The aim of the work is </w:t>
      </w:r>
      <w:r>
        <w:rPr>
          <w:rFonts w:cstheme="minorHAnsi"/>
          <w:szCs w:val="22"/>
          <w:lang w:val="en-GB"/>
        </w:rPr>
        <w:t xml:space="preserve">to </w:t>
      </w:r>
      <w:r w:rsidR="00E9315B" w:rsidRPr="00F45764">
        <w:rPr>
          <w:rFonts w:cstheme="minorHAnsi"/>
          <w:szCs w:val="22"/>
          <w:lang w:val="en-GB"/>
        </w:rPr>
        <w:t xml:space="preserve">show how </w:t>
      </w:r>
      <w:r w:rsidR="00AB30F6">
        <w:rPr>
          <w:rFonts w:cstheme="minorHAnsi"/>
          <w:szCs w:val="22"/>
          <w:lang w:val="en-GB"/>
        </w:rPr>
        <w:t xml:space="preserve">CE can benefit from </w:t>
      </w:r>
      <w:r w:rsidR="00E37859">
        <w:rPr>
          <w:rFonts w:cstheme="minorHAnsi"/>
          <w:szCs w:val="22"/>
          <w:lang w:val="en-GB"/>
        </w:rPr>
        <w:t>I</w:t>
      </w:r>
      <w:r w:rsidR="00E9315B" w:rsidRPr="00E41C68">
        <w:rPr>
          <w:rFonts w:cstheme="minorHAnsi"/>
          <w:szCs w:val="22"/>
          <w:lang w:val="en-GB"/>
        </w:rPr>
        <w:t>ndustry 4.0 and everything that underlies it</w:t>
      </w:r>
      <w:r w:rsidR="00E9315B" w:rsidRPr="00F45764">
        <w:rPr>
          <w:rFonts w:cstheme="minorHAnsi"/>
          <w:szCs w:val="22"/>
          <w:lang w:val="en-GB"/>
        </w:rPr>
        <w:t xml:space="preserve">. </w:t>
      </w:r>
    </w:p>
    <w:p w14:paraId="66CAAA5C" w14:textId="6FCE826F" w:rsidR="00E419D8" w:rsidRPr="00F45764" w:rsidRDefault="00AB30F6">
      <w:pPr>
        <w:rPr>
          <w:rFonts w:cstheme="minorHAnsi"/>
          <w:szCs w:val="22"/>
          <w:lang w:val="en-GB"/>
        </w:rPr>
      </w:pPr>
      <w:r>
        <w:rPr>
          <w:rFonts w:cstheme="minorHAnsi"/>
          <w:szCs w:val="22"/>
          <w:lang w:val="en-GB"/>
        </w:rPr>
        <w:t>Regarding t</w:t>
      </w:r>
      <w:r w:rsidRPr="00E41C68">
        <w:rPr>
          <w:rFonts w:cstheme="minorHAnsi"/>
          <w:szCs w:val="22"/>
          <w:lang w:val="en-GB"/>
        </w:rPr>
        <w:t xml:space="preserve">he </w:t>
      </w:r>
      <w:r w:rsidR="00E9315B" w:rsidRPr="00B7155E">
        <w:rPr>
          <w:rFonts w:cstheme="minorHAnsi"/>
          <w:szCs w:val="22"/>
          <w:lang w:val="en-GB"/>
        </w:rPr>
        <w:t>rest of the article</w:t>
      </w:r>
      <w:r>
        <w:rPr>
          <w:rFonts w:cstheme="minorHAnsi"/>
          <w:szCs w:val="22"/>
          <w:lang w:val="en-GB"/>
        </w:rPr>
        <w:t>,</w:t>
      </w:r>
      <w:r w:rsidR="00E9315B" w:rsidRPr="00E41C68">
        <w:rPr>
          <w:rFonts w:cstheme="minorHAnsi"/>
          <w:szCs w:val="22"/>
          <w:lang w:val="en-GB"/>
        </w:rPr>
        <w:t xml:space="preserve"> </w:t>
      </w:r>
      <w:r>
        <w:rPr>
          <w:rFonts w:cstheme="minorHAnsi"/>
          <w:szCs w:val="22"/>
          <w:lang w:val="en-GB"/>
        </w:rPr>
        <w:t>t</w:t>
      </w:r>
      <w:r w:rsidR="00E9315B" w:rsidRPr="00F45764">
        <w:rPr>
          <w:rFonts w:cstheme="minorHAnsi"/>
          <w:szCs w:val="22"/>
          <w:lang w:val="en-GB"/>
        </w:rPr>
        <w:t>he next section describe</w:t>
      </w:r>
      <w:r>
        <w:rPr>
          <w:rFonts w:cstheme="minorHAnsi"/>
          <w:szCs w:val="22"/>
          <w:lang w:val="en-GB"/>
        </w:rPr>
        <w:t>s</w:t>
      </w:r>
      <w:r w:rsidR="00E9315B" w:rsidRPr="00E41C68">
        <w:rPr>
          <w:rFonts w:cstheme="minorHAnsi"/>
          <w:szCs w:val="22"/>
          <w:lang w:val="en-GB"/>
        </w:rPr>
        <w:t xml:space="preserve"> the theme of </w:t>
      </w:r>
      <w:r w:rsidR="00E37859">
        <w:rPr>
          <w:rFonts w:cstheme="minorHAnsi"/>
          <w:szCs w:val="22"/>
          <w:lang w:val="en-GB"/>
        </w:rPr>
        <w:t>I</w:t>
      </w:r>
      <w:r w:rsidR="00E9315B" w:rsidRPr="00E41C68">
        <w:rPr>
          <w:rFonts w:cstheme="minorHAnsi"/>
          <w:szCs w:val="22"/>
          <w:lang w:val="en-GB"/>
        </w:rPr>
        <w:t xml:space="preserve">ndustry 4.0. Subsequently, ample space </w:t>
      </w:r>
      <w:r>
        <w:rPr>
          <w:rFonts w:cstheme="minorHAnsi"/>
          <w:szCs w:val="22"/>
          <w:lang w:val="en-GB"/>
        </w:rPr>
        <w:t>is</w:t>
      </w:r>
      <w:r w:rsidR="00E9315B" w:rsidRPr="00E41C68">
        <w:rPr>
          <w:rFonts w:cstheme="minorHAnsi"/>
          <w:szCs w:val="22"/>
          <w:lang w:val="en-GB"/>
        </w:rPr>
        <w:t xml:space="preserve"> given to the analysis of the links between </w:t>
      </w:r>
      <w:r w:rsidR="00E37859">
        <w:rPr>
          <w:rFonts w:cstheme="minorHAnsi"/>
          <w:szCs w:val="22"/>
          <w:lang w:val="en-GB"/>
        </w:rPr>
        <w:t>I</w:t>
      </w:r>
      <w:r w:rsidR="00E9315B" w:rsidRPr="00E41C68">
        <w:rPr>
          <w:rFonts w:cstheme="minorHAnsi"/>
          <w:szCs w:val="22"/>
          <w:lang w:val="en-GB"/>
        </w:rPr>
        <w:t xml:space="preserve">ndustry 4.0 and the </w:t>
      </w:r>
      <w:r>
        <w:rPr>
          <w:rFonts w:cstheme="minorHAnsi"/>
          <w:szCs w:val="22"/>
          <w:lang w:val="en-GB"/>
        </w:rPr>
        <w:t>CE</w:t>
      </w:r>
      <w:r w:rsidR="00E9315B" w:rsidRPr="00E41C68">
        <w:rPr>
          <w:rFonts w:cstheme="minorHAnsi"/>
          <w:szCs w:val="22"/>
          <w:lang w:val="en-GB"/>
        </w:rPr>
        <w:t xml:space="preserve">. This </w:t>
      </w:r>
      <w:r>
        <w:rPr>
          <w:rFonts w:cstheme="minorHAnsi"/>
          <w:szCs w:val="22"/>
          <w:lang w:val="en-GB"/>
        </w:rPr>
        <w:t>is then</w:t>
      </w:r>
      <w:r w:rsidR="00E9315B" w:rsidRPr="00F45764">
        <w:rPr>
          <w:rFonts w:cstheme="minorHAnsi"/>
          <w:szCs w:val="22"/>
          <w:lang w:val="en-GB"/>
        </w:rPr>
        <w:t xml:space="preserve"> followed by identifying the method used by the authors and the results with the division between professionals and academics. Finally, the paper </w:t>
      </w:r>
      <w:r>
        <w:rPr>
          <w:rFonts w:cstheme="minorHAnsi"/>
          <w:szCs w:val="22"/>
          <w:lang w:val="en-GB"/>
        </w:rPr>
        <w:t>comes</w:t>
      </w:r>
      <w:r w:rsidR="00E9315B" w:rsidRPr="00E41C68">
        <w:rPr>
          <w:rFonts w:cstheme="minorHAnsi"/>
          <w:szCs w:val="22"/>
          <w:lang w:val="en-GB"/>
        </w:rPr>
        <w:t xml:space="preserve"> to the end of its narration by discussing the results</w:t>
      </w:r>
      <w:r>
        <w:rPr>
          <w:rFonts w:cstheme="minorHAnsi"/>
          <w:szCs w:val="22"/>
          <w:lang w:val="en-GB"/>
        </w:rPr>
        <w:t>, with some conclu</w:t>
      </w:r>
      <w:r w:rsidR="00E41C68">
        <w:rPr>
          <w:rFonts w:cstheme="minorHAnsi"/>
          <w:szCs w:val="22"/>
          <w:lang w:val="en-GB"/>
        </w:rPr>
        <w:t>ding</w:t>
      </w:r>
      <w:r>
        <w:rPr>
          <w:rFonts w:cstheme="minorHAnsi"/>
          <w:szCs w:val="22"/>
          <w:lang w:val="en-GB"/>
        </w:rPr>
        <w:t xml:space="preserve"> remarks</w:t>
      </w:r>
      <w:r w:rsidR="00E9315B" w:rsidRPr="00F45764">
        <w:rPr>
          <w:rFonts w:cstheme="minorHAnsi"/>
          <w:szCs w:val="22"/>
          <w:lang w:val="en-GB"/>
        </w:rPr>
        <w:t>.</w:t>
      </w:r>
    </w:p>
    <w:p w14:paraId="38B4AFDE" w14:textId="06CB9D1C" w:rsidR="00E9315B" w:rsidRPr="00F45764" w:rsidRDefault="00E9315B" w:rsidP="004D46F6">
      <w:pPr>
        <w:rPr>
          <w:rFonts w:cstheme="minorHAnsi"/>
          <w:szCs w:val="22"/>
          <w:lang w:val="en-GB"/>
        </w:rPr>
      </w:pPr>
    </w:p>
    <w:p w14:paraId="504DDFD8" w14:textId="0801E4AD" w:rsidR="00E62839" w:rsidRPr="008228A8" w:rsidRDefault="00E419D8" w:rsidP="008228A8">
      <w:pPr>
        <w:pStyle w:val="Titolo1"/>
        <w:rPr>
          <w:lang w:val="en-GB"/>
        </w:rPr>
      </w:pPr>
      <w:r w:rsidRPr="008228A8">
        <w:rPr>
          <w:lang w:val="en-GB"/>
        </w:rPr>
        <w:lastRenderedPageBreak/>
        <w:t>Literature review</w:t>
      </w:r>
    </w:p>
    <w:p w14:paraId="5691469F" w14:textId="344ABEE8" w:rsidR="0096562B" w:rsidRPr="00F76BE8" w:rsidRDefault="0096562B" w:rsidP="008228A8">
      <w:pPr>
        <w:pStyle w:val="Titolo2"/>
      </w:pPr>
      <w:r w:rsidRPr="00F76BE8">
        <w:t xml:space="preserve">Industry 4.0 </w:t>
      </w:r>
      <w:r w:rsidR="00F76BE8">
        <w:t>and CE. B</w:t>
      </w:r>
      <w:r w:rsidRPr="00F76BE8">
        <w:t>etween opportunities and challenges</w:t>
      </w:r>
    </w:p>
    <w:p w14:paraId="05796AC4" w14:textId="6E2F2AB0" w:rsidR="00CF2FBE" w:rsidRPr="00F45764" w:rsidRDefault="0096562B">
      <w:pPr>
        <w:rPr>
          <w:rFonts w:cstheme="minorHAnsi"/>
          <w:szCs w:val="22"/>
          <w:lang w:val="en-GB"/>
        </w:rPr>
      </w:pPr>
      <w:r w:rsidRPr="00F45764">
        <w:rPr>
          <w:rFonts w:cstheme="minorHAnsi"/>
          <w:szCs w:val="22"/>
          <w:lang w:val="en-GB"/>
        </w:rPr>
        <w:t xml:space="preserve">The economic and productive change triggered by the fourth industrial revolution identifies </w:t>
      </w:r>
      <w:r w:rsidR="003D32C9" w:rsidRPr="00F45764">
        <w:rPr>
          <w:rFonts w:cstheme="minorHAnsi"/>
          <w:szCs w:val="22"/>
          <w:lang w:val="en-GB"/>
        </w:rPr>
        <w:t xml:space="preserve">several </w:t>
      </w:r>
      <w:r w:rsidRPr="00F45764">
        <w:rPr>
          <w:rFonts w:cstheme="minorHAnsi"/>
          <w:szCs w:val="22"/>
          <w:lang w:val="en-GB"/>
        </w:rPr>
        <w:t xml:space="preserve">applications based on the Internet of </w:t>
      </w:r>
      <w:r w:rsidR="007905B7">
        <w:rPr>
          <w:rFonts w:cstheme="minorHAnsi"/>
          <w:szCs w:val="22"/>
          <w:lang w:val="en-GB"/>
        </w:rPr>
        <w:t>T</w:t>
      </w:r>
      <w:r w:rsidRPr="00F45764">
        <w:rPr>
          <w:rFonts w:cstheme="minorHAnsi"/>
          <w:szCs w:val="22"/>
          <w:lang w:val="en-GB"/>
        </w:rPr>
        <w:t xml:space="preserve">hings (IoT), </w:t>
      </w:r>
      <w:r w:rsidR="007905B7">
        <w:rPr>
          <w:rFonts w:cstheme="minorHAnsi"/>
          <w:szCs w:val="22"/>
          <w:lang w:val="en-GB"/>
        </w:rPr>
        <w:t>A</w:t>
      </w:r>
      <w:r w:rsidRPr="00F45764">
        <w:rPr>
          <w:rFonts w:cstheme="minorHAnsi"/>
          <w:szCs w:val="22"/>
          <w:lang w:val="en-GB"/>
        </w:rPr>
        <w:t xml:space="preserve">rtificial </w:t>
      </w:r>
      <w:r w:rsidR="007905B7">
        <w:rPr>
          <w:rFonts w:cstheme="minorHAnsi"/>
          <w:szCs w:val="22"/>
          <w:lang w:val="en-GB"/>
        </w:rPr>
        <w:t>I</w:t>
      </w:r>
      <w:r w:rsidRPr="00F45764">
        <w:rPr>
          <w:rFonts w:cstheme="minorHAnsi"/>
          <w:szCs w:val="22"/>
          <w:lang w:val="en-GB"/>
        </w:rPr>
        <w:t>ntelligence (AI), cybersecurity, and 3D printing</w:t>
      </w:r>
      <w:r w:rsidR="00892226" w:rsidRPr="00F45764">
        <w:rPr>
          <w:rFonts w:cstheme="minorHAnsi"/>
          <w:szCs w:val="22"/>
          <w:lang w:val="en-GB"/>
        </w:rPr>
        <w:t xml:space="preserve"> </w:t>
      </w:r>
      <w:r w:rsidR="00892226" w:rsidRPr="00F45764">
        <w:rPr>
          <w:rFonts w:cstheme="minorHAnsi"/>
          <w:szCs w:val="22"/>
          <w:lang w:val="en-GB"/>
        </w:rPr>
        <w:fldChar w:fldCharType="begin"/>
      </w:r>
      <w:r w:rsidR="008228A8">
        <w:rPr>
          <w:rFonts w:cstheme="minorHAnsi"/>
          <w:szCs w:val="22"/>
          <w:lang w:val="en-GB"/>
        </w:rPr>
        <w:instrText xml:space="preserve"> ADDIN ZOTERO_ITEM CSL_CITATION {"citationID":"CjDgLNvv","properties":{"formattedCitation":"(Bagnoli et al., 2018; Del Giudice, 2016; Manyika et al., 2013; Secinaro, Brescia, Calandra, &amp; Biancone, 2020)","plainCitation":"(Bagnoli et al., 2018; Del Giudice, 2016; Manyika et al., 2013; Secinaro, Brescia, Calandra, &amp; Biancone, 2020)","noteIndex":0},"citationItems":[{"id":7050,"uris":["http://zotero.org/users/5243184/items/CIFRDN5Y"],"uri":["http://zotero.org/users/5243184/items/CIFRDN5Y"],"itemData":{"id":7050,"type":"article-journal","abstract":"Business Model (BM) literature is growing with many contributions from academics and practitioners. Interestingly, despite a large number of studies focused on BM, we found a lack of consistency in the definition of what a BM is. Using content analysis, this study aims to investigate previous studies searching for a shared definition of BM. A relevance assessment allows understanding most common elements that shape BM, allowing us to draw a definition of BM. Four main dimensions are derived to define the BM: the value dimension, the modeling principles dimension, the functional dimension, the strategy dimension. Finally, results show further needs of development.","container-title":"International Journal of Knowledge and Systems Science","DOI":"10.4018/IJKSS.2018070104","journalAbbreviation":"International Journal of Knowledge and Systems Science","page":"48-64","source":"ResearchGate","title":"Defining The Concept Of Business Model: Searching For A Business Model Framework","title-short":"Defining The Concept Of Business Model","volume":"9","author":[{"family":"Bagnoli","given":"Carlo"},{"family":"Massaro","given":"Maurizio"},{"family":"Mas","given":"Francesca"},{"family":"Demartini","given":"Matteo"}],"issued":{"date-parts":[["2018",7,1]]}}},{"id":7052,"uris":["http://zotero.org/users/5243184/items/Q9G3C2A5"],"uri":["http://zotero.org/users/5243184/items/Q9G3C2A5"],"itemData":{"id":7052,"type":"article-journal","abstract":"Purpose We still know very little about how the IoT are changing the way of interpreting the business process management inside and outside the firms and this topic is progressively becoming very hot in the leading managerial literature (Al Mashari &amp; Zairi, 2000). Then, management scholars are aiming at investigating the impact and the role of the IoT on the business process management in terms of promotion of knowledge flow, innovation and competitiveness. Likewise, management researchers aim at understanding how IoT foster innovation inside organizations and which implication this phenomenon can have on business process management and competitiveness of the firms (Al Mashari &amp; Zairi, 1999). The present paper offers a literature review on the topic, by considering the technological revitalization through the IoT as a key driver for the business process management of the industrial firm. Design/methodology/approach The present paper offers a literature review of the most relevant contributions on IoT and business process management. It presents a qualitative approach to the discussion of the technological revitalization concept within industrial firms using IoT technologies. Findings The rising number of technical contributions using IoT shows that technologies are evolving and there is a learning and application process supported by standardization efforts. Easy installation, standardization, stoutness, configuration and servicing are essential to keep IoT systems operational and hence offering value for the business process management within every industry. From a business process management point of view, value creation from the IoT application to technological revitalizations is pivotal and will affect the use of IoT technologies in the industry, on a progressively higher scale, in the coming years. Originality/value There are still few contributes in the managerial literature which shows the implications of IoT on business process management of industrial firms and, particularly, on technological revitalization. The paper offers a literature review on the topic, at the same presenting some reflections on the application of the IoT to technological revitalizations, within industrial contexts.","container-title":"Business Process Management Journal","DOI":"10.1108/BPMJ-12-2015-0173","ISSN":"1463-7154","issue":"2","note":"publisher: Emerald Group Publishing Limited","source":"Emerald Insight","title":"Discovering the Internet of Things (IoT) within the business process management: a literature review on technological revitalization","title-short":"Discovering the Internet of Things (IoT) within the business process management","URL":"https://doi.org/10.1108/BPMJ-12-2015-0173","volume":"22","author":[{"family":"Del Giudice","given":"Manlio"}],"editor":[{"family":"Al-Mashari","given":"Majed"},{"family":"Del Giudice","given":"Manlio"}],"accessed":{"date-parts":[["2020",6,27]]},"issued":{"date-parts":[["2016",1,1]]}}},{"id":6946,"uris":["http://zotero.org/users/5243184/items/BYAJDQZX"],"uri":["http://zotero.org/users/5243184/items/BYAJDQZX"],"itemData":{"id":6946,"type":"webpage","abstract":"Twelve emerging technologies--including the mobile Internet, autonomous vehicles, and advanced genomics--have the potential to truly reshape the world in which we live and work. Leaders in both government and business must not only know what’s on the horizon but also start preparing for its impact.","language":"en","note":"source: www.mckinsey.com","title":"Disruptive technologies: Advances that will transform life, business, and the global economy","title-short":"Disruptive technologies","URL":"https://www.mckinsey.com/business-functions/mckinsey-digital/our-insights/disruptive-technologies","author":[{"family":"Manyika","given":"James"},{"family":"Chui","given":"Michael"},{"family":"Bughin","given":"Jacques"},{"family":"Dobbs","given":"Richard"},{"family":"Bisson","given":"Peter"},{"family":"Marrs","given":"Alex"}],"accessed":{"date-parts":[["2020",6,23]]},"issued":{"date-parts":[["2013"]]}}},{"id":6584,"uris":["http://zotero.org/users/5243184/items/ALVXT4LM"],"uri":["http://zotero.org/users/5243184/items/ALVXT4LM"],"itemData":{"id":6584,"type":"article-journal","abstract":"Business model architectures in the car industry are gaining increased attention from scientists and policymakers. Although scientific studies have been conducted to address the pressures faced by future business models to change, no research has examined th</w:instrText>
      </w:r>
      <w:r w:rsidR="008228A8" w:rsidRPr="008228A8">
        <w:rPr>
          <w:rFonts w:cstheme="minorHAnsi"/>
          <w:szCs w:val="22"/>
        </w:rPr>
        <w:instrText xml:space="preserve">e bibliometric variables in this area. This study aims to fill the gap by conducting a bibliometric analysis of 104 articles on business models for electric cars. The analysis showed that the literature on business models for electric cars is exhaustive, and it focuses on business model decisions for charging technologies, driver services, electricity management, commercial contracts, and plant. China, the United States of America, and Germany have conducted the maximum number of studies on the aforementioned theme. The topic dendrogram identified two evolving strands of discussions—innovative technologies and resource optimization and electricity management systems and product life cycle. These findings can guide the formulation of environmentally sustainable policies for electric car manufacturing and help car manufacturers to restructure their models.","container-title":"Journal of Cleaner Production","DOI":"10.1016/j.jclepro.2020.121503","ISSN":"0959-6526","journalAbbreviation":"Journal of Cleaner Production","language":"en","page":"121503","source":"ScienceDirect","title":"Employing bibliometric analysis to identify suitable business models for electric cars","volume":"264","author":[{"family":"Secinaro","given":"Silvana"},{"family":"Brescia","given":"Valerio"},{"family":"Calandra","given":"Davide"},{"family":"Biancone","given":"Paolo"}],"issued":{"date-parts":[["2020",8,10]]}}}],"schema":"https://github.com/citation-style-language/schema/raw/master/csl-citation.json"} </w:instrText>
      </w:r>
      <w:r w:rsidR="00892226" w:rsidRPr="00F45764">
        <w:rPr>
          <w:rFonts w:cstheme="minorHAnsi"/>
          <w:szCs w:val="22"/>
          <w:lang w:val="en-GB"/>
        </w:rPr>
        <w:fldChar w:fldCharType="separate"/>
      </w:r>
      <w:r w:rsidR="00802E14">
        <w:rPr>
          <w:rFonts w:cstheme="minorHAnsi"/>
          <w:noProof/>
          <w:szCs w:val="22"/>
        </w:rPr>
        <w:t>(Bagnoli et al., 2018; Del Giudice, 2016; Manyika et al., 2013; Secinaro, Brescia, Calandra, &amp; Biancone, 2020)</w:t>
      </w:r>
      <w:r w:rsidR="00892226" w:rsidRPr="00F45764">
        <w:rPr>
          <w:rFonts w:cstheme="minorHAnsi"/>
          <w:szCs w:val="22"/>
          <w:lang w:val="en-GB"/>
        </w:rPr>
        <w:fldChar w:fldCharType="end"/>
      </w:r>
      <w:r w:rsidR="00892226" w:rsidRPr="008228A8">
        <w:rPr>
          <w:rFonts w:cstheme="minorHAnsi"/>
          <w:szCs w:val="22"/>
        </w:rPr>
        <w:t>.</w:t>
      </w:r>
      <w:r w:rsidRPr="008228A8">
        <w:rPr>
          <w:rFonts w:cstheme="minorHAnsi"/>
          <w:szCs w:val="22"/>
        </w:rPr>
        <w:t xml:space="preserve"> </w:t>
      </w:r>
      <w:r w:rsidRPr="00F45764">
        <w:rPr>
          <w:rFonts w:cstheme="minorHAnsi"/>
          <w:szCs w:val="22"/>
          <w:lang w:val="en-GB"/>
        </w:rPr>
        <w:t xml:space="preserve">The new approach is changing the services and management of production processes in </w:t>
      </w:r>
      <w:r w:rsidR="00F76BE8">
        <w:rPr>
          <w:rFonts w:cstheme="minorHAnsi"/>
          <w:szCs w:val="22"/>
          <w:lang w:val="en-GB"/>
        </w:rPr>
        <w:t>multinationa</w:t>
      </w:r>
      <w:r w:rsidR="00B7155E">
        <w:rPr>
          <w:rFonts w:cstheme="minorHAnsi"/>
          <w:szCs w:val="22"/>
          <w:lang w:val="en-GB"/>
        </w:rPr>
        <w:t>l</w:t>
      </w:r>
      <w:r w:rsidR="00F76BE8">
        <w:rPr>
          <w:rFonts w:cstheme="minorHAnsi"/>
          <w:szCs w:val="22"/>
          <w:lang w:val="en-GB"/>
        </w:rPr>
        <w:t xml:space="preserve"> as well as in </w:t>
      </w:r>
      <w:r w:rsidRPr="00F76BE8">
        <w:rPr>
          <w:rFonts w:cstheme="minorHAnsi"/>
          <w:szCs w:val="22"/>
          <w:lang w:val="en-GB"/>
        </w:rPr>
        <w:t xml:space="preserve">small and medium-sized enterprises </w:t>
      </w:r>
      <w:r w:rsidR="00F76BE8" w:rsidRPr="00F76BE8">
        <w:rPr>
          <w:rFonts w:cstheme="minorHAnsi"/>
          <w:szCs w:val="22"/>
          <w:lang w:val="en-GB"/>
        </w:rPr>
        <w:fldChar w:fldCharType="begin"/>
      </w:r>
      <w:r w:rsidR="00F45764">
        <w:rPr>
          <w:rFonts w:cstheme="minorHAnsi"/>
          <w:szCs w:val="22"/>
          <w:lang w:val="en-GB"/>
        </w:rPr>
        <w:instrText xml:space="preserve"> ADDIN ZOTERO_ITEM CSL_CITATION {"citationID":"6MaWXjZv","properties":{"formattedCitation":"(Li et al., 2017; Thoben et al., 2017, pag. 0)","plainCitation":"(Li et al., 2017; Thoben et al., 2017, pag. 0)","dontUpdate":true,"noteIndex":0},"citationItems":[{"id":6938,"uris":["http://zotero.org/users/5243184/items/H6A6TMEV"],"uri":["http://zotero.org/users/5243184/items/H6A6TMEV"],"itemData":{"id":6938,"type":"article-journal","abstract":"The world is marching into a new development period when the digital technology, physical technology, and biological technology have achieved an unprecedented development respectively in their own fields, and at the same time their applications are converging greatly. These are the three major technological drivers for the Fourth Industrial Revolution. This paper discusses the specific technology niches of each kind technological driver behind the Fourth Industrial Revolution, and then evaluates impacts of the Fourth Industrial Revolution on global industrial, economic, and social development. At last this paper proposes possible measures and policies for both firms and governments to cope with the changes brought by the Fourth Industrial Revolution.","container-title":"Chinese Geographical Science","DOI":"10.1007/s11769-017-0890-x","ISSN":"1993-064X","issue":"4","journalAbbreviation":"Chin. Geogr. Sci.","language":"en","page":"626-637","source":"Springer Link","title":"Fourth Industrial Revolution: technological drivers, impacts and coping methods","title-short":"Fourth Industrial Revolution","volume":"27","author":[{"family":"Li","given":"Guoping"},{"family":"Hou","given":"Yun"},{"family":"Wu","given":"Aizhi"}],"issued":{"date-parts":[["2017",8,1]]}}},{"id":6939,"uris":["http://zotero.org/users/5243184/items/W6WRIBZ8"],"uri":["http://zotero.org/users/5243184/items/W6WRIBZ8"],"itemData":{"id":6939,"type":"article-journal","abstract":"ResearchGate is a network dedicated to science and research. Connect, collaborate and discover scientific publications, jobs and conferences. All for free.","container-title":"International Journal of Automation Technology","issue":"1","language":"en","note":"source: www.researchgate.net","page":"4-19","title":"Industrie 4.0\" and Smart Manufacturing – A Review of Research Issues and Application Examples","volume":"11","author":[{"family":"Thoben","given":"Klaus-Dieter"},{"family":"Wiesner","given":"Stefan Alexander"},{"family":"Wuest","given":"Thorsten"}],"issued":{"date-parts":[["2017"]]}},"locator":"0"}],"schema":"https://github.com/citation-style-language/schema/raw/master/csl-citation.json"} </w:instrText>
      </w:r>
      <w:r w:rsidR="00F76BE8" w:rsidRPr="00F76BE8">
        <w:rPr>
          <w:rFonts w:cstheme="minorHAnsi"/>
          <w:szCs w:val="22"/>
          <w:lang w:val="en-GB"/>
        </w:rPr>
        <w:fldChar w:fldCharType="separate"/>
      </w:r>
      <w:r w:rsidR="00F76BE8" w:rsidRPr="00F76BE8">
        <w:rPr>
          <w:rFonts w:cstheme="minorHAnsi"/>
          <w:noProof/>
          <w:szCs w:val="22"/>
          <w:lang w:val="en-GB"/>
        </w:rPr>
        <w:t>(Li et al., 2017; Thoben et al., 2017)</w:t>
      </w:r>
      <w:r w:rsidR="00F76BE8" w:rsidRPr="00F76BE8">
        <w:rPr>
          <w:rFonts w:cstheme="minorHAnsi"/>
          <w:szCs w:val="22"/>
          <w:lang w:val="en-GB"/>
        </w:rPr>
        <w:fldChar w:fldCharType="end"/>
      </w:r>
      <w:r w:rsidR="00F76BE8">
        <w:rPr>
          <w:rFonts w:cstheme="minorHAnsi"/>
          <w:szCs w:val="22"/>
          <w:lang w:val="en-GB"/>
        </w:rPr>
        <w:t>.</w:t>
      </w:r>
      <w:r w:rsidR="00B7155E">
        <w:rPr>
          <w:rFonts w:cstheme="minorHAnsi"/>
          <w:szCs w:val="22"/>
          <w:lang w:val="en-GB"/>
        </w:rPr>
        <w:t xml:space="preserve"> </w:t>
      </w:r>
      <w:r w:rsidRPr="00F76BE8">
        <w:rPr>
          <w:rFonts w:cstheme="minorHAnsi"/>
          <w:szCs w:val="22"/>
          <w:lang w:val="en-GB"/>
        </w:rPr>
        <w:t xml:space="preserve">This approach involves </w:t>
      </w:r>
      <w:r w:rsidR="00F76BE8">
        <w:rPr>
          <w:rFonts w:cstheme="minorHAnsi"/>
          <w:szCs w:val="22"/>
          <w:lang w:val="en-GB"/>
        </w:rPr>
        <w:t xml:space="preserve">several </w:t>
      </w:r>
      <w:r w:rsidRPr="00F76BE8">
        <w:rPr>
          <w:rFonts w:cstheme="minorHAnsi"/>
          <w:szCs w:val="22"/>
          <w:lang w:val="en-GB"/>
        </w:rPr>
        <w:t xml:space="preserve">sectors such as the </w:t>
      </w:r>
      <w:r w:rsidR="00B7155E">
        <w:rPr>
          <w:rFonts w:cstheme="minorHAnsi"/>
          <w:szCs w:val="22"/>
          <w:lang w:val="en-GB"/>
        </w:rPr>
        <w:t>automotive</w:t>
      </w:r>
      <w:r w:rsidRPr="00F76BE8">
        <w:rPr>
          <w:rFonts w:cstheme="minorHAnsi"/>
          <w:szCs w:val="22"/>
          <w:lang w:val="en-GB"/>
        </w:rPr>
        <w:t xml:space="preserve">, medical, food, and beverage </w:t>
      </w:r>
      <w:r w:rsidR="001A34A9" w:rsidRPr="00F76BE8">
        <w:rPr>
          <w:rFonts w:cstheme="minorHAnsi"/>
          <w:szCs w:val="22"/>
          <w:lang w:val="en-GB"/>
        </w:rPr>
        <w:t>industries</w:t>
      </w:r>
      <w:r w:rsidR="002F5D50" w:rsidRPr="00795030">
        <w:rPr>
          <w:rFonts w:cstheme="minorHAnsi"/>
          <w:szCs w:val="22"/>
          <w:lang w:val="en-GB"/>
        </w:rPr>
        <w:t xml:space="preserve"> </w:t>
      </w:r>
      <w:r w:rsidR="002F5D50" w:rsidRPr="00F45764">
        <w:rPr>
          <w:rFonts w:cstheme="minorHAnsi"/>
          <w:szCs w:val="22"/>
          <w:lang w:val="en-GB"/>
        </w:rPr>
        <w:fldChar w:fldCharType="begin"/>
      </w:r>
      <w:r w:rsidR="00F45764">
        <w:rPr>
          <w:rFonts w:cstheme="minorHAnsi"/>
          <w:szCs w:val="22"/>
          <w:lang w:val="en-GB"/>
        </w:rPr>
        <w:instrText xml:space="preserve"> ADDIN ZOTERO_ITEM CSL_CITATION {"citationID":"8OscgZyx","properties":{"formattedCitation":"(Sommer, 2015)","plainCitation":"(Sommer, 2015)","noteIndex":0},"citationItems":[{"id":6941,"uris":["http://zotero.org/users/5243184/items/BQP37HUC"],"uri":["http://zotero.org/users/5243184/items/BQP37HUC"],"itemData":{"id":6941,"type":"article-journal","abstract":"Purpose: Industry 4.0 represents a special challenge for businesses in general and for SMEs in particular. The study at hand will examine companies´ awareness, readiness and capability to meet this challenge taking into account the special role of SMEs. Methodology: The results of nine studies dealing with this range of topics are examined in the framework of a systematic review and compared with regard to the objective of the study at hand. Findings: The review showed that, as a rule, there is an awareness concerning the relevance of the topic. The readiness and the capability to meet this challenge exist in parts; however, they strongly depend on the enterprise size. The smaller SMEs are, the higher the risk that they will become victims instead of beneficiaries of this revolution.Originality/value: Considering different studies concerning Industry 4.0 the article gives an insight into the dependence of the Industry 4.0 readiness in reference to the company size. This deepens the knowledge in adaption deficits German SME still have and opens different approaches for further research and action plans.","container-title":"Journal of Industrial Engineering and Management","DOI":"10.3926/jiem.1470","ISSN":"2013-0953","issue":"5","language":"en","note":"number: 5","page":"1512-1532","source":"www.jiem.org","title":"Industrial revolution - industry 4.0: Are German manufacturing SMEs the first victims of this revolution?","title-short":"Industrial revolution - industry 4.0","volume":"8","author":[{"family":"Sommer","given":"Lutz"}],"issued":{"date-parts":[["2015",11,28]]}}}],"schema":"https://github.com/citation-style-language/schema/raw/master/csl-citation.json"} </w:instrText>
      </w:r>
      <w:r w:rsidR="002F5D50" w:rsidRPr="00F45764">
        <w:rPr>
          <w:rFonts w:cstheme="minorHAnsi"/>
          <w:szCs w:val="22"/>
          <w:lang w:val="en-GB"/>
        </w:rPr>
        <w:fldChar w:fldCharType="separate"/>
      </w:r>
      <w:r w:rsidR="00802E14">
        <w:rPr>
          <w:rFonts w:cstheme="minorHAnsi"/>
          <w:noProof/>
          <w:szCs w:val="22"/>
          <w:lang w:val="en-GB"/>
        </w:rPr>
        <w:t>(Sommer, 2015)</w:t>
      </w:r>
      <w:r w:rsidR="002F5D50" w:rsidRPr="00F45764">
        <w:rPr>
          <w:rFonts w:cstheme="minorHAnsi"/>
          <w:szCs w:val="22"/>
          <w:lang w:val="en-GB"/>
        </w:rPr>
        <w:fldChar w:fldCharType="end"/>
      </w:r>
      <w:r w:rsidR="002F5D50" w:rsidRPr="00F45764">
        <w:rPr>
          <w:rFonts w:cstheme="minorHAnsi"/>
          <w:szCs w:val="22"/>
          <w:lang w:val="en-GB"/>
        </w:rPr>
        <w:t>.</w:t>
      </w:r>
      <w:r w:rsidRPr="00F45764">
        <w:rPr>
          <w:rFonts w:cstheme="minorHAnsi"/>
          <w:szCs w:val="22"/>
          <w:lang w:val="en-GB"/>
        </w:rPr>
        <w:t xml:space="preserve"> </w:t>
      </w:r>
      <w:r w:rsidR="00F76BE8">
        <w:rPr>
          <w:rFonts w:cstheme="minorHAnsi"/>
          <w:szCs w:val="22"/>
          <w:lang w:val="en-GB"/>
        </w:rPr>
        <w:t>For example, t</w:t>
      </w:r>
      <w:r w:rsidR="00BC5303" w:rsidRPr="00795030">
        <w:rPr>
          <w:rFonts w:cstheme="minorHAnsi"/>
          <w:szCs w:val="22"/>
          <w:lang w:val="en-GB"/>
        </w:rPr>
        <w:t xml:space="preserve">he </w:t>
      </w:r>
      <w:r w:rsidR="00BC5303" w:rsidRPr="00473378">
        <w:rPr>
          <w:rFonts w:cstheme="minorHAnsi"/>
          <w:szCs w:val="22"/>
          <w:lang w:val="en-GB"/>
        </w:rPr>
        <w:t>literature well-connect</w:t>
      </w:r>
      <w:r w:rsidR="00B7155E">
        <w:rPr>
          <w:rFonts w:cstheme="minorHAnsi"/>
          <w:szCs w:val="22"/>
          <w:lang w:val="en-GB"/>
        </w:rPr>
        <w:t>s</w:t>
      </w:r>
      <w:r w:rsidR="003D32C9" w:rsidRPr="000818C9">
        <w:rPr>
          <w:rFonts w:cstheme="minorHAnsi"/>
          <w:szCs w:val="22"/>
          <w:lang w:val="en-GB"/>
        </w:rPr>
        <w:t xml:space="preserve"> </w:t>
      </w:r>
      <w:r w:rsidRPr="000818C9">
        <w:rPr>
          <w:rFonts w:cstheme="minorHAnsi"/>
          <w:szCs w:val="22"/>
          <w:lang w:val="en-GB"/>
        </w:rPr>
        <w:t xml:space="preserve">Industry 4.0 and IoT </w:t>
      </w:r>
      <w:r w:rsidR="00BC5303" w:rsidRPr="000818C9">
        <w:rPr>
          <w:rFonts w:cstheme="minorHAnsi"/>
          <w:szCs w:val="22"/>
          <w:lang w:val="en-GB"/>
        </w:rPr>
        <w:t xml:space="preserve">in </w:t>
      </w:r>
      <w:r w:rsidRPr="00E41C68">
        <w:rPr>
          <w:rFonts w:cstheme="minorHAnsi"/>
          <w:szCs w:val="22"/>
          <w:lang w:val="en-GB"/>
        </w:rPr>
        <w:t xml:space="preserve">materials. </w:t>
      </w:r>
      <w:r w:rsidR="00F76BE8">
        <w:rPr>
          <w:rFonts w:cstheme="minorHAnsi"/>
          <w:szCs w:val="22"/>
          <w:lang w:val="en-GB"/>
        </w:rPr>
        <w:t>T</w:t>
      </w:r>
      <w:r w:rsidRPr="00795030">
        <w:rPr>
          <w:rFonts w:cstheme="minorHAnsi"/>
          <w:szCs w:val="22"/>
          <w:lang w:val="en-GB"/>
        </w:rPr>
        <w:t>he use of</w:t>
      </w:r>
      <w:r w:rsidRPr="00473378">
        <w:rPr>
          <w:rFonts w:cstheme="minorHAnsi"/>
          <w:szCs w:val="22"/>
          <w:lang w:val="en-GB"/>
        </w:rPr>
        <w:t xml:space="preserve"> IoT could lead to</w:t>
      </w:r>
      <w:r w:rsidRPr="000818C9">
        <w:rPr>
          <w:rFonts w:cstheme="minorHAnsi"/>
          <w:szCs w:val="22"/>
          <w:lang w:val="en-GB"/>
        </w:rPr>
        <w:t xml:space="preserve"> a change in supply chain management with benefits in terms of CO2 emissions reduction, resource availability, and response time optimi</w:t>
      </w:r>
      <w:r w:rsidR="00527C14">
        <w:rPr>
          <w:rFonts w:cstheme="minorHAnsi"/>
          <w:szCs w:val="22"/>
          <w:lang w:val="en-GB"/>
        </w:rPr>
        <w:t>s</w:t>
      </w:r>
      <w:r w:rsidRPr="000818C9">
        <w:rPr>
          <w:rFonts w:cstheme="minorHAnsi"/>
          <w:szCs w:val="22"/>
          <w:lang w:val="en-GB"/>
        </w:rPr>
        <w:t>ation</w:t>
      </w:r>
      <w:r w:rsidR="002F5D50" w:rsidRPr="000818C9">
        <w:rPr>
          <w:rFonts w:cstheme="minorHAnsi"/>
          <w:szCs w:val="22"/>
          <w:lang w:val="en-GB"/>
        </w:rPr>
        <w:t xml:space="preserve"> </w:t>
      </w:r>
      <w:r w:rsidR="002F5D50" w:rsidRPr="00F45764">
        <w:rPr>
          <w:rFonts w:cstheme="minorHAnsi"/>
          <w:szCs w:val="22"/>
          <w:lang w:val="en-GB"/>
        </w:rPr>
        <w:fldChar w:fldCharType="begin"/>
      </w:r>
      <w:r w:rsidR="00F45764">
        <w:rPr>
          <w:rFonts w:cstheme="minorHAnsi"/>
          <w:szCs w:val="22"/>
          <w:lang w:val="en-GB"/>
        </w:rPr>
        <w:instrText xml:space="preserve"> ADDIN ZOTERO_ITEM CSL_CITATION {"citationID":"wcN1jYR2","properties":{"formattedCitation":"(Mastos et al., 2020)","plainCitation":"(Mastos et al., 2020)","noteIndex":0},"citationItems":[{"id":6948,"uris":["http://zotero.org/users/5243184/items/VHF6WHJX"],"uri":["http://zotero.org/users/5243184/items/VHF6WHJX"],"itemData":{"id":6948,"type":"article-journal","abstract":"The fourth industrial revolution and the digitisation of supply chains have led companies to realize that the adoption of Industry 4.0/Internet of Things (IoT) solutions creates opportunities for more sustainable management. The sustainable management of scrap metal is a challenging task for all the organisations that participate in the supply chain and especially for scrap metal producers and waste management companies. Although metals are considered to be infinitely recycled, scrap metal management is often inefficient due to several factors including collection processes, communication and marketplace limitations, which have significant environmental and economic impacts. The purpose of this paper is to provide evidence of the impact of an IoT solution on the sustainable supply chain management (SSCM) performance. A case study from a scrap metal producer that operates in the lift industry and a waste management company is presented, in order to illustrate how the deployment of a state-of-the-art industry 4.0 solution has the potential to improve sustainability both in the firm level and in the supply chain level. Direct benefits of the introduced solution are the automation of monitoring and negotiation procedures for the produced scrap metal. Indirectly, the proposed solution is beneficial in terms of CO2 emissions’ reduction, resources availability and response time optimization. The results validate the framework for assessing SSCM for Industry 4.0 developed by Manavalan and Jayakrishna (2019) and demonstrate that Ιndustry 4.0 solutions have the potential to improve, among others, the economic, environmental and social sustainability in supply chain management. The present study contributes to the literature by bridging the gap between theoretical developments and real-world cases in the fields of industry 4.0 and SSCM. Managerial implications, limitations and future research opportunities are also provided.","container-title":"Journal of Cleaner Production","DOI":"10.1016/j.jclepro.2020.122377","ISSN":"0959-6526","journalAbbreviation":"Journal of Cleaner Production","language":"en","page":"122377","source":"ScienceDirect","title":"Industry 4.0 sustainable supply chains: An application of an IoT enabled scrap metal management solution","title-short":"Industry 4.0 sustainable supply chains","author":[{"family":"Mastos","given":"Theofilos D."},{"family":"Nizamis","given":"Alexandros"},{"family":"Vafeiadis","given":"Thanasis"},{"family":"Alexopoulos","given":"Nikolaos"},{"family":"Ntinas","given":"Christos"},{"family":"Gkortzis","given":"Dimitrios"},{"family":"Papadopoulos","given":"Angelos"},{"family":"Ioannidis","given":"Dimosthenis"},{"family":"Tzovaras","given":"Dimitrios"}],"issued":{"date-parts":[["2020",5,21]]}}}],"schema":"https://github.com/citation-style-language/schema/raw/master/csl-citation.json"} </w:instrText>
      </w:r>
      <w:r w:rsidR="002F5D50" w:rsidRPr="00F45764">
        <w:rPr>
          <w:rFonts w:cstheme="minorHAnsi"/>
          <w:szCs w:val="22"/>
          <w:lang w:val="en-GB"/>
        </w:rPr>
        <w:fldChar w:fldCharType="separate"/>
      </w:r>
      <w:r w:rsidR="00802E14">
        <w:rPr>
          <w:rFonts w:cstheme="minorHAnsi"/>
          <w:noProof/>
          <w:szCs w:val="22"/>
          <w:lang w:val="en-GB"/>
        </w:rPr>
        <w:t>(Mastos et al., 2020)</w:t>
      </w:r>
      <w:r w:rsidR="002F5D50" w:rsidRPr="00F45764">
        <w:rPr>
          <w:rFonts w:cstheme="minorHAnsi"/>
          <w:szCs w:val="22"/>
          <w:lang w:val="en-GB"/>
        </w:rPr>
        <w:fldChar w:fldCharType="end"/>
      </w:r>
      <w:r w:rsidR="002F5D50" w:rsidRPr="00F45764">
        <w:rPr>
          <w:rFonts w:cstheme="minorHAnsi"/>
          <w:szCs w:val="22"/>
          <w:lang w:val="en-GB"/>
        </w:rPr>
        <w:t>. H</w:t>
      </w:r>
      <w:r w:rsidRPr="00F45764">
        <w:rPr>
          <w:rFonts w:cstheme="minorHAnsi"/>
          <w:szCs w:val="22"/>
          <w:lang w:val="en-GB"/>
        </w:rPr>
        <w:t>owever, it may present some elements that characteri</w:t>
      </w:r>
      <w:r w:rsidR="00527C14">
        <w:rPr>
          <w:rFonts w:cstheme="minorHAnsi"/>
          <w:szCs w:val="22"/>
          <w:lang w:val="en-GB"/>
        </w:rPr>
        <w:t>s</w:t>
      </w:r>
      <w:r w:rsidRPr="00F45764">
        <w:rPr>
          <w:rFonts w:cstheme="minorHAnsi"/>
          <w:szCs w:val="22"/>
          <w:lang w:val="en-GB"/>
        </w:rPr>
        <w:t>e it, which can lead to more in-depth studies to define a business model</w:t>
      </w:r>
      <w:r w:rsidR="002F5D50" w:rsidRPr="00F45764">
        <w:rPr>
          <w:rFonts w:cstheme="minorHAnsi"/>
          <w:szCs w:val="22"/>
          <w:lang w:val="en-GB"/>
        </w:rPr>
        <w:t xml:space="preserve"> </w:t>
      </w:r>
      <w:r w:rsidR="002F5D50" w:rsidRPr="00F45764">
        <w:rPr>
          <w:rFonts w:cstheme="minorHAnsi"/>
          <w:szCs w:val="22"/>
          <w:lang w:val="en-GB"/>
        </w:rPr>
        <w:fldChar w:fldCharType="begin"/>
      </w:r>
      <w:r w:rsidR="00F45764">
        <w:rPr>
          <w:rFonts w:cstheme="minorHAnsi"/>
          <w:szCs w:val="22"/>
          <w:lang w:val="en-GB"/>
        </w:rPr>
        <w:instrText xml:space="preserve"> ADDIN ZOTERO_ITEM CSL_CITATION {"citationID":"Y6bkwuQx","properties":{"formattedCitation":"(Piccarozzi et al., 2018)","plainCitation":"(Piccarozzi et al., 2018)","noteIndex":0},"citationItems":[{"id":6950,"uris":["http://zotero.org/users/5243184/items/VYSQ66CH"],"uri":["http://zotero.org/users/5243184/items/VYSQ66CH"],"itemData":{"id":6950,"type":"article-journal","abstract":"Recent developments in production processes and their automation have led to the definition of the Fourth Industrial Revolution, commonly known as &amp;ldquo;Industry 4.0&amp;rdquo;. Industry 4.0 is a very broad domain that includes: production processes, efficiency, data management, relationship with consumers, competitiveness, and much more. At the same time, obviously, Industry 4.0 has become a new theme for management scholars and business economics disciplines and a number of contributions covering various issues and aspects have been published. However, a systematic formulation of all these contributions is still lacking in management literature. Therefore, the aim of the paper is to analyze and classify the main contributions published on the topic of Industry 4.0 in management literature, seeking to give it a unique definition, discover the gaps still remaining in literature and outline future avenues of research in this domain. A systematic review of the literature of the major academic and research databases has been used as methodology to achieve the aim of the paper. This work contributes theoretically to the development of literature on Industry 4.0 and from a managerial perspective it could support entrepreneurs in better understanding the implications and fields of application of the Fourth Industrial Revolution as well as the interplay among them.","container-title":"Sustainability","DOI":"10.3390/su10103821","issue":"10","language":"en","note":"number: 10\npublisher: Multidisciplinary Digital Publishing Institute","page":"3821","source":"www.mdpi.com","title":"Industry 4.0 in Management Studies: A Systematic Literature Review","title-short":"Industry 4.0 in Management Studies","volume":"10","author":[{"family":"Piccarozzi","given":"Michela"},{"family":"Aquilani","given":"Barbara"},{"family":"Gatti","given":"Corrado"}],"issued":{"date-parts":[["2018",10]]}}}],"schema":"https://github.com/citation-style-language/schema/raw/master/csl-citation.json"} </w:instrText>
      </w:r>
      <w:r w:rsidR="002F5D50" w:rsidRPr="00F45764">
        <w:rPr>
          <w:rFonts w:cstheme="minorHAnsi"/>
          <w:szCs w:val="22"/>
          <w:lang w:val="en-GB"/>
        </w:rPr>
        <w:fldChar w:fldCharType="separate"/>
      </w:r>
      <w:r w:rsidR="00802E14">
        <w:rPr>
          <w:rFonts w:cstheme="minorHAnsi"/>
          <w:noProof/>
          <w:szCs w:val="22"/>
          <w:lang w:val="en-GB"/>
        </w:rPr>
        <w:t>(Piccarozzi et al., 2018)</w:t>
      </w:r>
      <w:r w:rsidR="002F5D50" w:rsidRPr="00F45764">
        <w:rPr>
          <w:rFonts w:cstheme="minorHAnsi"/>
          <w:szCs w:val="22"/>
          <w:lang w:val="en-GB"/>
        </w:rPr>
        <w:fldChar w:fldCharType="end"/>
      </w:r>
      <w:r w:rsidR="002F5D50" w:rsidRPr="00F45764">
        <w:rPr>
          <w:rFonts w:cstheme="minorHAnsi"/>
          <w:szCs w:val="22"/>
          <w:lang w:val="en-GB"/>
        </w:rPr>
        <w:t>.</w:t>
      </w:r>
      <w:r w:rsidRPr="00F45764">
        <w:rPr>
          <w:rFonts w:cstheme="minorHAnsi"/>
          <w:szCs w:val="22"/>
          <w:lang w:val="en-GB"/>
        </w:rPr>
        <w:t xml:space="preserve"> </w:t>
      </w:r>
      <w:r w:rsidR="002F5D50" w:rsidRPr="00F45764">
        <w:rPr>
          <w:rFonts w:cstheme="minorHAnsi"/>
          <w:szCs w:val="22"/>
          <w:lang w:val="en-GB"/>
        </w:rPr>
        <w:fldChar w:fldCharType="begin"/>
      </w:r>
      <w:r w:rsidR="00F45764">
        <w:rPr>
          <w:rFonts w:cstheme="minorHAnsi"/>
          <w:szCs w:val="22"/>
          <w:lang w:val="en-GB"/>
        </w:rPr>
        <w:instrText xml:space="preserve"> ADDIN ZOTERO_ITEM CSL_CITATION {"citationID":"qUSCoN2K","properties":{"formattedCitation":"(Morrar et al., 2017)","plainCitation":"(Morrar et al., 2017)","dontUpdate":true,"noteIndex":0},"citationItems":[{"id":6964,"uris":["http://zotero.org/users/5243184/items/98L7Z2HX"],"uri":["http://zotero.org/users/5243184/items/98L7Z2HX"],"itemData":{"id":6964,"type":"article-journal","container-title":"Technology Innovation Management Review","issue":"11","language":"en","page":"10","source":"Zotero","title":"The Fourth Industrial Revolution (Industry 4.0): A Social Innovation Perspective","volume":"7","author":[{"family":"Morrar","given":"Rabeh"},{"family":"Arman","given":"Husam"},{"family":"Mousa","given":"Saeed"}],"issued":{"date-parts":[["2017"]]}}}],"schema":"https://github.com/citation-style-language/schema/raw/master/csl-citation.json"} </w:instrText>
      </w:r>
      <w:r w:rsidR="002F5D50" w:rsidRPr="00F45764">
        <w:rPr>
          <w:rFonts w:cstheme="minorHAnsi"/>
          <w:szCs w:val="22"/>
          <w:lang w:val="en-GB"/>
        </w:rPr>
        <w:fldChar w:fldCharType="separate"/>
      </w:r>
      <w:r w:rsidR="002F5D50" w:rsidRPr="00F45764">
        <w:rPr>
          <w:rFonts w:cstheme="minorHAnsi"/>
          <w:noProof/>
          <w:szCs w:val="22"/>
          <w:lang w:val="en-GB"/>
        </w:rPr>
        <w:t>Morrar et al. (2017)</w:t>
      </w:r>
      <w:r w:rsidR="002F5D50" w:rsidRPr="00F45764">
        <w:rPr>
          <w:rFonts w:cstheme="minorHAnsi"/>
          <w:szCs w:val="22"/>
          <w:lang w:val="en-GB"/>
        </w:rPr>
        <w:fldChar w:fldCharType="end"/>
      </w:r>
      <w:r w:rsidR="002F5D50" w:rsidRPr="00F45764">
        <w:rPr>
          <w:rFonts w:cstheme="minorHAnsi"/>
          <w:szCs w:val="22"/>
          <w:lang w:val="en-GB"/>
        </w:rPr>
        <w:t xml:space="preserve"> </w:t>
      </w:r>
      <w:r w:rsidRPr="00F45764">
        <w:rPr>
          <w:rFonts w:cstheme="minorHAnsi"/>
          <w:szCs w:val="22"/>
          <w:lang w:val="en-GB"/>
        </w:rPr>
        <w:t xml:space="preserve">identify a relationship between </w:t>
      </w:r>
      <w:r w:rsidR="00F76BE8">
        <w:rPr>
          <w:rFonts w:cstheme="minorHAnsi"/>
          <w:szCs w:val="22"/>
          <w:lang w:val="en-GB"/>
        </w:rPr>
        <w:t>sustainability</w:t>
      </w:r>
      <w:r w:rsidRPr="00795030">
        <w:rPr>
          <w:rFonts w:cstheme="minorHAnsi"/>
          <w:szCs w:val="22"/>
          <w:lang w:val="en-GB"/>
        </w:rPr>
        <w:t xml:space="preserve"> and IoT application with implications for the well-being of the population. </w:t>
      </w:r>
      <w:r w:rsidR="00F76BE8">
        <w:rPr>
          <w:rFonts w:cstheme="minorHAnsi"/>
          <w:szCs w:val="22"/>
          <w:lang w:val="en-GB"/>
        </w:rPr>
        <w:t>Similarly</w:t>
      </w:r>
      <w:r w:rsidR="00EC0AA5">
        <w:rPr>
          <w:rFonts w:cstheme="minorHAnsi"/>
          <w:szCs w:val="22"/>
          <w:lang w:val="en-GB"/>
        </w:rPr>
        <w:t>,</w:t>
      </w:r>
      <w:r w:rsidR="00F76BE8">
        <w:rPr>
          <w:rFonts w:cstheme="minorHAnsi"/>
          <w:szCs w:val="22"/>
          <w:lang w:val="en-GB"/>
        </w:rPr>
        <w:t xml:space="preserve"> previous studies extend the imp</w:t>
      </w:r>
      <w:r w:rsidR="00EC0AA5">
        <w:rPr>
          <w:rFonts w:cstheme="minorHAnsi"/>
          <w:szCs w:val="22"/>
          <w:lang w:val="en-GB"/>
        </w:rPr>
        <w:t>act</w:t>
      </w:r>
      <w:r w:rsidR="00F76BE8">
        <w:rPr>
          <w:rFonts w:cstheme="minorHAnsi"/>
          <w:szCs w:val="22"/>
          <w:lang w:val="en-GB"/>
        </w:rPr>
        <w:t>s of other industry 4.0 tec</w:t>
      </w:r>
      <w:r w:rsidR="00EC0AA5">
        <w:rPr>
          <w:rFonts w:cstheme="minorHAnsi"/>
          <w:szCs w:val="22"/>
          <w:lang w:val="en-GB"/>
        </w:rPr>
        <w:t>h</w:t>
      </w:r>
      <w:r w:rsidR="00F76BE8">
        <w:rPr>
          <w:rFonts w:cstheme="minorHAnsi"/>
          <w:szCs w:val="22"/>
          <w:lang w:val="en-GB"/>
        </w:rPr>
        <w:t>nologies and CE with</w:t>
      </w:r>
      <w:r w:rsidR="00BC5303" w:rsidRPr="00795030">
        <w:rPr>
          <w:rFonts w:cstheme="minorHAnsi"/>
          <w:szCs w:val="22"/>
          <w:lang w:val="en-GB"/>
        </w:rPr>
        <w:t>, a new stream of literature born from</w:t>
      </w:r>
      <w:r w:rsidR="0058267C" w:rsidRPr="00473378">
        <w:rPr>
          <w:rFonts w:cstheme="minorHAnsi"/>
          <w:szCs w:val="22"/>
          <w:lang w:val="en-GB"/>
        </w:rPr>
        <w:t xml:space="preserve"> the papers of</w:t>
      </w:r>
      <w:r w:rsidR="00BC5303" w:rsidRPr="000818C9">
        <w:rPr>
          <w:rFonts w:cstheme="minorHAnsi"/>
          <w:szCs w:val="22"/>
          <w:lang w:val="en-GB"/>
        </w:rPr>
        <w:t xml:space="preserve"> </w:t>
      </w:r>
      <w:r w:rsidR="00BC5303" w:rsidRPr="00F45764">
        <w:rPr>
          <w:rFonts w:cstheme="minorHAnsi"/>
          <w:szCs w:val="22"/>
          <w:lang w:val="en-GB"/>
        </w:rPr>
        <w:fldChar w:fldCharType="begin"/>
      </w:r>
      <w:r w:rsidR="00F45764">
        <w:rPr>
          <w:rFonts w:cstheme="minorHAnsi"/>
          <w:szCs w:val="22"/>
          <w:lang w:val="en-GB"/>
        </w:rPr>
        <w:instrText xml:space="preserve"> ADDIN ZOTERO_ITEM CSL_CITATION {"citationID":"rXSi9WOq","properties":{"formattedCitation":"(Chiappetta Jabbour et al., 2020; de Sousa Jabbour et al., 2018; Lopes de\\uc0\\u160{}Sousa\\uc0\\u160{}Jabbour et al., 2018)","plainCitation":"(Chiappetta Jabbour et al., 2020; de Sousa Jabbour et al., 2018; Lopes de Sousa Jabbour et al., 2018)","dontUpdate":true,"noteIndex":0},"citationItems":[{"id":6915,"uris":["http://zotero.org/users/5243184/items/HT8BJB2G"],"uri":["http://zotero.org/users/5243184/items/HT8BJB2G"],"itemData":{"id":6915,"type":"article-journal","abstract":"The literature on the diffusion of the circular economy (CE) rarely provides empirical evidence from emerging economies that face institutional voids and sustainability paradoxes. In contrast, drawing on stakeholder theory, in this paper we test a research framework capable of capturing the imbricated and complex relations among stakeholder pressure, barriers to and motivators of the CE, circular business models, and firms’ sustainable performance. Survey-based primary data was gathered from Brazilian industrial companies which lack regulatory clarity regarding the implementation of a CE. Our research results comprise both expected and unexpected outcomes: (i) differing from other countries, the relevance of regulatory stakeholders in Brazil could not be fully confirmed, adding complexity to the topic; (ii) unexpectedly, in this research, company owners/shareholders were the most salient stakeholders; (iii) stakeholders do indeed exert influence on how firms deal with barriers to and motivators of a CE; (iv) we found that internal barriers and internal motivators were perceived as more intense than external ones, which may create organizational tensions; (v) the adoption of a CE by firms tends to improve their sustainable performance; (vi) the previous possession of ISO 14001 and ISO 9001 certifications may control the way companies perceive the benefits of a CE.","container-title":"Journal of Environmental Management","DOI":"10.1016/j.jenvman.2020.110416","ISSN":"0301-4797","journalAbbreviation":"Journal of Environmental Management","language":"en","page":"110416","source":"ScienceDirect","title":"Stakeholders, innovative business models for the circular economy and sustainable performance of firms in an emerging economy facing institutional voids","volume":"264","author":[{"family":"Chiappetta Jabbour","given":"Charbel Jose"},{"family":"Seuring","given":"Stefan"},{"family":"Lopes de Sousa Jabbour","given":"Ana Beatriz"},{"family":"Jugend","given":"Daniel"},{"family":"De Camargo Fiorini","given":"Paula"},{"family":"Latan","given":"Hengky"},{"family":"Izeppi","given":"Wagner Colucci"}],"issued":{"date-parts":[["2020",6,15]]}}},{"id":6834,"uris":["http://zotero.org/users/5243184/items/JW9FBBW2"],"uri":["http://zotero.org/users/5243184/items/JW9FBBW2"],"itemData":{"id":6834,"type":"article-journal","abstract":"This work makes the case for integrating two industrial waves that promise to re-shape current patterns of production and consumption: Industry 4.0 and environmentally-sustainable manufacturing. We argue that, although these two trends cannot be considered an industrial revolution, Industry 4.0-associated technologies nevertheless have the unique potential to unlock environmentally-sustainable manufacturing. Productive synergy between Industry 4.0 and environmentally-sustainable manufacturing relies on understanding the role played by eleven critical success factors, which organisations should consider carefully when simultaneously implementing Industry 4.0 and environmentally-sustainable manufacturing. As this is one of the first works to address whether or not Industry 4.0 can synergistically boost environmentally-sustainable manufacturing – with an emphasis on the critical success factors that can pose challenges and opportunities to this process – we also propose an integrative framework containing twelve research propositions. We hope this will stimulate the debate on the intersection of manufacturing waves, in particular the integration of Industry 4.0 and environmentally-sustainable manufacturing.","container-title":"Technological Forecasting and Social Change","DOI":"10.1016/j.techfore.2018.01.017","ISSN":"0040-1625","journalAbbreviation":"Technological Forecasting and Social Change","language":"en","page":"18-25","source":"ScienceDirect","title":"When titans meet – Can industry 4.0 revolutionise the environmentally-sustainable manufacturing wave? The role of critical success factors","title-short":"When titans meet – Can industry 4.0 revolutionise the environmentally-sustainable manufacturing wave?","volume":"132","author":[{"family":"Sousa Jabbour","given":"Ana Beatriz Lopes","non-dropping-particle":"de"},{"family":"Jabbour","given":"Charbel Jose Chiappetta"},{"family":"Foropon","given":"Cyril"},{"family":"Godinho Filho","given":"Moacir"}],"issued":{"date-parts":[["2018",7,1]]}}},{"id":6837,"uris":["http://zotero.org/users/5243184/items/TM8PFKUT"],"uri":["http://zotero.org/users/5243184/items/TM8PFKUT"],"itemData":{"id":6837,"type":"article-journal","abstract":"This work makes a case for the integration of the increasingly popular and largely separate topics of Industry 4.0 and the circular economy (CE). The paper extends the state-of-the-art literature by proposing a pioneering roadmap to enhance the application of CE principles in organisations by means of Industry 4.0 approaches. Advanced and digital manufacturing technologies are able to unlock the circularity of resources within supply chains; however, the connection between CE and Industry 4.0 has not so far been explored. This article therefore contributes to the literature by unveiling how different Industry 4.0 technologies could underpin CE strategies, and to organisations by addressing those technologies as a basis for sustainable operations management decision-making. The main results of this work are: (a) a discussion on the mutually beneficial relationship between Industry 4.0 and the CE; (b) an in-depth understanding of the potential contributions of smart production technologies to the ReSOLVE model of CE business models; (c) a research agenda for future studies on the integration between Industry 4.0 and CE principles based on the most relevant management theories.","container-title":"Annals of Operations Research","DOI":"10.1007/s10479-018-2772-8","ISSN":"1572-9338","issue":"1","journalAbbreviation":"Ann Oper Res","language":"en","page":"273-286","source":"Springer Link","title":"Industry 4.0 and the circular economy: a proposed research agenda and original roadmap for sustainable operations","title-short":"Industry 4.0 and the circular economy","volume":"270","author":[{"family":"Lopes de Sousa Jabbour","given":"Ana Beatriz"},{"family":"Jabbour","given":"Charbel Jose Chiappetta"},{"family":"Godinho Filho","given":"Moacir"},{"family":"Roubaud","given":"David"}],"issued":{"date-parts":[["2018",11,1]]}}}],"schema":"https://github.com/citation-style-language/schema/raw/master/csl-citation.json"} </w:instrText>
      </w:r>
      <w:r w:rsidR="00BC5303" w:rsidRPr="00F45764">
        <w:rPr>
          <w:rFonts w:cstheme="minorHAnsi"/>
          <w:szCs w:val="22"/>
          <w:lang w:val="en-GB"/>
        </w:rPr>
        <w:fldChar w:fldCharType="separate"/>
      </w:r>
      <w:r w:rsidR="00BC5303" w:rsidRPr="00F45764">
        <w:rPr>
          <w:rFonts w:cstheme="minorHAnsi"/>
          <w:szCs w:val="22"/>
          <w:lang w:val="en-GB"/>
        </w:rPr>
        <w:t>Chiappetta Jabbour et al.</w:t>
      </w:r>
      <w:r w:rsidR="0058267C" w:rsidRPr="00F45764">
        <w:rPr>
          <w:rFonts w:cstheme="minorHAnsi"/>
          <w:szCs w:val="22"/>
          <w:lang w:val="en-GB"/>
        </w:rPr>
        <w:t xml:space="preserve"> (</w:t>
      </w:r>
      <w:r w:rsidR="00BC5303" w:rsidRPr="00F45764">
        <w:rPr>
          <w:rFonts w:cstheme="minorHAnsi"/>
          <w:szCs w:val="22"/>
          <w:lang w:val="en-GB"/>
        </w:rPr>
        <w:t>2020</w:t>
      </w:r>
      <w:r w:rsidR="0058267C" w:rsidRPr="00F45764">
        <w:rPr>
          <w:rFonts w:cstheme="minorHAnsi"/>
          <w:szCs w:val="22"/>
          <w:lang w:val="en-GB"/>
        </w:rPr>
        <w:t>),</w:t>
      </w:r>
      <w:r w:rsidR="00BC5303" w:rsidRPr="00F45764">
        <w:rPr>
          <w:rFonts w:cstheme="minorHAnsi"/>
          <w:szCs w:val="22"/>
          <w:lang w:val="en-GB"/>
        </w:rPr>
        <w:t xml:space="preserve"> de Sousa Jabbour et al.</w:t>
      </w:r>
      <w:r w:rsidR="0058267C" w:rsidRPr="00F45764">
        <w:rPr>
          <w:rFonts w:cstheme="minorHAnsi"/>
          <w:szCs w:val="22"/>
          <w:lang w:val="en-GB"/>
        </w:rPr>
        <w:t xml:space="preserve"> (</w:t>
      </w:r>
      <w:r w:rsidR="00BC5303" w:rsidRPr="00F45764">
        <w:rPr>
          <w:rFonts w:cstheme="minorHAnsi"/>
          <w:szCs w:val="22"/>
          <w:lang w:val="en-GB"/>
        </w:rPr>
        <w:t>2018</w:t>
      </w:r>
      <w:r w:rsidR="0058267C" w:rsidRPr="00F45764">
        <w:rPr>
          <w:rFonts w:cstheme="minorHAnsi"/>
          <w:szCs w:val="22"/>
          <w:lang w:val="en-GB"/>
        </w:rPr>
        <w:t>),</w:t>
      </w:r>
      <w:r w:rsidR="00BC5303" w:rsidRPr="00F45764">
        <w:rPr>
          <w:rFonts w:cstheme="minorHAnsi"/>
          <w:szCs w:val="22"/>
          <w:lang w:val="en-GB"/>
        </w:rPr>
        <w:t xml:space="preserve"> Lopes de</w:t>
      </w:r>
      <w:r w:rsidR="004C14DA">
        <w:rPr>
          <w:rFonts w:cstheme="minorHAnsi"/>
          <w:szCs w:val="22"/>
          <w:lang w:val="en-GB"/>
        </w:rPr>
        <w:t xml:space="preserve"> </w:t>
      </w:r>
      <w:r w:rsidR="00BC5303" w:rsidRPr="00F45764">
        <w:rPr>
          <w:rFonts w:cstheme="minorHAnsi"/>
          <w:szCs w:val="22"/>
          <w:lang w:val="en-GB"/>
        </w:rPr>
        <w:t>Sousa</w:t>
      </w:r>
      <w:r w:rsidR="004C14DA">
        <w:rPr>
          <w:rFonts w:cstheme="minorHAnsi"/>
          <w:szCs w:val="22"/>
          <w:lang w:val="en-GB"/>
        </w:rPr>
        <w:t xml:space="preserve"> </w:t>
      </w:r>
      <w:r w:rsidR="00BC5303" w:rsidRPr="00F45764">
        <w:rPr>
          <w:rFonts w:cstheme="minorHAnsi"/>
          <w:szCs w:val="22"/>
          <w:lang w:val="en-GB"/>
        </w:rPr>
        <w:t>Jabbour et al.</w:t>
      </w:r>
      <w:r w:rsidR="0058267C" w:rsidRPr="00F45764">
        <w:rPr>
          <w:rFonts w:cstheme="minorHAnsi"/>
          <w:szCs w:val="22"/>
          <w:lang w:val="en-GB"/>
        </w:rPr>
        <w:t xml:space="preserve"> (</w:t>
      </w:r>
      <w:r w:rsidR="00BC5303" w:rsidRPr="00F45764">
        <w:rPr>
          <w:rFonts w:cstheme="minorHAnsi"/>
          <w:szCs w:val="22"/>
          <w:lang w:val="en-GB"/>
        </w:rPr>
        <w:t>2018)</w:t>
      </w:r>
      <w:r w:rsidR="00BC5303" w:rsidRPr="00F45764">
        <w:rPr>
          <w:rFonts w:cstheme="minorHAnsi"/>
          <w:szCs w:val="22"/>
          <w:lang w:val="en-GB"/>
        </w:rPr>
        <w:fldChar w:fldCharType="end"/>
      </w:r>
      <w:r w:rsidR="00874809" w:rsidRPr="00F45764">
        <w:rPr>
          <w:rFonts w:cstheme="minorHAnsi"/>
          <w:szCs w:val="22"/>
          <w:lang w:val="en-GB"/>
        </w:rPr>
        <w:t xml:space="preserve">. </w:t>
      </w:r>
    </w:p>
    <w:p w14:paraId="52C659F4" w14:textId="6E195DBC" w:rsidR="00874809" w:rsidRPr="00795030" w:rsidRDefault="00F76BE8">
      <w:pPr>
        <w:rPr>
          <w:rFonts w:cstheme="minorHAnsi"/>
          <w:szCs w:val="22"/>
          <w:lang w:val="en-GB"/>
        </w:rPr>
      </w:pPr>
      <w:r>
        <w:rPr>
          <w:rFonts w:cstheme="minorHAnsi"/>
          <w:szCs w:val="22"/>
          <w:lang w:val="en-GB"/>
        </w:rPr>
        <w:t>However, t</w:t>
      </w:r>
      <w:r w:rsidR="0096562B" w:rsidRPr="00795030">
        <w:rPr>
          <w:rFonts w:cstheme="minorHAnsi"/>
          <w:szCs w:val="22"/>
          <w:lang w:val="en-GB"/>
        </w:rPr>
        <w:t xml:space="preserve">he possibility of obtaining the result </w:t>
      </w:r>
      <w:r>
        <w:rPr>
          <w:rFonts w:cstheme="minorHAnsi"/>
          <w:szCs w:val="22"/>
          <w:lang w:val="en-GB"/>
        </w:rPr>
        <w:t xml:space="preserve">in terms of CE </w:t>
      </w:r>
      <w:r w:rsidR="0096562B" w:rsidRPr="00795030">
        <w:rPr>
          <w:rFonts w:cstheme="minorHAnsi"/>
          <w:szCs w:val="22"/>
          <w:lang w:val="en-GB"/>
        </w:rPr>
        <w:t>is based</w:t>
      </w:r>
      <w:r w:rsidR="0096562B" w:rsidRPr="00473378">
        <w:rPr>
          <w:rFonts w:cstheme="minorHAnsi"/>
          <w:szCs w:val="22"/>
          <w:lang w:val="en-GB"/>
        </w:rPr>
        <w:t xml:space="preserve"> on a long-term process of rede</w:t>
      </w:r>
      <w:r w:rsidR="0096562B" w:rsidRPr="000818C9">
        <w:rPr>
          <w:rFonts w:cstheme="minorHAnsi"/>
          <w:szCs w:val="22"/>
          <w:lang w:val="en-GB"/>
        </w:rPr>
        <w:t>signing, repairing, reusing, remanufacturing, refurbishing, and recycling</w:t>
      </w:r>
      <w:r w:rsidR="00D2075F" w:rsidRPr="000818C9">
        <w:rPr>
          <w:rFonts w:cstheme="minorHAnsi"/>
          <w:szCs w:val="22"/>
          <w:lang w:val="en-GB"/>
        </w:rPr>
        <w:t xml:space="preserve"> </w:t>
      </w:r>
      <w:r w:rsidR="00D2075F" w:rsidRPr="00F45764">
        <w:rPr>
          <w:rFonts w:cstheme="minorHAnsi"/>
          <w:szCs w:val="22"/>
          <w:lang w:val="en-GB"/>
        </w:rPr>
        <w:fldChar w:fldCharType="begin"/>
      </w:r>
      <w:r w:rsidR="00F45764">
        <w:rPr>
          <w:rFonts w:cstheme="minorHAnsi"/>
          <w:szCs w:val="22"/>
          <w:lang w:val="en-GB"/>
        </w:rPr>
        <w:instrText xml:space="preserve"> ADDIN ZOTERO_ITEM CSL_CITATION {"citationID":"E3ZucGaw","properties":{"formattedCitation":"(Geissdoerfer et al., 2017)","plainCitation":"(Geissdoerfer et al., 2017)","noteIndex":0},"citationItems":[{"id":6979,"uris":["http://zotero.org/users/5243184/items/A7ILCCBA"],"uri":["http://zotero.org/users/5243184/items/A7ILCCBA"],"itemData":{"id":6979,"type":"article-journal","abstract":"While the terms Circular Economy and sustainability are increasingly gaining traction with academia, industry, and policymakers, the similarities and differences between both concepts remain ambiguous. The relationship between the concepts is not made explicit in literature, which is blurring their conceptual contours and constrains the efficacy of using the approaches in research and practice. This research addresses this gap and aims to provide conceptual clarity by distinguishing the terms and synthesising the different types of relationships between them. We conducted an extensive literature review, employing bibliometric analysis and snowballing techniques to investigate the state of the art in the field and synthesise the similarities, differences and relationships between both terms. We identified eight different relationship types in the literature and illustrated the most evident similarities and differences between both concepts.","container-title":"Journal of Cleaner Production","DOI":"10.1016/j.jclepro.2016.12.048","ISSN":"0959-6526","journalAbbreviation":"Journal of Cleaner Production","language":"en","page":"757-768","source":"ScienceDirect","title":"The Circular Economy – A new sustainability paradigm?","volume":"143","author":[{"family":"Geissdoerfer","given":"Martin"},{"family":"Savaget","given":"Paulo"},{"family":"Bocken","given":"Nancy M. P."},{"family":"Hultink","given":"Erik Jan"}],"issued":{"date-parts":[["2017",2,1]]}}}],"schema":"https://github.com/citation-style-language/schema/raw/master/csl-citation.json"} </w:instrText>
      </w:r>
      <w:r w:rsidR="00D2075F" w:rsidRPr="00F45764">
        <w:rPr>
          <w:rFonts w:cstheme="minorHAnsi"/>
          <w:szCs w:val="22"/>
          <w:lang w:val="en-GB"/>
        </w:rPr>
        <w:fldChar w:fldCharType="separate"/>
      </w:r>
      <w:r w:rsidR="00802E14">
        <w:rPr>
          <w:rFonts w:cstheme="minorHAnsi"/>
          <w:noProof/>
          <w:szCs w:val="22"/>
          <w:lang w:val="en-GB"/>
        </w:rPr>
        <w:t>(Geissdoerfer et al., 2017)</w:t>
      </w:r>
      <w:r w:rsidR="00D2075F" w:rsidRPr="00F45764">
        <w:rPr>
          <w:rFonts w:cstheme="minorHAnsi"/>
          <w:szCs w:val="22"/>
          <w:lang w:val="en-GB"/>
        </w:rPr>
        <w:fldChar w:fldCharType="end"/>
      </w:r>
      <w:r w:rsidR="00D2075F" w:rsidRPr="00F45764">
        <w:rPr>
          <w:rFonts w:cstheme="minorHAnsi"/>
          <w:szCs w:val="22"/>
          <w:lang w:val="en-GB"/>
        </w:rPr>
        <w:t xml:space="preserve">. </w:t>
      </w:r>
      <w:r w:rsidR="00A9788A">
        <w:rPr>
          <w:rFonts w:cstheme="minorHAnsi"/>
          <w:szCs w:val="22"/>
          <w:lang w:val="en-GB"/>
        </w:rPr>
        <w:t>An overall legitimation process must be taken into account</w:t>
      </w:r>
      <w:r w:rsidR="00EC0AA5">
        <w:rPr>
          <w:rFonts w:cstheme="minorHAnsi"/>
          <w:szCs w:val="22"/>
          <w:lang w:val="en-GB"/>
        </w:rPr>
        <w:t xml:space="preserve"> </w:t>
      </w:r>
      <w:r w:rsidR="00A9788A">
        <w:rPr>
          <w:rFonts w:cstheme="minorHAnsi"/>
          <w:szCs w:val="22"/>
          <w:lang w:val="en-GB"/>
        </w:rPr>
        <w:fldChar w:fldCharType="begin"/>
      </w:r>
      <w:r w:rsidR="00B03A7D">
        <w:rPr>
          <w:rFonts w:cstheme="minorHAnsi"/>
          <w:szCs w:val="22"/>
          <w:lang w:val="en-GB"/>
        </w:rPr>
        <w:instrText xml:space="preserve"> ADDIN ZOTERO_ITEM CSL_CITATION {"citationID":"cewd7c5k","properties":{"formattedCitation":"(Biloslavo et al., 2020; Reuber &amp; Morgan-Thomas, 2019)","plainCitation":"(Biloslavo et al., 2020; Reuber &amp; Morgan-Thomas, 2019)","noteIndex":0},"citationItems":[{"id":"tWdw92P2/RBcPX5Rp","uris":["http://zotero.org/users/local/CfQindHB/items/AWAY4XNH"],"uri":["http://zotero.org/users/local/CfQindHB/items/AWAY4XNH"],"itemData":{"id":3800,"type":"article-journal","abstract":"Purpose: This study aims to identify the legitimacy issues raised during a sustainable business model innovation, deployed by an Italian company, which was analyzed through the lens of the legitimation theory and the business model innovation theory. Design/methodology/approach: A single case study methodology is employed for empirical research. Semistructured interviews, with top and middle management, were conducted together with the analysis of several internal and external documents, to corroborate the case analysis. Findings: Results show how the potentiality of digital technologies allows the development of new sustainable business models, which, though, still need to gain legitimation to be accepted. The study findings allow drawing both on the business model innovation theory and on the legitimation theory, as they show how legitimation is a dynamic concept that involves internal as well as external stakeholders to support business model innovation. Originality/value: The paper is novel, since it addresses the topic of sustainable business models development, showing how companies can get legitimation. The paper builds on existing theories and provides a practical example. © 2020, Emerald Publishing Limited.","archive":"Scopus","container-title":"Management Decision","DOI":"10.1108/MD-09-2019-1296","ISSN":"00251747 (ISSN)","journalAbbreviation":"Manage. Decis.","language":"English","note":"publisher: Emerald Group Publishing Ltd.","title":"Business model transformation toward sustainability: the impact of legitimation","URL":"https://www.scopus.com/inward/record.uri?eid=2-s2.0-85086476494&amp;doi=10.1108%2fMD-09-2019-1296&amp;partnerID=40&amp;md5=2025e522c26c9d7291670af16b562cfd","author":[{"family":"Biloslavo","given":"R."},{"family":"Bagnoli","given":"C."},{"family":"Massaro","given":"M."},{"family":"Cosentino","given":"A."}],"issued":{"date-parts":[["2020"]]}}},{"id":"tWdw92P2/4FDh5nX8","uris":["http://zotero.org/users/local/CfQindHB/items/MZMDSW4S"],"uri":["http://zotero.org/users/local/CfQindHB/items/MZMDSW4S"],"itemData":{"id":3804,"type":"article-journal","abstract":"Globally active companies are involved in the discursive construction of moral legitimacy. Establishing normative conformance is problematic given the plurality of norms and values worldwide, and is particularly difficult for companies operating in morally controversial industries. In this paper, we investigate how organizations publicly legitimize the trade of human tissue for private profit when this practice runs counter to deep-seated and widespread moral beliefs. To do so, we use inductive, qualitative methods to analyze the website discourse of three types of organizations that trade in human tissue and are associated with different degrees of moral controversy with respect to tissue procurement and use. Our analysis reveals an object-oriented approach to moral legitimizing centered on the human tissue as a morally disputed good. We find that the website discourse translates human tissue into technology, constructs normative meaning around a dominant instrumental value associated with human-tissue-as-technology, and reproduces and stabilizes this meaning by six discursive mechanisms that amplify and anchor it. Moreover, the use of amplifying and anchoring discourse was greater in organizations associated with greater controversy. The results are consistent with an object-oriented sociality. © 2017, Springer Science+Business Media Dordrecht.","archive":"Scopus","container-title":"Journal of Business Ethics","DOI":"10.1007/s10551-017-3480-z","ISSN":"01674544 (ISSN)","issue":"1","journalAbbreviation":"J. Bus. Ethics","language":"English","note":"publisher: Springer Netherlands","page":"49-63","title":"Communicating Moral Legitimacy in Controversial Industries: The Trade in Human Tissue","volume":"154","author":[{"family":"Reuber","given":"A.R."},{"family":"Morgan-Thomas","given":"A."}],"issued":{"date-parts":[["2019"]]}}}],"schema":"https://github.com/citation-style-language/schema/raw/master/csl-citation.json"} </w:instrText>
      </w:r>
      <w:r w:rsidR="00A9788A">
        <w:rPr>
          <w:rFonts w:cstheme="minorHAnsi"/>
          <w:szCs w:val="22"/>
          <w:lang w:val="en-GB"/>
        </w:rPr>
        <w:fldChar w:fldCharType="separate"/>
      </w:r>
      <w:r w:rsidR="00802E14">
        <w:rPr>
          <w:rFonts w:ascii="Calibri" w:hAnsi="Calibri" w:cs="Calibri"/>
          <w:lang w:val="en-GB"/>
        </w:rPr>
        <w:t>(Biloslavo et al., 2020; Reuber &amp; Morgan-Thomas, 2019)</w:t>
      </w:r>
      <w:r w:rsidR="00A9788A">
        <w:rPr>
          <w:rFonts w:cstheme="minorHAnsi"/>
          <w:szCs w:val="22"/>
          <w:lang w:val="en-GB"/>
        </w:rPr>
        <w:fldChar w:fldCharType="end"/>
      </w:r>
      <w:r w:rsidR="00A9788A">
        <w:rPr>
          <w:rFonts w:cstheme="minorHAnsi"/>
          <w:szCs w:val="22"/>
          <w:lang w:val="en-GB"/>
        </w:rPr>
        <w:t xml:space="preserve">. </w:t>
      </w:r>
      <w:r w:rsidR="00EC0AA5" w:rsidRPr="00473378">
        <w:rPr>
          <w:rFonts w:cstheme="minorHAnsi"/>
          <w:szCs w:val="22"/>
          <w:lang w:val="en-GB"/>
        </w:rPr>
        <w:t>Th</w:t>
      </w:r>
      <w:r w:rsidR="00EC0AA5">
        <w:rPr>
          <w:rFonts w:cstheme="minorHAnsi"/>
          <w:szCs w:val="22"/>
          <w:lang w:val="en-GB"/>
        </w:rPr>
        <w:t>is</w:t>
      </w:r>
      <w:r w:rsidR="00EC0AA5" w:rsidRPr="00473378">
        <w:rPr>
          <w:rFonts w:cstheme="minorHAnsi"/>
          <w:szCs w:val="22"/>
          <w:lang w:val="en-GB"/>
        </w:rPr>
        <w:t xml:space="preserve"> </w:t>
      </w:r>
      <w:r w:rsidR="0096562B" w:rsidRPr="00473378">
        <w:rPr>
          <w:rFonts w:cstheme="minorHAnsi"/>
          <w:szCs w:val="22"/>
          <w:lang w:val="en-GB"/>
        </w:rPr>
        <w:t xml:space="preserve">aspect leads to the first definition of sustainability linked to a balance </w:t>
      </w:r>
      <w:r w:rsidR="004243D3">
        <w:rPr>
          <w:rFonts w:cstheme="minorHAnsi"/>
          <w:szCs w:val="22"/>
          <w:lang w:val="en-GB"/>
        </w:rPr>
        <w:t>among</w:t>
      </w:r>
      <w:r w:rsidR="0096562B" w:rsidRPr="00473378">
        <w:rPr>
          <w:rFonts w:cstheme="minorHAnsi"/>
          <w:szCs w:val="22"/>
          <w:lang w:val="en-GB"/>
        </w:rPr>
        <w:t xml:space="preserve"> economic performance, social inclusiveness, and environmental resilience fo</w:t>
      </w:r>
      <w:r w:rsidR="0096562B" w:rsidRPr="000818C9">
        <w:rPr>
          <w:rFonts w:cstheme="minorHAnsi"/>
          <w:szCs w:val="22"/>
          <w:lang w:val="en-GB"/>
        </w:rPr>
        <w:t>r future generations</w:t>
      </w:r>
      <w:r w:rsidR="008228A8">
        <w:rPr>
          <w:rFonts w:cstheme="minorHAnsi"/>
          <w:szCs w:val="22"/>
          <w:lang w:val="en-GB"/>
        </w:rPr>
        <w:t xml:space="preserve"> </w:t>
      </w:r>
      <w:r w:rsidR="008228A8">
        <w:rPr>
          <w:rFonts w:cstheme="minorHAnsi"/>
          <w:szCs w:val="22"/>
          <w:lang w:val="en-GB"/>
        </w:rPr>
        <w:fldChar w:fldCharType="begin"/>
      </w:r>
      <w:r w:rsidR="00A15718">
        <w:rPr>
          <w:rFonts w:cstheme="minorHAnsi"/>
          <w:szCs w:val="22"/>
          <w:lang w:val="en-GB"/>
        </w:rPr>
        <w:instrText xml:space="preserve"> ADDIN ZOTERO_ITEM CSL_CITATION {"citationID":"IRoiS1d0","properties":{"formattedCitation":"(Maurizio Massaro, Bagnoli, et al., 2020)","plainCitation":"(Maurizio Massaro, Bagnoli, et al., 2020)","dontUpdate":true,"noteIndex":0},"citationItems":[{"id":7054,"uris":["http://zotero.org/users/5243184/items/4FC8MF6W"],"uri":["http://zotero.org/users/5243184/items/4FC8MF6W"],"itemData":{"id":7054,"type":"article-journal","container-title":"Business Strategy and the Environment","DOI":"10.1002/bse.2528","title":"The role of human sustainability in professional service firms. Evidence from Italy","URL":"https://onlinelibrary-wiley-com.bibliopass.unito.it/doi/full/10.1002/bse.2528?af=R","author":[{"family":"Massaro","given":"Maurizio"},{"family":"Bagnoli","given":"Carlo"},{"family":"Dal Mas","given":"Francesca"}],"accessed":{"date-parts":[["2020",6,27]]},"issued":{"date-parts":[["2020"]]}}}],"schema":"https://github.com/citation-style-language/schema/raw/master/csl-citation.json"} </w:instrText>
      </w:r>
      <w:r w:rsidR="008228A8">
        <w:rPr>
          <w:rFonts w:cstheme="minorHAnsi"/>
          <w:szCs w:val="22"/>
          <w:lang w:val="en-GB"/>
        </w:rPr>
        <w:fldChar w:fldCharType="separate"/>
      </w:r>
      <w:r w:rsidR="008228A8">
        <w:rPr>
          <w:rFonts w:cstheme="minorHAnsi"/>
          <w:noProof/>
          <w:szCs w:val="22"/>
          <w:lang w:val="en-GB"/>
        </w:rPr>
        <w:t>(Massaro, Bagnoli &amp; Dal Mas., 2020)</w:t>
      </w:r>
      <w:r w:rsidR="008228A8">
        <w:rPr>
          <w:rFonts w:cstheme="minorHAnsi"/>
          <w:szCs w:val="22"/>
          <w:lang w:val="en-GB"/>
        </w:rPr>
        <w:fldChar w:fldCharType="end"/>
      </w:r>
      <w:r w:rsidR="0096562B" w:rsidRPr="000818C9">
        <w:rPr>
          <w:rFonts w:cstheme="minorHAnsi"/>
          <w:szCs w:val="22"/>
          <w:lang w:val="en-GB"/>
        </w:rPr>
        <w:t xml:space="preserve">. </w:t>
      </w:r>
      <w:r w:rsidR="00D2075F" w:rsidRPr="00F45764">
        <w:rPr>
          <w:rFonts w:cstheme="minorHAnsi"/>
          <w:szCs w:val="22"/>
          <w:lang w:val="en-GB"/>
        </w:rPr>
        <w:fldChar w:fldCharType="begin"/>
      </w:r>
      <w:r w:rsidR="00F45764">
        <w:rPr>
          <w:rFonts w:cstheme="minorHAnsi"/>
          <w:szCs w:val="22"/>
          <w:lang w:val="en-GB"/>
        </w:rPr>
        <w:instrText xml:space="preserve"> ADDIN ZOTERO_ITEM CSL_CITATION {"citationID":"IQZzRQvk","properties":{"formattedCitation":"(Ghisellini et al., 2016)","plainCitation":"(Ghisellini et al., 2016)","dontUpdate":true,"noteIndex":0},"citationItems":[{"id":6840,"uris":["http://zotero.org/users/5243184/items/I944AD9J"],"uri":["http://zotero.org/users/5243184/items/I944AD9J"],"itemData":{"id":6840,"type":"article-journal","abstract":"In the last few years Circular Economy (CE) is receiving increasing attention worldwide as a way to overcome the current production and consumption model based on continuous growth and increasing resource throughput. By promoting the adoption of closing-the-loop production patterns within an economic system CE aims to increase the efficiency of resource use, with special focus on urban and industrial waste, to achieve a better balance and harmony between economy, environment and society. This study provides an extensive review of the literature of last two decades, with the purpose of grasping the main CE features and perspectives: origins, basic principles, advantages and disadvantages, modelling and implementation of CE at the different levels (micro, meso and macro) worldwide. Results evidence that CE origins are mainly rooted in ecological and environmental economics and industrial ecology. In China CE is promoted as a top-down national political objective while in other areas and countries as European Union, Japan and USA it is a tool to design bottom-up environmental and waste management policies. The ultimate goal of promoting CE is the decoupling of environmental pressure from economic growth. The implementation of CE worldwide still seems in the early stages, mainly focused on recycle rather than reuse. Important results have been achieved in some activity sectors (e.g. in waste management, where large waste recycling rates are achieved in selected developed countries). CE implies the adoption of cleaner production patterns at company level, an increase of producers and consumers responsibility and awareness, the use of renewable technologies and materials (wherever possible) as well as the adoption of suitable, clear and stable policies and tools. The lesson learned from successful experiences is that the transition towards CE comes from the involvement of all actors of the society and their capacity to link and create suitable collaboration and exchange patterns. Success stories also point out the need for an economic return on investment, in order to provide suitable motivation to companies and investors. In summary, the CE transition has just started. Moreover, the interdisciplinary framework underpinning CE offers good prospects for gradual improvement of the present production and consumption models, no longer adequate because of their environmental load and social inequity, a clear indicator of resource use inefficiency.","collection-title":"Towards Post Fossil Carbon Societies: Regenerative and Preventative Eco-Industrial Development","container-title":"Journal of Cleaner Production","DOI":"10.1016/j.jclepro.2015.09.007","ISSN":"0959-6526","journalAbbreviation":"Journal of Cleaner Production","language":"en","page":"11-32","source":"ScienceDirect","title":"A review on circular economy: the expected transition to a balanced interplay of environmental and economic systems","title-short":"A review on circular economy","volume":"114","author":[{"family":"Ghisellini","given":"Patrizia"},{"family":"Cialani","given":"Catia"},{"family":"Ulgiati","given":"Sergio"}],"issued":{"date-parts":[["2016",2,15]]}}}],"schema":"https://github.com/citation-style-language/schema/raw/master/csl-citation.json"} </w:instrText>
      </w:r>
      <w:r w:rsidR="00D2075F" w:rsidRPr="00F45764">
        <w:rPr>
          <w:rFonts w:cstheme="minorHAnsi"/>
          <w:szCs w:val="22"/>
          <w:lang w:val="en-GB"/>
        </w:rPr>
        <w:fldChar w:fldCharType="separate"/>
      </w:r>
      <w:r w:rsidR="00D2075F" w:rsidRPr="00F45764">
        <w:rPr>
          <w:rFonts w:cstheme="minorHAnsi"/>
          <w:noProof/>
          <w:szCs w:val="22"/>
          <w:lang w:val="en-GB"/>
        </w:rPr>
        <w:t>Ghisellini et al.</w:t>
      </w:r>
      <w:r w:rsidR="00874809" w:rsidRPr="00F45764">
        <w:rPr>
          <w:rFonts w:cstheme="minorHAnsi"/>
          <w:noProof/>
          <w:szCs w:val="22"/>
          <w:lang w:val="en-GB"/>
        </w:rPr>
        <w:t xml:space="preserve"> (</w:t>
      </w:r>
      <w:r w:rsidR="00D2075F" w:rsidRPr="00F45764">
        <w:rPr>
          <w:rFonts w:cstheme="minorHAnsi"/>
          <w:noProof/>
          <w:szCs w:val="22"/>
          <w:lang w:val="en-GB"/>
        </w:rPr>
        <w:t>2016)</w:t>
      </w:r>
      <w:r w:rsidR="00D2075F" w:rsidRPr="00F45764">
        <w:rPr>
          <w:rFonts w:cstheme="minorHAnsi"/>
          <w:szCs w:val="22"/>
          <w:lang w:val="en-GB"/>
        </w:rPr>
        <w:fldChar w:fldCharType="end"/>
      </w:r>
      <w:r w:rsidR="00D2075F" w:rsidRPr="00F45764">
        <w:rPr>
          <w:rFonts w:cstheme="minorHAnsi"/>
          <w:szCs w:val="22"/>
          <w:lang w:val="en-GB"/>
        </w:rPr>
        <w:t xml:space="preserve"> </w:t>
      </w:r>
      <w:r w:rsidR="0096562B" w:rsidRPr="00F45764">
        <w:rPr>
          <w:rFonts w:cstheme="minorHAnsi"/>
          <w:szCs w:val="22"/>
          <w:lang w:val="en-GB"/>
        </w:rPr>
        <w:t xml:space="preserve">define the </w:t>
      </w:r>
      <w:r w:rsidR="0058267C" w:rsidRPr="00F45764">
        <w:rPr>
          <w:rFonts w:cstheme="minorHAnsi"/>
          <w:szCs w:val="22"/>
          <w:lang w:val="en-GB"/>
        </w:rPr>
        <w:t>CE</w:t>
      </w:r>
      <w:r w:rsidR="0096562B" w:rsidRPr="00F45764">
        <w:rPr>
          <w:rFonts w:cstheme="minorHAnsi"/>
          <w:szCs w:val="22"/>
          <w:lang w:val="en-GB"/>
        </w:rPr>
        <w:t xml:space="preserve"> as a restorative and regenerative system followed by various authors who associate it with the ability to recycle and regenerate the production process outputs</w:t>
      </w:r>
      <w:r w:rsidR="00DD5D5D" w:rsidRPr="00F45764">
        <w:rPr>
          <w:rFonts w:cstheme="minorHAnsi"/>
          <w:szCs w:val="22"/>
          <w:lang w:val="en-GB"/>
        </w:rPr>
        <w:t xml:space="preserve"> </w:t>
      </w:r>
      <w:r w:rsidR="00DD5D5D" w:rsidRPr="00F45764">
        <w:rPr>
          <w:rFonts w:cstheme="minorHAnsi"/>
          <w:szCs w:val="22"/>
          <w:lang w:val="en-GB"/>
        </w:rPr>
        <w:fldChar w:fldCharType="begin"/>
      </w:r>
      <w:r w:rsidR="00F45764">
        <w:rPr>
          <w:rFonts w:cstheme="minorHAnsi"/>
          <w:szCs w:val="22"/>
          <w:lang w:val="en-GB"/>
        </w:rPr>
        <w:instrText xml:space="preserve"> ADDIN ZOTERO_ITEM CSL_CITATION {"citationID":"KvmoHOPv","properties":{"formattedCitation":"(Gregson et al., 2015; Haas et al., 2015; Stahel, 2016; Yang &amp; Feng, 2008)","plainCitation":"(Gregson et al., 2015; Haas et al., 2015; Stahel, 2016; Yang &amp; Feng, 2008)","noteIndex":0},"citationItems":[{"id":6998,"uris":["http://zotero.org/users/5243184/items/IIEXPXXR"],"uri":["http://zotero.org/users/5243184/items/IIEXPXXR"],"itemData":{"id":6998,"type":"article-journal","abstract":"The concept of the circular economy has gained increasing prominence in academic, practitioner and policy circles and is linked to greening economies and sustainable development. However, the idea is more often celebrated than critically interrogated. Analysis shows the concept circulates as an idea and ideal, exemplified by industrial symbiosis and extended product life. Yet, its actual enactment is limited and fragile. Instead, circular economies are achieved mostly through global recycling networks which are the primary means by which wastes are recovered as resources. European policies eschew these circuits. Resource recovery through global recycling networks is regarded as a dirty and illegal trade. In its place, EU circular economies attempt to transform wastes into resources within the boundaries of the EU. Through an analysis of two case studies of resource recovery in the United Kingdom, we highlight the challenges that confront making circular economies within the EU, showing that these are borne of a conjuncture of politically created markets, material properties and morally defined materials circuits. We show resource recovery in the EU to be framed by moral economies, driven by discourses of ecological modernization, environmental justice and resource (in)security, the last of which connects to China's resource-intensive development.","container-title":"Economy and Society","DOI":"10.1080/03085147.2015.1013353","ISSN":"0308-5147","issue":"2","note":"publisher: Routledge\n_eprint: https://doi.org/10.1080/03085147.2015.1013353","page":"218-243","source":"Taylor and Francis+NEJM","title":"Interrogating the circular economy: the moral economy of resource recovery in the EU","title-short":"Interrogating the circular economy","volume":"44","author":[{"family":"Gregson","given":"Nicky"},{"family":"Crang","given":"Mike"},{"family":"Fuller","given":"Sara"},{"family":"Holmes","given":"Helen"}],"issued":{"date-parts":[["2015",4,3]]}}},{"id":7001,"uris":["http://zotero.org/users/5243184/items/ATEHU977"],"uri":["http://zotero.org/users/5243184/items/ATEHU977"],"itemData":{"id":7001,"type":"article-journal","abstract":"It is increasingly recognized that the growing metabolism of society is approaching limitations both with respect to sources for resource inputs and sinks for waste and emission outflows. The circular economy (CE) is a simple, but convincing, strategy, which aims at reducing both input of virgin materials and output of wastes by closing economic and ecological loops of resource flows. This article applies a sociometabolic approach to assess the circularity of global material flows. All societal material flows globally and in the European Union (EU-27) are traced from extraction to disposal and presented for main material groups for 2005. Our estimate shows that while globally roughly 4 gigatonnes per year (Gt/yr) of waste materials are recycled, this flow is of moderate size compared to 62 Gt/yr of processed materials and outputs of 41 Gt/yr. The low degree of circularity has two main reasons: First, 44% of processed materials are used to provide energy and are thus not available for recycling. Second, socioeconomic stocks are still growing at a high rate with net additions to stocks of 17 Gt/yr. Despite having considerably higher end-of-life recycling rates in the EU, the overall degree of circularity is low for similar reasons. Our results indicate that strategies targeting the output side (end of pipe) are limited given present proportions of flows, whereas a shift to renewable energy, a significant reduction of societal stock growth, and decisive eco-design are required to advance toward a CE.","container-title":"Journal of Industrial Ecology","DOI":"10.1111/jiec.12244","ISSN":"1530-9290","issue":"5","language":"en","note":"_eprint: https://onlinelibrary.wiley.com/doi/pdf/10.1111/jiec.12244","page":"765-777","source":"Wiley Online Library","title":"How Circular is the Global Economy?: An Assessment of Material Flows, Waste Production, and Recycling in the European Union and the World in 2005","title-short":"How Circular is the Global Economy?","volume":"19","author":[{"family":"Haas","given":"Willi"},{"family":"Krausmann","given":"Fridolin"},{"family":"Wiedenhofer","given":"Dominik"},{"family":"Heinz","given":"Markus"}],"issued":{"date-parts":[["2015"]]}}},{"id":6996,"uris":["http://zotero.org/users/5243184/items/IGUK9WPX"],"uri":["http://zotero.org/users/5243184/items/IGUK9WPX"],"itemData":{"id":6996,"type":"article-journal","abstract":"A new relationship with our goods and materials would save resources and energy and create local jobs, explains Walter R. Stahel.","container-title":"Nature News","DOI":"10.1038/531435a","issue":"7595","language":"en","note":"section: Comment","page":"435","source":"www-nature-com.bibliopass.unito.it","title":"The circular economy","volume":"531","author":[{"family":"Stahel","given":"Walter R."}],"issued":{"date-parts":[["2016",3,24]]}}},{"id":7004,"uris":["http://zotero.org/users/5243184/items/VA4AZGRL"],"uri":["http://zotero.org/users/5243184/items/VA4AZGRL"],"itemData":{"id":7004,"type":"article-journal","abstract":"Industrial symbiosis activities are being implemented in the philosophy of “circular economy” in China. Integrating industrial symbiosis into the corporate development plans to optimize materials and energy flows is a feasible strategy for many corporations in their transition between nonsustainable and sustainable development. By constructing industrial ecosystems, Nanning Sugar Co., Ltd. in China, has achieved the successful transition from a traditional corporation to a sustainable corporation, or rather, a circular corporation. This study expounds on its whole transition course to a circular complex in the past decade, in which four factors are essential to making this symbiosis achievable: rational production structures; raw materials advantages; technical supports and correct diversification. The corporation is in charge of almost all the aspects of its affiliated companies and the management mode, in particular, differing from that of industrial symbiosis systems in Kalundborg, is considered another potential factor contributing to the corporate success. The transition mode in question is hoped to point to a feasible development path for similar corporations.","container-title":"Resources, Conservation and Recycling","DOI":"10.1016/j.resconrec.2007.11.008","ISSN":"0921-3449","issue":"5","journalAbbreviation":"Resources, Conservation and Recycling","language":"en","page":"813-820","source":"ScienceDirect","title":"A case study of industrial symbiosis: Nanning Sugar Co., Ltd. in China","title-short":"A case study of industrial symbiosis","volume":"52","author":[{"family":"Yang","given":"Shanlin"},{"family":"Feng","given":"Nanping"}],"issued":{"date-parts":[["2008",3,1]]}}}],"schema":"https://github.com/citation-style-language/schema/raw/master/csl-citation.json"} </w:instrText>
      </w:r>
      <w:r w:rsidR="00DD5D5D" w:rsidRPr="00F45764">
        <w:rPr>
          <w:rFonts w:cstheme="minorHAnsi"/>
          <w:szCs w:val="22"/>
          <w:lang w:val="en-GB"/>
        </w:rPr>
        <w:fldChar w:fldCharType="separate"/>
      </w:r>
      <w:r w:rsidR="00802E14">
        <w:rPr>
          <w:rFonts w:cstheme="minorHAnsi"/>
          <w:noProof/>
          <w:szCs w:val="22"/>
          <w:lang w:val="en-GB"/>
        </w:rPr>
        <w:t>(Gregson et al., 2015; Haas et al., 2015; Stahel, 2016; Yang &amp; Feng, 2008)</w:t>
      </w:r>
      <w:r w:rsidR="00DD5D5D" w:rsidRPr="00F45764">
        <w:rPr>
          <w:rFonts w:cstheme="minorHAnsi"/>
          <w:szCs w:val="22"/>
          <w:lang w:val="en-GB"/>
        </w:rPr>
        <w:fldChar w:fldCharType="end"/>
      </w:r>
      <w:r w:rsidR="00DD5D5D" w:rsidRPr="00F45764">
        <w:rPr>
          <w:rFonts w:cstheme="minorHAnsi"/>
          <w:szCs w:val="22"/>
          <w:lang w:val="en-GB"/>
        </w:rPr>
        <w:t xml:space="preserve">. </w:t>
      </w:r>
      <w:r w:rsidR="0096562B" w:rsidRPr="00F45764">
        <w:rPr>
          <w:rFonts w:cstheme="minorHAnsi"/>
          <w:szCs w:val="22"/>
          <w:lang w:val="en-GB"/>
        </w:rPr>
        <w:t xml:space="preserve">In the production process, the theme of the relationship as a necessary condition for increasing sustainability is treated by involving the possible beneficiaries in the </w:t>
      </w:r>
      <w:r w:rsidR="001A34A9" w:rsidRPr="00F45764">
        <w:rPr>
          <w:rFonts w:cstheme="minorHAnsi"/>
          <w:szCs w:val="22"/>
          <w:lang w:val="en-GB"/>
        </w:rPr>
        <w:t>link</w:t>
      </w:r>
      <w:r w:rsidR="0096562B" w:rsidRPr="00F45764">
        <w:rPr>
          <w:rFonts w:cstheme="minorHAnsi"/>
          <w:szCs w:val="22"/>
          <w:lang w:val="en-GB"/>
        </w:rPr>
        <w:t xml:space="preserve"> and studying the trade-off between subjects</w:t>
      </w:r>
      <w:r w:rsidR="00DD5D5D" w:rsidRPr="00F45764">
        <w:rPr>
          <w:rFonts w:cstheme="minorHAnsi"/>
          <w:szCs w:val="22"/>
          <w:lang w:val="en-GB"/>
        </w:rPr>
        <w:t xml:space="preserve"> </w:t>
      </w:r>
      <w:r w:rsidR="00DD5D5D" w:rsidRPr="00F45764">
        <w:rPr>
          <w:rFonts w:cstheme="minorHAnsi"/>
          <w:szCs w:val="22"/>
          <w:lang w:val="en-GB"/>
        </w:rPr>
        <w:fldChar w:fldCharType="begin"/>
      </w:r>
      <w:r w:rsidR="00F45764">
        <w:rPr>
          <w:rFonts w:cstheme="minorHAnsi"/>
          <w:szCs w:val="22"/>
          <w:lang w:val="en-GB"/>
        </w:rPr>
        <w:instrText xml:space="preserve"> ADDIN ZOTERO_ITEM CSL_CITATION {"citationID":"WQHxyLjV","properties":{"formattedCitation":"(Geissdoerfer et al., 2017)","plainCitation":"(Geissdoerfer et al., 2017)","noteIndex":0},"citationItems":[{"id":6979,"uris":["http://zotero.org/users/5243184/items/A7ILCCBA"],"uri":["http://zotero.org/users/5243184/items/A7ILCCBA"],"itemData":{"id":6979,"type":"article-journal","abstract":"While the terms Circular Economy and sustainability are increasingly gaining traction with academia, industry, and policymakers, the similarities and differences between both concepts remain ambiguous. The relationship between the concepts is not made explicit in literature, which is blurring their conceptual contours and constrains the efficacy of using the approaches in research and practice. This research addresses this gap and aims to provide conceptual clarity by distinguishing the terms and synthesising the different types of relationships between them. We conducted an extensive literature review, employing bibliometric analysis and snowballing techniques to investigate the state of the art in the field and synthesise the similarities, differences and relationships between both terms. We identified eight different relationship types in the literature and illustrated the most evident similarities and differences between both concepts.","container-title":"Journal of Cleaner Production","DOI":"10.1016/j.jclepro.2016.12.048","ISSN":"0959-6526","journalAbbreviation":"Journal of Cleaner Production","language":"en","page":"757-768","source":"ScienceDirect","title":"The Circular Economy – A new sustainability paradigm?","volume":"143","author":[{"family":"Geissdoerfer","given":"Martin"},{"family":"Savaget","given":"Paulo"},{"family":"Bocken","given":"Nancy M. P."},{"family":"Hultink","given":"Erik Jan"}],"issued":{"date-parts":[["2017",2,1]]}}}],"schema":"https://github.com/citation-style-language/schema/raw/master/csl-citation.json"} </w:instrText>
      </w:r>
      <w:r w:rsidR="00DD5D5D" w:rsidRPr="00F45764">
        <w:rPr>
          <w:rFonts w:cstheme="minorHAnsi"/>
          <w:szCs w:val="22"/>
          <w:lang w:val="en-GB"/>
        </w:rPr>
        <w:fldChar w:fldCharType="separate"/>
      </w:r>
      <w:r w:rsidR="00802E14">
        <w:rPr>
          <w:rFonts w:cstheme="minorHAnsi"/>
          <w:noProof/>
          <w:szCs w:val="22"/>
          <w:lang w:val="en-GB"/>
        </w:rPr>
        <w:t>(Geissdoerfer et al., 2017)</w:t>
      </w:r>
      <w:r w:rsidR="00DD5D5D" w:rsidRPr="00F45764">
        <w:rPr>
          <w:rFonts w:cstheme="minorHAnsi"/>
          <w:szCs w:val="22"/>
          <w:lang w:val="en-GB"/>
        </w:rPr>
        <w:fldChar w:fldCharType="end"/>
      </w:r>
      <w:r w:rsidR="00DD5D5D" w:rsidRPr="00F45764">
        <w:rPr>
          <w:rFonts w:cstheme="minorHAnsi"/>
          <w:szCs w:val="22"/>
          <w:lang w:val="en-GB"/>
        </w:rPr>
        <w:t xml:space="preserve">. </w:t>
      </w:r>
    </w:p>
    <w:p w14:paraId="7D7A5A48" w14:textId="3561240D" w:rsidR="0096562B" w:rsidRPr="00F45764" w:rsidRDefault="00F76BE8">
      <w:pPr>
        <w:rPr>
          <w:rFonts w:cstheme="minorHAnsi"/>
          <w:szCs w:val="22"/>
          <w:lang w:val="en-GB"/>
        </w:rPr>
      </w:pPr>
      <w:r>
        <w:rPr>
          <w:rFonts w:cstheme="minorHAnsi"/>
          <w:szCs w:val="22"/>
          <w:lang w:val="en-GB"/>
        </w:rPr>
        <w:t>Additionally, t</w:t>
      </w:r>
      <w:r w:rsidR="0096562B" w:rsidRPr="00795030">
        <w:rPr>
          <w:rFonts w:cstheme="minorHAnsi"/>
          <w:szCs w:val="22"/>
          <w:lang w:val="en-GB"/>
        </w:rPr>
        <w:t xml:space="preserve">he concept of </w:t>
      </w:r>
      <w:r w:rsidR="0058267C" w:rsidRPr="00473378">
        <w:rPr>
          <w:rFonts w:cstheme="minorHAnsi"/>
          <w:szCs w:val="22"/>
          <w:lang w:val="en-GB"/>
        </w:rPr>
        <w:t>CE</w:t>
      </w:r>
      <w:r w:rsidR="0096562B" w:rsidRPr="000818C9">
        <w:rPr>
          <w:rFonts w:cstheme="minorHAnsi"/>
          <w:szCs w:val="22"/>
          <w:lang w:val="en-GB"/>
        </w:rPr>
        <w:t xml:space="preserve"> in literature </w:t>
      </w:r>
      <w:r w:rsidR="00874809" w:rsidRPr="000818C9">
        <w:rPr>
          <w:rFonts w:cstheme="minorHAnsi"/>
          <w:szCs w:val="22"/>
          <w:lang w:val="en-GB"/>
        </w:rPr>
        <w:t xml:space="preserve">mainly </w:t>
      </w:r>
      <w:r w:rsidR="0096562B" w:rsidRPr="000818C9">
        <w:rPr>
          <w:rFonts w:cstheme="minorHAnsi"/>
          <w:szCs w:val="22"/>
          <w:lang w:val="en-GB"/>
        </w:rPr>
        <w:t xml:space="preserve">refers to the use of technologies as </w:t>
      </w:r>
      <w:r w:rsidR="0096562B" w:rsidRPr="00E41C68">
        <w:rPr>
          <w:rFonts w:cstheme="minorHAnsi"/>
          <w:szCs w:val="22"/>
          <w:lang w:val="en-GB"/>
        </w:rPr>
        <w:t xml:space="preserve">a fundamental factor in increasing new practices and leading to </w:t>
      </w:r>
      <w:r w:rsidR="003D32C9" w:rsidRPr="00F45764">
        <w:rPr>
          <w:rFonts w:cstheme="minorHAnsi"/>
          <w:szCs w:val="22"/>
          <w:lang w:val="en-GB"/>
        </w:rPr>
        <w:t>more significant</w:t>
      </w:r>
      <w:r w:rsidR="0096562B" w:rsidRPr="00F45764">
        <w:rPr>
          <w:rFonts w:cstheme="minorHAnsi"/>
          <w:szCs w:val="22"/>
          <w:lang w:val="en-GB"/>
        </w:rPr>
        <w:t xml:space="preserve"> environmental development </w:t>
      </w:r>
      <w:r w:rsidR="00DD5D5D" w:rsidRPr="00F45764">
        <w:rPr>
          <w:rFonts w:cstheme="minorHAnsi"/>
          <w:szCs w:val="22"/>
          <w:lang w:val="en-GB"/>
        </w:rPr>
        <w:fldChar w:fldCharType="begin"/>
      </w:r>
      <w:r w:rsidR="00F45764">
        <w:rPr>
          <w:rFonts w:cstheme="minorHAnsi"/>
          <w:szCs w:val="22"/>
          <w:lang w:val="en-GB"/>
        </w:rPr>
        <w:instrText xml:space="preserve"> ADDIN ZOTERO_ITEM CSL_CITATION {"citationID":"gp958rTe","properties":{"formattedCitation":"(Park et al., 2010)","plainCitation":"(Park et al., 2010)","noteIndex":0},"citationItems":[{"id":7006,"uris":["http://zotero.org/users/5243184/items/MFLQAZ4T"],"uri":["http://zotero.org/users/5243184/items/MFLQAZ4T"],"itemData":{"id":7006,"type":"article-journal","abstract":"This paper investigates the challenges and opportunities of how firms and organizations can and will be able to strike a better balance between economic growth and environmental stewardship in the context of China’s emerging ‘circular economy’ policy paradigm and based on ecological modernization theoretic approaches. Based on three company case studies in the information technology and electronic industries in China, we identify and demonstrate how a blended business and environmental value can be created from adopting a sustainable supply chain management approach. The adoption of a sustainable supply chain management approach is rapidly becoming a key business challenge and opportunity in China and other large emerging economies around the world, where our greatest environmental management challenges currently reside and will continue to exist for many years to come. The value creation framework proposed in research focuses on evaluating three case study companies who appear in various stages of an electronic industry supply chain. Value creation within a supply chain can provide the impetus for organizations to adopt circular economy, sustainable supply chain practices, for competitive reasons. In addition, we describe how a value proposition can be evaluated at two levels of analysis, a more specific micro-level and a more general meso-level of analysis. The four major business value dimensions include cost reduction, revenue generation, resiliency, and legitimacy and image. The initial findings are that a variety of opportunities exist for electronic firms in emerging and developing countries, while results from this study provide an important scholarly foundation to develop and refine sustainable supply chain management practices in emerging and developing economies.","container-title":"Journal of Cleaner Production","DOI":"10.1016/j.jclepro.2010.06.001","ISSN":"0959-6526","issue":"15","journalAbbreviation":"Journal of Cleaner Production","language":"en","page":"1494-1501","source":"ScienceDirect","title":"Creating integrated business and environmental value within the context of China’s circular economy and ecological modernization","volume":"18","author":[{"family":"Park","given":"Jacob"},{"family":"Sarkis","given":"Joseph"},{"family":"Wu","given":"Zhaohui"}],"issued":{"date-parts":[["2010",11,1]]}}}],"schema":"https://github.com/citation-style-language/schema/raw/master/csl-citation.json"} </w:instrText>
      </w:r>
      <w:r w:rsidR="00DD5D5D" w:rsidRPr="00F45764">
        <w:rPr>
          <w:rFonts w:cstheme="minorHAnsi"/>
          <w:szCs w:val="22"/>
          <w:lang w:val="en-GB"/>
        </w:rPr>
        <w:fldChar w:fldCharType="separate"/>
      </w:r>
      <w:r w:rsidR="00802E14">
        <w:rPr>
          <w:rFonts w:cstheme="minorHAnsi"/>
          <w:noProof/>
          <w:szCs w:val="22"/>
          <w:lang w:val="en-GB"/>
        </w:rPr>
        <w:t>(Park et al., 2010)</w:t>
      </w:r>
      <w:r w:rsidR="00DD5D5D" w:rsidRPr="00F45764">
        <w:rPr>
          <w:rFonts w:cstheme="minorHAnsi"/>
          <w:szCs w:val="22"/>
          <w:lang w:val="en-GB"/>
        </w:rPr>
        <w:fldChar w:fldCharType="end"/>
      </w:r>
      <w:r w:rsidR="00DD5D5D" w:rsidRPr="00F45764">
        <w:rPr>
          <w:rFonts w:cstheme="minorHAnsi"/>
          <w:szCs w:val="22"/>
          <w:lang w:val="en-GB"/>
        </w:rPr>
        <w:t xml:space="preserve">. </w:t>
      </w:r>
      <w:r w:rsidR="0096562B" w:rsidRPr="00F45764">
        <w:rPr>
          <w:rFonts w:cstheme="minorHAnsi"/>
          <w:szCs w:val="22"/>
          <w:lang w:val="en-GB"/>
        </w:rPr>
        <w:t>The new technologies applied are closely connected to the production system with a reduction in the inputs exploited with a consequent improvement in the quality of life and efficiency in the use of resources</w:t>
      </w:r>
      <w:r w:rsidR="00DD5D5D" w:rsidRPr="00F45764">
        <w:rPr>
          <w:rFonts w:cstheme="minorHAnsi"/>
          <w:szCs w:val="22"/>
          <w:lang w:val="en-GB"/>
        </w:rPr>
        <w:t xml:space="preserve"> </w:t>
      </w:r>
      <w:r w:rsidR="00DD5D5D" w:rsidRPr="00F45764">
        <w:rPr>
          <w:rFonts w:cstheme="minorHAnsi"/>
          <w:szCs w:val="22"/>
          <w:lang w:val="en-GB"/>
        </w:rPr>
        <w:fldChar w:fldCharType="begin"/>
      </w:r>
      <w:r w:rsidR="00F45764">
        <w:rPr>
          <w:rFonts w:cstheme="minorHAnsi"/>
          <w:szCs w:val="22"/>
          <w:lang w:val="en-GB"/>
        </w:rPr>
        <w:instrText xml:space="preserve"> ADDIN ZOTERO_ITEM CSL_CITATION {"citationID":"NbWOtz4R","properties":{"formattedCitation":"(Peters et al., 2007)","plainCitation":"(Peters et al., 2007)","noteIndex":0},"citationItems":[{"id":7008,"uris":["http://zotero.org/users/5243184/items/PDY29X9F"],"uri":["http://zotero.org/users/5243184/items/PDY29X9F"],"itemData":{"id":7008,"type":"article-journal","container-title":"Environmental Science &amp; Technology","DOI":"https://doi.org/10.1021/es070108f","issue":"17","page":"5939-5944","title":"China's Growing CO2 EmissionsA Race between Increasing Consumption and Efficiency Gains","volume":"41","author":[{"family":"Peters","given":"Glen P."},{"family":"Weber","given":"Christopher L."},{"family":"Guan","given":"Dado"},{"family":"Hubacek","given":"Klaus"}],"issued":{"date-parts":[["2007"]]}}}],"schema":"https://github.com/citation-style-language/schema/raw/master/csl-citation.json"} </w:instrText>
      </w:r>
      <w:r w:rsidR="00DD5D5D" w:rsidRPr="00F45764">
        <w:rPr>
          <w:rFonts w:cstheme="minorHAnsi"/>
          <w:szCs w:val="22"/>
          <w:lang w:val="en-GB"/>
        </w:rPr>
        <w:fldChar w:fldCharType="separate"/>
      </w:r>
      <w:r w:rsidR="00802E14">
        <w:rPr>
          <w:rFonts w:cstheme="minorHAnsi"/>
          <w:noProof/>
          <w:szCs w:val="22"/>
          <w:lang w:val="en-GB"/>
        </w:rPr>
        <w:t>(Peters et al., 2007)</w:t>
      </w:r>
      <w:r w:rsidR="00DD5D5D" w:rsidRPr="00F45764">
        <w:rPr>
          <w:rFonts w:cstheme="minorHAnsi"/>
          <w:szCs w:val="22"/>
          <w:lang w:val="en-GB"/>
        </w:rPr>
        <w:fldChar w:fldCharType="end"/>
      </w:r>
      <w:r w:rsidR="00DD5D5D" w:rsidRPr="00F45764">
        <w:rPr>
          <w:rFonts w:cstheme="minorHAnsi"/>
          <w:szCs w:val="22"/>
          <w:lang w:val="en-GB"/>
        </w:rPr>
        <w:t xml:space="preserve">. </w:t>
      </w:r>
      <w:r w:rsidR="0096562B" w:rsidRPr="00F45764">
        <w:rPr>
          <w:rFonts w:cstheme="minorHAnsi"/>
          <w:szCs w:val="22"/>
          <w:lang w:val="en-GB"/>
        </w:rPr>
        <w:t xml:space="preserve">However, the use of technologies concerns not only the ability to reduce resources but also the ability to manage information through new technologies to increase the </w:t>
      </w:r>
      <w:r w:rsidR="001B3EC9">
        <w:rPr>
          <w:rFonts w:cstheme="minorHAnsi"/>
          <w:szCs w:val="22"/>
          <w:lang w:val="en-GB"/>
        </w:rPr>
        <w:t>CE</w:t>
      </w:r>
      <w:r w:rsidR="00106633">
        <w:rPr>
          <w:rFonts w:cstheme="minorHAnsi"/>
          <w:szCs w:val="22"/>
          <w:lang w:val="en-GB"/>
        </w:rPr>
        <w:t>'</w:t>
      </w:r>
      <w:r w:rsidR="001B3EC9">
        <w:rPr>
          <w:rFonts w:cstheme="minorHAnsi"/>
          <w:szCs w:val="22"/>
          <w:lang w:val="en-GB"/>
        </w:rPr>
        <w:t>s</w:t>
      </w:r>
      <w:r w:rsidR="00784C0C" w:rsidRPr="00B7155E">
        <w:rPr>
          <w:rFonts w:cstheme="minorHAnsi"/>
          <w:szCs w:val="22"/>
          <w:lang w:val="en-GB"/>
        </w:rPr>
        <w:t xml:space="preserve"> </w:t>
      </w:r>
      <w:r w:rsidR="0096562B" w:rsidRPr="00F45764">
        <w:rPr>
          <w:rFonts w:cstheme="minorHAnsi"/>
          <w:szCs w:val="22"/>
          <w:lang w:val="en-GB"/>
        </w:rPr>
        <w:t xml:space="preserve">impact on consumers and between producers </w:t>
      </w:r>
      <w:r w:rsidR="00DD5D5D" w:rsidRPr="00F45764">
        <w:rPr>
          <w:rFonts w:cstheme="minorHAnsi"/>
          <w:szCs w:val="22"/>
          <w:lang w:val="en-GB"/>
        </w:rPr>
        <w:fldChar w:fldCharType="begin"/>
      </w:r>
      <w:r w:rsidR="00B03A7D">
        <w:rPr>
          <w:rFonts w:cstheme="minorHAnsi"/>
          <w:szCs w:val="22"/>
          <w:lang w:val="en-GB"/>
        </w:rPr>
        <w:instrText xml:space="preserve"> ADDIN ZOTERO_ITEM CSL_CITATION {"citationID":"pC8JdB5P","properties":{"formattedCitation":"(Camacho-Otero et al., 2018; Muduli et al., 2020)","plainCitation":"(Camacho-Otero et al., 2018; Muduli et al., 2020)","noteIndex":0},"citationItems":[{"id":7010,"uris":["http://zotero.org/users/5243184/items/RJMNDAG8"],"uri":["http://zotero.org/users/5243184/items/RJMNDAG8"],"itemData":{"id":7010,"type":"article-journal","abstract":"A circular economy (CE) aims at decoupling value creation from waste generation and resource use by radically transforming production and consumption systems. Recent reviews on the topic of the circular economy have indicated that cultural barriers are a significant factor hindering the diffusion of so-called &amp;lsquo;circular&amp;rsquo; business models, particularly the lack of consumer&amp;mdash;or user&amp;mdash;acceptance. However, none of them has provided an overview of the existing literature addressing such issues that can help academics and practitioners better understand consumption considerations when addressing the circular economy. Motivated by these observations, this paper presents the results of a literature review that summarises and discusses insights from 111 articles in terms of the problem area, theoretical approaches, methods, and tools that have been used to collect and analyse data, the main issues, and identified research gaps. The results show that most of the existing scientific work on the circular economy and circular solutions addressing consumption has focussed on identifying factors that drive or hinder the consumption of circular solutions. A smaller but expanding set of articles has focussed on offering insights into the nature, meaning, and dynamics of consumption in the context of the circular economy. According to this set of articles, consumption in the circular economy is anonymous, connected, political, uncertain, and based on multiple values, not only utility. A smaller set of papers has explored the integration of user and consumer perspectives into design processes. Although these contributions are relevant, opportunities for further research are still open, particularly regarding socio-material and cultural aspects of consumption in the context of the circular economy, and the role of digitalisation. In addition, more work could be done regarding strategies to foster not only acceptance but also the adoption and diffusion of the circular economy. Based on the findings of this literature review, some ideas for a research agenda on the issue of consumption in the circular economy are outlined.","container-title":"Sustainability","DOI":"10.3390/su10082758","issue":"8","language":"en","note":"number: 8\npublisher: Multidisciplinary Digital Publishing Institute","page":"2758","source":"www.mdpi.com","title":"Consumption in the Circular Economy: A Literature Review","title-short":"Consumption in the Circular Economy","volume":"10","author":[{"family":"Camacho-Otero","given":"Juana"},{"family":"Boks","given":"Casper"},{"family":"Pettersen","given":"Ida Nilstad"}],"issued":{"date-parts":[["2018",8]]}}},{"id":7110,"uris":["http://zotero.org/users/5243184/items/QTEDS56V"],"uri":["http://zotero.org/users/5243184/items/QTEDS56V"],"itemData":{"id":7110,"type":"article-journal","abstract":"Anchored in the resource-based view theory, the objective of this research is to empirically analyse the behavioural factors affecting the green supply chain management (GCSM) performance in a fast-growing emerging economy by taking an empirical data set of 101 responses from personnel in the mining sector. Behavioural factors in green supply chains are still a critical challenge—not yet a well-explored academic subject—when the focus is on the mining industry of emerging economies like India; the lack of studies in this field could be a factor preventing the Indian mining industry becoming more green. In terms of methodology, original survey data were processed through AMOS 4.0, adopted for assessing the causal connection among the six constructs, that is, top management support, teamwork, workplace culture, resistance to change, green innovation, and green motivation. We further explore the input from the human side of GCSM by highlighting that top management support and green motivation are the most crucial behavioural factors that influence GCSM in the Indian mining sector. The study will be helpful for mining companies because it will enable them to identify the areas that require their attention for enhancing GCSM performance related to behavioural aspects.","container-title":"Business Strategy and the Environment","DOI":"10.1002/bse.2459","ISSN":"1099-0836","issue":"4","language":"en","note":"_eprint: https://onlinelibrary.wiley.com/doi/pdf/10.1002/bse.2459","page":"1647-1665","source":"Wiley Online Library","title":"Environmental management and the “soft side” of organisations: Discovering the most relevant behavioural factors in green supply chains","title-short":"Environmental management and the “soft side” of organisations","volume":"29","author":[{"family":"Muduli","given":"Kamala","dropping-particle":"kanta"},{"family":"Luthra","given":"Sunil"},{"family":"Mangla","given":"Sachin Kumar"},{"family":"Jabbour","given":"Charbel Jose Chiappetta"},{"family":"Aich","given":"Satyabrata"},{"family":"Guimarães","given":"Julio Cesar Ferro","dropping-particle":"de"}],"issued":{"date-parts":[["2020"]]}}}],"schema":"https://github.com/citation-style-language/schema/raw/master/csl-citation.json"} </w:instrText>
      </w:r>
      <w:r w:rsidR="00DD5D5D" w:rsidRPr="00F45764">
        <w:rPr>
          <w:rFonts w:cstheme="minorHAnsi"/>
          <w:szCs w:val="22"/>
          <w:lang w:val="en-GB"/>
        </w:rPr>
        <w:fldChar w:fldCharType="separate"/>
      </w:r>
      <w:r w:rsidR="00802E14">
        <w:rPr>
          <w:rFonts w:cstheme="minorHAnsi"/>
          <w:noProof/>
          <w:szCs w:val="22"/>
          <w:lang w:val="en-GB"/>
        </w:rPr>
        <w:t>(Camacho-Otero et al., 2018; Muduli et al., 2020)</w:t>
      </w:r>
      <w:r w:rsidR="00DD5D5D" w:rsidRPr="00F45764">
        <w:rPr>
          <w:rFonts w:cstheme="minorHAnsi"/>
          <w:szCs w:val="22"/>
          <w:lang w:val="en-GB"/>
        </w:rPr>
        <w:fldChar w:fldCharType="end"/>
      </w:r>
      <w:r w:rsidR="00DD5D5D" w:rsidRPr="00F45764">
        <w:rPr>
          <w:rFonts w:cstheme="minorHAnsi"/>
          <w:szCs w:val="22"/>
          <w:lang w:val="en-GB"/>
        </w:rPr>
        <w:t>.</w:t>
      </w:r>
      <w:r w:rsidR="00874809" w:rsidRPr="00F45764">
        <w:rPr>
          <w:rFonts w:cstheme="minorHAnsi"/>
          <w:szCs w:val="22"/>
          <w:lang w:val="en-GB"/>
        </w:rPr>
        <w:t xml:space="preserve"> Thus, as stated by </w:t>
      </w:r>
      <w:r w:rsidR="00874809" w:rsidRPr="00F45764">
        <w:rPr>
          <w:rFonts w:cstheme="minorHAnsi"/>
          <w:szCs w:val="22"/>
          <w:lang w:val="en-GB"/>
        </w:rPr>
        <w:fldChar w:fldCharType="begin"/>
      </w:r>
      <w:r w:rsidR="00F45764">
        <w:rPr>
          <w:rFonts w:cstheme="minorHAnsi"/>
          <w:szCs w:val="22"/>
          <w:lang w:val="en-GB"/>
        </w:rPr>
        <w:instrText xml:space="preserve"> ADDIN ZOTERO_ITEM CSL_CITATION {"citationID":"9jBriCDO","properties":{"formattedCitation":"(Lopes de\\uc0\\u160{}Sousa\\uc0\\u160{}Jabbour et al., 2018)","plainCitation":"(Lopes de Sousa Jabbour et al., 2018)","dontUpdate":true,"noteIndex":0},"citationItems":[{"id":6837,"uris":["http://zotero.org/users/5243184/items/TM8PFKUT"],"uri":["http://zotero.org/users/5243184/items/TM8PFKUT"],"itemData":{"id":6837,"type":"article-journal","abstract":"This work makes a case for the integration of the increasingly popular and largely separate topics of Industry 4.0 and the circular economy (CE). The paper extends the state-of-the-art literature by proposing a pioneering roadmap to enhance the application of CE principles in organisations by means of Industry 4.0 approaches. Advanced and digital manufacturing technologies are able to unlock the circularity of resources within supply chains; however, the connection between CE and Industry 4.0 has not so far been explored. This article therefore contributes to the literature by unveiling how different Industry 4.0 technologies could underpin CE strategies, and to organisations by addressing those technologies as a basis for sustainable operations management decision-making. The main results of this work are: (a) a discussion on the mutually beneficial relationship between Industry 4.0 and the CE; (b) an in-depth understanding of the potential contributions of smart production technologies to the ReSOLVE model of CE business models; (c) a research agenda for future studies on the integration between Industry 4.0 and CE principles based on the most relevant management theories.","container-title":"Annals of Operations Research","DOI":"10.1007/s10479-018-2772-8","ISSN":"1572-9338","issue":"1","journalAbbreviation":"Ann Oper Res","language":"en","page":"273-286","source":"Springer Link","title":"Industry 4.0 and the circular economy: a proposed research agenda and original roadmap for sustainable operations","title-short":"Industry 4.0 and the circular economy","volume":"270","author":[{"family":"Lopes de Sousa Jabbour","given":"Ana Beatriz"},{"family":"Jabbour","given":"Charbel Jose Chiappetta"},{"family":"Godinho Filho","given":"Moacir"},{"family":"Roubaud","given":"David"}],"issued":{"date-parts":[["2018",11,1]]}}}],"schema":"https://github.com/citation-style-language/schema/raw/master/csl-citation.json"} </w:instrText>
      </w:r>
      <w:r w:rsidR="00874809" w:rsidRPr="00F45764">
        <w:rPr>
          <w:rFonts w:cstheme="minorHAnsi"/>
          <w:szCs w:val="22"/>
          <w:lang w:val="en-GB"/>
        </w:rPr>
        <w:fldChar w:fldCharType="separate"/>
      </w:r>
      <w:r w:rsidR="007645C9" w:rsidRPr="00F45764">
        <w:rPr>
          <w:rFonts w:cstheme="minorHAnsi"/>
          <w:szCs w:val="22"/>
          <w:lang w:val="en-GB"/>
        </w:rPr>
        <w:t>(Lopes de Sousa Jabbour et al., 2018)</w:t>
      </w:r>
      <w:r w:rsidR="001A34A9" w:rsidRPr="00F45764">
        <w:rPr>
          <w:rFonts w:cstheme="minorHAnsi"/>
          <w:szCs w:val="22"/>
          <w:lang w:val="en-GB"/>
        </w:rPr>
        <w:t>,</w:t>
      </w:r>
      <w:r w:rsidR="00874809" w:rsidRPr="00F45764">
        <w:rPr>
          <w:rFonts w:cstheme="minorHAnsi"/>
          <w:szCs w:val="22"/>
          <w:lang w:val="en-GB"/>
        </w:rPr>
        <w:fldChar w:fldCharType="end"/>
      </w:r>
      <w:r w:rsidR="00874809" w:rsidRPr="00F45764">
        <w:rPr>
          <w:rFonts w:cstheme="minorHAnsi"/>
          <w:szCs w:val="22"/>
          <w:lang w:val="en-GB"/>
        </w:rPr>
        <w:t xml:space="preserve"> sustainable </w:t>
      </w:r>
      <w:r w:rsidR="00784C0C" w:rsidRPr="00F45764">
        <w:rPr>
          <w:rFonts w:cstheme="minorHAnsi"/>
          <w:szCs w:val="22"/>
          <w:lang w:val="en-GB"/>
        </w:rPr>
        <w:t>firms</w:t>
      </w:r>
      <w:r w:rsidR="00106633">
        <w:rPr>
          <w:rFonts w:cstheme="minorHAnsi"/>
          <w:szCs w:val="22"/>
          <w:lang w:val="en-GB"/>
        </w:rPr>
        <w:t>'</w:t>
      </w:r>
      <w:r w:rsidR="00784C0C" w:rsidRPr="00E41C68">
        <w:rPr>
          <w:rFonts w:cstheme="minorHAnsi"/>
          <w:szCs w:val="22"/>
          <w:lang w:val="en-GB"/>
        </w:rPr>
        <w:t xml:space="preserve"> </w:t>
      </w:r>
      <w:r w:rsidR="00874809" w:rsidRPr="00B7155E">
        <w:rPr>
          <w:rFonts w:cstheme="minorHAnsi"/>
          <w:szCs w:val="22"/>
          <w:lang w:val="en-GB"/>
        </w:rPr>
        <w:t>operation</w:t>
      </w:r>
      <w:r w:rsidR="001B3EC9">
        <w:rPr>
          <w:rFonts w:cstheme="minorHAnsi"/>
          <w:szCs w:val="22"/>
          <w:lang w:val="en-GB"/>
        </w:rPr>
        <w:t>s</w:t>
      </w:r>
      <w:r w:rsidR="00874809" w:rsidRPr="00B7155E">
        <w:rPr>
          <w:rFonts w:cstheme="minorHAnsi"/>
          <w:szCs w:val="22"/>
          <w:lang w:val="en-GB"/>
        </w:rPr>
        <w:t xml:space="preserve"> could </w:t>
      </w:r>
      <w:r w:rsidR="001A34A9" w:rsidRPr="00F45764">
        <w:rPr>
          <w:rFonts w:cstheme="minorHAnsi"/>
          <w:szCs w:val="22"/>
          <w:lang w:val="en-GB"/>
        </w:rPr>
        <w:t>benefit</w:t>
      </w:r>
      <w:r w:rsidR="00874809" w:rsidRPr="00F45764">
        <w:rPr>
          <w:rFonts w:cstheme="minorHAnsi"/>
          <w:szCs w:val="22"/>
          <w:lang w:val="en-GB"/>
        </w:rPr>
        <w:t xml:space="preserve"> from </w:t>
      </w:r>
      <w:r w:rsidR="001A34A9" w:rsidRPr="00F45764">
        <w:rPr>
          <w:rFonts w:cstheme="minorHAnsi"/>
          <w:szCs w:val="22"/>
          <w:lang w:val="en-GB"/>
        </w:rPr>
        <w:t xml:space="preserve">the </w:t>
      </w:r>
      <w:r w:rsidR="00874809" w:rsidRPr="00F45764">
        <w:rPr>
          <w:rFonts w:cstheme="minorHAnsi"/>
          <w:szCs w:val="22"/>
          <w:lang w:val="en-GB"/>
        </w:rPr>
        <w:t xml:space="preserve">technological attitude </w:t>
      </w:r>
      <w:r w:rsidR="001B3EC9">
        <w:rPr>
          <w:rFonts w:cstheme="minorHAnsi"/>
          <w:szCs w:val="22"/>
          <w:lang w:val="en-GB"/>
        </w:rPr>
        <w:t>towards</w:t>
      </w:r>
      <w:r w:rsidR="001B3EC9" w:rsidRPr="00F45764">
        <w:rPr>
          <w:rFonts w:cstheme="minorHAnsi"/>
          <w:szCs w:val="22"/>
          <w:lang w:val="en-GB"/>
        </w:rPr>
        <w:t xml:space="preserve"> </w:t>
      </w:r>
      <w:r w:rsidR="00874809" w:rsidRPr="00F45764">
        <w:rPr>
          <w:rFonts w:cstheme="minorHAnsi"/>
          <w:szCs w:val="22"/>
          <w:lang w:val="en-GB"/>
        </w:rPr>
        <w:t xml:space="preserve">Industry 4.0. </w:t>
      </w:r>
    </w:p>
    <w:p w14:paraId="2FEB8386" w14:textId="5515C460" w:rsidR="00A4276D" w:rsidRPr="00F45764" w:rsidRDefault="00874809">
      <w:pPr>
        <w:rPr>
          <w:rFonts w:cstheme="minorHAnsi"/>
          <w:szCs w:val="22"/>
          <w:lang w:val="en-GB"/>
        </w:rPr>
      </w:pPr>
      <w:r w:rsidRPr="00F45764">
        <w:rPr>
          <w:rFonts w:cstheme="minorHAnsi"/>
          <w:szCs w:val="22"/>
          <w:lang w:val="en-GB"/>
        </w:rPr>
        <w:t xml:space="preserve">In this sense, </w:t>
      </w:r>
      <w:r w:rsidR="0058267C" w:rsidRPr="00F45764">
        <w:rPr>
          <w:rFonts w:cstheme="minorHAnsi"/>
          <w:szCs w:val="22"/>
          <w:lang w:val="en-GB"/>
        </w:rPr>
        <w:t>CE</w:t>
      </w:r>
      <w:r w:rsidRPr="00F45764">
        <w:rPr>
          <w:rFonts w:cstheme="minorHAnsi"/>
          <w:szCs w:val="22"/>
          <w:lang w:val="en-GB"/>
        </w:rPr>
        <w:t xml:space="preserve"> is a factor that has yet to be investigated in depth to identify all the implications of Industry 4.0 and IoT on the social and quality of life aspects </w:t>
      </w:r>
      <w:r w:rsidRPr="00F45764">
        <w:rPr>
          <w:rFonts w:cstheme="minorHAnsi"/>
          <w:szCs w:val="22"/>
          <w:lang w:val="en-GB"/>
        </w:rPr>
        <w:fldChar w:fldCharType="begin"/>
      </w:r>
      <w:r w:rsidR="00B03A7D">
        <w:rPr>
          <w:rFonts w:cstheme="minorHAnsi"/>
          <w:szCs w:val="22"/>
          <w:lang w:val="en-GB"/>
        </w:rPr>
        <w:instrText xml:space="preserve"> ADDIN ZOTERO_ITEM CSL_CITATION {"citationID":"ZDnjRsPB","properties":{"formattedCitation":"(Garrido-Hidalgo et al., 2018; Piccarozzi et al., 2018)","plainCitation":"(Garrido-Hidalgo et al., 2018; Piccarozzi et al., 2018)","noteIndex":0},"citationItems":[{"id":6968,"uris":["http://zotero.org/users/5243184/items/GNMMN5TV"],"uri":["http://zotero.org/users/5243184/items/GNMMN5TV"],"itemData":{"id":6968,"type":"article-journal","container-title":"IEEE Access","page":"28417-28437","title":"IoT Heterogeneous Mesh Network Deployment for Human-in-the-Loop Challenges Towards a Social and Sustainable Industry 4.0","volume":"6","author":[{"family":"Garrido-Hidalgo","given":"Celia"},{"family":"Hortelano","given":"Diego"},{"family":"Roda-Sanchez","given":"Luis"},{"family":"Olivares","given":"Teresa"},{"family":"Ruiz","given":"M. Carmen"},{"family":"Lopez","given":"Vicente"}],"issued":{"date-parts":[["2018"]]}}},{"id":6950,"uris":["http://zotero.org/users/5243184/items/VYSQ66CH"],"uri":["http://zotero.org/users/5243184/items/VYSQ66CH"],"itemData":{"id":6950,"type":"article-journal","abstract":"Recent developments in production processes and their automation have led to the definition of the Fourth Industrial Revolution, commonly known as &amp;ldquo;Industry 4.0&amp;rdquo;. Industry 4.0 is a very broad domain that includes: production processes, efficiency, data management, relationship with consumers, competitiveness, and much more. At the same time, obviously, Industry 4.0 has become a new theme for management scholars and business economics disciplines and a number of contributions covering various issues and aspects have been published. However, a systematic formulation of all these contributions is still lacking in management literature. Therefore, the aim of the paper is to analyze and classify the main contributions published on the topic of Industry 4.0 in management literature, seeking to give it a unique definition, discover the gaps still remaining in literature and outline future avenues of research in this domain. A systematic review of the literature of the major academic and research databases has been used as methodology to achieve the aim of the paper. This work contributes theoretically to the development of literature on Industry 4.0 and from a managerial perspective it could support entrepreneurs in better understanding the implications and fields of application of the Fourth Industrial Revolution as well as the interplay among them.","container-title":"Sustainability","DOI":"10.3390/su10103821","issue":"10","language":"en","note":"number: 10\npublisher: Multidisciplinary Digital Publishing Institute","page":"3821","source":"www.mdpi.com","title":"Industry 4.0 in Management Studies: A Systematic Literature Review","title-short":"Industry 4.0 in Management Studies","volume":"10","author":[{"family":"Piccarozzi","given":"Michela"},{"family":"Aquilani","given":"Barbara"},{"family":"Gatti","given":"Corrado"}],"issued":{"date-parts":[["2018",10]]}}}],"schema":"https://github.com/citation-style-language/schema/raw/master/csl-citation.json"} </w:instrText>
      </w:r>
      <w:r w:rsidRPr="00F45764">
        <w:rPr>
          <w:rFonts w:cstheme="minorHAnsi"/>
          <w:szCs w:val="22"/>
          <w:lang w:val="en-GB"/>
        </w:rPr>
        <w:fldChar w:fldCharType="separate"/>
      </w:r>
      <w:r w:rsidR="00802E14">
        <w:rPr>
          <w:rFonts w:cstheme="minorHAnsi"/>
          <w:noProof/>
          <w:szCs w:val="22"/>
          <w:lang w:val="en-GB"/>
        </w:rPr>
        <w:t>(Garrido-Hidalgo et al., 2018; Piccarozzi et al., 2018)</w:t>
      </w:r>
      <w:r w:rsidRPr="00F45764">
        <w:rPr>
          <w:rFonts w:cstheme="minorHAnsi"/>
          <w:szCs w:val="22"/>
          <w:lang w:val="en-GB"/>
        </w:rPr>
        <w:fldChar w:fldCharType="end"/>
      </w:r>
      <w:r w:rsidRPr="00F45764">
        <w:rPr>
          <w:rFonts w:cstheme="minorHAnsi"/>
          <w:szCs w:val="22"/>
          <w:lang w:val="en-GB"/>
        </w:rPr>
        <w:t xml:space="preserve">. Industry 4.0 and IoT </w:t>
      </w:r>
      <w:r w:rsidR="004243D3">
        <w:rPr>
          <w:rFonts w:cstheme="minorHAnsi"/>
          <w:szCs w:val="22"/>
          <w:lang w:val="en-GB"/>
        </w:rPr>
        <w:t>are</w:t>
      </w:r>
      <w:r w:rsidRPr="00F45764">
        <w:rPr>
          <w:rFonts w:cstheme="minorHAnsi"/>
          <w:szCs w:val="22"/>
          <w:lang w:val="en-GB"/>
        </w:rPr>
        <w:t xml:space="preserve"> </w:t>
      </w:r>
      <w:proofErr w:type="gramStart"/>
      <w:r w:rsidRPr="00F45764">
        <w:rPr>
          <w:rFonts w:cstheme="minorHAnsi"/>
          <w:szCs w:val="22"/>
          <w:lang w:val="en-GB"/>
        </w:rPr>
        <w:t>closely linked</w:t>
      </w:r>
      <w:proofErr w:type="gramEnd"/>
      <w:r w:rsidRPr="00F45764">
        <w:rPr>
          <w:rFonts w:cstheme="minorHAnsi"/>
          <w:szCs w:val="22"/>
          <w:lang w:val="en-GB"/>
        </w:rPr>
        <w:t xml:space="preserve"> to the CE concept. </w:t>
      </w:r>
      <w:r w:rsidR="001A34A9" w:rsidRPr="00F45764">
        <w:rPr>
          <w:rFonts w:cstheme="minorHAnsi"/>
          <w:szCs w:val="22"/>
          <w:lang w:val="en-GB"/>
        </w:rPr>
        <w:t>It</w:t>
      </w:r>
      <w:r w:rsidR="00A4276D" w:rsidRPr="00F45764">
        <w:rPr>
          <w:rFonts w:cstheme="minorHAnsi"/>
          <w:szCs w:val="22"/>
          <w:lang w:val="en-GB"/>
        </w:rPr>
        <w:t xml:space="preserve"> </w:t>
      </w:r>
      <w:r w:rsidRPr="00F45764">
        <w:rPr>
          <w:rFonts w:cstheme="minorHAnsi"/>
          <w:szCs w:val="22"/>
          <w:lang w:val="en-GB"/>
        </w:rPr>
        <w:t xml:space="preserve">includes better management of production factors with a reduction in human stress, the exchange of continuous communications between industry and users, </w:t>
      </w:r>
      <w:r w:rsidR="001A34A9" w:rsidRPr="00F45764">
        <w:rPr>
          <w:rFonts w:cstheme="minorHAnsi"/>
          <w:szCs w:val="22"/>
          <w:lang w:val="en-GB"/>
        </w:rPr>
        <w:t>more exceptional</w:t>
      </w:r>
      <w:r w:rsidRPr="00F45764">
        <w:rPr>
          <w:rFonts w:cstheme="minorHAnsi"/>
          <w:szCs w:val="22"/>
          <w:lang w:val="en-GB"/>
        </w:rPr>
        <w:t xml:space="preserve"> ability and assistance of artificial intelligence in identifying technological solutions applicable to sustainability</w:t>
      </w:r>
      <w:r w:rsidR="00A4276D" w:rsidRPr="00F45764">
        <w:rPr>
          <w:rFonts w:cstheme="minorHAnsi"/>
          <w:szCs w:val="22"/>
          <w:lang w:val="en-GB"/>
        </w:rPr>
        <w:t xml:space="preserve">, </w:t>
      </w:r>
      <w:r w:rsidRPr="00F45764">
        <w:rPr>
          <w:rFonts w:cstheme="minorHAnsi"/>
          <w:szCs w:val="22"/>
          <w:lang w:val="en-GB"/>
        </w:rPr>
        <w:t>a greater connection between the subjects within the production process</w:t>
      </w:r>
      <w:r w:rsidR="00A4276D" w:rsidRPr="00F45764">
        <w:rPr>
          <w:rFonts w:cstheme="minorHAnsi"/>
          <w:szCs w:val="22"/>
          <w:lang w:val="en-GB"/>
        </w:rPr>
        <w:t>, a</w:t>
      </w:r>
      <w:r w:rsidRPr="00F45764">
        <w:rPr>
          <w:rFonts w:cstheme="minorHAnsi"/>
          <w:szCs w:val="22"/>
          <w:lang w:val="en-GB"/>
        </w:rPr>
        <w:t>n automated collection of information before the process with a better sustainable impact</w:t>
      </w:r>
      <w:r w:rsidR="00A4276D" w:rsidRPr="00F45764">
        <w:rPr>
          <w:rFonts w:cstheme="minorHAnsi"/>
          <w:szCs w:val="22"/>
          <w:lang w:val="en-GB"/>
        </w:rPr>
        <w:t>, and</w:t>
      </w:r>
      <w:r w:rsidRPr="00F45764">
        <w:rPr>
          <w:rFonts w:cstheme="minorHAnsi"/>
          <w:szCs w:val="22"/>
          <w:lang w:val="en-GB"/>
        </w:rPr>
        <w:t xml:space="preserve"> the use of big data to map more sustainable processes with greater efficiency</w:t>
      </w:r>
      <w:r w:rsidR="00A4276D" w:rsidRPr="00F45764">
        <w:rPr>
          <w:rFonts w:cstheme="minorHAnsi"/>
          <w:szCs w:val="22"/>
          <w:lang w:val="en-GB"/>
        </w:rPr>
        <w:t>,</w:t>
      </w:r>
      <w:r w:rsidRPr="00F45764">
        <w:rPr>
          <w:rFonts w:cstheme="minorHAnsi"/>
          <w:szCs w:val="22"/>
          <w:lang w:val="en-GB"/>
        </w:rPr>
        <w:t xml:space="preserve"> </w:t>
      </w:r>
      <w:r w:rsidR="001A34A9" w:rsidRPr="00F45764">
        <w:rPr>
          <w:rFonts w:cstheme="minorHAnsi"/>
          <w:szCs w:val="22"/>
          <w:lang w:val="en-GB"/>
        </w:rPr>
        <w:t>more excellent</w:t>
      </w:r>
      <w:r w:rsidRPr="00F45764">
        <w:rPr>
          <w:rFonts w:cstheme="minorHAnsi"/>
          <w:szCs w:val="22"/>
          <w:lang w:val="en-GB"/>
        </w:rPr>
        <w:t xml:space="preserve"> distribution of the production process with a reduction in energy consumption</w:t>
      </w:r>
      <w:r w:rsidR="00A4276D" w:rsidRPr="00F45764">
        <w:rPr>
          <w:rFonts w:cstheme="minorHAnsi"/>
          <w:szCs w:val="22"/>
          <w:lang w:val="en-GB"/>
        </w:rPr>
        <w:t xml:space="preserve"> </w:t>
      </w:r>
      <w:r w:rsidRPr="00F45764">
        <w:rPr>
          <w:rFonts w:cstheme="minorHAnsi"/>
          <w:szCs w:val="22"/>
          <w:lang w:val="en-GB"/>
        </w:rPr>
        <w:t>and</w:t>
      </w:r>
      <w:r w:rsidR="00A4276D" w:rsidRPr="00F45764">
        <w:rPr>
          <w:rFonts w:cstheme="minorHAnsi"/>
          <w:szCs w:val="22"/>
          <w:lang w:val="en-GB"/>
        </w:rPr>
        <w:t>,</w:t>
      </w:r>
      <w:r w:rsidRPr="00F45764">
        <w:rPr>
          <w:rFonts w:cstheme="minorHAnsi"/>
          <w:szCs w:val="22"/>
          <w:lang w:val="en-GB"/>
        </w:rPr>
        <w:t xml:space="preserve"> </w:t>
      </w:r>
      <w:r w:rsidR="00A4276D" w:rsidRPr="00F45764">
        <w:rPr>
          <w:rFonts w:cstheme="minorHAnsi"/>
          <w:szCs w:val="22"/>
          <w:lang w:val="en-GB"/>
        </w:rPr>
        <w:t xml:space="preserve">finally, </w:t>
      </w:r>
      <w:r w:rsidRPr="00F45764">
        <w:rPr>
          <w:rFonts w:cstheme="minorHAnsi"/>
          <w:szCs w:val="22"/>
          <w:lang w:val="en-GB"/>
        </w:rPr>
        <w:t xml:space="preserve">a </w:t>
      </w:r>
      <w:r w:rsidR="001A34A9" w:rsidRPr="00F45764">
        <w:rPr>
          <w:rFonts w:cstheme="minorHAnsi"/>
          <w:szCs w:val="22"/>
          <w:lang w:val="en-GB"/>
        </w:rPr>
        <w:t>significant</w:t>
      </w:r>
      <w:r w:rsidRPr="00F45764">
        <w:rPr>
          <w:rFonts w:cstheme="minorHAnsi"/>
          <w:szCs w:val="22"/>
          <w:lang w:val="en-GB"/>
        </w:rPr>
        <w:t xml:space="preserve"> interconnectedness with the network which leads to </w:t>
      </w:r>
      <w:r w:rsidR="001A34A9" w:rsidRPr="00F45764">
        <w:rPr>
          <w:rFonts w:cstheme="minorHAnsi"/>
          <w:szCs w:val="22"/>
          <w:lang w:val="en-GB"/>
        </w:rPr>
        <w:t>an ability</w:t>
      </w:r>
      <w:r w:rsidRPr="00F45764">
        <w:rPr>
          <w:rFonts w:cstheme="minorHAnsi"/>
          <w:szCs w:val="22"/>
          <w:lang w:val="en-GB"/>
        </w:rPr>
        <w:t xml:space="preserve"> of the relationship process </w:t>
      </w:r>
      <w:r w:rsidRPr="00F45764">
        <w:rPr>
          <w:rFonts w:cstheme="minorHAnsi"/>
          <w:szCs w:val="22"/>
          <w:lang w:val="en-GB"/>
        </w:rPr>
        <w:fldChar w:fldCharType="begin"/>
      </w:r>
      <w:r w:rsidR="00F45764">
        <w:rPr>
          <w:rFonts w:cstheme="minorHAnsi"/>
          <w:szCs w:val="22"/>
          <w:lang w:val="en-GB"/>
        </w:rPr>
        <w:instrText xml:space="preserve"> ADDIN ZOTERO_ITEM CSL_CITATION {"citationID":"AOld33hZ","properties":{"formattedCitation":"(Beier et al., 2020)","plainCitation":"(Beier et al., 2020)","noteIndex":0},"citationItems":[{"id":6970,"uris":["http://zotero.org/users/5243184/items/EQAQPGGF"],"uri":["http://zotero.org/users/5243184/items/EQAQPGGF"],"itemData":{"id":6970,"type":"article-journal","abstract":"Industry 4.0 has had a strong influence on the debate on the digitalization of industrial processes, despite being criticized for lacking a proper definition. However, Industry 4.0 might offer a huge chance to align the goals of a sustainable development with the ongoing digital transformation in industrial development. The main contribution of this paper is therefore twofold. We provide a de-facto definition of the concept “Industry 4.0” from a sociotechnical perspective based on its most often cited key features, as well as a thorough review of how far the concept of sustainability is incorporated in it.","container-title":"Journal of Cleaner Production","DOI":"10.1016/j.jclepro.2020.120856","ISSN":"0959-6526","journalAbbreviation":"Journal of Cleaner Production","language":"en","page":"120856","source":"ScienceDirect","title":"Industry 4.0: How it is defined from a sociotechnical perspective and how much sustainability it includes – A literature review","title-short":"Industry 4.0","volume":"259","author":[{"family":"Beier","given":"Grischa"},{"family":"Ullrich","given":"André"},{"family":"Niehoff","given":"Silke"},{"family":"Reißig","given":"Malte"},{"family":"Habich","given":"Matthias"}],"issued":{"date-parts":[["2020",6,20]]}}}],"schema":"https://github.com/citation-style-language/schema/raw/master/csl-citation.json"} </w:instrText>
      </w:r>
      <w:r w:rsidRPr="00F45764">
        <w:rPr>
          <w:rFonts w:cstheme="minorHAnsi"/>
          <w:szCs w:val="22"/>
          <w:lang w:val="en-GB"/>
        </w:rPr>
        <w:fldChar w:fldCharType="separate"/>
      </w:r>
      <w:r w:rsidR="00802E14">
        <w:rPr>
          <w:rFonts w:cstheme="minorHAnsi"/>
          <w:noProof/>
          <w:szCs w:val="22"/>
          <w:lang w:val="en-GB"/>
        </w:rPr>
        <w:t>(Beier et al., 2020)</w:t>
      </w:r>
      <w:r w:rsidRPr="00F45764">
        <w:rPr>
          <w:rFonts w:cstheme="minorHAnsi"/>
          <w:szCs w:val="22"/>
          <w:lang w:val="en-GB"/>
        </w:rPr>
        <w:fldChar w:fldCharType="end"/>
      </w:r>
      <w:r w:rsidRPr="00F45764">
        <w:rPr>
          <w:rFonts w:cstheme="minorHAnsi"/>
          <w:szCs w:val="22"/>
          <w:lang w:val="en-GB"/>
        </w:rPr>
        <w:t xml:space="preserve">. The issue of sustainability and IoT is increasingly associated with waste, and the </w:t>
      </w:r>
      <w:r w:rsidR="004243D3">
        <w:rPr>
          <w:rFonts w:cstheme="minorHAnsi"/>
          <w:szCs w:val="22"/>
          <w:lang w:val="en-GB"/>
        </w:rPr>
        <w:t>e</w:t>
      </w:r>
      <w:r w:rsidRPr="00F45764">
        <w:rPr>
          <w:rFonts w:cstheme="minorHAnsi"/>
          <w:szCs w:val="22"/>
          <w:lang w:val="en-GB"/>
        </w:rPr>
        <w:t xml:space="preserve">conomy put in place to better manage this aspect </w:t>
      </w:r>
      <w:r w:rsidRPr="00F45764">
        <w:rPr>
          <w:rFonts w:cstheme="minorHAnsi"/>
          <w:szCs w:val="22"/>
          <w:lang w:val="en-GB"/>
        </w:rPr>
        <w:fldChar w:fldCharType="begin"/>
      </w:r>
      <w:r w:rsidR="00F45764">
        <w:rPr>
          <w:rFonts w:cstheme="minorHAnsi"/>
          <w:szCs w:val="22"/>
          <w:lang w:val="en-GB"/>
        </w:rPr>
        <w:instrText xml:space="preserve"> ADDIN ZOTERO_ITEM CSL_CITATION {"citationID":"OIc2NByb","properties":{"formattedCitation":"(Fatimah et al., 2020; Kang et al., 2020; Sharma et al., 2020)","plainCitation":"(Fatimah et al., 2020; Kang et al., 2020; Sharma et al., 2020)","noteIndex":0},"citationItems":[{"id":6975,"uris":["http://zotero.org/users/5243184/items/WCQH7BAA"],"uri":["http://zotero.org/users/5243184/items/WCQH7BAA"],"itemData":{"id":6975,"type":"article-journal","abstract":"Indonesia is facing a number of independently managed challenges related to the collection, transportation, processing (composting, recycling), and landfill dependence on waste management. An intervention is needed to bring stakeholders together to solve these waste challenges. The objectives of this study are to investigate the fundamental issues and opportunities and to develop a sustainable and smart country-wide waste management system using industry 4.0 technologies. The system should provide a multi-dimensional approach, determine the maturity level of the waste management system in a technical method, and pursue the goal of designing a new strategy to minimise waste management problems. A comprehensive systematic literature review, intensive focus group discussions, and direct observation in Indonesian cities were approaches used to develop waste management business processes and their system design. Waste business processes consist of mixed-collecting, sorting, transporting, varied-treatment, and chained-disposal. The design of the proposed waste management system presents circular economy processes that can separate municipal waste, identify waste characteristics, and determine sustainable waste treatment technologies through the use of Internet of Thing (IoT) as the integrator. This study contributes to the sustainable development goals (SDG’s) such as Good health, and wellbeing (SDG 3); Clean water and sanitation (SDG 6); Decent Work and Economic Growth (SDG 8); Responsible Consumption and Production (SDG 12) and Climate Action (SDG 13). The study proposes a new design of smart and sustainable waste management which could achieve satisfactory economic, social, and environmental waste management performances.","container-title":"Journal of Cleaner Production","DOI":"10.1016/j.jclepro.2020.122263","ISSN":"0959-6526","journalAbbreviation":"Journal of Cleaner Production","language":"en","page":"122263","source":"ScienceDirect","title":"Industry 4.0 based sustainable circular economy approach for smart waste management system to achieve sustainable development goals: A case study of Indonesia","title-short":"Industry 4.0 based sustainable circular economy approach for smart waste management system to achieve sustainable development goals","volume":"269","author":[{"family":"Fatimah","given":"Yun Arifatul"},{"family":"Govindan","given":"Kannan"},{"family":"Murniningsih","given":"Rochiyati"},{"family":"Setiawan","given":"Agus"}],"issued":{"date-parts":[["2020",10,1]]}}},{"id":6977,"uris":["http://zotero.org/users/5243184/items/T7C9QQFI"],"uri":["http://zotero.org/users/5243184/items/T7C9QQFI"],"itemData":{"id":6977,"type":"article-journal","abstract":"Waste electric and electronic equipment or e-waste generation has been identified as a key aspect in solid waste management, though e-waste disposal in landfills is not suggested due to the toxic chemicals and heavy metals in it. The presence of valuable metals, namely precious and base metals, such as gold and copper, respectively also highlights the importance of effective waste management strategies. Even though some developed countries practice modern household e-waste management techniques, including extended producer responsibility (EPR) schemes, household e-waste legislative frameworks are not yet fully implemented in Malaysia. In order to support the sustainability of smarter cities concept, household e-waste needs to be efficiently managed and this work discusses the application of smart collection systems pertaining to the Malaysian e-waste management and recycling sector. A smart household e-waste collection box was designed, fitted with e-waste level measurement sensors to record the disposal data. A backend server was developed which automatically notifies and schedules e-waste collectors to dispatch and collect the e-waste when the volume of the collection box reaches a certain threshold (e.g. box is 80% filled). A mobile application was developed in this work and public end users are intended to use it to dispose their household e-waste. The smart system was successfully developed as a proof-of-concept in this work and it could be beneficial to improve the household waste consumer electronics collection in Malaysia.","container-title":"Journal of Cleaner Production","DOI":"10.1016/j.jclepro.2019.119801","ISSN":"0959-6526","journalAbbreviation":"Journal of Cleaner Production","language":"en","page":"119801","source":"ScienceDirect","title":"Electronic waste collection systems using Internet of Things (IoT): Household electronic waste management in Malaysia","title-short":"Electronic waste collection systems using Internet of Things (IoT)","volume":"252","author":[{"family":"Kang","given":"Kai Dean"},{"family":"Kang","given":"Harnyi"},{"family":"Ilankoon","given":"I. M. S. K."},{"family":"Chong","given":"Chun Yong"}],"issued":{"date-parts":[["2020",4,10]]}}},{"id":6973,"uris":["http://zotero.org/users/5243184/items/BXIQLTUT"],"uri":["http://zotero.org/users/5243184/items/BXIQLTUT"],"itemData":{"id":6973,"type":"article-journal","abstract":"The current study is a preliminary approach to develop a structural framework of the Internet of Things (IoT) adoption barriers that exist in the waste management systems of smart cities in developing economies such as India. To attain this aim, the present study uses hybrid Multi-criteria decision-making methods (MCDM) and has identified 15 adoption IoT Barriers (IoTBs) from literature review obstructing the IoT implementation in smart cities of India. The IoTBs are further analyzed through the Total Interpretative structural modeling (TISM) approach, the Fuzzy Matriced’Impacts Croisés Multiplication Appliquéan Classement (MICMAC) model, and the Decision Making Trial and Evaluation Laboratory (DEMATEL) method. The TISM approach is used to develop a structural framework of IoTBs in smart cities' waste management (SCWM) projects. The literature shows that several bottlenecks exist. Such bottlenecks may include operational cost and payback; a lack of standardization, regulations, directions, and policy norms; incomplete technical knowledge among policymakers; internet connectivity, privacy, and security issues; or problems with mobility, transparency, and a lack of IT infrastructure; all of these issues influence IoT adoption in SCWM. The present work discloses that the lack of regulations, directions, and policy norms, and the lack of standardization and Internet connectivity are the most critical IoT barriers hindering the development of smart cities, particularly in their waste management practices. The Fuzzy-MICMAC approach is useful in calculating driving and dependence powers of the IoTBs, and the DEMATEL method helps reveal the influence/strength of IoTBs that affect SCWM. This study will help policymakers, stakeholders, and government to understand the significant IoTBs affecting waste management practices, and it will definitely assist them to undertake decisions for eradicating these barriers for a more efficient IoT implementation in SCWM projects.","container-title":"Journal of Cleaner Production","DOI":"10.1016/j.jclepro.2020.122047","ISSN":"0959-6526","journalAbbreviation":"Journal of Cleaner Production","language":"en","page":"122047","source":"ScienceDirect","title":"Internet of Things (IoT) adoption barriers of smart cities’ waste management: An Indian context","title-short":"Internet of Things (IoT) adoption barriers of smart cities’ waste management","author":[{"family":"Sharma","given":"Manu"},{"family":"Joshi","given":"Sudhanshu"},{"family":"Kannan","given":"Devika"},{"family":"Govindan","given":"Kannan"},{"family":"Singh","given":"Rohit"},{"family":"Purohit","given":"H. C."}],"issued":{"date-parts":[["2020",5,29]]}}}],"schema":"https://github.com/citation-style-language/schema/raw/master/csl-citation.json"} </w:instrText>
      </w:r>
      <w:r w:rsidRPr="00F45764">
        <w:rPr>
          <w:rFonts w:cstheme="minorHAnsi"/>
          <w:szCs w:val="22"/>
          <w:lang w:val="en-GB"/>
        </w:rPr>
        <w:fldChar w:fldCharType="separate"/>
      </w:r>
      <w:r w:rsidR="00802E14">
        <w:rPr>
          <w:rFonts w:cstheme="minorHAnsi"/>
          <w:noProof/>
          <w:szCs w:val="22"/>
          <w:lang w:val="en-GB"/>
        </w:rPr>
        <w:t>(Fatimah et al., 2020; Kang et al., 2020; Sharma et al., 2020)</w:t>
      </w:r>
      <w:r w:rsidRPr="00F45764">
        <w:rPr>
          <w:rFonts w:cstheme="minorHAnsi"/>
          <w:szCs w:val="22"/>
          <w:lang w:val="en-GB"/>
        </w:rPr>
        <w:fldChar w:fldCharType="end"/>
      </w:r>
      <w:r w:rsidRPr="00F45764">
        <w:rPr>
          <w:rFonts w:cstheme="minorHAnsi"/>
          <w:szCs w:val="22"/>
          <w:lang w:val="en-GB"/>
        </w:rPr>
        <w:t xml:space="preserve">. Nevertheless, the relationship between the sustainability model implemented by industry 4.0, IoT to the </w:t>
      </w:r>
      <w:r w:rsidR="004243D3">
        <w:rPr>
          <w:rFonts w:cstheme="minorHAnsi"/>
          <w:szCs w:val="22"/>
          <w:lang w:val="en-GB"/>
        </w:rPr>
        <w:t>e</w:t>
      </w:r>
      <w:r w:rsidRPr="00F45764">
        <w:rPr>
          <w:rFonts w:cstheme="minorHAnsi"/>
          <w:szCs w:val="22"/>
          <w:lang w:val="en-GB"/>
        </w:rPr>
        <w:t>conomy is still far from a clear definition and possible practical implication.</w:t>
      </w:r>
      <w:r w:rsidR="00A4276D" w:rsidRPr="00F45764">
        <w:rPr>
          <w:rFonts w:cstheme="minorHAnsi"/>
          <w:szCs w:val="22"/>
          <w:lang w:val="en-GB"/>
        </w:rPr>
        <w:t xml:space="preserve"> </w:t>
      </w:r>
    </w:p>
    <w:p w14:paraId="59E66B46" w14:textId="1FA0BA9B" w:rsidR="0096562B" w:rsidRPr="00F45764" w:rsidRDefault="0096562B">
      <w:pPr>
        <w:rPr>
          <w:rFonts w:cstheme="minorHAnsi"/>
          <w:szCs w:val="22"/>
          <w:lang w:val="en-GB"/>
        </w:rPr>
      </w:pPr>
      <w:r w:rsidRPr="00F45764">
        <w:rPr>
          <w:rFonts w:cstheme="minorHAnsi"/>
          <w:szCs w:val="22"/>
          <w:lang w:val="en-GB"/>
        </w:rPr>
        <w:lastRenderedPageBreak/>
        <w:t xml:space="preserve">Although there are numerous guiding factors of the </w:t>
      </w:r>
      <w:r w:rsidR="0058267C" w:rsidRPr="00F45764">
        <w:rPr>
          <w:rFonts w:cstheme="minorHAnsi"/>
          <w:szCs w:val="22"/>
          <w:lang w:val="en-GB"/>
        </w:rPr>
        <w:t>CE</w:t>
      </w:r>
      <w:r w:rsidRPr="00F45764">
        <w:rPr>
          <w:rFonts w:cstheme="minorHAnsi"/>
          <w:szCs w:val="22"/>
          <w:lang w:val="en-GB"/>
        </w:rPr>
        <w:t xml:space="preserve">, the literature currently warns of the remaining limits that see little knowledge of the subjects that are part of the supply chain to adopt the </w:t>
      </w:r>
      <w:r w:rsidR="001B3EC9">
        <w:rPr>
          <w:rFonts w:cstheme="minorHAnsi"/>
          <w:szCs w:val="22"/>
          <w:lang w:val="en-GB"/>
        </w:rPr>
        <w:t>CE</w:t>
      </w:r>
      <w:r w:rsidR="00106633">
        <w:rPr>
          <w:rFonts w:cstheme="minorHAnsi"/>
          <w:szCs w:val="22"/>
          <w:lang w:val="en-GB"/>
        </w:rPr>
        <w:t>'</w:t>
      </w:r>
      <w:r w:rsidR="001B3EC9">
        <w:rPr>
          <w:rFonts w:cstheme="minorHAnsi"/>
          <w:szCs w:val="22"/>
          <w:lang w:val="en-GB"/>
        </w:rPr>
        <w:t>s</w:t>
      </w:r>
      <w:r w:rsidR="00784C0C" w:rsidRPr="00F45764">
        <w:rPr>
          <w:rFonts w:cstheme="minorHAnsi"/>
          <w:szCs w:val="22"/>
          <w:lang w:val="en-GB"/>
        </w:rPr>
        <w:t xml:space="preserve"> </w:t>
      </w:r>
      <w:r w:rsidRPr="00F45764">
        <w:rPr>
          <w:rFonts w:cstheme="minorHAnsi"/>
          <w:szCs w:val="22"/>
          <w:lang w:val="en-GB"/>
        </w:rPr>
        <w:t>principles</w:t>
      </w:r>
      <w:r w:rsidR="00DD5D5D" w:rsidRPr="00F45764">
        <w:rPr>
          <w:rFonts w:cstheme="minorHAnsi"/>
          <w:szCs w:val="22"/>
          <w:lang w:val="en-GB"/>
        </w:rPr>
        <w:t xml:space="preserve"> </w:t>
      </w:r>
      <w:r w:rsidR="00DD5D5D" w:rsidRPr="00F45764">
        <w:rPr>
          <w:rFonts w:cstheme="minorHAnsi"/>
          <w:szCs w:val="22"/>
          <w:lang w:val="en-GB"/>
        </w:rPr>
        <w:fldChar w:fldCharType="begin"/>
      </w:r>
      <w:r w:rsidR="00F45764">
        <w:rPr>
          <w:rFonts w:cstheme="minorHAnsi"/>
          <w:szCs w:val="22"/>
          <w:lang w:val="en-GB"/>
        </w:rPr>
        <w:instrText xml:space="preserve"> ADDIN ZOTERO_ITEM CSL_CITATION {"citationID":"uH5GtvGL","properties":{"formattedCitation":"(Adams &amp; Osmani, 2017)","plainCitation":"(Adams &amp; Osmani, 2017)","noteIndex":0},"citationItems":[{"id":7013,"uris":["http://zotero.org/users/5243184/items/RNWCN8CW"],"uri":["http://zotero.org/users/5243184/items/RNWCN8CW"],"itemData":{"id":7013,"type":"article-journal","container-title":"Waste and Resource Management","DOI":"https://doi.org/10.1680/jwarm.16.00011","issue":"15-24","title":"Circular economy in construction: current awareness, challenges and enablers - Proceedings of the Institution of Civil Engineers","URL":"https://www.icevirtuallibrary.com/doi/10.1680/jwarm.16.00011","volume":"170","author":[{"family":"Adams","given":"Katherine Tebbatt"},{"family":"Osmani","given":"Mohamed"}],"accessed":{"date-parts":[["2020",6,24]]},"issued":{"date-parts":[["2017"]]}}}],"schema":"https://github.com/citation-style-language/schema/raw/master/csl-citation.json"} </w:instrText>
      </w:r>
      <w:r w:rsidR="00DD5D5D" w:rsidRPr="00F45764">
        <w:rPr>
          <w:rFonts w:cstheme="minorHAnsi"/>
          <w:szCs w:val="22"/>
          <w:lang w:val="en-GB"/>
        </w:rPr>
        <w:fldChar w:fldCharType="separate"/>
      </w:r>
      <w:r w:rsidR="00802E14">
        <w:rPr>
          <w:rFonts w:cstheme="minorHAnsi"/>
          <w:noProof/>
          <w:szCs w:val="22"/>
          <w:lang w:val="en-GB"/>
        </w:rPr>
        <w:t>(Adams &amp; Osmani, 2017)</w:t>
      </w:r>
      <w:r w:rsidR="00DD5D5D" w:rsidRPr="00F45764">
        <w:rPr>
          <w:rFonts w:cstheme="minorHAnsi"/>
          <w:szCs w:val="22"/>
          <w:lang w:val="en-GB"/>
        </w:rPr>
        <w:fldChar w:fldCharType="end"/>
      </w:r>
      <w:r w:rsidR="00DD5D5D" w:rsidRPr="00F45764">
        <w:rPr>
          <w:rFonts w:cstheme="minorHAnsi"/>
          <w:szCs w:val="22"/>
          <w:lang w:val="en-GB"/>
        </w:rPr>
        <w:t xml:space="preserve">. </w:t>
      </w:r>
      <w:r w:rsidRPr="00F45764">
        <w:rPr>
          <w:rFonts w:cstheme="minorHAnsi"/>
          <w:szCs w:val="22"/>
          <w:lang w:val="en-GB"/>
        </w:rPr>
        <w:t xml:space="preserve">The literature also highlights the absence of a relationship between the </w:t>
      </w:r>
      <w:r w:rsidR="001B3EC9">
        <w:rPr>
          <w:rFonts w:cstheme="minorHAnsi"/>
          <w:szCs w:val="22"/>
          <w:lang w:val="en-GB"/>
        </w:rPr>
        <w:t>CE</w:t>
      </w:r>
      <w:r w:rsidRPr="00F45764">
        <w:rPr>
          <w:rFonts w:cstheme="minorHAnsi"/>
          <w:szCs w:val="22"/>
          <w:lang w:val="en-GB"/>
        </w:rPr>
        <w:t xml:space="preserve"> and a possible competitive advantage</w:t>
      </w:r>
      <w:r w:rsidR="001A34A9" w:rsidRPr="00F45764">
        <w:rPr>
          <w:rFonts w:cstheme="minorHAnsi"/>
          <w:szCs w:val="22"/>
          <w:lang w:val="en-GB"/>
        </w:rPr>
        <w:t>,</w:t>
      </w:r>
      <w:r w:rsidR="00A4276D" w:rsidRPr="00F45764">
        <w:rPr>
          <w:rFonts w:cstheme="minorHAnsi"/>
          <w:szCs w:val="22"/>
          <w:lang w:val="en-GB"/>
        </w:rPr>
        <w:t xml:space="preserve"> </w:t>
      </w:r>
      <w:r w:rsidR="001A34A9" w:rsidRPr="00F45764">
        <w:rPr>
          <w:rFonts w:cstheme="minorHAnsi"/>
          <w:szCs w:val="22"/>
          <w:lang w:val="en-GB"/>
        </w:rPr>
        <w:t>even considering</w:t>
      </w:r>
      <w:r w:rsidR="00A4276D" w:rsidRPr="00F45764">
        <w:rPr>
          <w:rFonts w:cstheme="minorHAnsi"/>
          <w:szCs w:val="22"/>
          <w:lang w:val="en-GB"/>
        </w:rPr>
        <w:t xml:space="preserve"> the discussion between academics and practitioners</w:t>
      </w:r>
      <w:r w:rsidRPr="00F45764">
        <w:rPr>
          <w:rFonts w:cstheme="minorHAnsi"/>
          <w:szCs w:val="22"/>
          <w:lang w:val="en-GB"/>
        </w:rPr>
        <w:t xml:space="preserve"> </w:t>
      </w:r>
      <w:r w:rsidR="00DD5D5D" w:rsidRPr="00F45764">
        <w:rPr>
          <w:rFonts w:cstheme="minorHAnsi"/>
          <w:szCs w:val="22"/>
          <w:lang w:val="en-GB"/>
        </w:rPr>
        <w:fldChar w:fldCharType="begin"/>
      </w:r>
      <w:r w:rsidR="00F45764">
        <w:rPr>
          <w:rFonts w:cstheme="minorHAnsi"/>
          <w:szCs w:val="22"/>
          <w:lang w:val="en-GB"/>
        </w:rPr>
        <w:instrText xml:space="preserve"> ADDIN ZOTERO_ITEM CSL_CITATION {"citationID":"kQhd5l1S","properties":{"formattedCitation":"(Inigo &amp; Blok, 2019)","plainCitation":"(Inigo &amp; Blok, 2019)","noteIndex":0},"citationItems":[{"id":7015,"uris":["http://zotero.org/users/5243184/items/LTFH7YZA"],"uri":["http://zotero.org/users/5243184/items/LTFH7YZA"],"itemData":{"id":7015,"type":"article-journal","abstract":"The circular economy (CE) framework has captured the attention of industry and academia and received strong policy support. It is currently deemed as a powerful solution for sustainability, despite ongoing criticism on its oversimplification and lack of consideration of socio-ethical issues. In parallel, the concept of RRI has emerged strongly with a strong focus on the integration of social desirability in innovation under transparency, democracy and mutual responsiveness principles. In this paper, we critically examine the literature on the CE and RRI in order to find out how the different focus of RRI may provide an innovation governance framework to strengthen the CE framework. There are two main ways in which RRI could further the CE: first, anticipating unexpected consequences, helping to break disciplinary barriers and acknowledging systemic limits that are not currently taken into consideration; and second, the integration of socio-ethical issues in the CE, and addressing the social implications of the CE through stakeholder participation. However, future research should look at remaining blind spots of CE and RRI, such as non-technological innovation, the demand-side of innovation and the development of business models. With that objective, we suggest a research agenda for common development of the frameworks.","container-title":"Journal of Cleaner Production","DOI":"10.1016/j.jclepro.2019.06.053","ISSN":"0959-6526","journalAbbreviation":"Journal of Cleaner Production","language":"en","page":"280-291","source":"ScienceDirect","title":"Strengthening the socio-ethical foundations of the circular economy: Lessons from responsible research and innovation","title-short":"Strengthening the socio-ethical foundations of the circular economy","volume":"233","author":[{"family":"Inigo","given":"Edurne A."},{"family":"Blok","given":"Vincent"}],"issued":{"date-parts":[["2019",10,1]]}}}],"schema":"https://github.com/citation-style-language/schema/raw/master/csl-citation.json"} </w:instrText>
      </w:r>
      <w:r w:rsidR="00DD5D5D" w:rsidRPr="00F45764">
        <w:rPr>
          <w:rFonts w:cstheme="minorHAnsi"/>
          <w:szCs w:val="22"/>
          <w:lang w:val="en-GB"/>
        </w:rPr>
        <w:fldChar w:fldCharType="separate"/>
      </w:r>
      <w:r w:rsidR="00802E14">
        <w:rPr>
          <w:rFonts w:cstheme="minorHAnsi"/>
          <w:noProof/>
          <w:szCs w:val="22"/>
          <w:lang w:val="en-GB"/>
        </w:rPr>
        <w:t>(Inigo &amp; Blok, 2019)</w:t>
      </w:r>
      <w:r w:rsidR="00DD5D5D" w:rsidRPr="00F45764">
        <w:rPr>
          <w:rFonts w:cstheme="minorHAnsi"/>
          <w:szCs w:val="22"/>
          <w:lang w:val="en-GB"/>
        </w:rPr>
        <w:fldChar w:fldCharType="end"/>
      </w:r>
      <w:r w:rsidR="00A4276D" w:rsidRPr="00F45764">
        <w:rPr>
          <w:rFonts w:cstheme="minorHAnsi"/>
          <w:szCs w:val="22"/>
          <w:lang w:val="en-GB"/>
        </w:rPr>
        <w:t xml:space="preserve">. </w:t>
      </w:r>
    </w:p>
    <w:p w14:paraId="77AE44A7" w14:textId="77777777" w:rsidR="0096562B" w:rsidRPr="00F45764" w:rsidRDefault="0096562B" w:rsidP="004D46F6">
      <w:pPr>
        <w:rPr>
          <w:rFonts w:cstheme="minorHAnsi"/>
          <w:b/>
          <w:bCs/>
          <w:szCs w:val="22"/>
          <w:lang w:val="en-GB"/>
        </w:rPr>
      </w:pPr>
    </w:p>
    <w:p w14:paraId="738CADE8" w14:textId="77777777" w:rsidR="00E62839" w:rsidRPr="008228A8" w:rsidRDefault="00E62839" w:rsidP="008228A8">
      <w:pPr>
        <w:pStyle w:val="Titolo2"/>
      </w:pPr>
      <w:r w:rsidRPr="008228A8">
        <w:t xml:space="preserve">Building the research question between academic and practitioner perspectives </w:t>
      </w:r>
    </w:p>
    <w:p w14:paraId="76F88534" w14:textId="4257194C" w:rsidR="00C12BC7" w:rsidRPr="00F45764" w:rsidRDefault="005A060E" w:rsidP="008228A8">
      <w:pPr>
        <w:rPr>
          <w:rFonts w:cstheme="minorHAnsi"/>
          <w:szCs w:val="22"/>
          <w:lang w:val="en-GB"/>
        </w:rPr>
      </w:pPr>
      <w:r w:rsidRPr="00795030">
        <w:rPr>
          <w:rFonts w:cstheme="minorHAnsi"/>
          <w:szCs w:val="22"/>
          <w:lang w:val="en-GB"/>
        </w:rPr>
        <w:t xml:space="preserve">The number of stakeholders and the interest of companies and researchers in the </w:t>
      </w:r>
      <w:r w:rsidR="006355A7">
        <w:rPr>
          <w:rFonts w:cstheme="minorHAnsi"/>
          <w:szCs w:val="22"/>
          <w:lang w:val="en-GB"/>
        </w:rPr>
        <w:t>CE</w:t>
      </w:r>
      <w:r w:rsidRPr="00795030">
        <w:rPr>
          <w:rFonts w:cstheme="minorHAnsi"/>
          <w:szCs w:val="22"/>
          <w:lang w:val="en-GB"/>
        </w:rPr>
        <w:t xml:space="preserve"> is </w:t>
      </w:r>
      <w:r w:rsidR="006355A7">
        <w:rPr>
          <w:rFonts w:cstheme="minorHAnsi"/>
          <w:szCs w:val="22"/>
          <w:lang w:val="en-GB"/>
        </w:rPr>
        <w:t>rising</w:t>
      </w:r>
      <w:r w:rsidR="006355A7" w:rsidRPr="00795030">
        <w:rPr>
          <w:rFonts w:cstheme="minorHAnsi"/>
          <w:szCs w:val="22"/>
          <w:lang w:val="en-GB"/>
        </w:rPr>
        <w:t xml:space="preserve"> </w:t>
      </w:r>
      <w:r w:rsidRPr="00795030">
        <w:rPr>
          <w:rFonts w:cstheme="minorHAnsi"/>
          <w:szCs w:val="22"/>
          <w:lang w:val="en-GB"/>
        </w:rPr>
        <w:t xml:space="preserve">as awareness of climate change increases </w:t>
      </w:r>
      <w:r w:rsidR="006E0F1D" w:rsidRPr="00F45764">
        <w:rPr>
          <w:rFonts w:cstheme="minorHAnsi"/>
          <w:szCs w:val="22"/>
          <w:lang w:val="en-GB"/>
        </w:rPr>
        <w:fldChar w:fldCharType="begin"/>
      </w:r>
      <w:r w:rsidR="00F45764">
        <w:rPr>
          <w:rFonts w:cstheme="minorHAnsi"/>
          <w:szCs w:val="22"/>
          <w:lang w:val="en-GB"/>
        </w:rPr>
        <w:instrText xml:space="preserve"> ADDIN ZOTERO_ITEM CSL_CITATION {"citationID":"BCY76gYw","properties":{"formattedCitation":"(Lausselet et al., 2017)","plainCitation":"(Lausselet et al., 2017)","noteIndex":0},"citationItems":[{"id":6921,"uris":["http://zotero.org/users/5243184/items/CQEJD5CJ"],"uri":["http://zotero.org/users/5243184/items/CQEJD5CJ"],"itemData":{"id":6921,"type":"article-journal","abstract":"Recently, the European Commission has adopted a Circular Economy package. In addition, climate change is regarded as a major global challenge, and the de-carbonization of the energy sector requires a massive transformation that involves an increase of renewable shares in the energy mix and the incorporation of carbon capture and storage (CCS) processes. Given all this strong new momentum, what will the Norwegian waste-to-energy (WtE) look like in a decade? What threats and opportunities are foreseen? In an attempt to answer these questions, this study combines process-based life-cycle assessment with analysis of the overall energy and material balances, mathematical optimization and cost assessment in four scenarios: (1) the current situation of the Norwegian WtE sector, (2) the implications of the circular economy, (3) the addition of CCS on the current WtE system and (4) a landfill scenario. Except for climate change, the CCS scenario performs worse than the WtE scenario. The energy recovering scenarios perform better than the recycling scenario for (1) freshwater eutrophication and human toxicity potentials due to secondary waste streams and (2) ozone depletion potential due to the additional fossil fuel used in the recycling processes. The inclusion of the near-term climate forcers decreases the climate change impacts by 1% to 13% due to a net cooling mainly induced by NOx. Circular economy may actually give the WtE system the opportunity to strengthen and expand its role towards new or little developed value chains such as secondary raw materials production and valorization of new waste streams occurring in material recycling.","container-title":"Resources, Conservation and Recycling","DOI":"10.1016/j.resconrec.2017.07.025","ISSN":"0921-3449","journalAbbreviation":"Resources, Conservation and Recycling","language":"en","page":"50-61","source":"ScienceDirect","title":"Norwegian Waste-to-Energy: Climate change, circular economy and carbon capture and storage","title-short":"Norwegian Waste-to-Energy","volume":"126","author":[{"family":"Lausselet","given":"Carine"},{"family":"Cherubini","given":"Francesco"},{"family":"Oreggioni","given":"Gabriel David"},{"family":"Alamo Serrano","given":"Gonzalo","non-dropping-particle":"del"},{"family":"Becidan","given":"Michael"},{"family":"Hu","given":"Xiangping"},{"family":"Rørstad","given":"Per Kr."},{"family":"Strømman","given":"Anders Hammer"}],"issued":{"date-parts":[["2017",11,1]]}}}],"schema":"https://github.com/citation-style-language/schema/raw/master/csl-citation.json"} </w:instrText>
      </w:r>
      <w:r w:rsidR="006E0F1D" w:rsidRPr="00F45764">
        <w:rPr>
          <w:rFonts w:cstheme="minorHAnsi"/>
          <w:szCs w:val="22"/>
          <w:lang w:val="en-GB"/>
        </w:rPr>
        <w:fldChar w:fldCharType="separate"/>
      </w:r>
      <w:r w:rsidR="00802E14">
        <w:rPr>
          <w:rFonts w:cstheme="minorHAnsi"/>
          <w:noProof/>
          <w:szCs w:val="22"/>
          <w:lang w:val="en-GB"/>
        </w:rPr>
        <w:t>(Lausselet et al., 2017)</w:t>
      </w:r>
      <w:r w:rsidR="006E0F1D" w:rsidRPr="00F45764">
        <w:rPr>
          <w:rFonts w:cstheme="minorHAnsi"/>
          <w:szCs w:val="22"/>
          <w:lang w:val="en-GB"/>
        </w:rPr>
        <w:fldChar w:fldCharType="end"/>
      </w:r>
      <w:r w:rsidR="00E62839" w:rsidRPr="00F45764">
        <w:rPr>
          <w:rFonts w:cstheme="minorHAnsi"/>
          <w:szCs w:val="22"/>
          <w:lang w:val="en-GB"/>
        </w:rPr>
        <w:t xml:space="preserve">. </w:t>
      </w:r>
      <w:r w:rsidRPr="00F45764">
        <w:rPr>
          <w:rFonts w:cstheme="minorHAnsi"/>
          <w:szCs w:val="22"/>
          <w:lang w:val="en-GB"/>
        </w:rPr>
        <w:t xml:space="preserve">The transformation of production and consumption systems requires first of all the construction of circular and sustainable value chains at </w:t>
      </w:r>
      <w:r w:rsidR="00C12BC7" w:rsidRPr="00F45764">
        <w:rPr>
          <w:rFonts w:cstheme="minorHAnsi"/>
          <w:szCs w:val="22"/>
          <w:lang w:val="en-GB"/>
        </w:rPr>
        <w:t xml:space="preserve">the </w:t>
      </w:r>
      <w:r w:rsidRPr="00F45764">
        <w:rPr>
          <w:rFonts w:cstheme="minorHAnsi"/>
          <w:szCs w:val="22"/>
          <w:lang w:val="en-GB"/>
        </w:rPr>
        <w:t xml:space="preserve">global level, changing their design and communication practice </w:t>
      </w:r>
      <w:r w:rsidR="006E0F1D" w:rsidRPr="00F45764">
        <w:rPr>
          <w:rFonts w:cstheme="minorHAnsi"/>
          <w:szCs w:val="22"/>
          <w:lang w:val="en-GB"/>
        </w:rPr>
        <w:fldChar w:fldCharType="begin"/>
      </w:r>
      <w:r w:rsidR="00F45764">
        <w:rPr>
          <w:rFonts w:cstheme="minorHAnsi"/>
          <w:szCs w:val="22"/>
          <w:lang w:val="en-GB"/>
        </w:rPr>
        <w:instrText xml:space="preserve"> ADDIN ZOTERO_ITEM CSL_CITATION {"citationID":"chSH5RE3","properties":{"formattedCitation":"(De los Rios &amp; Charnley, 2017)","plainCitation":"(De los Rios &amp; Charnley, 2017)","noteIndex":0},"citationItems":[{"id":6918,"uris":["http://zotero.org/users/5243184/items/PFTN45GP"],"uri":["http://zotero.org/users/5243184/items/PFTN45GP"],"itemData":{"id":6918,"type":"article-journal","abstract":"Implementing practices for a circular economy transforms the way companies do business, notably in the manufacturing industry. However, a circular economy requires a transformation of both production and consumption systems; the standard approach for creation, fabrication, and commerce of products is challenged. Authors repeatedly call for the development of new proficiencies to attend to system transformations, but these so far have not been described for design and engineering. Given that the design of a product directly influences the way a value chain will be managed, building circular, globally sustainable value chains inevitably signifies a fundamental change in the practice of design. Comprehensive analyses were conducted on case studies from a variety of multinational enterprises that are transforming their product strategies for climate change. Changes in design processes were identified, revealing a growing necessity for industry to employ new proficiencies that support closure of material loops. This paper contributes to existing literature by depicting successful practices being implemented in industry. A variety of new capabilities are key to design for a sustainable future; these range from deeper knowledge of material composition to rich understanding of social behaviour. Resulting from this research, learning goals are proposed to serve as guidance for manufacturing companies seeking to tackle climate change. Conclusions aim to encourage researchers and academics to respond to emerging needs by re-thinking education in design and engineering.","collection-title":"Multinational Enterprises' strategic dynamics and climate change: drivers, barriers and impacts of necessary organisational change","container-title":"Journal of Cleaner Production","DOI":"10.1016/j.jclepro.2016.10.130","ISSN":"0959-6526","journalAbbreviation":"Journal of Cleaner Production","language":"en","page":"109-122","source":"ScienceDirect","title":"Skills and capabilities for a sustainable and circular economy: The changing role of design","title-short":"Skills and capabilities for a sustainable and circular economy","volume":"160","author":[{"family":"De los Rios","given":"Irel Carolina"},{"family":"Charnley","given":"Fiona J. S."}],"issued":{"date-parts":[["2017",9,1]]}}}],"schema":"https://github.com/citation-style-language/schema/raw/master/csl-citation.json"} </w:instrText>
      </w:r>
      <w:r w:rsidR="006E0F1D" w:rsidRPr="00F45764">
        <w:rPr>
          <w:rFonts w:cstheme="minorHAnsi"/>
          <w:szCs w:val="22"/>
          <w:lang w:val="en-GB"/>
        </w:rPr>
        <w:fldChar w:fldCharType="separate"/>
      </w:r>
      <w:r w:rsidR="00802E14">
        <w:rPr>
          <w:rFonts w:cstheme="minorHAnsi"/>
          <w:noProof/>
          <w:szCs w:val="22"/>
          <w:lang w:val="en-GB"/>
        </w:rPr>
        <w:t>(De los Rios &amp; Charnley, 2017)</w:t>
      </w:r>
      <w:r w:rsidR="006E0F1D" w:rsidRPr="00F45764">
        <w:rPr>
          <w:rFonts w:cstheme="minorHAnsi"/>
          <w:szCs w:val="22"/>
          <w:lang w:val="en-GB"/>
        </w:rPr>
        <w:fldChar w:fldCharType="end"/>
      </w:r>
      <w:r w:rsidR="006E0F1D" w:rsidRPr="00F45764">
        <w:rPr>
          <w:rFonts w:cstheme="minorHAnsi"/>
          <w:szCs w:val="22"/>
          <w:lang w:val="en-GB"/>
        </w:rPr>
        <w:t>.</w:t>
      </w:r>
      <w:r w:rsidR="00247D38" w:rsidRPr="00F45764">
        <w:rPr>
          <w:rFonts w:cstheme="minorHAnsi"/>
          <w:szCs w:val="22"/>
          <w:lang w:val="en-GB"/>
        </w:rPr>
        <w:t xml:space="preserve"> </w:t>
      </w:r>
      <w:r w:rsidRPr="00F45764">
        <w:rPr>
          <w:rFonts w:cstheme="minorHAnsi"/>
          <w:szCs w:val="22"/>
          <w:lang w:val="en-GB"/>
        </w:rPr>
        <w:t>However, as indicated by the</w:t>
      </w:r>
      <w:r w:rsidR="00247D38" w:rsidRPr="00F45764">
        <w:rPr>
          <w:rFonts w:cstheme="minorHAnsi"/>
          <w:szCs w:val="22"/>
          <w:lang w:val="en-GB"/>
        </w:rPr>
        <w:t xml:space="preserve"> </w:t>
      </w:r>
      <w:r w:rsidR="00247D38" w:rsidRPr="00F45764">
        <w:rPr>
          <w:rFonts w:cstheme="minorHAnsi"/>
          <w:szCs w:val="22"/>
          <w:lang w:val="en-GB"/>
        </w:rPr>
        <w:fldChar w:fldCharType="begin"/>
      </w:r>
      <w:r w:rsidR="00F45764">
        <w:rPr>
          <w:rFonts w:cstheme="minorHAnsi"/>
          <w:szCs w:val="22"/>
          <w:lang w:val="en-GB"/>
        </w:rPr>
        <w:instrText xml:space="preserve"> ADDIN ZOTERO_ITEM CSL_CITATION {"citationID":"G0pcoXLd","properties":{"formattedCitation":"(Ellen Macarthur Foundation, 2013)","plainCitation":"(Ellen Macarthur Foundation, 2013)","dontUpdate":true,"noteIndex":0},"citationItems":[{"id":6925,"uris":["http://zotero.org/users/5243184/items/H8BWT2XQ"],"uri":["http://zotero.org/users/5243184/items/H8BWT2XQ"],"itemData":{"id":6925,"type":"article","title":"Towards the Circular Economy","URL":"https://www.ellenmacarthurfoundation.org/assets/downloads/publications/Ellen-MacArthur-Foundation-Towards-the-Circular-Economy-vol.1.pdf","author":[{"family":"Ellen Macarthur Foundation","given":""}],"accessed":{"date-parts":[["2020",6,22]]},"issued":{"date-parts":[["2013"]]}}}],"schema":"https://github.com/citation-style-language/schema/raw/master/csl-citation.json"} </w:instrText>
      </w:r>
      <w:r w:rsidR="00247D38" w:rsidRPr="00F45764">
        <w:rPr>
          <w:rFonts w:cstheme="minorHAnsi"/>
          <w:szCs w:val="22"/>
          <w:lang w:val="en-GB"/>
        </w:rPr>
        <w:fldChar w:fldCharType="separate"/>
      </w:r>
      <w:r w:rsidR="00247D38" w:rsidRPr="00F45764">
        <w:rPr>
          <w:rFonts w:cstheme="minorHAnsi"/>
          <w:noProof/>
          <w:szCs w:val="22"/>
          <w:lang w:val="en-GB"/>
        </w:rPr>
        <w:t>Ellen Macarthur Foundation (2013)</w:t>
      </w:r>
      <w:r w:rsidR="00247D38" w:rsidRPr="00F45764">
        <w:rPr>
          <w:rFonts w:cstheme="minorHAnsi"/>
          <w:szCs w:val="22"/>
          <w:lang w:val="en-GB"/>
        </w:rPr>
        <w:fldChar w:fldCharType="end"/>
      </w:r>
      <w:r w:rsidR="00247D38" w:rsidRPr="00F45764">
        <w:rPr>
          <w:rFonts w:cstheme="minorHAnsi"/>
          <w:szCs w:val="22"/>
          <w:lang w:val="en-GB"/>
        </w:rPr>
        <w:t xml:space="preserve">, </w:t>
      </w:r>
      <w:r w:rsidRPr="00F45764">
        <w:rPr>
          <w:rFonts w:cstheme="minorHAnsi"/>
          <w:szCs w:val="22"/>
          <w:lang w:val="en-GB"/>
        </w:rPr>
        <w:t xml:space="preserve">the </w:t>
      </w:r>
      <w:r w:rsidR="0058267C" w:rsidRPr="00F45764">
        <w:rPr>
          <w:rFonts w:cstheme="minorHAnsi"/>
          <w:szCs w:val="22"/>
          <w:lang w:val="en-GB"/>
        </w:rPr>
        <w:t>CE</w:t>
      </w:r>
      <w:r w:rsidRPr="00F45764">
        <w:rPr>
          <w:rFonts w:cstheme="minorHAnsi"/>
          <w:szCs w:val="22"/>
          <w:lang w:val="en-GB"/>
        </w:rPr>
        <w:t xml:space="preserve"> requires companies to be able to carry out </w:t>
      </w:r>
      <w:r w:rsidR="00C12BC7" w:rsidRPr="00F45764">
        <w:rPr>
          <w:rFonts w:cstheme="minorHAnsi"/>
          <w:szCs w:val="22"/>
          <w:lang w:val="en-GB"/>
        </w:rPr>
        <w:t xml:space="preserve">the </w:t>
      </w:r>
      <w:r w:rsidRPr="00F45764">
        <w:rPr>
          <w:rFonts w:cstheme="minorHAnsi"/>
          <w:szCs w:val="22"/>
          <w:lang w:val="en-GB"/>
        </w:rPr>
        <w:t xml:space="preserve">circular design. A </w:t>
      </w:r>
      <w:r w:rsidR="00784C0C" w:rsidRPr="00F45764">
        <w:rPr>
          <w:rFonts w:cstheme="minorHAnsi"/>
          <w:szCs w:val="22"/>
          <w:lang w:val="en-GB"/>
        </w:rPr>
        <w:t>centrali</w:t>
      </w:r>
      <w:r w:rsidR="00527C14">
        <w:rPr>
          <w:rFonts w:cstheme="minorHAnsi"/>
          <w:szCs w:val="22"/>
          <w:lang w:val="en-GB"/>
        </w:rPr>
        <w:t>s</w:t>
      </w:r>
      <w:r w:rsidR="00784C0C" w:rsidRPr="00E41C68">
        <w:rPr>
          <w:rFonts w:cstheme="minorHAnsi"/>
          <w:szCs w:val="22"/>
          <w:lang w:val="en-GB"/>
        </w:rPr>
        <w:t>ed</w:t>
      </w:r>
      <w:r w:rsidR="00784C0C" w:rsidRPr="00F45764">
        <w:rPr>
          <w:rFonts w:cstheme="minorHAnsi"/>
          <w:szCs w:val="22"/>
          <w:lang w:val="en-GB"/>
        </w:rPr>
        <w:t xml:space="preserve"> </w:t>
      </w:r>
      <w:r w:rsidRPr="00F45764">
        <w:rPr>
          <w:rFonts w:cstheme="minorHAnsi"/>
          <w:szCs w:val="22"/>
          <w:lang w:val="en-GB"/>
        </w:rPr>
        <w:t xml:space="preserve">design can mean agreements </w:t>
      </w:r>
      <w:r w:rsidR="00C249C1">
        <w:rPr>
          <w:rFonts w:cstheme="minorHAnsi"/>
          <w:szCs w:val="22"/>
          <w:lang w:val="en-GB"/>
        </w:rPr>
        <w:t>among</w:t>
      </w:r>
      <w:r w:rsidR="00C249C1" w:rsidRPr="00F45764">
        <w:rPr>
          <w:rFonts w:cstheme="minorHAnsi"/>
          <w:szCs w:val="22"/>
          <w:lang w:val="en-GB"/>
        </w:rPr>
        <w:t xml:space="preserve"> </w:t>
      </w:r>
      <w:r w:rsidRPr="00F45764">
        <w:rPr>
          <w:rFonts w:cstheme="minorHAnsi"/>
          <w:szCs w:val="22"/>
          <w:lang w:val="en-GB"/>
        </w:rPr>
        <w:t xml:space="preserve">various stakeholders and </w:t>
      </w:r>
      <w:r w:rsidR="00C12BC7" w:rsidRPr="00F45764">
        <w:rPr>
          <w:rFonts w:cstheme="minorHAnsi"/>
          <w:szCs w:val="22"/>
          <w:lang w:val="en-GB"/>
        </w:rPr>
        <w:t>an apparent</w:t>
      </w:r>
      <w:r w:rsidRPr="00F45764">
        <w:rPr>
          <w:rFonts w:cstheme="minorHAnsi"/>
          <w:szCs w:val="22"/>
          <w:lang w:val="en-GB"/>
        </w:rPr>
        <w:t xml:space="preserve"> reduction in waste and production waste. Conversely, scholars struggle to find practical cases and inspiration for their research</w:t>
      </w:r>
      <w:r w:rsidR="00247D38" w:rsidRPr="00F45764">
        <w:rPr>
          <w:rFonts w:cstheme="minorHAnsi"/>
          <w:szCs w:val="22"/>
          <w:lang w:val="en-GB"/>
        </w:rPr>
        <w:t xml:space="preserve"> </w:t>
      </w:r>
      <w:r w:rsidR="00140006" w:rsidRPr="00F45764">
        <w:rPr>
          <w:rFonts w:cstheme="minorHAnsi"/>
          <w:szCs w:val="22"/>
          <w:lang w:val="en-GB"/>
        </w:rPr>
        <w:fldChar w:fldCharType="begin"/>
      </w:r>
      <w:r w:rsidR="00F45764">
        <w:rPr>
          <w:rFonts w:cstheme="minorHAnsi"/>
          <w:szCs w:val="22"/>
          <w:lang w:val="en-GB"/>
        </w:rPr>
        <w:instrText xml:space="preserve"> ADDIN ZOTERO_ITEM CSL_CITATION {"citationID":"5f3TDStt","properties":{"formattedCitation":"(Rosa et al., 2020)","plainCitation":"(Rosa et al., 2020)","noteIndex":0},"citationItems":[{"id":6811,"uris":["http://zotero.org/users/5243184/items/NL4MDXPD"],"uri":["http://zotero.org/users/5243184/items/NL4MDXPD"],"itemData":{"id":6811,"type":"article-journal","abstract":"Industry 4.0 (I4.0) and Circular Economy (CE) are undoubtedly two of the most debated topics of the last decades. Progressively, they gained the interest of policymakers, practitioners and scholars all over the world. Even if they have been usually described as two independent research fields, there are some examples presenting overlaps between these topics, represented by hybrid categories like Circular I4.0 and Digital CE. Starting from these two perspectives, an innovative framework both highlighting the links between I4.0 and CE and unveiling future research fields has been developed. Basing on one of the two perspectives, results show as it is possible to enhance a set of different relations. Depending on a dedicated area of either CE or I4.0 it is possible to see the prevalence of some I4.0 technology than others. However, the influence of I4.0 technologies on CE is always verified.","container-title":"International Journal of Production Research","DOI":"10.1080/00207543.2019.1680896","ISSN":"0020-7543","issue":"6","note":"publisher: Taylor &amp; Francis\n_eprint: https://doi.org/10.1080/00207543.2019.1680896","page":"1662-1687","source":"Taylor and Francis+NEJM","title":"Assessing relations between Circular Economy and Industry 4.0: a systematic literature review","title-short":"Assessing relations between Circular Economy and Industry 4.0","volume":"58","author":[{"family":"Rosa","given":"Paolo"},{"family":"Sassanelli","given":"Claudio"},{"family":"Urbinati","given":"Andrea"},{"family":"Chiaroni","given":"Davide"},{"family":"Terzi","given":"Sergio"}],"issued":{"date-parts":[["2020",3,18]]}}}],"schema":"https://github.com/citation-style-language/schema/raw/master/csl-citation.json"} </w:instrText>
      </w:r>
      <w:r w:rsidR="00140006" w:rsidRPr="00F45764">
        <w:rPr>
          <w:rFonts w:cstheme="minorHAnsi"/>
          <w:szCs w:val="22"/>
          <w:lang w:val="en-GB"/>
        </w:rPr>
        <w:fldChar w:fldCharType="separate"/>
      </w:r>
      <w:r w:rsidR="00802E14">
        <w:rPr>
          <w:rFonts w:cstheme="minorHAnsi"/>
          <w:noProof/>
          <w:szCs w:val="22"/>
          <w:lang w:val="en-GB"/>
        </w:rPr>
        <w:t>(Rosa et al., 2020)</w:t>
      </w:r>
      <w:r w:rsidR="00140006" w:rsidRPr="00F45764">
        <w:rPr>
          <w:rFonts w:cstheme="minorHAnsi"/>
          <w:szCs w:val="22"/>
          <w:lang w:val="en-GB"/>
        </w:rPr>
        <w:fldChar w:fldCharType="end"/>
      </w:r>
      <w:r w:rsidR="00140006" w:rsidRPr="00F45764">
        <w:rPr>
          <w:rFonts w:cstheme="minorHAnsi"/>
          <w:szCs w:val="22"/>
          <w:lang w:val="en-GB"/>
        </w:rPr>
        <w:t xml:space="preserve">. </w:t>
      </w:r>
      <w:r w:rsidRPr="00795030">
        <w:rPr>
          <w:rFonts w:cstheme="minorHAnsi"/>
          <w:szCs w:val="22"/>
          <w:lang w:val="en-GB"/>
        </w:rPr>
        <w:t xml:space="preserve">Therefore, there is a gap between the </w:t>
      </w:r>
      <w:r w:rsidR="001E06E8">
        <w:rPr>
          <w:rFonts w:cstheme="minorHAnsi"/>
          <w:szCs w:val="22"/>
          <w:lang w:val="en-GB"/>
        </w:rPr>
        <w:t>results</w:t>
      </w:r>
      <w:r w:rsidR="001E06E8" w:rsidRPr="00795030">
        <w:rPr>
          <w:rFonts w:cstheme="minorHAnsi"/>
          <w:szCs w:val="22"/>
          <w:lang w:val="en-GB"/>
        </w:rPr>
        <w:t xml:space="preserve"> </w:t>
      </w:r>
      <w:r w:rsidRPr="00795030">
        <w:rPr>
          <w:rFonts w:cstheme="minorHAnsi"/>
          <w:szCs w:val="22"/>
          <w:lang w:val="en-GB"/>
        </w:rPr>
        <w:t>of professionals and academics</w:t>
      </w:r>
      <w:r w:rsidR="00140006" w:rsidRPr="00473378">
        <w:rPr>
          <w:rFonts w:cstheme="minorHAnsi"/>
          <w:szCs w:val="22"/>
          <w:lang w:val="en-GB"/>
        </w:rPr>
        <w:t xml:space="preserve">. </w:t>
      </w:r>
      <w:r w:rsidRPr="000818C9">
        <w:rPr>
          <w:rFonts w:cstheme="minorHAnsi"/>
          <w:szCs w:val="22"/>
          <w:lang w:val="en-GB"/>
        </w:rPr>
        <w:t>While professionals can rely on more data, using it to increase management practices, as defined in the</w:t>
      </w:r>
      <w:r w:rsidR="00140006" w:rsidRPr="000818C9">
        <w:rPr>
          <w:rFonts w:cstheme="minorHAnsi"/>
          <w:szCs w:val="22"/>
          <w:lang w:val="en-GB"/>
        </w:rPr>
        <w:t xml:space="preserve"> </w:t>
      </w:r>
      <w:r w:rsidR="00140006" w:rsidRPr="00F45764">
        <w:rPr>
          <w:rFonts w:cstheme="minorHAnsi"/>
          <w:szCs w:val="22"/>
          <w:lang w:val="en-GB"/>
        </w:rPr>
        <w:fldChar w:fldCharType="begin"/>
      </w:r>
      <w:r w:rsidR="00F45764">
        <w:rPr>
          <w:rFonts w:cstheme="minorHAnsi"/>
          <w:szCs w:val="22"/>
          <w:lang w:val="en-GB"/>
        </w:rPr>
        <w:instrText xml:space="preserve"> ADDIN ZOTERO_ITEM CSL_CITATION {"citationID":"vpBwqDWO","properties":{"formattedCitation":"(Rosa et al., 2020)","plainCitation":"(Rosa et al., 2020)","dontUpdate":true,"noteIndex":0},"citationItems":[{"id":6811,"uris":["http://zotero.org/users/5243184/items/NL4MDXPD"],"uri":["http://zotero.org/users/5243184/items/NL4MDXPD"],"itemData":{"id":6811,"type":"article-journal","abstract":"Industry 4.0 (I4.0) and Circular Economy (CE) are undoubtedly two of the most debated topics of the last decades. Progressively, they gained the interest of policymakers, practitioners and scholars all over the world. Even if they have been usually described as two independent research fields, there are some examples presenting overlaps between these topics, represented by hybrid categories like Circular I4.0 and Digital CE. Starting from these two perspectives, an innovative framework both highlighting the links between I4.0 and CE and unveiling future research fields has been developed. Basing on one of the two perspectives, results show as it is possible to enhance a set of different relations. Depending on a dedicated area of either CE or I4.0 it is possible to see the prevalence of some I4.0 technology than others. However, the influence of I4.0 technologies on CE is always verified.","container-title":"International Journal of Production Research","DOI":"10.1080/00207543.2019.1680896","ISSN":"0020-7543","issue":"6","note":"publisher: Taylor &amp; Francis\n_eprint: https://doi.org/10.1080/00207543.2019.1680896","page":"1662-1687","source":"Taylor and Francis+NEJM","title":"Assessing relations between Circular Economy and Industry 4.0: a systematic literature review","title-short":"Assessing relations between Circular Economy and Industry 4.0","volume":"58","author":[{"family":"Rosa","given":"Paolo"},{"family":"Sassanelli","given":"Claudio"},{"family":"Urbinati","given":"Andrea"},{"family":"Chiaroni","given":"Davide"},{"family":"Terzi","given":"Sergio"}],"issued":{"date-parts":[["2020",3,18]]}}}],"schema":"https://github.com/citation-style-language/schema/raw/master/csl-citation.json"} </w:instrText>
      </w:r>
      <w:r w:rsidR="00140006" w:rsidRPr="00F45764">
        <w:rPr>
          <w:rFonts w:cstheme="minorHAnsi"/>
          <w:szCs w:val="22"/>
          <w:lang w:val="en-GB"/>
        </w:rPr>
        <w:fldChar w:fldCharType="separate"/>
      </w:r>
      <w:r w:rsidR="00140006" w:rsidRPr="00F45764">
        <w:rPr>
          <w:rFonts w:cstheme="minorHAnsi"/>
          <w:noProof/>
          <w:szCs w:val="22"/>
          <w:lang w:val="en-GB"/>
        </w:rPr>
        <w:t xml:space="preserve">Rosa et al. </w:t>
      </w:r>
      <w:r w:rsidRPr="00F45764">
        <w:rPr>
          <w:rFonts w:cstheme="minorHAnsi"/>
          <w:noProof/>
          <w:szCs w:val="22"/>
          <w:lang w:val="en-GB"/>
        </w:rPr>
        <w:t xml:space="preserve">review </w:t>
      </w:r>
      <w:r w:rsidR="00140006" w:rsidRPr="00F45764">
        <w:rPr>
          <w:rFonts w:cstheme="minorHAnsi"/>
          <w:noProof/>
          <w:szCs w:val="22"/>
          <w:lang w:val="en-GB"/>
        </w:rPr>
        <w:t>(2020)</w:t>
      </w:r>
      <w:r w:rsidR="00140006" w:rsidRPr="00F45764">
        <w:rPr>
          <w:rFonts w:cstheme="minorHAnsi"/>
          <w:szCs w:val="22"/>
          <w:lang w:val="en-GB"/>
        </w:rPr>
        <w:fldChar w:fldCharType="end"/>
      </w:r>
      <w:r w:rsidR="00140006" w:rsidRPr="00F45764">
        <w:rPr>
          <w:rFonts w:cstheme="minorHAnsi"/>
          <w:szCs w:val="22"/>
          <w:lang w:val="en-GB"/>
        </w:rPr>
        <w:t xml:space="preserve">, </w:t>
      </w:r>
      <w:r w:rsidRPr="00F45764">
        <w:rPr>
          <w:rFonts w:cstheme="minorHAnsi"/>
          <w:szCs w:val="22"/>
          <w:lang w:val="en-GB"/>
        </w:rPr>
        <w:t xml:space="preserve">scholars will need more empirical evidence by enabling and supporting internal and external stakeholders in </w:t>
      </w:r>
      <w:r w:rsidR="00C249C1">
        <w:rPr>
          <w:rFonts w:cstheme="minorHAnsi"/>
          <w:szCs w:val="22"/>
          <w:lang w:val="en-GB"/>
        </w:rPr>
        <w:t>CE</w:t>
      </w:r>
      <w:r w:rsidR="00C249C1" w:rsidRPr="00F45764">
        <w:rPr>
          <w:rFonts w:cstheme="minorHAnsi"/>
          <w:szCs w:val="22"/>
          <w:lang w:val="en-GB"/>
        </w:rPr>
        <w:t xml:space="preserve"> </w:t>
      </w:r>
      <w:r w:rsidRPr="00F45764">
        <w:rPr>
          <w:rFonts w:cstheme="minorHAnsi"/>
          <w:szCs w:val="22"/>
          <w:lang w:val="en-GB"/>
        </w:rPr>
        <w:t>processes</w:t>
      </w:r>
      <w:r w:rsidR="00B03A7D">
        <w:rPr>
          <w:rFonts w:cstheme="minorHAnsi"/>
          <w:szCs w:val="22"/>
          <w:lang w:val="en-GB"/>
        </w:rPr>
        <w:t xml:space="preserve"> </w:t>
      </w:r>
      <w:r w:rsidR="00B03A7D">
        <w:rPr>
          <w:rFonts w:cstheme="minorHAnsi"/>
          <w:szCs w:val="22"/>
          <w:lang w:val="en-GB"/>
        </w:rPr>
        <w:fldChar w:fldCharType="begin"/>
      </w:r>
      <w:r w:rsidR="00B03A7D">
        <w:rPr>
          <w:rFonts w:cstheme="minorHAnsi"/>
          <w:szCs w:val="22"/>
          <w:lang w:val="en-GB"/>
        </w:rPr>
        <w:instrText xml:space="preserve"> ADDIN ZOTERO_ITEM CSL_CITATION {"citationID":"VyGnBrXe","properties":{"formattedCitation":"(Dey et al., 2020)","plainCitation":"(Dey et al., 2020)","noteIndex":0},"citationItems":[{"id":7113,"uris":["http://zotero.org/users/5243184/items/LZARH4ZW"],"uri":["http://zotero.org/users/5243184/items/LZARH4ZW"],"itemData":{"id":7113,"type":"article-journal","abstract":"The circular economy (CE) represents a major paradigm shift of moving from the concepts of linear to circular supply chains across multiple industries. Although some aspects of CE adoption within industrial supply chains have been researched extensively (particularly addressing challenges of design, implementation, and operations), the research that relates CE practices with sustainability performance to reveal the current state of CE practices within small and medium-sized enterprises (SMEs) is scant. The aim of this research was to facilitate SMEs to achieve greater sustainability through CE implementation. This research addresses three research questions—How are CE fields of action related to sustainability performance? What are the issues, challenges, and opportunities of adopting CE in SMEs? And what key strategies, resources, and competences facilitate effective implementation of CE in SMEs? This study adopts a mixed method approach (qualitative and quantitative) using survey research, focus group, and case studies; 130 randomly selected SMEs within the Midlands of the United Kingdom have been surveyed, and the responses are analysed using statistical tools along with findings from focus groups and case studies. The study reveals that all CE fields of action (take, make, distribute, use, and recover) of SMEs are correlated to economic performance, but only make and use are related to environmental and social performance. The study further derives strategies, resources, and competences for achieving sustainability across all the CE field of actions. Additionally, this research reveals the issues and challenges, strategies, resources, and competences required for implementing CE in SMEs.","container-title":"Business Strategy and the Environment","DOI":"10.1002/bse.2492","ISSN":"1099-0836","issue":"n/a","language":"en","note":"_eprint: https://onlinelibrary.wiley.com/doi/pdf/10.1002/bse.2492","source":"Wiley Online Library","title":"Circular economy to enhance sustainability of small and medium-sized enterprises","URL":"http://onlinelibrary.wiley.com/doi/abs/10.1002/bse.2492","volume":"n/a","author":[{"family":"Dey","given":"Prasanta Kumar"},{"family":"Malesios","given":"Chrisovaladis"},{"family":"De","given":"Debashree"},{"family":"Budhwar","given":"Pawan"},{"family":"Chowdhury","given":"Soumyadeb"},{"family":"Cheffi","given":"Walid"}],"accessed":{"date-parts":[["2020",7,9]]},"issued":{"date-parts":[["2020"]]}}}],"schema":"https://github.com/citation-style-language/schema/raw/master/csl-citation.json"} </w:instrText>
      </w:r>
      <w:r w:rsidR="00B03A7D">
        <w:rPr>
          <w:rFonts w:cstheme="minorHAnsi"/>
          <w:szCs w:val="22"/>
          <w:lang w:val="en-GB"/>
        </w:rPr>
        <w:fldChar w:fldCharType="separate"/>
      </w:r>
      <w:r w:rsidR="00802E14">
        <w:rPr>
          <w:rFonts w:cstheme="minorHAnsi"/>
          <w:noProof/>
          <w:szCs w:val="22"/>
          <w:lang w:val="en-GB"/>
        </w:rPr>
        <w:t>(Dey et al., 2020)</w:t>
      </w:r>
      <w:r w:rsidR="00B03A7D">
        <w:rPr>
          <w:rFonts w:cstheme="minorHAnsi"/>
          <w:szCs w:val="22"/>
          <w:lang w:val="en-GB"/>
        </w:rPr>
        <w:fldChar w:fldCharType="end"/>
      </w:r>
      <w:r w:rsidR="00B03A7D">
        <w:rPr>
          <w:rFonts w:cstheme="minorHAnsi"/>
          <w:szCs w:val="22"/>
          <w:lang w:val="en-GB"/>
        </w:rPr>
        <w:t xml:space="preserve">. </w:t>
      </w:r>
    </w:p>
    <w:p w14:paraId="371B19B2" w14:textId="520132EB" w:rsidR="00C12BC7" w:rsidRPr="00F45764" w:rsidRDefault="005A060E" w:rsidP="008228A8">
      <w:pPr>
        <w:rPr>
          <w:rFonts w:cstheme="minorHAnsi"/>
          <w:szCs w:val="22"/>
          <w:lang w:val="en-GB"/>
        </w:rPr>
      </w:pPr>
      <w:r w:rsidRPr="00F45764">
        <w:rPr>
          <w:rFonts w:cstheme="minorHAnsi"/>
          <w:szCs w:val="22"/>
          <w:lang w:val="en-GB"/>
        </w:rPr>
        <w:t xml:space="preserve">According to </w:t>
      </w:r>
      <w:r w:rsidR="00441C26" w:rsidRPr="00F45764">
        <w:rPr>
          <w:rFonts w:cstheme="minorHAnsi"/>
          <w:szCs w:val="22"/>
          <w:lang w:val="en-GB"/>
        </w:rPr>
        <w:fldChar w:fldCharType="begin"/>
      </w:r>
      <w:r w:rsidR="00F45764">
        <w:rPr>
          <w:rFonts w:cstheme="minorHAnsi"/>
          <w:szCs w:val="22"/>
          <w:lang w:val="en-GB"/>
        </w:rPr>
        <w:instrText xml:space="preserve"> ADDIN ZOTERO_ITEM CSL_CITATION {"citationID":"frwwgCFK","properties":{"formattedCitation":"(Bartunek, 2007)","plainCitation":"(Bartunek, 2007)","dontUpdate":true,"noteIndex":0},"citationItems":[{"id":6928,"uris":["http://zotero.org/users/5243184/items/U5ECYQM9"],"uri":["http://zotero.org/users/5243184/items/U5ECYQM9"],"itemData":{"id":6928,"type":"article-journal","abstract":"The article examines how management science researchers and academics might more fruitfully collaborate with actual managers. The two groups are separated by, among many other things, the language and intellectual structure with which they attack management problems. The linear, structured “academic” methodology and language employed by management scientists is often baffling to managers trained to think more holistically about the issues confronting them. The articles previously published in the history of this publication are analyzed for the amount of information provided directly relating to management practice. The creation of relationships between management science academics and managers beyond collaborative research projects are shown to be desirable, and the difficulties of creating them acknowledged. Such relationships may well thrive in settings less formal than collaborative research projects.","container-title":"Academy of Management Journal","DOI":"10.5465/amj.2007.28165912","ISSN":"0001-4273","issue":"6","journalAbbreviation":"AMJ","note":"publisher: Academy of Management","page":"1323-1333","source":"journals.aom.org (Atypon)","title":"Academic-Practitioner Collaboration Need not Require Joint or Relevant Research: Toward a Relational Scholarship of Integration","title-short":"Academic-Practitioner Collaboration Need not Require Joint or Relevant Research","volume":"50","author":[{"family":"Bartunek","given":"Jean M."}],"issued":{"date-parts":[["2007",12,1]]}}}],"schema":"https://github.com/citation-style-language/schema/raw/master/csl-citation.json"} </w:instrText>
      </w:r>
      <w:r w:rsidR="00441C26" w:rsidRPr="00F45764">
        <w:rPr>
          <w:rFonts w:cstheme="minorHAnsi"/>
          <w:szCs w:val="22"/>
          <w:lang w:val="en-GB"/>
        </w:rPr>
        <w:fldChar w:fldCharType="separate"/>
      </w:r>
      <w:r w:rsidR="00441C26" w:rsidRPr="00F45764">
        <w:rPr>
          <w:rFonts w:cstheme="minorHAnsi"/>
          <w:noProof/>
          <w:szCs w:val="22"/>
          <w:lang w:val="en-GB"/>
        </w:rPr>
        <w:t>Bartunek (2007)</w:t>
      </w:r>
      <w:r w:rsidR="00441C26" w:rsidRPr="00F45764">
        <w:rPr>
          <w:rFonts w:cstheme="minorHAnsi"/>
          <w:szCs w:val="22"/>
          <w:lang w:val="en-GB"/>
        </w:rPr>
        <w:fldChar w:fldCharType="end"/>
      </w:r>
      <w:r w:rsidR="00441C26" w:rsidRPr="00F45764">
        <w:rPr>
          <w:rFonts w:cstheme="minorHAnsi"/>
          <w:szCs w:val="22"/>
          <w:lang w:val="en-GB"/>
        </w:rPr>
        <w:t xml:space="preserve"> </w:t>
      </w:r>
      <w:r w:rsidR="00106633">
        <w:rPr>
          <w:rFonts w:cstheme="minorHAnsi"/>
          <w:szCs w:val="22"/>
          <w:lang w:val="en-GB"/>
        </w:rPr>
        <w:t>"</w:t>
      </w:r>
      <w:r w:rsidRPr="00E41C68">
        <w:rPr>
          <w:rFonts w:cstheme="minorHAnsi"/>
          <w:i/>
          <w:iCs/>
          <w:szCs w:val="22"/>
          <w:lang w:val="en-GB"/>
        </w:rPr>
        <w:t xml:space="preserve">The linear, structured </w:t>
      </w:r>
      <w:r w:rsidR="00106633">
        <w:rPr>
          <w:rFonts w:cstheme="minorHAnsi"/>
          <w:i/>
          <w:iCs/>
          <w:szCs w:val="22"/>
          <w:lang w:val="en-GB"/>
        </w:rPr>
        <w:t>"</w:t>
      </w:r>
      <w:r w:rsidRPr="00E41C68">
        <w:rPr>
          <w:rFonts w:cstheme="minorHAnsi"/>
          <w:i/>
          <w:iCs/>
          <w:szCs w:val="22"/>
          <w:lang w:val="en-GB"/>
        </w:rPr>
        <w:t>academic</w:t>
      </w:r>
      <w:r w:rsidR="00106633">
        <w:rPr>
          <w:rFonts w:cstheme="minorHAnsi"/>
          <w:i/>
          <w:iCs/>
          <w:szCs w:val="22"/>
          <w:lang w:val="en-GB"/>
        </w:rPr>
        <w:t>"</w:t>
      </w:r>
      <w:r w:rsidR="00784C0C" w:rsidRPr="00E41C68">
        <w:rPr>
          <w:rFonts w:cstheme="minorHAnsi"/>
          <w:i/>
          <w:iCs/>
          <w:szCs w:val="22"/>
          <w:lang w:val="en-GB"/>
        </w:rPr>
        <w:t xml:space="preserve"> </w:t>
      </w:r>
      <w:r w:rsidRPr="00F45764">
        <w:rPr>
          <w:rFonts w:cstheme="minorHAnsi"/>
          <w:i/>
          <w:iCs/>
          <w:szCs w:val="22"/>
          <w:lang w:val="en-GB"/>
        </w:rPr>
        <w:t>methodology and language employed by management scientists is often baffling to managers trained to think more holistically about the issues confronting them</w:t>
      </w:r>
      <w:r w:rsidR="00441C26" w:rsidRPr="00F45764">
        <w:rPr>
          <w:rFonts w:cstheme="minorHAnsi"/>
          <w:i/>
          <w:iCs/>
          <w:szCs w:val="22"/>
          <w:lang w:val="en-GB"/>
        </w:rPr>
        <w:t xml:space="preserve">. […] </w:t>
      </w:r>
      <w:r w:rsidR="00C12BC7" w:rsidRPr="00F45764">
        <w:rPr>
          <w:rFonts w:cstheme="minorHAnsi"/>
          <w:i/>
          <w:iCs/>
          <w:szCs w:val="22"/>
          <w:lang w:val="en-GB"/>
        </w:rPr>
        <w:t>he creation of relationships between management science academics and managers beyond collaborative research projects are shown to be desirable, and the difficulties of creating them acknowledged</w:t>
      </w:r>
      <w:r w:rsidR="00106633">
        <w:rPr>
          <w:rFonts w:cstheme="minorHAnsi"/>
          <w:szCs w:val="22"/>
          <w:lang w:val="en-GB"/>
        </w:rPr>
        <w:t>"</w:t>
      </w:r>
      <w:r w:rsidR="00784C0C" w:rsidRPr="00E41C68">
        <w:rPr>
          <w:rFonts w:cstheme="minorHAnsi"/>
          <w:szCs w:val="22"/>
          <w:lang w:val="en-GB"/>
        </w:rPr>
        <w:t xml:space="preserve">. </w:t>
      </w:r>
      <w:r w:rsidR="00C12BC7" w:rsidRPr="00F45764">
        <w:rPr>
          <w:rFonts w:cstheme="minorHAnsi"/>
          <w:szCs w:val="22"/>
          <w:lang w:val="en-GB"/>
        </w:rPr>
        <w:t xml:space="preserve">For example, the same happened at the beginning for the literature on the concept of </w:t>
      </w:r>
      <w:r w:rsidR="00106633">
        <w:rPr>
          <w:rFonts w:cstheme="minorHAnsi"/>
          <w:szCs w:val="22"/>
          <w:lang w:val="en-GB"/>
        </w:rPr>
        <w:t>"</w:t>
      </w:r>
      <w:r w:rsidR="00C12BC7" w:rsidRPr="00E41C68">
        <w:rPr>
          <w:rFonts w:cstheme="minorHAnsi"/>
          <w:szCs w:val="22"/>
          <w:lang w:val="en-GB"/>
        </w:rPr>
        <w:t>corporate growth</w:t>
      </w:r>
      <w:r w:rsidR="00106633">
        <w:rPr>
          <w:rFonts w:cstheme="minorHAnsi"/>
          <w:szCs w:val="22"/>
          <w:lang w:val="en-GB"/>
        </w:rPr>
        <w:t>"</w:t>
      </w:r>
      <w:r w:rsidR="00784C0C" w:rsidRPr="00E41C68">
        <w:rPr>
          <w:rFonts w:cstheme="minorHAnsi"/>
          <w:szCs w:val="22"/>
          <w:lang w:val="en-GB"/>
        </w:rPr>
        <w:t xml:space="preserve">, </w:t>
      </w:r>
      <w:r w:rsidR="00C12BC7" w:rsidRPr="00F45764">
        <w:rPr>
          <w:rFonts w:cstheme="minorHAnsi"/>
          <w:szCs w:val="22"/>
          <w:lang w:val="en-GB"/>
        </w:rPr>
        <w:t xml:space="preserve">where for professionals growth was a more complex phenomenon than reported in scientific sources </w:t>
      </w:r>
      <w:r w:rsidR="00CF4835" w:rsidRPr="00F45764">
        <w:rPr>
          <w:rFonts w:cstheme="minorHAnsi"/>
          <w:szCs w:val="22"/>
          <w:lang w:val="en-GB"/>
        </w:rPr>
        <w:fldChar w:fldCharType="begin"/>
      </w:r>
      <w:r w:rsidR="00F45764">
        <w:rPr>
          <w:rFonts w:cstheme="minorHAnsi"/>
          <w:szCs w:val="22"/>
          <w:lang w:val="en-GB"/>
        </w:rPr>
        <w:instrText xml:space="preserve"> ADDIN ZOTERO_ITEM CSL_CITATION {"citationID":"89MtMFyr","properties":{"formattedCitation":"(Achtenhagen et al., 2010)","plainCitation":"(Achtenhagen et al., 2010)","noteIndex":0},"citationItems":[{"id":6926,"uris":["http://zotero.org/users/5243184/items/8FCZN9RX"],"uri":["http://zotero.org/users/5243184/items/8FCZN9RX"],"itemData":{"id":6926,"type":"article-journal","issue":"2","page":"289-316","title":"“Business Growth”—Do Practitioners and Scholars Really Talk about the Same Thing?","volume":"34","author":[{"family":"Achtenhagen","given":"Leona"},{"family":"Naldi","given":"Lucia"},{"family":"Melin","given":"Leif"}],"issued":{"date-parts":[["2010"]]}}}],"schema":"https://github.com/citation-style-language/schema/raw/master/csl-citation.json"} </w:instrText>
      </w:r>
      <w:r w:rsidR="00CF4835" w:rsidRPr="00F45764">
        <w:rPr>
          <w:rFonts w:cstheme="minorHAnsi"/>
          <w:szCs w:val="22"/>
          <w:lang w:val="en-GB"/>
        </w:rPr>
        <w:fldChar w:fldCharType="separate"/>
      </w:r>
      <w:r w:rsidR="00802E14">
        <w:rPr>
          <w:rFonts w:cstheme="minorHAnsi"/>
          <w:noProof/>
          <w:szCs w:val="22"/>
          <w:lang w:val="en-GB"/>
        </w:rPr>
        <w:t>(Achtenhagen et al., 2010)</w:t>
      </w:r>
      <w:r w:rsidR="00CF4835" w:rsidRPr="00F45764">
        <w:rPr>
          <w:rFonts w:cstheme="minorHAnsi"/>
          <w:szCs w:val="22"/>
          <w:lang w:val="en-GB"/>
        </w:rPr>
        <w:fldChar w:fldCharType="end"/>
      </w:r>
      <w:r w:rsidR="0036747D" w:rsidRPr="00F45764">
        <w:rPr>
          <w:rFonts w:cstheme="minorHAnsi"/>
          <w:szCs w:val="22"/>
          <w:lang w:val="en-GB"/>
        </w:rPr>
        <w:t xml:space="preserve">. </w:t>
      </w:r>
      <w:r w:rsidR="00C12BC7" w:rsidRPr="00F45764">
        <w:rPr>
          <w:rFonts w:cstheme="minorHAnsi"/>
          <w:szCs w:val="22"/>
          <w:lang w:val="en-GB"/>
        </w:rPr>
        <w:t>To this end, recent studies propose to researchers the use and diversification of data sources to better understand the point of view of professionals. For example, on the topic of sustainability</w:t>
      </w:r>
      <w:r w:rsidR="00AA65A0" w:rsidRPr="00F45764">
        <w:rPr>
          <w:rFonts w:cstheme="minorHAnsi"/>
          <w:szCs w:val="22"/>
          <w:lang w:val="en-GB"/>
        </w:rPr>
        <w:t xml:space="preserve">, </w:t>
      </w:r>
      <w:r w:rsidR="0036747D" w:rsidRPr="00F45764">
        <w:rPr>
          <w:rFonts w:cstheme="minorHAnsi"/>
          <w:szCs w:val="22"/>
          <w:lang w:val="en-GB"/>
        </w:rPr>
        <w:t xml:space="preserve">Flottum Gierstad e Salway (2014, p. 214) </w:t>
      </w:r>
      <w:r w:rsidR="00C12BC7" w:rsidRPr="00F45764">
        <w:rPr>
          <w:rFonts w:cstheme="minorHAnsi"/>
          <w:szCs w:val="22"/>
          <w:lang w:val="en-GB"/>
        </w:rPr>
        <w:t xml:space="preserve">argue that </w:t>
      </w:r>
      <w:r w:rsidR="00106633">
        <w:rPr>
          <w:rFonts w:cstheme="minorHAnsi"/>
          <w:szCs w:val="22"/>
          <w:lang w:val="en-GB"/>
        </w:rPr>
        <w:t>"</w:t>
      </w:r>
      <w:r w:rsidR="00C12BC7" w:rsidRPr="00795030">
        <w:rPr>
          <w:rFonts w:cstheme="minorHAnsi"/>
          <w:szCs w:val="22"/>
          <w:lang w:val="en-GB"/>
        </w:rPr>
        <w:t>b</w:t>
      </w:r>
      <w:r w:rsidR="00C12BC7" w:rsidRPr="00473378">
        <w:rPr>
          <w:rFonts w:cstheme="minorHAnsi"/>
          <w:szCs w:val="22"/>
          <w:lang w:val="en-GB"/>
        </w:rPr>
        <w:t xml:space="preserve">logs, social media and documents of other professionals can be considered as </w:t>
      </w:r>
      <w:r w:rsidR="00106633">
        <w:rPr>
          <w:rFonts w:cstheme="minorHAnsi"/>
          <w:szCs w:val="22"/>
          <w:lang w:val="en-GB"/>
        </w:rPr>
        <w:t>"</w:t>
      </w:r>
      <w:r w:rsidR="00C12BC7" w:rsidRPr="000818C9">
        <w:rPr>
          <w:rFonts w:cstheme="minorHAnsi"/>
          <w:szCs w:val="22"/>
          <w:lang w:val="en-GB"/>
        </w:rPr>
        <w:t xml:space="preserve">an alternative site </w:t>
      </w:r>
      <w:proofErr w:type="gramStart"/>
      <w:r w:rsidR="00C12BC7" w:rsidRPr="000818C9">
        <w:rPr>
          <w:rFonts w:cstheme="minorHAnsi"/>
          <w:szCs w:val="22"/>
          <w:lang w:val="en-GB"/>
        </w:rPr>
        <w:t>for the production of</w:t>
      </w:r>
      <w:proofErr w:type="gramEnd"/>
      <w:r w:rsidR="00C12BC7" w:rsidRPr="000818C9">
        <w:rPr>
          <w:rFonts w:cstheme="minorHAnsi"/>
          <w:szCs w:val="22"/>
          <w:lang w:val="en-GB"/>
        </w:rPr>
        <w:t xml:space="preserve"> scientific knowledge</w:t>
      </w:r>
      <w:r w:rsidR="00C249C1">
        <w:rPr>
          <w:rFonts w:cstheme="minorHAnsi"/>
          <w:szCs w:val="22"/>
          <w:lang w:val="en-GB"/>
        </w:rPr>
        <w:t>.</w:t>
      </w:r>
      <w:r w:rsidR="00106633">
        <w:rPr>
          <w:rFonts w:cstheme="minorHAnsi"/>
          <w:szCs w:val="22"/>
          <w:lang w:val="en-GB"/>
        </w:rPr>
        <w:t>"</w:t>
      </w:r>
    </w:p>
    <w:p w14:paraId="371CA810" w14:textId="0E5409BC" w:rsidR="008C3A68" w:rsidRDefault="00C12BC7" w:rsidP="00053E77">
      <w:pPr>
        <w:rPr>
          <w:rFonts w:cstheme="minorHAnsi"/>
          <w:szCs w:val="22"/>
          <w:lang w:val="en-GB"/>
        </w:rPr>
      </w:pPr>
      <w:r w:rsidRPr="00F45764">
        <w:rPr>
          <w:rFonts w:cstheme="minorHAnsi"/>
          <w:szCs w:val="22"/>
          <w:lang w:val="en-GB"/>
        </w:rPr>
        <w:t>To solve</w:t>
      </w:r>
      <w:r w:rsidR="00AA65A0" w:rsidRPr="00F45764">
        <w:rPr>
          <w:rFonts w:cstheme="minorHAnsi"/>
          <w:szCs w:val="22"/>
          <w:lang w:val="en-GB"/>
        </w:rPr>
        <w:t xml:space="preserve"> </w:t>
      </w:r>
      <w:r w:rsidRPr="00F45764">
        <w:rPr>
          <w:rFonts w:cstheme="minorHAnsi"/>
          <w:szCs w:val="22"/>
          <w:lang w:val="en-GB"/>
        </w:rPr>
        <w:t>the gap between academy and professionals</w:t>
      </w:r>
      <w:r w:rsidR="00CF2FBE" w:rsidRPr="00F45764">
        <w:rPr>
          <w:rFonts w:cstheme="minorHAnsi"/>
          <w:szCs w:val="22"/>
          <w:lang w:val="en-GB"/>
        </w:rPr>
        <w:t xml:space="preserve">, </w:t>
      </w:r>
      <w:r w:rsidR="00CF2FBE" w:rsidRPr="00F45764">
        <w:rPr>
          <w:rFonts w:cstheme="minorHAnsi"/>
          <w:szCs w:val="22"/>
          <w:lang w:val="en-GB"/>
        </w:rPr>
        <w:fldChar w:fldCharType="begin"/>
      </w:r>
      <w:r w:rsidR="00F45764">
        <w:rPr>
          <w:rFonts w:cstheme="minorHAnsi"/>
          <w:szCs w:val="22"/>
          <w:lang w:val="en-GB"/>
        </w:rPr>
        <w:instrText xml:space="preserve"> ADDIN ZOTERO_ITEM CSL_CITATION {"citationID":"zUdevmPG","properties":{"formattedCitation":"(Romme et al., 2015)","plainCitation":"(Romme et al., 2015)","dontUpdate":true,"noteIndex":0},"citationItems":[{"id":6935,"uris":["http://zotero.org/users/5243184/items/VRMMQIEW"],"uri":["http://zotero.org/users/5243184/items/VRMMQIEW"],"itemData":{"id":6935,"type":"article-journal","abstract":"The purpose and nature of management scholarship is contested, evidenced by debates about the ‘academic–practitioner divide’ and attendant remedies for addressing it, including mode 2 and mode 3 research, engaged scholarship, evidence-based management and design science. In this paper the authors argue that, without a culture of dialogical encounter, management scholarship will never be able to emerge from its adolescence, and management will not develop into the profession that it should and can become. The central proposition is that the highly fragmented landscape of management (practice and scholarship) lacks sufficient capability for dialogue among the plurality of actors situated across that landscape. Developing the dialogical capability ultimately required to break this fundamental impasse demands, first, a shared sense of purpose and responsibility (akin to the Hippocratic Oath in medicine) and, second, institutional entrepreneurship to establish more and better ‘trading zones’. Drawing on the philosophy of pragmatism, the authors further this endeavour by identifying and proposing key elements of a statement of shared purpose and responsibility. Finally, they explore the nature and characteristics of successful trading zones, highlighting particular examples that have already been created in management studies.","container-title":"British Journal of Management","DOI":"10.1111/1467-8551.12110","ISSN":"1467-8551","issue":"3","language":"en","note":"_eprint: https://onlinelibrary.wiley.com/doi/pdf/10.1111/1467-8551.12110","page":"544-559","source":"Wiley Online Library","title":"Towards Common Ground and Trading Zones in Management Research and Practice","volume":"26","author":[{"family":"Romme","given":"A. Georges L."},{"family":"Avenier","given":"Marie-José"},{"family":"Denyer","given":"David"},{"family":"Hodgkinson","given":"Gerard P."},{"family":"Pandza","given":"Krsto"},{"family":"Starkey","given":"Ken"},{"family":"Worren","given":"Nicolay"}],"issued":{"date-parts":[["2015"]]}}}],"schema":"https://github.com/citation-style-language/schema/raw/master/csl-citation.json"} </w:instrText>
      </w:r>
      <w:r w:rsidR="00CF2FBE" w:rsidRPr="00F45764">
        <w:rPr>
          <w:rFonts w:cstheme="minorHAnsi"/>
          <w:szCs w:val="22"/>
          <w:lang w:val="en-GB"/>
        </w:rPr>
        <w:fldChar w:fldCharType="separate"/>
      </w:r>
      <w:r w:rsidR="00CF2FBE" w:rsidRPr="00F45764">
        <w:rPr>
          <w:rFonts w:cstheme="minorHAnsi"/>
          <w:noProof/>
          <w:szCs w:val="22"/>
          <w:lang w:val="en-GB"/>
        </w:rPr>
        <w:t>Romme et al. (2015)</w:t>
      </w:r>
      <w:r w:rsidR="00CF2FBE" w:rsidRPr="00F45764">
        <w:rPr>
          <w:rFonts w:cstheme="minorHAnsi"/>
          <w:szCs w:val="22"/>
          <w:lang w:val="en-GB"/>
        </w:rPr>
        <w:fldChar w:fldCharType="end"/>
      </w:r>
      <w:r w:rsidR="00CF2FBE" w:rsidRPr="00F45764">
        <w:rPr>
          <w:rFonts w:cstheme="minorHAnsi"/>
          <w:szCs w:val="22"/>
          <w:lang w:val="en-GB"/>
        </w:rPr>
        <w:t xml:space="preserve"> </w:t>
      </w:r>
      <w:r w:rsidRPr="00F45764">
        <w:rPr>
          <w:rFonts w:cstheme="minorHAnsi"/>
          <w:szCs w:val="22"/>
          <w:lang w:val="en-GB"/>
        </w:rPr>
        <w:t xml:space="preserve">suggest a dialogue to make the different perspectives evident, practising and making both sides known by creating exchange zones and identifying a shared interest in terms of results. Based on the considerations and for the best of mutual knowledge, this paper analyses the documents produced by scholars and professionals on the topic of </w:t>
      </w:r>
      <w:r w:rsidR="00454E6D" w:rsidRPr="00454E6D">
        <w:rPr>
          <w:rFonts w:cstheme="minorHAnsi"/>
          <w:szCs w:val="22"/>
          <w:lang w:val="en-GB"/>
        </w:rPr>
        <w:t>I</w:t>
      </w:r>
      <w:r w:rsidRPr="00454E6D">
        <w:rPr>
          <w:rFonts w:cstheme="minorHAnsi"/>
          <w:szCs w:val="22"/>
          <w:lang w:val="en-GB"/>
        </w:rPr>
        <w:t>n</w:t>
      </w:r>
      <w:r w:rsidRPr="00F45764">
        <w:rPr>
          <w:rFonts w:cstheme="minorHAnsi"/>
          <w:szCs w:val="22"/>
          <w:lang w:val="en-GB"/>
        </w:rPr>
        <w:t xml:space="preserve">dustry 4.0 and the </w:t>
      </w:r>
      <w:r w:rsidR="001F137A" w:rsidRPr="00F45764">
        <w:rPr>
          <w:rFonts w:cstheme="minorHAnsi"/>
          <w:szCs w:val="22"/>
          <w:lang w:val="en-GB"/>
        </w:rPr>
        <w:t>CE</w:t>
      </w:r>
      <w:r w:rsidRPr="00F45764">
        <w:rPr>
          <w:rFonts w:cstheme="minorHAnsi"/>
          <w:szCs w:val="22"/>
          <w:lang w:val="en-GB"/>
        </w:rPr>
        <w:t xml:space="preserve"> to create zones of exchange and discussion. Therefore, the study of academic sources and practice could help us to fully understand the issues of debate and the needs of both sides, thus overcoming the design and planning gap. Against this background, the research question</w:t>
      </w:r>
      <w:r w:rsidR="001E06E8">
        <w:rPr>
          <w:rFonts w:cstheme="minorHAnsi"/>
          <w:szCs w:val="22"/>
          <w:lang w:val="en-GB"/>
        </w:rPr>
        <w:t xml:space="preserve"> (RQ)</w:t>
      </w:r>
      <w:r w:rsidRPr="00F45764">
        <w:rPr>
          <w:rFonts w:cstheme="minorHAnsi"/>
          <w:szCs w:val="22"/>
          <w:lang w:val="en-GB"/>
        </w:rPr>
        <w:t xml:space="preserve"> we intend to </w:t>
      </w:r>
      <w:r w:rsidR="00784C0C" w:rsidRPr="00F45764">
        <w:rPr>
          <w:rFonts w:cstheme="minorHAnsi"/>
          <w:szCs w:val="22"/>
          <w:lang w:val="en-GB"/>
        </w:rPr>
        <w:t>analy</w:t>
      </w:r>
      <w:r w:rsidR="00527C14">
        <w:rPr>
          <w:rFonts w:cstheme="minorHAnsi"/>
          <w:szCs w:val="22"/>
          <w:lang w:val="en-GB"/>
        </w:rPr>
        <w:t>s</w:t>
      </w:r>
      <w:r w:rsidR="00784C0C" w:rsidRPr="00E41C68">
        <w:rPr>
          <w:rFonts w:cstheme="minorHAnsi"/>
          <w:szCs w:val="22"/>
          <w:lang w:val="en-GB"/>
        </w:rPr>
        <w:t xml:space="preserve">e </w:t>
      </w:r>
      <w:r w:rsidRPr="00F45764">
        <w:rPr>
          <w:rFonts w:cstheme="minorHAnsi"/>
          <w:szCs w:val="22"/>
          <w:lang w:val="en-GB"/>
        </w:rPr>
        <w:t>is</w:t>
      </w:r>
      <w:r w:rsidR="00CF2FBE" w:rsidRPr="00F45764">
        <w:rPr>
          <w:rFonts w:cstheme="minorHAnsi"/>
          <w:szCs w:val="22"/>
          <w:lang w:val="en-GB"/>
        </w:rPr>
        <w:t xml:space="preserve">: </w:t>
      </w:r>
    </w:p>
    <w:p w14:paraId="25B59A9B" w14:textId="0E9D707F" w:rsidR="00E62839" w:rsidRPr="008228A8" w:rsidRDefault="008C3A68" w:rsidP="008228A8">
      <w:pPr>
        <w:rPr>
          <w:rFonts w:cstheme="minorHAnsi"/>
          <w:i/>
          <w:iCs/>
          <w:szCs w:val="22"/>
          <w:lang w:val="en-GB"/>
        </w:rPr>
      </w:pPr>
      <w:r w:rsidRPr="008228A8">
        <w:rPr>
          <w:rFonts w:cstheme="minorHAnsi"/>
          <w:b/>
          <w:bCs/>
          <w:i/>
          <w:iCs/>
          <w:szCs w:val="22"/>
          <w:lang w:val="en-GB"/>
        </w:rPr>
        <w:t>RQ</w:t>
      </w:r>
      <w:r w:rsidRPr="008228A8">
        <w:rPr>
          <w:rFonts w:cstheme="minorHAnsi"/>
          <w:i/>
          <w:iCs/>
          <w:szCs w:val="22"/>
          <w:lang w:val="en-GB"/>
        </w:rPr>
        <w:t xml:space="preserve">: </w:t>
      </w:r>
      <w:r w:rsidR="00CF2FBE" w:rsidRPr="008228A8">
        <w:rPr>
          <w:rFonts w:cstheme="minorHAnsi"/>
          <w:i/>
          <w:iCs/>
          <w:szCs w:val="22"/>
          <w:lang w:val="en-GB"/>
        </w:rPr>
        <w:t xml:space="preserve">What is the impact of Industry 4.0 on the </w:t>
      </w:r>
      <w:r w:rsidR="00454E6D">
        <w:rPr>
          <w:rFonts w:cstheme="minorHAnsi"/>
          <w:i/>
          <w:iCs/>
          <w:szCs w:val="22"/>
          <w:lang w:val="en-GB"/>
        </w:rPr>
        <w:t>C</w:t>
      </w:r>
      <w:r w:rsidR="00CF2FBE" w:rsidRPr="008228A8">
        <w:rPr>
          <w:rFonts w:cstheme="minorHAnsi"/>
          <w:i/>
          <w:iCs/>
          <w:szCs w:val="22"/>
          <w:lang w:val="en-GB"/>
        </w:rPr>
        <w:t xml:space="preserve">ircular </w:t>
      </w:r>
      <w:r w:rsidR="00106633">
        <w:rPr>
          <w:rFonts w:cstheme="minorHAnsi"/>
          <w:i/>
          <w:iCs/>
          <w:szCs w:val="22"/>
          <w:lang w:val="en-GB"/>
        </w:rPr>
        <w:t>E</w:t>
      </w:r>
      <w:r w:rsidR="00CF2FBE" w:rsidRPr="008228A8">
        <w:rPr>
          <w:rFonts w:cstheme="minorHAnsi"/>
          <w:i/>
          <w:iCs/>
          <w:szCs w:val="22"/>
          <w:lang w:val="en-GB"/>
        </w:rPr>
        <w:t>conomy in an academic and practitioner perspective?</w:t>
      </w:r>
    </w:p>
    <w:p w14:paraId="42F8F716" w14:textId="77777777" w:rsidR="00AD4601" w:rsidRPr="00795030" w:rsidRDefault="00AD4601" w:rsidP="004D46F6">
      <w:pPr>
        <w:rPr>
          <w:rFonts w:cstheme="minorHAnsi"/>
          <w:b/>
          <w:bCs/>
          <w:szCs w:val="22"/>
          <w:lang w:val="en-GB"/>
        </w:rPr>
      </w:pPr>
    </w:p>
    <w:p w14:paraId="642BEB78" w14:textId="77777777" w:rsidR="00E419D8" w:rsidRPr="008228A8" w:rsidRDefault="00E419D8" w:rsidP="008228A8">
      <w:pPr>
        <w:pStyle w:val="Titolo1"/>
        <w:rPr>
          <w:lang w:val="en-GB"/>
        </w:rPr>
      </w:pPr>
      <w:r w:rsidRPr="008228A8">
        <w:rPr>
          <w:lang w:val="en-GB"/>
        </w:rPr>
        <w:t>Methodology</w:t>
      </w:r>
    </w:p>
    <w:p w14:paraId="03F54AB1" w14:textId="77777777" w:rsidR="00E419D8" w:rsidRPr="008228A8" w:rsidRDefault="00AD4601" w:rsidP="008228A8">
      <w:pPr>
        <w:pStyle w:val="Titolo2"/>
        <w:rPr>
          <w:i w:val="0"/>
          <w:iCs w:val="0"/>
        </w:rPr>
      </w:pPr>
      <w:r w:rsidRPr="00473378">
        <w:t>Content and thematic analysis</w:t>
      </w:r>
    </w:p>
    <w:p w14:paraId="743F1195" w14:textId="12A4D6B5" w:rsidR="008A44E8" w:rsidRPr="00F45764" w:rsidRDefault="00AD4601" w:rsidP="008228A8">
      <w:pPr>
        <w:rPr>
          <w:rFonts w:cstheme="minorHAnsi"/>
          <w:szCs w:val="22"/>
          <w:lang w:val="en-GB"/>
        </w:rPr>
      </w:pPr>
      <w:r w:rsidRPr="00473378">
        <w:rPr>
          <w:rFonts w:cstheme="minorHAnsi"/>
          <w:szCs w:val="22"/>
          <w:lang w:val="en-GB"/>
        </w:rPr>
        <w:t>To address the research question, we employed a thematic and content analysis</w:t>
      </w:r>
      <w:r w:rsidR="00C64827" w:rsidRPr="000818C9">
        <w:rPr>
          <w:rFonts w:cstheme="minorHAnsi"/>
          <w:szCs w:val="22"/>
          <w:lang w:val="en-GB"/>
        </w:rPr>
        <w:t xml:space="preserve"> (CA)</w:t>
      </w:r>
      <w:r w:rsidRPr="000818C9">
        <w:rPr>
          <w:rFonts w:cstheme="minorHAnsi"/>
          <w:szCs w:val="22"/>
          <w:lang w:val="en-GB"/>
        </w:rPr>
        <w:t xml:space="preserve">. </w:t>
      </w:r>
      <w:r w:rsidR="00DE7AEA" w:rsidRPr="000818C9">
        <w:rPr>
          <w:rFonts w:cstheme="minorHAnsi"/>
          <w:szCs w:val="22"/>
          <w:lang w:val="en-GB"/>
        </w:rPr>
        <w:t xml:space="preserve">CA, born as a technique </w:t>
      </w:r>
      <w:r w:rsidR="008A44E8" w:rsidRPr="00E41C68">
        <w:rPr>
          <w:rFonts w:cstheme="minorHAnsi"/>
          <w:szCs w:val="22"/>
          <w:lang w:val="en-GB"/>
        </w:rPr>
        <w:t xml:space="preserve">for the study of written texts, then evolved to the consideration of audio and video content </w:t>
      </w:r>
      <w:r w:rsidRPr="00F45764">
        <w:rPr>
          <w:rFonts w:cstheme="minorHAnsi"/>
          <w:szCs w:val="22"/>
          <w:lang w:val="en-GB"/>
        </w:rPr>
        <w:fldChar w:fldCharType="begin"/>
      </w:r>
      <w:r w:rsidR="00F45764">
        <w:rPr>
          <w:rFonts w:cstheme="minorHAnsi"/>
          <w:szCs w:val="22"/>
          <w:lang w:val="en-GB"/>
        </w:rPr>
        <w:instrText xml:space="preserve"> ADDIN ZOTERO_ITEM CSL_CITATION {"citationID":"OihS1awu","properties":{"formattedCitation":"(Krippendorff, 2018)","plainCitation":"(Krippendorff, 2018)","noteIndex":0},"citationItems":[{"id":6806,"uris":["http://zotero.org/users/5243184/items/ARSJY8Z7"],"uri":["http://zotero.org/users/5243184/items/ARSJY8Z7"],"itemData":{"id":6806,"type":"book","abstract":"What matters in people’s social lives? What motivates and inspires our society? How do we enact what we know? Since the first edition published in 1980, Content Analysis has helped shape and define the field. In the highly anticipated Fourth Edition, award-winning scholar and author Klaus Krippendorff introduces you to the most current method of analyzing the textual fabric of contemporary society. Students and scholars will learn to treat data not as physical events but as communications that are created and disseminated to be seen, read, interpreted, enacted, and reflected upon according to the meanings they have for their recipients. Interpreting communications as texts in the contexts of their social uses distinguishes content analysis from other empirical methods of inquiry. Organized into three parts, Content Analysis first examines the conceptual aspects of content analysis, then discusses components such as unitizing and sampling, and concludes by showing readers how to trace the analytical paths and apply evaluative techniques. The Fourth Edition has been completely revised to offer you the most current techniques and research on content analysis, including new information on reliability and social media. You will also gain practical advice and experience for teaching academic and commercial researchers how to conduct content analysis.","ISBN":"978-1-5063-9567-8","language":"en","note":"Google-Books-ID: nE1aDwAAQBAJ","number-of-pages":"473","publisher":"SAGE Publications","source":"Google Books","title":"Content Analysis: An Introduction to Its Methodology","title-short":"Content Analysis","author":[{"family":"Krippendorff","given":"Klaus"}],"issued":{"date-parts":[["2018",5,9]]}}}],"schema":"https://github.com/citation-style-language/schema/raw/master/csl-citation.json"} </w:instrText>
      </w:r>
      <w:r w:rsidRPr="00F45764">
        <w:rPr>
          <w:rFonts w:cstheme="minorHAnsi"/>
          <w:szCs w:val="22"/>
          <w:lang w:val="en-GB"/>
        </w:rPr>
        <w:fldChar w:fldCharType="separate"/>
      </w:r>
      <w:r w:rsidR="00802E14">
        <w:rPr>
          <w:rFonts w:cstheme="minorHAnsi"/>
          <w:noProof/>
          <w:szCs w:val="22"/>
          <w:lang w:val="en-GB"/>
        </w:rPr>
        <w:t>(Krippendorff, 2018)</w:t>
      </w:r>
      <w:r w:rsidRPr="00F45764">
        <w:rPr>
          <w:rFonts w:cstheme="minorHAnsi"/>
          <w:szCs w:val="22"/>
          <w:lang w:val="en-GB"/>
        </w:rPr>
        <w:fldChar w:fldCharType="end"/>
      </w:r>
      <w:r w:rsidRPr="00F45764">
        <w:rPr>
          <w:rFonts w:cstheme="minorHAnsi"/>
          <w:szCs w:val="22"/>
          <w:lang w:val="en-GB"/>
        </w:rPr>
        <w:t xml:space="preserve">. </w:t>
      </w:r>
      <w:r w:rsidR="008A44E8" w:rsidRPr="00F45764">
        <w:rPr>
          <w:rFonts w:cstheme="minorHAnsi"/>
          <w:szCs w:val="22"/>
          <w:lang w:val="en-GB"/>
        </w:rPr>
        <w:t xml:space="preserve">It is one of the most used qualitative analysis techniques by researchers as it allows a precise investigation of specific research flows </w:t>
      </w:r>
      <w:r w:rsidR="008A44E8" w:rsidRPr="00F45764">
        <w:rPr>
          <w:rFonts w:cstheme="minorHAnsi"/>
          <w:szCs w:val="22"/>
          <w:lang w:val="en-GB"/>
        </w:rPr>
        <w:fldChar w:fldCharType="begin"/>
      </w:r>
      <w:r w:rsidR="00F45764">
        <w:rPr>
          <w:rFonts w:cstheme="minorHAnsi"/>
          <w:szCs w:val="22"/>
          <w:lang w:val="en-GB"/>
        </w:rPr>
        <w:instrText xml:space="preserve"> ADDIN ZOTERO_ITEM CSL_CITATION {"citationID":"KsSW9vef","properties":{"formattedCitation":"(Hsieh &amp; Shannon, 2005)","plainCitation":"(Hsieh &amp; Shannon, 2005)","noteIndex":0},"citationItems":[{"id":484,"uris":["http://zotero.org/users/5243184/items/NNA4B7S7"],"uri":["http://zotero.org/users/5243184/items/NNA4B7S7"],"itemData":{"id":484,"type":"article-journal","container-title":"Qualitative Health Research","DOI":"10.1177/1049732305276687","ISSN":"1049-7323, 1552-7557","issue":"9","language":"en","page":"1277-1288","source":"Crossref","title":"Three Approaches to Qualitative Content Analysis","volume":"15","author":[{"family":"Hsieh","given":"Hsiu-Fang"},{"family":"Shannon","given":"Sarah E."}],"issued":{"date-parts":[["2005",11]]}}}],"schema":"https://github.com/citation-style-language/schema/raw/master/csl-citation.json"} </w:instrText>
      </w:r>
      <w:r w:rsidR="008A44E8" w:rsidRPr="00F45764">
        <w:rPr>
          <w:rFonts w:cstheme="minorHAnsi"/>
          <w:szCs w:val="22"/>
          <w:lang w:val="en-GB"/>
        </w:rPr>
        <w:fldChar w:fldCharType="separate"/>
      </w:r>
      <w:r w:rsidR="00802E14">
        <w:rPr>
          <w:rFonts w:cstheme="minorHAnsi"/>
          <w:noProof/>
          <w:szCs w:val="22"/>
          <w:lang w:val="en-GB"/>
        </w:rPr>
        <w:t>(Hsieh &amp; Shannon, 2005)</w:t>
      </w:r>
      <w:r w:rsidR="008A44E8" w:rsidRPr="00F45764">
        <w:rPr>
          <w:rFonts w:cstheme="minorHAnsi"/>
          <w:szCs w:val="22"/>
          <w:lang w:val="en-GB"/>
        </w:rPr>
        <w:fldChar w:fldCharType="end"/>
      </w:r>
      <w:r w:rsidR="008A44E8" w:rsidRPr="00F45764">
        <w:rPr>
          <w:rFonts w:cstheme="minorHAnsi"/>
          <w:szCs w:val="22"/>
          <w:lang w:val="en-GB"/>
        </w:rPr>
        <w:t xml:space="preserve">. The possibility of using computer data </w:t>
      </w:r>
      <w:r w:rsidR="008A44E8" w:rsidRPr="00F45764">
        <w:rPr>
          <w:rFonts w:cstheme="minorHAnsi"/>
          <w:szCs w:val="22"/>
          <w:lang w:val="en-GB"/>
        </w:rPr>
        <w:lastRenderedPageBreak/>
        <w:t xml:space="preserve">analysis tools has allowed the method a critical evolution. Nowadays, researchers can </w:t>
      </w:r>
      <w:r w:rsidR="00784C0C" w:rsidRPr="00F45764">
        <w:rPr>
          <w:rFonts w:cstheme="minorHAnsi"/>
          <w:szCs w:val="22"/>
          <w:lang w:val="en-GB"/>
        </w:rPr>
        <w:t>analy</w:t>
      </w:r>
      <w:r w:rsidR="00527C14">
        <w:rPr>
          <w:rFonts w:cstheme="minorHAnsi"/>
          <w:szCs w:val="22"/>
          <w:lang w:val="en-GB"/>
        </w:rPr>
        <w:t>s</w:t>
      </w:r>
      <w:r w:rsidR="00784C0C" w:rsidRPr="00E41C68">
        <w:rPr>
          <w:rFonts w:cstheme="minorHAnsi"/>
          <w:szCs w:val="22"/>
          <w:lang w:val="en-GB"/>
        </w:rPr>
        <w:t>e</w:t>
      </w:r>
      <w:r w:rsidR="00784C0C" w:rsidRPr="00F45764">
        <w:rPr>
          <w:rFonts w:cstheme="minorHAnsi"/>
          <w:szCs w:val="22"/>
          <w:lang w:val="en-GB"/>
        </w:rPr>
        <w:t xml:space="preserve"> </w:t>
      </w:r>
      <w:r w:rsidR="008A44E8" w:rsidRPr="00F45764">
        <w:rPr>
          <w:rFonts w:cstheme="minorHAnsi"/>
          <w:szCs w:val="22"/>
          <w:lang w:val="en-GB"/>
        </w:rPr>
        <w:t xml:space="preserve">large amounts of data, classifying and using multiple information sources. </w:t>
      </w:r>
      <w:r w:rsidR="00C64827" w:rsidRPr="00F45764">
        <w:rPr>
          <w:rFonts w:cstheme="minorHAnsi"/>
          <w:szCs w:val="22"/>
          <w:lang w:val="en-GB"/>
        </w:rPr>
        <w:t xml:space="preserve">CA is widely implemented in different </w:t>
      </w:r>
      <w:r w:rsidR="00B4289F" w:rsidRPr="00F45764">
        <w:rPr>
          <w:rFonts w:cstheme="minorHAnsi"/>
          <w:szCs w:val="22"/>
          <w:lang w:val="en-GB"/>
        </w:rPr>
        <w:t xml:space="preserve">research stream with the aim of highlight specific literature and thematic trends. For instance, </w:t>
      </w:r>
      <w:r w:rsidR="00B4289F" w:rsidRPr="00F45764">
        <w:rPr>
          <w:rFonts w:cstheme="minorHAnsi"/>
          <w:szCs w:val="22"/>
          <w:lang w:val="en-GB"/>
        </w:rPr>
        <w:fldChar w:fldCharType="begin"/>
      </w:r>
      <w:r w:rsidR="00F45764">
        <w:rPr>
          <w:rFonts w:cstheme="minorHAnsi"/>
          <w:szCs w:val="22"/>
          <w:lang w:val="en-GB"/>
        </w:rPr>
        <w:instrText xml:space="preserve"> ADDIN ZOTERO_ITEM CSL_CITATION {"citationID":"APo1dhD7","properties":{"formattedCitation":"(Dumay &amp; Cai, 2014)","plainCitation":"(Dumay &amp; Cai, 2014)","dontUpdate":true,"noteIndex":0},"citationItems":[{"id":4674,"uris":["http://zotero.org/users/5243184/items/KB4UCJE4"],"uri":["http://zotero.org/users/5243184/items/KB4UCJE4"],"itemData":{"id":4674,"type":"article-journal","abstract":"Purpose The purpose of this paper is to review and critique the current status of content analysis (CA) as a research method for inquiring into intellectual capital disclosure (ICD) to determine if CA has a continued role to play in developing new intellectual capital (IC) knowledge. Design/methodology/approach In all, 110 articles utilising CA as a research methodology for inquiring into ICD are analysed. The research is developed in line with other articles critically investigating IC research conducted by Guthrie et al. (2012), Dumay and Garanina (2013) and Dumay (2014). To help understand the impact of CA research articles, the data set is supplemented by including citation data from Google Scholar. The authors also differentiate the paper from other IC research reviews by critically examining the findings and implications of the articles analysed. Findings The authors do not hold a very positive view on future research which does not substantially depart from the plethora of articles examining ICD using annual reports as a data source or who do not in some way radically change the approach. The authors are of the view that early research into ICD using CA as a methodology was warranted because there was little knowledge about the pattern of IC disclosure in annual reports and other possible ICD forms. However, the research into ICD using annual reports and other data sources has added little more than prove that companies are unwilling to publicly disclose IC to their stakeholders. While the authors do not hold a positive view on future CA research based on annual reports, the authors do hold out hope that researchers will transform their understanding and application of CA as a research methodology and offer one example of how this might be achieved. Originality/value The paper presents a comprehensive critical review of published articles utilising CA as a research methodology for inquiring into ICD along with measuring the impact of the articles using citation data from Google Scholar. Hence, the research and its impacts are simultaneously assessed offering insights into the future role that CA as a research methodology has to play in developing new IC knowledge.","container-title":"Journal of Intellectual Capital","DOI":"10.1108/JIC-01-2014-0010","ISSN":"1469-1930","issue":"2","page":"264-290","source":"Emerald Insight","title":"A review and critique of content analysis as a methodology for inquiring into IC disclosure","volume":"15","author":[{"family":"Dumay","given":"John"},{"family":"Cai","given":"Linlin"}],"issued":{"date-parts":[["2014",1,1]]}}}],"schema":"https://github.com/citation-style-language/schema/raw/master/csl-citation.json"} </w:instrText>
      </w:r>
      <w:r w:rsidR="00B4289F" w:rsidRPr="00F45764">
        <w:rPr>
          <w:rFonts w:cstheme="minorHAnsi"/>
          <w:szCs w:val="22"/>
          <w:lang w:val="en-GB"/>
        </w:rPr>
        <w:fldChar w:fldCharType="separate"/>
      </w:r>
      <w:r w:rsidR="00B4289F" w:rsidRPr="00F45764">
        <w:rPr>
          <w:rFonts w:cstheme="minorHAnsi"/>
          <w:noProof/>
          <w:szCs w:val="22"/>
          <w:lang w:val="en-GB"/>
        </w:rPr>
        <w:t>Dumay &amp; Cai (2014)</w:t>
      </w:r>
      <w:r w:rsidR="00B4289F" w:rsidRPr="00F45764">
        <w:rPr>
          <w:rFonts w:cstheme="minorHAnsi"/>
          <w:szCs w:val="22"/>
          <w:lang w:val="en-GB"/>
        </w:rPr>
        <w:fldChar w:fldCharType="end"/>
      </w:r>
      <w:r w:rsidR="00B4289F" w:rsidRPr="00F45764">
        <w:rPr>
          <w:rFonts w:cstheme="minorHAnsi"/>
          <w:szCs w:val="22"/>
          <w:lang w:val="en-GB"/>
        </w:rPr>
        <w:t xml:space="preserve"> used </w:t>
      </w:r>
      <w:r w:rsidR="008A44E8" w:rsidRPr="00F45764">
        <w:rPr>
          <w:rFonts w:cstheme="minorHAnsi"/>
          <w:szCs w:val="22"/>
          <w:lang w:val="en-GB"/>
        </w:rPr>
        <w:t xml:space="preserve">the </w:t>
      </w:r>
      <w:r w:rsidR="00B4289F" w:rsidRPr="00F45764">
        <w:rPr>
          <w:rFonts w:cstheme="minorHAnsi"/>
          <w:szCs w:val="22"/>
          <w:lang w:val="en-GB"/>
        </w:rPr>
        <w:t xml:space="preserve">CA approach </w:t>
      </w:r>
      <w:r w:rsidR="008A44E8" w:rsidRPr="00F45764">
        <w:rPr>
          <w:rFonts w:cstheme="minorHAnsi"/>
          <w:szCs w:val="22"/>
          <w:lang w:val="en-GB"/>
        </w:rPr>
        <w:t>within particular</w:t>
      </w:r>
      <w:r w:rsidR="00DE7AEA" w:rsidRPr="00F45764">
        <w:rPr>
          <w:rFonts w:cstheme="minorHAnsi"/>
          <w:szCs w:val="22"/>
          <w:lang w:val="en-GB"/>
        </w:rPr>
        <w:t xml:space="preserve"> literature as </w:t>
      </w:r>
      <w:r w:rsidR="00B4289F" w:rsidRPr="00F45764">
        <w:rPr>
          <w:rFonts w:cstheme="minorHAnsi"/>
          <w:szCs w:val="22"/>
          <w:lang w:val="en-GB"/>
        </w:rPr>
        <w:t xml:space="preserve">new intellectual capital knowledge. </w:t>
      </w:r>
      <w:r w:rsidR="00DE7AEA" w:rsidRPr="00F45764">
        <w:rPr>
          <w:rFonts w:cstheme="minorHAnsi"/>
          <w:szCs w:val="22"/>
          <w:lang w:val="en-GB"/>
        </w:rPr>
        <w:t xml:space="preserve">And, </w:t>
      </w:r>
      <w:r w:rsidR="00B4289F" w:rsidRPr="00F45764">
        <w:rPr>
          <w:rFonts w:cstheme="minorHAnsi"/>
          <w:szCs w:val="22"/>
          <w:lang w:val="en-GB"/>
        </w:rPr>
        <w:fldChar w:fldCharType="begin"/>
      </w:r>
      <w:r w:rsidR="00F45764">
        <w:rPr>
          <w:rFonts w:cstheme="minorHAnsi"/>
          <w:szCs w:val="22"/>
          <w:lang w:val="en-GB"/>
        </w:rPr>
        <w:instrText xml:space="preserve"> ADDIN ZOTERO_ITEM CSL_CITATION {"citationID":"7ep2Mcls","properties":{"formattedCitation":"(Bhatt et al., 2020)","plainCitation":"(Bhatt et al., 2020)","dontUpdate":true,"noteIndex":0},"citationItems":[{"id":6814,"uris":["http://zotero.org/users/5243184/items/5NAU5TK5"],"uri":["http://zotero.org/users/5243184/items/5NAU5TK5"],"itemData":{"id":6814,"type":"article-journal","abstract":"Businesses have practiced and examined lean and green manufacturing principles for the last 25 years, but the sustainability challenges that we face today are still significantly potent. This context creates a need to critically examine the research and practice in this domain to determine the gaps and propose solutions. To achieve that, we applied a two-tier analysis constituting bibliometric and content analyses for developing the intellectual structure of sustainable manufacturing (SM) literature. The study also produced a comprehensive framework to provide a granular understanding of SM literature. The framework demonstrates different paradigms of SM literature as well as the conceptual and methodological advancement of the research frontiers in the domain. The outcomes of the research comprise implications for researchers, managers, and policymakers. The study concludes that most empirical work focuses on the relationship of lean and green practices with organizational and environmental performance, but the role and criticality of sustainability are significantly underrepresented in SM literature. Based on our findings, we call for the integration of sustainability principles, that is, sustainable development goals (SDGs), circular economy, life cycle engineering, and corporate sustainability assessment with SM research.","container-title":"Journal of Cleaner Production","DOI":"10.1016/j.jclepro.2020.120988","ISSN":"0959-6526","journalAbbreviation":"Journal of Cleaner Production","language":"en","page":"120988","source":"ScienceDirect","title":"Sustainable manufacturing. Bibliometrics and content analysis","volume":"260","author":[{"family":"Bhatt","given":"Yogesh"},{"family":"Ghuman","given":"Karminder"},{"family":"Dhir","given":"Amandeep"}],"issued":{"date-parts":[["2020",7,1]]}}}],"schema":"https://github.com/citation-style-language/schema/raw/master/csl-citation.json"} </w:instrText>
      </w:r>
      <w:r w:rsidR="00B4289F" w:rsidRPr="00F45764">
        <w:rPr>
          <w:rFonts w:cstheme="minorHAnsi"/>
          <w:szCs w:val="22"/>
          <w:lang w:val="en-GB"/>
        </w:rPr>
        <w:fldChar w:fldCharType="separate"/>
      </w:r>
      <w:r w:rsidR="00B4289F" w:rsidRPr="00F45764">
        <w:rPr>
          <w:rFonts w:cstheme="minorHAnsi"/>
          <w:noProof/>
          <w:szCs w:val="22"/>
          <w:lang w:val="en-GB"/>
        </w:rPr>
        <w:t>Bhatt et al. (2020)</w:t>
      </w:r>
      <w:r w:rsidR="00B4289F" w:rsidRPr="00F45764">
        <w:rPr>
          <w:rFonts w:cstheme="minorHAnsi"/>
          <w:szCs w:val="22"/>
          <w:lang w:val="en-GB"/>
        </w:rPr>
        <w:fldChar w:fldCharType="end"/>
      </w:r>
      <w:r w:rsidR="00B4289F" w:rsidRPr="00F45764">
        <w:rPr>
          <w:rFonts w:cstheme="minorHAnsi"/>
          <w:szCs w:val="22"/>
          <w:lang w:val="en-GB"/>
        </w:rPr>
        <w:t xml:space="preserve"> </w:t>
      </w:r>
      <w:r w:rsidR="00DE7AEA" w:rsidRPr="00F45764">
        <w:rPr>
          <w:rFonts w:cstheme="minorHAnsi"/>
          <w:szCs w:val="22"/>
          <w:lang w:val="en-GB"/>
        </w:rPr>
        <w:t xml:space="preserve">and </w:t>
      </w:r>
      <w:r w:rsidR="00DE7AEA" w:rsidRPr="00F45764">
        <w:rPr>
          <w:rFonts w:cstheme="minorHAnsi"/>
          <w:szCs w:val="22"/>
          <w:lang w:val="en-GB"/>
        </w:rPr>
        <w:fldChar w:fldCharType="begin"/>
      </w:r>
      <w:r w:rsidR="00F45764">
        <w:rPr>
          <w:rFonts w:cstheme="minorHAnsi"/>
          <w:szCs w:val="22"/>
          <w:lang w:val="en-GB"/>
        </w:rPr>
        <w:instrText xml:space="preserve"> ADDIN ZOTERO_ITEM CSL_CITATION {"citationID":"G7buLxM1","properties":{"formattedCitation":"(Sihvonen &amp; Partanen, 2017)","plainCitation":"(Sihvonen &amp; Partanen, 2017)","dontUpdate":true,"noteIndex":0},"citationItems":[{"id":6817,"uris":["http://zotero.org/users/5243184/items/JXSINGXG"],"uri":["http://zotero.org/users/5243184/items/JXSINGXG"],"itemData":{"id":6817,"type":"article-journal","abstract":"Circular economy ambitions demand considering lifecycle of products within product development. From the perspective of the circular economy, environmental considerations should, for example, increasingly entail product's use phase not only to increase product's energy-efficiency, but also to prolong the time in use. This paper investigates how these considerations are addressed within information and communications technology (ICT) sector. Drawing from previous research in constructing the hypotheses, it is examined how companies report about their quantitative environmental targets for products, and what topical areas are in focus for their environmentally conscious practices related to products' reuse. Then, relationships with these published quantitative targets and environmental performance are assessed. Content analysis method is used to derive data from 43 sustainability reports. Our results suggest that being mature enough to publish quantitative environmental targets for products is positively associated with lifecycle thinking, considering the durability of products, and remanufacture. This exploratory study reveals among others, that although published, quantitative environmental targets for products are not yet dominantly present; they are positively associated with environmental performance measures. This includes capability to report quantitatively on flows of reclaimed products, and positions in external ranking. But, we also highlight the need for more discussion around reuse alternatives that are not commonly published among companies in this sample. The paper concludes by discussing the applicability of this research method.","container-title":"Journal of Cleaner Production","DOI":"10.1016/j.jclepro.2016.12.047","ISSN":"0959-6526","journalAbbreviation":"Journal of Cleaner Production","language":"en","page":"769-783","source":"ScienceDirect","title":"Eco-design practices with a focus on quantitative environmental targets: An exploratory content analysis within ICT sector","title-short":"Eco-design practices with a focus on quantitative environmental targets","volume":"143","author":[{"family":"Sihvonen","given":"Siru"},{"family":"Partanen","given":"Jouni"}],"issued":{"date-parts":[["2017",2,1]]}}}],"schema":"https://github.com/citation-style-language/schema/raw/master/csl-citation.json"} </w:instrText>
      </w:r>
      <w:r w:rsidR="00DE7AEA" w:rsidRPr="00F45764">
        <w:rPr>
          <w:rFonts w:cstheme="minorHAnsi"/>
          <w:szCs w:val="22"/>
          <w:lang w:val="en-GB"/>
        </w:rPr>
        <w:fldChar w:fldCharType="separate"/>
      </w:r>
      <w:r w:rsidR="00DE7AEA" w:rsidRPr="00F45764">
        <w:rPr>
          <w:rFonts w:cstheme="minorHAnsi"/>
          <w:noProof/>
          <w:szCs w:val="22"/>
          <w:lang w:val="en-GB"/>
        </w:rPr>
        <w:t>Sihvonen &amp; Partanen (2017)</w:t>
      </w:r>
      <w:r w:rsidR="00DE7AEA" w:rsidRPr="00F45764">
        <w:rPr>
          <w:rFonts w:cstheme="minorHAnsi"/>
          <w:szCs w:val="22"/>
          <w:lang w:val="en-GB"/>
        </w:rPr>
        <w:fldChar w:fldCharType="end"/>
      </w:r>
      <w:r w:rsidR="00DE7AEA" w:rsidRPr="00F45764">
        <w:rPr>
          <w:rFonts w:cstheme="minorHAnsi"/>
          <w:szCs w:val="22"/>
          <w:lang w:val="en-GB"/>
        </w:rPr>
        <w:t xml:space="preserve"> used CA to </w:t>
      </w:r>
      <w:r w:rsidR="00B4289F" w:rsidRPr="00F45764">
        <w:rPr>
          <w:rFonts w:cstheme="minorHAnsi"/>
          <w:szCs w:val="22"/>
          <w:lang w:val="en-GB"/>
        </w:rPr>
        <w:t>develop the intellectual structure of sustainable manufacturing</w:t>
      </w:r>
      <w:r w:rsidR="00DE7AEA" w:rsidRPr="00F45764">
        <w:rPr>
          <w:rFonts w:cstheme="minorHAnsi"/>
          <w:szCs w:val="22"/>
          <w:lang w:val="en-GB"/>
        </w:rPr>
        <w:t xml:space="preserve"> and explored </w:t>
      </w:r>
      <w:r w:rsidR="001E06E8">
        <w:rPr>
          <w:rFonts w:cstheme="minorHAnsi"/>
          <w:szCs w:val="22"/>
          <w:lang w:val="en-GB"/>
        </w:rPr>
        <w:t>CE</w:t>
      </w:r>
      <w:r w:rsidR="00DE7AEA" w:rsidRPr="00F45764">
        <w:rPr>
          <w:rFonts w:cstheme="minorHAnsi"/>
          <w:szCs w:val="22"/>
          <w:lang w:val="en-GB"/>
        </w:rPr>
        <w:t xml:space="preserve"> and information and communication technology, respectively. </w:t>
      </w:r>
    </w:p>
    <w:p w14:paraId="3292848E" w14:textId="53BDA1DA" w:rsidR="00D44E6F" w:rsidRPr="00F45764" w:rsidRDefault="008A44E8" w:rsidP="008228A8">
      <w:pPr>
        <w:rPr>
          <w:rFonts w:cstheme="minorHAnsi"/>
          <w:szCs w:val="22"/>
          <w:lang w:val="en-GB"/>
        </w:rPr>
      </w:pPr>
      <w:r w:rsidRPr="00F45764">
        <w:rPr>
          <w:rFonts w:cstheme="minorHAnsi"/>
          <w:szCs w:val="22"/>
          <w:lang w:val="en-GB"/>
        </w:rPr>
        <w:t>Moreover</w:t>
      </w:r>
      <w:r w:rsidR="006923AB" w:rsidRPr="00F45764">
        <w:rPr>
          <w:rFonts w:cstheme="minorHAnsi"/>
          <w:szCs w:val="22"/>
          <w:lang w:val="en-GB"/>
        </w:rPr>
        <w:t>,</w:t>
      </w:r>
      <w:r w:rsidRPr="00F45764">
        <w:rPr>
          <w:rFonts w:cstheme="minorHAnsi"/>
          <w:szCs w:val="22"/>
          <w:lang w:val="en-GB"/>
        </w:rPr>
        <w:t xml:space="preserve"> as indicated by </w:t>
      </w:r>
      <w:r w:rsidR="006923AB" w:rsidRPr="00F45764">
        <w:rPr>
          <w:rFonts w:cstheme="minorHAnsi"/>
          <w:szCs w:val="22"/>
          <w:lang w:val="en-GB"/>
        </w:rPr>
        <w:fldChar w:fldCharType="begin"/>
      </w:r>
      <w:r w:rsidR="00F45764">
        <w:rPr>
          <w:rFonts w:cstheme="minorHAnsi"/>
          <w:szCs w:val="22"/>
          <w:lang w:val="en-GB"/>
        </w:rPr>
        <w:instrText xml:space="preserve"> ADDIN ZOTERO_ITEM CSL_CITATION {"citationID":"2iZhBN2U","properties":{"formattedCitation":"(Hsieh &amp; Shannon, 2005)","plainCitation":"(Hsieh &amp; Shannon, 2005)","dontUpdate":true,"noteIndex":0},"citationItems":[{"id":484,"uris":["http://zotero.org/users/5243184/items/NNA4B7S7"],"uri":["http://zotero.org/users/5243184/items/NNA4B7S7"],"itemData":{"id":484,"type":"article-journal","container-title":"Qualitative Health Research","DOI":"10.1177/1049732305276687","ISSN":"1049-7323, 1552-7557","issue":"9","language":"en","page":"1277-1288","source":"Crossref","title":"Three Approaches to Qualitative Content Analysis","volume":"15","author":[{"family":"Hsieh","given":"Hsiu-Fang"},{"family":"Shannon","given":"Sarah E."}],"issued":{"date-parts":[["2005",11]]}}}],"schema":"https://github.com/citation-style-language/schema/raw/master/csl-citation.json"} </w:instrText>
      </w:r>
      <w:r w:rsidR="006923AB" w:rsidRPr="00F45764">
        <w:rPr>
          <w:rFonts w:cstheme="minorHAnsi"/>
          <w:szCs w:val="22"/>
          <w:lang w:val="en-GB"/>
        </w:rPr>
        <w:fldChar w:fldCharType="separate"/>
      </w:r>
      <w:r w:rsidR="006923AB" w:rsidRPr="00F45764">
        <w:rPr>
          <w:rFonts w:cstheme="minorHAnsi"/>
          <w:noProof/>
          <w:szCs w:val="22"/>
          <w:lang w:val="en-GB"/>
        </w:rPr>
        <w:t>Hsieh &amp; Shannon (2005)</w:t>
      </w:r>
      <w:r w:rsidR="006923AB" w:rsidRPr="00F45764">
        <w:rPr>
          <w:rFonts w:cstheme="minorHAnsi"/>
          <w:szCs w:val="22"/>
          <w:lang w:val="en-GB"/>
        </w:rPr>
        <w:fldChar w:fldCharType="end"/>
      </w:r>
      <w:r w:rsidR="006923AB" w:rsidRPr="00F45764">
        <w:rPr>
          <w:rFonts w:cstheme="minorHAnsi"/>
          <w:szCs w:val="22"/>
          <w:lang w:val="en-GB"/>
        </w:rPr>
        <w:t xml:space="preserve">, </w:t>
      </w:r>
      <w:r w:rsidRPr="00F45764">
        <w:rPr>
          <w:rFonts w:cstheme="minorHAnsi"/>
          <w:szCs w:val="22"/>
          <w:lang w:val="en-GB"/>
        </w:rPr>
        <w:t>CA</w:t>
      </w:r>
      <w:r w:rsidR="006923AB" w:rsidRPr="00F45764">
        <w:rPr>
          <w:rFonts w:cstheme="minorHAnsi"/>
          <w:szCs w:val="22"/>
          <w:lang w:val="en-GB"/>
        </w:rPr>
        <w:t xml:space="preserve"> </w:t>
      </w:r>
      <w:r w:rsidRPr="00F45764">
        <w:rPr>
          <w:rFonts w:cstheme="minorHAnsi"/>
          <w:szCs w:val="22"/>
          <w:lang w:val="en-GB"/>
        </w:rPr>
        <w:t>could be</w:t>
      </w:r>
      <w:r w:rsidR="00C64827" w:rsidRPr="00F45764">
        <w:rPr>
          <w:rFonts w:cstheme="minorHAnsi"/>
          <w:szCs w:val="22"/>
          <w:lang w:val="en-GB"/>
        </w:rPr>
        <w:t xml:space="preserve"> conventional, direct and summative. Conventional CA means that coding categories are derived direc</w:t>
      </w:r>
      <w:r w:rsidRPr="00F45764">
        <w:rPr>
          <w:rFonts w:cstheme="minorHAnsi"/>
          <w:szCs w:val="22"/>
          <w:lang w:val="en-GB"/>
        </w:rPr>
        <w:t>tl</w:t>
      </w:r>
      <w:r w:rsidR="00C64827" w:rsidRPr="00F45764">
        <w:rPr>
          <w:rFonts w:cstheme="minorHAnsi"/>
          <w:szCs w:val="22"/>
          <w:lang w:val="en-GB"/>
        </w:rPr>
        <w:t xml:space="preserve">y from researchers from the text. In the direct approach, researchers use a theory or relevant findings as </w:t>
      </w:r>
      <w:r w:rsidRPr="00F45764">
        <w:rPr>
          <w:rFonts w:cstheme="minorHAnsi"/>
          <w:szCs w:val="22"/>
          <w:lang w:val="en-GB"/>
        </w:rPr>
        <w:t>a guide</w:t>
      </w:r>
      <w:r w:rsidR="00C64827" w:rsidRPr="00F45764">
        <w:rPr>
          <w:rFonts w:cstheme="minorHAnsi"/>
          <w:szCs w:val="22"/>
          <w:lang w:val="en-GB"/>
        </w:rPr>
        <w:t xml:space="preserve"> for initial coding activity. Finally, in the summative CA, </w:t>
      </w:r>
      <w:r w:rsidRPr="00F45764">
        <w:rPr>
          <w:rFonts w:cstheme="minorHAnsi"/>
          <w:szCs w:val="22"/>
          <w:lang w:val="en-GB"/>
        </w:rPr>
        <w:t>the keywords under investigation are counted and compared following the interpretation of the underlying context</w:t>
      </w:r>
      <w:r w:rsidR="00C64827" w:rsidRPr="00F45764">
        <w:rPr>
          <w:rFonts w:cstheme="minorHAnsi"/>
          <w:szCs w:val="22"/>
          <w:lang w:val="en-GB"/>
        </w:rPr>
        <w:t xml:space="preserve">. Thus, according to the relevant literature review on industry 4.0 and </w:t>
      </w:r>
      <w:r w:rsidR="00977C1E">
        <w:rPr>
          <w:rFonts w:cstheme="minorHAnsi"/>
          <w:szCs w:val="22"/>
          <w:lang w:val="en-GB"/>
        </w:rPr>
        <w:t>CE</w:t>
      </w:r>
      <w:r w:rsidR="00C64827" w:rsidRPr="00F45764">
        <w:rPr>
          <w:rFonts w:cstheme="minorHAnsi"/>
          <w:szCs w:val="22"/>
          <w:lang w:val="en-GB"/>
        </w:rPr>
        <w:t xml:space="preserve"> </w:t>
      </w:r>
      <w:r w:rsidR="00C64827" w:rsidRPr="00F45764">
        <w:rPr>
          <w:rFonts w:cstheme="minorHAnsi"/>
          <w:szCs w:val="22"/>
          <w:lang w:val="en-GB"/>
        </w:rPr>
        <w:fldChar w:fldCharType="begin"/>
      </w:r>
      <w:r w:rsidR="00F45764">
        <w:rPr>
          <w:rFonts w:cstheme="minorHAnsi"/>
          <w:szCs w:val="22"/>
          <w:lang w:val="en-GB"/>
        </w:rPr>
        <w:instrText xml:space="preserve"> ADDIN ZOTERO_ITEM CSL_CITATION {"citationID":"AnRQzzZL","properties":{"formattedCitation":"(Rosa et al., 2020)","plainCitation":"(Rosa et al., 2020)","noteIndex":0},"citationItems":[{"id":6811,"uris":["http://zotero.org/users/5243184/items/NL4MDXPD"],"uri":["http://zotero.org/users/5243184/items/NL4MDXPD"],"itemData":{"id":6811,"type":"article-journal","abstract":"Industry 4.0 (I4.0) and Circular Economy (CE) are undoubtedly two of the most debated topics of the last decades. Progressively, they gained the interest of policymakers, practitioners and scholars all over the world. Even if they have been usually described as two independent research fields, there are some examples presenting overlaps between these topics, represented by hybrid categories like Circular I4.0 and Digital CE. Starting from these two perspectives, an innovative framework both highlighting the links between I4.0 and CE and unveiling future research fields has been developed. Basing on one of the two perspectives, results show as it is possible to enhance a set of different relations. Depending on a dedicated area of either CE or I4.0 it is possible to see the prevalence of some I4.0 technology than others. However, the influence of I4.0 technologies on CE is always verified.","container-title":"International Journal of Production Research","DOI":"10.1080/00207543.2019.1680896","ISSN":"0020-7543","issue":"6","note":"publisher: Taylor &amp; Francis\n_eprint: https://doi.org/10.1080/00207543.2019.1680896","page":"1662-1687","source":"Taylor and Francis+NEJM","title":"Assessing relations between Circular Economy and Industry 4.0: a systematic literature review","title-short":"Assessing relations between Circular Economy and Industry 4.0","volume":"58","author":[{"family":"Rosa","given":"Paolo"},{"family":"Sassanelli","given":"Claudio"},{"family":"Urbinati","given":"Andrea"},{"family":"Chiaroni","given":"Davide"},{"family":"Terzi","given":"Sergio"}],"issued":{"date-parts":[["2020",3,18]]}}}],"schema":"https://github.com/citation-style-language/schema/raw/master/csl-citation.json"} </w:instrText>
      </w:r>
      <w:r w:rsidR="00C64827" w:rsidRPr="00F45764">
        <w:rPr>
          <w:rFonts w:cstheme="minorHAnsi"/>
          <w:szCs w:val="22"/>
          <w:lang w:val="en-GB"/>
        </w:rPr>
        <w:fldChar w:fldCharType="separate"/>
      </w:r>
      <w:r w:rsidR="00802E14">
        <w:rPr>
          <w:rFonts w:cstheme="minorHAnsi"/>
          <w:noProof/>
          <w:szCs w:val="22"/>
          <w:lang w:val="en-GB"/>
        </w:rPr>
        <w:t>(Rosa et al., 2020)</w:t>
      </w:r>
      <w:r w:rsidR="00C64827" w:rsidRPr="00F45764">
        <w:rPr>
          <w:rFonts w:cstheme="minorHAnsi"/>
          <w:szCs w:val="22"/>
          <w:lang w:val="en-GB"/>
        </w:rPr>
        <w:fldChar w:fldCharType="end"/>
      </w:r>
      <w:r w:rsidR="00C64827" w:rsidRPr="00F45764">
        <w:rPr>
          <w:rFonts w:cstheme="minorHAnsi"/>
          <w:szCs w:val="22"/>
          <w:lang w:val="en-GB"/>
        </w:rPr>
        <w:t xml:space="preserve">, our paper implements a direct CA investigation. </w:t>
      </w:r>
      <w:r w:rsidR="00DE7AEA" w:rsidRPr="00F45764">
        <w:rPr>
          <w:rFonts w:cstheme="minorHAnsi"/>
          <w:szCs w:val="22"/>
          <w:lang w:val="en-GB"/>
        </w:rPr>
        <w:t>Therefore, considering the previous elements, we believe that content and thematic analysis address the purpose of this paper.</w:t>
      </w:r>
    </w:p>
    <w:p w14:paraId="39F40624" w14:textId="77777777" w:rsidR="00E419D8" w:rsidRPr="008228A8" w:rsidRDefault="00E419D8" w:rsidP="008228A8">
      <w:pPr>
        <w:pStyle w:val="Titolo2"/>
        <w:rPr>
          <w:i w:val="0"/>
          <w:iCs w:val="0"/>
        </w:rPr>
      </w:pPr>
      <w:r w:rsidRPr="00F45764">
        <w:t xml:space="preserve">Data </w:t>
      </w:r>
      <w:r w:rsidR="00DE7AEA" w:rsidRPr="00F45764">
        <w:t>collection</w:t>
      </w:r>
      <w:r w:rsidRPr="00F45764">
        <w:t xml:space="preserve"> </w:t>
      </w:r>
    </w:p>
    <w:p w14:paraId="619C62A6" w14:textId="037485D5" w:rsidR="003F083A" w:rsidRPr="00F45764" w:rsidRDefault="00D44E6F" w:rsidP="008228A8">
      <w:pPr>
        <w:rPr>
          <w:rFonts w:cstheme="minorHAnsi"/>
          <w:szCs w:val="22"/>
          <w:lang w:val="en-GB"/>
        </w:rPr>
      </w:pPr>
      <w:r w:rsidRPr="00473378">
        <w:rPr>
          <w:rFonts w:cstheme="minorHAnsi"/>
          <w:szCs w:val="22"/>
          <w:lang w:val="en-GB"/>
        </w:rPr>
        <w:t>To</w:t>
      </w:r>
      <w:r w:rsidRPr="000818C9">
        <w:rPr>
          <w:rFonts w:cstheme="minorHAnsi"/>
          <w:szCs w:val="22"/>
          <w:lang w:val="en-GB"/>
        </w:rPr>
        <w:t xml:space="preserve"> answer the research question, our analysis is implemented using notable databases. Therefore, for the academic part, we use the database Scopus as one of the widely adopted from researchers due to the </w:t>
      </w:r>
      <w:r w:rsidR="00EA7C47" w:rsidRPr="000818C9">
        <w:rPr>
          <w:rFonts w:cstheme="minorHAnsi"/>
          <w:szCs w:val="22"/>
          <w:lang w:val="en-GB"/>
        </w:rPr>
        <w:t>broader</w:t>
      </w:r>
      <w:r w:rsidRPr="000818C9">
        <w:rPr>
          <w:rFonts w:cstheme="minorHAnsi"/>
          <w:szCs w:val="22"/>
          <w:lang w:val="en-GB"/>
        </w:rPr>
        <w:t xml:space="preserve"> range of keywords searching </w:t>
      </w:r>
      <w:r w:rsidRPr="00F45764">
        <w:rPr>
          <w:rFonts w:cstheme="minorHAnsi"/>
          <w:szCs w:val="22"/>
          <w:lang w:val="en-GB"/>
        </w:rPr>
        <w:fldChar w:fldCharType="begin"/>
      </w:r>
      <w:r w:rsidR="00F45764">
        <w:rPr>
          <w:rFonts w:cstheme="minorHAnsi"/>
          <w:szCs w:val="22"/>
          <w:lang w:val="en-GB"/>
        </w:rPr>
        <w:instrText xml:space="preserve"> ADDIN ZOTERO_ITEM CSL_CITATION {"citationID":"B0RvqvVw","properties":{"formattedCitation":"(Falagas et al., 2007; M. Massaro et al., 2016; Secinaro, Brescia, Calandra, &amp; Biancone, 2020)","plainCitation":"(Falagas et al., 2007; M. Massaro et al., 2016; Secinaro, Brescia, Calandra, &amp; Biancone, 2020)","noteIndex":0},"citationItems":[{"id":2249,"uris":["http://zotero.org/users/5243184/items/P22T853P"],"uri":["http://zotero.org/users/5243184/items/P22T853P"],"itemData":{"id":2249,"type":"article-journal","abstract":"The evolution of the electronic age has led to the development of numerous medical databases on the World Wide Web, offering search facilities on a particular subject and the ability to perform citation analysis. We compared the content coverage and practical utility of PubMed, Scopus, Web of Science, and Google Scholar. The official Web pages of the databases were used to extract information on the range of journals covered, search facilities and restrictions, and update frequency. We used the example of a keyword search to evaluate the usefulness of these databases in biomedical information retrieval and a specific published article to evaluate their utility in performing citation analysis. All databases were practical in use and offered numerous search facilities. PubMed and Google Scholar are accessed for free. The keyword search with PubMed offers optimal update frequency and includes online early articles; other databases can rate articles by number of citations, as an index of importance. For citation analysis, Scopus offers about 20% more coverage than Web of Science, whereas Google Scholar offers results of inconsistent accuracy. PubMed remains an optimal tool in biomedical electronic research. Scopus covers a wider journal range, of help both in keyword searching and citation analysis, but it is currently limited to recent articles (published after 1995) compared with Web of Science. Google Scholar, as for the Web in general, can help in the retrieval of even the most obscure information but its use is marred by inadequate, less often updated, citation information.—Falagas, M. E., Pitsouni, E I., Malietzis, G. A., and Pappas, G. Comparison of Pub Med, Scopus, Web of Science, and Google Scholar: strengths and weaknesses.","container-title":"The FASEB Journal","DOI":"10.1096/fj.07-9492LSF","ISSN":"0892-6638","issue":"2","journalAbbreviation":"The FASEB Journal","page":"338-342","source":"fasebj.org (Atypon)","title":"Comparison of PubMed, Scopus, Web of Science, and Google Scholar: strengths and weaknesses","title-short":"Comparison of PubMed, Scopus, Web of Science, and Google Scholar","volume":"22","author":[{"family":"Falagas","given":"Matthew E."},{"family":"Pitsouni","given":"Eleni I."},{"family":"Malietzis","given":"George A."},{"family":"Pappas","given":"Georgios"}],"issued":{"date-parts":[["2007",9,20]]}}},{"id":4551,"uris":["http://zotero.org/users/5243184/items/DK7VYYQU"],"uri":["http://zotero.org/users/5243184/items/DK7VYYQU"],"itemData":{"id":4551,"type":"article-journal","container-title":"Accounting Auditing &amp; Accountability Journal","DOI":"10.1108/AAAJ-01-2015-193","issue":"5","page":"767-801","title":"On the shoulders of giants: undertaking a structured literature review in accounting","volume":"29","author":[{"family":"Massaro","given":"M."},{"family":"Dumay","given":"J."},{"family":"Guthrie","given":"J."}],"issued":{"date-parts":[["2016"]]}}},{"id":6584,"uris":["http://zotero.org/users/5243184/items/ALVXT4LM"],"uri":["http://zotero.org/users/5243184/items/ALVXT4LM"],"itemData":{"id":6584,"type":"article-journal","abstract":"Business model architectures in the car industry are gaining increased attention from scientists and policymakers. Although scientific studies have been conducted to address the pressures faced by future business models to change, no research has examined th</w:instrText>
      </w:r>
      <w:r w:rsidR="00F45764" w:rsidRPr="00A15718">
        <w:rPr>
          <w:rFonts w:cstheme="minorHAnsi"/>
          <w:szCs w:val="22"/>
        </w:rPr>
        <w:instrText xml:space="preserve">e bibliometric variables in this area. This study aims to fill the gap by conducting a bibliometric analysis of 104 articles on business models for electric cars. The analysis showed that the literature on business models for electric cars is exhaustive, and it focuses on business model decisions for charging technologies, driver services, electricity management, commercial contracts, and plant. China, the United States of America, and Germany have conducted the maximum number of studies on the aforementioned theme. The topic dendrogram identified two evolving strands of discussions—innovative technologies and resource optimization and electricity management systems and product life cycle. These findings can guide the formulation of environmentally sustainable policies for electric car manufacturing and help car manufacturers to restructure their models.","container-title":"Journal of Cleaner Production","DOI":"10.1016/j.jclepro.2020.121503","ISSN":"0959-6526","journalAbbreviation":"Journal of Cleaner Production","language":"en","page":"121503","source":"ScienceDirect","title":"Employing bibliometric analysis to identify suitable business models for electric cars","volume":"264","author":[{"family":"Secinaro","given":"Silvana"},{"family":"Brescia","given":"Valerio"},{"family":"Calandra","given":"Davide"},{"family":"Biancone","given":"Paolo"}],"issued":{"date-parts":[["2020",8,10]]}}}],"schema":"https://github.com/citation-style-language/schema/raw/master/csl-citation.json"} </w:instrText>
      </w:r>
      <w:r w:rsidRPr="00F45764">
        <w:rPr>
          <w:rFonts w:cstheme="minorHAnsi"/>
          <w:szCs w:val="22"/>
          <w:lang w:val="en-GB"/>
        </w:rPr>
        <w:fldChar w:fldCharType="separate"/>
      </w:r>
      <w:r w:rsidR="00802E14">
        <w:rPr>
          <w:rFonts w:ascii="Calibri" w:hAnsi="Calibri" w:cs="Calibri"/>
        </w:rPr>
        <w:t>(Falagas et al., 2007; M. Massaro et al., 2016; Secinaro, Brescia, Calandra, &amp; Biancone, 2020)</w:t>
      </w:r>
      <w:r w:rsidRPr="00F45764">
        <w:rPr>
          <w:rFonts w:cstheme="minorHAnsi"/>
          <w:szCs w:val="22"/>
          <w:lang w:val="en-GB"/>
        </w:rPr>
        <w:fldChar w:fldCharType="end"/>
      </w:r>
      <w:r w:rsidRPr="00A15718">
        <w:rPr>
          <w:rFonts w:cstheme="minorHAnsi"/>
          <w:szCs w:val="22"/>
        </w:rPr>
        <w:t xml:space="preserve">. </w:t>
      </w:r>
      <w:r w:rsidRPr="004D46F6">
        <w:rPr>
          <w:rFonts w:cstheme="minorHAnsi"/>
          <w:szCs w:val="22"/>
          <w:lang w:val="en-GB"/>
        </w:rPr>
        <w:t xml:space="preserve">Specifically, </w:t>
      </w:r>
      <w:r w:rsidR="00784C0C" w:rsidRPr="004D46F6">
        <w:rPr>
          <w:rFonts w:cstheme="minorHAnsi"/>
          <w:szCs w:val="22"/>
          <w:lang w:val="en-GB"/>
        </w:rPr>
        <w:t>keywords</w:t>
      </w:r>
      <w:r w:rsidR="00106633">
        <w:rPr>
          <w:rFonts w:cstheme="minorHAnsi"/>
          <w:szCs w:val="22"/>
          <w:lang w:val="en-GB"/>
        </w:rPr>
        <w:t>'</w:t>
      </w:r>
      <w:r w:rsidR="00784C0C" w:rsidRPr="00F76BE8">
        <w:rPr>
          <w:rFonts w:cstheme="minorHAnsi"/>
          <w:szCs w:val="22"/>
          <w:lang w:val="en-GB"/>
        </w:rPr>
        <w:t xml:space="preserve"> </w:t>
      </w:r>
      <w:r w:rsidRPr="00F76BE8">
        <w:rPr>
          <w:rFonts w:cstheme="minorHAnsi"/>
          <w:szCs w:val="22"/>
          <w:lang w:val="en-GB"/>
        </w:rPr>
        <w:t xml:space="preserve">investigation was conducted using </w:t>
      </w:r>
      <w:r w:rsidRPr="00F45764">
        <w:rPr>
          <w:rFonts w:cstheme="minorHAnsi"/>
          <w:szCs w:val="22"/>
          <w:lang w:val="en-GB"/>
        </w:rPr>
        <w:fldChar w:fldCharType="begin"/>
      </w:r>
      <w:r w:rsidR="00F45764">
        <w:rPr>
          <w:rFonts w:cstheme="minorHAnsi"/>
          <w:szCs w:val="22"/>
          <w:lang w:val="en-GB"/>
        </w:rPr>
        <w:instrText xml:space="preserve"> ADDIN ZOTERO_ITEM CSL_CITATION {"citationID":"Pu5qWImq","properties":{"formattedCitation":"(Rosa et al., 2020)","plainCitation":"(Rosa et al., 2020)","dontUpdate":true,"noteIndex":0},"citationItems":[{"id":6811,"uris":["http://zotero.org/users/5243184/items/NL4MDXPD"],"uri":["http://zotero.org/users/5243184/items/NL4MDXPD"],"itemData":{"id":6811,"type":"article-journal","abstract":"Industry 4.0 (I4.0) and Circular Economy (CE) are undoubtedly two of the most debated topics of the last decades. Progressively, they gained the interest of policymakers, practitioners and scholars all over the world. Even if they have been usually described as two independent research fields, there are some examples presenting overlaps between these topics, represented by hybrid categories like Circular I4.0 and Digital CE. Starting from these two perspectives, an innovative framework both highlighting the links between I4.0 and CE and unveiling future research fields has been developed. Basing on one of the two perspectives, results show as it is possible to enhance a set of different relations. Depending on a dedicated area of either CE or I4.0 it is possible to see the prevalence of some I4.0 technology than others. However, the influence of I4.0 technologies on CE is always verified.","container-title":"International Journal of Production Research","DOI":"10.1080/00207543.2019.1680896","ISSN":"0020-7543","issue":"6","note":"publisher: Taylor &amp; Francis\n_eprint: https://doi.org/10.1080/00207543.2019.1680896","page":"1662-1687","source":"Taylor and Francis+NEJM","title":"Assessing relations between Circular Economy and Industry 4.0: a systematic literature review","title-short":"Assessing relations between Circular Economy and Industry 4.0","volume":"58","author":[{"family":"Rosa","given":"Paolo"},{"family":"Sassanelli","given":"Claudio"},{"family":"Urbinati","given":"Andrea"},{"family":"Chiaroni","given":"Davide"},{"family":"Terzi","given":"Sergio"}],"issued":{"date-parts":[["2020",3,18]]}}}],"schema":"https://github.com/citation-style-language/schema/raw/master/csl-citation.json"} </w:instrText>
      </w:r>
      <w:r w:rsidRPr="00F45764">
        <w:rPr>
          <w:rFonts w:cstheme="minorHAnsi"/>
          <w:szCs w:val="22"/>
          <w:lang w:val="en-GB"/>
        </w:rPr>
        <w:fldChar w:fldCharType="separate"/>
      </w:r>
      <w:r w:rsidRPr="00F45764">
        <w:rPr>
          <w:rFonts w:cstheme="minorHAnsi"/>
          <w:noProof/>
          <w:szCs w:val="22"/>
          <w:lang w:val="en-GB"/>
        </w:rPr>
        <w:t>Rosa et al. (2020)</w:t>
      </w:r>
      <w:r w:rsidRPr="00F45764">
        <w:rPr>
          <w:rFonts w:cstheme="minorHAnsi"/>
          <w:szCs w:val="22"/>
          <w:lang w:val="en-GB"/>
        </w:rPr>
        <w:fldChar w:fldCharType="end"/>
      </w:r>
      <w:r w:rsidRPr="00F45764">
        <w:rPr>
          <w:rFonts w:cstheme="minorHAnsi"/>
          <w:szCs w:val="22"/>
          <w:lang w:val="en-GB"/>
        </w:rPr>
        <w:t xml:space="preserve"> contribution</w:t>
      </w:r>
      <w:r w:rsidR="003F083A" w:rsidRPr="00F45764">
        <w:rPr>
          <w:rFonts w:cstheme="minorHAnsi"/>
          <w:szCs w:val="22"/>
          <w:lang w:val="en-GB"/>
        </w:rPr>
        <w:t xml:space="preserve">, and include the following research string: </w:t>
      </w:r>
      <w:r w:rsidR="00106633">
        <w:rPr>
          <w:rFonts w:cstheme="minorHAnsi"/>
          <w:szCs w:val="22"/>
          <w:lang w:val="en-GB"/>
        </w:rPr>
        <w:t>"</w:t>
      </w:r>
      <w:r w:rsidR="003F083A" w:rsidRPr="00E41C68">
        <w:rPr>
          <w:rFonts w:cstheme="minorHAnsi"/>
          <w:szCs w:val="22"/>
          <w:lang w:val="en-GB"/>
        </w:rPr>
        <w:t>circular economy</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AND </w:t>
      </w:r>
      <w:r w:rsidR="00106633">
        <w:rPr>
          <w:rFonts w:cstheme="minorHAnsi"/>
          <w:szCs w:val="22"/>
          <w:lang w:val="en-GB"/>
        </w:rPr>
        <w:t>"</w:t>
      </w:r>
      <w:r w:rsidR="003F083A" w:rsidRPr="00E41C68">
        <w:rPr>
          <w:rFonts w:cstheme="minorHAnsi"/>
          <w:szCs w:val="22"/>
          <w:lang w:val="en-GB"/>
        </w:rPr>
        <w:t>Industry 4.0</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Additive manufacturing</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Cloud manufact</w:t>
      </w:r>
      <w:r w:rsidR="003F083A" w:rsidRPr="00F45764">
        <w:rPr>
          <w:rFonts w:cstheme="minorHAnsi"/>
          <w:szCs w:val="22"/>
          <w:lang w:val="en-GB"/>
        </w:rPr>
        <w:t>uring</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Internet of Things</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IOT</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cyber-physical system</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Augmented reality</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3d</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Industrial revolution</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fourth industrial revolution</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Simulation</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Smart production</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Smart manufacturing</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Data mining</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Digital</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OR </w:t>
      </w:r>
      <w:r w:rsidR="00106633">
        <w:rPr>
          <w:rFonts w:cstheme="minorHAnsi"/>
          <w:szCs w:val="22"/>
          <w:lang w:val="en-GB"/>
        </w:rPr>
        <w:t>"</w:t>
      </w:r>
      <w:r w:rsidR="003F083A" w:rsidRPr="00E41C68">
        <w:rPr>
          <w:rFonts w:cstheme="minorHAnsi"/>
          <w:szCs w:val="22"/>
          <w:lang w:val="en-GB"/>
        </w:rPr>
        <w:t>Smart</w:t>
      </w:r>
      <w:r w:rsidR="00106633">
        <w:rPr>
          <w:rFonts w:cstheme="minorHAnsi"/>
          <w:szCs w:val="22"/>
          <w:lang w:val="en-GB"/>
        </w:rPr>
        <w:t>"</w:t>
      </w:r>
      <w:r w:rsidR="00784C0C" w:rsidRPr="00E41C68">
        <w:rPr>
          <w:rFonts w:cstheme="minorHAnsi"/>
          <w:szCs w:val="22"/>
          <w:lang w:val="en-GB"/>
        </w:rPr>
        <w:t xml:space="preserve">. </w:t>
      </w:r>
      <w:r w:rsidR="003F083A" w:rsidRPr="00F45764">
        <w:rPr>
          <w:rFonts w:cstheme="minorHAnsi"/>
          <w:szCs w:val="22"/>
          <w:lang w:val="en-GB"/>
        </w:rPr>
        <w:t xml:space="preserve">The academic analysis reveals 369 published papers. </w:t>
      </w:r>
    </w:p>
    <w:p w14:paraId="478176C3" w14:textId="11FA50EE" w:rsidR="00EA7C47" w:rsidRDefault="003F083A" w:rsidP="008228A8">
      <w:pPr>
        <w:rPr>
          <w:rFonts w:cstheme="minorHAnsi"/>
          <w:szCs w:val="22"/>
          <w:lang w:val="en-GB"/>
        </w:rPr>
      </w:pPr>
      <w:r w:rsidRPr="00F45764">
        <w:rPr>
          <w:rFonts w:cstheme="minorHAnsi"/>
          <w:szCs w:val="22"/>
          <w:lang w:val="en-GB"/>
        </w:rPr>
        <w:t xml:space="preserve">To collect practitioner </w:t>
      </w:r>
      <w:r w:rsidR="008603A1" w:rsidRPr="00F45764">
        <w:rPr>
          <w:rFonts w:cstheme="minorHAnsi"/>
          <w:szCs w:val="22"/>
          <w:lang w:val="en-GB"/>
        </w:rPr>
        <w:t>documents</w:t>
      </w:r>
      <w:r w:rsidRPr="00F45764">
        <w:rPr>
          <w:rFonts w:cstheme="minorHAnsi"/>
          <w:szCs w:val="22"/>
          <w:lang w:val="en-GB"/>
        </w:rPr>
        <w:t xml:space="preserve">, we used the database Nexis Uni considering news articles contain </w:t>
      </w:r>
      <w:r w:rsidR="00EA7C47" w:rsidRPr="00F45764">
        <w:rPr>
          <w:rFonts w:cstheme="minorHAnsi"/>
          <w:szCs w:val="22"/>
          <w:lang w:val="en-GB"/>
        </w:rPr>
        <w:t>public</w:t>
      </w:r>
      <w:r w:rsidRPr="00F45764">
        <w:rPr>
          <w:rFonts w:cstheme="minorHAnsi"/>
          <w:szCs w:val="22"/>
          <w:lang w:val="en-GB"/>
        </w:rPr>
        <w:t xml:space="preserve"> information about companies </w:t>
      </w:r>
      <w:r w:rsidRPr="00F45764">
        <w:rPr>
          <w:rFonts w:cstheme="minorHAnsi"/>
          <w:szCs w:val="22"/>
          <w:lang w:val="en-GB"/>
        </w:rPr>
        <w:fldChar w:fldCharType="begin"/>
      </w:r>
      <w:r w:rsidR="00F45764">
        <w:rPr>
          <w:rFonts w:cstheme="minorHAnsi"/>
          <w:szCs w:val="22"/>
          <w:lang w:val="en-GB"/>
        </w:rPr>
        <w:instrText xml:space="preserve"> ADDIN ZOTERO_ITEM CSL_CITATION {"citationID":"4d1Obyrd","properties":{"formattedCitation":"(Kim et al., 2015)","plainCitation":"(Kim et al., 2015)","noteIndex":0},"citationItems":[{"id":6820,"uris":["http://zotero.org/users/5243184/items/LA5H8N3N"],"uri":["http://zotero.org/users/5243184/items/LA5H8N3N"],"itemData":{"id":6820,"type":"article-journal","abstract":"Because of the accelerated life cycle in technology and correspondingly rapid technological saturation in markets, firms are not only accelerating the rate of technological innovation but also expanding the scope of their products or services by combining product or service features of other markets, which eventually leads to industry convergence. However, despite the significant impact of industry convergence on the economy, our understanding of the phenomenon is still limited because previous studies explored only a few cases and come largely from the technological perspective. Therefore, it is still questionable whether industry convergence is a general phenomenon that is prevalent across entire industries. In this paper, we analyze the phenomenon in entire U.S. industries, focusing on its trends and patterns. To do so, we conduct a co-occurrence-based analysis of text mining for a large volume of unstructured data – 2 million newspaper articles from 1989 to 2012 – and suggest using an industry convergence (IC) index based on normalized pointwise mutual information (PMI). We find that overall industry convergence is increasing over time. Moreover, the rate of the increase has been greater within industry than between industries at a given industry level. However, when we cluster the dynamic patterns of industry convergence among industry pairs, the patterns are mixed, and, while some industry groups are converging over time, others are stationary. These findings suggest that significant transformation is under way in the economy, but this phenomenon is not yet prevalent across entire industries. In addition, this study provides a method for anticipating the future direction of industry convergence.","collection-title":"The New Data Frontier","container-title":"Research Policy","DOI":"10.1016/j.respol.2015.02.001","ISSN":"0048-7333","issue":"9","journalAbbreviation":"Research Policy","language":"en","page":"1734-1748","source":"ScienceDirect","title":"Dynamic patterns of industry convergence: Evidence from a large amount of unstructured data","title-short":"Dynamic patterns of industry convergence","volume":"44","author":[{"family":"Kim","given":"Namil"},{"family":"Lee","given":"Hyeokseong"},{"family":"Kim","given":"Wonjoon"},{"family":"Lee","given":"Hyunjong"},{"family":"Suh","given":"Jong Hwan"}],"issued":{"date-parts":[["2015",11,1]]}}}],"schema":"https://github.com/citation-style-language/schema/raw/master/csl-citation.json"} </w:instrText>
      </w:r>
      <w:r w:rsidRPr="00F45764">
        <w:rPr>
          <w:rFonts w:cstheme="minorHAnsi"/>
          <w:szCs w:val="22"/>
          <w:lang w:val="en-GB"/>
        </w:rPr>
        <w:fldChar w:fldCharType="separate"/>
      </w:r>
      <w:r w:rsidR="00802E14">
        <w:rPr>
          <w:rFonts w:cstheme="minorHAnsi"/>
          <w:noProof/>
          <w:szCs w:val="22"/>
          <w:lang w:val="en-GB"/>
        </w:rPr>
        <w:t>(Kim et al., 2015)</w:t>
      </w:r>
      <w:r w:rsidRPr="00F45764">
        <w:rPr>
          <w:rFonts w:cstheme="minorHAnsi"/>
          <w:szCs w:val="22"/>
          <w:lang w:val="en-GB"/>
        </w:rPr>
        <w:fldChar w:fldCharType="end"/>
      </w:r>
      <w:r w:rsidRPr="00F45764">
        <w:rPr>
          <w:rFonts w:cstheme="minorHAnsi"/>
          <w:szCs w:val="22"/>
          <w:lang w:val="en-GB"/>
        </w:rPr>
        <w:t xml:space="preserve">. </w:t>
      </w:r>
      <w:r w:rsidR="008603A1" w:rsidRPr="00F45764">
        <w:rPr>
          <w:rFonts w:cstheme="minorHAnsi"/>
          <w:szCs w:val="22"/>
          <w:lang w:val="en-GB"/>
        </w:rPr>
        <w:t xml:space="preserve">This database allows to obtain news, business, and legal sources and has been used in similar studies </w:t>
      </w:r>
      <w:r w:rsidR="008603A1" w:rsidRPr="00F45764">
        <w:rPr>
          <w:rFonts w:cstheme="minorHAnsi"/>
          <w:szCs w:val="22"/>
          <w:lang w:val="en-GB"/>
        </w:rPr>
        <w:fldChar w:fldCharType="begin"/>
      </w:r>
      <w:r w:rsidR="00F45764">
        <w:rPr>
          <w:rFonts w:cstheme="minorHAnsi"/>
          <w:szCs w:val="22"/>
          <w:lang w:val="en-GB"/>
        </w:rPr>
        <w:instrText xml:space="preserve"> ADDIN ZOTERO_ITEM CSL_CITATION {"citationID":"wqb3SDyq","properties":{"formattedCitation":"(Brehmer et al., 2018; Cook et al., 2018)","plainCitation":"(Brehmer et al., 2018; Cook et al., 2018)","noteIndex":0},"citationItems":[{"id":6822,"uris":["http://zotero.org/users/5243184/items/U8ASXAJ2"],"uri":["http://zotero.org/users/5243184/items/U8ASXAJ2"],"itemData":{"id":6822,"type":"article-journal","abstract":"Sustainable innovation requires collaboration across organizational boundaries, hence in this research, we take a boundary-spanning perspective on the business model. This perspective focuses on how value is created and captured across organizational boundaries, by investigating the value transfers between the focal organization and the external network of business model actors. We analyze the business models of 64 innovative sustainable organizations from The Netherlands in terms of how environmental and social sustainability is manifested in the content, structure, and governance of their business models. We find that environmental sustainability is mainly represented in value creation content, whereas social sustainability is achieved by serving underprivileged user groups and mainly is reflected in value capture content. We observe that social sustainability in both for-profit and non-profit organizations is often achieved by having an imbalance in value exchanges that is compensated elsewhere in the business model. In terms of business model structure we show that sustainable organizations use the same underlying business model structures as can be found in conventional firms. All in all, we demonstrate that analyzing the environmental and social sustainability of organizations using the boundary-spanning perspective on business models provides complementary insights to the traditional component-based view of the business model.","container-title":"Journal of Cleaner Production","DOI":"10.1016/j.jclepro.2017.11.083","ISSN":"0959-6526","journalAbbreviation":"Journal of Cleaner Production","language":"en","page":"4514-4531","source":"ScienceDirect","title":"Sustainable business models as boundary-spanning systems of value transfers","volume":"172","author":[{"family":"Brehmer","given":"Meike"},{"family":"Podoynitsyna","given":"Ksenia"},{"family":"Langerak","given":"Fred"}],"issued":{"date-parts":[["2018",1,20]]}}},{"id":6825,"uris":["http://zotero.org/users/5243184/items/LFBZEGHW"],"uri":["http://zotero.org/users/5243184/items/LFBZEGHW"],"itemData":{"id":6825,"type":"article-journal","abstract":"Purpose The purpose of this paper is to compare “how we see ourselves” vs “how others see us” when communicating corporate social responsibility (CSR) activities in US pharmaceutical companies. Design/methodology/approach Data were collected as follows: CSR reports from the companies themselves and Business Press reports from the Lexis-Nexis database. NVivo content analysis was used to compare CSR communication by companies and the Business Press. This analysis was comprised of almost 10 million words. Comparisons of Carroll’s framework, including the economic, legal, ethical, and philanthropic categories between CSR reports and the Business Press, were done. Additional analysis was done to discern individual, organizational, and societal patterns of communications. Return on assets was computed for companies that have formal CSR reports and those that do not. Findings The analysis of documents containing almost 10 million words allowed the following conclusions: companies communicate more about their economic and philanthropic activities, and the Business Press communicates more about their legal and ethical activities. The companies and the Business Press communicated similarly about individual CSR. The organization communicated more about organizational topics, and the Business Press communicated less about societal topics. Originality/value This paper makes both substantive and methodological contributions. Its substantive contribution allows an understanding of what pharmaceutical companies need to do to fully communicate their CSR activities. Its methodological contribution is in suggesting that content analysis be used in understanding communication patterns. A levels of analysis approach allowed the discernment of individual-oriented, organizational, and societal-oriented communication patterns.","container-title":"Journal of Communication Management","DOI":"10.1108/JCOM-02-2017-0020","ISSN":"1363-254X","issue":"2","note":"publisher: Emerald Publishing Limited","page":"197-211","source":"Emerald Insight","title":"An exploratory analysis of corporate social responsibility reporting in US pharmaceutical companies","volume":"22","author":[{"family":"Cook","given":"Lori"},{"family":"LaVan","given":"Helen"},{"family":"Zilic","given":"Ivana"}],"issued":{"date-parts":[["2018",1,1]]}}}],"schema":"https://github.com/citation-style-language/schema/raw/master/csl-citation.json"} </w:instrText>
      </w:r>
      <w:r w:rsidR="008603A1" w:rsidRPr="00F45764">
        <w:rPr>
          <w:rFonts w:cstheme="minorHAnsi"/>
          <w:szCs w:val="22"/>
          <w:lang w:val="en-GB"/>
        </w:rPr>
        <w:fldChar w:fldCharType="separate"/>
      </w:r>
      <w:r w:rsidR="00802E14">
        <w:rPr>
          <w:rFonts w:cstheme="minorHAnsi"/>
          <w:noProof/>
          <w:szCs w:val="22"/>
          <w:lang w:val="en-GB"/>
        </w:rPr>
        <w:t>(Brehmer et al., 2018; Cook et al., 2018)</w:t>
      </w:r>
      <w:r w:rsidR="008603A1" w:rsidRPr="00F45764">
        <w:rPr>
          <w:rFonts w:cstheme="minorHAnsi"/>
          <w:szCs w:val="22"/>
          <w:lang w:val="en-GB"/>
        </w:rPr>
        <w:fldChar w:fldCharType="end"/>
      </w:r>
      <w:r w:rsidR="008603A1" w:rsidRPr="00F45764">
        <w:rPr>
          <w:rFonts w:cstheme="minorHAnsi"/>
          <w:szCs w:val="22"/>
          <w:lang w:val="en-GB"/>
        </w:rPr>
        <w:t xml:space="preserve">. We collected data using the same word string used in the database Scopus. However, differently from the academic analysis, </w:t>
      </w:r>
      <w:r w:rsidR="00977C1E">
        <w:rPr>
          <w:rFonts w:cstheme="minorHAnsi"/>
          <w:szCs w:val="22"/>
          <w:lang w:val="en-GB"/>
        </w:rPr>
        <w:t>N</w:t>
      </w:r>
      <w:r w:rsidR="00977C1E" w:rsidRPr="00F45764">
        <w:rPr>
          <w:rFonts w:cstheme="minorHAnsi"/>
          <w:szCs w:val="22"/>
          <w:lang w:val="en-GB"/>
        </w:rPr>
        <w:t xml:space="preserve">exis </w:t>
      </w:r>
      <w:r w:rsidR="008603A1" w:rsidRPr="00F45764">
        <w:rPr>
          <w:rFonts w:cstheme="minorHAnsi"/>
          <w:szCs w:val="22"/>
          <w:lang w:val="en-GB"/>
        </w:rPr>
        <w:t>Uni does not provide abstracts and keywords</w:t>
      </w:r>
      <w:r w:rsidR="00E05EF8" w:rsidRPr="00F45764">
        <w:rPr>
          <w:rFonts w:cstheme="minorHAnsi"/>
          <w:szCs w:val="22"/>
          <w:lang w:val="en-GB"/>
        </w:rPr>
        <w:t xml:space="preserve">. Therefore, due to </w:t>
      </w:r>
      <w:r w:rsidR="00EA7C47" w:rsidRPr="00F45764">
        <w:rPr>
          <w:rFonts w:cstheme="minorHAnsi"/>
          <w:szCs w:val="22"/>
          <w:lang w:val="en-GB"/>
        </w:rPr>
        <w:t>a</w:t>
      </w:r>
      <w:r w:rsidR="00E05EF8" w:rsidRPr="00F45764">
        <w:rPr>
          <w:rFonts w:cstheme="minorHAnsi"/>
          <w:szCs w:val="22"/>
          <w:lang w:val="en-GB"/>
        </w:rPr>
        <w:t xml:space="preserve"> large amount of data retrieved, we decided to perimeter the investigation to the words were Industry 4.0 and Circular Economy were within five </w:t>
      </w:r>
      <w:r w:rsidR="00EA7C47" w:rsidRPr="00F45764">
        <w:rPr>
          <w:rFonts w:cstheme="minorHAnsi"/>
          <w:szCs w:val="22"/>
          <w:lang w:val="en-GB"/>
        </w:rPr>
        <w:t>terms</w:t>
      </w:r>
      <w:r w:rsidR="00E05EF8" w:rsidRPr="00F45764">
        <w:rPr>
          <w:rFonts w:cstheme="minorHAnsi"/>
          <w:szCs w:val="22"/>
          <w:lang w:val="en-GB"/>
        </w:rPr>
        <w:t xml:space="preserve"> of distance to limit sources with controlled relevance to the study. This strategy gives us </w:t>
      </w:r>
      <w:r w:rsidR="002B2A03" w:rsidRPr="00F45764">
        <w:rPr>
          <w:rFonts w:cstheme="minorHAnsi"/>
          <w:szCs w:val="22"/>
          <w:lang w:val="en-GB"/>
        </w:rPr>
        <w:t>955</w:t>
      </w:r>
      <w:r w:rsidR="00E05EF8" w:rsidRPr="00F45764">
        <w:rPr>
          <w:rFonts w:cstheme="minorHAnsi"/>
          <w:szCs w:val="22"/>
          <w:lang w:val="en-GB"/>
        </w:rPr>
        <w:t xml:space="preserve"> results.</w:t>
      </w:r>
      <w:r w:rsidR="00EA7C47" w:rsidRPr="00F45764">
        <w:rPr>
          <w:rFonts w:cstheme="minorHAnsi"/>
          <w:szCs w:val="22"/>
          <w:lang w:val="en-GB"/>
        </w:rPr>
        <w:t xml:space="preserve"> Table </w:t>
      </w:r>
      <w:r w:rsidR="00D37D72">
        <w:rPr>
          <w:rFonts w:cstheme="minorHAnsi"/>
          <w:szCs w:val="22"/>
          <w:lang w:val="en-GB"/>
        </w:rPr>
        <w:t>I</w:t>
      </w:r>
      <w:r w:rsidR="00D37D72" w:rsidRPr="00473378">
        <w:rPr>
          <w:rFonts w:cstheme="minorHAnsi"/>
          <w:szCs w:val="22"/>
          <w:lang w:val="en-GB"/>
        </w:rPr>
        <w:t xml:space="preserve"> </w:t>
      </w:r>
      <w:r w:rsidR="003A771F" w:rsidRPr="000818C9">
        <w:rPr>
          <w:rFonts w:cstheme="minorHAnsi"/>
          <w:szCs w:val="22"/>
          <w:lang w:val="en-GB"/>
        </w:rPr>
        <w:t>summarises</w:t>
      </w:r>
      <w:r w:rsidR="00EA7C47" w:rsidRPr="000818C9">
        <w:rPr>
          <w:rFonts w:cstheme="minorHAnsi"/>
          <w:szCs w:val="22"/>
          <w:lang w:val="en-GB"/>
        </w:rPr>
        <w:t xml:space="preserve"> the number of scientific and </w:t>
      </w:r>
      <w:r w:rsidR="00784C0C" w:rsidRPr="000818C9">
        <w:rPr>
          <w:rFonts w:cstheme="minorHAnsi"/>
          <w:szCs w:val="22"/>
          <w:lang w:val="en-GB"/>
        </w:rPr>
        <w:t>practitioners</w:t>
      </w:r>
      <w:r w:rsidR="00106633">
        <w:rPr>
          <w:rFonts w:cstheme="minorHAnsi"/>
          <w:szCs w:val="22"/>
          <w:lang w:val="en-GB"/>
        </w:rPr>
        <w:t>'</w:t>
      </w:r>
      <w:r w:rsidR="00784C0C" w:rsidRPr="00E41C68">
        <w:rPr>
          <w:rFonts w:cstheme="minorHAnsi"/>
          <w:szCs w:val="22"/>
          <w:lang w:val="en-GB"/>
        </w:rPr>
        <w:t xml:space="preserve"> </w:t>
      </w:r>
      <w:r w:rsidR="00EA7C47" w:rsidRPr="00F45764">
        <w:rPr>
          <w:rFonts w:cstheme="minorHAnsi"/>
          <w:szCs w:val="22"/>
          <w:lang w:val="en-GB"/>
        </w:rPr>
        <w:t xml:space="preserve">documents extracted for our analysis. </w:t>
      </w:r>
    </w:p>
    <w:p w14:paraId="356EB387" w14:textId="72EA07B9" w:rsidR="001D4346" w:rsidRDefault="001D4346" w:rsidP="008228A8">
      <w:pPr>
        <w:rPr>
          <w:rFonts w:cstheme="minorHAnsi"/>
          <w:szCs w:val="22"/>
          <w:lang w:val="en-GB"/>
        </w:rPr>
      </w:pPr>
    </w:p>
    <w:p w14:paraId="17374191" w14:textId="076A7C3C" w:rsidR="001D4346" w:rsidRPr="001D4346" w:rsidRDefault="001D4346" w:rsidP="001D4346">
      <w:pPr>
        <w:jc w:val="center"/>
        <w:rPr>
          <w:rFonts w:cstheme="minorHAnsi"/>
          <w:i/>
          <w:iCs/>
          <w:szCs w:val="22"/>
          <w:lang w:val="en-GB"/>
        </w:rPr>
      </w:pPr>
      <w:r w:rsidRPr="001D4346">
        <w:rPr>
          <w:rFonts w:cstheme="minorHAnsi"/>
          <w:i/>
          <w:iCs/>
          <w:szCs w:val="22"/>
          <w:lang w:val="en-GB"/>
        </w:rPr>
        <w:t>Please place Table I about here</w:t>
      </w:r>
    </w:p>
    <w:p w14:paraId="16A0F058" w14:textId="77777777" w:rsidR="001D4346" w:rsidRPr="00F45764" w:rsidRDefault="001D4346" w:rsidP="008228A8">
      <w:pPr>
        <w:rPr>
          <w:rFonts w:cstheme="minorHAnsi"/>
          <w:szCs w:val="22"/>
          <w:lang w:val="en-GB"/>
        </w:rPr>
      </w:pPr>
    </w:p>
    <w:p w14:paraId="76B28B71" w14:textId="77777777" w:rsidR="00E05EF8" w:rsidRPr="008228A8" w:rsidRDefault="00E05EF8" w:rsidP="008228A8">
      <w:pPr>
        <w:pStyle w:val="Titolo2"/>
        <w:rPr>
          <w:i w:val="0"/>
          <w:iCs w:val="0"/>
        </w:rPr>
      </w:pPr>
      <w:r w:rsidRPr="000818C9">
        <w:t xml:space="preserve">Data analysis </w:t>
      </w:r>
    </w:p>
    <w:p w14:paraId="3A9C6124" w14:textId="75255502" w:rsidR="00007AE5" w:rsidRPr="00E41C68" w:rsidRDefault="00E05EF8" w:rsidP="008228A8">
      <w:pPr>
        <w:rPr>
          <w:rFonts w:cstheme="minorHAnsi"/>
          <w:szCs w:val="22"/>
          <w:lang w:val="en-GB"/>
        </w:rPr>
      </w:pPr>
      <w:r w:rsidRPr="00473378">
        <w:rPr>
          <w:rFonts w:cstheme="minorHAnsi"/>
          <w:szCs w:val="22"/>
          <w:lang w:val="en-GB"/>
        </w:rPr>
        <w:t>To implement the analysis, we used the Leximancer software. It performs an automatic content analysi</w:t>
      </w:r>
      <w:r w:rsidRPr="000818C9">
        <w:rPr>
          <w:rFonts w:cstheme="minorHAnsi"/>
          <w:szCs w:val="22"/>
          <w:lang w:val="en-GB"/>
        </w:rPr>
        <w:t xml:space="preserve">s searching and extracting thesaurus-based concepts from the text data </w:t>
      </w:r>
      <w:r w:rsidRPr="00F45764">
        <w:rPr>
          <w:rFonts w:cstheme="minorHAnsi"/>
          <w:szCs w:val="22"/>
          <w:lang w:val="en-GB"/>
        </w:rPr>
        <w:fldChar w:fldCharType="begin"/>
      </w:r>
      <w:r w:rsidR="00F45764">
        <w:rPr>
          <w:rFonts w:cstheme="minorHAnsi"/>
          <w:szCs w:val="22"/>
          <w:lang w:val="en-GB"/>
        </w:rPr>
        <w:instrText xml:space="preserve"> ADDIN ZOTERO_ITEM CSL_CITATION {"citationID":"iu7AgS7x","properties":{"formattedCitation":"(Smith &amp; Humphreys, 2006)","plainCitation":"(Smith &amp; Humphreys, 2006)","noteIndex":0},"citationItems":[{"id":6827,"uris":["http://zotero.org/users/5243184/items/KED78Y7W"],"uri":["http://zotero.org/users/5243184/items/KED78Y7W"],"itemData":{"id":6827,"type":"article-journal","abstract":"The Leximancer system is a relatively new method for transforming lexical co-occurrence information from natural language into semantic patterns in an unsupervised manner. It employs two stages of co-occurrence information extraction—semantic andrelational—using a different algorithm for each stage. The algorithms used are statistical, but they employ nonlinear dynamics and machine learning. This article is an attempt to validate the output of Leximancer, using a set of evaluation criteria taken from content analysis that are appropriate for knowledge discovery tasks.","container-title":"Behavior Research Methods","DOI":"10.3758/BF03192778","ISSN":"1554-3528","issue":"2","journalAbbreviation":"Behavior Research Methods","language":"en","page":"262-279","source":"Springer Link","title":"Evaluation of unsupervised semantic mapping of natural language with Leximancer concept mapping","volume":"38","author":[{"family":"Smith","given":"Andrew E."},{"family":"Humphreys","given":"Michael S."}],"issued":{"date-parts":[["2006",5,1]]}}}],"schema":"https://github.com/citation-style-language/schema/raw/master/csl-citation.json"} </w:instrText>
      </w:r>
      <w:r w:rsidRPr="00F45764">
        <w:rPr>
          <w:rFonts w:cstheme="minorHAnsi"/>
          <w:szCs w:val="22"/>
          <w:lang w:val="en-GB"/>
        </w:rPr>
        <w:fldChar w:fldCharType="separate"/>
      </w:r>
      <w:r w:rsidR="00802E14">
        <w:rPr>
          <w:rFonts w:cstheme="minorHAnsi"/>
          <w:noProof/>
          <w:szCs w:val="22"/>
          <w:lang w:val="en-GB"/>
        </w:rPr>
        <w:t>(Smith &amp; Humphreys, 2006)</w:t>
      </w:r>
      <w:r w:rsidRPr="00F45764">
        <w:rPr>
          <w:rFonts w:cstheme="minorHAnsi"/>
          <w:szCs w:val="22"/>
          <w:lang w:val="en-GB"/>
        </w:rPr>
        <w:fldChar w:fldCharType="end"/>
      </w:r>
      <w:r w:rsidRPr="00F45764">
        <w:rPr>
          <w:rFonts w:cstheme="minorHAnsi"/>
          <w:szCs w:val="22"/>
          <w:lang w:val="en-GB"/>
        </w:rPr>
        <w:t xml:space="preserve">. Thus, as stated by the previous author, the software is a </w:t>
      </w:r>
      <w:r w:rsidR="00106633">
        <w:rPr>
          <w:rFonts w:cstheme="minorHAnsi"/>
          <w:szCs w:val="22"/>
          <w:lang w:val="en-GB"/>
        </w:rPr>
        <w:t>"</w:t>
      </w:r>
      <w:r w:rsidRPr="00E41C68">
        <w:rPr>
          <w:rFonts w:cstheme="minorHAnsi"/>
          <w:i/>
          <w:iCs/>
          <w:szCs w:val="22"/>
          <w:lang w:val="en-GB"/>
        </w:rPr>
        <w:t>method for transforming lexical co-occurrence information from natural language into semantic patterns in an unsupervised manner</w:t>
      </w:r>
      <w:r w:rsidR="00106633">
        <w:rPr>
          <w:rFonts w:cstheme="minorHAnsi"/>
          <w:szCs w:val="22"/>
          <w:lang w:val="en-GB"/>
        </w:rPr>
        <w:t>"</w:t>
      </w:r>
      <w:r w:rsidR="00784C0C" w:rsidRPr="00E41C68">
        <w:rPr>
          <w:rFonts w:cstheme="minorHAnsi"/>
          <w:szCs w:val="22"/>
          <w:lang w:val="en-GB"/>
        </w:rPr>
        <w:t xml:space="preserve">. </w:t>
      </w:r>
      <w:r w:rsidRPr="00E41C68">
        <w:rPr>
          <w:rFonts w:cstheme="minorHAnsi"/>
          <w:szCs w:val="22"/>
          <w:lang w:val="en-GB"/>
        </w:rPr>
        <w:t xml:space="preserve">Additionally, </w:t>
      </w:r>
      <w:r w:rsidR="00106633">
        <w:rPr>
          <w:rFonts w:cstheme="minorHAnsi"/>
          <w:szCs w:val="22"/>
          <w:lang w:val="en-GB"/>
        </w:rPr>
        <w:t>"</w:t>
      </w:r>
      <w:r w:rsidRPr="00E41C68">
        <w:rPr>
          <w:rFonts w:cstheme="minorHAnsi"/>
          <w:i/>
          <w:iCs/>
          <w:szCs w:val="22"/>
          <w:lang w:val="en-GB"/>
        </w:rPr>
        <w:t>it employs two stages of co-occurrence information extraction – semantic and relational – using a different algorithm for each stage</w:t>
      </w:r>
      <w:r w:rsidR="00106633">
        <w:rPr>
          <w:rStyle w:val="Rimandocommento"/>
          <w:rFonts w:eastAsiaTheme="minorHAnsi" w:cstheme="minorBidi"/>
          <w:lang w:val="en-GB" w:eastAsia="en-US"/>
        </w:rPr>
        <w:t>"</w:t>
      </w:r>
      <w:r w:rsidR="00784C0C">
        <w:rPr>
          <w:rFonts w:cstheme="minorHAnsi"/>
          <w:szCs w:val="22"/>
          <w:lang w:val="en-GB"/>
        </w:rPr>
        <w:t xml:space="preserve"> </w:t>
      </w:r>
      <w:r w:rsidR="008228A8">
        <w:rPr>
          <w:rFonts w:cstheme="minorHAnsi"/>
          <w:szCs w:val="22"/>
          <w:lang w:val="en-GB"/>
        </w:rPr>
        <w:fldChar w:fldCharType="begin"/>
      </w:r>
      <w:r w:rsidR="008228A8">
        <w:rPr>
          <w:rFonts w:cstheme="minorHAnsi"/>
          <w:szCs w:val="22"/>
          <w:lang w:val="en-GB"/>
        </w:rPr>
        <w:instrText xml:space="preserve"> ADDIN ZOTERO_ITEM CSL_CITATION {"citationID":"L7fgnJXm","properties":{"formattedCitation":"(Smith &amp; Humphreys, 2006)","plainCitation":"(Smith &amp; Humphreys, 2006)","noteIndex":0},"citationItems":[{"id":6827,"uris":["http://zotero.org/users/5243184/items/KED78Y7W"],"uri":["http://zotero.org/users/5243184/items/KED78Y7W"],"itemData":{"id":6827,"type":"article-journal","abstract":"The Leximancer system is a relatively new method for transforming lexical co-occurrence information from natural language into semantic patterns in an unsupervised manner. It employs two stages of co-occurrence information extraction—semantic andrelational—using a different algorithm for each stage. The algorithms used are statistical, but they employ nonlinear dynamics and machine learning. This article is an attempt to validate the output of Leximancer, using a set of evaluation criteria taken from content analysis that are appropriate for knowledge discovery tasks.","container-title":"Behavior Research Methods","DOI":"10.3758/BF03192778","ISSN":"1554-3528","issue":"2","journalAbbreviation":"Behavior Research Methods","language":"en","page":"262-279","source":"Springer Link","title":"Evaluation of unsupervised semantic mapping of natural language with Leximancer concept mapping","volume":"38","author":[{"family":"Smith","given":"Andrew E."},{"family":"Humphreys","given":"Michael S."}],"issued":{"date-parts":[["2006",5,1]]}}}],"schema":"https://github.com/citation-style-language/schema/raw/master/csl-citation.json"} </w:instrText>
      </w:r>
      <w:r w:rsidR="008228A8">
        <w:rPr>
          <w:rFonts w:cstheme="minorHAnsi"/>
          <w:szCs w:val="22"/>
          <w:lang w:val="en-GB"/>
        </w:rPr>
        <w:fldChar w:fldCharType="separate"/>
      </w:r>
      <w:r w:rsidR="00802E14">
        <w:rPr>
          <w:rFonts w:cstheme="minorHAnsi"/>
          <w:noProof/>
          <w:szCs w:val="22"/>
          <w:lang w:val="en-GB"/>
        </w:rPr>
        <w:t>(Smith &amp; Humphreys, 2006)</w:t>
      </w:r>
      <w:r w:rsidR="008228A8">
        <w:rPr>
          <w:rFonts w:cstheme="minorHAnsi"/>
          <w:szCs w:val="22"/>
          <w:lang w:val="en-GB"/>
        </w:rPr>
        <w:fldChar w:fldCharType="end"/>
      </w:r>
      <w:r w:rsidR="008228A8">
        <w:rPr>
          <w:rFonts w:cstheme="minorHAnsi"/>
          <w:noProof/>
          <w:szCs w:val="22"/>
          <w:lang w:val="en-GB"/>
        </w:rPr>
        <w:t xml:space="preserve">. </w:t>
      </w:r>
      <w:r w:rsidRPr="00F45764">
        <w:rPr>
          <w:rFonts w:cstheme="minorHAnsi"/>
          <w:szCs w:val="22"/>
          <w:lang w:val="en-GB"/>
        </w:rPr>
        <w:t xml:space="preserve">Therefore, using Leximancer, we </w:t>
      </w:r>
      <w:r w:rsidR="00EA7C47" w:rsidRPr="00F45764">
        <w:rPr>
          <w:rFonts w:cstheme="minorHAnsi"/>
          <w:szCs w:val="22"/>
          <w:lang w:val="en-GB"/>
        </w:rPr>
        <w:t xml:space="preserve">obtained relationships among concepts (e.g. Industry 4.0 and Circular Economy). Using its technical characteristic, we can open and read each document extracted and code the content using an Invivo approach </w:t>
      </w:r>
      <w:r w:rsidR="00EA7C47" w:rsidRPr="00F45764">
        <w:rPr>
          <w:rFonts w:cstheme="minorHAnsi"/>
          <w:szCs w:val="22"/>
          <w:lang w:val="en-GB"/>
        </w:rPr>
        <w:fldChar w:fldCharType="begin"/>
      </w:r>
      <w:r w:rsidR="00F45764">
        <w:rPr>
          <w:rFonts w:cstheme="minorHAnsi"/>
          <w:szCs w:val="22"/>
          <w:lang w:val="en-GB"/>
        </w:rPr>
        <w:instrText xml:space="preserve"> ADDIN ZOTERO_ITEM CSL_CITATION {"citationID":"yLEgYkza","properties":{"formattedCitation":"(Miles et al., 2013)","plainCitation":"(Miles et al., 2013)","noteIndex":0},"citationItems":[{"id":6829,"uris":["http://zotero.org/users/5243184/items/8YZ9ZG5E"],"uri":["http://zotero.org/users/5243184/items/8YZ9ZG5E"],"itemData":{"id":6829,"type":"book","abstract":"The Third Edition of Miles &amp; Huberman's classic research methods text is updated and streamlined by Johnny Saldaña, author of The Coding Manual for Qualitative Researchers. Several of the data display strategies from previous editions are now presented in re-envisioned and reorganized formats to enhance reader accessibility and comprehension. The Third Edition’s presentation of the fundamentals of research design and data management is followed by five distinct methods of analysis: exploring, describing, ordering, explaining, and predicting. Miles and Huberman's original research studies are profiled and accompanied with new examples from Saldaña's recent qualitative work. The book's most celebrated chapter, \"Drawing and Verifying Conclusions,\" is retained and revised, and the chapter on report writing has been greatly expanded, and is now called “Writing About Qualitative Research.” Comprehensive and authoritative, Qualitative Data Analysis has been elegantly revised for a new generation of qualitative researchers.","edition":"3 edizione","event-place":"Thousand Oaks, Califorinia","ISBN":"978-1-4522-5787-7","language":"Inglese","number-of-pages":"381","publisher":"Sage Pubns","publisher-place":"Thousand Oaks, Califorinia","source":"Amazon","title":"Qualitative Data Analysis: A Methods Sourcebook","title-short":"Qualitative Data Analysis","author":[{"family":"Miles","given":"Matthew B."},{"family":"Huberman","given":"A. M."},{"family":"Saldana","given":"Johnny"}],"issued":{"date-parts":[["2013",6,11]]}}}],"schema":"https://github.com/citation-style-language/schema/raw/master/csl-citation.json"} </w:instrText>
      </w:r>
      <w:r w:rsidR="00EA7C47" w:rsidRPr="00F45764">
        <w:rPr>
          <w:rFonts w:cstheme="minorHAnsi"/>
          <w:szCs w:val="22"/>
          <w:lang w:val="en-GB"/>
        </w:rPr>
        <w:fldChar w:fldCharType="separate"/>
      </w:r>
      <w:r w:rsidR="00802E14">
        <w:rPr>
          <w:rFonts w:cstheme="minorHAnsi"/>
          <w:noProof/>
          <w:szCs w:val="22"/>
          <w:lang w:val="en-GB"/>
        </w:rPr>
        <w:t>(Miles et al., 2013)</w:t>
      </w:r>
      <w:r w:rsidR="00EA7C47" w:rsidRPr="00F45764">
        <w:rPr>
          <w:rFonts w:cstheme="minorHAnsi"/>
          <w:szCs w:val="22"/>
          <w:lang w:val="en-GB"/>
        </w:rPr>
        <w:fldChar w:fldCharType="end"/>
      </w:r>
      <w:r w:rsidR="00EA7C47" w:rsidRPr="00F45764">
        <w:rPr>
          <w:rFonts w:cstheme="minorHAnsi"/>
          <w:szCs w:val="22"/>
          <w:lang w:val="en-GB"/>
        </w:rPr>
        <w:t xml:space="preserve">. Using this two-step process, we were able to compare results coming from academic and </w:t>
      </w:r>
      <w:r w:rsidR="00784C0C" w:rsidRPr="00F45764">
        <w:rPr>
          <w:rFonts w:cstheme="minorHAnsi"/>
          <w:szCs w:val="22"/>
          <w:lang w:val="en-GB"/>
        </w:rPr>
        <w:t>practitioners</w:t>
      </w:r>
      <w:r w:rsidR="00106633">
        <w:rPr>
          <w:rFonts w:cstheme="minorHAnsi"/>
          <w:szCs w:val="22"/>
          <w:lang w:val="en-GB"/>
        </w:rPr>
        <w:t>'</w:t>
      </w:r>
      <w:r w:rsidR="00784C0C" w:rsidRPr="00E41C68">
        <w:rPr>
          <w:rFonts w:cstheme="minorHAnsi"/>
          <w:szCs w:val="22"/>
          <w:lang w:val="en-GB"/>
        </w:rPr>
        <w:t xml:space="preserve"> </w:t>
      </w:r>
      <w:r w:rsidR="00EA7C47" w:rsidRPr="00E41C68">
        <w:rPr>
          <w:rFonts w:cstheme="minorHAnsi"/>
          <w:szCs w:val="22"/>
          <w:lang w:val="en-GB"/>
        </w:rPr>
        <w:t xml:space="preserve">sources. </w:t>
      </w:r>
    </w:p>
    <w:p w14:paraId="1C477BEB" w14:textId="77777777" w:rsidR="00007AE5" w:rsidRPr="00F45764" w:rsidRDefault="00007AE5" w:rsidP="004D46F6">
      <w:pPr>
        <w:rPr>
          <w:rFonts w:cstheme="minorHAnsi"/>
          <w:szCs w:val="22"/>
          <w:lang w:val="en-GB"/>
        </w:rPr>
      </w:pPr>
    </w:p>
    <w:p w14:paraId="7D69B80A" w14:textId="77777777" w:rsidR="00E419D8" w:rsidRPr="008228A8" w:rsidRDefault="00E419D8" w:rsidP="008228A8">
      <w:pPr>
        <w:pStyle w:val="Titolo1"/>
        <w:rPr>
          <w:lang w:val="en-GB"/>
        </w:rPr>
      </w:pPr>
      <w:r w:rsidRPr="008228A8">
        <w:rPr>
          <w:lang w:val="en-GB"/>
        </w:rPr>
        <w:lastRenderedPageBreak/>
        <w:t xml:space="preserve">Results </w:t>
      </w:r>
    </w:p>
    <w:p w14:paraId="5BC65762" w14:textId="0889158C" w:rsidR="003A1E48" w:rsidRPr="008228A8" w:rsidRDefault="003A1E48" w:rsidP="008228A8">
      <w:pPr>
        <w:pStyle w:val="Titolo2"/>
      </w:pPr>
      <w:r w:rsidRPr="008228A8">
        <w:t xml:space="preserve">Industry 4.0 and </w:t>
      </w:r>
      <w:r w:rsidR="005F6E1D">
        <w:t>C</w:t>
      </w:r>
      <w:r w:rsidRPr="008228A8">
        <w:t xml:space="preserve">ircular </w:t>
      </w:r>
      <w:r w:rsidR="00106633">
        <w:t>E</w:t>
      </w:r>
      <w:r w:rsidR="003A771F" w:rsidRPr="008228A8">
        <w:t>conomy</w:t>
      </w:r>
      <w:r w:rsidRPr="008228A8">
        <w:t xml:space="preserve"> in practitioner sources </w:t>
      </w:r>
    </w:p>
    <w:p w14:paraId="746EE66C" w14:textId="0E0C51F6" w:rsidR="00274CF6" w:rsidRPr="00F45764" w:rsidRDefault="00884C23">
      <w:pPr>
        <w:rPr>
          <w:rFonts w:cstheme="minorHAnsi"/>
          <w:szCs w:val="22"/>
          <w:lang w:val="en-GB"/>
        </w:rPr>
      </w:pPr>
      <w:r w:rsidRPr="000818C9">
        <w:rPr>
          <w:rFonts w:cstheme="minorHAnsi"/>
          <w:szCs w:val="22"/>
          <w:lang w:val="en-GB"/>
        </w:rPr>
        <w:t xml:space="preserve">This section aims to explain </w:t>
      </w:r>
      <w:r w:rsidR="00784C0C" w:rsidRPr="000818C9">
        <w:rPr>
          <w:rFonts w:cstheme="minorHAnsi"/>
          <w:szCs w:val="22"/>
          <w:lang w:val="en-GB"/>
        </w:rPr>
        <w:t>practitioners</w:t>
      </w:r>
      <w:r w:rsidR="00106633">
        <w:rPr>
          <w:rFonts w:cstheme="minorHAnsi"/>
          <w:szCs w:val="22"/>
          <w:lang w:val="en-GB"/>
        </w:rPr>
        <w:t>'</w:t>
      </w:r>
      <w:r w:rsidR="00784C0C" w:rsidRPr="000818C9">
        <w:rPr>
          <w:rFonts w:cstheme="minorHAnsi"/>
          <w:szCs w:val="22"/>
          <w:lang w:val="en-GB"/>
        </w:rPr>
        <w:t xml:space="preserve"> </w:t>
      </w:r>
      <w:r w:rsidRPr="000818C9">
        <w:rPr>
          <w:rFonts w:cstheme="minorHAnsi"/>
          <w:szCs w:val="22"/>
          <w:lang w:val="en-GB"/>
        </w:rPr>
        <w:t xml:space="preserve">themes investigating </w:t>
      </w:r>
      <w:r w:rsidR="00274CF6" w:rsidRPr="000818C9">
        <w:rPr>
          <w:rFonts w:cstheme="minorHAnsi"/>
          <w:szCs w:val="22"/>
          <w:lang w:val="en-GB"/>
        </w:rPr>
        <w:t>the essential</w:t>
      </w:r>
      <w:r w:rsidRPr="00E41C68">
        <w:rPr>
          <w:rFonts w:cstheme="minorHAnsi"/>
          <w:szCs w:val="22"/>
          <w:lang w:val="en-GB"/>
        </w:rPr>
        <w:t xml:space="preserve"> relationship with </w:t>
      </w:r>
      <w:r w:rsidR="00784C0C" w:rsidRPr="00F45764">
        <w:rPr>
          <w:rFonts w:cstheme="minorHAnsi"/>
          <w:szCs w:val="22"/>
          <w:lang w:val="en-GB"/>
        </w:rPr>
        <w:t>firms</w:t>
      </w:r>
      <w:r w:rsidR="00106633">
        <w:rPr>
          <w:rFonts w:cstheme="minorHAnsi"/>
          <w:szCs w:val="22"/>
          <w:lang w:val="en-GB"/>
        </w:rPr>
        <w:t>'</w:t>
      </w:r>
      <w:r w:rsidR="00784C0C" w:rsidRPr="00E41C68">
        <w:rPr>
          <w:rFonts w:cstheme="minorHAnsi"/>
          <w:szCs w:val="22"/>
          <w:lang w:val="en-GB"/>
        </w:rPr>
        <w:t xml:space="preserve"> </w:t>
      </w:r>
      <w:r w:rsidRPr="00E41C68">
        <w:rPr>
          <w:rFonts w:cstheme="minorHAnsi"/>
          <w:szCs w:val="22"/>
          <w:lang w:val="en-GB"/>
        </w:rPr>
        <w:t xml:space="preserve">cases and solutions. </w:t>
      </w:r>
      <w:r w:rsidR="00D37D72">
        <w:rPr>
          <w:rFonts w:cstheme="minorHAnsi"/>
          <w:szCs w:val="22"/>
          <w:lang w:val="en-GB"/>
        </w:rPr>
        <w:t xml:space="preserve">As previously </w:t>
      </w:r>
      <w:r w:rsidR="00977C1E">
        <w:rPr>
          <w:rFonts w:cstheme="minorHAnsi"/>
          <w:szCs w:val="22"/>
          <w:lang w:val="en-GB"/>
        </w:rPr>
        <w:t>describ</w:t>
      </w:r>
      <w:r w:rsidR="00D37D72">
        <w:rPr>
          <w:rFonts w:cstheme="minorHAnsi"/>
          <w:szCs w:val="22"/>
          <w:lang w:val="en-GB"/>
        </w:rPr>
        <w:t>ed</w:t>
      </w:r>
      <w:r w:rsidR="00977C1E">
        <w:rPr>
          <w:rFonts w:cstheme="minorHAnsi"/>
          <w:szCs w:val="22"/>
          <w:lang w:val="en-GB"/>
        </w:rPr>
        <w:t>,</w:t>
      </w:r>
      <w:r w:rsidR="00D37D72">
        <w:rPr>
          <w:rFonts w:cstheme="minorHAnsi"/>
          <w:szCs w:val="22"/>
          <w:lang w:val="en-GB"/>
        </w:rPr>
        <w:t xml:space="preserve"> using a co-occurrence approach</w:t>
      </w:r>
      <w:r w:rsidR="00977C1E">
        <w:rPr>
          <w:rFonts w:cstheme="minorHAnsi"/>
          <w:szCs w:val="22"/>
          <w:lang w:val="en-GB"/>
        </w:rPr>
        <w:t>,</w:t>
      </w:r>
      <w:r w:rsidR="00D37D72">
        <w:rPr>
          <w:rFonts w:cstheme="minorHAnsi"/>
          <w:szCs w:val="22"/>
          <w:lang w:val="en-GB"/>
        </w:rPr>
        <w:t xml:space="preserve"> we were able to identify key concepts discussed in practitioner sources and see how they related</w:t>
      </w:r>
      <w:r w:rsidR="005F6E1D">
        <w:rPr>
          <w:rFonts w:cstheme="minorHAnsi"/>
          <w:szCs w:val="22"/>
          <w:lang w:val="en-GB"/>
        </w:rPr>
        <w:t xml:space="preserve"> to</w:t>
      </w:r>
      <w:r w:rsidR="00D37D72">
        <w:rPr>
          <w:rFonts w:cstheme="minorHAnsi"/>
          <w:szCs w:val="22"/>
          <w:lang w:val="en-GB"/>
        </w:rPr>
        <w:t xml:space="preserve"> each other. </w:t>
      </w:r>
      <w:r w:rsidR="00274CF6" w:rsidRPr="00473378">
        <w:rPr>
          <w:rFonts w:cstheme="minorHAnsi"/>
          <w:szCs w:val="22"/>
          <w:lang w:val="en-GB"/>
        </w:rPr>
        <w:t>As shown in Figure 1</w:t>
      </w:r>
      <w:r w:rsidR="001C2572" w:rsidRPr="000818C9">
        <w:rPr>
          <w:rFonts w:cstheme="minorHAnsi"/>
          <w:szCs w:val="22"/>
          <w:lang w:val="en-GB"/>
        </w:rPr>
        <w:t xml:space="preserve">, </w:t>
      </w:r>
      <w:r w:rsidR="00274CF6" w:rsidRPr="000818C9">
        <w:rPr>
          <w:rFonts w:cstheme="minorHAnsi"/>
          <w:szCs w:val="22"/>
          <w:lang w:val="en-GB"/>
        </w:rPr>
        <w:t xml:space="preserve">the subject of the </w:t>
      </w:r>
      <w:r w:rsidR="00977C1E">
        <w:rPr>
          <w:rFonts w:cstheme="minorHAnsi"/>
          <w:szCs w:val="22"/>
          <w:lang w:val="en-GB"/>
        </w:rPr>
        <w:t>CE</w:t>
      </w:r>
      <w:r w:rsidR="00B65263">
        <w:rPr>
          <w:rFonts w:cstheme="minorHAnsi"/>
          <w:szCs w:val="22"/>
          <w:lang w:val="en-GB"/>
        </w:rPr>
        <w:t xml:space="preserve"> </w:t>
      </w:r>
      <w:r w:rsidR="00274CF6" w:rsidRPr="00E41C68">
        <w:rPr>
          <w:rFonts w:cstheme="minorHAnsi"/>
          <w:szCs w:val="22"/>
          <w:lang w:val="en-GB"/>
        </w:rPr>
        <w:t xml:space="preserve">is linked to many other concepts such as </w:t>
      </w:r>
      <w:r w:rsidR="00106633">
        <w:rPr>
          <w:rFonts w:cstheme="minorHAnsi"/>
          <w:szCs w:val="22"/>
          <w:lang w:val="en-GB"/>
        </w:rPr>
        <w:t>"</w:t>
      </w:r>
      <w:r w:rsidR="00274CF6" w:rsidRPr="00E41C68">
        <w:rPr>
          <w:rFonts w:cstheme="minorHAnsi"/>
          <w:szCs w:val="22"/>
          <w:lang w:val="en-GB"/>
        </w:rPr>
        <w:t>industry</w:t>
      </w:r>
      <w:r w:rsidR="00106633">
        <w:rPr>
          <w:rFonts w:cstheme="minorHAnsi"/>
          <w:szCs w:val="22"/>
          <w:lang w:val="en-GB"/>
        </w:rPr>
        <w:t>"</w:t>
      </w:r>
      <w:r w:rsidR="00784C0C" w:rsidRPr="00E41C68">
        <w:rPr>
          <w:rFonts w:cstheme="minorHAnsi"/>
          <w:szCs w:val="22"/>
          <w:lang w:val="en-GB"/>
        </w:rPr>
        <w:t xml:space="preserve">, </w:t>
      </w:r>
      <w:r w:rsidR="00106633">
        <w:rPr>
          <w:rFonts w:cstheme="minorHAnsi"/>
          <w:szCs w:val="22"/>
          <w:lang w:val="en-GB"/>
        </w:rPr>
        <w:t>"</w:t>
      </w:r>
      <w:r w:rsidR="00274CF6" w:rsidRPr="00E41C68">
        <w:rPr>
          <w:rFonts w:cstheme="minorHAnsi"/>
          <w:szCs w:val="22"/>
          <w:lang w:val="en-GB"/>
        </w:rPr>
        <w:t>products</w:t>
      </w:r>
      <w:r w:rsidR="00106633">
        <w:rPr>
          <w:rFonts w:cstheme="minorHAnsi"/>
          <w:szCs w:val="22"/>
          <w:lang w:val="en-GB"/>
        </w:rPr>
        <w:t>"</w:t>
      </w:r>
      <w:r w:rsidR="00274CF6" w:rsidRPr="00E41C68">
        <w:rPr>
          <w:rFonts w:cstheme="minorHAnsi"/>
          <w:szCs w:val="22"/>
          <w:lang w:val="en-GB"/>
        </w:rPr>
        <w:t xml:space="preserve">, </w:t>
      </w:r>
      <w:r w:rsidR="00106633">
        <w:rPr>
          <w:rFonts w:cstheme="minorHAnsi"/>
          <w:szCs w:val="22"/>
          <w:lang w:val="en-GB"/>
        </w:rPr>
        <w:t>"</w:t>
      </w:r>
      <w:r w:rsidR="00274CF6" w:rsidRPr="00F45764">
        <w:rPr>
          <w:rFonts w:cstheme="minorHAnsi"/>
          <w:szCs w:val="22"/>
          <w:lang w:val="en-GB"/>
        </w:rPr>
        <w:t>challenge</w:t>
      </w:r>
      <w:r w:rsidR="00106633">
        <w:rPr>
          <w:rFonts w:cstheme="minorHAnsi"/>
          <w:szCs w:val="22"/>
          <w:lang w:val="en-GB"/>
        </w:rPr>
        <w:t>"</w:t>
      </w:r>
      <w:r w:rsidR="00274CF6" w:rsidRPr="00F45764">
        <w:rPr>
          <w:rFonts w:cstheme="minorHAnsi"/>
          <w:szCs w:val="22"/>
          <w:lang w:val="en-GB"/>
        </w:rPr>
        <w:t xml:space="preserve">, </w:t>
      </w:r>
      <w:r w:rsidR="00106633">
        <w:rPr>
          <w:rFonts w:cstheme="minorHAnsi"/>
          <w:szCs w:val="22"/>
          <w:lang w:val="en-GB"/>
        </w:rPr>
        <w:t>"</w:t>
      </w:r>
      <w:r w:rsidR="00274CF6" w:rsidRPr="00F45764">
        <w:rPr>
          <w:rFonts w:cstheme="minorHAnsi"/>
          <w:szCs w:val="22"/>
          <w:lang w:val="en-GB"/>
        </w:rPr>
        <w:t>companies</w:t>
      </w:r>
      <w:r w:rsidR="00106633">
        <w:rPr>
          <w:rFonts w:cstheme="minorHAnsi"/>
          <w:szCs w:val="22"/>
          <w:lang w:val="en-GB"/>
        </w:rPr>
        <w:t>"</w:t>
      </w:r>
      <w:r w:rsidR="00274CF6" w:rsidRPr="00F45764">
        <w:rPr>
          <w:rFonts w:cstheme="minorHAnsi"/>
          <w:szCs w:val="22"/>
          <w:lang w:val="en-GB"/>
        </w:rPr>
        <w:t xml:space="preserve"> and </w:t>
      </w:r>
      <w:r w:rsidR="00106633">
        <w:rPr>
          <w:rFonts w:cstheme="minorHAnsi"/>
          <w:szCs w:val="22"/>
          <w:lang w:val="en-GB"/>
        </w:rPr>
        <w:t>"</w:t>
      </w:r>
      <w:r w:rsidR="00274CF6" w:rsidRPr="00F45764">
        <w:rPr>
          <w:rFonts w:cstheme="minorHAnsi"/>
          <w:szCs w:val="22"/>
          <w:lang w:val="en-GB"/>
        </w:rPr>
        <w:t>waste</w:t>
      </w:r>
      <w:r w:rsidR="00106633">
        <w:rPr>
          <w:rFonts w:cstheme="minorHAnsi"/>
          <w:szCs w:val="22"/>
          <w:lang w:val="en-GB"/>
        </w:rPr>
        <w:t>"</w:t>
      </w:r>
      <w:r w:rsidR="001C2572" w:rsidRPr="00F45764">
        <w:rPr>
          <w:rFonts w:cstheme="minorHAnsi"/>
          <w:szCs w:val="22"/>
          <w:lang w:val="en-GB"/>
        </w:rPr>
        <w:t xml:space="preserve">. </w:t>
      </w:r>
    </w:p>
    <w:p w14:paraId="5D8AAB74" w14:textId="065A51A4" w:rsidR="003A1E48" w:rsidRPr="00F45764" w:rsidRDefault="00274CF6">
      <w:pPr>
        <w:rPr>
          <w:rFonts w:cstheme="minorHAnsi"/>
          <w:szCs w:val="22"/>
          <w:lang w:val="en-GB"/>
        </w:rPr>
      </w:pPr>
      <w:r w:rsidRPr="00F45764">
        <w:rPr>
          <w:rFonts w:cstheme="minorHAnsi"/>
          <w:szCs w:val="22"/>
          <w:lang w:val="en-GB"/>
        </w:rPr>
        <w:t xml:space="preserve">Within the </w:t>
      </w:r>
      <w:r w:rsidR="00B65263">
        <w:rPr>
          <w:rFonts w:cstheme="minorHAnsi"/>
          <w:szCs w:val="22"/>
          <w:lang w:val="en-GB"/>
        </w:rPr>
        <w:t>first</w:t>
      </w:r>
      <w:r w:rsidRPr="00F45764">
        <w:rPr>
          <w:rFonts w:cstheme="minorHAnsi"/>
          <w:szCs w:val="22"/>
          <w:lang w:val="en-GB"/>
        </w:rPr>
        <w:t xml:space="preserve"> theme</w:t>
      </w:r>
      <w:r w:rsidRPr="00473378">
        <w:rPr>
          <w:rFonts w:cstheme="minorHAnsi"/>
          <w:szCs w:val="22"/>
          <w:lang w:val="en-GB"/>
        </w:rPr>
        <w:t xml:space="preserve">, an </w:t>
      </w:r>
      <w:r w:rsidR="00FF1FC2" w:rsidRPr="000818C9">
        <w:rPr>
          <w:rFonts w:cstheme="minorHAnsi"/>
          <w:szCs w:val="22"/>
          <w:lang w:val="en-GB"/>
        </w:rPr>
        <w:t>exploration</w:t>
      </w:r>
      <w:r w:rsidRPr="000818C9">
        <w:rPr>
          <w:rFonts w:cstheme="minorHAnsi"/>
          <w:szCs w:val="22"/>
          <w:lang w:val="en-GB"/>
        </w:rPr>
        <w:t xml:space="preserve"> for environmentally friendly industrial production solutions emerges</w:t>
      </w:r>
      <w:r w:rsidR="001C2572" w:rsidRPr="00E41C68">
        <w:rPr>
          <w:rFonts w:cstheme="minorHAnsi"/>
          <w:szCs w:val="22"/>
          <w:lang w:val="en-GB"/>
        </w:rPr>
        <w:t xml:space="preserve">. </w:t>
      </w:r>
      <w:r w:rsidRPr="00E41C68">
        <w:rPr>
          <w:rFonts w:cstheme="minorHAnsi"/>
          <w:szCs w:val="22"/>
          <w:lang w:val="en-GB"/>
        </w:rPr>
        <w:t xml:space="preserve">The issue is combined with interconnected devices (IoT) and smart solutions for business waste management. The </w:t>
      </w:r>
      <w:r w:rsidR="00106633">
        <w:rPr>
          <w:rFonts w:cstheme="minorHAnsi"/>
          <w:szCs w:val="22"/>
          <w:lang w:val="en-GB"/>
        </w:rPr>
        <w:t>"</w:t>
      </w:r>
      <w:r w:rsidRPr="00F45764">
        <w:rPr>
          <w:rFonts w:cstheme="minorHAnsi"/>
          <w:szCs w:val="22"/>
          <w:lang w:val="en-GB"/>
        </w:rPr>
        <w:t>products</w:t>
      </w:r>
      <w:r w:rsidR="00106633">
        <w:rPr>
          <w:rFonts w:cstheme="minorHAnsi"/>
          <w:szCs w:val="22"/>
          <w:lang w:val="en-GB"/>
        </w:rPr>
        <w:t>"</w:t>
      </w:r>
      <w:r w:rsidRPr="00F45764">
        <w:rPr>
          <w:rFonts w:cstheme="minorHAnsi"/>
          <w:szCs w:val="22"/>
          <w:lang w:val="en-GB"/>
        </w:rPr>
        <w:t xml:space="preserve"> are the third topic of discussion, with practitioners focusing on resource efficiency in different areas. The </w:t>
      </w:r>
      <w:r w:rsidR="00B65263">
        <w:rPr>
          <w:rFonts w:cstheme="minorHAnsi"/>
          <w:szCs w:val="22"/>
          <w:lang w:val="en-GB"/>
        </w:rPr>
        <w:t>third</w:t>
      </w:r>
      <w:r w:rsidRPr="00F45764">
        <w:rPr>
          <w:rFonts w:cstheme="minorHAnsi"/>
          <w:szCs w:val="22"/>
          <w:lang w:val="en-GB"/>
        </w:rPr>
        <w:t xml:space="preserve"> and </w:t>
      </w:r>
      <w:r w:rsidR="00B65263">
        <w:rPr>
          <w:rFonts w:cstheme="minorHAnsi"/>
          <w:szCs w:val="22"/>
          <w:lang w:val="en-GB"/>
        </w:rPr>
        <w:t>fourth</w:t>
      </w:r>
      <w:r w:rsidRPr="00F45764">
        <w:rPr>
          <w:rFonts w:cstheme="minorHAnsi"/>
          <w:szCs w:val="22"/>
          <w:lang w:val="en-GB"/>
        </w:rPr>
        <w:t xml:space="preserve"> themes are strongly connected. The </w:t>
      </w:r>
      <w:r w:rsidR="00106633">
        <w:rPr>
          <w:rFonts w:cstheme="minorHAnsi"/>
          <w:szCs w:val="22"/>
          <w:lang w:val="en-GB"/>
        </w:rPr>
        <w:t>"</w:t>
      </w:r>
      <w:r w:rsidRPr="00F45764">
        <w:rPr>
          <w:rFonts w:cstheme="minorHAnsi"/>
          <w:szCs w:val="22"/>
          <w:lang w:val="en-GB"/>
        </w:rPr>
        <w:t>challenge</w:t>
      </w:r>
      <w:r w:rsidR="00106633">
        <w:rPr>
          <w:rFonts w:cstheme="minorHAnsi"/>
          <w:szCs w:val="22"/>
          <w:lang w:val="en-GB"/>
        </w:rPr>
        <w:t>"</w:t>
      </w:r>
      <w:r w:rsidRPr="00F45764">
        <w:rPr>
          <w:rFonts w:cstheme="minorHAnsi"/>
          <w:szCs w:val="22"/>
          <w:lang w:val="en-GB"/>
        </w:rPr>
        <w:t xml:space="preserve"> to companies is linked to multiple external factors such as climate change and the need to reduce pollutant emissions. Faced with the apparent demand, companies are experimenting with new resource-efficient initiatives. Finally, </w:t>
      </w:r>
      <w:proofErr w:type="gramStart"/>
      <w:r w:rsidRPr="00F45764">
        <w:rPr>
          <w:rFonts w:cstheme="minorHAnsi"/>
          <w:szCs w:val="22"/>
          <w:lang w:val="en-GB"/>
        </w:rPr>
        <w:t>waste</w:t>
      </w:r>
      <w:proofErr w:type="gramEnd"/>
      <w:r w:rsidRPr="00F45764">
        <w:rPr>
          <w:rFonts w:cstheme="minorHAnsi"/>
          <w:szCs w:val="22"/>
          <w:lang w:val="en-GB"/>
        </w:rPr>
        <w:t xml:space="preserve"> and industrial waste management are considered key elements to increase circularity.</w:t>
      </w:r>
    </w:p>
    <w:p w14:paraId="2BE06279" w14:textId="0931702F" w:rsidR="00274CF6" w:rsidRDefault="00274CF6" w:rsidP="004D46F6">
      <w:pPr>
        <w:rPr>
          <w:rFonts w:cstheme="minorHAnsi"/>
          <w:szCs w:val="22"/>
          <w:lang w:val="en-GB"/>
        </w:rPr>
      </w:pPr>
    </w:p>
    <w:p w14:paraId="48A960EA" w14:textId="536E5666" w:rsidR="00A023FA" w:rsidRPr="00A023FA" w:rsidRDefault="00A023FA" w:rsidP="00A023FA">
      <w:pPr>
        <w:jc w:val="center"/>
        <w:rPr>
          <w:rFonts w:cstheme="minorHAnsi"/>
          <w:i/>
          <w:iCs/>
          <w:szCs w:val="22"/>
          <w:lang w:val="en-GB"/>
        </w:rPr>
      </w:pPr>
      <w:r w:rsidRPr="00A023FA">
        <w:rPr>
          <w:rFonts w:cstheme="minorHAnsi"/>
          <w:i/>
          <w:iCs/>
          <w:szCs w:val="22"/>
          <w:lang w:val="en-GB"/>
        </w:rPr>
        <w:t>Please place Figure 1 about here</w:t>
      </w:r>
    </w:p>
    <w:p w14:paraId="4F9E2A7B" w14:textId="77777777" w:rsidR="00A023FA" w:rsidRPr="00F45764" w:rsidRDefault="00A023FA" w:rsidP="004D46F6">
      <w:pPr>
        <w:rPr>
          <w:rFonts w:cstheme="minorHAnsi"/>
          <w:szCs w:val="22"/>
          <w:lang w:val="en-GB"/>
        </w:rPr>
      </w:pPr>
    </w:p>
    <w:p w14:paraId="186CA606" w14:textId="29EC1A42" w:rsidR="00E721D1" w:rsidRPr="008228A8" w:rsidRDefault="00274CF6" w:rsidP="008228A8">
      <w:pPr>
        <w:rPr>
          <w:rFonts w:cstheme="minorHAnsi"/>
          <w:szCs w:val="22"/>
          <w:lang w:val="en-GB"/>
        </w:rPr>
      </w:pPr>
      <w:r w:rsidRPr="008228A8">
        <w:rPr>
          <w:rFonts w:cstheme="minorHAnsi"/>
          <w:szCs w:val="22"/>
          <w:lang w:val="en-GB"/>
        </w:rPr>
        <w:t xml:space="preserve">The </w:t>
      </w:r>
      <w:r w:rsidR="001A34A9" w:rsidRPr="008228A8">
        <w:rPr>
          <w:rFonts w:cstheme="minorHAnsi"/>
          <w:szCs w:val="22"/>
          <w:lang w:val="en-GB"/>
        </w:rPr>
        <w:t>practitioners</w:t>
      </w:r>
      <w:r w:rsidR="00106633">
        <w:rPr>
          <w:rFonts w:cstheme="minorHAnsi"/>
          <w:szCs w:val="22"/>
          <w:lang w:val="en-GB"/>
        </w:rPr>
        <w:t>'</w:t>
      </w:r>
      <w:r w:rsidRPr="008228A8">
        <w:rPr>
          <w:rFonts w:cstheme="minorHAnsi"/>
          <w:szCs w:val="22"/>
          <w:lang w:val="en-GB"/>
        </w:rPr>
        <w:t xml:space="preserve"> attention to the issues of </w:t>
      </w:r>
      <w:r w:rsidR="005F6E1D">
        <w:rPr>
          <w:rFonts w:cstheme="minorHAnsi"/>
          <w:szCs w:val="22"/>
          <w:lang w:val="en-GB"/>
        </w:rPr>
        <w:t>CE</w:t>
      </w:r>
      <w:r w:rsidRPr="008228A8">
        <w:rPr>
          <w:rFonts w:cstheme="minorHAnsi"/>
          <w:szCs w:val="22"/>
          <w:lang w:val="en-GB"/>
        </w:rPr>
        <w:t xml:space="preserve"> shows how the concept of </w:t>
      </w:r>
      <w:r w:rsidR="00106633">
        <w:rPr>
          <w:rFonts w:cstheme="minorHAnsi"/>
          <w:szCs w:val="22"/>
          <w:lang w:val="en-GB"/>
        </w:rPr>
        <w:t>"</w:t>
      </w:r>
      <w:r w:rsidRPr="008228A8">
        <w:rPr>
          <w:rFonts w:cstheme="minorHAnsi"/>
          <w:szCs w:val="22"/>
          <w:lang w:val="en-GB"/>
        </w:rPr>
        <w:t>waste</w:t>
      </w:r>
      <w:r w:rsidR="00106633">
        <w:rPr>
          <w:rFonts w:cstheme="minorHAnsi"/>
          <w:szCs w:val="22"/>
          <w:lang w:val="en-GB"/>
        </w:rPr>
        <w:t>"</w:t>
      </w:r>
      <w:r w:rsidRPr="008228A8">
        <w:rPr>
          <w:rFonts w:cstheme="minorHAnsi"/>
          <w:szCs w:val="22"/>
          <w:lang w:val="en-GB"/>
        </w:rPr>
        <w:t xml:space="preserve"> </w:t>
      </w:r>
      <w:r w:rsidR="005F6E1D">
        <w:rPr>
          <w:rFonts w:cstheme="minorHAnsi"/>
          <w:szCs w:val="22"/>
          <w:lang w:val="en-GB"/>
        </w:rPr>
        <w:t>represents a</w:t>
      </w:r>
      <w:r w:rsidRPr="008228A8">
        <w:rPr>
          <w:rFonts w:cstheme="minorHAnsi"/>
          <w:szCs w:val="22"/>
          <w:lang w:val="en-GB"/>
        </w:rPr>
        <w:t xml:space="preserve"> disruptive element compared to the linear economy model. More precisely, the results show how the applications of industry 4.0, thanks to the use of innovative solutions, can enhance production waste</w:t>
      </w:r>
      <w:r w:rsidR="002F3287" w:rsidRPr="008228A8">
        <w:rPr>
          <w:rFonts w:cstheme="minorHAnsi"/>
          <w:szCs w:val="22"/>
          <w:lang w:val="en-GB"/>
        </w:rPr>
        <w:t xml:space="preserve"> reduction and reuse</w:t>
      </w:r>
      <w:r w:rsidR="00E721D1" w:rsidRPr="008228A8">
        <w:rPr>
          <w:rFonts w:cstheme="minorHAnsi"/>
          <w:szCs w:val="22"/>
          <w:lang w:val="en-GB"/>
        </w:rPr>
        <w:t xml:space="preserve">. </w:t>
      </w:r>
      <w:r w:rsidRPr="008228A8">
        <w:rPr>
          <w:rFonts w:cstheme="minorHAnsi"/>
          <w:szCs w:val="22"/>
          <w:lang w:val="en-GB"/>
        </w:rPr>
        <w:t>Indeed</w:t>
      </w:r>
      <w:r w:rsidR="0076527E" w:rsidRPr="008228A8">
        <w:rPr>
          <w:rFonts w:cstheme="minorHAnsi"/>
          <w:szCs w:val="22"/>
          <w:lang w:val="en-GB"/>
        </w:rPr>
        <w:t>, Frank Appel, CEO of Deutsche Post DHL</w:t>
      </w:r>
      <w:r w:rsidRPr="008228A8">
        <w:rPr>
          <w:rFonts w:cstheme="minorHAnsi"/>
          <w:szCs w:val="22"/>
          <w:lang w:val="en-GB"/>
        </w:rPr>
        <w:t>,</w:t>
      </w:r>
      <w:r w:rsidR="0076527E" w:rsidRPr="008228A8">
        <w:rPr>
          <w:rFonts w:cstheme="minorHAnsi"/>
          <w:szCs w:val="22"/>
          <w:lang w:val="en-GB"/>
        </w:rPr>
        <w:t xml:space="preserve"> </w:t>
      </w:r>
      <w:r w:rsidRPr="008228A8">
        <w:rPr>
          <w:rFonts w:cstheme="minorHAnsi"/>
          <w:szCs w:val="22"/>
          <w:lang w:val="en-GB"/>
        </w:rPr>
        <w:t>has written</w:t>
      </w:r>
      <w:r w:rsidR="0076527E" w:rsidRPr="008228A8">
        <w:rPr>
          <w:rFonts w:cstheme="minorHAnsi"/>
          <w:szCs w:val="22"/>
          <w:lang w:val="en-GB"/>
        </w:rPr>
        <w:t xml:space="preserve">: </w:t>
      </w:r>
      <w:r w:rsidR="00106633">
        <w:rPr>
          <w:rFonts w:cstheme="minorHAnsi"/>
          <w:szCs w:val="22"/>
          <w:lang w:val="en-GB"/>
        </w:rPr>
        <w:t>"</w:t>
      </w:r>
      <w:r w:rsidR="0076527E" w:rsidRPr="008228A8">
        <w:rPr>
          <w:rFonts w:cstheme="minorHAnsi"/>
          <w:i/>
          <w:iCs/>
          <w:szCs w:val="22"/>
          <w:lang w:val="en-GB"/>
        </w:rPr>
        <w:t xml:space="preserve">The </w:t>
      </w:r>
      <w:r w:rsidR="00106633">
        <w:rPr>
          <w:rFonts w:cstheme="minorHAnsi"/>
          <w:i/>
          <w:iCs/>
          <w:szCs w:val="22"/>
          <w:lang w:val="en-GB"/>
        </w:rPr>
        <w:t>E</w:t>
      </w:r>
      <w:r w:rsidR="003A771F" w:rsidRPr="008228A8">
        <w:rPr>
          <w:rFonts w:cstheme="minorHAnsi"/>
          <w:i/>
          <w:iCs/>
          <w:szCs w:val="22"/>
          <w:lang w:val="en-GB"/>
        </w:rPr>
        <w:t>conomy</w:t>
      </w:r>
      <w:r w:rsidR="0076527E" w:rsidRPr="008228A8">
        <w:rPr>
          <w:rFonts w:cstheme="minorHAnsi"/>
          <w:i/>
          <w:iCs/>
          <w:szCs w:val="22"/>
          <w:lang w:val="en-GB"/>
        </w:rPr>
        <w:t xml:space="preserve"> is becoming increasingly circular as products and materials become smart and are connected to the Internet of Things. Products will communicate with users, collectors and remanufactures to ensure they are returned and reused after their first life cycle</w:t>
      </w:r>
      <w:r w:rsidR="00106633">
        <w:rPr>
          <w:rFonts w:cstheme="minorHAnsi"/>
          <w:szCs w:val="22"/>
          <w:lang w:val="en-GB"/>
        </w:rPr>
        <w:t>"</w:t>
      </w:r>
      <w:r w:rsidR="0076527E" w:rsidRPr="008228A8">
        <w:rPr>
          <w:rFonts w:cstheme="minorHAnsi"/>
          <w:szCs w:val="22"/>
          <w:lang w:val="en-GB"/>
        </w:rPr>
        <w:t xml:space="preserve">. </w:t>
      </w:r>
      <w:r w:rsidRPr="008228A8">
        <w:rPr>
          <w:rFonts w:cstheme="minorHAnsi"/>
          <w:szCs w:val="22"/>
          <w:lang w:val="en-GB"/>
        </w:rPr>
        <w:t xml:space="preserve">In terms of communication and collaboration with key users, Gartner admits that </w:t>
      </w:r>
      <w:r w:rsidR="00106633">
        <w:rPr>
          <w:rFonts w:cstheme="minorHAnsi"/>
          <w:szCs w:val="22"/>
          <w:lang w:val="en-GB"/>
        </w:rPr>
        <w:t>"</w:t>
      </w:r>
      <w:r w:rsidR="008923C4" w:rsidRPr="008228A8">
        <w:rPr>
          <w:rFonts w:cstheme="minorHAnsi"/>
          <w:i/>
          <w:iCs/>
          <w:szCs w:val="22"/>
          <w:lang w:val="en-GB"/>
        </w:rPr>
        <w:t xml:space="preserve">The circular economy starts with good design, with </w:t>
      </w:r>
      <w:r w:rsidRPr="008228A8">
        <w:rPr>
          <w:rFonts w:cstheme="minorHAnsi"/>
          <w:i/>
          <w:iCs/>
          <w:szCs w:val="22"/>
          <w:lang w:val="en-GB"/>
        </w:rPr>
        <w:t xml:space="preserve">the </w:t>
      </w:r>
      <w:r w:rsidR="008923C4" w:rsidRPr="008228A8">
        <w:rPr>
          <w:rFonts w:cstheme="minorHAnsi"/>
          <w:i/>
          <w:iCs/>
          <w:szCs w:val="22"/>
          <w:lang w:val="en-GB"/>
        </w:rPr>
        <w:t>end of life and raw material reuse in mind</w:t>
      </w:r>
      <w:r w:rsidR="00106633">
        <w:rPr>
          <w:rFonts w:cstheme="minorHAnsi"/>
          <w:szCs w:val="22"/>
          <w:lang w:val="en-GB"/>
        </w:rPr>
        <w:t>"</w:t>
      </w:r>
      <w:r w:rsidR="008923C4" w:rsidRPr="008228A8">
        <w:rPr>
          <w:rFonts w:cstheme="minorHAnsi"/>
          <w:szCs w:val="22"/>
          <w:lang w:val="en-GB"/>
        </w:rPr>
        <w:t xml:space="preserve">. </w:t>
      </w:r>
      <w:r w:rsidRPr="008228A8">
        <w:rPr>
          <w:rFonts w:cstheme="minorHAnsi"/>
          <w:szCs w:val="22"/>
          <w:lang w:val="en-GB"/>
        </w:rPr>
        <w:t>On the same idea is</w:t>
      </w:r>
      <w:r w:rsidR="008923C4" w:rsidRPr="008228A8">
        <w:rPr>
          <w:rFonts w:cstheme="minorHAnsi"/>
          <w:szCs w:val="22"/>
          <w:lang w:val="en-GB"/>
        </w:rPr>
        <w:t xml:space="preserve"> Dominic Waughray, Head of Public-Private Partnership of World Economic Forum </w:t>
      </w:r>
      <w:r w:rsidRPr="008228A8">
        <w:rPr>
          <w:rFonts w:cstheme="minorHAnsi"/>
          <w:szCs w:val="22"/>
          <w:lang w:val="en-GB"/>
        </w:rPr>
        <w:t>that is looking at the use of plastic recalls</w:t>
      </w:r>
      <w:r w:rsidR="008923C4" w:rsidRPr="008228A8">
        <w:rPr>
          <w:rFonts w:cstheme="minorHAnsi"/>
          <w:szCs w:val="22"/>
          <w:lang w:val="en-GB"/>
        </w:rPr>
        <w:t xml:space="preserve"> </w:t>
      </w:r>
      <w:r w:rsidR="00106633">
        <w:rPr>
          <w:rFonts w:cstheme="minorHAnsi"/>
          <w:szCs w:val="22"/>
          <w:lang w:val="en-GB"/>
        </w:rPr>
        <w:t>"</w:t>
      </w:r>
      <w:r w:rsidR="008923C4" w:rsidRPr="008228A8">
        <w:rPr>
          <w:rFonts w:cstheme="minorHAnsi"/>
          <w:i/>
          <w:iCs/>
          <w:szCs w:val="22"/>
          <w:lang w:val="en-GB"/>
        </w:rPr>
        <w:t xml:space="preserve">The Public, private sector and civil society all need to </w:t>
      </w:r>
      <w:r w:rsidR="00784C0C" w:rsidRPr="008228A8">
        <w:rPr>
          <w:rFonts w:cstheme="minorHAnsi"/>
          <w:i/>
          <w:iCs/>
          <w:szCs w:val="22"/>
          <w:lang w:val="en-GB"/>
        </w:rPr>
        <w:t>mobili</w:t>
      </w:r>
      <w:r w:rsidR="00527C14">
        <w:rPr>
          <w:rFonts w:cstheme="minorHAnsi"/>
          <w:i/>
          <w:iCs/>
          <w:szCs w:val="22"/>
          <w:lang w:val="en-GB"/>
        </w:rPr>
        <w:t>s</w:t>
      </w:r>
      <w:r w:rsidR="00784C0C" w:rsidRPr="008228A8">
        <w:rPr>
          <w:rFonts w:cstheme="minorHAnsi"/>
          <w:i/>
          <w:iCs/>
          <w:szCs w:val="22"/>
          <w:lang w:val="en-GB"/>
        </w:rPr>
        <w:t xml:space="preserve">e </w:t>
      </w:r>
      <w:r w:rsidR="008923C4" w:rsidRPr="008228A8">
        <w:rPr>
          <w:rFonts w:cstheme="minorHAnsi"/>
          <w:i/>
          <w:iCs/>
          <w:szCs w:val="22"/>
          <w:lang w:val="en-GB"/>
        </w:rPr>
        <w:t>to capture the opportunity of the new circular plastics economy</w:t>
      </w:r>
      <w:r w:rsidR="00106633">
        <w:rPr>
          <w:rFonts w:cstheme="minorHAnsi"/>
          <w:szCs w:val="22"/>
          <w:lang w:val="en-GB"/>
        </w:rPr>
        <w:t>"</w:t>
      </w:r>
      <w:r w:rsidR="008923C4" w:rsidRPr="008228A8">
        <w:rPr>
          <w:rFonts w:cstheme="minorHAnsi"/>
          <w:szCs w:val="22"/>
          <w:lang w:val="en-GB"/>
        </w:rPr>
        <w:t xml:space="preserve">. </w:t>
      </w:r>
      <w:r w:rsidRPr="008228A8">
        <w:rPr>
          <w:rFonts w:cstheme="minorHAnsi"/>
          <w:szCs w:val="22"/>
          <w:lang w:val="en-GB"/>
        </w:rPr>
        <w:t>At the level of practical business, the management was caught by Henkel announcing that</w:t>
      </w:r>
      <w:r w:rsidR="008923C4" w:rsidRPr="008228A8">
        <w:rPr>
          <w:rFonts w:cstheme="minorHAnsi"/>
          <w:szCs w:val="22"/>
          <w:lang w:val="en-GB"/>
        </w:rPr>
        <w:t xml:space="preserve"> </w:t>
      </w:r>
      <w:r w:rsidR="00106633">
        <w:rPr>
          <w:rFonts w:cstheme="minorHAnsi"/>
          <w:szCs w:val="22"/>
          <w:lang w:val="en-GB"/>
        </w:rPr>
        <w:t>"</w:t>
      </w:r>
      <w:r w:rsidRPr="008228A8">
        <w:rPr>
          <w:rFonts w:cstheme="minorHAnsi"/>
          <w:i/>
          <w:iCs/>
          <w:szCs w:val="22"/>
          <w:lang w:val="en-GB"/>
        </w:rPr>
        <w:t>The company</w:t>
      </w:r>
      <w:r w:rsidR="008923C4" w:rsidRPr="008228A8">
        <w:rPr>
          <w:rFonts w:cstheme="minorHAnsi"/>
          <w:i/>
          <w:iCs/>
          <w:szCs w:val="22"/>
          <w:lang w:val="en-GB"/>
        </w:rPr>
        <w:t xml:space="preserve"> is committed to including an increasing share of sustainable materials into its product packaging – this relates bot to its use of recycled materials, especially recycled plastic, and renewable materials such as papers and cardboard</w:t>
      </w:r>
      <w:r w:rsidR="00106633">
        <w:rPr>
          <w:rFonts w:cstheme="minorHAnsi"/>
          <w:szCs w:val="22"/>
          <w:lang w:val="en-GB"/>
        </w:rPr>
        <w:t>"</w:t>
      </w:r>
      <w:r w:rsidR="008923C4" w:rsidRPr="008228A8">
        <w:rPr>
          <w:rFonts w:cstheme="minorHAnsi"/>
          <w:szCs w:val="22"/>
          <w:lang w:val="en-GB"/>
        </w:rPr>
        <w:t xml:space="preserve">. </w:t>
      </w:r>
      <w:r w:rsidRPr="008228A8">
        <w:rPr>
          <w:rFonts w:cstheme="minorHAnsi"/>
          <w:szCs w:val="22"/>
          <w:lang w:val="en-GB"/>
        </w:rPr>
        <w:t>Therefore, a vital issue emerged as the impact of Industry 4.0 through the IoT in increasing the sustainability of materials such as plastics during industrial and domestic processes</w:t>
      </w:r>
      <w:r w:rsidR="00022AF3" w:rsidRPr="008228A8">
        <w:rPr>
          <w:rFonts w:cstheme="minorHAnsi"/>
          <w:szCs w:val="22"/>
          <w:lang w:val="en-GB"/>
        </w:rPr>
        <w:t>.</w:t>
      </w:r>
    </w:p>
    <w:p w14:paraId="1B2A0135" w14:textId="1CB710FE" w:rsidR="00022AF3" w:rsidRPr="008228A8" w:rsidRDefault="00274CF6" w:rsidP="008228A8">
      <w:pPr>
        <w:rPr>
          <w:rFonts w:cstheme="minorHAnsi"/>
          <w:szCs w:val="22"/>
          <w:lang w:val="en-GB"/>
        </w:rPr>
      </w:pPr>
      <w:r w:rsidRPr="008228A8">
        <w:rPr>
          <w:rFonts w:cstheme="minorHAnsi"/>
          <w:szCs w:val="22"/>
          <w:lang w:val="en-GB"/>
        </w:rPr>
        <w:t xml:space="preserve">Furthermore, the results show how </w:t>
      </w:r>
      <w:r w:rsidR="00820A56" w:rsidRPr="008228A8">
        <w:rPr>
          <w:rFonts w:cstheme="minorHAnsi"/>
          <w:szCs w:val="22"/>
          <w:lang w:val="en-GB"/>
        </w:rPr>
        <w:t>CE</w:t>
      </w:r>
      <w:r w:rsidRPr="008228A8">
        <w:rPr>
          <w:rFonts w:cstheme="minorHAnsi"/>
          <w:szCs w:val="22"/>
          <w:lang w:val="en-GB"/>
        </w:rPr>
        <w:t xml:space="preserve"> can have an impact on the development of the mission of the companies themselves</w:t>
      </w:r>
      <w:r w:rsidR="00022AF3" w:rsidRPr="008228A8">
        <w:rPr>
          <w:rFonts w:cstheme="minorHAnsi"/>
          <w:szCs w:val="22"/>
          <w:lang w:val="en-GB"/>
        </w:rPr>
        <w:t xml:space="preserve">. </w:t>
      </w:r>
      <w:r w:rsidRPr="008228A8">
        <w:rPr>
          <w:rFonts w:cstheme="minorHAnsi"/>
          <w:szCs w:val="22"/>
          <w:lang w:val="en-GB"/>
        </w:rPr>
        <w:t xml:space="preserve">For instance, </w:t>
      </w:r>
      <w:r w:rsidR="00022AF3" w:rsidRPr="008228A8">
        <w:rPr>
          <w:rFonts w:cstheme="minorHAnsi"/>
          <w:szCs w:val="22"/>
          <w:lang w:val="en-GB"/>
        </w:rPr>
        <w:t>Dell Technologies</w:t>
      </w:r>
      <w:r w:rsidRPr="008228A8">
        <w:rPr>
          <w:rFonts w:cstheme="minorHAnsi"/>
          <w:szCs w:val="22"/>
          <w:lang w:val="en-GB"/>
        </w:rPr>
        <w:t>,</w:t>
      </w:r>
      <w:r w:rsidR="00022AF3" w:rsidRPr="008228A8">
        <w:rPr>
          <w:rFonts w:cstheme="minorHAnsi"/>
          <w:szCs w:val="22"/>
          <w:lang w:val="en-GB"/>
        </w:rPr>
        <w:t xml:space="preserve"> </w:t>
      </w:r>
      <w:r w:rsidRPr="008228A8">
        <w:rPr>
          <w:rFonts w:cstheme="minorHAnsi"/>
          <w:szCs w:val="22"/>
          <w:lang w:val="en-GB"/>
        </w:rPr>
        <w:t>via David Lear</w:t>
      </w:r>
      <w:r w:rsidR="00022AF3" w:rsidRPr="008228A8">
        <w:rPr>
          <w:rFonts w:cstheme="minorHAnsi"/>
          <w:szCs w:val="22"/>
          <w:lang w:val="en-GB"/>
        </w:rPr>
        <w:t xml:space="preserve">, Vice President of Corporate Sustainability, </w:t>
      </w:r>
      <w:r w:rsidRPr="008228A8">
        <w:rPr>
          <w:rFonts w:cstheme="minorHAnsi"/>
          <w:szCs w:val="22"/>
          <w:lang w:val="en-GB"/>
        </w:rPr>
        <w:t>states that</w:t>
      </w:r>
      <w:r w:rsidR="00022AF3" w:rsidRPr="008228A8">
        <w:rPr>
          <w:rFonts w:cstheme="minorHAnsi"/>
          <w:szCs w:val="22"/>
          <w:lang w:val="en-GB"/>
        </w:rPr>
        <w:t xml:space="preserve"> </w:t>
      </w:r>
      <w:r w:rsidR="00106633">
        <w:rPr>
          <w:rFonts w:cstheme="minorHAnsi"/>
          <w:szCs w:val="22"/>
          <w:lang w:val="en-GB"/>
        </w:rPr>
        <w:t>"</w:t>
      </w:r>
      <w:r w:rsidR="00022AF3" w:rsidRPr="008228A8">
        <w:rPr>
          <w:rFonts w:cstheme="minorHAnsi"/>
          <w:i/>
          <w:iCs/>
          <w:szCs w:val="22"/>
          <w:lang w:val="en-GB"/>
        </w:rPr>
        <w:t xml:space="preserve">A </w:t>
      </w:r>
      <w:r w:rsidR="001A34A9" w:rsidRPr="008228A8">
        <w:rPr>
          <w:rFonts w:cstheme="minorHAnsi"/>
          <w:i/>
          <w:iCs/>
          <w:szCs w:val="22"/>
          <w:lang w:val="en-GB"/>
        </w:rPr>
        <w:t>company</w:t>
      </w:r>
      <w:r w:rsidR="00106633">
        <w:rPr>
          <w:rFonts w:cstheme="minorHAnsi"/>
          <w:i/>
          <w:iCs/>
          <w:szCs w:val="22"/>
          <w:lang w:val="en-GB"/>
        </w:rPr>
        <w:t>'</w:t>
      </w:r>
      <w:r w:rsidR="001A34A9" w:rsidRPr="008228A8">
        <w:rPr>
          <w:rFonts w:cstheme="minorHAnsi"/>
          <w:i/>
          <w:iCs/>
          <w:szCs w:val="22"/>
          <w:lang w:val="en-GB"/>
        </w:rPr>
        <w:t>s</w:t>
      </w:r>
      <w:r w:rsidR="00022AF3" w:rsidRPr="008228A8">
        <w:rPr>
          <w:rFonts w:cstheme="minorHAnsi"/>
          <w:i/>
          <w:iCs/>
          <w:szCs w:val="22"/>
          <w:lang w:val="en-GB"/>
        </w:rPr>
        <w:t xml:space="preserve"> social impact and environmental footprint must be core to its business</w:t>
      </w:r>
      <w:r w:rsidR="00106633">
        <w:rPr>
          <w:rFonts w:cstheme="minorHAnsi"/>
          <w:szCs w:val="22"/>
          <w:lang w:val="en-GB"/>
        </w:rPr>
        <w:t>"</w:t>
      </w:r>
      <w:r w:rsidR="00022AF3" w:rsidRPr="008228A8">
        <w:rPr>
          <w:rFonts w:cstheme="minorHAnsi"/>
          <w:szCs w:val="22"/>
          <w:lang w:val="en-GB"/>
        </w:rPr>
        <w:t xml:space="preserve">. </w:t>
      </w:r>
      <w:r w:rsidRPr="008228A8">
        <w:rPr>
          <w:rFonts w:cstheme="minorHAnsi"/>
          <w:szCs w:val="22"/>
          <w:lang w:val="en-GB"/>
        </w:rPr>
        <w:t xml:space="preserve">In the case of </w:t>
      </w:r>
      <w:r w:rsidR="00FF1FC2" w:rsidRPr="008228A8">
        <w:rPr>
          <w:rFonts w:cstheme="minorHAnsi"/>
          <w:szCs w:val="22"/>
          <w:lang w:val="en-GB"/>
        </w:rPr>
        <w:t>this company</w:t>
      </w:r>
      <w:r w:rsidRPr="008228A8">
        <w:rPr>
          <w:rFonts w:cstheme="minorHAnsi"/>
          <w:szCs w:val="22"/>
          <w:lang w:val="en-GB"/>
        </w:rPr>
        <w:t xml:space="preserve">, the main action consisted </w:t>
      </w:r>
      <w:r w:rsidR="003A771F" w:rsidRPr="008228A8">
        <w:rPr>
          <w:rFonts w:cstheme="minorHAnsi"/>
          <w:szCs w:val="22"/>
          <w:lang w:val="en-GB"/>
        </w:rPr>
        <w:t>of</w:t>
      </w:r>
      <w:r w:rsidR="00022AF3" w:rsidRPr="008228A8">
        <w:rPr>
          <w:rFonts w:cstheme="minorHAnsi"/>
          <w:szCs w:val="22"/>
          <w:lang w:val="en-GB"/>
        </w:rPr>
        <w:t xml:space="preserve"> the reuse</w:t>
      </w:r>
      <w:r w:rsidRPr="008228A8">
        <w:rPr>
          <w:rFonts w:cstheme="minorHAnsi"/>
          <w:szCs w:val="22"/>
          <w:lang w:val="en-GB"/>
        </w:rPr>
        <w:t xml:space="preserve"> of</w:t>
      </w:r>
      <w:r w:rsidR="00022AF3" w:rsidRPr="008228A8">
        <w:rPr>
          <w:rFonts w:cstheme="minorHAnsi"/>
          <w:szCs w:val="22"/>
          <w:lang w:val="en-GB"/>
        </w:rPr>
        <w:t xml:space="preserve"> gold from used computer motherboards to create new motherboards for notebooks. </w:t>
      </w:r>
      <w:r w:rsidRPr="008228A8">
        <w:rPr>
          <w:rFonts w:cstheme="minorHAnsi"/>
          <w:szCs w:val="22"/>
          <w:lang w:val="en-GB"/>
        </w:rPr>
        <w:t>In the same way, the participation of several stakeholders from businesses to consumers in circular economy processes is relevant.</w:t>
      </w:r>
    </w:p>
    <w:p w14:paraId="357D1D9B" w14:textId="235DA0CE" w:rsidR="00274CF6" w:rsidRPr="008228A8" w:rsidRDefault="00274CF6" w:rsidP="008228A8">
      <w:pPr>
        <w:rPr>
          <w:rFonts w:cstheme="minorHAnsi"/>
          <w:szCs w:val="22"/>
          <w:lang w:val="en-GB"/>
        </w:rPr>
      </w:pPr>
      <w:r w:rsidRPr="008228A8">
        <w:rPr>
          <w:rFonts w:cstheme="minorHAnsi"/>
          <w:szCs w:val="22"/>
          <w:lang w:val="en-GB"/>
        </w:rPr>
        <w:t xml:space="preserve">It is not surprising, therefore, that new initiatives have been launched to enhance the value of the products used, starting from the change in the </w:t>
      </w:r>
      <w:r w:rsidR="001A34A9" w:rsidRPr="008228A8">
        <w:rPr>
          <w:rFonts w:cstheme="minorHAnsi"/>
          <w:szCs w:val="22"/>
          <w:lang w:val="en-GB"/>
        </w:rPr>
        <w:t>company</w:t>
      </w:r>
      <w:r w:rsidR="00106633">
        <w:rPr>
          <w:rFonts w:cstheme="minorHAnsi"/>
          <w:szCs w:val="22"/>
          <w:lang w:val="en-GB"/>
        </w:rPr>
        <w:t>'</w:t>
      </w:r>
      <w:r w:rsidR="001A34A9" w:rsidRPr="008228A8">
        <w:rPr>
          <w:rFonts w:cstheme="minorHAnsi"/>
          <w:szCs w:val="22"/>
          <w:lang w:val="en-GB"/>
        </w:rPr>
        <w:t>s</w:t>
      </w:r>
      <w:r w:rsidRPr="008228A8">
        <w:rPr>
          <w:rFonts w:cstheme="minorHAnsi"/>
          <w:szCs w:val="22"/>
          <w:lang w:val="en-GB"/>
        </w:rPr>
        <w:t xml:space="preserve"> business model. These include the Green Alliance mapping that describes six business models that companies can use to adapt to consumer preferences for cheaper, more durable electronics. It points out how simple actions such as indicating the value of a product already in use, sending prepaid envelopes with automatic value credit to </w:t>
      </w:r>
      <w:r w:rsidR="001A34A9" w:rsidRPr="008228A8">
        <w:rPr>
          <w:rFonts w:cstheme="minorHAnsi"/>
          <w:szCs w:val="22"/>
          <w:lang w:val="en-GB"/>
        </w:rPr>
        <w:t>users</w:t>
      </w:r>
      <w:r w:rsidR="00106633">
        <w:rPr>
          <w:rFonts w:cstheme="minorHAnsi"/>
          <w:szCs w:val="22"/>
          <w:lang w:val="en-GB"/>
        </w:rPr>
        <w:t>'</w:t>
      </w:r>
      <w:r w:rsidRPr="008228A8">
        <w:rPr>
          <w:rFonts w:cstheme="minorHAnsi"/>
          <w:szCs w:val="22"/>
          <w:lang w:val="en-GB"/>
        </w:rPr>
        <w:t xml:space="preserve"> current accounts could allow new products to be redesigned by capturing value from recovered waste. The issue is particularly sensitive in the field of technology, with products such as smartphones, tablets, </w:t>
      </w:r>
      <w:proofErr w:type="gramStart"/>
      <w:r w:rsidRPr="008228A8">
        <w:rPr>
          <w:rFonts w:cstheme="minorHAnsi"/>
          <w:szCs w:val="22"/>
          <w:lang w:val="en-GB"/>
        </w:rPr>
        <w:t>televisions</w:t>
      </w:r>
      <w:proofErr w:type="gramEnd"/>
      <w:r w:rsidRPr="008228A8">
        <w:rPr>
          <w:rFonts w:cstheme="minorHAnsi"/>
          <w:szCs w:val="22"/>
          <w:lang w:val="en-GB"/>
        </w:rPr>
        <w:t xml:space="preserve"> and computers. As discussed, if </w:t>
      </w:r>
      <w:r w:rsidRPr="008228A8">
        <w:rPr>
          <w:rFonts w:cstheme="minorHAnsi"/>
          <w:szCs w:val="22"/>
          <w:lang w:val="en-GB"/>
        </w:rPr>
        <w:lastRenderedPageBreak/>
        <w:t xml:space="preserve">people are </w:t>
      </w:r>
      <w:r w:rsidR="007F2178" w:rsidRPr="008228A8">
        <w:rPr>
          <w:rFonts w:cstheme="minorHAnsi"/>
          <w:szCs w:val="22"/>
          <w:lang w:val="en-GB"/>
        </w:rPr>
        <w:t>willing</w:t>
      </w:r>
      <w:r w:rsidRPr="008228A8">
        <w:rPr>
          <w:rFonts w:cstheme="minorHAnsi"/>
          <w:szCs w:val="22"/>
          <w:lang w:val="en-GB"/>
        </w:rPr>
        <w:t xml:space="preserve"> to get rid of technology products, it would be much cheaper to redesign products that include high-value components already in use</w:t>
      </w:r>
      <w:r w:rsidR="00AA0DA2">
        <w:rPr>
          <w:rFonts w:cstheme="minorHAnsi"/>
          <w:szCs w:val="22"/>
          <w:lang w:val="en-GB"/>
        </w:rPr>
        <w:t xml:space="preserve">, it is also demonstrated from the Binee case study. </w:t>
      </w:r>
    </w:p>
    <w:p w14:paraId="1BE58480" w14:textId="3DAAAB60" w:rsidR="003A1E48" w:rsidRPr="008228A8" w:rsidRDefault="00274CF6" w:rsidP="008228A8">
      <w:pPr>
        <w:rPr>
          <w:rFonts w:cstheme="minorHAnsi"/>
          <w:szCs w:val="22"/>
          <w:lang w:val="en-GB"/>
        </w:rPr>
      </w:pPr>
      <w:r w:rsidRPr="008228A8">
        <w:rPr>
          <w:rFonts w:cstheme="minorHAnsi"/>
          <w:szCs w:val="22"/>
          <w:lang w:val="en-GB"/>
        </w:rPr>
        <w:t xml:space="preserve">The last topic we investigated is firmly based on the integration of Industry 4.0 applications in waste management. It is interesting to note that Frost &amp; Sullivan places a high value on RFID technology and IoT sensors to monitor the filling of all generated, reused and recycled materials and proposes new ways to manage waste based on digital solutions such as smart bins, smart trucks, robots, mobile applications, </w:t>
      </w:r>
      <w:r w:rsidR="00784C0C" w:rsidRPr="008228A8">
        <w:rPr>
          <w:rFonts w:cstheme="minorHAnsi"/>
          <w:szCs w:val="22"/>
          <w:lang w:val="en-GB"/>
        </w:rPr>
        <w:t>optimi</w:t>
      </w:r>
      <w:r w:rsidR="00527C14">
        <w:rPr>
          <w:rFonts w:cstheme="minorHAnsi"/>
          <w:szCs w:val="22"/>
          <w:lang w:val="en-GB"/>
        </w:rPr>
        <w:t>s</w:t>
      </w:r>
      <w:r w:rsidR="00784C0C" w:rsidRPr="008228A8">
        <w:rPr>
          <w:rFonts w:cstheme="minorHAnsi"/>
          <w:szCs w:val="22"/>
          <w:lang w:val="en-GB"/>
        </w:rPr>
        <w:t xml:space="preserve">ation </w:t>
      </w:r>
      <w:r w:rsidRPr="008228A8">
        <w:rPr>
          <w:rFonts w:cstheme="minorHAnsi"/>
          <w:szCs w:val="22"/>
          <w:lang w:val="en-GB"/>
        </w:rPr>
        <w:t xml:space="preserve">software and the analysis of extensive data between different stakeholders. Table </w:t>
      </w:r>
      <w:r w:rsidR="00D37D72">
        <w:rPr>
          <w:rFonts w:cstheme="minorHAnsi"/>
          <w:szCs w:val="22"/>
          <w:lang w:val="en-GB"/>
        </w:rPr>
        <w:t>II</w:t>
      </w:r>
      <w:r w:rsidR="00D37D72" w:rsidRPr="008228A8">
        <w:rPr>
          <w:rFonts w:cstheme="minorHAnsi"/>
          <w:szCs w:val="22"/>
          <w:lang w:val="en-GB"/>
        </w:rPr>
        <w:t xml:space="preserve"> </w:t>
      </w:r>
      <w:r w:rsidRPr="008228A8">
        <w:rPr>
          <w:rFonts w:cstheme="minorHAnsi"/>
          <w:szCs w:val="22"/>
          <w:lang w:val="en-GB"/>
        </w:rPr>
        <w:t>summarises the key topics, the companies discussed, and the text sources used</w:t>
      </w:r>
      <w:r w:rsidR="00F53289" w:rsidRPr="008228A8">
        <w:rPr>
          <w:rFonts w:cstheme="minorHAnsi"/>
          <w:szCs w:val="22"/>
          <w:lang w:val="en-GB"/>
        </w:rPr>
        <w:t xml:space="preserve">. </w:t>
      </w:r>
    </w:p>
    <w:p w14:paraId="6E27CF18" w14:textId="5957CE09" w:rsidR="00F53289" w:rsidRDefault="00F53289" w:rsidP="00F76BE8">
      <w:pPr>
        <w:rPr>
          <w:rFonts w:cstheme="minorHAnsi"/>
          <w:szCs w:val="22"/>
          <w:lang w:val="en-GB"/>
        </w:rPr>
      </w:pPr>
    </w:p>
    <w:p w14:paraId="188817CC" w14:textId="02B40F3C" w:rsidR="001D4346" w:rsidRPr="001D4346" w:rsidRDefault="001D4346" w:rsidP="001D4346">
      <w:pPr>
        <w:jc w:val="center"/>
        <w:rPr>
          <w:rFonts w:cstheme="minorHAnsi"/>
          <w:i/>
          <w:iCs/>
          <w:szCs w:val="22"/>
          <w:lang w:val="en-GB"/>
        </w:rPr>
      </w:pPr>
      <w:r w:rsidRPr="001D4346">
        <w:rPr>
          <w:rFonts w:cstheme="minorHAnsi"/>
          <w:i/>
          <w:iCs/>
          <w:szCs w:val="22"/>
          <w:lang w:val="en-GB"/>
        </w:rPr>
        <w:t xml:space="preserve">Please place </w:t>
      </w:r>
      <w:r>
        <w:rPr>
          <w:rFonts w:cstheme="minorHAnsi"/>
          <w:i/>
          <w:iCs/>
          <w:szCs w:val="22"/>
          <w:lang w:val="en-GB"/>
        </w:rPr>
        <w:t>T</w:t>
      </w:r>
      <w:r w:rsidRPr="001D4346">
        <w:rPr>
          <w:rFonts w:cstheme="minorHAnsi"/>
          <w:i/>
          <w:iCs/>
          <w:szCs w:val="22"/>
          <w:lang w:val="en-GB"/>
        </w:rPr>
        <w:t>able II about here</w:t>
      </w:r>
    </w:p>
    <w:p w14:paraId="4D2A726D" w14:textId="77777777" w:rsidR="001D4346" w:rsidRPr="00795030" w:rsidRDefault="001D4346" w:rsidP="00F76BE8">
      <w:pPr>
        <w:rPr>
          <w:rFonts w:cstheme="minorHAnsi"/>
          <w:szCs w:val="22"/>
          <w:lang w:val="en-GB"/>
        </w:rPr>
      </w:pPr>
    </w:p>
    <w:p w14:paraId="0840BC44" w14:textId="6E6BE07F" w:rsidR="00274CF6" w:rsidRPr="008228A8" w:rsidRDefault="00274CF6" w:rsidP="008228A8">
      <w:pPr>
        <w:pStyle w:val="Titolo2"/>
        <w:rPr>
          <w:i w:val="0"/>
          <w:iCs w:val="0"/>
        </w:rPr>
      </w:pPr>
      <w:r w:rsidRPr="00795030">
        <w:t xml:space="preserve">Industry 4.0 and </w:t>
      </w:r>
      <w:r w:rsidR="003A771F" w:rsidRPr="00473378">
        <w:t xml:space="preserve">the </w:t>
      </w:r>
      <w:r w:rsidR="005F6E1D">
        <w:t>C</w:t>
      </w:r>
      <w:r w:rsidRPr="000818C9">
        <w:t xml:space="preserve">ircular </w:t>
      </w:r>
      <w:r w:rsidR="00106633">
        <w:t>E</w:t>
      </w:r>
      <w:r w:rsidR="003A771F" w:rsidRPr="000818C9">
        <w:t>conomy</w:t>
      </w:r>
      <w:r w:rsidRPr="00E41C68">
        <w:t xml:space="preserve"> in academic sources </w:t>
      </w:r>
    </w:p>
    <w:p w14:paraId="60DF31C3" w14:textId="048E34C3" w:rsidR="009256FE" w:rsidRPr="008228A8" w:rsidRDefault="009256FE" w:rsidP="008228A8">
      <w:pPr>
        <w:rPr>
          <w:rFonts w:cstheme="minorHAnsi"/>
          <w:szCs w:val="22"/>
          <w:lang w:val="en-GB"/>
        </w:rPr>
      </w:pPr>
      <w:r w:rsidRPr="008228A8">
        <w:rPr>
          <w:rFonts w:cstheme="minorHAnsi"/>
          <w:szCs w:val="22"/>
          <w:lang w:val="en-GB"/>
        </w:rPr>
        <w:t xml:space="preserve">The analysis of scientific journals obtained from the Scopus database shows results in line with professional sources. In the literature, the authors questioned the issues of smart services in waste management, resource efficiency and new business models for the </w:t>
      </w:r>
      <w:r w:rsidR="00820A56" w:rsidRPr="008228A8">
        <w:rPr>
          <w:rFonts w:cstheme="minorHAnsi"/>
          <w:szCs w:val="22"/>
          <w:lang w:val="en-GB"/>
        </w:rPr>
        <w:t>CE</w:t>
      </w:r>
      <w:r w:rsidRPr="008228A8">
        <w:rPr>
          <w:rFonts w:cstheme="minorHAnsi"/>
          <w:szCs w:val="22"/>
          <w:lang w:val="en-GB"/>
        </w:rPr>
        <w:t xml:space="preserve">.  </w:t>
      </w:r>
    </w:p>
    <w:p w14:paraId="6D84F09C" w14:textId="2602545D" w:rsidR="00F81A61" w:rsidRDefault="009256FE" w:rsidP="008228A8">
      <w:pPr>
        <w:rPr>
          <w:rFonts w:cstheme="minorHAnsi"/>
          <w:szCs w:val="22"/>
          <w:lang w:val="en-GB"/>
        </w:rPr>
      </w:pPr>
      <w:r w:rsidRPr="008228A8">
        <w:rPr>
          <w:rFonts w:cstheme="minorHAnsi"/>
          <w:szCs w:val="22"/>
          <w:lang w:val="en-GB"/>
        </w:rPr>
        <w:t xml:space="preserve">As shown in Figure 2, key topics are related to macro-concepts such as "industry", "digital", "management", "research", "waste", "manufacturing", and "resource". An essential element discussed in the literature of the </w:t>
      </w:r>
      <w:r w:rsidR="009E0EC8">
        <w:rPr>
          <w:rFonts w:cstheme="minorHAnsi"/>
          <w:szCs w:val="22"/>
          <w:lang w:val="en-GB"/>
        </w:rPr>
        <w:t>CE</w:t>
      </w:r>
      <w:r w:rsidRPr="008228A8">
        <w:rPr>
          <w:rFonts w:cstheme="minorHAnsi"/>
          <w:szCs w:val="22"/>
          <w:lang w:val="en-GB"/>
        </w:rPr>
        <w:t xml:space="preserve"> derives from the need to fully understand from which stakeholders the management of technological innovation can start. Partners and their design are indicated as an essential element to bring together energy and expertise to find new sustainable solutions with a significant impact on the external environment</w:t>
      </w:r>
      <w:r w:rsidR="00F81A61" w:rsidRPr="008228A8">
        <w:rPr>
          <w:rFonts w:cstheme="minorHAnsi"/>
          <w:szCs w:val="22"/>
          <w:lang w:val="en-GB"/>
        </w:rPr>
        <w:t xml:space="preserve">. </w:t>
      </w:r>
      <w:r w:rsidRPr="008228A8">
        <w:rPr>
          <w:rFonts w:cstheme="minorHAnsi"/>
          <w:szCs w:val="22"/>
          <w:lang w:val="en-GB"/>
        </w:rPr>
        <w:t>For instance</w:t>
      </w:r>
      <w:r w:rsidR="00F81A61" w:rsidRPr="008228A8">
        <w:rPr>
          <w:rFonts w:cstheme="minorHAnsi"/>
          <w:szCs w:val="22"/>
          <w:lang w:val="en-GB"/>
        </w:rPr>
        <w:t xml:space="preserve">, </w:t>
      </w:r>
      <w:r w:rsidRPr="008228A8">
        <w:rPr>
          <w:rFonts w:cstheme="minorHAnsi"/>
          <w:szCs w:val="22"/>
          <w:lang w:val="en-GB"/>
        </w:rPr>
        <w:t>according to</w:t>
      </w:r>
      <w:r w:rsidR="00F81A61" w:rsidRPr="008228A8">
        <w:rPr>
          <w:rFonts w:cstheme="minorHAnsi"/>
          <w:szCs w:val="22"/>
          <w:lang w:val="en-GB"/>
        </w:rPr>
        <w:t xml:space="preserve"> </w:t>
      </w:r>
      <w:r w:rsidR="00F81A61" w:rsidRPr="008228A8">
        <w:rPr>
          <w:rFonts w:cstheme="minorHAnsi"/>
          <w:szCs w:val="22"/>
          <w:lang w:val="en-GB"/>
        </w:rPr>
        <w:fldChar w:fldCharType="begin"/>
      </w:r>
      <w:r w:rsidR="00F45764">
        <w:rPr>
          <w:rFonts w:cstheme="minorHAnsi"/>
          <w:szCs w:val="22"/>
          <w:lang w:val="en-GB"/>
        </w:rPr>
        <w:instrText xml:space="preserve"> ADDIN ZOTERO_ITEM CSL_CITATION {"citationID":"sjGnWwy0","properties":{"formattedCitation":"(Ramakrishna et al., 2020)","plainCitation":"(Ramakrishna et al., 2020)","dontUpdate":true,"noteIndex":0},"citationItems":[{"id":6863,"uris":["http://zotero.org/users/5243184/items/JSB3VJZV"],"uri":["http://zotero.org/users/5243184/items/JSB3VJZV"],"itemData":{"id":6863,"type":"article-journal","abstract":"Growing consumerism and population worldwide raises concerns about society’s sustainability aspirations. This has led to calls for concerted efforts to shift from the linear economy to a circular economy (CE), which are gaining momentum globally. CE approaches lead to a zero-waste scenario of economic growth and sustainable development. These approaches are based on semi-scientific and empirical concepts with technologies enabling 3Rs (reduce, reuse, recycle) and 6Rs (reuse, recycle, redesign, remanufacture, reduce, recover). Studies estimate that the transition to a CE would save the world in excess of a trillion dollars annually while creating new jobs, business opportunities and economic growth. The emerging industrial revolution will enhance the symbiotic pursuit of new technologies and CE to transform extant production systems and business models for sustainability. This article examines the trends, availability and readiness of fourth industrial revolution (4IR or industry 4.0) technologies (for example, Internet of Things [IoT], artificial intelligence [AI] and nanotechnology) to support and promote CE transitions within the higher education institutional context. Furthermore, it elucidates the role of universities as living laboratories for experimenting the utility of industry 4.0 technologies in driving the shift towards CE futures. The article concludes that universities should play a pivotal role in engendering CE transitions.","container-title":"Science, Technology and Society","DOI":"10.1177/0971721820912918","ISSN":"0971-7218","journalAbbreviation":"Science, Technology and Society","language":"en","note":"publisher: SAGE Publications India","page":"0971721820912918","source":"SAGE Journals","title":"Emerging Industrial Revolution: Symbiosis of Industry 4.0 and Circular Economy: The Role of Universities","title-short":"Emerging Industrial Revolution","author":[{"family":"Ramakrishna","given":"Seeram"},{"family":"Ngowi","given":"Alfred"},{"family":"Jager","given":"Henk De"},{"family":"Awuzie","given":"Bankole O."}],"issued":{"date-parts":[["2020",5,21]]}}}],"schema":"https://github.com/citation-style-language/schema/raw/master/csl-citation.json"} </w:instrText>
      </w:r>
      <w:r w:rsidR="00F81A61" w:rsidRPr="008228A8">
        <w:rPr>
          <w:rFonts w:cstheme="minorHAnsi"/>
          <w:szCs w:val="22"/>
          <w:lang w:val="en-GB"/>
        </w:rPr>
        <w:fldChar w:fldCharType="separate"/>
      </w:r>
      <w:r w:rsidR="00F81A61" w:rsidRPr="008228A8">
        <w:rPr>
          <w:rFonts w:cstheme="minorHAnsi"/>
          <w:noProof/>
          <w:szCs w:val="22"/>
          <w:lang w:val="en-GB"/>
        </w:rPr>
        <w:t>Ramakrishna et al.</w:t>
      </w:r>
      <w:r w:rsidR="00891E39" w:rsidRPr="008228A8">
        <w:rPr>
          <w:rFonts w:cstheme="minorHAnsi"/>
          <w:noProof/>
          <w:szCs w:val="22"/>
          <w:lang w:val="en-GB"/>
        </w:rPr>
        <w:t xml:space="preserve"> (</w:t>
      </w:r>
      <w:r w:rsidR="00F81A61" w:rsidRPr="008228A8">
        <w:rPr>
          <w:rFonts w:cstheme="minorHAnsi"/>
          <w:noProof/>
          <w:szCs w:val="22"/>
          <w:lang w:val="en-GB"/>
        </w:rPr>
        <w:t>2020)</w:t>
      </w:r>
      <w:r w:rsidR="003A771F" w:rsidRPr="008228A8">
        <w:rPr>
          <w:rFonts w:cstheme="minorHAnsi"/>
          <w:noProof/>
          <w:szCs w:val="22"/>
          <w:lang w:val="en-GB"/>
        </w:rPr>
        <w:t>,</w:t>
      </w:r>
      <w:r w:rsidR="00F81A61" w:rsidRPr="008228A8">
        <w:rPr>
          <w:rFonts w:cstheme="minorHAnsi"/>
          <w:szCs w:val="22"/>
          <w:lang w:val="en-GB"/>
        </w:rPr>
        <w:fldChar w:fldCharType="end"/>
      </w:r>
      <w:r w:rsidR="00891E39" w:rsidRPr="008228A8">
        <w:rPr>
          <w:rFonts w:cstheme="minorHAnsi"/>
          <w:szCs w:val="22"/>
          <w:lang w:val="en-GB"/>
        </w:rPr>
        <w:t xml:space="preserve"> </w:t>
      </w:r>
      <w:r w:rsidRPr="008228A8">
        <w:rPr>
          <w:rFonts w:cstheme="minorHAnsi"/>
          <w:szCs w:val="22"/>
          <w:lang w:val="en-GB"/>
        </w:rPr>
        <w:t>this role can be played by universities</w:t>
      </w:r>
      <w:r w:rsidR="00891E39" w:rsidRPr="008228A8">
        <w:rPr>
          <w:rFonts w:cstheme="minorHAnsi"/>
          <w:szCs w:val="22"/>
          <w:lang w:val="en-GB"/>
        </w:rPr>
        <w:t xml:space="preserve">. </w:t>
      </w:r>
      <w:r w:rsidRPr="008228A8">
        <w:rPr>
          <w:rFonts w:cstheme="minorHAnsi"/>
          <w:szCs w:val="22"/>
          <w:lang w:val="en-GB"/>
        </w:rPr>
        <w:t xml:space="preserve">Especially, as defined by </w:t>
      </w:r>
      <w:r w:rsidR="00891E39" w:rsidRPr="008228A8">
        <w:rPr>
          <w:rFonts w:cstheme="minorHAnsi"/>
          <w:szCs w:val="22"/>
          <w:lang w:val="en-GB"/>
        </w:rPr>
        <w:fldChar w:fldCharType="begin"/>
      </w:r>
      <w:r w:rsidR="00F45764">
        <w:rPr>
          <w:rFonts w:cstheme="minorHAnsi"/>
          <w:szCs w:val="22"/>
          <w:lang w:val="en-GB"/>
        </w:rPr>
        <w:instrText xml:space="preserve"> ADDIN ZOTERO_ITEM CSL_CITATION {"citationID":"HZy7058F","properties":{"formattedCitation":"(Poponi et al., 2020)","plainCitation":"(Poponi et al., 2020)","dontUpdate":true,"noteIndex":0},"citationItems":[{"id":6865,"uris":["http://zotero.org/users/5243184/items/CG8IYWGK"],"uri":["http://zotero.org/users/5243184/items/CG8IYWGK"],"itemData":{"id":6865,"type":"article-journal","abstract":"Circular Economy represents today a new economic paradigm based on the environment and on the recovery of material. The pursuit of this change can be implemented through different policies with a top-down or bottom-up approach. Following the latter approach Spin-Offs, typically defined as &amp;ldquo;Science Based&amp;rdquo; companies, represent an alternative tool to promote technology transfer. In other words, they represent a bridge between the research and the production system. This part of the study is part of a larger and more complex project whose objective is to verify whether the development of research Spin-Offs and in particular academics, operating in the environment sector, or more generally sustainable, facilitate the transition from the classic model of linear economics to the innovative model of circular economics. The aim of the paper is to investigate how spin off enterprises can be a driver for the development of a Circular Business Model and to facilitate the transition from the classical model of linear economy to the new model of Circular Economy. At the methodological level, a multiple compared analysis was made between a sample of firms located in Lazio Region- Italy, that operates in the area of green economy Smart Specialization Strategy (S3). The analysis shows a rapid succession of variables that lead to the identification of four scenarios, deriving from the interconnection of the outcome: &amp;ldquo;closed loop&amp;rdquo;, &amp;ldquo;open loop&amp;rdquo; and the presence or absence of Circular Economy practices. The result confirms that the Academic Spin-Offs can be a driver of Circular economy, as long as that fall within the IV scenario, characterized by the interconnection of an open loop system that works in a circular approach. The &amp;ldquo;High valorization of waste&amp;rdquo; represents the discriminant in this scenario, which allows to activate a cascade system in a multi-stakeholder perspective.","container-title":"Sustainability","DOI":"10.3390/su12010423","issue":"1","language":"en","note":"number: 1\npublisher: Multidisciplinary Digital Publishing Institute","page":"423","source":"www.mdpi.com","title":"Entrepreneurial Drivers for the Development of the Circular Business Model: The Role of Academic Spin-Off","title-short":"Entrepreneurial Drivers for the Development of the Circular Business Model","volume":"12","author":[{"family":"Poponi","given":"Stefano"},{"family":"Arcese","given":"Gabriella"},{"family":"Mosconi","given":"Enrico Maria"},{"family":"Arezzo di Trifiletti","given":"Michelangelo"}],"issued":{"date-parts":[["2020",1]]}}}],"schema":"https://github.com/citation-style-language/schema/raw/master/csl-citation.json"} </w:instrText>
      </w:r>
      <w:r w:rsidR="00891E39" w:rsidRPr="008228A8">
        <w:rPr>
          <w:rFonts w:cstheme="minorHAnsi"/>
          <w:szCs w:val="22"/>
          <w:lang w:val="en-GB"/>
        </w:rPr>
        <w:fldChar w:fldCharType="separate"/>
      </w:r>
      <w:r w:rsidR="00891E39" w:rsidRPr="008228A8">
        <w:rPr>
          <w:rFonts w:cstheme="minorHAnsi"/>
          <w:noProof/>
          <w:szCs w:val="22"/>
          <w:lang w:val="en-GB"/>
        </w:rPr>
        <w:t>Poponi et al. (2020)</w:t>
      </w:r>
      <w:r w:rsidR="00891E39" w:rsidRPr="008228A8">
        <w:rPr>
          <w:rFonts w:cstheme="minorHAnsi"/>
          <w:szCs w:val="22"/>
          <w:lang w:val="en-GB"/>
        </w:rPr>
        <w:fldChar w:fldCharType="end"/>
      </w:r>
      <w:r w:rsidR="00891E39" w:rsidRPr="008228A8">
        <w:rPr>
          <w:rFonts w:cstheme="minorHAnsi"/>
          <w:szCs w:val="22"/>
          <w:lang w:val="en-GB"/>
        </w:rPr>
        <w:t xml:space="preserve">, </w:t>
      </w:r>
      <w:r w:rsidRPr="008228A8">
        <w:rPr>
          <w:rFonts w:cstheme="minorHAnsi"/>
          <w:szCs w:val="22"/>
          <w:lang w:val="en-GB"/>
        </w:rPr>
        <w:t xml:space="preserve">technology transfer and the role of </w:t>
      </w:r>
      <w:r w:rsidR="003A771F" w:rsidRPr="008228A8">
        <w:rPr>
          <w:rFonts w:cstheme="minorHAnsi"/>
          <w:szCs w:val="22"/>
          <w:lang w:val="en-GB"/>
        </w:rPr>
        <w:t xml:space="preserve">a </w:t>
      </w:r>
      <w:r w:rsidRPr="008228A8">
        <w:rPr>
          <w:rFonts w:cstheme="minorHAnsi"/>
          <w:szCs w:val="22"/>
          <w:lang w:val="en-GB"/>
        </w:rPr>
        <w:t xml:space="preserve">bridge between research and the production system is played by spin-offs defined as </w:t>
      </w:r>
      <w:r w:rsidR="00106633">
        <w:rPr>
          <w:rFonts w:cstheme="minorHAnsi"/>
          <w:szCs w:val="22"/>
          <w:lang w:val="en-GB"/>
        </w:rPr>
        <w:t>"</w:t>
      </w:r>
      <w:r w:rsidR="003A771F" w:rsidRPr="008228A8">
        <w:rPr>
          <w:rFonts w:cstheme="minorHAnsi"/>
          <w:szCs w:val="22"/>
          <w:lang w:val="en-GB"/>
        </w:rPr>
        <w:t>Science-Based</w:t>
      </w:r>
      <w:r w:rsidR="00106633">
        <w:rPr>
          <w:rFonts w:cstheme="minorHAnsi"/>
          <w:szCs w:val="22"/>
          <w:lang w:val="en-GB"/>
        </w:rPr>
        <w:t>"</w:t>
      </w:r>
      <w:r w:rsidRPr="008228A8">
        <w:rPr>
          <w:rFonts w:cstheme="minorHAnsi"/>
          <w:szCs w:val="22"/>
          <w:lang w:val="en-GB"/>
        </w:rPr>
        <w:t xml:space="preserve"> companies.</w:t>
      </w:r>
    </w:p>
    <w:p w14:paraId="6E3AF9AB" w14:textId="6789024A" w:rsidR="005839DE" w:rsidRDefault="005839DE" w:rsidP="008228A8">
      <w:pPr>
        <w:rPr>
          <w:rFonts w:cstheme="minorHAnsi"/>
          <w:szCs w:val="22"/>
          <w:lang w:val="en-GB"/>
        </w:rPr>
      </w:pPr>
    </w:p>
    <w:p w14:paraId="5A69BD03" w14:textId="79BE92EA" w:rsidR="005839DE" w:rsidRPr="00A023FA" w:rsidRDefault="005839DE" w:rsidP="005839DE">
      <w:pPr>
        <w:jc w:val="center"/>
        <w:rPr>
          <w:rFonts w:cstheme="minorHAnsi"/>
          <w:i/>
          <w:iCs/>
          <w:szCs w:val="22"/>
          <w:lang w:val="en-GB"/>
        </w:rPr>
      </w:pPr>
      <w:r w:rsidRPr="00A023FA">
        <w:rPr>
          <w:rFonts w:cstheme="minorHAnsi"/>
          <w:i/>
          <w:iCs/>
          <w:szCs w:val="22"/>
          <w:lang w:val="en-GB"/>
        </w:rPr>
        <w:t xml:space="preserve">Please place Figure </w:t>
      </w:r>
      <w:r>
        <w:rPr>
          <w:rFonts w:cstheme="minorHAnsi"/>
          <w:i/>
          <w:iCs/>
          <w:szCs w:val="22"/>
          <w:lang w:val="en-GB"/>
        </w:rPr>
        <w:t>2</w:t>
      </w:r>
      <w:r w:rsidRPr="00A023FA">
        <w:rPr>
          <w:rFonts w:cstheme="minorHAnsi"/>
          <w:i/>
          <w:iCs/>
          <w:szCs w:val="22"/>
          <w:lang w:val="en-GB"/>
        </w:rPr>
        <w:t xml:space="preserve"> about here</w:t>
      </w:r>
    </w:p>
    <w:p w14:paraId="147B549D" w14:textId="77777777" w:rsidR="005839DE" w:rsidRPr="008228A8" w:rsidRDefault="005839DE" w:rsidP="008228A8">
      <w:pPr>
        <w:rPr>
          <w:rFonts w:cstheme="minorHAnsi"/>
          <w:szCs w:val="22"/>
          <w:lang w:val="en-GB"/>
        </w:rPr>
      </w:pPr>
    </w:p>
    <w:p w14:paraId="762DE1F1" w14:textId="7E9ED3E0" w:rsidR="00891E39" w:rsidRPr="008228A8" w:rsidRDefault="009256FE" w:rsidP="008228A8">
      <w:pPr>
        <w:rPr>
          <w:rFonts w:cstheme="minorHAnsi"/>
          <w:szCs w:val="22"/>
          <w:lang w:val="en-GB"/>
        </w:rPr>
      </w:pPr>
      <w:r w:rsidRPr="008228A8">
        <w:rPr>
          <w:rFonts w:cstheme="minorHAnsi"/>
          <w:szCs w:val="22"/>
          <w:lang w:val="en-GB"/>
        </w:rPr>
        <w:t xml:space="preserve">Focusing on the need to measure the impact of industry 4.0 on the </w:t>
      </w:r>
      <w:r w:rsidR="00820A56" w:rsidRPr="008228A8">
        <w:rPr>
          <w:rFonts w:cstheme="minorHAnsi"/>
          <w:szCs w:val="22"/>
          <w:lang w:val="en-GB"/>
        </w:rPr>
        <w:t>CE</w:t>
      </w:r>
      <w:r w:rsidRPr="008228A8">
        <w:rPr>
          <w:rFonts w:cstheme="minorHAnsi"/>
          <w:szCs w:val="22"/>
          <w:lang w:val="en-GB"/>
        </w:rPr>
        <w:t xml:space="preserve">, some </w:t>
      </w:r>
      <w:r w:rsidR="00820A56" w:rsidRPr="008228A8">
        <w:rPr>
          <w:rFonts w:cstheme="minorHAnsi"/>
          <w:szCs w:val="22"/>
          <w:lang w:val="en-GB"/>
        </w:rPr>
        <w:t>persuasive</w:t>
      </w:r>
      <w:r w:rsidRPr="008228A8">
        <w:rPr>
          <w:rFonts w:cstheme="minorHAnsi"/>
          <w:szCs w:val="22"/>
          <w:lang w:val="en-GB"/>
        </w:rPr>
        <w:t xml:space="preserve"> arguments emerge. First, some scientific contributions start with the curiosity to outline methods of measuring circularity</w:t>
      </w:r>
      <w:r w:rsidR="00891E39" w:rsidRPr="008228A8">
        <w:rPr>
          <w:rFonts w:cstheme="minorHAnsi"/>
          <w:szCs w:val="22"/>
          <w:lang w:val="en-GB"/>
        </w:rPr>
        <w:t>.</w:t>
      </w:r>
      <w:r w:rsidRPr="008228A8">
        <w:rPr>
          <w:rFonts w:cstheme="minorHAnsi"/>
          <w:szCs w:val="22"/>
          <w:lang w:val="en-GB"/>
        </w:rPr>
        <w:t xml:space="preserve"> For example</w:t>
      </w:r>
      <w:r w:rsidR="00891E39" w:rsidRPr="008228A8">
        <w:rPr>
          <w:rFonts w:cstheme="minorHAnsi"/>
          <w:szCs w:val="22"/>
          <w:lang w:val="en-GB"/>
        </w:rPr>
        <w:t xml:space="preserve">, </w:t>
      </w:r>
      <w:r w:rsidR="00891E39" w:rsidRPr="008228A8">
        <w:rPr>
          <w:rFonts w:cstheme="minorHAnsi"/>
          <w:szCs w:val="22"/>
          <w:lang w:val="en-GB"/>
        </w:rPr>
        <w:fldChar w:fldCharType="begin"/>
      </w:r>
      <w:r w:rsidR="00F45764">
        <w:rPr>
          <w:rFonts w:cstheme="minorHAnsi"/>
          <w:szCs w:val="22"/>
          <w:lang w:val="en-GB"/>
        </w:rPr>
        <w:instrText xml:space="preserve"> ADDIN ZOTERO_ITEM CSL_CITATION {"citationID":"2Dum2tFf","properties":{"formattedCitation":"(Schilkowski et al., 2019)","plainCitation":"(Schilkowski et al., 2019)","dontUpdate":true,"noteIndex":0},"citationItems":[{"id":6868,"uris":["http://zotero.org/users/5243184/items/S6BEWLXY"],"uri":["http://zotero.org/users/5243184/items/S6BEWLXY"],"itemData":{"id":6868,"type":"article-journal","abstract":"Circular economy is a theoretical concept that is widely discussed in recent literature as a way to achieve increased sustainability. However, published literature focuses on how to increase circularity without analysing the status quo of circularity, which necessitates answering the question of how to measure the effectiveness of any actions implemented to advance Circular economy. Currently, there is no agreed methodology in literature on measuring the existing circularity. Therefore, this article proposes an analytical way to measure and map a regional waste economy’s circularity. The framework can be applied at a granularity of an individual materials level as well as overall at a regional level, and can quantify with a potential to improve towards a more circular economy in value as well as in volume. Data mining, conditioning, and, mathematical analysis was conducted across a number of public and private databases such as ORBIS and The Environment Agency. The proposed framework was tested taking a case of a region in the North East of England with 35,116 active companies. The methodology was validated on a different data set from another region. The results show that the methodology is able to measure a regional circularity overall as well as at an individual material level. The outcome of this research would be useful for policy makers as well as manufacturing organisations, and waste management companies as benchmarking allows a comparison between effectiveness of regional environmental regulations with their influence on driving sustainability and circular economy.","container-title":"Annals of operations research.","DOI":"http://dro.dur.ac.uk/27710/1/27710.pdf","ISSN":"0254-5330, 1572-9338","note":"number-of-pages: 0\npublisher: Springer","source":"dro.dur.ac.uk","title":"Quantifying the circularity of regional industrial waste across multi-channel enterprises.","URL":"https://doi.org/10.1007/s10479-019-03168-4","author":[{"family":"Schilkowski","given":"C."},{"family":"Shukla","given":"M."},{"family":"Choudhary","given":"S."}],"accessed":{"date-parts":[["2020",6,21]]},"issued":{"date-parts":[["2019",2,15]]}}}],"schema":"https://github.com/citation-style-language/schema/raw/master/csl-citation.json"} </w:instrText>
      </w:r>
      <w:r w:rsidR="00891E39" w:rsidRPr="008228A8">
        <w:rPr>
          <w:rFonts w:cstheme="minorHAnsi"/>
          <w:szCs w:val="22"/>
          <w:lang w:val="en-GB"/>
        </w:rPr>
        <w:fldChar w:fldCharType="separate"/>
      </w:r>
      <w:r w:rsidR="00891E39" w:rsidRPr="008228A8">
        <w:rPr>
          <w:rFonts w:cstheme="minorHAnsi"/>
          <w:noProof/>
          <w:szCs w:val="22"/>
          <w:lang w:val="en-GB"/>
        </w:rPr>
        <w:t>Schilkowski et al. (2019)</w:t>
      </w:r>
      <w:r w:rsidR="00891E39" w:rsidRPr="008228A8">
        <w:rPr>
          <w:rFonts w:cstheme="minorHAnsi"/>
          <w:szCs w:val="22"/>
          <w:lang w:val="en-GB"/>
        </w:rPr>
        <w:fldChar w:fldCharType="end"/>
      </w:r>
      <w:r w:rsidR="00891E39" w:rsidRPr="008228A8">
        <w:rPr>
          <w:rFonts w:cstheme="minorHAnsi"/>
          <w:szCs w:val="22"/>
          <w:lang w:val="en-GB"/>
        </w:rPr>
        <w:t xml:space="preserve">, </w:t>
      </w:r>
      <w:r w:rsidR="003A771F" w:rsidRPr="008228A8">
        <w:rPr>
          <w:rFonts w:cstheme="minorHAnsi"/>
          <w:szCs w:val="22"/>
          <w:lang w:val="en-GB"/>
        </w:rPr>
        <w:t>investigates</w:t>
      </w:r>
      <w:r w:rsidRPr="008228A8">
        <w:rPr>
          <w:rFonts w:cstheme="minorHAnsi"/>
          <w:szCs w:val="22"/>
          <w:lang w:val="en-GB"/>
        </w:rPr>
        <w:t xml:space="preserve"> how to </w:t>
      </w:r>
      <w:r w:rsidR="00784C0C" w:rsidRPr="008228A8">
        <w:rPr>
          <w:rFonts w:cstheme="minorHAnsi"/>
          <w:szCs w:val="22"/>
          <w:lang w:val="en-GB"/>
        </w:rPr>
        <w:t>analy</w:t>
      </w:r>
      <w:r w:rsidR="00527C14">
        <w:rPr>
          <w:rFonts w:cstheme="minorHAnsi"/>
          <w:szCs w:val="22"/>
          <w:lang w:val="en-GB"/>
        </w:rPr>
        <w:t>s</w:t>
      </w:r>
      <w:r w:rsidR="00784C0C" w:rsidRPr="008228A8">
        <w:rPr>
          <w:rFonts w:cstheme="minorHAnsi"/>
          <w:szCs w:val="22"/>
          <w:lang w:val="en-GB"/>
        </w:rPr>
        <w:t xml:space="preserve">e </w:t>
      </w:r>
      <w:r w:rsidRPr="008228A8">
        <w:rPr>
          <w:rFonts w:cstheme="minorHAnsi"/>
          <w:szCs w:val="22"/>
          <w:lang w:val="en-GB"/>
        </w:rPr>
        <w:t xml:space="preserve">the effectiveness of any action that advances the </w:t>
      </w:r>
      <w:r w:rsidR="009E0EC8">
        <w:rPr>
          <w:rFonts w:cstheme="minorHAnsi"/>
          <w:szCs w:val="22"/>
          <w:lang w:val="en-GB"/>
        </w:rPr>
        <w:t>CE</w:t>
      </w:r>
      <w:r w:rsidR="00F33ECA" w:rsidRPr="008228A8">
        <w:rPr>
          <w:rFonts w:cstheme="minorHAnsi"/>
          <w:szCs w:val="22"/>
          <w:lang w:val="en-GB"/>
        </w:rPr>
        <w:t xml:space="preserve">. </w:t>
      </w:r>
      <w:r w:rsidR="00F33ECA" w:rsidRPr="008228A8">
        <w:rPr>
          <w:rFonts w:cstheme="minorHAnsi"/>
          <w:i/>
          <w:iCs/>
          <w:szCs w:val="22"/>
          <w:lang w:val="en-GB"/>
        </w:rPr>
        <w:fldChar w:fldCharType="begin"/>
      </w:r>
      <w:r w:rsidR="00F45764">
        <w:rPr>
          <w:rFonts w:cstheme="minorHAnsi"/>
          <w:i/>
          <w:iCs/>
          <w:szCs w:val="22"/>
          <w:lang w:val="en-GB"/>
        </w:rPr>
        <w:instrText xml:space="preserve"> ADDIN ZOTERO_ITEM CSL_CITATION {"citationID":"x2ETE4AC","properties":{"formattedCitation":"(Abad\\uc0\\u237{}as Llamas et al., 2019)","plainCitation":"(Abadías Llamas et al., 2019)","dontUpdate":true,"noteIndex":0},"citationItems":[{"id":6870,"uris":["http://zotero.org/users/5243184/items/TK2XL938"],"uri":["http://zotero.org/users/5243184/items/TK2XL938"],"itemData":{"id":6870,"type":"article-journal","abstract":"The transition from a Linear to Circular Economy has become a societal challenge to be tackled. However, the increasing complexity of materials and products increases also the sophistication of the circular economy systems required to deal with them. These systems are very resource consuming, therefore, a rigorous evaluation of the impact of every “actor” in circular economy must be done at design and operation stages to ensure the sustainability of the metal-production value chain. A circular economy system implies, among others, low consumption of energy and material resources and low production of wastes or pollutant emissions. Its sustainability cannot therefore be evaluated just with one indicator. In this paper, we integrate indicators such as recovery rates, environmental impact indicators, as well as the quantities and qualities of the flows, losses and emissions, quantified through exergy. These must all be considered and evaluated simultaneously to perform a rigorous sustainability analysis. The challenges of achieving a circular processing system and society are illustrated using a unique copper flowsheet that covers the complete processing chain from ore to refined metal including among others minor elements refining, scrap recycling, residue processing, steam utilization, sulphur capture and power generation in 129 unit operations linked by 289 streams and all the compositional and thermochemical detail. Using a simulation-based approach, two scenarios have been studied and compared: (i) a representative primary copper flowsheet and (ii) excluding all waste treatment processes. This unique simulated flowsheet permits a complete evaluation of various scenarios of all copper related processing options (while any additional unit operations can also be added) and also rigorously permits an allocation of impacts of all flows, products, residues etc. as a function of the complete mineral composition. This approach to evaluating systems shows how to estimate the true losses from a system and will be a key approach to evaluate the true circularity of the circular economy system.","container-title":"Minerals Engineering","DOI":"10.1016/j.mineng.2018.11.007","ISSN":"0892-6875","journalAbbreviation":"Minerals Engineering","language":"en","page":"51-65","source":"ScienceDirect","title":"Simulation-based exergy, thermo-economic and environmental footprint analysis of primary copper production","volume":"131","author":[{"family":"Abadías Llamas","given":"A."},{"family":"Valero Delgado","given":"A."},{"family":"Valero Capilla","given":"A."},{"family":"Torres Cuadra","given":"C."},{"family":"Hultgren","given":"M."},{"family":"Peltomäki","given":"M."},{"family":"Roine","given":"A."},{"family":"Stelter","given":"M."},{"family":"Reuter","given":"M. A."}],"issued":{"date-parts":[["2019",1,15]]}}}],"schema":"https://github.com/citation-style-language/schema/raw/master/csl-citation.json"} </w:instrText>
      </w:r>
      <w:r w:rsidR="00F33ECA" w:rsidRPr="008228A8">
        <w:rPr>
          <w:rFonts w:cstheme="minorHAnsi"/>
          <w:i/>
          <w:iCs/>
          <w:szCs w:val="22"/>
          <w:lang w:val="en-GB"/>
        </w:rPr>
        <w:fldChar w:fldCharType="separate"/>
      </w:r>
      <w:r w:rsidR="00F33ECA" w:rsidRPr="008228A8">
        <w:rPr>
          <w:rFonts w:cstheme="minorHAnsi"/>
          <w:szCs w:val="22"/>
          <w:lang w:val="en-GB"/>
        </w:rPr>
        <w:t>Abadías Llamas et al. (2019)</w:t>
      </w:r>
      <w:r w:rsidR="00F33ECA" w:rsidRPr="008228A8">
        <w:rPr>
          <w:rFonts w:cstheme="minorHAnsi"/>
          <w:i/>
          <w:iCs/>
          <w:szCs w:val="22"/>
          <w:lang w:val="en-GB"/>
        </w:rPr>
        <w:fldChar w:fldCharType="end"/>
      </w:r>
      <w:r w:rsidR="00F33ECA" w:rsidRPr="008228A8">
        <w:rPr>
          <w:rFonts w:cstheme="minorHAnsi"/>
          <w:i/>
          <w:iCs/>
          <w:szCs w:val="22"/>
          <w:lang w:val="en-GB"/>
        </w:rPr>
        <w:t xml:space="preserve"> </w:t>
      </w:r>
      <w:r w:rsidRPr="008228A8">
        <w:rPr>
          <w:rFonts w:cstheme="minorHAnsi"/>
          <w:szCs w:val="22"/>
          <w:lang w:val="en-GB"/>
        </w:rPr>
        <w:t>draws attention to the need for rigorous measurement of the impact of each actor involved</w:t>
      </w:r>
      <w:r w:rsidR="00F33ECA" w:rsidRPr="008228A8">
        <w:rPr>
          <w:rFonts w:cstheme="minorHAnsi"/>
          <w:szCs w:val="22"/>
          <w:lang w:val="en-GB"/>
        </w:rPr>
        <w:t xml:space="preserve">. </w:t>
      </w:r>
      <w:r w:rsidRPr="008228A8">
        <w:rPr>
          <w:rFonts w:cstheme="minorHAnsi"/>
          <w:szCs w:val="22"/>
          <w:lang w:val="en-GB"/>
        </w:rPr>
        <w:t xml:space="preserve">The authors themselves continue to call for design and process that ensures the sustainability of the entire value chain and includes multiple indicators for </w:t>
      </w:r>
      <w:r w:rsidR="003A771F" w:rsidRPr="008228A8">
        <w:rPr>
          <w:rFonts w:cstheme="minorHAnsi"/>
          <w:szCs w:val="22"/>
          <w:lang w:val="en-GB"/>
        </w:rPr>
        <w:t>useful</w:t>
      </w:r>
      <w:r w:rsidRPr="008228A8">
        <w:rPr>
          <w:rFonts w:cstheme="minorHAnsi"/>
          <w:szCs w:val="22"/>
          <w:lang w:val="en-GB"/>
        </w:rPr>
        <w:t xml:space="preserve"> measurement. The same result is confirmed by a case study in Romania </w:t>
      </w:r>
      <w:r w:rsidR="00E172EF" w:rsidRPr="008228A8">
        <w:rPr>
          <w:rFonts w:cstheme="minorHAnsi"/>
          <w:szCs w:val="22"/>
          <w:lang w:val="en-GB"/>
        </w:rPr>
        <w:fldChar w:fldCharType="begin"/>
      </w:r>
      <w:r w:rsidR="00F45764">
        <w:rPr>
          <w:rFonts w:cstheme="minorHAnsi"/>
          <w:szCs w:val="22"/>
          <w:lang w:val="en-GB"/>
        </w:rPr>
        <w:instrText xml:space="preserve"> ADDIN ZOTERO_ITEM CSL_CITATION {"citationID":"hn5mXz3h","properties":{"formattedCitation":"(Aceleanu et al., 2019)","plainCitation":"(Aceleanu et al., 2019)","noteIndex":0},"citationItems":[{"id":6895,"uris":["http://zotero.org/users/5243184/items/29FD6QZU"],"uri":["http://zotero.org/users/5243184/items/29FD6QZU"],"itemData":{"id":6895,"type":"article-journal","abstract":"ResearchGate is a network dedicated to science and research. Connect, collaborate and discover scientific publications, jobs and conferences. All for free.","container-title":"IEEE Access","DOI":"10.1109/ACCESS.2019.2928999","language":"en","note":"source: www.researchgate.net","page":"1-1","title":"The Management of Municipal Waste through Circular Economy in the Context of Smart Cities Development","volume":"PP(99)","author":[{"family":"Aceleanu","given":"Mirela Ionela"},{"family":"Serban","given":"Andreea Claudia"},{"family":"Suciu","given":"Marta-Christina"},{"family":"Biţoiu","given":"Teodora"}],"issued":{"date-parts":[["2019"]]}}}],"schema":"https://github.com/citation-style-language/schema/raw/master/csl-citation.json"} </w:instrText>
      </w:r>
      <w:r w:rsidR="00E172EF" w:rsidRPr="008228A8">
        <w:rPr>
          <w:rFonts w:cstheme="minorHAnsi"/>
          <w:szCs w:val="22"/>
          <w:lang w:val="en-GB"/>
        </w:rPr>
        <w:fldChar w:fldCharType="separate"/>
      </w:r>
      <w:r w:rsidR="00802E14">
        <w:rPr>
          <w:rFonts w:cstheme="minorHAnsi"/>
          <w:noProof/>
          <w:szCs w:val="22"/>
          <w:lang w:val="en-GB"/>
        </w:rPr>
        <w:t>(Aceleanu et al., 2019)</w:t>
      </w:r>
      <w:r w:rsidR="00E172EF" w:rsidRPr="008228A8">
        <w:rPr>
          <w:rFonts w:cstheme="minorHAnsi"/>
          <w:szCs w:val="22"/>
          <w:lang w:val="en-GB"/>
        </w:rPr>
        <w:fldChar w:fldCharType="end"/>
      </w:r>
      <w:r w:rsidR="00E172EF" w:rsidRPr="008228A8">
        <w:rPr>
          <w:rFonts w:cstheme="minorHAnsi"/>
          <w:szCs w:val="22"/>
          <w:lang w:val="en-GB"/>
        </w:rPr>
        <w:t xml:space="preserve">. </w:t>
      </w:r>
      <w:r w:rsidRPr="008228A8">
        <w:rPr>
          <w:rFonts w:cstheme="minorHAnsi"/>
          <w:szCs w:val="22"/>
          <w:lang w:val="en-GB"/>
        </w:rPr>
        <w:t>The disruptive element resulting from both studies is the role of citizen participation. According to</w:t>
      </w:r>
      <w:r w:rsidR="00F33ECA" w:rsidRPr="008228A8">
        <w:rPr>
          <w:rFonts w:cstheme="minorHAnsi"/>
          <w:szCs w:val="22"/>
          <w:lang w:val="en-GB"/>
        </w:rPr>
        <w:t xml:space="preserve"> </w:t>
      </w:r>
      <w:r w:rsidR="00891E39" w:rsidRPr="008228A8">
        <w:rPr>
          <w:rFonts w:cstheme="minorHAnsi"/>
          <w:szCs w:val="22"/>
          <w:lang w:val="en-GB"/>
        </w:rPr>
        <w:fldChar w:fldCharType="begin"/>
      </w:r>
      <w:r w:rsidR="00F45764">
        <w:rPr>
          <w:rFonts w:cstheme="minorHAnsi"/>
          <w:szCs w:val="22"/>
          <w:lang w:val="en-GB"/>
        </w:rPr>
        <w:instrText xml:space="preserve"> ADDIN ZOTERO_ITEM CSL_CITATION {"citationID":"YOoYT1X8","properties":{"formattedCitation":"(Xue et al., 2018)","plainCitation":"(Xue et al., 2018)","dontUpdate":true,"noteIndex":0},"citationItems":[{"id":6871,"uris":["http://zotero.org/users/5243184/items/ANYUCUWU"],"uri":["http://zotero.org/users/5243184/items/ANYUCUWU"],"itemData":{"id":6871,"type":"article-journal","abstract":"Growth of urban population around the world and, particularly, within urban areas, has placed various pressing challenges on Food, Energy, and Water (FEW) such as food security, water safety as well as energy scarcity and so on. Current studies on urban FEW nexus are mainly focused on the correlation analysis of elements by pairs, while these works are developed separately. With respect to the methods, the existing researches mostly adopt the bottom-up approach, accounting for the direct relationship between the individual production sectors. While the associations between the internal elements of the system still lack of simulation. In this study, we aim at developing an online open access tool for cities, the Urban Circular Economy Calculator (UCEC), which enables to develop different circular economy scenarios associated to FEW management. UCEC v1.0 uses Beijing data as test case. In particular, more than 20 circular economy policies related on food, energy and water are selected and divided into 6 categories. Long-term simulations on the social, economic and environmental impacts are provided to test the trajectories of policy effects. Being an open access tool, UCEC can be used also for supporting participatory processes as an urban management instrument. The solution is economically and financially feasible, due to the low level of technical requirements. The necessity of such a tool is proved by the societal need of transition toward a low-carbon and sustainable framework, which can be effectively supported by the introduction of circular economy. This transition, such as the idea behind UCEC, should preserve (or even improve) the societal wellbeing, while increasing basic resources (i.e.: FEW) accessibility, security and preservation.","container-title":"Energy","issue":"C","language":"en","note":"publisher: Elsevier","page":"475-495","source":"ideas.repec.org","title":"Development of an urban FEW nexus online analyzer to support urban circular economy strategy planning","volume":"164","author":[{"family":"Xue","given":"Jingyan"},{"family":"Liu","given":"Gengyuan"},{"family":"Casazza","given":"Marco"},{"family":"Ulgiati","given":"Sergio"}],"issued":{"date-parts":[["2018"]]}}}],"schema":"https://github.com/citation-style-language/schema/raw/master/csl-citation.json"} </w:instrText>
      </w:r>
      <w:r w:rsidR="00891E39" w:rsidRPr="008228A8">
        <w:rPr>
          <w:rFonts w:cstheme="minorHAnsi"/>
          <w:szCs w:val="22"/>
          <w:lang w:val="en-GB"/>
        </w:rPr>
        <w:fldChar w:fldCharType="separate"/>
      </w:r>
      <w:r w:rsidR="00891E39" w:rsidRPr="008228A8">
        <w:rPr>
          <w:rFonts w:cstheme="minorHAnsi"/>
          <w:noProof/>
          <w:szCs w:val="22"/>
          <w:lang w:val="en-GB"/>
        </w:rPr>
        <w:t>Xue et al.</w:t>
      </w:r>
      <w:r w:rsidR="00F33ECA" w:rsidRPr="008228A8">
        <w:rPr>
          <w:rFonts w:cstheme="minorHAnsi"/>
          <w:noProof/>
          <w:szCs w:val="22"/>
          <w:lang w:val="en-GB"/>
        </w:rPr>
        <w:t xml:space="preserve"> (</w:t>
      </w:r>
      <w:r w:rsidR="00891E39" w:rsidRPr="008228A8">
        <w:rPr>
          <w:rFonts w:cstheme="minorHAnsi"/>
          <w:noProof/>
          <w:szCs w:val="22"/>
          <w:lang w:val="en-GB"/>
        </w:rPr>
        <w:t>2018)</w:t>
      </w:r>
      <w:r w:rsidR="00891E39" w:rsidRPr="008228A8">
        <w:rPr>
          <w:rFonts w:cstheme="minorHAnsi"/>
          <w:szCs w:val="22"/>
          <w:lang w:val="en-GB"/>
        </w:rPr>
        <w:fldChar w:fldCharType="end"/>
      </w:r>
      <w:r w:rsidR="00F33ECA" w:rsidRPr="008228A8">
        <w:rPr>
          <w:rFonts w:cstheme="minorHAnsi"/>
          <w:szCs w:val="22"/>
          <w:lang w:val="en-GB"/>
        </w:rPr>
        <w:t>,</w:t>
      </w:r>
      <w:r w:rsidR="00F33ECA" w:rsidRPr="008228A8">
        <w:rPr>
          <w:rFonts w:cstheme="minorHAnsi"/>
          <w:i/>
          <w:iCs/>
          <w:szCs w:val="22"/>
          <w:lang w:val="en-GB"/>
        </w:rPr>
        <w:t xml:space="preserve"> </w:t>
      </w:r>
      <w:r w:rsidRPr="008228A8">
        <w:rPr>
          <w:rFonts w:cstheme="minorHAnsi"/>
          <w:szCs w:val="22"/>
          <w:lang w:val="en-GB"/>
        </w:rPr>
        <w:t>open access participatory tools for citizenship can raise awareness of the social need for a transition to a low-carbon world.</w:t>
      </w:r>
      <w:r w:rsidR="00F33ECA" w:rsidRPr="008228A8">
        <w:rPr>
          <w:rFonts w:cstheme="minorHAnsi"/>
          <w:szCs w:val="22"/>
          <w:lang w:val="en-GB"/>
        </w:rPr>
        <w:t xml:space="preserve"> </w:t>
      </w:r>
    </w:p>
    <w:p w14:paraId="5941E325" w14:textId="2877E3F0" w:rsidR="009256FE" w:rsidRPr="008228A8" w:rsidRDefault="003A771F" w:rsidP="008228A8">
      <w:pPr>
        <w:rPr>
          <w:rFonts w:cstheme="minorHAnsi"/>
          <w:szCs w:val="22"/>
          <w:lang w:val="en-GB"/>
        </w:rPr>
      </w:pPr>
      <w:r w:rsidRPr="008228A8">
        <w:rPr>
          <w:rFonts w:cstheme="minorHAnsi"/>
          <w:szCs w:val="22"/>
          <w:lang w:val="en-GB"/>
        </w:rPr>
        <w:t>Besides</w:t>
      </w:r>
      <w:r w:rsidR="009256FE" w:rsidRPr="008228A8">
        <w:rPr>
          <w:rFonts w:cstheme="minorHAnsi"/>
          <w:szCs w:val="22"/>
          <w:lang w:val="en-GB"/>
        </w:rPr>
        <w:t xml:space="preserve">, numerous studies focus on </w:t>
      </w:r>
      <w:r w:rsidR="00820A56" w:rsidRPr="008228A8">
        <w:rPr>
          <w:rFonts w:cstheme="minorHAnsi"/>
          <w:szCs w:val="22"/>
          <w:lang w:val="en-GB"/>
        </w:rPr>
        <w:t>CE</w:t>
      </w:r>
      <w:r w:rsidR="009256FE" w:rsidRPr="008228A8">
        <w:rPr>
          <w:rFonts w:cstheme="minorHAnsi"/>
          <w:szCs w:val="22"/>
          <w:lang w:val="en-GB"/>
        </w:rPr>
        <w:t xml:space="preserve"> applications in different sectors than the discussion of professionals. For example</w:t>
      </w:r>
      <w:r w:rsidR="009442D7" w:rsidRPr="008228A8">
        <w:rPr>
          <w:rFonts w:cstheme="minorHAnsi"/>
          <w:szCs w:val="22"/>
          <w:lang w:val="en-GB"/>
        </w:rPr>
        <w:t xml:space="preserve">, </w:t>
      </w:r>
      <w:r w:rsidR="001B3E25" w:rsidRPr="008228A8">
        <w:rPr>
          <w:rFonts w:cstheme="minorHAnsi"/>
          <w:szCs w:val="22"/>
          <w:lang w:val="en-GB"/>
        </w:rPr>
        <w:fldChar w:fldCharType="begin"/>
      </w:r>
      <w:r w:rsidR="00F45764">
        <w:rPr>
          <w:rFonts w:cstheme="minorHAnsi"/>
          <w:szCs w:val="22"/>
          <w:lang w:val="en-GB"/>
        </w:rPr>
        <w:instrText xml:space="preserve"> ADDIN ZOTERO_ITEM CSL_CITATION {"citationID":"ER3X61ms","properties":{"formattedCitation":"(Molina-Moreno et al., 2018)","plainCitation":"(Molina-Moreno et al., 2018)","dontUpdate":true,"noteIndex":0},"citationItems":[{"id":6873,"uris":["http://zotero.org/users/5243184/items/WWRWHDBM"],"uri":["http://zotero.org/users/5243184/items/WWRWHDBM"],"itemData":{"id":6873,"type":"article-journal","abstract":"The impact of public lighting on consumed energy, financial cost, use of raw materials, and the environment is a major concern nowadays. The high amounts of energy needed to satisfy the increasing demands of cities around the world has led researchers to look for alternatives to classical fossil sources, with low implementation in public lighting up to date. In this context, circular economy (CE) proposes a new perspective of engineering based on smart design for the future life of products where even wastes have an added value as technological nutrients for other applications. A convergent consideration of CE and the urgent necessity of more sustainable public lighting leads to this proposal. The ad hoc use of a local biomass plant for powering the public lighting of one small city is considered, and important conclusions reinforcing the link between lighting and CE are presented.","container-title":"Energies","DOI":"10.3390/en11071783","issue":"7","language":"en","note":"number: 7\npublisher: Multidisciplinary Digital Publishing Institute","page":"1783","source":"www.mdpi.com","title":"The Use of Led Technology and Biomass to Power Public Lighting in a Local Context: The Case of Baeza (Spain)","title-short":"The Use of Led Technology and Biomass to Power Public Lighting in a Local Context","volume":"11","author":[{"family":"Molina-Moreno","given":"Valentín"},{"family":"Núñez-Cacho Utrilla","given":"Pedro"},{"family":"Cortés-García","given":"Francisco J."},{"family":"Peña-García","given":"Antonio"}],"issued":{"date-parts":[["2018",7]]}}}],"schema":"https://github.com/citation-style-language/schema/raw/master/csl-citation.json"} </w:instrText>
      </w:r>
      <w:r w:rsidR="001B3E25" w:rsidRPr="008228A8">
        <w:rPr>
          <w:rFonts w:cstheme="minorHAnsi"/>
          <w:szCs w:val="22"/>
          <w:lang w:val="en-GB"/>
        </w:rPr>
        <w:fldChar w:fldCharType="separate"/>
      </w:r>
      <w:r w:rsidR="001B3E25" w:rsidRPr="008228A8">
        <w:rPr>
          <w:rFonts w:cstheme="minorHAnsi"/>
          <w:noProof/>
          <w:szCs w:val="22"/>
          <w:lang w:val="en-GB"/>
        </w:rPr>
        <w:t>Molina-Moreno et al.</w:t>
      </w:r>
      <w:r w:rsidR="009442D7" w:rsidRPr="008228A8">
        <w:rPr>
          <w:rFonts w:cstheme="minorHAnsi"/>
          <w:noProof/>
          <w:szCs w:val="22"/>
          <w:lang w:val="en-GB"/>
        </w:rPr>
        <w:t xml:space="preserve"> (</w:t>
      </w:r>
      <w:r w:rsidR="001B3E25" w:rsidRPr="008228A8">
        <w:rPr>
          <w:rFonts w:cstheme="minorHAnsi"/>
          <w:noProof/>
          <w:szCs w:val="22"/>
          <w:lang w:val="en-GB"/>
        </w:rPr>
        <w:t>2018)</w:t>
      </w:r>
      <w:r w:rsidR="001B3E25" w:rsidRPr="008228A8">
        <w:rPr>
          <w:rFonts w:cstheme="minorHAnsi"/>
          <w:szCs w:val="22"/>
          <w:lang w:val="en-GB"/>
        </w:rPr>
        <w:fldChar w:fldCharType="end"/>
      </w:r>
      <w:r w:rsidR="009442D7" w:rsidRPr="008228A8">
        <w:rPr>
          <w:rFonts w:cstheme="minorHAnsi"/>
          <w:szCs w:val="22"/>
          <w:lang w:val="en-GB"/>
        </w:rPr>
        <w:t xml:space="preserve"> </w:t>
      </w:r>
      <w:r w:rsidR="009256FE" w:rsidRPr="008228A8">
        <w:rPr>
          <w:rFonts w:cstheme="minorHAnsi"/>
          <w:szCs w:val="22"/>
          <w:lang w:val="en-GB"/>
        </w:rPr>
        <w:t xml:space="preserve">focus on new perspectives of smart design for public lighting management. This energy </w:t>
      </w:r>
      <w:r w:rsidR="00784C0C" w:rsidRPr="008228A8">
        <w:rPr>
          <w:rFonts w:cstheme="minorHAnsi"/>
          <w:szCs w:val="22"/>
          <w:lang w:val="en-GB"/>
        </w:rPr>
        <w:t>valori</w:t>
      </w:r>
      <w:r w:rsidR="00527C14">
        <w:rPr>
          <w:rFonts w:cstheme="minorHAnsi"/>
          <w:szCs w:val="22"/>
          <w:lang w:val="en-GB"/>
        </w:rPr>
        <w:t>s</w:t>
      </w:r>
      <w:r w:rsidR="00784C0C" w:rsidRPr="008228A8">
        <w:rPr>
          <w:rFonts w:cstheme="minorHAnsi"/>
          <w:szCs w:val="22"/>
          <w:lang w:val="en-GB"/>
        </w:rPr>
        <w:t xml:space="preserve">ation </w:t>
      </w:r>
      <w:r w:rsidR="009256FE" w:rsidRPr="008228A8">
        <w:rPr>
          <w:rFonts w:cstheme="minorHAnsi"/>
          <w:szCs w:val="22"/>
          <w:lang w:val="en-GB"/>
        </w:rPr>
        <w:t>has also been investigated by</w:t>
      </w:r>
      <w:r w:rsidR="009442D7" w:rsidRPr="008228A8">
        <w:rPr>
          <w:rFonts w:cstheme="minorHAnsi"/>
          <w:szCs w:val="22"/>
          <w:lang w:val="en-GB"/>
        </w:rPr>
        <w:t xml:space="preserve"> </w:t>
      </w:r>
      <w:r w:rsidR="001B3E25" w:rsidRPr="008228A8">
        <w:rPr>
          <w:rFonts w:cstheme="minorHAnsi"/>
          <w:szCs w:val="22"/>
          <w:lang w:val="en-GB"/>
        </w:rPr>
        <w:fldChar w:fldCharType="begin"/>
      </w:r>
      <w:r w:rsidR="00F45764">
        <w:rPr>
          <w:rFonts w:cstheme="minorHAnsi"/>
          <w:szCs w:val="22"/>
          <w:lang w:val="en-GB"/>
        </w:rPr>
        <w:instrText xml:space="preserve"> ADDIN ZOTERO_ITEM CSL_CITATION {"citationID":"LqiEiV9c","properties":{"formattedCitation":"(Matino et al., 2017)","plainCitation":"(Matino et al., 2017)","dontUpdate":true,"noteIndex":0},"citationItems":[{"id":6884,"uris":["http://zotero.org/users/5243184/items/UPRA3Z9R"],"uri":["http://zotero.org/users/5243184/items/UPRA3Z9R"],"itemData":{"id":6884,"type":"article-journal","abstract":"The electric steel production is in line with the circular economy concept due to the reuse of scrap. However, being energy intensive industries with a significant environmental impact, electric steelworks can increase their competitiveness and environmental sustainability through an adequate management of resource and energy. The paper presents a work related to the quantification of electric energy consumption and environmental impact of unconventional electric steelmaking scenarios while simultaneously monitoring the steel composition. The exploitation of an ad-hoc developed Decision Support Tool highlights that scrap quality strongly affects the monitored energy and environmental parameters (quantified in terms of Key Performance Indicators and aggregated in a Global Index). Moreover, the developed simulations pointed out that the removal of Fe-alloy addition during EAF tapping allows reducing slag and improving the yield by preserving also the steel quality while slightly increasing the electric energy consumption: in countries where the price and the emissions related to the production of electricity are low, this can be a good compromise to improve the environmental sustainability of the sector. The study shows that also limited modifications of the well-known electric steelmaking process could help to increase the sustainability of this energy intensive industrial production route.","collection-title":"Transformative Innovations for a Sustainable Future – Part II","container-title":"Applied Energy","DOI":"10.1016/j.apenergy.2017.06.088","ISSN":"0306-2619","journalAbbreviation":"Applied Energy","language":"en","page":"543-552","source":"ScienceDirect","title":"Quantification of energy and environmental impacts in uncommon electric steelmaking scenarios to improve process sustainability","volume":"207","author":[{"family":"Matino","given":"Ismael"},{"family":"Colla","given":"Valentina"},{"family":"Baragiola","given":"Stefano"}],"issued":{"date-parts":[["2017",12,1]]}}}],"schema":"https://github.com/citation-style-language/schema/raw/master/csl-citation.json"} </w:instrText>
      </w:r>
      <w:r w:rsidR="001B3E25" w:rsidRPr="008228A8">
        <w:rPr>
          <w:rFonts w:cstheme="minorHAnsi"/>
          <w:szCs w:val="22"/>
          <w:lang w:val="en-GB"/>
        </w:rPr>
        <w:fldChar w:fldCharType="separate"/>
      </w:r>
      <w:r w:rsidR="001B3E25" w:rsidRPr="008228A8">
        <w:rPr>
          <w:rFonts w:cstheme="minorHAnsi"/>
          <w:szCs w:val="22"/>
          <w:lang w:val="en-GB"/>
        </w:rPr>
        <w:t>Matino et al.</w:t>
      </w:r>
      <w:r w:rsidR="009442D7" w:rsidRPr="008228A8">
        <w:rPr>
          <w:rFonts w:cstheme="minorHAnsi"/>
          <w:szCs w:val="22"/>
          <w:lang w:val="en-GB"/>
        </w:rPr>
        <w:t xml:space="preserve"> (</w:t>
      </w:r>
      <w:r w:rsidR="001B3E25" w:rsidRPr="008228A8">
        <w:rPr>
          <w:rFonts w:cstheme="minorHAnsi"/>
          <w:szCs w:val="22"/>
          <w:lang w:val="en-GB"/>
        </w:rPr>
        <w:t>2017)</w:t>
      </w:r>
      <w:r w:rsidR="001B3E25" w:rsidRPr="008228A8">
        <w:rPr>
          <w:rFonts w:cstheme="minorHAnsi"/>
          <w:szCs w:val="22"/>
          <w:lang w:val="en-GB"/>
        </w:rPr>
        <w:fldChar w:fldCharType="end"/>
      </w:r>
      <w:r w:rsidR="009442D7" w:rsidRPr="008228A8">
        <w:rPr>
          <w:rFonts w:cstheme="minorHAnsi"/>
          <w:szCs w:val="22"/>
          <w:lang w:val="en-GB"/>
        </w:rPr>
        <w:t xml:space="preserve"> </w:t>
      </w:r>
      <w:r w:rsidR="00784C0C" w:rsidRPr="008228A8">
        <w:rPr>
          <w:rFonts w:cstheme="minorHAnsi"/>
          <w:szCs w:val="22"/>
          <w:lang w:val="en-GB"/>
        </w:rPr>
        <w:t>analy</w:t>
      </w:r>
      <w:r w:rsidR="00527C14">
        <w:rPr>
          <w:rFonts w:cstheme="minorHAnsi"/>
          <w:szCs w:val="22"/>
          <w:lang w:val="en-GB"/>
        </w:rPr>
        <w:t>s</w:t>
      </w:r>
      <w:r w:rsidR="00784C0C" w:rsidRPr="008228A8">
        <w:rPr>
          <w:rFonts w:cstheme="minorHAnsi"/>
          <w:szCs w:val="22"/>
          <w:lang w:val="en-GB"/>
        </w:rPr>
        <w:t xml:space="preserve">ing </w:t>
      </w:r>
      <w:r w:rsidR="009256FE" w:rsidRPr="008228A8">
        <w:rPr>
          <w:rFonts w:cstheme="minorHAnsi"/>
          <w:szCs w:val="22"/>
          <w:lang w:val="en-GB"/>
        </w:rPr>
        <w:t xml:space="preserve">the energy use of </w:t>
      </w:r>
      <w:r w:rsidRPr="008228A8">
        <w:rPr>
          <w:rFonts w:cstheme="minorHAnsi"/>
          <w:szCs w:val="22"/>
          <w:lang w:val="en-GB"/>
        </w:rPr>
        <w:t>steel-producing</w:t>
      </w:r>
      <w:r w:rsidR="009256FE" w:rsidRPr="008228A8">
        <w:rPr>
          <w:rFonts w:cstheme="minorHAnsi"/>
          <w:szCs w:val="22"/>
          <w:lang w:val="en-GB"/>
        </w:rPr>
        <w:t xml:space="preserve"> industries</w:t>
      </w:r>
      <w:r w:rsidR="009442D7" w:rsidRPr="008228A8">
        <w:rPr>
          <w:rFonts w:cstheme="minorHAnsi"/>
          <w:szCs w:val="22"/>
          <w:lang w:val="en-GB"/>
        </w:rPr>
        <w:t xml:space="preserve">. </w:t>
      </w:r>
      <w:r w:rsidR="009256FE" w:rsidRPr="008228A8">
        <w:rPr>
          <w:rFonts w:cstheme="minorHAnsi"/>
          <w:szCs w:val="22"/>
          <w:lang w:val="en-GB"/>
        </w:rPr>
        <w:t>Another element presents in the results of professionals, but which finds in the academic world a feasible model is the strategy of intelligent control of greenhouse gas (GHG) emissions</w:t>
      </w:r>
      <w:r w:rsidR="009442D7" w:rsidRPr="008228A8">
        <w:rPr>
          <w:rFonts w:cstheme="minorHAnsi"/>
          <w:szCs w:val="22"/>
          <w:lang w:val="en-GB"/>
        </w:rPr>
        <w:t xml:space="preserve">. </w:t>
      </w:r>
      <w:r w:rsidR="009256FE" w:rsidRPr="008228A8">
        <w:rPr>
          <w:rFonts w:cstheme="minorHAnsi"/>
          <w:szCs w:val="22"/>
          <w:lang w:val="en-GB"/>
        </w:rPr>
        <w:t xml:space="preserve">This concept is investigated by </w:t>
      </w:r>
      <w:r w:rsidR="009442D7" w:rsidRPr="008228A8">
        <w:rPr>
          <w:rFonts w:cstheme="minorHAnsi"/>
          <w:szCs w:val="22"/>
          <w:lang w:val="en-GB"/>
        </w:rPr>
        <w:fldChar w:fldCharType="begin"/>
      </w:r>
      <w:r w:rsidR="00F45764">
        <w:rPr>
          <w:rFonts w:cstheme="minorHAnsi"/>
          <w:szCs w:val="22"/>
          <w:lang w:val="en-GB"/>
        </w:rPr>
        <w:instrText xml:space="preserve"> ADDIN ZOTERO_ITEM CSL_CITATION {"citationID":"tKUcgmou","properties":{"formattedCitation":"(Navarro et al., 2018)","plainCitation":"(Navarro et al., 2018)","dontUpdate":true,"noteIndex":0},"citationItems":[{"id":6876,"uris":["http://zotero.org/users/5243184/items/MHLUVJUD"],"uri":["http://zotero.org/users/5243184/items/MHLUVJUD"],"itemData":{"id":6876,"type":"article-journal","abstract":"The current scenario where the effects of global warming are more and more evident, has motivated different initiatives for facing this, such as the creation of global policies with a clear environmental guideline. Within these policies, the control of Greenhouse Gase (GHG) emissions has been defined as mandatory, but for carrying out this, a smart strategy is proposed. This is the application of a circular economy model, which seeks to minimize the generation of waste and maximize the efficient use of resources. From this point of view, CO2 recycling is an alternative to reduce emissions to the atmosphere, and we need to look for new business models which valorization this compound which now must be considered as a renewable carbon source. This has renewed the interest in known processes for the chemical transformation of CO2 but that have not been applied at industrial level because they do not offer evident profitability. For example, the methane produced in the Sabatier reaction has a great potential for application, but this depends on the existence of a sustainable supply of hydrogen and a greater efficiency during the process that allows maximizing energy efficiency and thermal control to maximize the methane yield. Regarding energy efficiency and thermal control of the process, the use of structured reactors is an appropriate strategy. The evolution of new technologies, such as 3D printing, and the consolidation of knowledge in the structing of catalysts has enabled the use of these reactors to develop a wide range of possibilities in the field. In this sense, the present review presents a brief description of the main policies that have motivated the transition to a circular economy model and within this, to CO2 recycling. This allows understanding, why efforts are being focused on the development of different reactions for CO2 valorization. Special attention to the case of the Sabatier reaction and in the application of structured reactors for such process is paid.","container-title":"Catalysts","DOI":"10.3390/catal8120578","issue":"12","language":"en","note":"number: 12\npublisher: Multidisciplinary Digital Publishing Institute","page":"578","source":"www.mdpi.com","title":"Policies and Motivations for the CO2 Valorization through the Sabatier Reaction Using Structured Catalysts. A Review of the Most Recent Advances","volume":"8","author":[{"family":"Navarro","given":"Juan C."},{"family":"Centeno","given":"Miguel A."},{"family":"Laguna","given":"Oscar H."},{"family":"Odriozola","given":"José A."}],"issued":{"date-parts":[["2018",12]]}}}],"schema":"https://github.com/citation-style-language/schema/raw/master/csl-citation.json"} </w:instrText>
      </w:r>
      <w:r w:rsidR="009442D7" w:rsidRPr="008228A8">
        <w:rPr>
          <w:rFonts w:cstheme="minorHAnsi"/>
          <w:szCs w:val="22"/>
          <w:lang w:val="en-GB"/>
        </w:rPr>
        <w:fldChar w:fldCharType="separate"/>
      </w:r>
      <w:r w:rsidR="009442D7" w:rsidRPr="008228A8">
        <w:rPr>
          <w:rFonts w:cstheme="minorHAnsi"/>
          <w:noProof/>
          <w:szCs w:val="22"/>
          <w:lang w:val="en-GB"/>
        </w:rPr>
        <w:t>Navarro et al. (2018)</w:t>
      </w:r>
      <w:r w:rsidR="009442D7" w:rsidRPr="008228A8">
        <w:rPr>
          <w:rFonts w:cstheme="minorHAnsi"/>
          <w:szCs w:val="22"/>
          <w:lang w:val="en-GB"/>
        </w:rPr>
        <w:fldChar w:fldCharType="end"/>
      </w:r>
      <w:r w:rsidR="009442D7" w:rsidRPr="008228A8">
        <w:rPr>
          <w:rFonts w:cstheme="minorHAnsi"/>
          <w:szCs w:val="22"/>
          <w:lang w:val="en-GB"/>
        </w:rPr>
        <w:t xml:space="preserve"> </w:t>
      </w:r>
      <w:r w:rsidR="009256FE" w:rsidRPr="008228A8">
        <w:rPr>
          <w:rFonts w:cstheme="minorHAnsi"/>
          <w:szCs w:val="22"/>
          <w:lang w:val="en-GB"/>
        </w:rPr>
        <w:t xml:space="preserve">which investigates CO2 recycling and </w:t>
      </w:r>
      <w:r w:rsidR="00784C0C" w:rsidRPr="008228A8">
        <w:rPr>
          <w:rFonts w:cstheme="minorHAnsi"/>
          <w:szCs w:val="22"/>
          <w:lang w:val="en-GB"/>
        </w:rPr>
        <w:t>valori</w:t>
      </w:r>
      <w:r w:rsidR="00527C14">
        <w:rPr>
          <w:rFonts w:cstheme="minorHAnsi"/>
          <w:szCs w:val="22"/>
          <w:lang w:val="en-GB"/>
        </w:rPr>
        <w:t>s</w:t>
      </w:r>
      <w:r w:rsidR="00784C0C" w:rsidRPr="008228A8">
        <w:rPr>
          <w:rFonts w:cstheme="minorHAnsi"/>
          <w:szCs w:val="22"/>
          <w:lang w:val="en-GB"/>
        </w:rPr>
        <w:t xml:space="preserve">ation </w:t>
      </w:r>
      <w:r w:rsidR="009256FE" w:rsidRPr="008228A8">
        <w:rPr>
          <w:rFonts w:cstheme="minorHAnsi"/>
          <w:szCs w:val="22"/>
          <w:lang w:val="en-GB"/>
        </w:rPr>
        <w:t xml:space="preserve">actions. Also </w:t>
      </w:r>
      <w:r w:rsidRPr="008228A8">
        <w:rPr>
          <w:rFonts w:cstheme="minorHAnsi"/>
          <w:szCs w:val="22"/>
          <w:lang w:val="en-GB"/>
        </w:rPr>
        <w:t>impressive</w:t>
      </w:r>
      <w:r w:rsidR="009256FE" w:rsidRPr="008228A8">
        <w:rPr>
          <w:rFonts w:cstheme="minorHAnsi"/>
          <w:szCs w:val="22"/>
          <w:lang w:val="en-GB"/>
        </w:rPr>
        <w:t xml:space="preserve"> is the contribution of</w:t>
      </w:r>
      <w:r w:rsidR="007A5ACD" w:rsidRPr="008228A8">
        <w:rPr>
          <w:rFonts w:cstheme="minorHAnsi"/>
          <w:szCs w:val="22"/>
          <w:lang w:val="en-GB"/>
        </w:rPr>
        <w:t xml:space="preserve"> </w:t>
      </w:r>
      <w:r w:rsidR="007A5ACD" w:rsidRPr="008228A8">
        <w:rPr>
          <w:rFonts w:cstheme="minorHAnsi"/>
          <w:szCs w:val="22"/>
          <w:lang w:val="en-GB"/>
        </w:rPr>
        <w:fldChar w:fldCharType="begin"/>
      </w:r>
      <w:r w:rsidR="00F45764">
        <w:rPr>
          <w:rFonts w:cstheme="minorHAnsi"/>
          <w:szCs w:val="22"/>
          <w:lang w:val="en-GB"/>
        </w:rPr>
        <w:instrText xml:space="preserve"> ADDIN ZOTERO_ITEM CSL_CITATION {"citationID":"tr6k658J","properties":{"formattedCitation":"(Vondra et al., 2019)","plainCitation":"(Vondra et al., 2019)","dontUpdate":true,"noteIndex":0},"citationItems":[{"id":6889,"uris":["http://zotero.org/users/5243184/items/72LGSLD3"],"uri":["http://zotero.org/users/5243184/items/72LGSLD3"],"itemData":{"id":6889,"type":"article-journal","abstract":"Biogas production is one of the most promising pathways toward fully utilizing green energy within a circular economy. The anaerobic digestion process is the industry standard technology for biogas production due to its lowered energy consumption and its reliance on microbiology. Even in such an environmental-friendly process, liquid digestate is still produced from the remains of digested bio-feedstock and will require treatment. With unsuitable treatment procedure for liquid digestate, the mass of bio-feedstock can potentially escape the circular supply chain within the economy. This paper recommends the implementation of evaporator systems to provide a sustainable liquid digestate treating mechanism within the economy. Studied evaporator systems are represented by vacuum evaporation in combination with ammonia scrubber, stripping and reverse osmosis. Nevertheless, complex multi-dimensional decisions should be made by stakeholders before implementing such systems. Our work utilizes a novel techno-economics model to study the techno-economics robustness in implementing recent state-of-art vacuum evaporation systems with exploitation of waste heat from combined heat and power (CHP) units in biogas plants (BGP). To take into the account the stochasticity of the real world and robustness of the analysis, we used the Monte-Carlo simulation technique to generate more than 20,000 of different possibilities for the implementation of the evaporation system. Favourable decision pathways are then selected using a novel methodology which utilizes the artificial neural network and a hyper-optimized decision tree classifier. Two pathways that give the highest probability of providing a fast payback period are identified. Descriptive statistics are also used to analyse the distributions of decision parameters that lead to success in implementing the evaporator system. The results highlighted that integration of evaporation system are favourable when transport costs and incentives for CHP units are large and while feed-in tariffs for electricity production and specific investment costs are low. The result of this work is expected to pave the way for BGP stakeholders and decision makers in implementing liquid digestate treating technologies within the currently existing infrastructure.","container-title":"Journal of Cleaner Production","DOI":"10.1016/j.jclepro.2019.117870","ISSN":"0959-6526","journalAbbreviation":"Journal of Cleaner Production","language":"en","page":"117870","source":"ScienceDirect","title":"Digestate evaporation treatment in biogas plants: A techno-economic assessment by Monte Carlo, neural networks and decision trees","title-short":"Digestate evaporation treatment in biogas plants","volume":"238","author":[{"family":"Vondra","given":"Marek"},{"family":"Touš","given":"Michal"},{"family":"Teng","given":"Sin Yong"}],"issued":{"date-parts":[["2019",11,20]]}}}],"schema":"https://github.com/citation-style-language/schema/raw/master/csl-citation.json"} </w:instrText>
      </w:r>
      <w:r w:rsidR="007A5ACD" w:rsidRPr="008228A8">
        <w:rPr>
          <w:rFonts w:cstheme="minorHAnsi"/>
          <w:szCs w:val="22"/>
          <w:lang w:val="en-GB"/>
        </w:rPr>
        <w:fldChar w:fldCharType="separate"/>
      </w:r>
      <w:r w:rsidR="007A5ACD" w:rsidRPr="008228A8">
        <w:rPr>
          <w:rFonts w:cstheme="minorHAnsi"/>
          <w:noProof/>
          <w:szCs w:val="22"/>
          <w:lang w:val="en-GB"/>
        </w:rPr>
        <w:t>Vondra et al. (2019)</w:t>
      </w:r>
      <w:r w:rsidR="007A5ACD" w:rsidRPr="008228A8">
        <w:rPr>
          <w:rFonts w:cstheme="minorHAnsi"/>
          <w:szCs w:val="22"/>
          <w:lang w:val="en-GB"/>
        </w:rPr>
        <w:fldChar w:fldCharType="end"/>
      </w:r>
      <w:r w:rsidR="007A5ACD" w:rsidRPr="008228A8">
        <w:rPr>
          <w:rFonts w:cstheme="minorHAnsi"/>
          <w:szCs w:val="22"/>
          <w:lang w:val="en-GB"/>
        </w:rPr>
        <w:t xml:space="preserve"> </w:t>
      </w:r>
      <w:r w:rsidR="009256FE" w:rsidRPr="008228A8">
        <w:rPr>
          <w:rFonts w:cstheme="minorHAnsi"/>
          <w:szCs w:val="22"/>
          <w:lang w:val="en-GB"/>
        </w:rPr>
        <w:t xml:space="preserve">on the use of green energy such as biogas, the result of which should stimulate the </w:t>
      </w:r>
      <w:r w:rsidRPr="008228A8">
        <w:rPr>
          <w:rFonts w:cstheme="minorHAnsi"/>
          <w:szCs w:val="22"/>
          <w:lang w:val="en-GB"/>
        </w:rPr>
        <w:t>implementation</w:t>
      </w:r>
      <w:r w:rsidR="009256FE" w:rsidRPr="008228A8">
        <w:rPr>
          <w:rFonts w:cstheme="minorHAnsi"/>
          <w:szCs w:val="22"/>
          <w:lang w:val="en-GB"/>
        </w:rPr>
        <w:t xml:space="preserve"> of technologies for the treatment of liquid digestate. </w:t>
      </w:r>
    </w:p>
    <w:p w14:paraId="4FB3E160" w14:textId="5CE1D03F" w:rsidR="009256FE" w:rsidRPr="008228A8" w:rsidRDefault="009256FE" w:rsidP="008228A8">
      <w:pPr>
        <w:rPr>
          <w:rFonts w:cstheme="minorHAnsi"/>
          <w:szCs w:val="22"/>
          <w:lang w:val="en-GB"/>
        </w:rPr>
      </w:pPr>
      <w:r w:rsidRPr="008228A8">
        <w:rPr>
          <w:rFonts w:cstheme="minorHAnsi"/>
          <w:szCs w:val="22"/>
          <w:lang w:val="en-GB"/>
        </w:rPr>
        <w:lastRenderedPageBreak/>
        <w:t xml:space="preserve">Then </w:t>
      </w:r>
      <w:r w:rsidR="00784C0C" w:rsidRPr="008228A8">
        <w:rPr>
          <w:rFonts w:cstheme="minorHAnsi"/>
          <w:szCs w:val="22"/>
          <w:lang w:val="en-GB"/>
        </w:rPr>
        <w:t>analy</w:t>
      </w:r>
      <w:r w:rsidR="00527C14">
        <w:rPr>
          <w:rFonts w:cstheme="minorHAnsi"/>
          <w:szCs w:val="22"/>
          <w:lang w:val="en-GB"/>
        </w:rPr>
        <w:t>s</w:t>
      </w:r>
      <w:r w:rsidR="00784C0C" w:rsidRPr="008228A8">
        <w:rPr>
          <w:rFonts w:cstheme="minorHAnsi"/>
          <w:szCs w:val="22"/>
          <w:lang w:val="en-GB"/>
        </w:rPr>
        <w:t xml:space="preserve">ing </w:t>
      </w:r>
      <w:r w:rsidRPr="008228A8">
        <w:rPr>
          <w:rFonts w:cstheme="minorHAnsi"/>
          <w:szCs w:val="22"/>
          <w:lang w:val="en-GB"/>
        </w:rPr>
        <w:t xml:space="preserve">waste mitigation strategies and recycling actions, </w:t>
      </w:r>
      <w:r w:rsidR="001B3E25" w:rsidRPr="008228A8">
        <w:rPr>
          <w:rFonts w:cstheme="minorHAnsi"/>
          <w:szCs w:val="22"/>
          <w:lang w:val="en-GB"/>
        </w:rPr>
        <w:fldChar w:fldCharType="begin"/>
      </w:r>
      <w:r w:rsidR="00F45764">
        <w:rPr>
          <w:rFonts w:cstheme="minorHAnsi"/>
          <w:szCs w:val="22"/>
          <w:lang w:val="en-GB"/>
        </w:rPr>
        <w:instrText xml:space="preserve"> ADDIN ZOTERO_ITEM CSL_CITATION {"citationID":"RZcCp54q","properties":{"formattedCitation":"(Zhang et al., 2019)","plainCitation":"(Zhang et al., 2019)","dontUpdate":true,"noteIndex":0},"citationItems":[{"id":6881,"uris":["http://zotero.org/users/5243184/items/6DFKLJUQ"],"uri":["http://zotero.org/users/5243184/items/6DFKLJUQ"],"itemData":{"id":6881,"type":"article-journal","abstract":"Waste management requires a new vision and drastic improvements for a transition to a zero-waste circular economy. In reality, however, many economies are producing more and more waste, which poses a serious challenge to environmental sustainability. The problem is enormously complex as it involves a variety of stakeholders, demands behavioral changes, and requires a complete rethinking of the current waste management systems and the dominant linear economic model. Smart enabling technologies can aid in a transformation of waste management toward a circular economy, but many barriers persist. This study first shortlists twelve important barriers to smart waste management in China based on interviews with experienced practitioners. It then prioritizes these barriers through a scientific prioritization technique, fuzzy Decision-Making Trial and Evaluation Laboratory (DEMATEL), based on the survey data from three representative stakeholders. It identified three key causal barriers: the lack of regulatory pressures, the lack of environmental education and culture of environmental protection, and the lack of market pressures and demands. Practical and theoretical implications were discussed based on the research results and findings.","container-title":"Journal of Cleaner Production","DOI":"10.1016/j.jclepro.2019.118198","ISSN":"0959-6526","journalAbbreviation":"Journal of Cleaner Production","language":"en","page":"118198","source":"ScienceDirect","title":"Barriers to smart waste management for a circular economy in China","volume":"240","author":[{"family":"Zhang","given":"Abraham"},{"family":"Venkatesh","given":"V. G."},{"family":"Liu","given":"Yang"},{"family":"Wan","given":"Ming"},{"family":"Qu","given":"Ting"},{"family":"Huisingh","given":"Donald"}],"issued":{"date-parts":[["2019",12,10]]}}}],"schema":"https://github.com/citation-style-language/schema/raw/master/csl-citation.json"} </w:instrText>
      </w:r>
      <w:r w:rsidR="001B3E25" w:rsidRPr="008228A8">
        <w:rPr>
          <w:rFonts w:cstheme="minorHAnsi"/>
          <w:szCs w:val="22"/>
          <w:lang w:val="en-GB"/>
        </w:rPr>
        <w:fldChar w:fldCharType="separate"/>
      </w:r>
      <w:r w:rsidR="001B3E25" w:rsidRPr="008228A8">
        <w:rPr>
          <w:rFonts w:cstheme="minorHAnsi"/>
          <w:noProof/>
          <w:szCs w:val="22"/>
          <w:lang w:val="en-GB"/>
        </w:rPr>
        <w:t>Zhang et al.</w:t>
      </w:r>
      <w:r w:rsidR="009442D7" w:rsidRPr="008228A8">
        <w:rPr>
          <w:rFonts w:cstheme="minorHAnsi"/>
          <w:noProof/>
          <w:szCs w:val="22"/>
          <w:lang w:val="en-GB"/>
        </w:rPr>
        <w:t xml:space="preserve"> (</w:t>
      </w:r>
      <w:r w:rsidR="001B3E25" w:rsidRPr="008228A8">
        <w:rPr>
          <w:rFonts w:cstheme="minorHAnsi"/>
          <w:noProof/>
          <w:szCs w:val="22"/>
          <w:lang w:val="en-GB"/>
        </w:rPr>
        <w:t>2019)</w:t>
      </w:r>
      <w:r w:rsidR="001B3E25" w:rsidRPr="008228A8">
        <w:rPr>
          <w:rFonts w:cstheme="minorHAnsi"/>
          <w:szCs w:val="22"/>
          <w:lang w:val="en-GB"/>
        </w:rPr>
        <w:fldChar w:fldCharType="end"/>
      </w:r>
      <w:r w:rsidR="009442D7" w:rsidRPr="008228A8">
        <w:rPr>
          <w:rFonts w:cstheme="minorHAnsi"/>
          <w:szCs w:val="22"/>
          <w:lang w:val="en-GB"/>
        </w:rPr>
        <w:t xml:space="preserve"> </w:t>
      </w:r>
      <w:r w:rsidRPr="008228A8">
        <w:rPr>
          <w:rFonts w:cstheme="minorHAnsi"/>
          <w:szCs w:val="22"/>
          <w:lang w:val="en-GB"/>
        </w:rPr>
        <w:t>identifies three relevant barriers such as lack of regulatory pressure, lack of environmental education and lack of market demands. On the solutions side, the academy denotes a significant number of solutions</w:t>
      </w:r>
      <w:r w:rsidR="00E172EF" w:rsidRPr="008228A8">
        <w:rPr>
          <w:rFonts w:cstheme="minorHAnsi"/>
          <w:szCs w:val="22"/>
          <w:lang w:val="en-GB"/>
        </w:rPr>
        <w:t>.</w:t>
      </w:r>
      <w:r w:rsidRPr="008228A8">
        <w:rPr>
          <w:rFonts w:cstheme="minorHAnsi"/>
          <w:szCs w:val="22"/>
          <w:lang w:val="en-GB"/>
        </w:rPr>
        <w:t xml:space="preserve"> </w:t>
      </w:r>
      <w:r w:rsidR="00E172EF" w:rsidRPr="008228A8">
        <w:rPr>
          <w:rFonts w:cstheme="minorHAnsi"/>
          <w:szCs w:val="22"/>
          <w:lang w:val="en-GB"/>
        </w:rPr>
        <w:fldChar w:fldCharType="begin"/>
      </w:r>
      <w:r w:rsidR="00F45764">
        <w:rPr>
          <w:rFonts w:cstheme="minorHAnsi"/>
          <w:szCs w:val="22"/>
          <w:lang w:val="en-GB"/>
        </w:rPr>
        <w:instrText xml:space="preserve"> ADDIN ZOTERO_ITEM CSL_CITATION {"citationID":"a1VTe7ie","properties":{"formattedCitation":"(Akanbi et al., 2019)","plainCitation":"(Akanbi et al., 2019)","dontUpdate":true,"noteIndex":0},"citationItems":[{"id":6892,"uris":["http://zotero.org/users/5243184/items/NJDPDMU9"],"uri":["http://zotero.org/users/5243184/items/NJDPDMU9"],"itemData":{"id":6892,"type":"article-journal","abstract":"Despite the relevance of building information modelling for simulating building performance at various life cycle stages, Its use for assessing the end-of-life impacts is not a common practice. Even though the global sustainability and circular economy agendas require that buildings must have minimal impact on the environment across the entire lifecycle. In this study therefore, a disassembly and deconstruction analytics system is developed to provide buildings’ end-of-life performance assessment from the design stage. The system architecture builds on the existing building information modelling capabilities in managing building design and construction process. The architecture is made up of four different layers namely (i) Data storage layer, (ii) Semantic layer, (iii) Analytics and functional models layer and (iv) Application layer. The four layers are logically connected to function as a single system. Three key functionalities of the disassembly and deconstruction analytics system namely (i) Building Whole Life Performance Analytics (ii) Building Element Deconstruction Analytics and (iii) Design for Deconstruction Advisor are implemented as plug-in in Revit 2017. Three scenarios of a case study building design were used to test and evaluate the performance of the system. The results show that building information modelling software capabilities can be extended to provide a platform for assessing the performance of building designs in respect of the circular economy principle of keeping the embodied energy of materials perpetually in an economy. The disassembly and deconstruction analytics system would ensure that buildings are designed with design for disassembly and deconstruction principles that guarantee efficient materials recovery in mind. The disassembly and deconstruction analytics tool could also serve as a decision support platform that government and planners can use to evaluate the level of compliance of building designs to circular economy and sustainability requirements.","container-title":"Journal of Cleaner Production","DOI":"10.1016/j.jclepro.2019.03.172","ISSN":"0959-6526","journalAbbreviation":"Journal of Cleaner Production","language":"en","page":"386-396","source":"ScienceDirect","title":"Disassembly and deconstruction analytics system (D-DAS) for construction in a circular economy","volume":"223","author":[{"family":"Akanbi","given":"Lukman A."},{"family":"Oyedele","given":"Lukumon O."},{"family":"Omoteso","given":"Kamil"},{"family":"Bilal","given":"Muhammad"},{"family":"Akinade","given":"Olugbenga O."},{"family":"Ajayi","given":"Anuoluwapo O."},{"family":"Davila Delgado","given":"Juan Manuel"},{"family":"Owolabi","given":"Hakeem A."}],"issued":{"date-parts":[["2019",6,20]]}}}],"schema":"https://github.com/citation-style-language/schema/raw/master/csl-citation.json"} </w:instrText>
      </w:r>
      <w:r w:rsidR="00E172EF" w:rsidRPr="008228A8">
        <w:rPr>
          <w:rFonts w:cstheme="minorHAnsi"/>
          <w:szCs w:val="22"/>
          <w:lang w:val="en-GB"/>
        </w:rPr>
        <w:fldChar w:fldCharType="separate"/>
      </w:r>
      <w:r w:rsidR="00E172EF" w:rsidRPr="008228A8">
        <w:rPr>
          <w:rFonts w:cstheme="minorHAnsi"/>
          <w:noProof/>
          <w:szCs w:val="22"/>
          <w:lang w:val="en-GB"/>
        </w:rPr>
        <w:t>Akanbi et al. (2019)</w:t>
      </w:r>
      <w:r w:rsidR="00E172EF" w:rsidRPr="008228A8">
        <w:rPr>
          <w:rFonts w:cstheme="minorHAnsi"/>
          <w:szCs w:val="22"/>
          <w:lang w:val="en-GB"/>
        </w:rPr>
        <w:fldChar w:fldCharType="end"/>
      </w:r>
      <w:r w:rsidR="00E172EF" w:rsidRPr="008228A8">
        <w:rPr>
          <w:rFonts w:cstheme="minorHAnsi"/>
          <w:szCs w:val="22"/>
          <w:lang w:val="en-GB"/>
        </w:rPr>
        <w:t xml:space="preserve"> </w:t>
      </w:r>
      <w:r w:rsidRPr="008228A8">
        <w:rPr>
          <w:rFonts w:cstheme="minorHAnsi"/>
          <w:szCs w:val="22"/>
          <w:lang w:val="en-GB"/>
        </w:rPr>
        <w:t>contribute to the development of a disassembly and deconstruction analysis system to assess the end-of-life performance of buildings</w:t>
      </w:r>
      <w:r w:rsidR="00E172EF" w:rsidRPr="008228A8">
        <w:rPr>
          <w:rFonts w:cstheme="minorHAnsi"/>
          <w:szCs w:val="22"/>
          <w:lang w:val="en-GB"/>
        </w:rPr>
        <w:t xml:space="preserve">. </w:t>
      </w:r>
      <w:r w:rsidR="002A679C" w:rsidRPr="008228A8">
        <w:rPr>
          <w:rFonts w:cstheme="minorHAnsi"/>
          <w:szCs w:val="22"/>
          <w:lang w:val="en-GB"/>
        </w:rPr>
        <w:fldChar w:fldCharType="begin"/>
      </w:r>
      <w:r w:rsidR="00F45764">
        <w:rPr>
          <w:rFonts w:cstheme="minorHAnsi"/>
          <w:szCs w:val="22"/>
          <w:lang w:val="en-GB"/>
        </w:rPr>
        <w:instrText xml:space="preserve"> ADDIN ZOTERO_ITEM CSL_CITATION {"citationID":"CSwpMUF8","properties":{"formattedCitation":"(Tsiliyannis, 2019)","plainCitation":"(Tsiliyannis, 2019)","dontUpdate":true,"noteIndex":0},"citationItems":[{"id":6897,"uris":["http://zotero.org/users/5243184/items/QIQUT4YM"],"uri":["http://zotero.org/users/5243184/items/QIQUT4YM"],"itemData":{"id":6897,"type":"article-journal","abstract":"The EC circular economy waste directive sets ambitious recycling and reuse targets towards waste reduction and banning of landfills. Monitoring of wastes can lead to efficient policies and implementation of proactive measures for waste reduction. Up-to-date methods for waste monitoring in cyclic economy (CE) may not provide reliable and useful figures. Product stock-in-use and flows in CE, including waste flows, are uncertain due to varying demand and imports/exports, random, early losses of stock-in-use, delayed and distributed product returns or end-of-life exit and varying utilization of returns by remanufacturers. Adopting a systems perspective and using a dynamic/stochastic model of stock and flows in CE, this work quantifies waste monitoring and reduction under realistic conditions. It reveals how consumption and stock depletion consist the driving forces of waste generation, compensated by cyclic actions, reuse/remanufacturing and recycle. The conventional recycling rate and other key parameters, including the reuse rate, the mean lifetime, the remanufacturing rate, the number of reuse cycles, are shown inapt to accurately monitor end-wastes. None can consistently distinguish the environmentally superior system or state, featuring lower end-wastes. Higher recycling rates and/or higher reuse rates may not ensure lower wastes. Asymmetric policies (differing recycle and reuse rates) can be advantageous: higher reuse is preferable under rising stock and higher recycle under stock depletion. Sharp real-time monitoring of end-wastes is provided by the cycle rate, a dimensionless rate accounting for consumption and stock variations in CE. Its supreme efficacy is demonstrated in a robust Case study (US cellular phones) via Markov-Chain-Monte-Carlo simulation.","container-title":"Journal of Cleaner Production","DOI":"10.1016/j.jclepro.2019.04.065","ISSN":"0959-6526","journalAbbreviation":"Journal of Cleaner Production","language":"en","page":"911-931","source":"ScienceDirect","title":"The Cycle rate as the means for real-time monitoring of wastes in circular economy","volume":"227","author":[{"family":"Tsiliyannis","given":"Christos Aristeides"}],"issued":{"date-parts":[["2019",8,1]]}}}],"schema":"https://github.com/citation-style-language/schema/raw/master/csl-citation.json"} </w:instrText>
      </w:r>
      <w:r w:rsidR="002A679C" w:rsidRPr="008228A8">
        <w:rPr>
          <w:rFonts w:cstheme="minorHAnsi"/>
          <w:szCs w:val="22"/>
          <w:lang w:val="en-GB"/>
        </w:rPr>
        <w:fldChar w:fldCharType="separate"/>
      </w:r>
      <w:r w:rsidR="002A679C" w:rsidRPr="008228A8">
        <w:rPr>
          <w:rFonts w:cstheme="minorHAnsi"/>
          <w:noProof/>
          <w:szCs w:val="22"/>
          <w:lang w:val="en-GB"/>
        </w:rPr>
        <w:t>Tsiliyannis (2019)</w:t>
      </w:r>
      <w:r w:rsidR="002A679C" w:rsidRPr="008228A8">
        <w:rPr>
          <w:rFonts w:cstheme="minorHAnsi"/>
          <w:szCs w:val="22"/>
          <w:lang w:val="en-GB"/>
        </w:rPr>
        <w:fldChar w:fldCharType="end"/>
      </w:r>
      <w:r w:rsidR="002A679C" w:rsidRPr="008228A8">
        <w:rPr>
          <w:rFonts w:cstheme="minorHAnsi"/>
          <w:szCs w:val="22"/>
          <w:lang w:val="en-GB"/>
        </w:rPr>
        <w:t xml:space="preserve"> </w:t>
      </w:r>
      <w:r w:rsidRPr="008228A8">
        <w:rPr>
          <w:rFonts w:cstheme="minorHAnsi"/>
          <w:szCs w:val="22"/>
          <w:lang w:val="en-GB"/>
        </w:rPr>
        <w:t xml:space="preserve">shows that accurate monitoring of waste and </w:t>
      </w:r>
      <w:r w:rsidR="003A771F" w:rsidRPr="008228A8">
        <w:rPr>
          <w:rFonts w:cstheme="minorHAnsi"/>
          <w:szCs w:val="22"/>
          <w:lang w:val="en-GB"/>
        </w:rPr>
        <w:t>critical</w:t>
      </w:r>
      <w:r w:rsidRPr="008228A8">
        <w:rPr>
          <w:rFonts w:cstheme="minorHAnsi"/>
          <w:szCs w:val="22"/>
          <w:lang w:val="en-GB"/>
        </w:rPr>
        <w:t xml:space="preserve"> parameters such as cyclical actions, </w:t>
      </w:r>
      <w:proofErr w:type="gramStart"/>
      <w:r w:rsidRPr="008228A8">
        <w:rPr>
          <w:rFonts w:cstheme="minorHAnsi"/>
          <w:szCs w:val="22"/>
          <w:lang w:val="en-GB"/>
        </w:rPr>
        <w:t>reuse</w:t>
      </w:r>
      <w:proofErr w:type="gramEnd"/>
      <w:r w:rsidRPr="008228A8">
        <w:rPr>
          <w:rFonts w:cstheme="minorHAnsi"/>
          <w:szCs w:val="22"/>
          <w:lang w:val="en-GB"/>
        </w:rPr>
        <w:t xml:space="preserve"> and recycling in </w:t>
      </w:r>
      <w:r w:rsidR="003A771F" w:rsidRPr="008228A8">
        <w:rPr>
          <w:rFonts w:cstheme="minorHAnsi"/>
          <w:szCs w:val="22"/>
          <w:lang w:val="en-GB"/>
        </w:rPr>
        <w:t>real-time</w:t>
      </w:r>
      <w:r w:rsidRPr="008228A8">
        <w:rPr>
          <w:rFonts w:cstheme="minorHAnsi"/>
          <w:szCs w:val="22"/>
          <w:lang w:val="en-GB"/>
        </w:rPr>
        <w:t xml:space="preserve"> is effective in reducing waste. </w:t>
      </w:r>
      <w:r w:rsidR="003A771F" w:rsidRPr="008228A8">
        <w:rPr>
          <w:rFonts w:cstheme="minorHAnsi"/>
          <w:szCs w:val="22"/>
          <w:lang w:val="en-GB"/>
        </w:rPr>
        <w:t>Also</w:t>
      </w:r>
      <w:r w:rsidRPr="008228A8">
        <w:rPr>
          <w:rFonts w:cstheme="minorHAnsi"/>
          <w:szCs w:val="22"/>
          <w:lang w:val="en-GB"/>
        </w:rPr>
        <w:t xml:space="preserve">, the literature poses a more </w:t>
      </w:r>
      <w:r w:rsidR="003A771F" w:rsidRPr="008228A8">
        <w:rPr>
          <w:rFonts w:cstheme="minorHAnsi"/>
          <w:szCs w:val="22"/>
          <w:lang w:val="en-GB"/>
        </w:rPr>
        <w:t>obvious</w:t>
      </w:r>
      <w:r w:rsidRPr="008228A8">
        <w:rPr>
          <w:rFonts w:cstheme="minorHAnsi"/>
          <w:szCs w:val="22"/>
          <w:lang w:val="en-GB"/>
        </w:rPr>
        <w:t xml:space="preserve"> question than professionals about planned obsolescence</w:t>
      </w:r>
      <w:r w:rsidR="00D3382A" w:rsidRPr="008228A8">
        <w:rPr>
          <w:rFonts w:cstheme="minorHAnsi"/>
          <w:szCs w:val="22"/>
          <w:lang w:val="en-GB"/>
        </w:rPr>
        <w:t xml:space="preserve">. </w:t>
      </w:r>
      <w:r w:rsidR="00D3382A" w:rsidRPr="008228A8">
        <w:rPr>
          <w:rFonts w:cstheme="minorHAnsi"/>
          <w:szCs w:val="22"/>
          <w:lang w:val="en-GB"/>
        </w:rPr>
        <w:fldChar w:fldCharType="begin"/>
      </w:r>
      <w:r w:rsidR="00B03A7D">
        <w:rPr>
          <w:rFonts w:cstheme="minorHAnsi"/>
          <w:szCs w:val="22"/>
          <w:lang w:val="en-GB"/>
        </w:rPr>
        <w:instrText xml:space="preserve"> ADDIN ZOTERO_ITEM CSL_CITATION {"citationID":"PRpVTFzS","properties":{"formattedCitation":"(Andreopoulou, 2017; Bella et al., 2019; Cucchiella et al., 2015)","plainCitation":"(Andreopoulou, 2017; Bella et al., 2019; Cucchiella et al., 2015)","dontUpdate":true,"noteIndex":0},"citationItems":[{"id":7090,"uris":["http://zotero.org/users/5243184/items/S2HFE22L"],"uri":["http://zotero.org/users/5243184/items/S2HFE22L"],"itemData":{"id":7090,"type":"article-journal","abstract":"RIVISTA DI STUDI SULLA SOSTENIBILITA' - Internet of Things and food circular economy: A new tool for Sustainable Development Goals (","container-title":"RIVISTA DI STUDI SULLA SOSTENIBILITA&amp;#39;","DOI":"10.3280/RISS2017-002004","ISSN":"2239-7221","language":"English","note":"publisher: FrancoAngeli Editore","source":"www.francoangeli.it","title":"Internet of Things and food circular economy: A new tool for Sustainable Development Goals","title-short":"Internet of Things and food circular economy","URL":"http://www.francoangeli.it/Riviste/SchedaRivista.aspx?IDarticolo=60745&amp;amp;lingua=EN","author":[{"family":"Andreopoulou","given":"Zacharoula"}],"accessed":{"date-parts":[["2020",7,8]]},"issued":{"date-parts":[["2017",12,15]]}}},{"id":6901,"uris":["http://zotero.org/users/5243184/items/ZSHXUHAF"],"uri":["http://zotero.org/users/5243184/items/ZSHXUHAF"],"itemData":{"id":6901,"type":"article-journal","abstract":"In recent decades, the electronic equipment business has increased exponentially. At the same time, programmed obsolescence refers to the deliberate shortening of a product’s useful life by the manufacturer in order to increase consumption. This also means that the amount of waste derived from electrical and electronic equipment will continue to increase in the coming years. Electronic scrap components, such as CPUs, contain potentially harmful materials such as lead, cadmium, beryllium, or brominated flame retardants. It is crucial to obtain more knowledge about the environmental consequences of the different WEEE treatment options, because political decisions and legal changes will influence development of WEEE collection, recycling or/and disposal. The new technologies in the field of the waste management, provide the possibility of recycling and recovering merchandise fractions previously considered irrecoverable. In line with this, one of the biggest problems in waste disposal is fluff. The term \"fluff\" refers to the light scraps left over from vehicles and include gaskets, tires, fabrics and plastics. To date, the only possible disposal system is the transfer to controller landfills. This means the loss of material resources due to the lack of recovery, in particular of energy. For this reason, the goal of this paper is to propose possible, but also sustainable, alternatives to landfill disposal. In conclusion, the advantages of thermovalorization are: lowering the total cost of the storage system and the exploitation of industrial waste materials, environmental and community benefits such as reducing the landfilled waste amounts and reducing greenhouse emissions.","language":"en","page":"8","source":"Zotero","title":"Exploitation and energy recovery of fluff: smart solutions in a prospective of circular economy","author":[{"family":"Bella","given":"Arianna Di"},{"family":"Cannavò","given":"Andrea"},{"family":"Giaquinta","given":"Gioele"},{"family":"Liardo","given":"Rocco"},{"family":"Giuffrida","given":"Vincenzo"}],"issued":{"date-parts":[["2019"]]}}},{"id":6902,"uris":["http://zotero.org/users/5243184/items/M6KUCKZT"],"uri":["http://zotero.org/users/5243184/items/M6KUCKZT"],"itemData":{"id":6902,"type":"article-journal","abstract":"Waste from Electric and Electronic Equipments (WEEEs) is currently considered to be one of the fastest growing waste streams in the world, with an estimated growth rate going from 3% up to 5% per year. The recycling of Electric or electronic waste (E-waste) products could allow the diminishing use of virgin resources in manufacturing and, consequently, it could contribute in reducing the environmental pollution. Given that EU is trying, since the last two decades, to develop a circular economy based on the exploitation of resources recovered by wastes, a comprehensive framework supporting the decision-making process of multi-WEEE recycling centres will be analysed in this paper. An economic assessment will define the potential revenues coming from the recovery of 14 e-products (e.g. LCD notebooks, LED notebooks, CRT TVs, LCD TVs, LED TVs, CRT monitors, LCD monitors, LED monitors, cell phones, smart phones, PV panels, HDDs, SSDs and tablets) on the base of current and future disposed volumes in Europe. Moreover, a sensitivity analysis will be used to test the impact of some critical variables (e.g. price of recovered materials, input materials composition, degree of purity obtained by the recycling process, volumes generated, and percentage of collected waste) on specific economic indexes. A discussion of the economic assessment results shows the main challenges in the recycling sector and streamlines some concrete solutions.","container-title":"Renewable and Sustainable Energy Reviews","DOI":"10.1016/j.rser.2015.06.010","ISSN":"1364-0321","journalAbbreviation":"Renewable and Sustainable Energy Reviews","language":"en","page":"263-272","source":"ScienceDirect","title":"Recycling of WEEEs: An economic assessment of present and future e-waste streams","title-short":"Recycling of WEEEs","volume":"51","author":[{"family":"Cucchiella","given":"Federica"},{"family":"D’Adamo","given":"Idiano"},{"family":"Lenny Koh","given":"S. C."},{"family":"Rosa","given":"Paolo"}],"issued":{"date-parts":[["2015",11,1]]}}}],"schema":"https://github.com/citation-style-language/schema/raw/master/csl-citation.json"} </w:instrText>
      </w:r>
      <w:r w:rsidR="00D3382A" w:rsidRPr="008228A8">
        <w:rPr>
          <w:rFonts w:cstheme="minorHAnsi"/>
          <w:szCs w:val="22"/>
          <w:lang w:val="en-GB"/>
        </w:rPr>
        <w:fldChar w:fldCharType="separate"/>
      </w:r>
      <w:r w:rsidR="00A15718">
        <w:rPr>
          <w:rFonts w:cstheme="minorHAnsi"/>
          <w:noProof/>
          <w:szCs w:val="22"/>
          <w:lang w:val="en-GB"/>
        </w:rPr>
        <w:t>Andreopoulou (2017), Bella et al. (2019) and Cucchiella et al. (2015)</w:t>
      </w:r>
      <w:r w:rsidR="00D3382A" w:rsidRPr="008228A8">
        <w:rPr>
          <w:rFonts w:cstheme="minorHAnsi"/>
          <w:szCs w:val="22"/>
          <w:lang w:val="en-GB"/>
        </w:rPr>
        <w:fldChar w:fldCharType="end"/>
      </w:r>
      <w:r w:rsidR="00D3382A" w:rsidRPr="008228A8">
        <w:rPr>
          <w:rFonts w:cstheme="minorHAnsi"/>
          <w:szCs w:val="22"/>
          <w:lang w:val="en-GB"/>
        </w:rPr>
        <w:t xml:space="preserve"> </w:t>
      </w:r>
      <w:r w:rsidRPr="008228A8">
        <w:rPr>
          <w:rFonts w:cstheme="minorHAnsi"/>
          <w:szCs w:val="22"/>
          <w:lang w:val="en-GB"/>
        </w:rPr>
        <w:t xml:space="preserve">raise awareness of </w:t>
      </w:r>
      <w:r w:rsidR="00106633">
        <w:rPr>
          <w:rFonts w:cstheme="minorHAnsi"/>
          <w:szCs w:val="22"/>
          <w:lang w:val="en-GB"/>
        </w:rPr>
        <w:t>"</w:t>
      </w:r>
      <w:r w:rsidRPr="008228A8">
        <w:rPr>
          <w:rFonts w:cstheme="minorHAnsi"/>
          <w:szCs w:val="22"/>
          <w:lang w:val="en-GB"/>
        </w:rPr>
        <w:t>e-waste</w:t>
      </w:r>
      <w:r w:rsidR="00106633">
        <w:rPr>
          <w:rFonts w:cstheme="minorHAnsi"/>
          <w:szCs w:val="22"/>
          <w:lang w:val="en-GB"/>
        </w:rPr>
        <w:t>"</w:t>
      </w:r>
      <w:r w:rsidRPr="008228A8">
        <w:rPr>
          <w:rFonts w:cstheme="minorHAnsi"/>
          <w:szCs w:val="22"/>
          <w:lang w:val="en-GB"/>
        </w:rPr>
        <w:t xml:space="preserve"> with potentially environmentally harmful materials. The authors point out a loss of value on materials that could be reused.</w:t>
      </w:r>
    </w:p>
    <w:p w14:paraId="42D9FF09" w14:textId="4B0FA71B" w:rsidR="009256FE" w:rsidRDefault="009256FE" w:rsidP="008228A8">
      <w:pPr>
        <w:rPr>
          <w:rFonts w:cstheme="minorHAnsi"/>
          <w:szCs w:val="22"/>
          <w:lang w:val="en-GB"/>
        </w:rPr>
      </w:pPr>
      <w:r w:rsidRPr="008228A8">
        <w:rPr>
          <w:rFonts w:cstheme="minorHAnsi"/>
          <w:szCs w:val="22"/>
          <w:lang w:val="en-GB"/>
        </w:rPr>
        <w:t xml:space="preserve">The </w:t>
      </w:r>
      <w:r w:rsidR="003A771F" w:rsidRPr="008228A8">
        <w:rPr>
          <w:rFonts w:cstheme="minorHAnsi"/>
          <w:szCs w:val="22"/>
          <w:lang w:val="en-GB"/>
        </w:rPr>
        <w:t>implementation</w:t>
      </w:r>
      <w:r w:rsidRPr="008228A8">
        <w:rPr>
          <w:rFonts w:cstheme="minorHAnsi"/>
          <w:szCs w:val="22"/>
          <w:lang w:val="en-GB"/>
        </w:rPr>
        <w:t xml:space="preserve"> of Industry 4.0 and the </w:t>
      </w:r>
      <w:r w:rsidR="00820A56" w:rsidRPr="008228A8">
        <w:rPr>
          <w:rFonts w:cstheme="minorHAnsi"/>
          <w:szCs w:val="22"/>
          <w:lang w:val="en-GB"/>
        </w:rPr>
        <w:t>CE</w:t>
      </w:r>
      <w:r w:rsidRPr="008228A8">
        <w:rPr>
          <w:rFonts w:cstheme="minorHAnsi"/>
          <w:szCs w:val="22"/>
          <w:lang w:val="en-GB"/>
        </w:rPr>
        <w:t xml:space="preserve"> also includes an in-depth look at business models. It is interesting to note that positions emerge that enhance the sharing </w:t>
      </w:r>
      <w:r w:rsidR="00106633">
        <w:rPr>
          <w:rFonts w:cstheme="minorHAnsi"/>
          <w:szCs w:val="22"/>
          <w:lang w:val="en-GB"/>
        </w:rPr>
        <w:t>E</w:t>
      </w:r>
      <w:r w:rsidR="003A771F" w:rsidRPr="008228A8">
        <w:rPr>
          <w:rFonts w:cstheme="minorHAnsi"/>
          <w:szCs w:val="22"/>
          <w:lang w:val="en-GB"/>
        </w:rPr>
        <w:t>conomy</w:t>
      </w:r>
      <w:r w:rsidRPr="008228A8">
        <w:rPr>
          <w:rFonts w:cstheme="minorHAnsi"/>
          <w:szCs w:val="22"/>
          <w:lang w:val="en-GB"/>
        </w:rPr>
        <w:t xml:space="preserve"> of vehicles </w:t>
      </w:r>
      <w:r w:rsidR="00035FFE" w:rsidRPr="008228A8">
        <w:rPr>
          <w:rFonts w:cstheme="minorHAnsi"/>
          <w:szCs w:val="22"/>
          <w:lang w:val="en-GB"/>
        </w:rPr>
        <w:fldChar w:fldCharType="begin"/>
      </w:r>
      <w:r w:rsidR="00F45764">
        <w:rPr>
          <w:rFonts w:cstheme="minorHAnsi"/>
          <w:szCs w:val="22"/>
          <w:lang w:val="en-GB"/>
        </w:rPr>
        <w:instrText xml:space="preserve"> ADDIN ZOTERO_ITEM CSL_CITATION {"citationID":"q4CUvH1R","properties":{"formattedCitation":"(Pham et al., 2019)","plainCitation":"(Pham et al., 2019)","noteIndex":0},"citationItems":[{"id":6907,"uris":["http://zotero.org/users/5243184/items/3YA2R6UB"],"uri":["http://zotero.org/users/5243184/items/3YA2R6UB"],"itemData":{"id":6907,"type":"article-journal","abstract":"To achieve sustainability, the circular economy (CE) concept is challenging traditional linear enterprise models due to the need to manage geographically distributed product life cycle and value chains. Concurrently, Industry 4.0 is being used to bring productivity to higher levels by reducing waste and improving the efficiency of production processes via more precise real-time planning. There is significant potential to combine these two frameworks to enhance the sustainability of manufacturing sectors. This paper discusses the fundamental concepts of Industry 4.0 and explores the influential factors of Industry 4.0 that accelerate the sharing economy in the CE context via a case of electric scooters in Taiwan. The result shows Industry 4.0 can provide an enabling framework for the sharing economy in CE implementation.","container-title":"Sustainability","DOI":"10.3390/su11236661","issue":"23","language":"en","note":"number: 23\npublisher: Multidisciplinary Digital Publishing Institute","page":"6661","source":"www.mdpi.com","title":"Industry 4.0 to Accelerate the Circular Economy: A Case Study of Electric Scooter Sharing","title-short":"Industry 4.0 to Accelerate the Circular Economy","volume":"11","author":[{"family":"Pham","given":"Trang Thi"},{"family":"Kuo","given":"Tsai-Chi"},{"family":"Tseng","given":"Ming-Lang"},{"family":"Tan","given":"Raymond R."},{"family":"Tan","given":"Kimhua"},{"family":"Ika","given":"Denny Satria"},{"family":"Lin","given":"Chiuhsiang Joe"}],"issued":{"date-parts":[["2019",1]]}}}],"schema":"https://github.com/citation-style-language/schema/raw/master/csl-citation.json"} </w:instrText>
      </w:r>
      <w:r w:rsidR="00035FFE" w:rsidRPr="008228A8">
        <w:rPr>
          <w:rFonts w:cstheme="minorHAnsi"/>
          <w:szCs w:val="22"/>
          <w:lang w:val="en-GB"/>
        </w:rPr>
        <w:fldChar w:fldCharType="separate"/>
      </w:r>
      <w:r w:rsidR="00802E14">
        <w:rPr>
          <w:rFonts w:cstheme="minorHAnsi"/>
          <w:noProof/>
          <w:szCs w:val="22"/>
          <w:lang w:val="en-GB"/>
        </w:rPr>
        <w:t>(Pham et al., 2019)</w:t>
      </w:r>
      <w:r w:rsidR="00035FFE" w:rsidRPr="008228A8">
        <w:rPr>
          <w:rFonts w:cstheme="minorHAnsi"/>
          <w:szCs w:val="22"/>
          <w:lang w:val="en-GB"/>
        </w:rPr>
        <w:fldChar w:fldCharType="end"/>
      </w:r>
      <w:r w:rsidR="00035FFE" w:rsidRPr="008228A8">
        <w:rPr>
          <w:rFonts w:cstheme="minorHAnsi"/>
          <w:szCs w:val="22"/>
          <w:lang w:val="en-GB"/>
        </w:rPr>
        <w:t xml:space="preserve"> </w:t>
      </w:r>
      <w:r w:rsidRPr="008228A8">
        <w:rPr>
          <w:rFonts w:cstheme="minorHAnsi"/>
          <w:szCs w:val="22"/>
          <w:lang w:val="en-GB"/>
        </w:rPr>
        <w:t xml:space="preserve">and traffic and road status monitoring systems with updated consumption indicators that make drivers aware of a more linear view of driving styles </w:t>
      </w:r>
      <w:r w:rsidR="00035FFE" w:rsidRPr="008228A8">
        <w:rPr>
          <w:rFonts w:cstheme="minorHAnsi"/>
          <w:szCs w:val="22"/>
          <w:lang w:val="en-GB"/>
        </w:rPr>
        <w:fldChar w:fldCharType="begin"/>
      </w:r>
      <w:r w:rsidR="00F45764">
        <w:rPr>
          <w:rFonts w:cstheme="minorHAnsi"/>
          <w:szCs w:val="22"/>
          <w:lang w:val="en-GB"/>
        </w:rPr>
        <w:instrText xml:space="preserve"> ADDIN ZOTERO_ITEM CSL_CITATION {"citationID":"rhJsPNZX","properties":{"formattedCitation":"(Hatzivasilis et al., 2020)","plainCitation":"(Hatzivasilis et al., 2020)","noteIndex":0},"citationItems":[{"id":6905,"uris":["http://zotero.org/users/5243184/items/3U53KJVQ"],"uri":["http://zotero.org/users/5243184/items/3U53KJVQ"],"itemData":{"id":6905,"type":"article-journal","abstract":"Vehicular Ad hoc NETworks (VANET) are becoming popular due to the emergence of the Internet of Things and ambient intelligence applications. In such networks, secure resource sharing functionality is accomplished by incorporating trust schemes. Current solutions adopt peer-to-peer technologies that can cover the large operational area. However, these systems fail to capture some inherent properties of VANETs, such as fast and ephemeral interaction, making robust trust evaluation of crowdsourcing challenging. In this article, we propose MobileTrust—a hybrid trust-based system for secure resource sharing in VANETs. The proposal is a breakthrough in centralized trust computing that utilizes cloud and upcoming 5G technologies to provide robust trust establishment with global scalability. The ad hoc communication is energy-efficient and protects the system against threats that are not countered by the current settings. To evaluate its performance and effectiveness, MobileTrust is modelled in the SUMO simulator and tested on the traffic features of the small-size German city of Eichstatt. Similar schemes are implemented in the same platform to provide a fair comparison. Moreover, MobileTrust is deployed on a typical embedded system platform and applied on a real smart car installation for monitoring traffic and road-state parameters of an urban application. The proposed system is developed under the EU-founded THREAT-ARREST project, to provide security, privacy, and trust in an intelligent and energy-aware transportation scenario, bringing closer the vision of sustainable circular economy.","container-title":"ACM Transactions on Cyber-Physical Systems","DOI":"10.1145/3364181","ISSN":"2378-962X","issue":"3","journalAbbreviation":"ACM Trans. Cyber-Phys. Syst.","page":"33:1–33:25","source":"May 2020","title":"MobileTrust: Secure Knowledge Integration in VANETs","title-short":"MobileTrust","volume":"4","author":[{"family":"Hatzivasilis","given":"George"},{"family":"Soultatos","given":"Othonas"},{"family":"Ioannidis","given":"Sotiris"},{"family":"Spanoudakis","given":"George"},{"family":"Katos","given":"Vasilios"},{"family":"Demetriou","given":"Giorgos"}],"issued":{"date-parts":[["2020",3,12]]}}}],"schema":"https://github.com/citation-style-language/schema/raw/master/csl-citation.json"} </w:instrText>
      </w:r>
      <w:r w:rsidR="00035FFE" w:rsidRPr="008228A8">
        <w:rPr>
          <w:rFonts w:cstheme="minorHAnsi"/>
          <w:szCs w:val="22"/>
          <w:lang w:val="en-GB"/>
        </w:rPr>
        <w:fldChar w:fldCharType="separate"/>
      </w:r>
      <w:r w:rsidR="00802E14">
        <w:rPr>
          <w:rFonts w:cstheme="minorHAnsi"/>
          <w:noProof/>
          <w:szCs w:val="22"/>
          <w:lang w:val="en-GB"/>
        </w:rPr>
        <w:t>(Hatzivasilis et al., 2020)</w:t>
      </w:r>
      <w:r w:rsidR="00035FFE" w:rsidRPr="008228A8">
        <w:rPr>
          <w:rFonts w:cstheme="minorHAnsi"/>
          <w:szCs w:val="22"/>
          <w:lang w:val="en-GB"/>
        </w:rPr>
        <w:fldChar w:fldCharType="end"/>
      </w:r>
      <w:r w:rsidR="00035FFE" w:rsidRPr="008228A8">
        <w:rPr>
          <w:rFonts w:cstheme="minorHAnsi"/>
          <w:szCs w:val="22"/>
          <w:lang w:val="en-GB"/>
        </w:rPr>
        <w:t xml:space="preserve">. </w:t>
      </w:r>
      <w:r w:rsidR="003A771F" w:rsidRPr="008228A8">
        <w:rPr>
          <w:rFonts w:cstheme="minorHAnsi"/>
          <w:szCs w:val="22"/>
          <w:lang w:val="en-GB"/>
        </w:rPr>
        <w:t>The academic</w:t>
      </w:r>
      <w:r w:rsidRPr="008228A8">
        <w:rPr>
          <w:rFonts w:cstheme="minorHAnsi"/>
          <w:szCs w:val="22"/>
          <w:lang w:val="en-GB"/>
        </w:rPr>
        <w:t xml:space="preserve"> analysis also includes food analysis, the results of</w:t>
      </w:r>
      <w:r w:rsidR="006D6D97" w:rsidRPr="008228A8">
        <w:rPr>
          <w:rFonts w:cstheme="minorHAnsi"/>
          <w:szCs w:val="22"/>
          <w:lang w:val="en-GB"/>
        </w:rPr>
        <w:t xml:space="preserve"> </w:t>
      </w:r>
      <w:r w:rsidR="006D6D97" w:rsidRPr="008228A8">
        <w:rPr>
          <w:rFonts w:cstheme="minorHAnsi"/>
          <w:szCs w:val="22"/>
          <w:lang w:val="en-GB"/>
        </w:rPr>
        <w:fldChar w:fldCharType="begin"/>
      </w:r>
      <w:r w:rsidR="00F45764">
        <w:rPr>
          <w:rFonts w:cstheme="minorHAnsi"/>
          <w:szCs w:val="22"/>
          <w:lang w:val="en-GB"/>
        </w:rPr>
        <w:instrText xml:space="preserve"> ADDIN ZOTERO_ITEM CSL_CITATION {"citationID":"KrplttJV","properties":{"formattedCitation":"(Sarti et al., 2017)","plainCitation":"(Sarti et al., 2017)","dontUpdate":true,"noteIndex":0},"citationItems":[{"id":6910,"uris":["http://zotero.org/users/5243184/items/VAW83I3Z"],"uri":["http://zotero.org/users/5243184/items/VAW83I3Z"],"itemData":{"id":6910,"type":"article-journal","abstract":"ResearchGate is a network dedicated to science and research. Connect, collaborate and discover scientific publications, jobs and conferences. All for free.","container-title":"Economics and Policy of Energy and the Environment","DOI":"10.3280/EFE2017-001007","language":"en","note":"source: www.researchgate.net","page":"1-2","title":"Food sharing: Making sense between new business models and responsible social initiatives for food waste prevention","title-short":"(9) Food sharing","author":[{"family":"Sarti","given":"Silvia"},{"family":"Corsini","given":"Filippo"},{"family":"Gusmerotti","given":"Natalia Marzia"},{"family":"Frey","given":"Marco"}],"issued":{"date-parts":[["2017"]]}}}],"schema":"https://github.com/citation-style-language/schema/raw/master/csl-citation.json"} </w:instrText>
      </w:r>
      <w:r w:rsidR="006D6D97" w:rsidRPr="008228A8">
        <w:rPr>
          <w:rFonts w:cstheme="minorHAnsi"/>
          <w:szCs w:val="22"/>
          <w:lang w:val="en-GB"/>
        </w:rPr>
        <w:fldChar w:fldCharType="separate"/>
      </w:r>
      <w:r w:rsidR="006D6D97" w:rsidRPr="008228A8">
        <w:rPr>
          <w:rFonts w:cstheme="minorHAnsi"/>
          <w:noProof/>
          <w:szCs w:val="22"/>
          <w:lang w:val="en-GB"/>
        </w:rPr>
        <w:t>Sarti et al. (2017)</w:t>
      </w:r>
      <w:r w:rsidR="006D6D97" w:rsidRPr="008228A8">
        <w:rPr>
          <w:rFonts w:cstheme="minorHAnsi"/>
          <w:szCs w:val="22"/>
          <w:lang w:val="en-GB"/>
        </w:rPr>
        <w:fldChar w:fldCharType="end"/>
      </w:r>
      <w:r w:rsidR="006D6D97" w:rsidRPr="008228A8">
        <w:rPr>
          <w:rFonts w:cstheme="minorHAnsi"/>
          <w:szCs w:val="22"/>
          <w:lang w:val="en-GB"/>
        </w:rPr>
        <w:t xml:space="preserve"> </w:t>
      </w:r>
      <w:r w:rsidRPr="008228A8">
        <w:rPr>
          <w:rFonts w:cstheme="minorHAnsi"/>
          <w:szCs w:val="22"/>
          <w:lang w:val="en-GB"/>
        </w:rPr>
        <w:t xml:space="preserve">show business models based on social sharing platforms, at company level and food alert. The summary of the academic results is shown in Table </w:t>
      </w:r>
      <w:r w:rsidR="001D4346">
        <w:rPr>
          <w:rFonts w:cstheme="minorHAnsi"/>
          <w:szCs w:val="22"/>
          <w:lang w:val="en-GB"/>
        </w:rPr>
        <w:t>III</w:t>
      </w:r>
      <w:r w:rsidR="00035FFE" w:rsidRPr="008228A8">
        <w:rPr>
          <w:rFonts w:cstheme="minorHAnsi"/>
          <w:szCs w:val="22"/>
          <w:lang w:val="en-GB"/>
        </w:rPr>
        <w:t xml:space="preserve">. </w:t>
      </w:r>
    </w:p>
    <w:p w14:paraId="6C82F208" w14:textId="768BFC23" w:rsidR="001D4346" w:rsidRDefault="001D4346" w:rsidP="008228A8">
      <w:pPr>
        <w:rPr>
          <w:rFonts w:cstheme="minorHAnsi"/>
          <w:szCs w:val="22"/>
          <w:lang w:val="en-GB"/>
        </w:rPr>
      </w:pPr>
    </w:p>
    <w:p w14:paraId="2711C62A" w14:textId="77777777" w:rsidR="001D4346" w:rsidRPr="001D4346" w:rsidRDefault="001D4346" w:rsidP="001D4346">
      <w:pPr>
        <w:jc w:val="center"/>
        <w:rPr>
          <w:rFonts w:cstheme="minorHAnsi"/>
          <w:i/>
          <w:iCs/>
          <w:szCs w:val="22"/>
          <w:lang w:val="en-GB"/>
        </w:rPr>
      </w:pPr>
      <w:r w:rsidRPr="001D4346">
        <w:rPr>
          <w:rFonts w:cstheme="minorHAnsi"/>
          <w:i/>
          <w:iCs/>
          <w:szCs w:val="22"/>
          <w:lang w:val="en-GB"/>
        </w:rPr>
        <w:t xml:space="preserve">Please place </w:t>
      </w:r>
      <w:r>
        <w:rPr>
          <w:rFonts w:cstheme="minorHAnsi"/>
          <w:i/>
          <w:iCs/>
          <w:szCs w:val="22"/>
          <w:lang w:val="en-GB"/>
        </w:rPr>
        <w:t>T</w:t>
      </w:r>
      <w:r w:rsidRPr="001D4346">
        <w:rPr>
          <w:rFonts w:cstheme="minorHAnsi"/>
          <w:i/>
          <w:iCs/>
          <w:szCs w:val="22"/>
          <w:lang w:val="en-GB"/>
        </w:rPr>
        <w:t>able II about here</w:t>
      </w:r>
    </w:p>
    <w:p w14:paraId="7354C5D2" w14:textId="1635F3EA" w:rsidR="001D4346" w:rsidRDefault="001D4346" w:rsidP="008228A8">
      <w:pPr>
        <w:rPr>
          <w:rFonts w:cstheme="minorHAnsi"/>
          <w:szCs w:val="22"/>
          <w:lang w:val="en-GB"/>
        </w:rPr>
      </w:pPr>
    </w:p>
    <w:p w14:paraId="1A1400CF" w14:textId="0BCE3B2A" w:rsidR="00E419D8" w:rsidRPr="008228A8" w:rsidRDefault="00D670D2" w:rsidP="008228A8">
      <w:pPr>
        <w:pStyle w:val="Titolo1"/>
        <w:rPr>
          <w:lang w:val="en-GB"/>
        </w:rPr>
      </w:pPr>
      <w:r w:rsidRPr="008228A8">
        <w:rPr>
          <w:lang w:val="en-GB"/>
        </w:rPr>
        <w:t>Discussion</w:t>
      </w:r>
    </w:p>
    <w:p w14:paraId="730FF441" w14:textId="148749D7" w:rsidR="00F85EEA" w:rsidRDefault="00784C0C" w:rsidP="00053E77">
      <w:pPr>
        <w:rPr>
          <w:rFonts w:cstheme="minorHAnsi"/>
          <w:szCs w:val="22"/>
          <w:lang w:val="en-GB"/>
        </w:rPr>
      </w:pPr>
      <w:r w:rsidRPr="008228A8">
        <w:rPr>
          <w:rFonts w:cstheme="minorHAnsi"/>
          <w:szCs w:val="22"/>
          <w:lang w:val="en-GB"/>
        </w:rPr>
        <w:t>Analy</w:t>
      </w:r>
      <w:r w:rsidR="00527C14">
        <w:rPr>
          <w:rFonts w:cstheme="minorHAnsi"/>
          <w:szCs w:val="22"/>
          <w:lang w:val="en-GB"/>
        </w:rPr>
        <w:t>s</w:t>
      </w:r>
      <w:r w:rsidRPr="008228A8">
        <w:rPr>
          <w:rFonts w:cstheme="minorHAnsi"/>
          <w:szCs w:val="22"/>
          <w:lang w:val="en-GB"/>
        </w:rPr>
        <w:t xml:space="preserve">ing </w:t>
      </w:r>
      <w:r w:rsidR="00E9315B" w:rsidRPr="008228A8">
        <w:rPr>
          <w:rFonts w:cstheme="minorHAnsi"/>
          <w:szCs w:val="22"/>
          <w:lang w:val="en-GB"/>
        </w:rPr>
        <w:t>and comparing professional and academic sources, we can highlight some new insights</w:t>
      </w:r>
      <w:r w:rsidR="00F85EEA">
        <w:rPr>
          <w:rFonts w:cstheme="minorHAnsi"/>
          <w:szCs w:val="22"/>
          <w:lang w:val="en-GB"/>
        </w:rPr>
        <w:t xml:space="preserve"> and implications that we try to summarise in the following subsections</w:t>
      </w:r>
      <w:r w:rsidR="00E9315B" w:rsidRPr="008228A8">
        <w:rPr>
          <w:rFonts w:cstheme="minorHAnsi"/>
          <w:szCs w:val="22"/>
          <w:lang w:val="en-GB"/>
        </w:rPr>
        <w:t>.</w:t>
      </w:r>
    </w:p>
    <w:p w14:paraId="24CDBECA" w14:textId="52194FA5" w:rsidR="00AD6935" w:rsidRDefault="00F85EEA">
      <w:pPr>
        <w:pStyle w:val="Titolo2"/>
      </w:pPr>
      <w:r>
        <w:t xml:space="preserve">Implication #1. A new perspective on </w:t>
      </w:r>
      <w:r w:rsidR="00793BC5">
        <w:t>l</w:t>
      </w:r>
      <w:r w:rsidR="00AD6935">
        <w:t>egitimation theory</w:t>
      </w:r>
    </w:p>
    <w:p w14:paraId="4189DF18" w14:textId="6003282E" w:rsidR="00A9788A" w:rsidRPr="001020C3" w:rsidRDefault="00793BC5" w:rsidP="00A9788A">
      <w:pPr>
        <w:rPr>
          <w:rFonts w:cstheme="minorHAnsi"/>
          <w:szCs w:val="22"/>
          <w:lang w:val="en-GB"/>
        </w:rPr>
      </w:pPr>
      <w:r>
        <w:rPr>
          <w:rFonts w:cstheme="minorHAnsi"/>
          <w:szCs w:val="22"/>
          <w:lang w:val="en-GB"/>
        </w:rPr>
        <w:t xml:space="preserve">Results show how </w:t>
      </w:r>
      <w:r w:rsidRPr="008228A8">
        <w:rPr>
          <w:rFonts w:cstheme="minorHAnsi"/>
          <w:szCs w:val="22"/>
          <w:lang w:val="en-GB"/>
        </w:rPr>
        <w:t xml:space="preserve">consumers seem to be more involved in supporting the </w:t>
      </w:r>
      <w:r w:rsidR="009E0EC8">
        <w:rPr>
          <w:rFonts w:cstheme="minorHAnsi"/>
          <w:szCs w:val="22"/>
          <w:lang w:val="en-GB"/>
        </w:rPr>
        <w:t>CE</w:t>
      </w:r>
      <w:r w:rsidRPr="008228A8">
        <w:rPr>
          <w:rFonts w:cstheme="minorHAnsi"/>
          <w:szCs w:val="22"/>
          <w:lang w:val="en-GB"/>
        </w:rPr>
        <w:t xml:space="preserve"> if they can participate and measure the resulting benefits. As mentioned above, the Binee case study shows that consumer participation in the process of disposing of old electronic devices, combined with an incentive policy, makes the recycling experience more engaging. However, on this point, the literature appears to be conflicting. Indeed, the investigation by </w:t>
      </w:r>
      <w:r w:rsidRPr="008228A8">
        <w:rPr>
          <w:rFonts w:cstheme="minorHAnsi"/>
          <w:szCs w:val="22"/>
          <w:lang w:val="en-GB"/>
        </w:rPr>
        <w:fldChar w:fldCharType="begin"/>
      </w:r>
      <w:r w:rsidR="00F45764">
        <w:rPr>
          <w:rFonts w:cstheme="minorHAnsi"/>
          <w:szCs w:val="22"/>
          <w:lang w:val="en-GB"/>
        </w:rPr>
        <w:instrText xml:space="preserve"> ADDIN ZOTERO_ITEM CSL_CITATION {"citationID":"3Tye1uwr","properties":{"formattedCitation":"(Hazen et al., 2016)","plainCitation":"(Hazen et al., 2016)","dontUpdate":true,"noteIndex":0},"citationItems":[{"id":7037,"uris":["http://zotero.org/users/5243184/items/4DK9K5KK"],"uri":["http://zotero.org/users/5243184/items/4DK9K5KK"],"itemData":{"id":7037,"type":"article-journal","abstract":"For the circular economy to be tenable, consumers need to not only return products after use, but also purchase products that are remanufactured. However, research finds that consumers have a poor opinion of remanufactured products and are typically not prepared to adopt them. Thus, development of the circular economy is dependent upon deeper understanding of consumers’ attitudes and behaviors. Research typically considers either micro-level or macro-level factors when assessing consumer perceptions of remanufactured products. The current research incorporates macro-level factors of price, government incentives, and environmental benefits with the moderating influence of micro-level consumer attitudes to examine consumers’ intention to switch from purchasing new products to remanufactured products. The findings suggest that a consumer’s attitude toward remanufactured products is an important moderating factor predicting consumer switching behavior to remanufactured products.","container-title":"Business Strategy and the Environment","DOI":"10.1002/bse.1929","journalAbbreviation":"Business Strategy and the Environment","source":"ResearchGate","title":"Remanufacturing for the Circular Economy: An Examination of Consumer Switching Behavior","title-short":"Remanufacturing for the Circular Economy","author":[{"family":"Hazen","given":"Benjamin"},{"family":"Mollenkopf","given":"Diane"},{"family":"Wang","given":"Yacan"}],"issued":{"date-parts":[["2016",8,1]]}}}],"schema":"https://github.com/citation-style-language/schema/raw/master/csl-citation.json"} </w:instrText>
      </w:r>
      <w:r w:rsidRPr="008228A8">
        <w:rPr>
          <w:rFonts w:cstheme="minorHAnsi"/>
          <w:szCs w:val="22"/>
          <w:lang w:val="en-GB"/>
        </w:rPr>
        <w:fldChar w:fldCharType="separate"/>
      </w:r>
      <w:r w:rsidRPr="008228A8">
        <w:rPr>
          <w:rFonts w:cstheme="minorHAnsi"/>
          <w:noProof/>
          <w:szCs w:val="22"/>
          <w:lang w:val="en-GB"/>
        </w:rPr>
        <w:t>Hazen et al. (2016)</w:t>
      </w:r>
      <w:r w:rsidRPr="008228A8">
        <w:rPr>
          <w:rFonts w:cstheme="minorHAnsi"/>
          <w:szCs w:val="22"/>
          <w:lang w:val="en-GB"/>
        </w:rPr>
        <w:fldChar w:fldCharType="end"/>
      </w:r>
      <w:r w:rsidRPr="008228A8">
        <w:rPr>
          <w:rFonts w:cstheme="minorHAnsi"/>
          <w:szCs w:val="22"/>
          <w:lang w:val="en-GB"/>
        </w:rPr>
        <w:t xml:space="preserve"> shows that consumers have a low opinion about remanufactured products and are usually not willing to adopt them. The same result is also demonstrated by </w:t>
      </w:r>
      <w:r w:rsidRPr="008228A8">
        <w:rPr>
          <w:rFonts w:cstheme="minorHAnsi"/>
          <w:szCs w:val="22"/>
          <w:lang w:val="en-GB"/>
        </w:rPr>
        <w:fldChar w:fldCharType="begin"/>
      </w:r>
      <w:r w:rsidR="00F45764">
        <w:rPr>
          <w:rFonts w:cstheme="minorHAnsi"/>
          <w:szCs w:val="22"/>
          <w:lang w:val="en-GB"/>
        </w:rPr>
        <w:instrText xml:space="preserve"> ADDIN ZOTERO_ITEM CSL_CITATION {"citationID":"JCD5pIo5","properties":{"formattedCitation":"(Veleva &amp; Bodkin, 2018)","plainCitation":"(Veleva &amp; Bodkin, 2018)","dontUpdate":true,"noteIndex":0},"citationItems":[{"id":7035,"uris":["http://zotero.org/users/5243184/items/JG75TE66"],"uri":["http://zotero.org/users/5243184/items/JG75TE66"],"itemData":{"id":7035,"type":"article-journal","abstract":"This paper examines the role of small entrepreneurial companies and their partnerships with large corporations to advance the circular economy (CE). The authors provide insights from a U.S.-based empirical study that involved 12 companies and examined the emerging drivers, current challenges and future opportunities for advancing waste repurposing and product reuse. Many large companies fail to incorporate CE principles into their business strategy due to lack of mandates, costs, logistical hurdles and inertia. This presents an opportunity for entrepreneurial companies with innovative business models to fill the gap and provide critical links for corporations in reverse supply chains while creating new business opportunities with social benefits. The study found that despite the lack of federal regulations in the U.S. a growing number of corporations are partnering with entrepreneurs to reduce waste and advance product reuse. Key drivers for such trends include sustainability commitments and zero waste goals by companies and municipalities, European Union and U.S. state mandates, reputation and the growing focus on local sourcing. Technology, knowledge, and strategic partnerships between entrepreneurs and corporations play a critical role in reducing financial costs, time, energy, environmental impacts and resources, thus helping establish viable business models. The authors propose a new framework for corporate-entrepreneur collaborations to advance a CE. The study contributes to the research on the relationship between entrepreneurial innovation and the development of CE principles within corporate supply chains, a field that is still in its infant stage.","container-title":"Journal of Cleaner Production","DOI":"10.1016/j.jclepro.2018.03.196","ISSN":"0959-6526","journalAbbreviation":"Journal of Cleaner Production","language":"en","page":"20-37","source":"ScienceDirect","title":"Corporate-entrepreneur collaborations to advance a circular economy","volume":"188","author":[{"family":"Veleva","given":"Vesela"},{"family":"Bodkin","given":"Gavin"}],"issued":{"date-parts":[["2018",7,1]]}}}],"schema":"https://github.com/citation-style-language/schema/raw/master/csl-citation.json"} </w:instrText>
      </w:r>
      <w:r w:rsidRPr="008228A8">
        <w:rPr>
          <w:rFonts w:cstheme="minorHAnsi"/>
          <w:szCs w:val="22"/>
          <w:lang w:val="en-GB"/>
        </w:rPr>
        <w:fldChar w:fldCharType="separate"/>
      </w:r>
      <w:r w:rsidRPr="008228A8">
        <w:rPr>
          <w:rFonts w:cstheme="minorHAnsi"/>
          <w:noProof/>
          <w:szCs w:val="22"/>
          <w:lang w:val="en-GB"/>
        </w:rPr>
        <w:t>Veleva &amp; Bodkin (2018)</w:t>
      </w:r>
      <w:r w:rsidRPr="008228A8">
        <w:rPr>
          <w:rFonts w:cstheme="minorHAnsi"/>
          <w:szCs w:val="22"/>
          <w:lang w:val="en-GB"/>
        </w:rPr>
        <w:fldChar w:fldCharType="end"/>
      </w:r>
      <w:r>
        <w:rPr>
          <w:rFonts w:cstheme="minorHAnsi"/>
          <w:szCs w:val="22"/>
          <w:lang w:val="en-GB"/>
        </w:rPr>
        <w:t>. Therefore, we believe our results could contribute</w:t>
      </w:r>
      <w:r w:rsidR="009E0EC8">
        <w:rPr>
          <w:rFonts w:cstheme="minorHAnsi"/>
          <w:szCs w:val="22"/>
          <w:lang w:val="en-GB"/>
        </w:rPr>
        <w:t xml:space="preserve"> to</w:t>
      </w:r>
      <w:r>
        <w:rPr>
          <w:rFonts w:cstheme="minorHAnsi"/>
          <w:szCs w:val="22"/>
          <w:lang w:val="en-GB"/>
        </w:rPr>
        <w:t xml:space="preserve"> extending existing studies on CE. While new technologies allow the development of new business models that allow the development of CE, the solutions provided still need to gain legitimation to be accepted</w:t>
      </w:r>
      <w:r w:rsidR="00A9788A">
        <w:rPr>
          <w:rFonts w:cstheme="minorHAnsi"/>
          <w:szCs w:val="22"/>
          <w:lang w:val="en-GB"/>
        </w:rPr>
        <w:t xml:space="preserve"> </w:t>
      </w:r>
      <w:r w:rsidR="00A9788A">
        <w:rPr>
          <w:rFonts w:cstheme="minorHAnsi"/>
          <w:szCs w:val="22"/>
          <w:lang w:val="en-GB"/>
        </w:rPr>
        <w:fldChar w:fldCharType="begin"/>
      </w:r>
      <w:r w:rsidR="00B03A7D">
        <w:rPr>
          <w:rFonts w:cstheme="minorHAnsi"/>
          <w:szCs w:val="22"/>
          <w:lang w:val="en-GB"/>
        </w:rPr>
        <w:instrText xml:space="preserve"> ADDIN ZOTERO_ITEM CSL_CITATION {"citationID":"eRJDdJQi","properties":{"formattedCitation":"(Biloslavo et al., 2020)","plainCitation":"(Biloslavo et al., 2020)","noteIndex":0},"citationItems":[{"id":"tWdw92P2/RBcPX5Rp","uris":["http://zotero.org/users/local/CfQindHB/items/AWAY4XNH"],"uri":["http://zotero.org/users/local/CfQindHB/items/AWAY4XNH"],"itemData":{"id":3800,"type":"article-journal","abstract":"Purpose: This study aims to identify the legitimacy issues raised during a sustainable business model innovation, deployed by an Italian company, which was analyzed through the lens of the legitimation theory and the business model innovation theory. Design/methodology/approach: A single case study methodology is employed for empirical research. Semistructured interviews, with top and middle management, were conducted together with the analysis of several internal and external documents, to corroborate the case analysis. Findings: Results show how the potentiality of digital technologies allows the development of new sustainable business models, which, though, still need to gain legitimation to be accepted. The study findings allow drawing both on the business model innovation theory and on the legitimation theory, as they show how legitimation is a dynamic concept that involves internal as well as external stakeholders to support business model innovation. Originality/value: The paper is novel, since it addresses the topic of sustainable business models development, showing how companies can get legitimation. The paper builds on existing theories and provides a practical example. © 2020, Emerald Publishing Limited.","archive":"Scopus","container-title":"Management Decision","DOI":"10.1108/MD-09-2019-1296","ISSN":"00251747 (ISSN)","journalAbbreviation":"Manage. Decis.","language":"English","note":"publisher: Emerald Group Publishing Ltd.","title":"Business model transformation toward sustainability: the impact of legitimation","URL":"https://www.scopus.com/inward/record.uri?eid=2-s2.0-85086476494&amp;doi=10.1108%2fMD-09-2019-1296&amp;partnerID=40&amp;md5=2025e522c26c9d7291670af16b562cfd","author":[{"family":"Biloslavo","given":"R."},{"family":"Bagnoli","given":"C."},{"family":"Massaro","given":"M."},{"family":"Cosentino","given":"A."}],"issued":{"date-parts":[["2020"]]}}}],"schema":"https://github.com/citation-style-language/schema/raw/master/csl-citation.json"} </w:instrText>
      </w:r>
      <w:r w:rsidR="00A9788A">
        <w:rPr>
          <w:rFonts w:cstheme="minorHAnsi"/>
          <w:szCs w:val="22"/>
          <w:lang w:val="en-GB"/>
        </w:rPr>
        <w:fldChar w:fldCharType="separate"/>
      </w:r>
      <w:r w:rsidR="00802E14">
        <w:rPr>
          <w:rFonts w:ascii="Calibri" w:hAnsi="Calibri" w:cs="Calibri"/>
          <w:lang w:val="en-GB"/>
        </w:rPr>
        <w:t>(Biloslavo et al., 2020)</w:t>
      </w:r>
      <w:r w:rsidR="00A9788A">
        <w:rPr>
          <w:rFonts w:cstheme="minorHAnsi"/>
          <w:szCs w:val="22"/>
          <w:lang w:val="en-GB"/>
        </w:rPr>
        <w:fldChar w:fldCharType="end"/>
      </w:r>
      <w:r w:rsidR="00A9788A">
        <w:rPr>
          <w:rFonts w:cstheme="minorHAnsi"/>
          <w:szCs w:val="22"/>
          <w:lang w:val="en-GB"/>
        </w:rPr>
        <w:t xml:space="preserve">. Practical examples suggest that the development of stakeholder engagement could allow </w:t>
      </w:r>
      <w:r w:rsidR="009E0EC8">
        <w:rPr>
          <w:rFonts w:cstheme="minorHAnsi"/>
          <w:szCs w:val="22"/>
          <w:lang w:val="en-GB"/>
        </w:rPr>
        <w:t>developing</w:t>
      </w:r>
      <w:r w:rsidR="00A9788A">
        <w:rPr>
          <w:rFonts w:cstheme="minorHAnsi"/>
          <w:szCs w:val="22"/>
          <w:lang w:val="en-GB"/>
        </w:rPr>
        <w:t xml:space="preserve"> moral legitimacy </w:t>
      </w:r>
      <w:r w:rsidR="00A9788A">
        <w:rPr>
          <w:rFonts w:cstheme="minorHAnsi"/>
          <w:szCs w:val="22"/>
          <w:lang w:val="en-GB"/>
        </w:rPr>
        <w:fldChar w:fldCharType="begin"/>
      </w:r>
      <w:r w:rsidR="00B03A7D">
        <w:rPr>
          <w:rFonts w:cstheme="minorHAnsi"/>
          <w:szCs w:val="22"/>
          <w:lang w:val="en-GB"/>
        </w:rPr>
        <w:instrText xml:space="preserve"> ADDIN ZOTERO_ITEM CSL_CITATION {"citationID":"uxjr00AD","properties":{"formattedCitation":"(Reuber &amp; Morgan-Thomas, 2019)","plainCitation":"(Reuber &amp; Morgan-Thomas, 2019)","noteIndex":0},"citationItems":[{"id":"tWdw92P2/4FDh5nX8","uris":["http://zotero.org/users/local/CfQindHB/items/MZMDSW4S"],"uri":["http://zotero.org/users/local/CfQindHB/items/MZMDSW4S"],"itemData":{"id":3804,"type":"article-journal","abstract":"Globally active companies are involved in the discursive construction of moral legitimacy. Establishing normative conformance is problematic given the plurality of norms and values worldwide, and is particularly difficult for companies operating in morally controversial industries. In this paper, we investigate how organizations publicly legitimize the trade of human tissue for private profit when this practice runs counter to deep-seated and widespread moral beliefs. To do so, we use inductive, qualitative methods to analyze the website discourse of three types of organizations that trade in human tissue and are associated with different degrees of moral controversy with respect to tissue procurement and use. Our analysis reveals an object-oriented approach to moral legitimizing centered on the human tissue as a morally disputed good. We find that the website discourse translates human tissue into technology, constructs normative meaning around a dominant instrumental value associated with human-tissue-as-technology, and reproduces and stabilizes this meaning by six discursive mechanisms that amplify and anchor it. Moreover, the use of amplifying and anchoring discourse was greater in organizations associated with greater controversy. The results are consistent with an object-oriented sociality. © 2017, Springer Science+Business Media Dordrecht.","archive":"Scopus","container-title":"Journal of Business Ethics","DOI":"10.1007/s10551-017-3480-z","ISSN":"01674544 (ISSN)","issue":"1","journalAbbreviation":"J. Bus. Ethics","language":"English","note":"publisher: Springer Netherlands","page":"49-63","title":"Communicating Moral Legitimacy in Controversial Industries: The Trade in Human Tissue","volume":"154","author":[{"family":"Reuber","given":"A.R."},{"family":"Morgan-Thomas","given":"A."}],"issued":{"date-parts":[["2019"]]}}}],"schema":"https://github.com/citation-style-language/schema/raw/master/csl-citation.json"} </w:instrText>
      </w:r>
      <w:r w:rsidR="00A9788A">
        <w:rPr>
          <w:rFonts w:cstheme="minorHAnsi"/>
          <w:szCs w:val="22"/>
          <w:lang w:val="en-GB"/>
        </w:rPr>
        <w:fldChar w:fldCharType="separate"/>
      </w:r>
      <w:r w:rsidR="00802E14">
        <w:rPr>
          <w:rFonts w:ascii="Calibri" w:hAnsi="Calibri" w:cs="Calibri"/>
          <w:lang w:val="en-GB"/>
        </w:rPr>
        <w:t>(Reuber &amp; Morgan-Thomas, 2019)</w:t>
      </w:r>
      <w:r w:rsidR="00A9788A">
        <w:rPr>
          <w:rFonts w:cstheme="minorHAnsi"/>
          <w:szCs w:val="22"/>
          <w:lang w:val="en-GB"/>
        </w:rPr>
        <w:fldChar w:fldCharType="end"/>
      </w:r>
      <w:r w:rsidR="00A9788A">
        <w:rPr>
          <w:rFonts w:cstheme="minorHAnsi"/>
          <w:szCs w:val="22"/>
          <w:lang w:val="en-GB"/>
        </w:rPr>
        <w:t xml:space="preserve">. </w:t>
      </w:r>
      <w:r w:rsidR="00A9788A" w:rsidRPr="001020C3">
        <w:rPr>
          <w:rFonts w:cstheme="minorHAnsi"/>
          <w:szCs w:val="22"/>
          <w:lang w:val="en-GB"/>
        </w:rPr>
        <w:t>On this point, a further research gap emerges that academics may be interested in exploring in the future to investigate what drivers are needed to increase consumer and employee participation in C</w:t>
      </w:r>
      <w:r w:rsidR="00295896">
        <w:rPr>
          <w:rFonts w:cstheme="minorHAnsi"/>
          <w:szCs w:val="22"/>
          <w:lang w:val="en-GB"/>
        </w:rPr>
        <w:t>E</w:t>
      </w:r>
      <w:r w:rsidR="00A9788A" w:rsidRPr="001020C3">
        <w:rPr>
          <w:rFonts w:cstheme="minorHAnsi"/>
          <w:szCs w:val="22"/>
          <w:lang w:val="en-GB"/>
        </w:rPr>
        <w:t xml:space="preserve"> processes.</w:t>
      </w:r>
      <w:r w:rsidR="00473378">
        <w:rPr>
          <w:rFonts w:cstheme="minorHAnsi"/>
          <w:szCs w:val="22"/>
          <w:lang w:val="en-GB"/>
        </w:rPr>
        <w:t xml:space="preserve"> Pr</w:t>
      </w:r>
      <w:r w:rsidR="00BD6902">
        <w:rPr>
          <w:rFonts w:cstheme="minorHAnsi"/>
          <w:szCs w:val="22"/>
          <w:lang w:val="en-GB"/>
        </w:rPr>
        <w:t>ev</w:t>
      </w:r>
      <w:r w:rsidR="00473378">
        <w:rPr>
          <w:rFonts w:cstheme="minorHAnsi"/>
          <w:szCs w:val="22"/>
          <w:lang w:val="en-GB"/>
        </w:rPr>
        <w:t>iou</w:t>
      </w:r>
      <w:r w:rsidR="00BD6902">
        <w:rPr>
          <w:rFonts w:cstheme="minorHAnsi"/>
          <w:szCs w:val="22"/>
          <w:lang w:val="en-GB"/>
        </w:rPr>
        <w:t>s</w:t>
      </w:r>
      <w:r w:rsidR="00473378">
        <w:rPr>
          <w:rFonts w:cstheme="minorHAnsi"/>
          <w:szCs w:val="22"/>
          <w:lang w:val="en-GB"/>
        </w:rPr>
        <w:t xml:space="preserve"> studies clearly showed how legitimation is an </w:t>
      </w:r>
      <w:r w:rsidR="009E0EC8">
        <w:rPr>
          <w:rFonts w:cstheme="minorHAnsi"/>
          <w:szCs w:val="22"/>
          <w:lang w:val="en-GB"/>
        </w:rPr>
        <w:t>essential</w:t>
      </w:r>
      <w:r w:rsidR="00473378">
        <w:rPr>
          <w:rFonts w:cstheme="minorHAnsi"/>
          <w:szCs w:val="22"/>
          <w:lang w:val="en-GB"/>
        </w:rPr>
        <w:t xml:space="preserve"> driver in </w:t>
      </w:r>
      <w:r w:rsidR="00295896">
        <w:rPr>
          <w:rFonts w:cstheme="minorHAnsi"/>
          <w:szCs w:val="22"/>
          <w:lang w:val="en-GB"/>
        </w:rPr>
        <w:t>CE</w:t>
      </w:r>
      <w:r w:rsidR="00473378">
        <w:rPr>
          <w:rFonts w:cstheme="minorHAnsi"/>
          <w:szCs w:val="22"/>
          <w:lang w:val="en-GB"/>
        </w:rPr>
        <w:t xml:space="preserve"> development</w:t>
      </w:r>
      <w:r w:rsidR="009E0EC8">
        <w:rPr>
          <w:rFonts w:cstheme="minorHAnsi"/>
          <w:szCs w:val="22"/>
          <w:lang w:val="en-GB"/>
        </w:rPr>
        <w:t xml:space="preserve"> </w:t>
      </w:r>
      <w:r w:rsidR="00473378">
        <w:rPr>
          <w:rFonts w:cstheme="minorHAnsi"/>
          <w:szCs w:val="22"/>
          <w:lang w:val="en-GB"/>
        </w:rPr>
        <w:fldChar w:fldCharType="begin"/>
      </w:r>
      <w:r w:rsidR="00B03A7D">
        <w:rPr>
          <w:rFonts w:cstheme="minorHAnsi"/>
          <w:szCs w:val="22"/>
          <w:lang w:val="en-GB"/>
        </w:rPr>
        <w:instrText xml:space="preserve"> ADDIN ZOTERO_ITEM CSL_CITATION {"citationID":"OebCZmI0","properties":{"formattedCitation":"(Biloslavo et al., 2020)","plainCitation":"(Biloslavo et al., 2020)","noteIndex":0},"citationItems":[{"id":"tWdw92P2/RBcPX5Rp","uris":["http://zotero.org/users/local/CfQindHB/items/AWAY4XNH"],"uri":["http://zotero.org/users/local/CfQindHB/items/AWAY4XNH"],"itemData":{"id":3800,"type":"article-journal","abstract":"Purpose: This study aims to identify the legitimacy issues raised during a sustainable business model innovation, deployed by an Italian company, which was analyzed through the lens of the legitimation theory and the business model innovation theory. Design/methodology/approach: A single case study methodology is employed for empirical research. Semistructured interviews, with top and middle management, were conducted together with the analysis of several internal and external documents, to corroborate the case analysis. Findings: Results show how the potentiality of digital technologies allows the development of new sustainable business models, which, though, still need to gain legitimation to be accepted. The study findings allow drawing both on the business model innovation theory and on the legitimation theory, as they show how legitimation is a dynamic concept that involves internal as well as external stakeholders to support business model innovation. Originality/value: The paper is novel, since it addresses the topic of sustainable business models development, showing how companies can get legitimation. The paper builds on existing theories and provides a practical example. © 2020, Emerald Publishing Limited.","archive":"Scopus","container-title":"Management Decision","DOI":"10.1108/MD-09-2019-1296","ISSN":"00251747 (ISSN)","journalAbbreviation":"Manage. Decis.","language":"English","note":"publisher: Emerald Group Publishing Ltd.","title":"Business model transformation toward sustainability: the impact of legitimation","URL":"https://www.scopus.com/inward/record.uri?eid=2-s2.0-85086476494&amp;doi=10.1108%2fMD-09-2019-1296&amp;partnerID=40&amp;md5=2025e522c26c9d7291670af16b562cfd","author":[{"family":"Biloslavo","given":"R."},{"family":"Bagnoli","given":"C."},{"family":"Massaro","given":"M."},{"family":"Cosentino","given":"A."}],"issued":{"date-parts":[["2020"]]}}}],"schema":"https://github.com/citation-style-language/schema/raw/master/csl-citation.json"} </w:instrText>
      </w:r>
      <w:r w:rsidR="00473378">
        <w:rPr>
          <w:rFonts w:cstheme="minorHAnsi"/>
          <w:szCs w:val="22"/>
          <w:lang w:val="en-GB"/>
        </w:rPr>
        <w:fldChar w:fldCharType="separate"/>
      </w:r>
      <w:r w:rsidR="00802E14">
        <w:rPr>
          <w:rFonts w:ascii="Calibri" w:hAnsi="Calibri" w:cs="Calibri"/>
          <w:lang w:val="en-GB"/>
        </w:rPr>
        <w:t>(Biloslavo et al., 2020)</w:t>
      </w:r>
      <w:r w:rsidR="00473378">
        <w:rPr>
          <w:rFonts w:cstheme="minorHAnsi"/>
          <w:szCs w:val="22"/>
          <w:lang w:val="en-GB"/>
        </w:rPr>
        <w:fldChar w:fldCharType="end"/>
      </w:r>
      <w:r w:rsidR="00473378">
        <w:rPr>
          <w:rFonts w:cstheme="minorHAnsi"/>
          <w:szCs w:val="22"/>
          <w:lang w:val="en-GB"/>
        </w:rPr>
        <w:t>. The new insights coming from the practitioner side discuss the role of strategies for creating stakeholder engagement.</w:t>
      </w:r>
    </w:p>
    <w:p w14:paraId="0CCAD17F" w14:textId="37C0A6D1" w:rsidR="00473378" w:rsidRDefault="00473378">
      <w:pPr>
        <w:pStyle w:val="Titolo2"/>
      </w:pPr>
      <w:r>
        <w:t>Implication #2. A new perspective on co-production theory</w:t>
      </w:r>
    </w:p>
    <w:p w14:paraId="26DC4D54" w14:textId="73C5A45E" w:rsidR="00473378" w:rsidRPr="00C0544D" w:rsidRDefault="00473378" w:rsidP="00473378">
      <w:pPr>
        <w:rPr>
          <w:rFonts w:cstheme="minorHAnsi"/>
          <w:szCs w:val="22"/>
          <w:lang w:val="en-GB"/>
        </w:rPr>
      </w:pPr>
      <w:r>
        <w:rPr>
          <w:rFonts w:cstheme="minorHAnsi"/>
          <w:szCs w:val="22"/>
          <w:lang w:val="en-GB"/>
        </w:rPr>
        <w:t xml:space="preserve">CE requires the development of collaboration along the value chain. </w:t>
      </w:r>
      <w:r w:rsidRPr="00C0544D">
        <w:rPr>
          <w:rFonts w:cstheme="minorHAnsi"/>
          <w:szCs w:val="22"/>
          <w:lang w:val="en-GB"/>
        </w:rPr>
        <w:t xml:space="preserve">Focusing on collaborations, a critical insight comes from the Coca Cola case study in Sri Lanka on PET plastic bottles and Binee for the management of raw materials. According to the literature, collaborations can be of two types. On the one hand, supply chains represent the first source of collaboration </w:t>
      </w:r>
      <w:r w:rsidR="009E0EC8">
        <w:rPr>
          <w:rFonts w:cstheme="minorHAnsi"/>
          <w:szCs w:val="22"/>
          <w:lang w:val="en-GB"/>
        </w:rPr>
        <w:t>among</w:t>
      </w:r>
      <w:r w:rsidRPr="00C0544D">
        <w:rPr>
          <w:rFonts w:cstheme="minorHAnsi"/>
          <w:szCs w:val="22"/>
          <w:lang w:val="en-GB"/>
        </w:rPr>
        <w:t xml:space="preserve"> partners in </w:t>
      </w:r>
      <w:r>
        <w:rPr>
          <w:rFonts w:cstheme="minorHAnsi"/>
          <w:szCs w:val="22"/>
          <w:lang w:val="en-GB"/>
        </w:rPr>
        <w:t>CE</w:t>
      </w:r>
      <w:r w:rsidRPr="00C0544D">
        <w:rPr>
          <w:rFonts w:cstheme="minorHAnsi"/>
          <w:szCs w:val="22"/>
          <w:lang w:val="en-GB"/>
        </w:rPr>
        <w:t xml:space="preserve"> projects. They have an impact both in creating ambitious solutions and in empowering all actors </w:t>
      </w:r>
      <w:r w:rsidRPr="00C0544D">
        <w:rPr>
          <w:rFonts w:cstheme="minorHAnsi"/>
          <w:szCs w:val="22"/>
          <w:lang w:val="en-GB"/>
        </w:rPr>
        <w:fldChar w:fldCharType="begin"/>
      </w:r>
      <w:r w:rsidR="00F45764">
        <w:rPr>
          <w:rFonts w:cstheme="minorHAnsi"/>
          <w:szCs w:val="22"/>
          <w:lang w:val="en-GB"/>
        </w:rPr>
        <w:instrText xml:space="preserve"> ADDIN ZOTERO_ITEM CSL_CITATION {"citationID":"AsEQabIx","properties":{"formattedCitation":"(Leising et al., 2017; Veleva &amp; Bodkin, 2018)","plainCitation":"(Leising et al., 2017; Veleva &amp; Bodkin, 2018)","noteIndex":0},"citationItems":[{"id":7032,"uris":["http://zotero.org/users/5243184/items/QPY4Y3SC"],"uri":["http://zotero.org/users/5243184/items/QPY4Y3SC"],"itemData":{"id":7032,"type":"article-journal","abstract":"The Circular Economy (CE) gained significant traction in business and academia. While in the building sector issues around energy efficiency are being widely explored, CE is still a relatively new topic. This article reports on three CE pilots in the Dutch building sector and develops a collaboration tool for developing and operating circular buildings and their supply chain collaborations. First, a conceptual framework is developed to study supply chain collaboration in circular buildings, which uses theoretical building blocks for visions, actor learning, network dynamics and business model innovation. Second, a case study is presented where the framework is applied to three cases using semi-structured interviews and document analysis. Third, an empirically-based tool is developed to enhance collaboration for CE in the building sector. The cases include a newly built project, a renovation project and a demolition project. It was found that developing circular buildings requires (i) a new process design where a variety of disciplines in the supply chain is integrated upfront, (ii) the co-creation of an ambitious vision, (iii) extension of responsibilities to actors along the entire building supply chain, and (iv) new business and ownership models.","container-title":"Journal of Cleaner Production","DOI":"10.1016/j.jclepro.2017.12.010","journalAbbreviation":"Journal of Cleaner Production","source":"ResearchGate","title":"Circular Economy in the building sector: Three cases and a collaboration tool","title-short":"Circular Economy in the building sector","volume":"176","author":[{"family":"Leising","given":"Eline"},{"family":"Quist","given":"Jaco"},{"family":"Bocken","given":"Nancy"}],"issued":{"date-parts":[["2017",12,1]]}}},{"id":7035,"uris":["http://zotero.org/users/5243184/items/JG75TE66"],"uri":["http://zotero.org/users/5243184/items/JG75TE66"],"itemData":{"id":7035,"type":"article-journal","abstract":"This paper examines the role of small entrepreneurial companies and their partnerships with large corporations to advance the circular economy (CE). The authors provide insights from a U.S.-based empirical study that involved 12 companies and examined the emerging drivers, current challenges and future opportunities for advancing waste repurposing and product reuse. Many large companies fail to incorporate CE principles into their business strategy due to lack of mandates, costs, logistical hurdles and inertia. This presents an opportunity for entrepreneurial companies with innovative business models to fill the gap and provide critical links for corporations in reverse supply chains while creating new business opportunities with social benefits. The study found that despite the lack of federal regulations in the U.S. a growing number of corporations are partnering with entrepreneurs to reduce waste and advance product reuse. Key drivers for such trends include sustainability commitments and zero waste goals by companies and municipalities, European Union and U.S. state mandates, reputation and the growing focus on local sourcing. Technology, knowledge, and strategic partnerships between entrepreneurs and corporations play a critical role in reducing financial costs, time, energy, environmental impacts and resources, thus helping establish viable business models. The authors propose a new framework for corporate-entrepreneur collaborations to advance a CE. The study contributes to the research on the relationship between entrepreneurial innovation and the development of CE principles within corporate supply chains, a field that is still in its infant stage.","container-title":"Journal of Cleaner Production","DOI":"10.1016/j.jclepro.2018.03.196","ISSN":"0959-6526","journalAbbreviation":"Journal of Cleaner Production","language":"en","page":"20-37","source":"ScienceDirect","title":"Corporate-entrepreneur collaborations to advance a circular economy","volume":"188","author":[{"family":"Veleva","given":"Vesela"},{"family":"Bodkin","given":"Gavin"}],"issued":{"date-parts":[["2018",7,1]]}}}],"schema":"https://github.com/citation-style-language/schema/raw/master/csl-citation.json"} </w:instrText>
      </w:r>
      <w:r w:rsidRPr="00C0544D">
        <w:rPr>
          <w:rFonts w:cstheme="minorHAnsi"/>
          <w:szCs w:val="22"/>
          <w:lang w:val="en-GB"/>
        </w:rPr>
        <w:fldChar w:fldCharType="separate"/>
      </w:r>
      <w:r w:rsidR="00802E14">
        <w:rPr>
          <w:rFonts w:cstheme="minorHAnsi"/>
          <w:noProof/>
          <w:szCs w:val="22"/>
          <w:lang w:val="en-GB"/>
        </w:rPr>
        <w:t>(Leising et al., 2017; Veleva &amp; Bodkin, 2018)</w:t>
      </w:r>
      <w:r w:rsidRPr="00C0544D">
        <w:rPr>
          <w:rFonts w:cstheme="minorHAnsi"/>
          <w:szCs w:val="22"/>
          <w:lang w:val="en-GB"/>
        </w:rPr>
        <w:fldChar w:fldCharType="end"/>
      </w:r>
      <w:r w:rsidRPr="00C0544D">
        <w:rPr>
          <w:rFonts w:cstheme="minorHAnsi"/>
          <w:szCs w:val="22"/>
          <w:lang w:val="en-GB"/>
        </w:rPr>
        <w:t xml:space="preserve">. </w:t>
      </w:r>
      <w:r w:rsidR="00BD6902">
        <w:rPr>
          <w:rFonts w:cstheme="minorHAnsi"/>
          <w:szCs w:val="22"/>
          <w:lang w:val="en-GB"/>
        </w:rPr>
        <w:t xml:space="preserve">Considering the role of waste management, co-production must be extended to </w:t>
      </w:r>
      <w:r w:rsidR="00737206">
        <w:rPr>
          <w:rFonts w:cstheme="minorHAnsi"/>
          <w:szCs w:val="22"/>
          <w:lang w:val="en-GB"/>
        </w:rPr>
        <w:t xml:space="preserve">public entities. Practitioners </w:t>
      </w:r>
      <w:r w:rsidR="00737206">
        <w:rPr>
          <w:rFonts w:cstheme="minorHAnsi"/>
          <w:szCs w:val="22"/>
          <w:lang w:val="en-GB"/>
        </w:rPr>
        <w:lastRenderedPageBreak/>
        <w:t>suggest that the adoption of I</w:t>
      </w:r>
      <w:r w:rsidR="009E0EC8">
        <w:rPr>
          <w:rFonts w:cstheme="minorHAnsi"/>
          <w:szCs w:val="22"/>
          <w:lang w:val="en-GB"/>
        </w:rPr>
        <w:t>o</w:t>
      </w:r>
      <w:r w:rsidR="00737206">
        <w:rPr>
          <w:rFonts w:cstheme="minorHAnsi"/>
          <w:szCs w:val="22"/>
          <w:lang w:val="en-GB"/>
        </w:rPr>
        <w:t xml:space="preserve">T will lead to a world where products communicate </w:t>
      </w:r>
      <w:r w:rsidR="009E0EC8">
        <w:rPr>
          <w:rFonts w:cstheme="minorHAnsi"/>
          <w:szCs w:val="22"/>
          <w:lang w:val="en-GB"/>
        </w:rPr>
        <w:t xml:space="preserve">with </w:t>
      </w:r>
      <w:r w:rsidR="00737206">
        <w:rPr>
          <w:rFonts w:cstheme="minorHAnsi"/>
          <w:szCs w:val="22"/>
          <w:lang w:val="en-GB"/>
        </w:rPr>
        <w:t>each</w:t>
      </w:r>
      <w:r w:rsidR="009E0EC8">
        <w:rPr>
          <w:rFonts w:cstheme="minorHAnsi"/>
          <w:szCs w:val="22"/>
          <w:lang w:val="en-GB"/>
        </w:rPr>
        <w:t xml:space="preserve"> </w:t>
      </w:r>
      <w:r w:rsidR="00737206">
        <w:rPr>
          <w:rFonts w:cstheme="minorHAnsi"/>
          <w:szCs w:val="22"/>
          <w:lang w:val="en-GB"/>
        </w:rPr>
        <w:t>other</w:t>
      </w:r>
      <w:r w:rsidR="009E0EC8">
        <w:rPr>
          <w:rFonts w:cstheme="minorHAnsi"/>
          <w:szCs w:val="22"/>
          <w:lang w:val="en-GB"/>
        </w:rPr>
        <w:t>,</w:t>
      </w:r>
      <w:r w:rsidR="00737206">
        <w:rPr>
          <w:rFonts w:cstheme="minorHAnsi"/>
          <w:szCs w:val="22"/>
          <w:lang w:val="en-GB"/>
        </w:rPr>
        <w:t xml:space="preserve"> even in the recycling process. To allow the collecting process to be effective private and public investment should be considered in a joint co-production process. While technology seems to be there to provide new and innovative solutions to the CE, scholars seem to lack behind, with no studies focused on the specific problems related to the co-production process. Aspects to </w:t>
      </w:r>
      <w:r w:rsidR="009E0EC8">
        <w:rPr>
          <w:rFonts w:cstheme="minorHAnsi"/>
          <w:szCs w:val="22"/>
          <w:lang w:val="en-GB"/>
        </w:rPr>
        <w:t xml:space="preserve">be </w:t>
      </w:r>
      <w:r w:rsidR="00737206">
        <w:rPr>
          <w:rFonts w:cstheme="minorHAnsi"/>
          <w:szCs w:val="22"/>
          <w:lang w:val="en-GB"/>
        </w:rPr>
        <w:t>investigate</w:t>
      </w:r>
      <w:r w:rsidR="009E0EC8">
        <w:rPr>
          <w:rFonts w:cstheme="minorHAnsi"/>
          <w:szCs w:val="22"/>
          <w:lang w:val="en-GB"/>
        </w:rPr>
        <w:t>d</w:t>
      </w:r>
      <w:r w:rsidR="00737206">
        <w:rPr>
          <w:rFonts w:cstheme="minorHAnsi"/>
          <w:szCs w:val="22"/>
          <w:lang w:val="en-GB"/>
        </w:rPr>
        <w:t xml:space="preserve"> relate to the consensus development, to the cost and benefit calculation and to the managerial and coordination needs required to develop such process.</w:t>
      </w:r>
    </w:p>
    <w:p w14:paraId="250B9E81" w14:textId="2C4F18CE" w:rsidR="00473378" w:rsidRDefault="00473378" w:rsidP="00473378">
      <w:pPr>
        <w:pStyle w:val="Titolo2"/>
      </w:pPr>
      <w:r>
        <w:t>Implication #3. A new perspective on participatory design theory</w:t>
      </w:r>
    </w:p>
    <w:p w14:paraId="5E5FD5CD" w14:textId="329DEA33" w:rsidR="00473378" w:rsidRPr="00016000" w:rsidRDefault="00473378" w:rsidP="00473378">
      <w:pPr>
        <w:rPr>
          <w:rFonts w:cstheme="minorHAnsi"/>
          <w:szCs w:val="22"/>
          <w:lang w:val="en-GB"/>
        </w:rPr>
      </w:pPr>
      <w:r w:rsidRPr="00016000">
        <w:rPr>
          <w:rFonts w:cstheme="minorHAnsi"/>
          <w:szCs w:val="22"/>
          <w:lang w:val="en-GB"/>
        </w:rPr>
        <w:t xml:space="preserve">Sources of professionals through case studies, show the need to initiate CE pathways through structured design. For example, in the case of Rubicon, a software company that provides products for waste management, recycling, CE needs an overall design that can unite both public and private entities. This is also reflected in the literature. </w:t>
      </w:r>
      <w:r w:rsidRPr="00016000">
        <w:rPr>
          <w:rFonts w:cstheme="minorHAnsi"/>
          <w:szCs w:val="22"/>
          <w:lang w:val="en-GB"/>
        </w:rPr>
        <w:fldChar w:fldCharType="begin"/>
      </w:r>
      <w:r w:rsidR="00F45764">
        <w:rPr>
          <w:rFonts w:cstheme="minorHAnsi"/>
          <w:szCs w:val="22"/>
          <w:lang w:val="en-GB"/>
        </w:rPr>
        <w:instrText xml:space="preserve"> ADDIN ZOTERO_ITEM CSL_CITATION {"citationID":"AJDkkzqz","properties":{"formattedCitation":"(Andrews, 2015)","plainCitation":"(Andrews, 2015)","dontUpdate":true,"noteIndex":0},"citationItems":[{"id":7023,"uris":["http://zotero.org/users/5243184/items/RMHTN3D9"],"uri":["http://zotero.org/users/5243184/items/RMHTN3D9"],"itemData":{"id":7023,"type":"article-journal","abstract":"The origins of the Linear Economy – the ‘take-make-use-dispose’ model of consumption – date from the Industrial Revolution and the global economy developed around this model. Various social, economic and environmental factors mean that it is no longer sustainable. A radical new model – the Circular Economy – is being advocated but as yet it is not widely practiced. This paper proposes that designers are crucial to the development of this new economic model; furthermore, this model facilitates education for sustainability and enhances employability.","container-title":"Local Economy","DOI":"10.1177/0269094215578226","ISSN":"0269-0942","issue":"3","journalAbbreviation":"Local Economy","language":"en","note":"publisher: SAGE Publications Ltd","page":"305-315","source":"SAGE Journals","title":"The circular economy, design thinking and education for sustainability","volume":"30","author":[{"family":"Andrews","given":"Deborah"}],"issued":{"date-parts":[["2015",5,1]]}}}],"schema":"https://github.com/citation-style-language/schema/raw/master/csl-citation.json"} </w:instrText>
      </w:r>
      <w:r w:rsidRPr="00016000">
        <w:rPr>
          <w:rFonts w:cstheme="minorHAnsi"/>
          <w:szCs w:val="22"/>
          <w:lang w:val="en-GB"/>
        </w:rPr>
        <w:fldChar w:fldCharType="separate"/>
      </w:r>
      <w:r w:rsidRPr="00016000">
        <w:rPr>
          <w:rFonts w:cstheme="minorHAnsi"/>
          <w:noProof/>
          <w:szCs w:val="22"/>
          <w:lang w:val="en-GB"/>
        </w:rPr>
        <w:t>Andrews</w:t>
      </w:r>
      <w:r w:rsidR="00106633">
        <w:rPr>
          <w:rFonts w:cstheme="minorHAnsi"/>
          <w:noProof/>
          <w:szCs w:val="22"/>
          <w:lang w:val="en-GB"/>
        </w:rPr>
        <w:t>'</w:t>
      </w:r>
      <w:r w:rsidRPr="00016000">
        <w:rPr>
          <w:rFonts w:cstheme="minorHAnsi"/>
          <w:noProof/>
          <w:szCs w:val="22"/>
          <w:lang w:val="en-GB"/>
        </w:rPr>
        <w:t>s (2015)</w:t>
      </w:r>
      <w:r w:rsidRPr="00016000">
        <w:rPr>
          <w:rFonts w:cstheme="minorHAnsi"/>
          <w:szCs w:val="22"/>
          <w:lang w:val="en-GB"/>
        </w:rPr>
        <w:fldChar w:fldCharType="end"/>
      </w:r>
      <w:r w:rsidRPr="00016000">
        <w:rPr>
          <w:rFonts w:cstheme="minorHAnsi"/>
          <w:szCs w:val="22"/>
          <w:lang w:val="en-GB"/>
        </w:rPr>
        <w:t xml:space="preserve"> contribution discovers that a holistic design approach is needed to meet new environmental, </w:t>
      </w:r>
      <w:proofErr w:type="gramStart"/>
      <w:r w:rsidRPr="00016000">
        <w:rPr>
          <w:rFonts w:cstheme="minorHAnsi"/>
          <w:szCs w:val="22"/>
          <w:lang w:val="en-GB"/>
        </w:rPr>
        <w:t>social</w:t>
      </w:r>
      <w:proofErr w:type="gramEnd"/>
      <w:r w:rsidRPr="00016000">
        <w:rPr>
          <w:rFonts w:cstheme="minorHAnsi"/>
          <w:szCs w:val="22"/>
          <w:lang w:val="en-GB"/>
        </w:rPr>
        <w:t xml:space="preserve"> and economic needs. Furthermore, designers will be asked more to develop a circular economy by facilitating the creation of new products and services. According to </w:t>
      </w:r>
      <w:r w:rsidRPr="00016000">
        <w:rPr>
          <w:rFonts w:cstheme="minorHAnsi"/>
          <w:szCs w:val="22"/>
          <w:lang w:val="en-GB"/>
        </w:rPr>
        <w:fldChar w:fldCharType="begin"/>
      </w:r>
      <w:r w:rsidR="00F45764">
        <w:rPr>
          <w:rFonts w:cstheme="minorHAnsi"/>
          <w:szCs w:val="22"/>
          <w:lang w:val="en-GB"/>
        </w:rPr>
        <w:instrText xml:space="preserve"> ADDIN ZOTERO_ITEM CSL_CITATION {"citationID":"iCKT796p","properties":{"formattedCitation":"(Brown, 2015)","plainCitation":"(Brown, 2015)","dontUpdate":true,"noteIndex":0},"citationItems":[{"id":7025,"uris":["http://zotero.org/users/5243184/items/9NYWANTJ"],"uri":["http://zotero.org/users/5243184/items/9NYWANTJ"],"itemData":{"id":7025,"type":"book","abstract":"The CEO of IDEO, the celebrated innovation and design firm, shows how the techniques and strategies of design belong at every level of business, in the first book to detail IDEO's internationally recognized Design Thinking process. 60,000 first printing.","event-place":"New York","ISBN":"978-0-06-176608-4","language":"Inglese","number-of-pages":"264","publisher":"Harper USA","publisher-place":"New York","source":"Amazon","title":"Change by Design: How Design Thinking Can Transform Organizations and Inspire Innovation","title-short":"Change by Design","author":[{"family":"Brown","given":"Tim"}],"issued":{"date-parts":[["2015",2,10]]}}}],"schema":"https://github.com/citation-style-language/schema/raw/master/csl-citation.json"} </w:instrText>
      </w:r>
      <w:r w:rsidRPr="00016000">
        <w:rPr>
          <w:rFonts w:cstheme="minorHAnsi"/>
          <w:szCs w:val="22"/>
          <w:lang w:val="en-GB"/>
        </w:rPr>
        <w:fldChar w:fldCharType="separate"/>
      </w:r>
      <w:r w:rsidRPr="00016000">
        <w:rPr>
          <w:rFonts w:cstheme="minorHAnsi"/>
          <w:noProof/>
          <w:szCs w:val="22"/>
          <w:lang w:val="en-GB"/>
        </w:rPr>
        <w:t>Brown (2015)</w:t>
      </w:r>
      <w:r w:rsidRPr="00016000">
        <w:rPr>
          <w:rFonts w:cstheme="minorHAnsi"/>
          <w:szCs w:val="22"/>
          <w:lang w:val="en-GB"/>
        </w:rPr>
        <w:fldChar w:fldCharType="end"/>
      </w:r>
      <w:r w:rsidRPr="00016000">
        <w:rPr>
          <w:rFonts w:cstheme="minorHAnsi"/>
          <w:szCs w:val="22"/>
          <w:lang w:val="en-GB"/>
        </w:rPr>
        <w:t xml:space="preserve">, design thinking theory would integrate knowledge and skills to create products and services related to the CE. Previous studies show that design is essential to assess sustainability levels in specific sectors </w:t>
      </w:r>
      <w:r w:rsidRPr="00016000">
        <w:rPr>
          <w:rFonts w:cstheme="minorHAnsi"/>
          <w:szCs w:val="22"/>
          <w:lang w:val="en-GB"/>
        </w:rPr>
        <w:fldChar w:fldCharType="begin"/>
      </w:r>
      <w:r w:rsidR="00F45764">
        <w:rPr>
          <w:rFonts w:cstheme="minorHAnsi"/>
          <w:szCs w:val="22"/>
          <w:lang w:val="en-GB"/>
        </w:rPr>
        <w:instrText xml:space="preserve"> ADDIN ZOTERO_ITEM CSL_CITATION {"citationID":"7UmZt3vs","properties":{"formattedCitation":"(Azapagic et al., 2006; Spangenberg et al., 2010)","plainCitation":"(Azapagic et al., 2006; Spangenberg et al., 2010)","noteIndex":0},"citationItems":[{"id":7027,"uris":["http://zotero.org/users/5243184/items/EAULBIY5"],"uri":["http://zotero.org/users/5243184/items/EAULBIY5"],"itemData":{"id":7027,"type":"article-journal","abstract":"Designing more sustainable processes is one of the key challenges for sustainable development of the chemical industry. This is by no means a trivial task as it requires translating the theoretical principles of sustainable development into design practice. At present, there is no general methodology to guide sustainable process design and almost no practical experience. In an attempt to contribute to this emerging area, this paper proposes a new methodology for integrating sustainability considerations into process design. Underpinned by life cycle thinking, the methodology guides the process designer through different design stages to enable integration of technical, economic, environmental and social criteria. The approach is illustrated on a design case study of the vinyl chloride monomer process. The case study shows how to identify relevant sustainability criteria, how to assess the level of sustainability and how to use the obtained information to make the design more sustainable.","container-title":"Chemical Engineering Research and Design","DOI":"10.1205/cherd05007","ISSN":"0263-8762","issue":"6","journalAbbreviation":"Chemical Engineering Research and Design","language":"en","page":"439-452","source":"ScienceDirect","title":"A Methodology for Integrating Sustainability Considerations into Process Design","volume":"84","author":[{"family":"Azapagic","given":"A."},{"family":"Millington","given":"A."},{"family":"Collett","given":"A."}],"issued":{"date-parts":[["2006",6,1]]}}},{"id":7030,"uris":["http://zotero.org/users/5243184/items/MCXT9KER"],"uri":["http://zotero.org/users/5243184/items/MCXT9KER"],"itemData":{"id":7030,"type":"article-journal","abstract":"Nowadays design is faced with the challenge to contribute to the transition towards a sustainable society. Design for Sustainability (DfS) is the response to this challenge. It includes but goes beyond what Design for the Environment or ecodesign provides, by integrating social, economic, environmental and institutional aspects and by offering opportunities to get involved, express one’s own identity beyond consuming standardised mass products. DEEDS, a Leonardo research project, had the mission to embed sustainability in design and design in sustainability. For this behalf, the project partners approached the issue from the angles of design, sustainability science and sustainable consumption analysis, developing tools and rules (the SCALES principles) to support DfS and to incorporate it into design education and practice. The paper describes the framework conditions as explored by sustainable consumption research, the obstacles identified by DEEDS and gives hints how to overcome them based in the lessons learnt in the course of the project.","container-title":"Journal of Cleaner Production","DOI":"10.1016/j.jclepro.2010.06.002","ISSN":"0959-6526","issue":"15","journalAbbreviation":"Journal of Cleaner Production","language":"en","page":"1485-1493","source":"ScienceDirect","title":"Design for Sustainability (DfS): the interface of sustainable production and consumption","title-short":"Design for Sustainability (DfS)","volume":"18","author":[{"family":"Spangenberg","given":"Joachim H."},{"family":"Fuad-Luke","given":"Alastair"},{"family":"Blincoe","given":"Karen"}],"issued":{"date-parts":[["2010",11,1]]}}}],"schema":"https://github.com/citation-style-language/schema/raw/master/csl-citation.json"} </w:instrText>
      </w:r>
      <w:r w:rsidRPr="00016000">
        <w:rPr>
          <w:rFonts w:cstheme="minorHAnsi"/>
          <w:szCs w:val="22"/>
          <w:lang w:val="en-GB"/>
        </w:rPr>
        <w:fldChar w:fldCharType="separate"/>
      </w:r>
      <w:r w:rsidR="00802E14">
        <w:rPr>
          <w:rFonts w:cstheme="minorHAnsi"/>
          <w:noProof/>
          <w:szCs w:val="22"/>
          <w:lang w:val="en-GB"/>
        </w:rPr>
        <w:t>(Azapagic et al., 2006; Spangenberg et al., 2010)</w:t>
      </w:r>
      <w:r w:rsidRPr="00016000">
        <w:rPr>
          <w:rFonts w:cstheme="minorHAnsi"/>
          <w:szCs w:val="22"/>
          <w:lang w:val="en-GB"/>
        </w:rPr>
        <w:fldChar w:fldCharType="end"/>
      </w:r>
      <w:r w:rsidRPr="00016000">
        <w:rPr>
          <w:rFonts w:cstheme="minorHAnsi"/>
          <w:szCs w:val="22"/>
          <w:lang w:val="en-GB"/>
        </w:rPr>
        <w:t xml:space="preserve">. The experience of professionals, therefore, allows academics to accept the challenge by building future research lines that can integrate industry 4.0, circular economy and design lines between multiple partners. </w:t>
      </w:r>
      <w:r w:rsidR="00737206">
        <w:rPr>
          <w:rFonts w:cstheme="minorHAnsi"/>
          <w:szCs w:val="22"/>
          <w:lang w:val="en-GB"/>
        </w:rPr>
        <w:t>Problems specifically studied in design theory such as the role of actors, their specific interests and power should be depen</w:t>
      </w:r>
      <w:r w:rsidR="009E0EC8">
        <w:rPr>
          <w:rFonts w:cstheme="minorHAnsi"/>
          <w:szCs w:val="22"/>
          <w:lang w:val="en-GB"/>
        </w:rPr>
        <w:t>d</w:t>
      </w:r>
      <w:r w:rsidR="00737206">
        <w:rPr>
          <w:rFonts w:cstheme="minorHAnsi"/>
          <w:szCs w:val="22"/>
          <w:lang w:val="en-GB"/>
        </w:rPr>
        <w:t>ed to gain insights in</w:t>
      </w:r>
      <w:r w:rsidR="009E0EC8">
        <w:rPr>
          <w:rFonts w:cstheme="minorHAnsi"/>
          <w:szCs w:val="22"/>
          <w:lang w:val="en-GB"/>
        </w:rPr>
        <w:t>to</w:t>
      </w:r>
      <w:r w:rsidR="00737206">
        <w:rPr>
          <w:rFonts w:cstheme="minorHAnsi"/>
          <w:szCs w:val="22"/>
          <w:lang w:val="en-GB"/>
        </w:rPr>
        <w:t xml:space="preserve"> the specific application for the implementation of industry 4.0 solutions in the CE.</w:t>
      </w:r>
    </w:p>
    <w:p w14:paraId="4D87F7C0" w14:textId="6633F62C" w:rsidR="00AD6935" w:rsidRDefault="00AD6935" w:rsidP="008228A8">
      <w:pPr>
        <w:pStyle w:val="Titolo2"/>
      </w:pPr>
      <w:r>
        <w:t xml:space="preserve">Implication #4. A new perspective on </w:t>
      </w:r>
      <w:r w:rsidR="009E0EC8">
        <w:t xml:space="preserve">the </w:t>
      </w:r>
      <w:r w:rsidR="00737206">
        <w:t>academic-practitioner</w:t>
      </w:r>
      <w:r w:rsidR="009E0EC8">
        <w:t>s</w:t>
      </w:r>
      <w:r w:rsidR="00737206">
        <w:t xml:space="preserve"> debate</w:t>
      </w:r>
    </w:p>
    <w:p w14:paraId="650A310A" w14:textId="1E22D6E5" w:rsidR="00EB4AED" w:rsidRPr="008228A8" w:rsidRDefault="00737206" w:rsidP="008228A8">
      <w:pPr>
        <w:rPr>
          <w:rFonts w:cstheme="minorHAnsi"/>
          <w:szCs w:val="22"/>
          <w:lang w:val="en-GB"/>
        </w:rPr>
      </w:pPr>
      <w:r>
        <w:rPr>
          <w:rFonts w:cstheme="minorHAnsi"/>
          <w:szCs w:val="22"/>
          <w:lang w:val="en-GB"/>
        </w:rPr>
        <w:t>Our results s</w:t>
      </w:r>
      <w:r w:rsidR="006E718F">
        <w:rPr>
          <w:rFonts w:cstheme="minorHAnsi"/>
          <w:szCs w:val="22"/>
          <w:lang w:val="en-GB"/>
        </w:rPr>
        <w:t>h</w:t>
      </w:r>
      <w:r>
        <w:rPr>
          <w:rFonts w:cstheme="minorHAnsi"/>
          <w:szCs w:val="22"/>
          <w:lang w:val="en-GB"/>
        </w:rPr>
        <w:t>ow</w:t>
      </w:r>
      <w:r w:rsidR="00E9315B" w:rsidRPr="008228A8">
        <w:rPr>
          <w:rFonts w:cstheme="minorHAnsi"/>
          <w:szCs w:val="22"/>
          <w:lang w:val="en-GB"/>
        </w:rPr>
        <w:t xml:space="preserve"> that both</w:t>
      </w:r>
      <w:r>
        <w:rPr>
          <w:rFonts w:cstheme="minorHAnsi"/>
          <w:szCs w:val="22"/>
          <w:lang w:val="en-GB"/>
        </w:rPr>
        <w:t xml:space="preserve"> practitioner</w:t>
      </w:r>
      <w:r w:rsidR="009E0EC8">
        <w:rPr>
          <w:rFonts w:cstheme="minorHAnsi"/>
          <w:szCs w:val="22"/>
          <w:lang w:val="en-GB"/>
        </w:rPr>
        <w:t>s</w:t>
      </w:r>
      <w:r>
        <w:rPr>
          <w:rFonts w:cstheme="minorHAnsi"/>
          <w:szCs w:val="22"/>
          <w:lang w:val="en-GB"/>
        </w:rPr>
        <w:t xml:space="preserve"> and academic sources </w:t>
      </w:r>
      <w:r w:rsidR="00E9315B" w:rsidRPr="008228A8">
        <w:rPr>
          <w:rFonts w:cstheme="minorHAnsi"/>
          <w:szCs w:val="22"/>
          <w:lang w:val="en-GB"/>
        </w:rPr>
        <w:t xml:space="preserve">apply Industry 4.0 to the </w:t>
      </w:r>
      <w:r w:rsidR="00820A56" w:rsidRPr="008228A8">
        <w:rPr>
          <w:rFonts w:cstheme="minorHAnsi"/>
          <w:szCs w:val="22"/>
          <w:lang w:val="en-GB"/>
        </w:rPr>
        <w:t>CE</w:t>
      </w:r>
      <w:r w:rsidR="00E9315B" w:rsidRPr="008228A8">
        <w:rPr>
          <w:rFonts w:cstheme="minorHAnsi"/>
          <w:szCs w:val="22"/>
          <w:lang w:val="en-GB"/>
        </w:rPr>
        <w:t xml:space="preserve">, confirming the existence of a </w:t>
      </w:r>
      <w:r w:rsidR="006E718F">
        <w:rPr>
          <w:rFonts w:cstheme="minorHAnsi"/>
          <w:szCs w:val="22"/>
          <w:lang w:val="en-GB"/>
        </w:rPr>
        <w:t>shared interest</w:t>
      </w:r>
      <w:r w:rsidR="00E9315B" w:rsidRPr="008228A8">
        <w:rPr>
          <w:rFonts w:cstheme="minorHAnsi"/>
          <w:szCs w:val="22"/>
          <w:lang w:val="en-GB"/>
        </w:rPr>
        <w:t xml:space="preserve"> </w:t>
      </w:r>
      <w:r w:rsidR="00795B69" w:rsidRPr="008228A8">
        <w:rPr>
          <w:rFonts w:cstheme="minorHAnsi"/>
          <w:szCs w:val="22"/>
          <w:lang w:val="en-GB"/>
        </w:rPr>
        <w:fldChar w:fldCharType="begin"/>
      </w:r>
      <w:r w:rsidR="00F45764">
        <w:rPr>
          <w:rFonts w:cstheme="minorHAnsi"/>
          <w:szCs w:val="22"/>
          <w:lang w:val="en-GB"/>
        </w:rPr>
        <w:instrText xml:space="preserve"> ADDIN ZOTERO_ITEM CSL_CITATION {"citationID":"EZGVvqdI","properties":{"formattedCitation":"(de Sousa Jabbour et al., 2018)","plainCitation":"(de Sousa Jabbour et al., 2018)","noteIndex":0},"citationItems":[{"id":6834,"uris":["http://zotero.org/users/5243184/items/JW9FBBW2"],"uri":["http://zotero.org/users/5243184/items/JW9FBBW2"],"itemData":{"id":6834,"type":"article-journal","abstract":"This work makes the case for integrating two industrial waves that promise to re-shape current patterns of production and consumption: Industry 4.0 and environmentally-sustainable manufacturing. We argue that, although these two trends cannot be considered an industrial revolution, Industry 4.0-associated technologies nevertheless have the unique potential to unlock environmentally-sustainable manufacturing. Productive synergy between Industry 4.0 and environmentally-sustainable manufacturing relies on understanding the role played by eleven critical success factors, which organisations should consider carefully when simultaneously implementing Industry 4.0 and environmentally-sustainable manufacturing. As this is one of the first works to address whether or not Industry 4.0 can synergistically boost environmentally-sustainable manufacturing – with an emphasis on the critical success factors that can pose challenges and opportunities to this process – we also propose an integrative framework containing twelve research propositions. We hope this will stimulate the debate on the intersection of manufacturing waves, in particular the integration of Industry 4.0 and environmentally-sustainable manufacturing.","container-title":"Technological Forecasting and Social Change","DOI":"10.1016/j.techfore.2018.01.017","ISSN":"0040-1625","journalAbbreviation":"Technological Forecasting and Social Change","language":"en","page":"18-25","source":"ScienceDirect","title":"When titans meet – Can industry 4.0 revolutionise the environmentally-sustainable manufacturing wave? The role of critical success factors","title-short":"When titans meet – Can industry 4.0 revolutionise the environmentally-sustainable manufacturing wave?","volume":"132","author":[{"family":"Sousa Jabbour","given":"Ana Beatriz Lopes","non-dropping-particle":"de"},{"family":"Jabbour","given":"Charbel Jose Chiappetta"},{"family":"Foropon","given":"Cyril"},{"family":"Godinho Filho","given":"Moacir"}],"issued":{"date-parts":[["2018",7,1]]}}}],"schema":"https://github.com/citation-style-language/schema/raw/master/csl-citation.json"} </w:instrText>
      </w:r>
      <w:r w:rsidR="00795B69" w:rsidRPr="008228A8">
        <w:rPr>
          <w:rFonts w:cstheme="minorHAnsi"/>
          <w:szCs w:val="22"/>
          <w:lang w:val="en-GB"/>
        </w:rPr>
        <w:fldChar w:fldCharType="separate"/>
      </w:r>
      <w:r w:rsidR="00802E14">
        <w:rPr>
          <w:rFonts w:cstheme="minorHAnsi"/>
          <w:noProof/>
          <w:szCs w:val="22"/>
          <w:lang w:val="en-GB"/>
        </w:rPr>
        <w:t>(de Sousa Jabbour et al., 2018)</w:t>
      </w:r>
      <w:r w:rsidR="00795B69" w:rsidRPr="008228A8">
        <w:rPr>
          <w:rFonts w:cstheme="minorHAnsi"/>
          <w:szCs w:val="22"/>
          <w:lang w:val="en-GB"/>
        </w:rPr>
        <w:fldChar w:fldCharType="end"/>
      </w:r>
      <w:r w:rsidR="00295BED" w:rsidRPr="008228A8">
        <w:rPr>
          <w:rFonts w:cstheme="minorHAnsi"/>
          <w:szCs w:val="22"/>
          <w:lang w:val="en-GB"/>
        </w:rPr>
        <w:t xml:space="preserve">. </w:t>
      </w:r>
      <w:r w:rsidR="00E9315B" w:rsidRPr="008228A8">
        <w:rPr>
          <w:rFonts w:cstheme="minorHAnsi"/>
          <w:szCs w:val="22"/>
          <w:lang w:val="en-GB"/>
        </w:rPr>
        <w:t>Although in practice this was earlier than the beginning of the first scientific contributions, on both sides, there is a need to discover new production systems and sustainable business models</w:t>
      </w:r>
      <w:r w:rsidR="00295BED" w:rsidRPr="008228A8">
        <w:rPr>
          <w:rFonts w:cstheme="minorHAnsi"/>
          <w:szCs w:val="22"/>
          <w:lang w:val="en-GB"/>
        </w:rPr>
        <w:t xml:space="preserve"> </w:t>
      </w:r>
      <w:r w:rsidR="008629AB" w:rsidRPr="008228A8">
        <w:rPr>
          <w:rFonts w:cstheme="minorHAnsi"/>
          <w:szCs w:val="22"/>
          <w:lang w:val="en-GB"/>
        </w:rPr>
        <w:fldChar w:fldCharType="begin"/>
      </w:r>
      <w:r w:rsidR="00F45764">
        <w:rPr>
          <w:rFonts w:cstheme="minorHAnsi"/>
          <w:szCs w:val="22"/>
          <w:lang w:val="en-GB"/>
        </w:rPr>
        <w:instrText xml:space="preserve"> ADDIN ZOTERO_ITEM CSL_CITATION {"citationID":"zmzzVDd5","properties":{"formattedCitation":"(Chiappetta Jabbour et al., 2020; Ellen Macarthur Foundation, 2013)","plainCitation":"(Chiappetta Jabbour et al., 2020; Ellen Macarthur Foundation, 2013)","noteIndex":0},"citationItems":[{"id":6915,"uris":["http://zotero.org/users/5243184/items/HT8BJB2G"],"uri":["http://zotero.org/users/5243184/items/HT8BJB2G"],"itemData":{"id":6915,"type":"article-journal","abstract":"The literature on the diffusion of the circular economy (CE) rarely provides empirical evidence from emerging economies that face institutional voids and sustainability paradoxes. In contrast, drawing on stakeholder theory, in this paper we test a research framework capable of capturing the imbricated and complex relations among stakeholder pressure, barriers to and motivators of the CE, circular business models, and firms’ sustainable performance. Survey-based primary data was gathered from Brazilian industrial companies which lack regulatory clarity regarding the implementation of a CE. Our research results comprise both expected and unexpected outcomes: (i) differing from other countries, the relevance of regulatory stakeholders in Brazil could not be fully confirmed, adding complexity to the topic; (ii) unexpectedly, in this research, company owners/shareholders were the most salient stakeholders; (iii) stakeholders do indeed exert influence on how firms deal with barriers to and motivators of a CE; (iv) we found that internal barriers and internal motivators were perceived as more intense than external ones, which may create organizational tensions; (v) the adoption of a CE by firms tends to improve their sustainable performance; (vi) the previous possession of ISO 14001 and ISO 9001 certifications may control the way companies perceive the benefits of a CE.","container-title":"Journal of Environmental Management","DOI":"10.1016/j.jenvman.2020.110416","ISSN":"0301-4797","journalAbbreviation":"Journal of Environmental Management","language":"en","page":"110416","source":"ScienceDirect","title":"Stakeholders, innovative business models for the circular economy and sustainable performance of firms in an emerging economy facing institutional voids","volume":"264","author":[{"family":"Chiappetta Jabbour","given":"Charbel Jose"},{"family":"Seuring","given":"Stefan"},{"family":"Lopes de Sousa Jabbour","given":"Ana Beatriz"},{"family":"Jugend","given":"Daniel"},{"family":"De Camargo Fiorini","given":"Paula"},{"family":"Latan","given":"Hengky"},{"family":"Izeppi","given":"Wagner Colucci"}],"issued":{"date-parts":[["2020",6,15]]}}},{"id":6925,"uris":["http://zotero.org/users/5243184/items/H8BWT2XQ"],"uri":["http://zotero.org/users/5243184/items/H8BWT2XQ"],"itemData":{"id":6925,"type":"article","title":"Towards the Circular Economy","URL":"https://www.ellenmacarthurfoundation.org/assets/downloads/publications/Ellen-MacArthur-Foundation-Towards-the-Circular-Economy-vol.1.pdf","author":[{"family":"Ellen Macarthur Foundation","given":""}],"accessed":{"date-parts":[["2020",6,22]]},"issued":{"date-parts":[["2013"]]}}}],"schema":"https://github.com/citation-style-language/schema/raw/master/csl-citation.json"} </w:instrText>
      </w:r>
      <w:r w:rsidR="008629AB" w:rsidRPr="008228A8">
        <w:rPr>
          <w:rFonts w:cstheme="minorHAnsi"/>
          <w:szCs w:val="22"/>
          <w:lang w:val="en-GB"/>
        </w:rPr>
        <w:fldChar w:fldCharType="separate"/>
      </w:r>
      <w:r w:rsidR="00802E14">
        <w:rPr>
          <w:rFonts w:cstheme="minorHAnsi"/>
          <w:noProof/>
          <w:szCs w:val="22"/>
          <w:lang w:val="en-GB"/>
        </w:rPr>
        <w:t>(Chiappetta Jabbour et al., 2020; Ellen Macarthur Foundation, 2013)</w:t>
      </w:r>
      <w:r w:rsidR="008629AB" w:rsidRPr="008228A8">
        <w:rPr>
          <w:rFonts w:cstheme="minorHAnsi"/>
          <w:szCs w:val="22"/>
          <w:lang w:val="en-GB"/>
        </w:rPr>
        <w:fldChar w:fldCharType="end"/>
      </w:r>
      <w:r w:rsidR="008629AB" w:rsidRPr="008228A8">
        <w:rPr>
          <w:rFonts w:cstheme="minorHAnsi"/>
          <w:szCs w:val="22"/>
          <w:lang w:val="en-GB"/>
        </w:rPr>
        <w:t xml:space="preserve">. </w:t>
      </w:r>
      <w:r w:rsidR="00EB4AED" w:rsidRPr="008228A8">
        <w:rPr>
          <w:rFonts w:cstheme="minorHAnsi"/>
          <w:szCs w:val="22"/>
          <w:lang w:val="en-GB"/>
        </w:rPr>
        <w:t>The technologies underpinning industry 4.0 can support enterprises in creating new production models</w:t>
      </w:r>
      <w:r w:rsidR="008629AB" w:rsidRPr="008228A8">
        <w:rPr>
          <w:rFonts w:cstheme="minorHAnsi"/>
          <w:szCs w:val="22"/>
          <w:lang w:val="en-GB"/>
        </w:rPr>
        <w:t xml:space="preserve"> </w:t>
      </w:r>
      <w:r w:rsidR="008629AB" w:rsidRPr="008228A8">
        <w:rPr>
          <w:rFonts w:cstheme="minorHAnsi"/>
          <w:szCs w:val="22"/>
          <w:lang w:val="en-GB"/>
        </w:rPr>
        <w:fldChar w:fldCharType="begin"/>
      </w:r>
      <w:r w:rsidR="00F45764">
        <w:rPr>
          <w:rFonts w:cstheme="minorHAnsi"/>
          <w:szCs w:val="22"/>
          <w:lang w:val="en-GB"/>
        </w:rPr>
        <w:instrText xml:space="preserve"> ADDIN ZOTERO_ITEM CSL_CITATION {"citationID":"BjwDqayQ","properties":{"formattedCitation":"(Tunn et al., 2019)","plainCitation":"(Tunn et al., 2019)","noteIndex":0},"citationItems":[{"id":6860,"uris":["http://zotero.org/users/5243184/items/6B5S75LM"],"uri":["http://zotero.org/users/5243184/items/6B5S75LM"],"itemData":{"id":6860,"type":"article-journal","abstract":"Combining sustainable consumption with the circular economy concept could help tackle challenges, such as resource scarcity and climate change by reducing resource throughput and increasing cycling of products and materials within the economic system, thereby reducing emissions and virgin material use. To achieve sustainable consumption in a circular economy production and consumption practices need to change. Business models can potentially influence both practices as it defines how a company conducts business and shapes the company-consumer relationship. This paper developed future business models for sustainable consumption through two rounds of semi-structured interviews with experts from academia, industry, and policy. During the first interview round, four business model elements that are important for sustainable consumption were identified: Resource strategy, Revenue model, Consumer effort, and Objective to (decrease/increase) consumption level. Based on these elements, we developed a comprehensive business model framework. Using this framework, experts envisioned future business models for sustainable consumption of clothing during the second interview round. The findings of this study suggest that the most promising business models for sustainable consumption are those that reduce overall consumption levels and consumer effort. Further, we found that a diverse range of business models in the market can potentially enable different customer segments to consume sustainably.","container-title":"Journal of Cleaner Production","DOI":"10.1016/j.jclepro.2018.11.290","ISSN":"0959-6526","journalAbbreviation":"Journal of Cleaner Production","language":"en","page":"324-333","source":"ScienceDirect","title":"Business models for sustainable consumption in the circular economy: An expert study","title-short":"Business models for sustainable consumption in the circular economy","volume":"212","author":[{"family":"Tunn","given":"V. S. C."},{"family":"Bocken","given":"N. M. P."},{"family":"Hende","given":"E. A.","non-dropping-particle":"van den"},{"family":"Schoormans","given":"J. P. L."}],"issued":{"date-parts":[["2019",3,1]]}}}],"schema":"https://github.com/citation-style-language/schema/raw/master/csl-citation.json"} </w:instrText>
      </w:r>
      <w:r w:rsidR="008629AB" w:rsidRPr="008228A8">
        <w:rPr>
          <w:rFonts w:cstheme="minorHAnsi"/>
          <w:szCs w:val="22"/>
          <w:lang w:val="en-GB"/>
        </w:rPr>
        <w:fldChar w:fldCharType="separate"/>
      </w:r>
      <w:r w:rsidR="00802E14">
        <w:rPr>
          <w:rFonts w:cstheme="minorHAnsi"/>
          <w:noProof/>
          <w:szCs w:val="22"/>
          <w:lang w:val="en-GB"/>
        </w:rPr>
        <w:t>(Tunn et al., 2019)</w:t>
      </w:r>
      <w:r w:rsidR="008629AB" w:rsidRPr="008228A8">
        <w:rPr>
          <w:rFonts w:cstheme="minorHAnsi"/>
          <w:szCs w:val="22"/>
          <w:lang w:val="en-GB"/>
        </w:rPr>
        <w:fldChar w:fldCharType="end"/>
      </w:r>
      <w:r w:rsidR="008629AB" w:rsidRPr="008228A8">
        <w:rPr>
          <w:rFonts w:cstheme="minorHAnsi"/>
          <w:szCs w:val="22"/>
          <w:lang w:val="en-GB"/>
        </w:rPr>
        <w:t xml:space="preserve">, </w:t>
      </w:r>
      <w:r w:rsidR="00784C0C" w:rsidRPr="008228A8">
        <w:rPr>
          <w:rFonts w:cstheme="minorHAnsi"/>
          <w:szCs w:val="22"/>
          <w:lang w:val="en-GB"/>
        </w:rPr>
        <w:t>minimi</w:t>
      </w:r>
      <w:r w:rsidR="00527C14">
        <w:rPr>
          <w:rFonts w:cstheme="minorHAnsi"/>
          <w:szCs w:val="22"/>
          <w:lang w:val="en-GB"/>
        </w:rPr>
        <w:t>s</w:t>
      </w:r>
      <w:r w:rsidR="00784C0C" w:rsidRPr="008228A8">
        <w:rPr>
          <w:rFonts w:cstheme="minorHAnsi"/>
          <w:szCs w:val="22"/>
          <w:lang w:val="en-GB"/>
        </w:rPr>
        <w:t xml:space="preserve">ing </w:t>
      </w:r>
      <w:r w:rsidR="00EB4AED" w:rsidRPr="008228A8">
        <w:rPr>
          <w:rFonts w:cstheme="minorHAnsi"/>
          <w:szCs w:val="22"/>
          <w:lang w:val="en-GB"/>
        </w:rPr>
        <w:t xml:space="preserve">the environmental impact of resources such as water, energy, waste and increasing the recycling of products </w:t>
      </w:r>
      <w:r w:rsidR="00C874A8" w:rsidRPr="008228A8">
        <w:rPr>
          <w:rFonts w:cstheme="minorHAnsi"/>
          <w:szCs w:val="22"/>
          <w:lang w:val="en-GB"/>
        </w:rPr>
        <w:fldChar w:fldCharType="begin"/>
      </w:r>
      <w:r w:rsidR="00F45764">
        <w:rPr>
          <w:rFonts w:cstheme="minorHAnsi"/>
          <w:szCs w:val="22"/>
          <w:lang w:val="en-GB"/>
        </w:rPr>
        <w:instrText xml:space="preserve"> ADDIN ZOTERO_ITEM CSL_CITATION {"citationID":"FLd9VeGv","properties":{"formattedCitation":"(Kiron et al., 2017)","plainCitation":"(Kiron et al., 2017)","noteIndex":0},"citationItems":[{"id":6849,"uris":["http://zotero.org/users/5243184/items/33GQDZHP"],"uri":["http://zotero.org/users/5243184/items/33GQDZHP"],"itemData":{"id":6849,"type":"webpage","title":"Corporate Sustainability at a Crossroads","URL":"https://sloanreview.mit.edu/projects/corporate-sustainability-at-a-crossroads/","author":[{"family":"Kiron","given":"David"},{"family":"Unruh","given":"Gregory"},{"family":"Kruschwitz","given":"Nina"},{"family":"Reeves","given":"Martin"},{"family":"Rubel","given":"Holger"},{"family":"Meyer Zum Felde","given":"Alexander"}],"accessed":{"date-parts":[["2020",6,20]]},"issued":{"date-parts":[["2017"]]}}}],"schema":"https://github.com/citation-style-language/schema/raw/master/csl-citation.json"} </w:instrText>
      </w:r>
      <w:r w:rsidR="00C874A8" w:rsidRPr="008228A8">
        <w:rPr>
          <w:rFonts w:cstheme="minorHAnsi"/>
          <w:szCs w:val="22"/>
          <w:lang w:val="en-GB"/>
        </w:rPr>
        <w:fldChar w:fldCharType="separate"/>
      </w:r>
      <w:r w:rsidR="00802E14">
        <w:rPr>
          <w:rFonts w:cstheme="minorHAnsi"/>
          <w:noProof/>
          <w:szCs w:val="22"/>
          <w:lang w:val="en-GB"/>
        </w:rPr>
        <w:t>(Kiron et al., 2017)</w:t>
      </w:r>
      <w:r w:rsidR="00C874A8" w:rsidRPr="008228A8">
        <w:rPr>
          <w:rFonts w:cstheme="minorHAnsi"/>
          <w:szCs w:val="22"/>
          <w:lang w:val="en-GB"/>
        </w:rPr>
        <w:fldChar w:fldCharType="end"/>
      </w:r>
      <w:r w:rsidR="00C874A8" w:rsidRPr="008228A8">
        <w:rPr>
          <w:rFonts w:cstheme="minorHAnsi"/>
          <w:szCs w:val="22"/>
          <w:lang w:val="en-GB"/>
        </w:rPr>
        <w:t xml:space="preserve">. </w:t>
      </w:r>
      <w:r w:rsidR="006E718F">
        <w:rPr>
          <w:rFonts w:cstheme="minorHAnsi"/>
          <w:szCs w:val="22"/>
          <w:lang w:val="en-GB"/>
        </w:rPr>
        <w:t xml:space="preserve">However, the </w:t>
      </w:r>
      <w:r w:rsidR="009E0EC8">
        <w:rPr>
          <w:rFonts w:cstheme="minorHAnsi"/>
          <w:szCs w:val="22"/>
          <w:lang w:val="en-GB"/>
        </w:rPr>
        <w:t>significan</w:t>
      </w:r>
      <w:r w:rsidR="006E718F">
        <w:rPr>
          <w:rFonts w:cstheme="minorHAnsi"/>
          <w:szCs w:val="22"/>
          <w:lang w:val="en-GB"/>
        </w:rPr>
        <w:t>t development of new solutions and technology make</w:t>
      </w:r>
      <w:r w:rsidR="009E0EC8">
        <w:rPr>
          <w:rFonts w:cstheme="minorHAnsi"/>
          <w:szCs w:val="22"/>
          <w:lang w:val="en-GB"/>
        </w:rPr>
        <w:t>s it</w:t>
      </w:r>
      <w:r w:rsidR="006E718F">
        <w:rPr>
          <w:rFonts w:cstheme="minorHAnsi"/>
          <w:szCs w:val="22"/>
          <w:lang w:val="en-GB"/>
        </w:rPr>
        <w:t xml:space="preserve"> difficult for scholars </w:t>
      </w:r>
      <w:r w:rsidR="009E0EC8">
        <w:rPr>
          <w:rFonts w:cstheme="minorHAnsi"/>
          <w:szCs w:val="22"/>
          <w:lang w:val="en-GB"/>
        </w:rPr>
        <w:t>to gather</w:t>
      </w:r>
      <w:r w:rsidR="006E718F">
        <w:rPr>
          <w:rFonts w:cstheme="minorHAnsi"/>
          <w:szCs w:val="22"/>
          <w:lang w:val="en-GB"/>
        </w:rPr>
        <w:t xml:space="preserve"> new insights </w:t>
      </w:r>
      <w:r w:rsidR="009E0EC8">
        <w:rPr>
          <w:rFonts w:cstheme="minorHAnsi"/>
          <w:szCs w:val="22"/>
          <w:lang w:val="en-GB"/>
        </w:rPr>
        <w:t>to</w:t>
      </w:r>
      <w:r w:rsidR="006E718F">
        <w:rPr>
          <w:rFonts w:cstheme="minorHAnsi"/>
          <w:szCs w:val="22"/>
          <w:lang w:val="en-GB"/>
        </w:rPr>
        <w:t xml:space="preserve"> keep up. We believe that the development of comparative studies might help </w:t>
      </w:r>
      <w:r w:rsidR="009E0EC8">
        <w:rPr>
          <w:rFonts w:cstheme="minorHAnsi"/>
          <w:szCs w:val="22"/>
          <w:lang w:val="en-GB"/>
        </w:rPr>
        <w:t>to fill</w:t>
      </w:r>
      <w:r w:rsidR="006E718F">
        <w:rPr>
          <w:rFonts w:cstheme="minorHAnsi"/>
          <w:szCs w:val="22"/>
          <w:lang w:val="en-GB"/>
        </w:rPr>
        <w:t xml:space="preserve"> this gap.</w:t>
      </w:r>
    </w:p>
    <w:p w14:paraId="601B5C0A" w14:textId="77777777" w:rsidR="00295BED" w:rsidRPr="004D46F6" w:rsidRDefault="00295BED" w:rsidP="004D46F6">
      <w:pPr>
        <w:rPr>
          <w:rFonts w:cstheme="minorHAnsi"/>
          <w:szCs w:val="22"/>
          <w:lang w:val="en-GB"/>
        </w:rPr>
      </w:pPr>
    </w:p>
    <w:p w14:paraId="14A6D7C2" w14:textId="77777777" w:rsidR="00E419D8" w:rsidRPr="00F76BE8" w:rsidRDefault="00E419D8" w:rsidP="008228A8">
      <w:pPr>
        <w:pStyle w:val="Titolo1"/>
        <w:rPr>
          <w:lang w:val="en-GB"/>
        </w:rPr>
      </w:pPr>
      <w:r w:rsidRPr="004D46F6">
        <w:rPr>
          <w:lang w:val="en-GB"/>
        </w:rPr>
        <w:t>Conclusions, further research, and limitations</w:t>
      </w:r>
    </w:p>
    <w:p w14:paraId="4DA7A317" w14:textId="02F9B6FA" w:rsidR="00A12CB5" w:rsidRPr="008228A8" w:rsidRDefault="00EB4AED">
      <w:pPr>
        <w:rPr>
          <w:rFonts w:cstheme="minorHAnsi"/>
          <w:szCs w:val="22"/>
          <w:lang w:val="en-GB"/>
        </w:rPr>
      </w:pPr>
      <w:r w:rsidRPr="008228A8">
        <w:rPr>
          <w:rFonts w:cstheme="minorHAnsi"/>
          <w:szCs w:val="22"/>
          <w:lang w:val="en-GB"/>
        </w:rPr>
        <w:t>In conclusion, this paper aims to analy</w:t>
      </w:r>
      <w:r w:rsidR="00527C14">
        <w:rPr>
          <w:rFonts w:cstheme="minorHAnsi"/>
          <w:szCs w:val="22"/>
          <w:lang w:val="en-GB"/>
        </w:rPr>
        <w:t>s</w:t>
      </w:r>
      <w:r w:rsidRPr="008228A8">
        <w:rPr>
          <w:rFonts w:cstheme="minorHAnsi"/>
          <w:szCs w:val="22"/>
          <w:lang w:val="en-GB"/>
        </w:rPr>
        <w:t xml:space="preserve">e the professional and scientific debate on Industry 4.0 and the </w:t>
      </w:r>
      <w:r w:rsidR="00820A56" w:rsidRPr="008228A8">
        <w:rPr>
          <w:rFonts w:cstheme="minorHAnsi"/>
          <w:szCs w:val="22"/>
          <w:lang w:val="en-GB"/>
        </w:rPr>
        <w:t>CE</w:t>
      </w:r>
      <w:r w:rsidR="002F1E1F" w:rsidRPr="008228A8">
        <w:rPr>
          <w:rFonts w:cstheme="minorHAnsi"/>
          <w:szCs w:val="22"/>
          <w:lang w:val="en-GB"/>
        </w:rPr>
        <w:t xml:space="preserve">. </w:t>
      </w:r>
      <w:r w:rsidRPr="008228A8">
        <w:rPr>
          <w:rFonts w:cstheme="minorHAnsi"/>
          <w:szCs w:val="22"/>
          <w:lang w:val="en-GB"/>
        </w:rPr>
        <w:t>As discussed by</w:t>
      </w:r>
      <w:r w:rsidR="002F1E1F" w:rsidRPr="008228A8">
        <w:rPr>
          <w:rFonts w:cstheme="minorHAnsi"/>
          <w:szCs w:val="22"/>
          <w:lang w:val="en-GB"/>
        </w:rPr>
        <w:t xml:space="preserve"> </w:t>
      </w:r>
      <w:r w:rsidR="002F1E1F" w:rsidRPr="008228A8">
        <w:rPr>
          <w:rFonts w:cstheme="minorHAnsi"/>
          <w:szCs w:val="22"/>
          <w:lang w:val="en-GB"/>
        </w:rPr>
        <w:fldChar w:fldCharType="begin"/>
      </w:r>
      <w:r w:rsidR="00F45764">
        <w:rPr>
          <w:rFonts w:cstheme="minorHAnsi"/>
          <w:szCs w:val="22"/>
          <w:lang w:val="en-GB"/>
        </w:rPr>
        <w:instrText xml:space="preserve"> ADDIN ZOTERO_ITEM CSL_CITATION {"citationID":"HxCymgtD","properties":{"formattedCitation":"(de Sousa Jabbour et al., 2018)","plainCitation":"(de Sousa Jabbour et al., 2018)","dontUpdate":true,"noteIndex":0},"citationItems":[{"id":6834,"uris":["http://zotero.org/users/5243184/items/JW9FBBW2"],"uri":["http://zotero.org/users/5243184/items/JW9FBBW2"],"itemData":{"id":6834,"type":"article-journal","abstract":"This work makes the case for integrating two industrial waves that promise to re-shape current patterns of production and consumption: Industry 4.0 and environmentally-sustainable manufacturing. We argue that, although these two trends cannot be considered an industrial revolution, Industry 4.0-associated technologies nevertheless have the unique potential to unlock environmentally-sustainable manufacturing. Productive synergy between Industry 4.0 and environmentally-sustainable manufacturing relies on understanding the role played by eleven critical success factors, which organisations should consider carefully when simultaneously implementing Industry 4.0 and environmentally-sustainable manufacturing. As this is one of the first works to address whether or not Industry 4.0 can synergistically boost environmentally-sustainable manufacturing – with an emphasis on the critical success factors that can pose challenges and opportunities to this process – we also propose an integrative framework containing twelve research propositions. We hope this will stimulate the debate on the intersection of manufacturing waves, in particular the integration of Industry 4.0 and environmentally-sustainable manufacturing.","container-title":"Technological Forecasting and Social Change","DOI":"10.1016/j.techfore.2018.01.017","ISSN":"0040-1625","journalAbbreviation":"Technological Forecasting and Social Change","language":"en","page":"18-25","source":"ScienceDirect","title":"When titans meet – Can industry 4.0 revolutionise the environmentally-sustainable manufacturing wave? The role of critical success factors","title-short":"When titans meet – Can industry 4.0 revolutionise the environmentally-sustainable manufacturing wave?","volume":"132","author":[{"family":"Sousa Jabbour","given":"Ana Beatriz Lopes","non-dropping-particle":"de"},{"family":"Jabbour","given":"Charbel Jose Chiappetta"},{"family":"Foropon","given":"Cyril"},{"family":"Godinho Filho","given":"Moacir"}],"issued":{"date-parts":[["2018",7,1]]}}}],"schema":"https://github.com/citation-style-language/schema/raw/master/csl-citation.json"} </w:instrText>
      </w:r>
      <w:r w:rsidR="002F1E1F" w:rsidRPr="008228A8">
        <w:rPr>
          <w:rFonts w:cstheme="minorHAnsi"/>
          <w:szCs w:val="22"/>
          <w:lang w:val="en-GB"/>
        </w:rPr>
        <w:fldChar w:fldCharType="separate"/>
      </w:r>
      <w:r w:rsidR="002F1E1F" w:rsidRPr="008228A8">
        <w:rPr>
          <w:rFonts w:cstheme="minorHAnsi"/>
          <w:szCs w:val="22"/>
          <w:lang w:val="en-GB"/>
        </w:rPr>
        <w:t>de Sousa Jabbour et al. (2018)</w:t>
      </w:r>
      <w:r w:rsidR="002F1E1F" w:rsidRPr="008228A8">
        <w:rPr>
          <w:rFonts w:cstheme="minorHAnsi"/>
          <w:szCs w:val="22"/>
          <w:lang w:val="en-GB"/>
        </w:rPr>
        <w:fldChar w:fldCharType="end"/>
      </w:r>
      <w:r w:rsidR="002F1E1F" w:rsidRPr="008228A8">
        <w:rPr>
          <w:rFonts w:cstheme="minorHAnsi"/>
          <w:szCs w:val="22"/>
          <w:lang w:val="en-GB"/>
        </w:rPr>
        <w:t xml:space="preserve">, </w:t>
      </w:r>
      <w:r w:rsidRPr="008228A8">
        <w:rPr>
          <w:rFonts w:cstheme="minorHAnsi"/>
          <w:szCs w:val="22"/>
          <w:lang w:val="en-GB"/>
        </w:rPr>
        <w:t>the scope of research is derived from two well-established literature. However, the two research trends have in stock and see in the technologies associated with Industry 4.0 the potential to unlock environmentally sustainable production. As shown, the current debate calls for more public and private stakeholders involved, as well as holistic design in EC projects. However, this point derives only after an intensification of dialogue and exchange between different perspectives</w:t>
      </w:r>
      <w:r w:rsidR="00A12CB5" w:rsidRPr="008228A8">
        <w:rPr>
          <w:rFonts w:cstheme="minorHAnsi"/>
          <w:szCs w:val="22"/>
          <w:lang w:val="en-GB"/>
        </w:rPr>
        <w:t xml:space="preserve">. </w:t>
      </w:r>
    </w:p>
    <w:p w14:paraId="0FC06F9B" w14:textId="1BF7FD95" w:rsidR="00EB4AED" w:rsidRPr="008228A8" w:rsidRDefault="00EB4AED">
      <w:pPr>
        <w:rPr>
          <w:rFonts w:cstheme="minorHAnsi"/>
          <w:szCs w:val="22"/>
          <w:lang w:val="en-GB"/>
        </w:rPr>
      </w:pPr>
      <w:r w:rsidRPr="008228A8">
        <w:rPr>
          <w:rFonts w:cstheme="minorHAnsi"/>
          <w:szCs w:val="22"/>
          <w:lang w:val="en-GB"/>
        </w:rPr>
        <w:t xml:space="preserve">Therefore, research focuses both on the observation and analysis of documents by professionals and academics. Our observation lens has benefited from two theories based on Industry 4.0 and the </w:t>
      </w:r>
      <w:r w:rsidR="00820A56" w:rsidRPr="008228A8">
        <w:rPr>
          <w:rFonts w:cstheme="minorHAnsi"/>
          <w:szCs w:val="22"/>
          <w:lang w:val="en-GB"/>
        </w:rPr>
        <w:t>CE</w:t>
      </w:r>
      <w:r w:rsidRPr="008228A8">
        <w:rPr>
          <w:rFonts w:cstheme="minorHAnsi"/>
          <w:szCs w:val="22"/>
          <w:lang w:val="en-GB"/>
        </w:rPr>
        <w:t xml:space="preserve">. Two primary databases have been interrogated, and both scientific papers, web reports and press releases have been collected. The development of the research allowed us to determine some theoretical and practical implications. </w:t>
      </w:r>
    </w:p>
    <w:p w14:paraId="25A187B8" w14:textId="1D1794FC" w:rsidR="00EB4AED" w:rsidRPr="008228A8" w:rsidRDefault="00EB4AED" w:rsidP="008228A8">
      <w:pPr>
        <w:rPr>
          <w:rFonts w:cstheme="minorHAnsi"/>
          <w:szCs w:val="22"/>
          <w:lang w:val="en-GB"/>
        </w:rPr>
      </w:pPr>
      <w:r w:rsidRPr="008228A8">
        <w:rPr>
          <w:rFonts w:cstheme="minorHAnsi"/>
          <w:szCs w:val="22"/>
          <w:lang w:val="en-GB"/>
        </w:rPr>
        <w:t xml:space="preserve">From a </w:t>
      </w:r>
      <w:r w:rsidR="00933F2F">
        <w:rPr>
          <w:rFonts w:cstheme="minorHAnsi"/>
          <w:szCs w:val="22"/>
          <w:lang w:val="en-GB"/>
        </w:rPr>
        <w:t>practical</w:t>
      </w:r>
      <w:r w:rsidRPr="008228A8">
        <w:rPr>
          <w:rFonts w:cstheme="minorHAnsi"/>
          <w:szCs w:val="22"/>
          <w:lang w:val="en-GB"/>
        </w:rPr>
        <w:t xml:space="preserve"> point of view, we have shown that the general discussion concerns the use of smart services in waste management, resource efficiency and collaboration, business models and the mission of companies. </w:t>
      </w:r>
      <w:r w:rsidRPr="008228A8">
        <w:rPr>
          <w:rFonts w:cstheme="minorHAnsi"/>
          <w:szCs w:val="22"/>
          <w:lang w:val="en-GB"/>
        </w:rPr>
        <w:lastRenderedPageBreak/>
        <w:t xml:space="preserve">The researchers found that the current debate calls for more </w:t>
      </w:r>
      <w:r w:rsidR="001A34A9" w:rsidRPr="008228A8">
        <w:rPr>
          <w:rFonts w:cstheme="minorHAnsi"/>
          <w:szCs w:val="22"/>
          <w:lang w:val="en-GB"/>
        </w:rPr>
        <w:t>cooperation</w:t>
      </w:r>
      <w:r w:rsidRPr="008228A8">
        <w:rPr>
          <w:rFonts w:cstheme="minorHAnsi"/>
          <w:szCs w:val="22"/>
          <w:lang w:val="en-GB"/>
        </w:rPr>
        <w:t>, although there is a lack of centrali</w:t>
      </w:r>
      <w:r w:rsidR="00527C14">
        <w:rPr>
          <w:rFonts w:cstheme="minorHAnsi"/>
          <w:szCs w:val="22"/>
          <w:lang w:val="en-GB"/>
        </w:rPr>
        <w:t>s</w:t>
      </w:r>
      <w:r w:rsidRPr="008228A8">
        <w:rPr>
          <w:rFonts w:cstheme="minorHAnsi"/>
          <w:szCs w:val="22"/>
          <w:lang w:val="en-GB"/>
        </w:rPr>
        <w:t>ed design. One of the questions that remain open is whether and how the collaboration of multiple partners in technology-driven CE projects can increase the value of people</w:t>
      </w:r>
      <w:r w:rsidR="00106633">
        <w:rPr>
          <w:rFonts w:cstheme="minorHAnsi"/>
          <w:szCs w:val="22"/>
          <w:lang w:val="en-GB"/>
        </w:rPr>
        <w:t>'</w:t>
      </w:r>
      <w:r w:rsidRPr="008228A8">
        <w:rPr>
          <w:rFonts w:cstheme="minorHAnsi"/>
          <w:szCs w:val="22"/>
          <w:lang w:val="en-GB"/>
        </w:rPr>
        <w:t xml:space="preserve">s green choices. Answering the </w:t>
      </w:r>
      <w:r w:rsidR="001A34A9" w:rsidRPr="008228A8">
        <w:rPr>
          <w:rFonts w:cstheme="minorHAnsi"/>
          <w:szCs w:val="22"/>
          <w:lang w:val="en-GB"/>
        </w:rPr>
        <w:t>issue</w:t>
      </w:r>
      <w:r w:rsidRPr="008228A8">
        <w:rPr>
          <w:rFonts w:cstheme="minorHAnsi"/>
          <w:szCs w:val="22"/>
          <w:lang w:val="en-GB"/>
        </w:rPr>
        <w:t xml:space="preserve"> was not easy; initial literature findings did not provide convincing evidence. We believe that this is due to the difficulty for academics to find and subsequently analy</w:t>
      </w:r>
      <w:r w:rsidR="00527C14">
        <w:rPr>
          <w:rFonts w:cstheme="minorHAnsi"/>
          <w:szCs w:val="22"/>
          <w:lang w:val="en-GB"/>
        </w:rPr>
        <w:t>s</w:t>
      </w:r>
      <w:r w:rsidRPr="008228A8">
        <w:rPr>
          <w:rFonts w:cstheme="minorHAnsi"/>
          <w:szCs w:val="22"/>
          <w:lang w:val="en-GB"/>
        </w:rPr>
        <w:t xml:space="preserve">e appropriate data. </w:t>
      </w:r>
      <w:r w:rsidR="00933F2F">
        <w:rPr>
          <w:rFonts w:cstheme="minorHAnsi"/>
          <w:szCs w:val="22"/>
          <w:lang w:val="en-GB"/>
        </w:rPr>
        <w:t>On the theoretical point of few, looking at the problems highlighted by practitioners</w:t>
      </w:r>
      <w:r w:rsidR="00394EE0">
        <w:rPr>
          <w:rFonts w:cstheme="minorHAnsi"/>
          <w:szCs w:val="22"/>
          <w:lang w:val="en-GB"/>
        </w:rPr>
        <w:t>,</w:t>
      </w:r>
      <w:r w:rsidR="00933F2F">
        <w:rPr>
          <w:rFonts w:cstheme="minorHAnsi"/>
          <w:szCs w:val="22"/>
          <w:lang w:val="en-GB"/>
        </w:rPr>
        <w:t xml:space="preserve"> we were able to identify some new research streams that mainly build on legitimacy theory, co-production theory and participatory design. Interestingly these elements contribute to reduc</w:t>
      </w:r>
      <w:r w:rsidR="00394EE0">
        <w:rPr>
          <w:rFonts w:cstheme="minorHAnsi"/>
          <w:szCs w:val="22"/>
          <w:lang w:val="en-GB"/>
        </w:rPr>
        <w:t>ing</w:t>
      </w:r>
      <w:r w:rsidR="00933F2F">
        <w:rPr>
          <w:rFonts w:cstheme="minorHAnsi"/>
          <w:szCs w:val="22"/>
          <w:lang w:val="en-GB"/>
        </w:rPr>
        <w:t xml:space="preserve"> the academic-practitioner divide. Despite our efforts, </w:t>
      </w:r>
      <w:r w:rsidRPr="008228A8">
        <w:rPr>
          <w:rFonts w:cstheme="minorHAnsi"/>
          <w:szCs w:val="22"/>
          <w:lang w:val="en-GB"/>
        </w:rPr>
        <w:t xml:space="preserve">the debate </w:t>
      </w:r>
      <w:r w:rsidR="00933F2F">
        <w:rPr>
          <w:rFonts w:cstheme="minorHAnsi"/>
          <w:szCs w:val="22"/>
          <w:lang w:val="en-GB"/>
        </w:rPr>
        <w:t>remains</w:t>
      </w:r>
      <w:r w:rsidRPr="008228A8">
        <w:rPr>
          <w:rFonts w:cstheme="minorHAnsi"/>
          <w:szCs w:val="22"/>
          <w:lang w:val="en-GB"/>
        </w:rPr>
        <w:t xml:space="preserve"> open in the acceptance of university research bodies. Although the transfer of knowledge is reiterated in the literature, and there are studies aimed at making the value of such research companies clear, professionals still show little consideration for them. Therefore, resuming</w:t>
      </w:r>
      <w:r w:rsidR="001A34A9" w:rsidRPr="008228A8">
        <w:rPr>
          <w:rFonts w:cstheme="minorHAnsi"/>
          <w:szCs w:val="22"/>
          <w:lang w:val="en-GB"/>
        </w:rPr>
        <w:t>,</w:t>
      </w:r>
      <w:r w:rsidRPr="008228A8">
        <w:rPr>
          <w:rFonts w:cstheme="minorHAnsi"/>
          <w:szCs w:val="22"/>
          <w:lang w:val="en-GB"/>
        </w:rPr>
        <w:t xml:space="preserve"> when defined by </w:t>
      </w:r>
      <w:r w:rsidR="0034474B" w:rsidRPr="008228A8">
        <w:rPr>
          <w:rFonts w:cstheme="minorHAnsi"/>
          <w:szCs w:val="22"/>
          <w:lang w:val="en-GB"/>
        </w:rPr>
        <w:fldChar w:fldCharType="begin"/>
      </w:r>
      <w:r w:rsidR="00F45764">
        <w:rPr>
          <w:rFonts w:cstheme="minorHAnsi"/>
          <w:szCs w:val="22"/>
          <w:lang w:val="en-GB"/>
        </w:rPr>
        <w:instrText xml:space="preserve"> ADDIN ZOTERO_ITEM CSL_CITATION {"citationID":"74nKU702","properties":{"formattedCitation":"(Romme et al., 2015)","plainCitation":"(Romme et al., 2015)","dontUpdate":true,"noteIndex":0},"citationItems":[{"id":6935,"uris":["http://zotero.org/users/5243184/items/VRMMQIEW"],"uri":["http://zotero.org/users/5243184/items/VRMMQIEW"],"itemData":{"id":6935,"type":"article-journal","abstract":"The purpose and nature of management scholarship is contested, evidenced by debates about the ‘academic–practitioner divide’ and attendant remedies for addressing it, including mode 2 and mode 3 research, engaged scholarship, evidence-based management and design science. In this paper the authors argue that, without a culture of dialogical encounter, management scholarship will never be able to emerge from its adolescence, and management will not develop into the profession that it should and can become. The central proposition is that the highly fragmented landscape of management (practice and scholarship) lacks sufficient capability for dialogue among the plurality of actors situated across that landscape. Developing the dialogical capability ultimately required to break this fundamental impasse demands, first, a shared sense of purpose and responsibility (akin to the Hippocratic Oath in medicine) and, second, institutional entrepreneurship to establish more and better ‘trading zones’. Drawing on the philosophy of pragmatism, the authors further this endeavour by identifying and proposing key elements of a statement of shared purpose and responsibility. Finally, they explore the nature and characteristics of successful trading zones, highlighting particular examples that have already been created in management studies.","container-title":"British Journal of Management","DOI":"10.1111/1467-8551.12110","ISSN":"1467-8551","issue":"3","language":"en","note":"_eprint: https://onlinelibrary.wiley.com/doi/pdf/10.1111/1467-8551.12110","page":"544-559","source":"Wiley Online Library","title":"Towards Common Ground and Trading Zones in Management Research and Practice","volume":"26","author":[{"family":"Romme","given":"A. Georges L."},{"family":"Avenier","given":"Marie-José"},{"family":"Denyer","given":"David"},{"family":"Hodgkinson","given":"Gerard P."},{"family":"Pandza","given":"Krsto"},{"family":"Starkey","given":"Ken"},{"family":"Worren","given":"Nicolay"}],"issued":{"date-parts":[["2015"]]}}}],"schema":"https://github.com/citation-style-language/schema/raw/master/csl-citation.json"} </w:instrText>
      </w:r>
      <w:r w:rsidR="0034474B" w:rsidRPr="008228A8">
        <w:rPr>
          <w:rFonts w:cstheme="minorHAnsi"/>
          <w:szCs w:val="22"/>
          <w:lang w:val="en-GB"/>
        </w:rPr>
        <w:fldChar w:fldCharType="separate"/>
      </w:r>
      <w:r w:rsidR="0034474B" w:rsidRPr="008228A8">
        <w:rPr>
          <w:rFonts w:cstheme="minorHAnsi"/>
          <w:noProof/>
          <w:szCs w:val="22"/>
          <w:lang w:val="en-GB"/>
        </w:rPr>
        <w:t>Romme et al. (2015)</w:t>
      </w:r>
      <w:r w:rsidR="001A34A9" w:rsidRPr="008228A8">
        <w:rPr>
          <w:rFonts w:cstheme="minorHAnsi"/>
          <w:noProof/>
          <w:szCs w:val="22"/>
          <w:lang w:val="en-GB"/>
        </w:rPr>
        <w:t>,</w:t>
      </w:r>
      <w:r w:rsidR="0034474B" w:rsidRPr="008228A8">
        <w:rPr>
          <w:rFonts w:cstheme="minorHAnsi"/>
          <w:szCs w:val="22"/>
          <w:lang w:val="en-GB"/>
        </w:rPr>
        <w:fldChar w:fldCharType="end"/>
      </w:r>
      <w:r w:rsidR="0034474B" w:rsidRPr="008228A8">
        <w:rPr>
          <w:rFonts w:cstheme="minorHAnsi"/>
          <w:szCs w:val="22"/>
          <w:lang w:val="en-GB"/>
        </w:rPr>
        <w:t xml:space="preserve"> </w:t>
      </w:r>
      <w:r w:rsidRPr="008228A8">
        <w:rPr>
          <w:rFonts w:cstheme="minorHAnsi"/>
          <w:szCs w:val="22"/>
          <w:lang w:val="en-GB"/>
        </w:rPr>
        <w:t xml:space="preserve">it is urgent to make both realities aware of their capabilities, joining forces </w:t>
      </w:r>
      <w:r w:rsidR="001A34A9" w:rsidRPr="008228A8">
        <w:rPr>
          <w:rFonts w:cstheme="minorHAnsi"/>
          <w:szCs w:val="22"/>
          <w:lang w:val="en-GB"/>
        </w:rPr>
        <w:t>to</w:t>
      </w:r>
      <w:r w:rsidRPr="008228A8">
        <w:rPr>
          <w:rFonts w:cstheme="minorHAnsi"/>
          <w:szCs w:val="22"/>
          <w:lang w:val="en-GB"/>
        </w:rPr>
        <w:t xml:space="preserve"> increase the impact of circularity concerning the linear </w:t>
      </w:r>
      <w:r w:rsidR="000275E4">
        <w:rPr>
          <w:rFonts w:cstheme="minorHAnsi"/>
          <w:szCs w:val="22"/>
          <w:lang w:val="en-GB"/>
        </w:rPr>
        <w:t>e</w:t>
      </w:r>
      <w:r w:rsidRPr="008228A8">
        <w:rPr>
          <w:rFonts w:cstheme="minorHAnsi"/>
          <w:szCs w:val="22"/>
          <w:lang w:val="en-GB"/>
        </w:rPr>
        <w:t>conomy.</w:t>
      </w:r>
    </w:p>
    <w:p w14:paraId="053DE9CD" w14:textId="6409468A" w:rsidR="00EB4AED" w:rsidRDefault="00EB4AED" w:rsidP="008228A8">
      <w:pPr>
        <w:rPr>
          <w:rFonts w:cstheme="minorHAnsi"/>
          <w:szCs w:val="22"/>
          <w:lang w:val="en-GB"/>
        </w:rPr>
      </w:pPr>
      <w:r w:rsidRPr="008228A8">
        <w:rPr>
          <w:rFonts w:cstheme="minorHAnsi"/>
          <w:szCs w:val="22"/>
          <w:lang w:val="en-GB"/>
        </w:rPr>
        <w:t xml:space="preserve">Our study, like all research, has certain limits. First, we believe that the idea of combining professional and scientific sources may have left out an analysis focusing on both realities separately. Second, more </w:t>
      </w:r>
      <w:r w:rsidR="001A34A9" w:rsidRPr="008228A8">
        <w:rPr>
          <w:rFonts w:cstheme="minorHAnsi"/>
          <w:szCs w:val="22"/>
          <w:lang w:val="en-GB"/>
        </w:rPr>
        <w:t>study</w:t>
      </w:r>
      <w:r w:rsidRPr="008228A8">
        <w:rPr>
          <w:rFonts w:cstheme="minorHAnsi"/>
          <w:szCs w:val="22"/>
          <w:lang w:val="en-GB"/>
        </w:rPr>
        <w:t xml:space="preserve"> in terms of success cases could be considered </w:t>
      </w:r>
      <w:r w:rsidR="001A34A9" w:rsidRPr="008228A8">
        <w:rPr>
          <w:rFonts w:cstheme="minorHAnsi"/>
          <w:szCs w:val="22"/>
          <w:lang w:val="en-GB"/>
        </w:rPr>
        <w:t>to</w:t>
      </w:r>
      <w:r w:rsidRPr="008228A8">
        <w:rPr>
          <w:rFonts w:cstheme="minorHAnsi"/>
          <w:szCs w:val="22"/>
          <w:lang w:val="en-GB"/>
        </w:rPr>
        <w:t xml:space="preserve"> inspire enlightened managers to seek new EC solutions through industry 4.0. Third, it would be interesting to further investigate the failure factors of the </w:t>
      </w:r>
      <w:r w:rsidR="00394EE0">
        <w:rPr>
          <w:rFonts w:cstheme="minorHAnsi"/>
          <w:szCs w:val="22"/>
          <w:lang w:val="en-GB"/>
        </w:rPr>
        <w:t>CE</w:t>
      </w:r>
      <w:r w:rsidRPr="008228A8">
        <w:rPr>
          <w:rFonts w:cstheme="minorHAnsi"/>
          <w:szCs w:val="22"/>
          <w:lang w:val="en-GB"/>
        </w:rPr>
        <w:t xml:space="preserve"> according to consumers. All the limitations represent for us, future lines of research that academics </w:t>
      </w:r>
      <w:r w:rsidR="00394EE0">
        <w:rPr>
          <w:rFonts w:cstheme="minorHAnsi"/>
          <w:szCs w:val="22"/>
          <w:lang w:val="en-GB"/>
        </w:rPr>
        <w:t>may</w:t>
      </w:r>
      <w:r w:rsidR="00394EE0" w:rsidRPr="008228A8">
        <w:rPr>
          <w:rFonts w:cstheme="minorHAnsi"/>
          <w:szCs w:val="22"/>
          <w:lang w:val="en-GB"/>
        </w:rPr>
        <w:t xml:space="preserve"> </w:t>
      </w:r>
      <w:r w:rsidRPr="008228A8">
        <w:rPr>
          <w:rFonts w:cstheme="minorHAnsi"/>
          <w:szCs w:val="22"/>
          <w:lang w:val="en-GB"/>
        </w:rPr>
        <w:t>follow in the future</w:t>
      </w:r>
      <w:r w:rsidR="007D314D" w:rsidRPr="008228A8">
        <w:rPr>
          <w:rFonts w:cstheme="minorHAnsi"/>
          <w:szCs w:val="22"/>
          <w:lang w:val="en-GB"/>
        </w:rPr>
        <w:t xml:space="preserve">. </w:t>
      </w:r>
    </w:p>
    <w:p w14:paraId="52E3F599" w14:textId="0E51C3C7" w:rsidR="00EE1DBD" w:rsidRDefault="00EE1DBD" w:rsidP="008228A8">
      <w:pPr>
        <w:rPr>
          <w:rFonts w:cstheme="minorHAnsi"/>
          <w:szCs w:val="22"/>
          <w:lang w:val="en-GB"/>
        </w:rPr>
      </w:pPr>
    </w:p>
    <w:p w14:paraId="71D070EC" w14:textId="548154B3" w:rsidR="00EE1DBD" w:rsidRDefault="00EE1DBD" w:rsidP="008228A8">
      <w:pPr>
        <w:rPr>
          <w:rFonts w:cstheme="minorHAnsi"/>
          <w:szCs w:val="22"/>
          <w:lang w:val="en-GB"/>
        </w:rPr>
      </w:pPr>
      <w:r>
        <w:rPr>
          <w:rFonts w:cstheme="minorHAnsi"/>
          <w:szCs w:val="22"/>
          <w:lang w:val="en-GB"/>
        </w:rPr>
        <w:t xml:space="preserve">Funding: </w:t>
      </w:r>
      <w:r w:rsidRPr="00EE1DBD">
        <w:rPr>
          <w:rFonts w:cstheme="minorHAnsi"/>
          <w:szCs w:val="22"/>
          <w:lang w:val="en-GB"/>
        </w:rPr>
        <w:t>This research did not receive any specific grant from funding agencies in the public, commercial, or not-for-profit sectors.</w:t>
      </w:r>
    </w:p>
    <w:p w14:paraId="107E3343" w14:textId="77777777" w:rsidR="00EE1DBD" w:rsidRPr="00EE1DBD" w:rsidRDefault="00EE1DBD" w:rsidP="008228A8">
      <w:pPr>
        <w:rPr>
          <w:rFonts w:cstheme="minorHAnsi"/>
          <w:szCs w:val="22"/>
          <w:lang w:val="en-US"/>
        </w:rPr>
      </w:pPr>
    </w:p>
    <w:p w14:paraId="2ADC7B85" w14:textId="77777777" w:rsidR="00A81BB4" w:rsidRPr="004C14DA" w:rsidRDefault="00A81BB4" w:rsidP="008228A8">
      <w:pPr>
        <w:pStyle w:val="Titolo1"/>
        <w:numPr>
          <w:ilvl w:val="0"/>
          <w:numId w:val="0"/>
        </w:numPr>
        <w:ind w:left="432" w:hanging="432"/>
      </w:pPr>
      <w:r w:rsidRPr="004C14DA">
        <w:t>Reference</w:t>
      </w:r>
      <w:r w:rsidR="0081516A" w:rsidRPr="004C14DA">
        <w:t>s</w:t>
      </w:r>
    </w:p>
    <w:p w14:paraId="76BCAE3F" w14:textId="77777777" w:rsidR="00802E14" w:rsidRPr="00802E14" w:rsidRDefault="00A614AA" w:rsidP="00802E14">
      <w:pPr>
        <w:widowControl w:val="0"/>
        <w:autoSpaceDE w:val="0"/>
        <w:autoSpaceDN w:val="0"/>
        <w:adjustRightInd w:val="0"/>
        <w:rPr>
          <w:rFonts w:ascii="Times New Roman" w:hAnsi="Times New Roman"/>
          <w:lang w:val="en-US"/>
        </w:rPr>
      </w:pPr>
      <w:r w:rsidRPr="001A34A9">
        <w:rPr>
          <w:rFonts w:eastAsiaTheme="minorHAnsi"/>
          <w:b/>
          <w:bCs/>
          <w:noProof/>
          <w:lang w:val="en-GB" w:eastAsia="en-US"/>
        </w:rPr>
        <w:fldChar w:fldCharType="begin"/>
      </w:r>
      <w:r w:rsidR="00802E14">
        <w:rPr>
          <w:b/>
          <w:bCs/>
        </w:rPr>
        <w:instrText xml:space="preserve"> ADDIN ZOTERO_BIBL {"uncited":[],"omitted":[],"custom":[]} CSL_BIBLIOGRAPHY </w:instrText>
      </w:r>
      <w:r w:rsidRPr="001A34A9">
        <w:rPr>
          <w:rFonts w:eastAsiaTheme="minorHAnsi"/>
          <w:b/>
          <w:bCs/>
          <w:noProof/>
          <w:lang w:val="en-GB" w:eastAsia="en-US"/>
        </w:rPr>
        <w:fldChar w:fldCharType="separate"/>
      </w:r>
      <w:r w:rsidR="00802E14" w:rsidRPr="00802E14">
        <w:rPr>
          <w:rFonts w:ascii="Times New Roman" w:hAnsi="Times New Roman"/>
        </w:rPr>
        <w:t xml:space="preserve">Abadías Llamas, A., Valero Delgado, A., Valero Capilla, A., Torres Cuadra, C., Hultgren, M., Peltomäki, M., Roine, A., Stelter, M., &amp; Reuter, M. A. (2019). </w:t>
      </w:r>
      <w:r w:rsidR="00802E14" w:rsidRPr="00802E14">
        <w:rPr>
          <w:rFonts w:ascii="Times New Roman" w:hAnsi="Times New Roman"/>
          <w:lang w:val="en-US"/>
        </w:rPr>
        <w:t xml:space="preserve">Simulation-based exergy, thermo-economic and environmental footprint analysis of primary copper production. </w:t>
      </w:r>
      <w:r w:rsidR="00802E14" w:rsidRPr="00802E14">
        <w:rPr>
          <w:rFonts w:ascii="Times New Roman" w:hAnsi="Times New Roman"/>
          <w:i/>
          <w:iCs/>
          <w:lang w:val="en-US"/>
        </w:rPr>
        <w:t>Minerals Engineering</w:t>
      </w:r>
      <w:r w:rsidR="00802E14" w:rsidRPr="00802E14">
        <w:rPr>
          <w:rFonts w:ascii="Times New Roman" w:hAnsi="Times New Roman"/>
          <w:lang w:val="en-US"/>
        </w:rPr>
        <w:t xml:space="preserve">, </w:t>
      </w:r>
      <w:r w:rsidR="00802E14" w:rsidRPr="00802E14">
        <w:rPr>
          <w:rFonts w:ascii="Times New Roman" w:hAnsi="Times New Roman"/>
          <w:i/>
          <w:iCs/>
          <w:lang w:val="en-US"/>
        </w:rPr>
        <w:t>131</w:t>
      </w:r>
      <w:r w:rsidR="00802E14" w:rsidRPr="00802E14">
        <w:rPr>
          <w:rFonts w:ascii="Times New Roman" w:hAnsi="Times New Roman"/>
          <w:lang w:val="en-US"/>
        </w:rPr>
        <w:t>, 51–65. https://doi.org/10.1016/j.mineng.2018.11.007</w:t>
      </w:r>
    </w:p>
    <w:p w14:paraId="3F758B84"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Aceleanu, M. I., Serban, A. C., Suciu, M.-C., &amp; Biţoiu, T. (2019). The Management of Municipal Waste through Circular Economy in the Context of Smart Cities Development. </w:t>
      </w:r>
      <w:r w:rsidRPr="00802E14">
        <w:rPr>
          <w:rFonts w:ascii="Times New Roman" w:hAnsi="Times New Roman"/>
          <w:i/>
          <w:iCs/>
          <w:lang w:val="en-US"/>
        </w:rPr>
        <w:t>IEEE Access</w:t>
      </w:r>
      <w:r w:rsidRPr="00802E14">
        <w:rPr>
          <w:rFonts w:ascii="Times New Roman" w:hAnsi="Times New Roman"/>
          <w:lang w:val="en-US"/>
        </w:rPr>
        <w:t xml:space="preserve">, </w:t>
      </w:r>
      <w:r w:rsidRPr="00802E14">
        <w:rPr>
          <w:rFonts w:ascii="Times New Roman" w:hAnsi="Times New Roman"/>
          <w:i/>
          <w:iCs/>
          <w:lang w:val="en-US"/>
        </w:rPr>
        <w:t>PP(99)</w:t>
      </w:r>
      <w:r w:rsidRPr="00802E14">
        <w:rPr>
          <w:rFonts w:ascii="Times New Roman" w:hAnsi="Times New Roman"/>
          <w:lang w:val="en-US"/>
        </w:rPr>
        <w:t>, 1–1. https://doi.org/10.1109/ACCESS.2019.2928999</w:t>
      </w:r>
    </w:p>
    <w:p w14:paraId="1B761EB2" w14:textId="407FA05F"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Achtenhagen, L., Naldi, L., &amp; Melin, L. (2010). </w:t>
      </w:r>
      <w:r w:rsidR="00106633">
        <w:rPr>
          <w:rFonts w:ascii="Times New Roman" w:hAnsi="Times New Roman"/>
          <w:i/>
          <w:iCs/>
          <w:lang w:val="en-US"/>
        </w:rPr>
        <w:t>"</w:t>
      </w:r>
      <w:r w:rsidRPr="00802E14">
        <w:rPr>
          <w:rFonts w:ascii="Times New Roman" w:hAnsi="Times New Roman"/>
          <w:i/>
          <w:iCs/>
          <w:lang w:val="en-US"/>
        </w:rPr>
        <w:t>Business Growth</w:t>
      </w:r>
      <w:r w:rsidR="00106633">
        <w:rPr>
          <w:rFonts w:ascii="Times New Roman" w:hAnsi="Times New Roman"/>
          <w:i/>
          <w:iCs/>
          <w:lang w:val="en-US"/>
        </w:rPr>
        <w:t>"</w:t>
      </w:r>
      <w:r w:rsidRPr="00802E14">
        <w:rPr>
          <w:rFonts w:ascii="Times New Roman" w:hAnsi="Times New Roman"/>
          <w:i/>
          <w:iCs/>
          <w:lang w:val="en-US"/>
        </w:rPr>
        <w:t>—Do Practitioners and Scholars Really Talk about the Same Thing?</w:t>
      </w:r>
      <w:r w:rsidRPr="00802E14">
        <w:rPr>
          <w:rFonts w:ascii="Times New Roman" w:hAnsi="Times New Roman"/>
          <w:lang w:val="en-US"/>
        </w:rPr>
        <w:t xml:space="preserve"> </w:t>
      </w:r>
      <w:r w:rsidRPr="00802E14">
        <w:rPr>
          <w:rFonts w:ascii="Times New Roman" w:hAnsi="Times New Roman"/>
          <w:i/>
          <w:iCs/>
          <w:lang w:val="en-US"/>
        </w:rPr>
        <w:t>34</w:t>
      </w:r>
      <w:r w:rsidRPr="00802E14">
        <w:rPr>
          <w:rFonts w:ascii="Times New Roman" w:hAnsi="Times New Roman"/>
          <w:lang w:val="en-US"/>
        </w:rPr>
        <w:t>(2), 289–316.</w:t>
      </w:r>
    </w:p>
    <w:p w14:paraId="1D84610B" w14:textId="26488703"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Adams, K. T., &amp; Osmani, M. (2017). Circular </w:t>
      </w:r>
      <w:r w:rsidR="00106633">
        <w:rPr>
          <w:rFonts w:ascii="Times New Roman" w:hAnsi="Times New Roman"/>
          <w:lang w:val="en-US"/>
        </w:rPr>
        <w:t>E</w:t>
      </w:r>
      <w:r w:rsidRPr="00802E14">
        <w:rPr>
          <w:rFonts w:ascii="Times New Roman" w:hAnsi="Times New Roman"/>
          <w:lang w:val="en-US"/>
        </w:rPr>
        <w:t xml:space="preserve">conomy in construction: Current awareness, challenges and enablers—Proceedings of the Institution of Civil Engineers. </w:t>
      </w:r>
      <w:r w:rsidRPr="00802E14">
        <w:rPr>
          <w:rFonts w:ascii="Times New Roman" w:hAnsi="Times New Roman"/>
          <w:i/>
          <w:iCs/>
          <w:lang w:val="en-US"/>
        </w:rPr>
        <w:t>Waste and Resource Management</w:t>
      </w:r>
      <w:r w:rsidRPr="00802E14">
        <w:rPr>
          <w:rFonts w:ascii="Times New Roman" w:hAnsi="Times New Roman"/>
          <w:lang w:val="en-US"/>
        </w:rPr>
        <w:t xml:space="preserve">, </w:t>
      </w:r>
      <w:r w:rsidRPr="00802E14">
        <w:rPr>
          <w:rFonts w:ascii="Times New Roman" w:hAnsi="Times New Roman"/>
          <w:i/>
          <w:iCs/>
          <w:lang w:val="en-US"/>
        </w:rPr>
        <w:t>170</w:t>
      </w:r>
      <w:r w:rsidRPr="00802E14">
        <w:rPr>
          <w:rFonts w:ascii="Times New Roman" w:hAnsi="Times New Roman"/>
          <w:lang w:val="en-US"/>
        </w:rPr>
        <w:t>(15–24). https://doi.org/10.1680/jwarm.16.00011</w:t>
      </w:r>
    </w:p>
    <w:p w14:paraId="7A8B9652"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Akanbi, L. A., Oyedele, L. O., Omoteso, K., Bilal, M., Akinade, O. O., Ajayi, A. O., Davila Delgado, J. M., &amp; Owolabi, H. A. (2019). Disassembly and deconstruction analytics system (D-DAS) for construction in a circular economy.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223</w:t>
      </w:r>
      <w:r w:rsidRPr="00802E14">
        <w:rPr>
          <w:rFonts w:ascii="Times New Roman" w:hAnsi="Times New Roman"/>
          <w:lang w:val="en-US"/>
        </w:rPr>
        <w:t>, 386–396. https://doi.org/10.1016/j.jclepro.2019.03.172</w:t>
      </w:r>
    </w:p>
    <w:p w14:paraId="5812B1E3" w14:textId="77777777" w:rsidR="00802E14" w:rsidRPr="00802E14" w:rsidRDefault="00802E14" w:rsidP="00802E14">
      <w:pPr>
        <w:widowControl w:val="0"/>
        <w:autoSpaceDE w:val="0"/>
        <w:autoSpaceDN w:val="0"/>
        <w:adjustRightInd w:val="0"/>
        <w:rPr>
          <w:rFonts w:ascii="Times New Roman" w:hAnsi="Times New Roman"/>
        </w:rPr>
      </w:pPr>
      <w:r w:rsidRPr="00802E14">
        <w:rPr>
          <w:rFonts w:ascii="Times New Roman" w:hAnsi="Times New Roman"/>
          <w:lang w:val="en-US"/>
        </w:rPr>
        <w:t xml:space="preserve">Andreopoulou, Z. (2017). Internet of Things and food circular economy: A new tool for Sustainable Development Goals. </w:t>
      </w:r>
      <w:r w:rsidRPr="00802E14">
        <w:rPr>
          <w:rFonts w:ascii="Times New Roman" w:hAnsi="Times New Roman"/>
          <w:i/>
          <w:iCs/>
        </w:rPr>
        <w:t>RIVISTA DI STUDI SULLA SOSTENIBILITA&amp;#39;</w:t>
      </w:r>
      <w:r w:rsidRPr="00802E14">
        <w:rPr>
          <w:rFonts w:ascii="Times New Roman" w:hAnsi="Times New Roman"/>
        </w:rPr>
        <w:t xml:space="preserve"> https://doi.org/10.3280/RISS2017-002004</w:t>
      </w:r>
    </w:p>
    <w:p w14:paraId="603F3318" w14:textId="37582BC5"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Andrews, D. (2015). </w:t>
      </w:r>
      <w:r w:rsidRPr="00802E14">
        <w:rPr>
          <w:rFonts w:ascii="Times New Roman" w:hAnsi="Times New Roman"/>
          <w:lang w:val="en-US"/>
        </w:rPr>
        <w:t xml:space="preserve">The circular </w:t>
      </w:r>
      <w:r w:rsidR="00106633">
        <w:rPr>
          <w:rFonts w:ascii="Times New Roman" w:hAnsi="Times New Roman"/>
          <w:lang w:val="en-US"/>
        </w:rPr>
        <w:t>E</w:t>
      </w:r>
      <w:r w:rsidRPr="00802E14">
        <w:rPr>
          <w:rFonts w:ascii="Times New Roman" w:hAnsi="Times New Roman"/>
          <w:lang w:val="en-US"/>
        </w:rPr>
        <w:t xml:space="preserve">conomy, design thinking and education for sustainability. </w:t>
      </w:r>
      <w:r w:rsidRPr="00802E14">
        <w:rPr>
          <w:rFonts w:ascii="Times New Roman" w:hAnsi="Times New Roman"/>
          <w:i/>
          <w:iCs/>
          <w:lang w:val="en-US"/>
        </w:rPr>
        <w:t>Local Economy</w:t>
      </w:r>
      <w:r w:rsidRPr="00802E14">
        <w:rPr>
          <w:rFonts w:ascii="Times New Roman" w:hAnsi="Times New Roman"/>
          <w:lang w:val="en-US"/>
        </w:rPr>
        <w:t xml:space="preserve">, </w:t>
      </w:r>
      <w:r w:rsidRPr="00802E14">
        <w:rPr>
          <w:rFonts w:ascii="Times New Roman" w:hAnsi="Times New Roman"/>
          <w:i/>
          <w:iCs/>
          <w:lang w:val="en-US"/>
        </w:rPr>
        <w:t>30</w:t>
      </w:r>
      <w:r w:rsidRPr="00802E14">
        <w:rPr>
          <w:rFonts w:ascii="Times New Roman" w:hAnsi="Times New Roman"/>
          <w:lang w:val="en-US"/>
        </w:rPr>
        <w:t>(3), 305–315. https://doi.org/10.1177/0269094215578226</w:t>
      </w:r>
    </w:p>
    <w:p w14:paraId="7398138E"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Azapagic, A., Millington, A., &amp; Collett, A. (2006). A Methodology for Integrating Sustainability Considerations into Process Design. </w:t>
      </w:r>
      <w:r w:rsidRPr="00802E14">
        <w:rPr>
          <w:rFonts w:ascii="Times New Roman" w:hAnsi="Times New Roman"/>
          <w:i/>
          <w:iCs/>
          <w:lang w:val="en-US"/>
        </w:rPr>
        <w:t>Chemical Engineering Research and Design</w:t>
      </w:r>
      <w:r w:rsidRPr="00802E14">
        <w:rPr>
          <w:rFonts w:ascii="Times New Roman" w:hAnsi="Times New Roman"/>
          <w:lang w:val="en-US"/>
        </w:rPr>
        <w:t xml:space="preserve">, </w:t>
      </w:r>
      <w:r w:rsidRPr="00802E14">
        <w:rPr>
          <w:rFonts w:ascii="Times New Roman" w:hAnsi="Times New Roman"/>
          <w:i/>
          <w:iCs/>
          <w:lang w:val="en-US"/>
        </w:rPr>
        <w:t>84</w:t>
      </w:r>
      <w:r w:rsidRPr="00802E14">
        <w:rPr>
          <w:rFonts w:ascii="Times New Roman" w:hAnsi="Times New Roman"/>
          <w:lang w:val="en-US"/>
        </w:rPr>
        <w:t xml:space="preserve">(6), 439–452. </w:t>
      </w:r>
      <w:r w:rsidRPr="00802E14">
        <w:rPr>
          <w:rFonts w:ascii="Times New Roman" w:hAnsi="Times New Roman"/>
          <w:lang w:val="en-US"/>
        </w:rPr>
        <w:lastRenderedPageBreak/>
        <w:t>https://doi.org/10.1205/cherd05007</w:t>
      </w:r>
    </w:p>
    <w:p w14:paraId="2C3327BF"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Bagnoli, C., Dal Mas, F., &amp; Massaro, M. (2019). </w:t>
      </w:r>
      <w:r w:rsidRPr="00802E14">
        <w:rPr>
          <w:rFonts w:ascii="Times New Roman" w:hAnsi="Times New Roman"/>
          <w:i/>
          <w:iCs/>
          <w:lang w:val="en-US"/>
        </w:rPr>
        <w:t>The 4th Industrial Revolution and its features. Possible business models and evidence from the field</w:t>
      </w:r>
      <w:r w:rsidRPr="00802E14">
        <w:rPr>
          <w:rFonts w:ascii="Times New Roman" w:hAnsi="Times New Roman"/>
          <w:lang w:val="en-US"/>
        </w:rPr>
        <w:t xml:space="preserve">. </w:t>
      </w:r>
      <w:r w:rsidRPr="00802E14">
        <w:rPr>
          <w:rFonts w:ascii="Times New Roman" w:hAnsi="Times New Roman"/>
          <w:i/>
          <w:iCs/>
          <w:lang w:val="en-US"/>
        </w:rPr>
        <w:t>11</w:t>
      </w:r>
      <w:r w:rsidRPr="00802E14">
        <w:rPr>
          <w:rFonts w:ascii="Times New Roman" w:hAnsi="Times New Roman"/>
          <w:lang w:val="en-US"/>
        </w:rPr>
        <w:t>.</w:t>
      </w:r>
    </w:p>
    <w:p w14:paraId="41889949"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Bagnoli, C., Massaro, M., Mas, F., &amp; Demartini, M. (2018). Defining The Concept Of Business Model: Searching For A Business Model Framework. </w:t>
      </w:r>
      <w:r w:rsidRPr="00802E14">
        <w:rPr>
          <w:rFonts w:ascii="Times New Roman" w:hAnsi="Times New Roman"/>
          <w:i/>
          <w:iCs/>
          <w:lang w:val="en-US"/>
        </w:rPr>
        <w:t>International Journal of Knowledge and Systems Science</w:t>
      </w:r>
      <w:r w:rsidRPr="00802E14">
        <w:rPr>
          <w:rFonts w:ascii="Times New Roman" w:hAnsi="Times New Roman"/>
          <w:lang w:val="en-US"/>
        </w:rPr>
        <w:t xml:space="preserve">, </w:t>
      </w:r>
      <w:r w:rsidRPr="00802E14">
        <w:rPr>
          <w:rFonts w:ascii="Times New Roman" w:hAnsi="Times New Roman"/>
          <w:i/>
          <w:iCs/>
          <w:lang w:val="en-US"/>
        </w:rPr>
        <w:t>9</w:t>
      </w:r>
      <w:r w:rsidRPr="00802E14">
        <w:rPr>
          <w:rFonts w:ascii="Times New Roman" w:hAnsi="Times New Roman"/>
          <w:lang w:val="en-US"/>
        </w:rPr>
        <w:t>, 48–64. https://doi.org/10.4018/IJKSS.2018070104</w:t>
      </w:r>
    </w:p>
    <w:p w14:paraId="306D69A0"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Bakhshi, V., &amp; Krajeski, A. (2007). Accounting for climate change: A window on the future. </w:t>
      </w:r>
      <w:r w:rsidRPr="00802E14">
        <w:rPr>
          <w:rFonts w:ascii="Times New Roman" w:hAnsi="Times New Roman"/>
          <w:i/>
          <w:iCs/>
          <w:lang w:val="en-US"/>
        </w:rPr>
        <w:t>Harvard Business Review</w:t>
      </w:r>
      <w:r w:rsidRPr="00802E14">
        <w:rPr>
          <w:rFonts w:ascii="Times New Roman" w:hAnsi="Times New Roman"/>
          <w:lang w:val="en-US"/>
        </w:rPr>
        <w:t xml:space="preserve">, </w:t>
      </w:r>
      <w:r w:rsidRPr="00802E14">
        <w:rPr>
          <w:rFonts w:ascii="Times New Roman" w:hAnsi="Times New Roman"/>
          <w:i/>
          <w:iCs/>
          <w:lang w:val="en-US"/>
        </w:rPr>
        <w:t>85</w:t>
      </w:r>
      <w:r w:rsidRPr="00802E14">
        <w:rPr>
          <w:rFonts w:ascii="Times New Roman" w:hAnsi="Times New Roman"/>
          <w:lang w:val="en-US"/>
        </w:rPr>
        <w:t>(10), 36-+.</w:t>
      </w:r>
    </w:p>
    <w:p w14:paraId="7079EC60"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Bartunek, J. M. (2007). Academic-Practitioner Collaboration Need not Require Joint or Relevant Research: Toward a Relational Scholarship of Integration. </w:t>
      </w:r>
      <w:r w:rsidRPr="00802E14">
        <w:rPr>
          <w:rFonts w:ascii="Times New Roman" w:hAnsi="Times New Roman"/>
          <w:i/>
          <w:iCs/>
          <w:lang w:val="en-US"/>
        </w:rPr>
        <w:t>Academy of Management Journal</w:t>
      </w:r>
      <w:r w:rsidRPr="00802E14">
        <w:rPr>
          <w:rFonts w:ascii="Times New Roman" w:hAnsi="Times New Roman"/>
          <w:lang w:val="en-US"/>
        </w:rPr>
        <w:t xml:space="preserve">, </w:t>
      </w:r>
      <w:r w:rsidRPr="00802E14">
        <w:rPr>
          <w:rFonts w:ascii="Times New Roman" w:hAnsi="Times New Roman"/>
          <w:i/>
          <w:iCs/>
          <w:lang w:val="en-US"/>
        </w:rPr>
        <w:t>50</w:t>
      </w:r>
      <w:r w:rsidRPr="00802E14">
        <w:rPr>
          <w:rFonts w:ascii="Times New Roman" w:hAnsi="Times New Roman"/>
          <w:lang w:val="en-US"/>
        </w:rPr>
        <w:t>(6), 1323–1333. https://doi.org/10.5465/amj.2007.28165912</w:t>
      </w:r>
    </w:p>
    <w:p w14:paraId="106E0322" w14:textId="3794D94E"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Baruch, Y., &amp; Holtom, B. C. (2008). Survey response rate levels and trends in organi</w:t>
      </w:r>
      <w:r w:rsidR="00527C14">
        <w:rPr>
          <w:rFonts w:ascii="Times New Roman" w:hAnsi="Times New Roman"/>
          <w:lang w:val="en-US"/>
        </w:rPr>
        <w:t>s</w:t>
      </w:r>
      <w:r w:rsidRPr="00802E14">
        <w:rPr>
          <w:rFonts w:ascii="Times New Roman" w:hAnsi="Times New Roman"/>
          <w:lang w:val="en-US"/>
        </w:rPr>
        <w:t xml:space="preserve">ational research. </w:t>
      </w:r>
      <w:r w:rsidRPr="00802E14">
        <w:rPr>
          <w:rFonts w:ascii="Times New Roman" w:hAnsi="Times New Roman"/>
          <w:i/>
          <w:iCs/>
          <w:lang w:val="en-US"/>
        </w:rPr>
        <w:t>Human Relations</w:t>
      </w:r>
      <w:r w:rsidRPr="00802E14">
        <w:rPr>
          <w:rFonts w:ascii="Times New Roman" w:hAnsi="Times New Roman"/>
          <w:lang w:val="en-US"/>
        </w:rPr>
        <w:t xml:space="preserve">, </w:t>
      </w:r>
      <w:r w:rsidRPr="00802E14">
        <w:rPr>
          <w:rFonts w:ascii="Times New Roman" w:hAnsi="Times New Roman"/>
          <w:i/>
          <w:iCs/>
          <w:lang w:val="en-US"/>
        </w:rPr>
        <w:t>61</w:t>
      </w:r>
      <w:r w:rsidRPr="00802E14">
        <w:rPr>
          <w:rFonts w:ascii="Times New Roman" w:hAnsi="Times New Roman"/>
          <w:lang w:val="en-US"/>
        </w:rPr>
        <w:t>(8), 1139–1160. https://doi.org/10.1177/0018726708094863</w:t>
      </w:r>
    </w:p>
    <w:p w14:paraId="677AE453"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Beier, G., Ullrich, A., Niehoff, S., Reißig, M., &amp; Habich, M. (2020). Industry 4.0: How it is defined from a sociotechnical perspective and how much sustainability it includes – A literature review.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259</w:t>
      </w:r>
      <w:r w:rsidRPr="00802E14">
        <w:rPr>
          <w:rFonts w:ascii="Times New Roman" w:hAnsi="Times New Roman"/>
          <w:lang w:val="en-US"/>
        </w:rPr>
        <w:t>, 120856. https://doi.org/10.1016/j.jclepro.2020.120856</w:t>
      </w:r>
    </w:p>
    <w:p w14:paraId="70962E19" w14:textId="62E760B9"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Bella, A. D., Cannavò, A., Giaquinta, G., Liardo, R., &amp; Giuffrida, V. (2019). </w:t>
      </w:r>
      <w:r w:rsidRPr="00802E14">
        <w:rPr>
          <w:rFonts w:ascii="Times New Roman" w:hAnsi="Times New Roman"/>
          <w:i/>
          <w:iCs/>
          <w:lang w:val="en-US"/>
        </w:rPr>
        <w:t xml:space="preserve">Exploitation and energy recovery of fluff: Smart solutions in a prospective of circular </w:t>
      </w:r>
      <w:r w:rsidR="00106633">
        <w:rPr>
          <w:rFonts w:ascii="Times New Roman" w:hAnsi="Times New Roman"/>
          <w:i/>
          <w:iCs/>
          <w:lang w:val="en-US"/>
        </w:rPr>
        <w:t>E</w:t>
      </w:r>
      <w:r w:rsidRPr="00802E14">
        <w:rPr>
          <w:rFonts w:ascii="Times New Roman" w:hAnsi="Times New Roman"/>
          <w:i/>
          <w:iCs/>
          <w:lang w:val="en-US"/>
        </w:rPr>
        <w:t>conomy</w:t>
      </w:r>
      <w:r w:rsidRPr="00802E14">
        <w:rPr>
          <w:rFonts w:ascii="Times New Roman" w:hAnsi="Times New Roman"/>
          <w:lang w:val="en-US"/>
        </w:rPr>
        <w:t>. 8.</w:t>
      </w:r>
    </w:p>
    <w:p w14:paraId="4C736F24"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Bhatt, Y., Ghuman, K., &amp; Dhir, A. (2020). Sustainable manufacturing. Bibliometrics and content analysis.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260</w:t>
      </w:r>
      <w:r w:rsidRPr="00802E14">
        <w:rPr>
          <w:rFonts w:ascii="Times New Roman" w:hAnsi="Times New Roman"/>
          <w:lang w:val="en-US"/>
        </w:rPr>
        <w:t>, 120988. https://doi.org/10.1016/j.jclepro.2020.120988</w:t>
      </w:r>
    </w:p>
    <w:p w14:paraId="037B8DE0"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Biloslavo, R., Bagnoli, C., Massaro, M., &amp; Cosentino, A. (2020). Business model transformation toward sustainability: The impact of legitimation. </w:t>
      </w:r>
      <w:r w:rsidRPr="00802E14">
        <w:rPr>
          <w:rFonts w:ascii="Times New Roman" w:hAnsi="Times New Roman"/>
          <w:i/>
          <w:iCs/>
          <w:lang w:val="en-US"/>
        </w:rPr>
        <w:t>Management Decision</w:t>
      </w:r>
      <w:r w:rsidRPr="00802E14">
        <w:rPr>
          <w:rFonts w:ascii="Times New Roman" w:hAnsi="Times New Roman"/>
          <w:lang w:val="en-US"/>
        </w:rPr>
        <w:t>. Scopus. https://doi.org/10.1108/MD-09-2019-1296</w:t>
      </w:r>
    </w:p>
    <w:p w14:paraId="35FE7D07"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Brehmer, M., Podoynitsyna, K., &amp; Langerak, F. (2018). Sustainable business models as boundary-spanning systems of value transfers.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172</w:t>
      </w:r>
      <w:r w:rsidRPr="00802E14">
        <w:rPr>
          <w:rFonts w:ascii="Times New Roman" w:hAnsi="Times New Roman"/>
          <w:lang w:val="en-US"/>
        </w:rPr>
        <w:t>, 4514–4531. https://doi.org/10.1016/j.jclepro.2017.11.083</w:t>
      </w:r>
    </w:p>
    <w:p w14:paraId="7F0F4749" w14:textId="02BBBEFF"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Brown, T. (2015). </w:t>
      </w:r>
      <w:r w:rsidRPr="00802E14">
        <w:rPr>
          <w:rFonts w:ascii="Times New Roman" w:hAnsi="Times New Roman"/>
          <w:i/>
          <w:iCs/>
          <w:lang w:val="en-US"/>
        </w:rPr>
        <w:t>Change by Design: How Design Thinking Can Transform Organi</w:t>
      </w:r>
      <w:r w:rsidR="00527C14">
        <w:rPr>
          <w:rFonts w:ascii="Times New Roman" w:hAnsi="Times New Roman"/>
          <w:i/>
          <w:iCs/>
          <w:lang w:val="en-US"/>
        </w:rPr>
        <w:t>s</w:t>
      </w:r>
      <w:r w:rsidRPr="00802E14">
        <w:rPr>
          <w:rFonts w:ascii="Times New Roman" w:hAnsi="Times New Roman"/>
          <w:i/>
          <w:iCs/>
          <w:lang w:val="en-US"/>
        </w:rPr>
        <w:t>ations and Inspire Innovation</w:t>
      </w:r>
      <w:r w:rsidRPr="00802E14">
        <w:rPr>
          <w:rFonts w:ascii="Times New Roman" w:hAnsi="Times New Roman"/>
          <w:lang w:val="en-US"/>
        </w:rPr>
        <w:t>. Harper USA.</w:t>
      </w:r>
    </w:p>
    <w:p w14:paraId="082EC23F"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Büchi, G., Cugno, M., &amp; Castagnoli, R. (2020). Smart factory performance and Industry 4.0. </w:t>
      </w:r>
      <w:r w:rsidRPr="00802E14">
        <w:rPr>
          <w:rFonts w:ascii="Times New Roman" w:hAnsi="Times New Roman"/>
          <w:i/>
          <w:iCs/>
          <w:lang w:val="en-US"/>
        </w:rPr>
        <w:t>Technological Forecasting and Social Change</w:t>
      </w:r>
      <w:r w:rsidRPr="00802E14">
        <w:rPr>
          <w:rFonts w:ascii="Times New Roman" w:hAnsi="Times New Roman"/>
          <w:lang w:val="en-US"/>
        </w:rPr>
        <w:t xml:space="preserve">, </w:t>
      </w:r>
      <w:r w:rsidRPr="00802E14">
        <w:rPr>
          <w:rFonts w:ascii="Times New Roman" w:hAnsi="Times New Roman"/>
          <w:i/>
          <w:iCs/>
          <w:lang w:val="en-US"/>
        </w:rPr>
        <w:t>150</w:t>
      </w:r>
      <w:r w:rsidRPr="00802E14">
        <w:rPr>
          <w:rFonts w:ascii="Times New Roman" w:hAnsi="Times New Roman"/>
          <w:lang w:val="en-US"/>
        </w:rPr>
        <w:t>, 119790. https://doi.org/10.1016/j.techfore.2019.119790</w:t>
      </w:r>
    </w:p>
    <w:p w14:paraId="04DE8EC8" w14:textId="77777777" w:rsidR="00802E14" w:rsidRPr="00802E14" w:rsidRDefault="00802E14" w:rsidP="00802E14">
      <w:pPr>
        <w:widowControl w:val="0"/>
        <w:autoSpaceDE w:val="0"/>
        <w:autoSpaceDN w:val="0"/>
        <w:adjustRightInd w:val="0"/>
        <w:rPr>
          <w:rFonts w:ascii="Times New Roman" w:hAnsi="Times New Roman"/>
        </w:rPr>
      </w:pPr>
      <w:r w:rsidRPr="00802E14">
        <w:rPr>
          <w:rFonts w:ascii="Times New Roman" w:hAnsi="Times New Roman"/>
        </w:rPr>
        <w:t xml:space="preserve">Camacho-Otero, J., Boks, C., &amp; Pettersen, I. N. (2018). </w:t>
      </w:r>
      <w:r w:rsidRPr="00802E14">
        <w:rPr>
          <w:rFonts w:ascii="Times New Roman" w:hAnsi="Times New Roman"/>
          <w:lang w:val="en-US"/>
        </w:rPr>
        <w:t xml:space="preserve">Consumption in the Circular Economy: A Literature Review. </w:t>
      </w:r>
      <w:r w:rsidRPr="00802E14">
        <w:rPr>
          <w:rFonts w:ascii="Times New Roman" w:hAnsi="Times New Roman"/>
          <w:i/>
          <w:iCs/>
        </w:rPr>
        <w:t>Sustainability</w:t>
      </w:r>
      <w:r w:rsidRPr="00802E14">
        <w:rPr>
          <w:rFonts w:ascii="Times New Roman" w:hAnsi="Times New Roman"/>
        </w:rPr>
        <w:t xml:space="preserve">, </w:t>
      </w:r>
      <w:r w:rsidRPr="00802E14">
        <w:rPr>
          <w:rFonts w:ascii="Times New Roman" w:hAnsi="Times New Roman"/>
          <w:i/>
          <w:iCs/>
        </w:rPr>
        <w:t>10</w:t>
      </w:r>
      <w:r w:rsidRPr="00802E14">
        <w:rPr>
          <w:rFonts w:ascii="Times New Roman" w:hAnsi="Times New Roman"/>
        </w:rPr>
        <w:t>(8), 2758. https://doi.org/10.3390/su10082758</w:t>
      </w:r>
    </w:p>
    <w:p w14:paraId="6918425B" w14:textId="181FC56C"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Centobelli, P., Cerchione, R., Chiaroni, D., Vecchio, P. D., &amp; Urbinati, A. (2020). </w:t>
      </w:r>
      <w:r w:rsidRPr="00802E14">
        <w:rPr>
          <w:rFonts w:ascii="Times New Roman" w:hAnsi="Times New Roman"/>
          <w:lang w:val="en-US"/>
        </w:rPr>
        <w:t xml:space="preserve">Designing business models in circular </w:t>
      </w:r>
      <w:r w:rsidR="00106633">
        <w:rPr>
          <w:rFonts w:ascii="Times New Roman" w:hAnsi="Times New Roman"/>
          <w:lang w:val="en-US"/>
        </w:rPr>
        <w:t>E</w:t>
      </w:r>
      <w:r w:rsidRPr="00802E14">
        <w:rPr>
          <w:rFonts w:ascii="Times New Roman" w:hAnsi="Times New Roman"/>
          <w:lang w:val="en-US"/>
        </w:rPr>
        <w:t xml:space="preserve">conomy: A systematic literature review and research agenda. </w:t>
      </w:r>
      <w:r w:rsidRPr="00802E14">
        <w:rPr>
          <w:rFonts w:ascii="Times New Roman" w:hAnsi="Times New Roman"/>
          <w:i/>
          <w:iCs/>
          <w:lang w:val="en-US"/>
        </w:rPr>
        <w:t>Business Strategy and the Environment</w:t>
      </w:r>
      <w:r w:rsidRPr="00802E14">
        <w:rPr>
          <w:rFonts w:ascii="Times New Roman" w:hAnsi="Times New Roman"/>
          <w:lang w:val="en-US"/>
        </w:rPr>
        <w:t xml:space="preserve">, </w:t>
      </w:r>
      <w:r w:rsidRPr="00802E14">
        <w:rPr>
          <w:rFonts w:ascii="Times New Roman" w:hAnsi="Times New Roman"/>
          <w:i/>
          <w:iCs/>
          <w:lang w:val="en-US"/>
        </w:rPr>
        <w:t>29</w:t>
      </w:r>
      <w:r w:rsidRPr="00802E14">
        <w:rPr>
          <w:rFonts w:ascii="Times New Roman" w:hAnsi="Times New Roman"/>
          <w:lang w:val="en-US"/>
        </w:rPr>
        <w:t>(4), 1734–1749. https://doi.org/10.1002/bse.2466</w:t>
      </w:r>
    </w:p>
    <w:p w14:paraId="62B683A2"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Chen, L.-H., Hung, P., &amp; Ma, H. (2020). Integrating circular business models and development tools in the circular economy transition process: A firm-level framework. </w:t>
      </w:r>
      <w:r w:rsidRPr="00802E14">
        <w:rPr>
          <w:rFonts w:ascii="Times New Roman" w:hAnsi="Times New Roman"/>
          <w:i/>
          <w:iCs/>
          <w:lang w:val="en-US"/>
        </w:rPr>
        <w:t>Business Strategy and the Environment</w:t>
      </w:r>
      <w:r w:rsidRPr="00802E14">
        <w:rPr>
          <w:rFonts w:ascii="Times New Roman" w:hAnsi="Times New Roman"/>
          <w:lang w:val="en-US"/>
        </w:rPr>
        <w:t xml:space="preserve">, </w:t>
      </w:r>
      <w:r w:rsidRPr="00802E14">
        <w:rPr>
          <w:rFonts w:ascii="Times New Roman" w:hAnsi="Times New Roman"/>
          <w:i/>
          <w:iCs/>
          <w:lang w:val="en-US"/>
        </w:rPr>
        <w:t>29</w:t>
      </w:r>
      <w:r w:rsidRPr="00802E14">
        <w:rPr>
          <w:rFonts w:ascii="Times New Roman" w:hAnsi="Times New Roman"/>
          <w:lang w:val="en-US"/>
        </w:rPr>
        <w:t>(5), 1887–1898. https://doi.org/10.1002/bse.2477</w:t>
      </w:r>
    </w:p>
    <w:p w14:paraId="0EE4D13F" w14:textId="205DEA3A"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Chiappetta Jabbour, C. J., Seuring, S., Lopes de Sousa Jabbour, A. B., Jugend, D., De Camargo Fiorini, P., Latan, H., &amp; Izeppi, W. C. (2020). Stakeholders, innovative business models for the circular </w:t>
      </w:r>
      <w:r w:rsidR="00106633">
        <w:rPr>
          <w:rFonts w:ascii="Times New Roman" w:hAnsi="Times New Roman"/>
          <w:lang w:val="en-US"/>
        </w:rPr>
        <w:t>E</w:t>
      </w:r>
      <w:r w:rsidRPr="00802E14">
        <w:rPr>
          <w:rFonts w:ascii="Times New Roman" w:hAnsi="Times New Roman"/>
          <w:lang w:val="en-US"/>
        </w:rPr>
        <w:t xml:space="preserve">conomy and sustainable performance of firms in an emerging economy facing institutional voids. </w:t>
      </w:r>
      <w:r w:rsidRPr="00802E14">
        <w:rPr>
          <w:rFonts w:ascii="Times New Roman" w:hAnsi="Times New Roman"/>
          <w:i/>
          <w:iCs/>
          <w:lang w:val="en-US"/>
        </w:rPr>
        <w:t>Journal of Environmental Management</w:t>
      </w:r>
      <w:r w:rsidRPr="00802E14">
        <w:rPr>
          <w:rFonts w:ascii="Times New Roman" w:hAnsi="Times New Roman"/>
          <w:lang w:val="en-US"/>
        </w:rPr>
        <w:t xml:space="preserve">, </w:t>
      </w:r>
      <w:r w:rsidRPr="00802E14">
        <w:rPr>
          <w:rFonts w:ascii="Times New Roman" w:hAnsi="Times New Roman"/>
          <w:i/>
          <w:iCs/>
          <w:lang w:val="en-US"/>
        </w:rPr>
        <w:t>264</w:t>
      </w:r>
      <w:r w:rsidRPr="00802E14">
        <w:rPr>
          <w:rFonts w:ascii="Times New Roman" w:hAnsi="Times New Roman"/>
          <w:lang w:val="en-US"/>
        </w:rPr>
        <w:t>, 110416. https://doi.org/10.1016/j.jenvman.2020.110416</w:t>
      </w:r>
    </w:p>
    <w:p w14:paraId="7B3C06DF"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Cook, L., LaVan, H., &amp; Zilic, I. (2018). An exploratory analysis of corporate social responsibility reporting in US pharmaceutical companies. </w:t>
      </w:r>
      <w:r w:rsidRPr="00802E14">
        <w:rPr>
          <w:rFonts w:ascii="Times New Roman" w:hAnsi="Times New Roman"/>
          <w:i/>
          <w:iCs/>
          <w:lang w:val="en-US"/>
        </w:rPr>
        <w:t>Journal of Communication Management</w:t>
      </w:r>
      <w:r w:rsidRPr="00802E14">
        <w:rPr>
          <w:rFonts w:ascii="Times New Roman" w:hAnsi="Times New Roman"/>
          <w:lang w:val="en-US"/>
        </w:rPr>
        <w:t xml:space="preserve">, </w:t>
      </w:r>
      <w:r w:rsidRPr="00802E14">
        <w:rPr>
          <w:rFonts w:ascii="Times New Roman" w:hAnsi="Times New Roman"/>
          <w:i/>
          <w:iCs/>
          <w:lang w:val="en-US"/>
        </w:rPr>
        <w:t>22</w:t>
      </w:r>
      <w:r w:rsidRPr="00802E14">
        <w:rPr>
          <w:rFonts w:ascii="Times New Roman" w:hAnsi="Times New Roman"/>
          <w:lang w:val="en-US"/>
        </w:rPr>
        <w:t>(2), 197–211. https://doi.org/10.1108/JCOM-02-2017-0020</w:t>
      </w:r>
    </w:p>
    <w:p w14:paraId="48E08090" w14:textId="35143D2E"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Cucchiella, F., D</w:t>
      </w:r>
      <w:r w:rsidR="00106633">
        <w:rPr>
          <w:rFonts w:ascii="Times New Roman" w:hAnsi="Times New Roman"/>
          <w:lang w:val="en-US"/>
        </w:rPr>
        <w:t>'</w:t>
      </w:r>
      <w:r w:rsidRPr="00802E14">
        <w:rPr>
          <w:rFonts w:ascii="Times New Roman" w:hAnsi="Times New Roman"/>
          <w:lang w:val="en-US"/>
        </w:rPr>
        <w:t xml:space="preserve">Adamo, I., Lenny Koh, S. C., &amp; Rosa, P. (2015). Recycling of WEEEs: An economic assessment of present and future e-waste streams. </w:t>
      </w:r>
      <w:r w:rsidRPr="00802E14">
        <w:rPr>
          <w:rFonts w:ascii="Times New Roman" w:hAnsi="Times New Roman"/>
          <w:i/>
          <w:iCs/>
          <w:lang w:val="en-US"/>
        </w:rPr>
        <w:t>Renewable and Sustainable Energy Reviews</w:t>
      </w:r>
      <w:r w:rsidRPr="00802E14">
        <w:rPr>
          <w:rFonts w:ascii="Times New Roman" w:hAnsi="Times New Roman"/>
          <w:lang w:val="en-US"/>
        </w:rPr>
        <w:t xml:space="preserve">, </w:t>
      </w:r>
      <w:r w:rsidRPr="00802E14">
        <w:rPr>
          <w:rFonts w:ascii="Times New Roman" w:hAnsi="Times New Roman"/>
          <w:i/>
          <w:iCs/>
          <w:lang w:val="en-US"/>
        </w:rPr>
        <w:t>51</w:t>
      </w:r>
      <w:r w:rsidRPr="00802E14">
        <w:rPr>
          <w:rFonts w:ascii="Times New Roman" w:hAnsi="Times New Roman"/>
          <w:lang w:val="en-US"/>
        </w:rPr>
        <w:t xml:space="preserve">, 263–272. </w:t>
      </w:r>
      <w:r w:rsidRPr="00802E14">
        <w:rPr>
          <w:rFonts w:ascii="Times New Roman" w:hAnsi="Times New Roman"/>
          <w:lang w:val="en-US"/>
        </w:rPr>
        <w:lastRenderedPageBreak/>
        <w:t>https://doi.org/10.1016/j.rser.2015.06.010</w:t>
      </w:r>
    </w:p>
    <w:p w14:paraId="67B0EF59" w14:textId="0B2BBA8B"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Dal Mas, F. (2019). The Relationship Between Intellectual Capital and Sustainability: An Analysis of Practitioner</w:t>
      </w:r>
      <w:r w:rsidR="00106633">
        <w:rPr>
          <w:rFonts w:ascii="Times New Roman" w:hAnsi="Times New Roman"/>
          <w:lang w:val="en-US"/>
        </w:rPr>
        <w:t>'</w:t>
      </w:r>
      <w:r w:rsidRPr="00802E14">
        <w:rPr>
          <w:rFonts w:ascii="Times New Roman" w:hAnsi="Times New Roman"/>
          <w:lang w:val="en-US"/>
        </w:rPr>
        <w:t xml:space="preserve">s Thought. In F. Matos, V. Vairinhos, P. M. Selig, &amp; L. Edvinsson (A c. Di), </w:t>
      </w:r>
      <w:r w:rsidRPr="00802E14">
        <w:rPr>
          <w:rFonts w:ascii="Times New Roman" w:hAnsi="Times New Roman"/>
          <w:i/>
          <w:iCs/>
          <w:lang w:val="en-US"/>
        </w:rPr>
        <w:t>Intellectual Capital Management as a Driver of Sustainability: Perspectives for Organi</w:t>
      </w:r>
      <w:r w:rsidR="00527C14">
        <w:rPr>
          <w:rFonts w:ascii="Times New Roman" w:hAnsi="Times New Roman"/>
          <w:i/>
          <w:iCs/>
          <w:lang w:val="en-US"/>
        </w:rPr>
        <w:t>s</w:t>
      </w:r>
      <w:r w:rsidRPr="00802E14">
        <w:rPr>
          <w:rFonts w:ascii="Times New Roman" w:hAnsi="Times New Roman"/>
          <w:i/>
          <w:iCs/>
          <w:lang w:val="en-US"/>
        </w:rPr>
        <w:t>ations and Society</w:t>
      </w:r>
      <w:r w:rsidRPr="00802E14">
        <w:rPr>
          <w:rFonts w:ascii="Times New Roman" w:hAnsi="Times New Roman"/>
          <w:lang w:val="en-US"/>
        </w:rPr>
        <w:t xml:space="preserve"> (pagg. 11–24). Springer International Publishing. https://doi.org/10.1007/978-3-319-79051-0_2</w:t>
      </w:r>
    </w:p>
    <w:p w14:paraId="09DB1DC6"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Dal Mas, F., Massaro, M., Verde, M., &amp; Cobianchi, L. (2020). Can the Blockchain Lead to New Sustainable Business Models? </w:t>
      </w:r>
      <w:r w:rsidRPr="00802E14">
        <w:rPr>
          <w:rFonts w:ascii="Times New Roman" w:hAnsi="Times New Roman"/>
          <w:i/>
          <w:iCs/>
          <w:lang w:val="en-US"/>
        </w:rPr>
        <w:t>Journal of Business Models</w:t>
      </w:r>
      <w:r w:rsidRPr="00802E14">
        <w:rPr>
          <w:rFonts w:ascii="Times New Roman" w:hAnsi="Times New Roman"/>
          <w:lang w:val="en-US"/>
        </w:rPr>
        <w:t xml:space="preserve">, </w:t>
      </w:r>
      <w:r w:rsidRPr="00802E14">
        <w:rPr>
          <w:rFonts w:ascii="Times New Roman" w:hAnsi="Times New Roman"/>
          <w:i/>
          <w:iCs/>
          <w:lang w:val="en-US"/>
        </w:rPr>
        <w:t>8</w:t>
      </w:r>
      <w:r w:rsidRPr="00802E14">
        <w:rPr>
          <w:rFonts w:ascii="Times New Roman" w:hAnsi="Times New Roman"/>
          <w:lang w:val="en-US"/>
        </w:rPr>
        <w:t>(2), 31–38.</w:t>
      </w:r>
    </w:p>
    <w:p w14:paraId="3611F2BF" w14:textId="3F8E647D"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DalleMule, L., &amp; Davenport, T. H. (2017). What</w:t>
      </w:r>
      <w:r w:rsidR="00106633">
        <w:rPr>
          <w:rFonts w:ascii="Times New Roman" w:hAnsi="Times New Roman"/>
          <w:lang w:val="en-US"/>
        </w:rPr>
        <w:t>'</w:t>
      </w:r>
      <w:r w:rsidRPr="00802E14">
        <w:rPr>
          <w:rFonts w:ascii="Times New Roman" w:hAnsi="Times New Roman"/>
          <w:lang w:val="en-US"/>
        </w:rPr>
        <w:t xml:space="preserve">s your Data Strategy. </w:t>
      </w:r>
      <w:r w:rsidRPr="00802E14">
        <w:rPr>
          <w:rFonts w:ascii="Times New Roman" w:hAnsi="Times New Roman"/>
          <w:i/>
          <w:iCs/>
          <w:lang w:val="en-US"/>
        </w:rPr>
        <w:t>Harvard Business Review</w:t>
      </w:r>
      <w:r w:rsidRPr="00802E14">
        <w:rPr>
          <w:rFonts w:ascii="Times New Roman" w:hAnsi="Times New Roman"/>
          <w:lang w:val="en-US"/>
        </w:rPr>
        <w:t xml:space="preserve">, </w:t>
      </w:r>
      <w:r w:rsidRPr="00802E14">
        <w:rPr>
          <w:rFonts w:ascii="Times New Roman" w:hAnsi="Times New Roman"/>
          <w:i/>
          <w:iCs/>
          <w:lang w:val="en-US"/>
        </w:rPr>
        <w:t>May-June</w:t>
      </w:r>
      <w:r w:rsidRPr="00802E14">
        <w:rPr>
          <w:rFonts w:ascii="Times New Roman" w:hAnsi="Times New Roman"/>
          <w:lang w:val="en-US"/>
        </w:rPr>
        <w:t>, 1–9. https://doi.org/10.1016/j.solener.2019.02.027</w:t>
      </w:r>
    </w:p>
    <w:p w14:paraId="699A5D9B"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De los Rios, I. C., &amp; Charnley, F. J. S. (2017). Skills and capabilities for a sustainable and circular economy: The changing role of design.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160</w:t>
      </w:r>
      <w:r w:rsidRPr="00802E14">
        <w:rPr>
          <w:rFonts w:ascii="Times New Roman" w:hAnsi="Times New Roman"/>
          <w:lang w:val="en-US"/>
        </w:rPr>
        <w:t>, 109–122. https://doi.org/10.1016/j.jclepro.2016.10.130</w:t>
      </w:r>
    </w:p>
    <w:p w14:paraId="6205E371"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de Sousa Jabbour, A. B. L., Jabbour, C. J. C., Foropon, C., &amp; Godinho Filho, M. (2018). When titans meet – Can industry 4.0 revolutionise the environmentally-sustainable manufacturing wave? The role of critical success factors. </w:t>
      </w:r>
      <w:r w:rsidRPr="00802E14">
        <w:rPr>
          <w:rFonts w:ascii="Times New Roman" w:hAnsi="Times New Roman"/>
          <w:i/>
          <w:iCs/>
          <w:lang w:val="en-US"/>
        </w:rPr>
        <w:t>Technological Forecasting and Social Change</w:t>
      </w:r>
      <w:r w:rsidRPr="00802E14">
        <w:rPr>
          <w:rFonts w:ascii="Times New Roman" w:hAnsi="Times New Roman"/>
          <w:lang w:val="en-US"/>
        </w:rPr>
        <w:t xml:space="preserve">, </w:t>
      </w:r>
      <w:r w:rsidRPr="00802E14">
        <w:rPr>
          <w:rFonts w:ascii="Times New Roman" w:hAnsi="Times New Roman"/>
          <w:i/>
          <w:iCs/>
          <w:lang w:val="en-US"/>
        </w:rPr>
        <w:t>132</w:t>
      </w:r>
      <w:r w:rsidRPr="00802E14">
        <w:rPr>
          <w:rFonts w:ascii="Times New Roman" w:hAnsi="Times New Roman"/>
          <w:lang w:val="en-US"/>
        </w:rPr>
        <w:t>, 18–25. https://doi.org/10.1016/j.techfore.2018.01.017</w:t>
      </w:r>
    </w:p>
    <w:p w14:paraId="16F3419E" w14:textId="46A099A4"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Del Giudice, M. (2016). Discovering the Internet of Things (IoT) within the business process management: A literature review on technological revitali</w:t>
      </w:r>
      <w:r w:rsidR="00527C14">
        <w:rPr>
          <w:rFonts w:ascii="Times New Roman" w:hAnsi="Times New Roman"/>
          <w:lang w:val="en-US"/>
        </w:rPr>
        <w:t>s</w:t>
      </w:r>
      <w:r w:rsidRPr="00802E14">
        <w:rPr>
          <w:rFonts w:ascii="Times New Roman" w:hAnsi="Times New Roman"/>
          <w:lang w:val="en-US"/>
        </w:rPr>
        <w:t xml:space="preserve">ation. </w:t>
      </w:r>
      <w:r w:rsidRPr="00802E14">
        <w:rPr>
          <w:rFonts w:ascii="Times New Roman" w:hAnsi="Times New Roman"/>
          <w:i/>
          <w:iCs/>
          <w:lang w:val="en-US"/>
        </w:rPr>
        <w:t>Business Process Management Journal</w:t>
      </w:r>
      <w:r w:rsidRPr="00802E14">
        <w:rPr>
          <w:rFonts w:ascii="Times New Roman" w:hAnsi="Times New Roman"/>
          <w:lang w:val="en-US"/>
        </w:rPr>
        <w:t xml:space="preserve">, </w:t>
      </w:r>
      <w:r w:rsidRPr="00802E14">
        <w:rPr>
          <w:rFonts w:ascii="Times New Roman" w:hAnsi="Times New Roman"/>
          <w:i/>
          <w:iCs/>
          <w:lang w:val="en-US"/>
        </w:rPr>
        <w:t>22</w:t>
      </w:r>
      <w:r w:rsidRPr="00802E14">
        <w:rPr>
          <w:rFonts w:ascii="Times New Roman" w:hAnsi="Times New Roman"/>
          <w:lang w:val="en-US"/>
        </w:rPr>
        <w:t>(2). https://doi.org/10.1108/BPMJ-12-2015-0173</w:t>
      </w:r>
    </w:p>
    <w:p w14:paraId="0D28FC87" w14:textId="79767E64"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Dey, P. K., Malesios, C., De, D., Budhwar, P., Chowdhury, S., &amp; Cheffi, W. (2020). Circular </w:t>
      </w:r>
      <w:r w:rsidR="00106633">
        <w:rPr>
          <w:rFonts w:ascii="Times New Roman" w:hAnsi="Times New Roman"/>
          <w:lang w:val="en-US"/>
        </w:rPr>
        <w:t>E</w:t>
      </w:r>
      <w:r w:rsidRPr="00802E14">
        <w:rPr>
          <w:rFonts w:ascii="Times New Roman" w:hAnsi="Times New Roman"/>
          <w:lang w:val="en-US"/>
        </w:rPr>
        <w:t xml:space="preserve">conomy to enhance sustainability of small and medium-sized enterprises. </w:t>
      </w:r>
      <w:r w:rsidRPr="00802E14">
        <w:rPr>
          <w:rFonts w:ascii="Times New Roman" w:hAnsi="Times New Roman"/>
          <w:i/>
          <w:iCs/>
          <w:lang w:val="en-US"/>
        </w:rPr>
        <w:t>Business Strategy and the Environment</w:t>
      </w:r>
      <w:r w:rsidRPr="00802E14">
        <w:rPr>
          <w:rFonts w:ascii="Times New Roman" w:hAnsi="Times New Roman"/>
          <w:lang w:val="en-US"/>
        </w:rPr>
        <w:t xml:space="preserve">, </w:t>
      </w:r>
      <w:r w:rsidRPr="00802E14">
        <w:rPr>
          <w:rFonts w:ascii="Times New Roman" w:hAnsi="Times New Roman"/>
          <w:i/>
          <w:iCs/>
          <w:lang w:val="en-US"/>
        </w:rPr>
        <w:t>n/a</w:t>
      </w:r>
      <w:r w:rsidRPr="00802E14">
        <w:rPr>
          <w:rFonts w:ascii="Times New Roman" w:hAnsi="Times New Roman"/>
          <w:lang w:val="en-US"/>
        </w:rPr>
        <w:t>(n/a). https://doi.org/10.1002/bse.2492</w:t>
      </w:r>
    </w:p>
    <w:p w14:paraId="786C8E5F"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Dumay, J., &amp; Cai, L. (2014). A review and critique of content analysis as a methodology for inquiring into IC disclosure. </w:t>
      </w:r>
      <w:r w:rsidRPr="00802E14">
        <w:rPr>
          <w:rFonts w:ascii="Times New Roman" w:hAnsi="Times New Roman"/>
          <w:i/>
          <w:iCs/>
          <w:lang w:val="en-US"/>
        </w:rPr>
        <w:t>Journal of Intellectual Capital</w:t>
      </w:r>
      <w:r w:rsidRPr="00802E14">
        <w:rPr>
          <w:rFonts w:ascii="Times New Roman" w:hAnsi="Times New Roman"/>
          <w:lang w:val="en-US"/>
        </w:rPr>
        <w:t xml:space="preserve">, </w:t>
      </w:r>
      <w:r w:rsidRPr="00802E14">
        <w:rPr>
          <w:rFonts w:ascii="Times New Roman" w:hAnsi="Times New Roman"/>
          <w:i/>
          <w:iCs/>
          <w:lang w:val="en-US"/>
        </w:rPr>
        <w:t>15</w:t>
      </w:r>
      <w:r w:rsidRPr="00802E14">
        <w:rPr>
          <w:rFonts w:ascii="Times New Roman" w:hAnsi="Times New Roman"/>
          <w:lang w:val="en-US"/>
        </w:rPr>
        <w:t>(2), 264–290. https://doi.org/10.1108/JIC-01-2014-0010</w:t>
      </w:r>
    </w:p>
    <w:p w14:paraId="779ECFB7"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Ellen Macarthur Foundation. (2013). </w:t>
      </w:r>
      <w:r w:rsidRPr="00802E14">
        <w:rPr>
          <w:rFonts w:ascii="Times New Roman" w:hAnsi="Times New Roman"/>
          <w:i/>
          <w:iCs/>
          <w:lang w:val="en-US"/>
        </w:rPr>
        <w:t>Towards the Circular Economy</w:t>
      </w:r>
      <w:r w:rsidRPr="00802E14">
        <w:rPr>
          <w:rFonts w:ascii="Times New Roman" w:hAnsi="Times New Roman"/>
          <w:lang w:val="en-US"/>
        </w:rPr>
        <w:t>. https://www.ellenmacarthurfoundation.org/assets/downloads/publications/Ellen-MacArthur-Foundation-Towards-the-Circular-Economy-vol.1.pdf</w:t>
      </w:r>
    </w:p>
    <w:p w14:paraId="22938D67"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European Commission. (2014). </w:t>
      </w:r>
      <w:r w:rsidRPr="00802E14">
        <w:rPr>
          <w:rFonts w:ascii="Times New Roman" w:hAnsi="Times New Roman"/>
          <w:i/>
          <w:iCs/>
          <w:lang w:val="en-US"/>
        </w:rPr>
        <w:t>Towards a Circular Economy– a Zero Waste Programme for Europe</w:t>
      </w:r>
      <w:r w:rsidRPr="00802E14">
        <w:rPr>
          <w:rFonts w:ascii="Times New Roman" w:hAnsi="Times New Roman"/>
          <w:lang w:val="en-US"/>
        </w:rPr>
        <w:t>. http://icams.ro/icamsresurse/2018/proceedings/XI_Towards_Circular_Economy_04.pdf</w:t>
      </w:r>
    </w:p>
    <w:p w14:paraId="11A46DE1"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European Commission. (2015). </w:t>
      </w:r>
      <w:r w:rsidRPr="00802E14">
        <w:rPr>
          <w:rFonts w:ascii="Times New Roman" w:hAnsi="Times New Roman"/>
          <w:i/>
          <w:iCs/>
          <w:lang w:val="en-US"/>
        </w:rPr>
        <w:t>Closing the Loop of the Circular Economy Action Plan 2015-2019 CE goes global</w:t>
      </w:r>
      <w:r w:rsidRPr="00802E14">
        <w:rPr>
          <w:rFonts w:ascii="Times New Roman" w:hAnsi="Times New Roman"/>
          <w:lang w:val="en-US"/>
        </w:rPr>
        <w:t>. 12.</w:t>
      </w:r>
    </w:p>
    <w:p w14:paraId="6C1812D3"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Falagas, M. E., Pitsouni, E. I., Malietzis, G. A., &amp; Pappas, G. (2007). Comparison of PubMed, Scopus, Web of Science, and Google Scholar: Strengths and weaknesses. </w:t>
      </w:r>
      <w:r w:rsidRPr="00802E14">
        <w:rPr>
          <w:rFonts w:ascii="Times New Roman" w:hAnsi="Times New Roman"/>
          <w:i/>
          <w:iCs/>
          <w:lang w:val="en-US"/>
        </w:rPr>
        <w:t>The FASEB Journal</w:t>
      </w:r>
      <w:r w:rsidRPr="00802E14">
        <w:rPr>
          <w:rFonts w:ascii="Times New Roman" w:hAnsi="Times New Roman"/>
          <w:lang w:val="en-US"/>
        </w:rPr>
        <w:t xml:space="preserve">, </w:t>
      </w:r>
      <w:r w:rsidRPr="00802E14">
        <w:rPr>
          <w:rFonts w:ascii="Times New Roman" w:hAnsi="Times New Roman"/>
          <w:i/>
          <w:iCs/>
          <w:lang w:val="en-US"/>
        </w:rPr>
        <w:t>22</w:t>
      </w:r>
      <w:r w:rsidRPr="00802E14">
        <w:rPr>
          <w:rFonts w:ascii="Times New Roman" w:hAnsi="Times New Roman"/>
          <w:lang w:val="en-US"/>
        </w:rPr>
        <w:t>(2), 338–342. https://doi.org/10.1096/fj.07-9492LSF</w:t>
      </w:r>
    </w:p>
    <w:p w14:paraId="72970A6E"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Fatimah, Y. A., Govindan, K., Murniningsih, R., &amp; Setiawan, A. (2020). Industry 4.0 based sustainable circular economy approach for smart waste management system to achieve sustainable development goals: A case study of Indonesia.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269</w:t>
      </w:r>
      <w:r w:rsidRPr="00802E14">
        <w:rPr>
          <w:rFonts w:ascii="Times New Roman" w:hAnsi="Times New Roman"/>
          <w:lang w:val="en-US"/>
        </w:rPr>
        <w:t>, 122263. https://doi.org/10.1016/j.jclepro.2020.122263</w:t>
      </w:r>
    </w:p>
    <w:p w14:paraId="27781FD0"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Ferasso, M., Beliaeva, T., Kraus, S., Clauss, T., &amp; Ribeiro‐Soriano, D. (2020). Circular economy business models: The state of research and avenues ahead. </w:t>
      </w:r>
      <w:r w:rsidRPr="00802E14">
        <w:rPr>
          <w:rFonts w:ascii="Times New Roman" w:hAnsi="Times New Roman"/>
          <w:i/>
          <w:iCs/>
          <w:lang w:val="en-US"/>
        </w:rPr>
        <w:t>Business Strategy and the Environment</w:t>
      </w:r>
      <w:r w:rsidRPr="00802E14">
        <w:rPr>
          <w:rFonts w:ascii="Times New Roman" w:hAnsi="Times New Roman"/>
          <w:lang w:val="en-US"/>
        </w:rPr>
        <w:t xml:space="preserve">, </w:t>
      </w:r>
      <w:r w:rsidRPr="00802E14">
        <w:rPr>
          <w:rFonts w:ascii="Times New Roman" w:hAnsi="Times New Roman"/>
          <w:i/>
          <w:iCs/>
          <w:lang w:val="en-US"/>
        </w:rPr>
        <w:t>n/a</w:t>
      </w:r>
      <w:r w:rsidRPr="00802E14">
        <w:rPr>
          <w:rFonts w:ascii="Times New Roman" w:hAnsi="Times New Roman"/>
          <w:lang w:val="en-US"/>
        </w:rPr>
        <w:t>(n/a). https://doi.org/10.1002/bse.2554</w:t>
      </w:r>
    </w:p>
    <w:p w14:paraId="46694029"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Garrido-Hidalgo, C., Hortelano, D., Roda-Sanchez, L., Olivares, T., Ruiz, M. C., &amp; Lopez, V. (2018). </w:t>
      </w:r>
      <w:r w:rsidRPr="00802E14">
        <w:rPr>
          <w:rFonts w:ascii="Times New Roman" w:hAnsi="Times New Roman"/>
          <w:lang w:val="en-US"/>
        </w:rPr>
        <w:t xml:space="preserve">IoT Heterogeneous Mesh Network Deployment for Human-in-the-Loop Challenges Towards a Social and Sustainable Industry 4.0. </w:t>
      </w:r>
      <w:r w:rsidRPr="00802E14">
        <w:rPr>
          <w:rFonts w:ascii="Times New Roman" w:hAnsi="Times New Roman"/>
          <w:i/>
          <w:iCs/>
          <w:lang w:val="en-US"/>
        </w:rPr>
        <w:t>IEEE Access</w:t>
      </w:r>
      <w:r w:rsidRPr="00802E14">
        <w:rPr>
          <w:rFonts w:ascii="Times New Roman" w:hAnsi="Times New Roman"/>
          <w:lang w:val="en-US"/>
        </w:rPr>
        <w:t xml:space="preserve">, </w:t>
      </w:r>
      <w:r w:rsidRPr="00802E14">
        <w:rPr>
          <w:rFonts w:ascii="Times New Roman" w:hAnsi="Times New Roman"/>
          <w:i/>
          <w:iCs/>
          <w:lang w:val="en-US"/>
        </w:rPr>
        <w:t>6</w:t>
      </w:r>
      <w:r w:rsidRPr="00802E14">
        <w:rPr>
          <w:rFonts w:ascii="Times New Roman" w:hAnsi="Times New Roman"/>
          <w:lang w:val="en-US"/>
        </w:rPr>
        <w:t>, 28417–28437.</w:t>
      </w:r>
    </w:p>
    <w:p w14:paraId="4ECF3751"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Geissdoerfer, M., Savaget, P., Bocken, N. M. P., &amp; Hultink, E. J. (2017). The Circular Economy – A new sustainability paradigm?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143</w:t>
      </w:r>
      <w:r w:rsidRPr="00802E14">
        <w:rPr>
          <w:rFonts w:ascii="Times New Roman" w:hAnsi="Times New Roman"/>
          <w:lang w:val="en-US"/>
        </w:rPr>
        <w:t>, 757–768. https://doi.org/10.1016/j.jclepro.2016.12.048</w:t>
      </w:r>
    </w:p>
    <w:p w14:paraId="7E89F0C5" w14:textId="76F94AC5"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Ghisellini, P., Cialani, C., &amp; Ulgiati, S. (2016). </w:t>
      </w:r>
      <w:r w:rsidRPr="00802E14">
        <w:rPr>
          <w:rFonts w:ascii="Times New Roman" w:hAnsi="Times New Roman"/>
          <w:lang w:val="en-US"/>
        </w:rPr>
        <w:t xml:space="preserve">A review on circular </w:t>
      </w:r>
      <w:r w:rsidR="00106633">
        <w:rPr>
          <w:rFonts w:ascii="Times New Roman" w:hAnsi="Times New Roman"/>
          <w:lang w:val="en-US"/>
        </w:rPr>
        <w:t>E</w:t>
      </w:r>
      <w:r w:rsidRPr="00802E14">
        <w:rPr>
          <w:rFonts w:ascii="Times New Roman" w:hAnsi="Times New Roman"/>
          <w:lang w:val="en-US"/>
        </w:rPr>
        <w:t xml:space="preserve">conomy: The expected transition to a </w:t>
      </w:r>
      <w:r w:rsidRPr="00802E14">
        <w:rPr>
          <w:rFonts w:ascii="Times New Roman" w:hAnsi="Times New Roman"/>
          <w:lang w:val="en-US"/>
        </w:rPr>
        <w:lastRenderedPageBreak/>
        <w:t xml:space="preserve">balanced interplay of environmental and economic systems.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114</w:t>
      </w:r>
      <w:r w:rsidRPr="00802E14">
        <w:rPr>
          <w:rFonts w:ascii="Times New Roman" w:hAnsi="Times New Roman"/>
          <w:lang w:val="en-US"/>
        </w:rPr>
        <w:t>, 11–32. https://doi.org/10.1016/j.jclepro.2015.09.007</w:t>
      </w:r>
    </w:p>
    <w:p w14:paraId="0CE6A750" w14:textId="128066CE"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Gregson, N., Crang, M., Fuller, S., &amp; Holmes, H. (2015). Interrogating the circular </w:t>
      </w:r>
      <w:r w:rsidR="00106633">
        <w:rPr>
          <w:rFonts w:ascii="Times New Roman" w:hAnsi="Times New Roman"/>
          <w:lang w:val="en-US"/>
        </w:rPr>
        <w:t>E</w:t>
      </w:r>
      <w:r w:rsidRPr="00802E14">
        <w:rPr>
          <w:rFonts w:ascii="Times New Roman" w:hAnsi="Times New Roman"/>
          <w:lang w:val="en-US"/>
        </w:rPr>
        <w:t xml:space="preserve">conomy: The moral </w:t>
      </w:r>
      <w:r w:rsidR="00106633">
        <w:rPr>
          <w:rFonts w:ascii="Times New Roman" w:hAnsi="Times New Roman"/>
          <w:lang w:val="en-US"/>
        </w:rPr>
        <w:t>E</w:t>
      </w:r>
      <w:r w:rsidRPr="00802E14">
        <w:rPr>
          <w:rFonts w:ascii="Times New Roman" w:hAnsi="Times New Roman"/>
          <w:lang w:val="en-US"/>
        </w:rPr>
        <w:t xml:space="preserve">conomy of resource recovery in the EU. </w:t>
      </w:r>
      <w:r w:rsidRPr="00802E14">
        <w:rPr>
          <w:rFonts w:ascii="Times New Roman" w:hAnsi="Times New Roman"/>
          <w:i/>
          <w:iCs/>
          <w:lang w:val="en-US"/>
        </w:rPr>
        <w:t>Economy and Society</w:t>
      </w:r>
      <w:r w:rsidRPr="00802E14">
        <w:rPr>
          <w:rFonts w:ascii="Times New Roman" w:hAnsi="Times New Roman"/>
          <w:lang w:val="en-US"/>
        </w:rPr>
        <w:t xml:space="preserve">, </w:t>
      </w:r>
      <w:r w:rsidRPr="00802E14">
        <w:rPr>
          <w:rFonts w:ascii="Times New Roman" w:hAnsi="Times New Roman"/>
          <w:i/>
          <w:iCs/>
          <w:lang w:val="en-US"/>
        </w:rPr>
        <w:t>44</w:t>
      </w:r>
      <w:r w:rsidRPr="00802E14">
        <w:rPr>
          <w:rFonts w:ascii="Times New Roman" w:hAnsi="Times New Roman"/>
          <w:lang w:val="en-US"/>
        </w:rPr>
        <w:t>(2), 218–243. https://doi.org/10.1080/03085147.2015.1013353</w:t>
      </w:r>
    </w:p>
    <w:p w14:paraId="07AD515A"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Haas, W., Krausmann, F., Wiedenhofer, D., &amp; Heinz, M. (2015). How Circular is the Global Economy?: An Assessment of Material Flows, Waste Production, and Recycling in the European Union and the World in 2005. </w:t>
      </w:r>
      <w:r w:rsidRPr="00802E14">
        <w:rPr>
          <w:rFonts w:ascii="Times New Roman" w:hAnsi="Times New Roman"/>
          <w:i/>
          <w:iCs/>
          <w:lang w:val="en-US"/>
        </w:rPr>
        <w:t>Journal of Industrial Ecology</w:t>
      </w:r>
      <w:r w:rsidRPr="00802E14">
        <w:rPr>
          <w:rFonts w:ascii="Times New Roman" w:hAnsi="Times New Roman"/>
          <w:lang w:val="en-US"/>
        </w:rPr>
        <w:t xml:space="preserve">, </w:t>
      </w:r>
      <w:r w:rsidRPr="00802E14">
        <w:rPr>
          <w:rFonts w:ascii="Times New Roman" w:hAnsi="Times New Roman"/>
          <w:i/>
          <w:iCs/>
          <w:lang w:val="en-US"/>
        </w:rPr>
        <w:t>19</w:t>
      </w:r>
      <w:r w:rsidRPr="00802E14">
        <w:rPr>
          <w:rFonts w:ascii="Times New Roman" w:hAnsi="Times New Roman"/>
          <w:lang w:val="en-US"/>
        </w:rPr>
        <w:t>(5), 765–777. https://doi.org/10.1111/jiec.12244</w:t>
      </w:r>
    </w:p>
    <w:p w14:paraId="1F16A065"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Hatzivasilis, G., Soultatos, O., Ioannidis, S., Spanoudakis, G., Katos, V., &amp; Demetriou, G. (2020). MobileTrust: Secure Knowledge Integration in VANETs. </w:t>
      </w:r>
      <w:r w:rsidRPr="00802E14">
        <w:rPr>
          <w:rFonts w:ascii="Times New Roman" w:hAnsi="Times New Roman"/>
          <w:i/>
          <w:iCs/>
          <w:lang w:val="en-US"/>
        </w:rPr>
        <w:t>ACM Transactions on Cyber-Physical Systems</w:t>
      </w:r>
      <w:r w:rsidRPr="00802E14">
        <w:rPr>
          <w:rFonts w:ascii="Times New Roman" w:hAnsi="Times New Roman"/>
          <w:lang w:val="en-US"/>
        </w:rPr>
        <w:t xml:space="preserve">, </w:t>
      </w:r>
      <w:r w:rsidRPr="00802E14">
        <w:rPr>
          <w:rFonts w:ascii="Times New Roman" w:hAnsi="Times New Roman"/>
          <w:i/>
          <w:iCs/>
          <w:lang w:val="en-US"/>
        </w:rPr>
        <w:t>4</w:t>
      </w:r>
      <w:r w:rsidRPr="00802E14">
        <w:rPr>
          <w:rFonts w:ascii="Times New Roman" w:hAnsi="Times New Roman"/>
          <w:lang w:val="en-US"/>
        </w:rPr>
        <w:t>(3), 33:1–33:25. https://doi.org/10.1145/3364181</w:t>
      </w:r>
    </w:p>
    <w:p w14:paraId="42140D18"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Hazen, B., Mollenkopf, D., &amp; Wang, Y. (2016). Remanufacturing for the Circular Economy: An Examination of Consumer Switching Behavior. </w:t>
      </w:r>
      <w:r w:rsidRPr="00802E14">
        <w:rPr>
          <w:rFonts w:ascii="Times New Roman" w:hAnsi="Times New Roman"/>
          <w:i/>
          <w:iCs/>
          <w:lang w:val="en-US"/>
        </w:rPr>
        <w:t>Business Strategy and the Environment</w:t>
      </w:r>
      <w:r w:rsidRPr="00802E14">
        <w:rPr>
          <w:rFonts w:ascii="Times New Roman" w:hAnsi="Times New Roman"/>
          <w:lang w:val="en-US"/>
        </w:rPr>
        <w:t>. https://doi.org/10.1002/bse.1929</w:t>
      </w:r>
    </w:p>
    <w:p w14:paraId="164739B9"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Hsieh, H.-F., &amp; Shannon, S. E. (2005). Three Approaches to Qualitative Content Analysis. </w:t>
      </w:r>
      <w:r w:rsidRPr="00802E14">
        <w:rPr>
          <w:rFonts w:ascii="Times New Roman" w:hAnsi="Times New Roman"/>
          <w:i/>
          <w:iCs/>
          <w:lang w:val="en-US"/>
        </w:rPr>
        <w:t>Qualitative Health Research</w:t>
      </w:r>
      <w:r w:rsidRPr="00802E14">
        <w:rPr>
          <w:rFonts w:ascii="Times New Roman" w:hAnsi="Times New Roman"/>
          <w:lang w:val="en-US"/>
        </w:rPr>
        <w:t xml:space="preserve">, </w:t>
      </w:r>
      <w:r w:rsidRPr="00802E14">
        <w:rPr>
          <w:rFonts w:ascii="Times New Roman" w:hAnsi="Times New Roman"/>
          <w:i/>
          <w:iCs/>
          <w:lang w:val="en-US"/>
        </w:rPr>
        <w:t>15</w:t>
      </w:r>
      <w:r w:rsidRPr="00802E14">
        <w:rPr>
          <w:rFonts w:ascii="Times New Roman" w:hAnsi="Times New Roman"/>
          <w:lang w:val="en-US"/>
        </w:rPr>
        <w:t>(9), 1277–1288. https://doi.org/10.1177/1049732305276687</w:t>
      </w:r>
    </w:p>
    <w:p w14:paraId="457E262E" w14:textId="6020F2ED"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Inigo, E. A., &amp; Blok, V. (2019). Strengthening the socio-ethical foundations of the circular </w:t>
      </w:r>
      <w:r w:rsidR="00106633">
        <w:rPr>
          <w:rFonts w:ascii="Times New Roman" w:hAnsi="Times New Roman"/>
          <w:lang w:val="en-US"/>
        </w:rPr>
        <w:t>E</w:t>
      </w:r>
      <w:r w:rsidRPr="00802E14">
        <w:rPr>
          <w:rFonts w:ascii="Times New Roman" w:hAnsi="Times New Roman"/>
          <w:lang w:val="en-US"/>
        </w:rPr>
        <w:t xml:space="preserve">conomy: Lessons from responsible research and innovation.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233</w:t>
      </w:r>
      <w:r w:rsidRPr="00802E14">
        <w:rPr>
          <w:rFonts w:ascii="Times New Roman" w:hAnsi="Times New Roman"/>
          <w:lang w:val="en-US"/>
        </w:rPr>
        <w:t>, 280–291. https://doi.org/10.1016/j.jclepro.2019.06.053</w:t>
      </w:r>
    </w:p>
    <w:p w14:paraId="138B807D"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Jin, M., Tang, R., Ji, Y., Liu, F., Gao, L., &amp; Huisingh, D. (2017). Impact of advanced manufacturing on sustainability: An overview of the special volume on advanced manufacturing for sustainability and low fossil carbon emissions.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161</w:t>
      </w:r>
      <w:r w:rsidRPr="00802E14">
        <w:rPr>
          <w:rFonts w:ascii="Times New Roman" w:hAnsi="Times New Roman"/>
          <w:lang w:val="en-US"/>
        </w:rPr>
        <w:t>, 69–74. https://doi.org/10.1016/j.jclepro.2017.05.101</w:t>
      </w:r>
    </w:p>
    <w:p w14:paraId="69CD03B7"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Kang, K. D., Kang, H., Ilankoon, I. M. S. K., &amp; Chong, C. Y. (2020). Electronic waste collection systems using Internet of Things (IoT): Household electronic waste management in Malaysia.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252</w:t>
      </w:r>
      <w:r w:rsidRPr="00802E14">
        <w:rPr>
          <w:rFonts w:ascii="Times New Roman" w:hAnsi="Times New Roman"/>
          <w:lang w:val="en-US"/>
        </w:rPr>
        <w:t>, 119801. https://doi.org/10.1016/j.jclepro.2019.119801</w:t>
      </w:r>
    </w:p>
    <w:p w14:paraId="7914682E"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Kim, N., Lee, H., Kim, W., Lee, H., &amp; Suh, J. H. (2015). Dynamic patterns of industry convergence: Evidence from a large amount of unstructured data. </w:t>
      </w:r>
      <w:r w:rsidRPr="00802E14">
        <w:rPr>
          <w:rFonts w:ascii="Times New Roman" w:hAnsi="Times New Roman"/>
          <w:i/>
          <w:iCs/>
          <w:lang w:val="en-US"/>
        </w:rPr>
        <w:t>Research Policy</w:t>
      </w:r>
      <w:r w:rsidRPr="00802E14">
        <w:rPr>
          <w:rFonts w:ascii="Times New Roman" w:hAnsi="Times New Roman"/>
          <w:lang w:val="en-US"/>
        </w:rPr>
        <w:t xml:space="preserve">, </w:t>
      </w:r>
      <w:r w:rsidRPr="00802E14">
        <w:rPr>
          <w:rFonts w:ascii="Times New Roman" w:hAnsi="Times New Roman"/>
          <w:i/>
          <w:iCs/>
          <w:lang w:val="en-US"/>
        </w:rPr>
        <w:t>44</w:t>
      </w:r>
      <w:r w:rsidRPr="00802E14">
        <w:rPr>
          <w:rFonts w:ascii="Times New Roman" w:hAnsi="Times New Roman"/>
          <w:lang w:val="en-US"/>
        </w:rPr>
        <w:t>(9), 1734–1748. https://doi.org/10.1016/j.respol.2015.02.001</w:t>
      </w:r>
    </w:p>
    <w:p w14:paraId="1EEDB1B6" w14:textId="34CAB3B2"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Kirchherr, J., Reike, D., &amp; Hekkert, M. (2017). Conceptuali</w:t>
      </w:r>
      <w:r w:rsidR="00527C14">
        <w:rPr>
          <w:rFonts w:ascii="Times New Roman" w:hAnsi="Times New Roman"/>
          <w:lang w:val="en-US"/>
        </w:rPr>
        <w:t>s</w:t>
      </w:r>
      <w:r w:rsidRPr="00802E14">
        <w:rPr>
          <w:rFonts w:ascii="Times New Roman" w:hAnsi="Times New Roman"/>
          <w:lang w:val="en-US"/>
        </w:rPr>
        <w:t xml:space="preserve">ing the circular </w:t>
      </w:r>
      <w:r w:rsidR="00106633">
        <w:rPr>
          <w:rFonts w:ascii="Times New Roman" w:hAnsi="Times New Roman"/>
          <w:lang w:val="en-US"/>
        </w:rPr>
        <w:t>E</w:t>
      </w:r>
      <w:r w:rsidRPr="00802E14">
        <w:rPr>
          <w:rFonts w:ascii="Times New Roman" w:hAnsi="Times New Roman"/>
          <w:lang w:val="en-US"/>
        </w:rPr>
        <w:t xml:space="preserve">conomy: An analysis of 114 definitions. </w:t>
      </w:r>
      <w:r w:rsidRPr="00802E14">
        <w:rPr>
          <w:rFonts w:ascii="Times New Roman" w:hAnsi="Times New Roman"/>
          <w:i/>
          <w:iCs/>
          <w:lang w:val="en-US"/>
        </w:rPr>
        <w:t>Resources, Conservation and Recycling</w:t>
      </w:r>
      <w:r w:rsidRPr="00802E14">
        <w:rPr>
          <w:rFonts w:ascii="Times New Roman" w:hAnsi="Times New Roman"/>
          <w:lang w:val="en-US"/>
        </w:rPr>
        <w:t xml:space="preserve">, </w:t>
      </w:r>
      <w:r w:rsidRPr="00802E14">
        <w:rPr>
          <w:rFonts w:ascii="Times New Roman" w:hAnsi="Times New Roman"/>
          <w:i/>
          <w:iCs/>
          <w:lang w:val="en-US"/>
        </w:rPr>
        <w:t>127</w:t>
      </w:r>
      <w:r w:rsidRPr="00802E14">
        <w:rPr>
          <w:rFonts w:ascii="Times New Roman" w:hAnsi="Times New Roman"/>
          <w:lang w:val="en-US"/>
        </w:rPr>
        <w:t>, 221–232. https://doi.org/10.1016/j.resconrec.2017.09.005</w:t>
      </w:r>
    </w:p>
    <w:p w14:paraId="1FC7567B"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Kiron, D., Unruh, G., Kruschwitz, N., Reeves, M., Rubel, H., &amp; Meyer Zum Felde, A. (2017). </w:t>
      </w:r>
      <w:r w:rsidRPr="00802E14">
        <w:rPr>
          <w:rFonts w:ascii="Times New Roman" w:hAnsi="Times New Roman"/>
          <w:i/>
          <w:iCs/>
          <w:lang w:val="en-US"/>
        </w:rPr>
        <w:t>Corporate Sustainability at a Crossroads</w:t>
      </w:r>
      <w:r w:rsidRPr="00802E14">
        <w:rPr>
          <w:rFonts w:ascii="Times New Roman" w:hAnsi="Times New Roman"/>
          <w:lang w:val="en-US"/>
        </w:rPr>
        <w:t>. https://sloanreview.mit.edu/projects/corporate-sustainability-at-a-crossroads/</w:t>
      </w:r>
    </w:p>
    <w:p w14:paraId="3D4D6B79"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Klemeš, J. J., Varbanov, P. S., &amp; Huisingh, D. (2012). Recent cleaner production advances in process monitoring and optimisation.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34</w:t>
      </w:r>
      <w:r w:rsidRPr="00802E14">
        <w:rPr>
          <w:rFonts w:ascii="Times New Roman" w:hAnsi="Times New Roman"/>
          <w:lang w:val="en-US"/>
        </w:rPr>
        <w:t>, 1–8. https://doi.org/10.1016/j.jclepro.2012.04.026</w:t>
      </w:r>
    </w:p>
    <w:p w14:paraId="5E20E309"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Krippendorff, K. (2018). </w:t>
      </w:r>
      <w:r w:rsidRPr="00802E14">
        <w:rPr>
          <w:rFonts w:ascii="Times New Roman" w:hAnsi="Times New Roman"/>
          <w:i/>
          <w:iCs/>
          <w:lang w:val="en-US"/>
        </w:rPr>
        <w:t>Content Analysis: An Introduction to Its Methodology</w:t>
      </w:r>
      <w:r w:rsidRPr="00802E14">
        <w:rPr>
          <w:rFonts w:ascii="Times New Roman" w:hAnsi="Times New Roman"/>
          <w:lang w:val="en-US"/>
        </w:rPr>
        <w:t>. SAGE Publications.</w:t>
      </w:r>
    </w:p>
    <w:p w14:paraId="2EB2C78F" w14:textId="33D42FD3"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Lausselet, C., Cherubini, F., Oreggioni, G. D., del Alamo Serrano, G., Becidan, M., Hu, X., Rørstad, P. Kr., &amp; Strømman, A. H. (2017). Norwegian Waste-to-Energy: Climate change, circular </w:t>
      </w:r>
      <w:r w:rsidR="00106633">
        <w:rPr>
          <w:rFonts w:ascii="Times New Roman" w:hAnsi="Times New Roman"/>
          <w:lang w:val="en-US"/>
        </w:rPr>
        <w:t>E</w:t>
      </w:r>
      <w:r w:rsidRPr="00802E14">
        <w:rPr>
          <w:rFonts w:ascii="Times New Roman" w:hAnsi="Times New Roman"/>
          <w:lang w:val="en-US"/>
        </w:rPr>
        <w:t xml:space="preserve">conomy and carbon capture and storage. </w:t>
      </w:r>
      <w:r w:rsidRPr="00802E14">
        <w:rPr>
          <w:rFonts w:ascii="Times New Roman" w:hAnsi="Times New Roman"/>
          <w:i/>
          <w:iCs/>
          <w:lang w:val="en-US"/>
        </w:rPr>
        <w:t>Resources, Conservation and Recycling</w:t>
      </w:r>
      <w:r w:rsidRPr="00802E14">
        <w:rPr>
          <w:rFonts w:ascii="Times New Roman" w:hAnsi="Times New Roman"/>
          <w:lang w:val="en-US"/>
        </w:rPr>
        <w:t xml:space="preserve">, </w:t>
      </w:r>
      <w:r w:rsidRPr="00802E14">
        <w:rPr>
          <w:rFonts w:ascii="Times New Roman" w:hAnsi="Times New Roman"/>
          <w:i/>
          <w:iCs/>
          <w:lang w:val="en-US"/>
        </w:rPr>
        <w:t>126</w:t>
      </w:r>
      <w:r w:rsidRPr="00802E14">
        <w:rPr>
          <w:rFonts w:ascii="Times New Roman" w:hAnsi="Times New Roman"/>
          <w:lang w:val="en-US"/>
        </w:rPr>
        <w:t>, 50–61. https://doi.org/10.1016/j.resconrec.2017.07.025</w:t>
      </w:r>
    </w:p>
    <w:p w14:paraId="1B9E7305"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Leising, E., Quist, J., &amp; Bocken, N. (2017). Circular Economy in the building sector: Three cases and a collaboration tool.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176</w:t>
      </w:r>
      <w:r w:rsidRPr="00802E14">
        <w:rPr>
          <w:rFonts w:ascii="Times New Roman" w:hAnsi="Times New Roman"/>
          <w:lang w:val="en-US"/>
        </w:rPr>
        <w:t>. https://doi.org/10.1016/j.jclepro.2017.12.010</w:t>
      </w:r>
    </w:p>
    <w:p w14:paraId="28AF57E4"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Li, G., Hou, Y., &amp; Wu, A. (2017). Fourth Industrial Revolution: Technological drivers, impacts and coping methods. </w:t>
      </w:r>
      <w:r w:rsidRPr="00802E14">
        <w:rPr>
          <w:rFonts w:ascii="Times New Roman" w:hAnsi="Times New Roman"/>
          <w:i/>
          <w:iCs/>
          <w:lang w:val="en-US"/>
        </w:rPr>
        <w:t>Chinese Geographical Science</w:t>
      </w:r>
      <w:r w:rsidRPr="00802E14">
        <w:rPr>
          <w:rFonts w:ascii="Times New Roman" w:hAnsi="Times New Roman"/>
          <w:lang w:val="en-US"/>
        </w:rPr>
        <w:t xml:space="preserve">, </w:t>
      </w:r>
      <w:r w:rsidRPr="00802E14">
        <w:rPr>
          <w:rFonts w:ascii="Times New Roman" w:hAnsi="Times New Roman"/>
          <w:i/>
          <w:iCs/>
          <w:lang w:val="en-US"/>
        </w:rPr>
        <w:t>27</w:t>
      </w:r>
      <w:r w:rsidRPr="00802E14">
        <w:rPr>
          <w:rFonts w:ascii="Times New Roman" w:hAnsi="Times New Roman"/>
          <w:lang w:val="en-US"/>
        </w:rPr>
        <w:t>(4), 626–637. https://doi.org/10.1007/s11769-017-0890-x</w:t>
      </w:r>
    </w:p>
    <w:p w14:paraId="69CB8DD5" w14:textId="7AF08EA3"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Lopes de Sousa Jabbour, A. B., Jabbour, C. J. C., Godinho Filho, M., &amp; Roubaud, D. (2018). Industry 4.0 and the circular </w:t>
      </w:r>
      <w:r w:rsidR="00106633">
        <w:rPr>
          <w:rFonts w:ascii="Times New Roman" w:hAnsi="Times New Roman"/>
          <w:lang w:val="en-US"/>
        </w:rPr>
        <w:t>E</w:t>
      </w:r>
      <w:r w:rsidRPr="00802E14">
        <w:rPr>
          <w:rFonts w:ascii="Times New Roman" w:hAnsi="Times New Roman"/>
          <w:lang w:val="en-US"/>
        </w:rPr>
        <w:t xml:space="preserve">conomy: A proposed research agenda and original roadmap for sustainable operations. </w:t>
      </w:r>
      <w:r w:rsidRPr="00802E14">
        <w:rPr>
          <w:rFonts w:ascii="Times New Roman" w:hAnsi="Times New Roman"/>
          <w:i/>
          <w:iCs/>
          <w:lang w:val="en-US"/>
        </w:rPr>
        <w:t>Annals of Operations Research</w:t>
      </w:r>
      <w:r w:rsidRPr="00802E14">
        <w:rPr>
          <w:rFonts w:ascii="Times New Roman" w:hAnsi="Times New Roman"/>
          <w:lang w:val="en-US"/>
        </w:rPr>
        <w:t xml:space="preserve">, </w:t>
      </w:r>
      <w:r w:rsidRPr="00802E14">
        <w:rPr>
          <w:rFonts w:ascii="Times New Roman" w:hAnsi="Times New Roman"/>
          <w:i/>
          <w:iCs/>
          <w:lang w:val="en-US"/>
        </w:rPr>
        <w:t>270</w:t>
      </w:r>
      <w:r w:rsidRPr="00802E14">
        <w:rPr>
          <w:rFonts w:ascii="Times New Roman" w:hAnsi="Times New Roman"/>
          <w:lang w:val="en-US"/>
        </w:rPr>
        <w:t>(1), 273–286. https://doi.org/10.1007/s10479-018-2772-8</w:t>
      </w:r>
    </w:p>
    <w:p w14:paraId="410D1393" w14:textId="77777777" w:rsidR="00802E14" w:rsidRPr="00802E14" w:rsidRDefault="00802E14" w:rsidP="00802E14">
      <w:pPr>
        <w:widowControl w:val="0"/>
        <w:autoSpaceDE w:val="0"/>
        <w:autoSpaceDN w:val="0"/>
        <w:adjustRightInd w:val="0"/>
        <w:rPr>
          <w:rFonts w:ascii="Times New Roman" w:hAnsi="Times New Roman"/>
        </w:rPr>
      </w:pPr>
      <w:r w:rsidRPr="00802E14">
        <w:rPr>
          <w:rFonts w:ascii="Times New Roman" w:hAnsi="Times New Roman"/>
          <w:lang w:val="en-US"/>
        </w:rPr>
        <w:lastRenderedPageBreak/>
        <w:t xml:space="preserve">Man, J. C. de, &amp; Strandhagen, J. O. (2017). An Industry 4.0 Research Agenda for Sustainable Business Models. </w:t>
      </w:r>
      <w:r w:rsidRPr="00802E14">
        <w:rPr>
          <w:rFonts w:ascii="Times New Roman" w:hAnsi="Times New Roman"/>
          <w:i/>
          <w:iCs/>
        </w:rPr>
        <w:t>Procedia CIRP</w:t>
      </w:r>
      <w:r w:rsidRPr="00802E14">
        <w:rPr>
          <w:rFonts w:ascii="Times New Roman" w:hAnsi="Times New Roman"/>
        </w:rPr>
        <w:t xml:space="preserve">, </w:t>
      </w:r>
      <w:r w:rsidRPr="00802E14">
        <w:rPr>
          <w:rFonts w:ascii="Times New Roman" w:hAnsi="Times New Roman"/>
          <w:i/>
          <w:iCs/>
        </w:rPr>
        <w:t>63</w:t>
      </w:r>
      <w:r w:rsidRPr="00802E14">
        <w:rPr>
          <w:rFonts w:ascii="Times New Roman" w:hAnsi="Times New Roman"/>
        </w:rPr>
        <w:t>, 721–726. https://doi.org/10.1016/j.procir.2017.03.315</w:t>
      </w:r>
    </w:p>
    <w:p w14:paraId="2DB4B729" w14:textId="142F18F0"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Manyika, J., Chui, M., Bughin, J., Dobbs, R., Bisson, P., &amp; Marrs, A. (2013). </w:t>
      </w:r>
      <w:r w:rsidRPr="00802E14">
        <w:rPr>
          <w:rFonts w:ascii="Times New Roman" w:hAnsi="Times New Roman"/>
          <w:i/>
          <w:iCs/>
          <w:lang w:val="en-US"/>
        </w:rPr>
        <w:t xml:space="preserve">Disruptive technologies: Advances that will transform life, business, and the global </w:t>
      </w:r>
      <w:r w:rsidR="00106633">
        <w:rPr>
          <w:rFonts w:ascii="Times New Roman" w:hAnsi="Times New Roman"/>
          <w:i/>
          <w:iCs/>
          <w:lang w:val="en-US"/>
        </w:rPr>
        <w:t>E</w:t>
      </w:r>
      <w:r w:rsidRPr="00802E14">
        <w:rPr>
          <w:rFonts w:ascii="Times New Roman" w:hAnsi="Times New Roman"/>
          <w:i/>
          <w:iCs/>
          <w:lang w:val="en-US"/>
        </w:rPr>
        <w:t>conomy</w:t>
      </w:r>
      <w:r w:rsidRPr="00802E14">
        <w:rPr>
          <w:rFonts w:ascii="Times New Roman" w:hAnsi="Times New Roman"/>
          <w:lang w:val="en-US"/>
        </w:rPr>
        <w:t>. https://www.mckinsey.com/business-functions/mckinsey-digital/our-insights/disruptive-technologies</w:t>
      </w:r>
    </w:p>
    <w:p w14:paraId="08E361AF"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Mar, B. (2018). How Much Data Do We Create Every Day? The Mind-Blowing Stats Everyone Should Read. </w:t>
      </w:r>
      <w:r w:rsidRPr="00802E14">
        <w:rPr>
          <w:rFonts w:ascii="Times New Roman" w:hAnsi="Times New Roman"/>
          <w:i/>
          <w:iCs/>
          <w:lang w:val="en-US"/>
        </w:rPr>
        <w:t>Forbes</w:t>
      </w:r>
      <w:r w:rsidRPr="00802E14">
        <w:rPr>
          <w:rFonts w:ascii="Times New Roman" w:hAnsi="Times New Roman"/>
          <w:lang w:val="en-US"/>
        </w:rPr>
        <w:t>, 1–5.</w:t>
      </w:r>
    </w:p>
    <w:p w14:paraId="16273C7C"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Massaro, M., Dumay, J., &amp; Guthrie, J. (2016). On the shoulders of giants: Undertaking a structured literature review in accounting. </w:t>
      </w:r>
      <w:r w:rsidRPr="00802E14">
        <w:rPr>
          <w:rFonts w:ascii="Times New Roman" w:hAnsi="Times New Roman"/>
          <w:i/>
          <w:iCs/>
          <w:lang w:val="en-US"/>
        </w:rPr>
        <w:t>Accounting Auditing &amp; Accountability Journal</w:t>
      </w:r>
      <w:r w:rsidRPr="00802E14">
        <w:rPr>
          <w:rFonts w:ascii="Times New Roman" w:hAnsi="Times New Roman"/>
          <w:lang w:val="en-US"/>
        </w:rPr>
        <w:t xml:space="preserve">, </w:t>
      </w:r>
      <w:r w:rsidRPr="00802E14">
        <w:rPr>
          <w:rFonts w:ascii="Times New Roman" w:hAnsi="Times New Roman"/>
          <w:i/>
          <w:iCs/>
          <w:lang w:val="en-US"/>
        </w:rPr>
        <w:t>29</w:t>
      </w:r>
      <w:r w:rsidRPr="00802E14">
        <w:rPr>
          <w:rFonts w:ascii="Times New Roman" w:hAnsi="Times New Roman"/>
          <w:lang w:val="en-US"/>
        </w:rPr>
        <w:t>(5), 767–801. https://doi.org/10.1108/AAAJ-01-2015-193</w:t>
      </w:r>
    </w:p>
    <w:p w14:paraId="7A482694"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Massaro, M, Handley, K., Bagnoli, C., &amp; Dumay, J. (2016). Knowledge management in small and medium enterprises: A structured literature review. </w:t>
      </w:r>
      <w:r w:rsidRPr="00802E14">
        <w:rPr>
          <w:rFonts w:ascii="Times New Roman" w:hAnsi="Times New Roman"/>
          <w:i/>
          <w:iCs/>
          <w:lang w:val="en-US"/>
        </w:rPr>
        <w:t>Journal of Knowledge Management</w:t>
      </w:r>
      <w:r w:rsidRPr="00802E14">
        <w:rPr>
          <w:rFonts w:ascii="Times New Roman" w:hAnsi="Times New Roman"/>
          <w:lang w:val="en-US"/>
        </w:rPr>
        <w:t xml:space="preserve">, </w:t>
      </w:r>
      <w:r w:rsidRPr="00802E14">
        <w:rPr>
          <w:rFonts w:ascii="Times New Roman" w:hAnsi="Times New Roman"/>
          <w:i/>
          <w:iCs/>
          <w:lang w:val="en-US"/>
        </w:rPr>
        <w:t>20</w:t>
      </w:r>
      <w:r w:rsidRPr="00802E14">
        <w:rPr>
          <w:rFonts w:ascii="Times New Roman" w:hAnsi="Times New Roman"/>
          <w:lang w:val="en-US"/>
        </w:rPr>
        <w:t>(2), 258–291. https://doi.org/10.1108/JKM-08-2015-0320</w:t>
      </w:r>
    </w:p>
    <w:p w14:paraId="3CFCEB2F"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Massaro, Maurizio, Bagnoli, C., &amp; Dal Mas, F. (2020). The role of human sustainability in professional service firms. Evidence from Italy. </w:t>
      </w:r>
      <w:r w:rsidRPr="00802E14">
        <w:rPr>
          <w:rFonts w:ascii="Times New Roman" w:hAnsi="Times New Roman"/>
          <w:i/>
          <w:iCs/>
          <w:lang w:val="en-US"/>
        </w:rPr>
        <w:t>Business Strategy and the Environment</w:t>
      </w:r>
      <w:r w:rsidRPr="00802E14">
        <w:rPr>
          <w:rFonts w:ascii="Times New Roman" w:hAnsi="Times New Roman"/>
          <w:lang w:val="en-US"/>
        </w:rPr>
        <w:t>. https://doi.org/10.1002/bse.2528</w:t>
      </w:r>
    </w:p>
    <w:p w14:paraId="4DD747CF" w14:textId="49847FF4"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Massaro, Maurizio, Dumay, J., Garlatti, A., &amp; Dal Mas, F. (2018). </w:t>
      </w:r>
      <w:r w:rsidRPr="00802E14">
        <w:rPr>
          <w:rFonts w:ascii="Times New Roman" w:hAnsi="Times New Roman"/>
          <w:lang w:val="en-US"/>
        </w:rPr>
        <w:t>Practitioners</w:t>
      </w:r>
      <w:r w:rsidR="00106633">
        <w:rPr>
          <w:rFonts w:ascii="Times New Roman" w:hAnsi="Times New Roman"/>
          <w:lang w:val="en-US"/>
        </w:rPr>
        <w:t>'</w:t>
      </w:r>
      <w:r w:rsidRPr="00802E14">
        <w:rPr>
          <w:rFonts w:ascii="Times New Roman" w:hAnsi="Times New Roman"/>
          <w:lang w:val="en-US"/>
        </w:rPr>
        <w:t xml:space="preserve"> views on intellectual capital and sustainability: From a performance-based to a worth-based perspective. </w:t>
      </w:r>
      <w:r w:rsidRPr="00802E14">
        <w:rPr>
          <w:rFonts w:ascii="Times New Roman" w:hAnsi="Times New Roman"/>
          <w:i/>
          <w:iCs/>
          <w:lang w:val="en-US"/>
        </w:rPr>
        <w:t>Journal of Intellectual Capital</w:t>
      </w:r>
      <w:r w:rsidRPr="00802E14">
        <w:rPr>
          <w:rFonts w:ascii="Times New Roman" w:hAnsi="Times New Roman"/>
          <w:lang w:val="en-US"/>
        </w:rPr>
        <w:t xml:space="preserve">, </w:t>
      </w:r>
      <w:r w:rsidRPr="00802E14">
        <w:rPr>
          <w:rFonts w:ascii="Times New Roman" w:hAnsi="Times New Roman"/>
          <w:i/>
          <w:iCs/>
          <w:lang w:val="en-US"/>
        </w:rPr>
        <w:t>19</w:t>
      </w:r>
      <w:r w:rsidRPr="00802E14">
        <w:rPr>
          <w:rFonts w:ascii="Times New Roman" w:hAnsi="Times New Roman"/>
          <w:lang w:val="en-US"/>
        </w:rPr>
        <w:t>(2), 367–386. https://doi.org/10.1108/JIC-02-2017-0033</w:t>
      </w:r>
    </w:p>
    <w:p w14:paraId="56EAB2F4"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Massaro, Maurizio, Mas, F. D., Jabbour, C. J. C., &amp; Bagnoli, C. (2020). Crypto-economy and new sustainable business models: Reflections and projections using a case study analysis. </w:t>
      </w:r>
      <w:r w:rsidRPr="00802E14">
        <w:rPr>
          <w:rFonts w:ascii="Times New Roman" w:hAnsi="Times New Roman"/>
          <w:i/>
          <w:iCs/>
          <w:lang w:val="en-US"/>
        </w:rPr>
        <w:t>Corporate Social Responsibility and Environmental Management</w:t>
      </w:r>
      <w:r w:rsidRPr="00802E14">
        <w:rPr>
          <w:rFonts w:ascii="Times New Roman" w:hAnsi="Times New Roman"/>
          <w:lang w:val="en-US"/>
        </w:rPr>
        <w:t xml:space="preserve">, </w:t>
      </w:r>
      <w:r w:rsidRPr="00802E14">
        <w:rPr>
          <w:rFonts w:ascii="Times New Roman" w:hAnsi="Times New Roman"/>
          <w:i/>
          <w:iCs/>
          <w:lang w:val="en-US"/>
        </w:rPr>
        <w:t>n/a</w:t>
      </w:r>
      <w:r w:rsidRPr="00802E14">
        <w:rPr>
          <w:rFonts w:ascii="Times New Roman" w:hAnsi="Times New Roman"/>
          <w:lang w:val="en-US"/>
        </w:rPr>
        <w:t>(n/a). https://doi.org/10.1002/csr.1954</w:t>
      </w:r>
    </w:p>
    <w:p w14:paraId="04E023EB"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Mastos, T. D., Nizamis, A., Vafeiadis, T., Alexopoulos, N., Ntinas, C., Gkortzis, D., Papadopoulos, A., Ioannidis, D., &amp; Tzovaras, D. (2020). Industry 4.0 sustainable supply chains: An application of an IoT enabled scrap metal management solution. </w:t>
      </w:r>
      <w:r w:rsidRPr="00802E14">
        <w:rPr>
          <w:rFonts w:ascii="Times New Roman" w:hAnsi="Times New Roman"/>
          <w:i/>
          <w:iCs/>
          <w:lang w:val="en-US"/>
        </w:rPr>
        <w:t>Journal of Cleaner Production</w:t>
      </w:r>
      <w:r w:rsidRPr="00802E14">
        <w:rPr>
          <w:rFonts w:ascii="Times New Roman" w:hAnsi="Times New Roman"/>
          <w:lang w:val="en-US"/>
        </w:rPr>
        <w:t>, 122377. https://doi.org/10.1016/j.jclepro.2020.122377</w:t>
      </w:r>
    </w:p>
    <w:p w14:paraId="25CEA9B7"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Matino, I., Colla, V., &amp; Baragiola, S. (2017). Quantification of energy and environmental impacts in uncommon electric steelmaking scenarios to improve process sustainability. </w:t>
      </w:r>
      <w:r w:rsidRPr="00802E14">
        <w:rPr>
          <w:rFonts w:ascii="Times New Roman" w:hAnsi="Times New Roman"/>
          <w:i/>
          <w:iCs/>
          <w:lang w:val="en-US"/>
        </w:rPr>
        <w:t>Applied Energy</w:t>
      </w:r>
      <w:r w:rsidRPr="00802E14">
        <w:rPr>
          <w:rFonts w:ascii="Times New Roman" w:hAnsi="Times New Roman"/>
          <w:lang w:val="en-US"/>
        </w:rPr>
        <w:t xml:space="preserve">, </w:t>
      </w:r>
      <w:r w:rsidRPr="00802E14">
        <w:rPr>
          <w:rFonts w:ascii="Times New Roman" w:hAnsi="Times New Roman"/>
          <w:i/>
          <w:iCs/>
          <w:lang w:val="en-US"/>
        </w:rPr>
        <w:t>207</w:t>
      </w:r>
      <w:r w:rsidRPr="00802E14">
        <w:rPr>
          <w:rFonts w:ascii="Times New Roman" w:hAnsi="Times New Roman"/>
          <w:lang w:val="en-US"/>
        </w:rPr>
        <w:t>, 543–552. https://doi.org/10.1016/j.apenergy.2017.06.088</w:t>
      </w:r>
    </w:p>
    <w:p w14:paraId="0451A5EE" w14:textId="77777777" w:rsidR="00802E14" w:rsidRPr="00802E14" w:rsidRDefault="00802E14" w:rsidP="00802E14">
      <w:pPr>
        <w:widowControl w:val="0"/>
        <w:autoSpaceDE w:val="0"/>
        <w:autoSpaceDN w:val="0"/>
        <w:adjustRightInd w:val="0"/>
        <w:rPr>
          <w:rFonts w:ascii="Times New Roman" w:hAnsi="Times New Roman"/>
        </w:rPr>
      </w:pPr>
      <w:r w:rsidRPr="00802E14">
        <w:rPr>
          <w:rFonts w:ascii="Times New Roman" w:hAnsi="Times New Roman"/>
          <w:lang w:val="en-US"/>
        </w:rPr>
        <w:t xml:space="preserve">Miles, M. B., Huberman, A. M., &amp; Saldana, J. (2013). </w:t>
      </w:r>
      <w:r w:rsidRPr="00802E14">
        <w:rPr>
          <w:rFonts w:ascii="Times New Roman" w:hAnsi="Times New Roman"/>
          <w:i/>
          <w:iCs/>
          <w:lang w:val="en-US"/>
        </w:rPr>
        <w:t>Qualitative Data Analysis: A Methods Sourcebook</w:t>
      </w:r>
      <w:r w:rsidRPr="00802E14">
        <w:rPr>
          <w:rFonts w:ascii="Times New Roman" w:hAnsi="Times New Roman"/>
          <w:lang w:val="en-US"/>
        </w:rPr>
        <w:t xml:space="preserve"> (3 edizione). </w:t>
      </w:r>
      <w:r w:rsidRPr="00802E14">
        <w:rPr>
          <w:rFonts w:ascii="Times New Roman" w:hAnsi="Times New Roman"/>
        </w:rPr>
        <w:t>Sage Pubns.</w:t>
      </w:r>
    </w:p>
    <w:p w14:paraId="4B5743C6"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Molina-Moreno, V., Núñez-Cacho Utrilla, P., Cortés-García, F. J., &amp; Peña-García, A. (2018). </w:t>
      </w:r>
      <w:r w:rsidRPr="00802E14">
        <w:rPr>
          <w:rFonts w:ascii="Times New Roman" w:hAnsi="Times New Roman"/>
          <w:lang w:val="en-US"/>
        </w:rPr>
        <w:t xml:space="preserve">The Use of Led Technology and Biomass to Power Public Lighting in a Local Context: The Case of Baeza (Spain). </w:t>
      </w:r>
      <w:r w:rsidRPr="00802E14">
        <w:rPr>
          <w:rFonts w:ascii="Times New Roman" w:hAnsi="Times New Roman"/>
          <w:i/>
          <w:iCs/>
          <w:lang w:val="en-US"/>
        </w:rPr>
        <w:t>Energies</w:t>
      </w:r>
      <w:r w:rsidRPr="00802E14">
        <w:rPr>
          <w:rFonts w:ascii="Times New Roman" w:hAnsi="Times New Roman"/>
          <w:lang w:val="en-US"/>
        </w:rPr>
        <w:t xml:space="preserve">, </w:t>
      </w:r>
      <w:r w:rsidRPr="00802E14">
        <w:rPr>
          <w:rFonts w:ascii="Times New Roman" w:hAnsi="Times New Roman"/>
          <w:i/>
          <w:iCs/>
          <w:lang w:val="en-US"/>
        </w:rPr>
        <w:t>11</w:t>
      </w:r>
      <w:r w:rsidRPr="00802E14">
        <w:rPr>
          <w:rFonts w:ascii="Times New Roman" w:hAnsi="Times New Roman"/>
          <w:lang w:val="en-US"/>
        </w:rPr>
        <w:t>(7), 1783. https://doi.org/10.3390/en11071783</w:t>
      </w:r>
    </w:p>
    <w:p w14:paraId="6DCFD220"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Morrar, R., Arman, H., &amp; Mousa, S. (2017). The Fourth Industrial Revolution (Industry 4.0): A Social Innovation Perspective. </w:t>
      </w:r>
      <w:r w:rsidRPr="00802E14">
        <w:rPr>
          <w:rFonts w:ascii="Times New Roman" w:hAnsi="Times New Roman"/>
          <w:i/>
          <w:iCs/>
          <w:lang w:val="en-US"/>
        </w:rPr>
        <w:t>Technology Innovation Management Review</w:t>
      </w:r>
      <w:r w:rsidRPr="00802E14">
        <w:rPr>
          <w:rFonts w:ascii="Times New Roman" w:hAnsi="Times New Roman"/>
          <w:lang w:val="en-US"/>
        </w:rPr>
        <w:t xml:space="preserve">, </w:t>
      </w:r>
      <w:r w:rsidRPr="00802E14">
        <w:rPr>
          <w:rFonts w:ascii="Times New Roman" w:hAnsi="Times New Roman"/>
          <w:i/>
          <w:iCs/>
          <w:lang w:val="en-US"/>
        </w:rPr>
        <w:t>7</w:t>
      </w:r>
      <w:r w:rsidRPr="00802E14">
        <w:rPr>
          <w:rFonts w:ascii="Times New Roman" w:hAnsi="Times New Roman"/>
          <w:lang w:val="en-US"/>
        </w:rPr>
        <w:t>(11), 10.</w:t>
      </w:r>
    </w:p>
    <w:p w14:paraId="58BD159A" w14:textId="42001F2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Muduli, K. kanta, Luthra, S., Mangla, S. K., Jabbour, C. J. C., Aich, S., &amp; Guimarães, J. C. F. de. (2020). Environmental management and the </w:t>
      </w:r>
      <w:r w:rsidR="00106633">
        <w:rPr>
          <w:rFonts w:ascii="Times New Roman" w:hAnsi="Times New Roman"/>
          <w:lang w:val="en-US"/>
        </w:rPr>
        <w:t>"</w:t>
      </w:r>
      <w:r w:rsidRPr="00802E14">
        <w:rPr>
          <w:rFonts w:ascii="Times New Roman" w:hAnsi="Times New Roman"/>
          <w:lang w:val="en-US"/>
        </w:rPr>
        <w:t>soft side</w:t>
      </w:r>
      <w:r w:rsidR="00106633">
        <w:rPr>
          <w:rFonts w:ascii="Times New Roman" w:hAnsi="Times New Roman"/>
          <w:lang w:val="en-US"/>
        </w:rPr>
        <w:t>"</w:t>
      </w:r>
      <w:r w:rsidRPr="00802E14">
        <w:rPr>
          <w:rFonts w:ascii="Times New Roman" w:hAnsi="Times New Roman"/>
          <w:lang w:val="en-US"/>
        </w:rPr>
        <w:t xml:space="preserve"> of organisations: Discovering the most relevant behavioural factors in green supply chains. </w:t>
      </w:r>
      <w:r w:rsidRPr="00802E14">
        <w:rPr>
          <w:rFonts w:ascii="Times New Roman" w:hAnsi="Times New Roman"/>
          <w:i/>
          <w:iCs/>
          <w:lang w:val="en-US"/>
        </w:rPr>
        <w:t>Business Strategy and the Environment</w:t>
      </w:r>
      <w:r w:rsidRPr="00802E14">
        <w:rPr>
          <w:rFonts w:ascii="Times New Roman" w:hAnsi="Times New Roman"/>
          <w:lang w:val="en-US"/>
        </w:rPr>
        <w:t xml:space="preserve">, </w:t>
      </w:r>
      <w:r w:rsidRPr="00802E14">
        <w:rPr>
          <w:rFonts w:ascii="Times New Roman" w:hAnsi="Times New Roman"/>
          <w:i/>
          <w:iCs/>
          <w:lang w:val="en-US"/>
        </w:rPr>
        <w:t>29</w:t>
      </w:r>
      <w:r w:rsidRPr="00802E14">
        <w:rPr>
          <w:rFonts w:ascii="Times New Roman" w:hAnsi="Times New Roman"/>
          <w:lang w:val="en-US"/>
        </w:rPr>
        <w:t>(4), 1647–1665. https://doi.org/10.1002/bse.2459</w:t>
      </w:r>
    </w:p>
    <w:p w14:paraId="68F29813" w14:textId="7AF87330"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Navarro, J. C., Centeno, M. A., Laguna, O. H., &amp; Odriozola, J. A. (2018). Policies and Motivations for the CO2 Valori</w:t>
      </w:r>
      <w:r w:rsidR="00527C14">
        <w:rPr>
          <w:rFonts w:ascii="Times New Roman" w:hAnsi="Times New Roman"/>
          <w:lang w:val="en-US"/>
        </w:rPr>
        <w:t>s</w:t>
      </w:r>
      <w:r w:rsidRPr="00802E14">
        <w:rPr>
          <w:rFonts w:ascii="Times New Roman" w:hAnsi="Times New Roman"/>
          <w:lang w:val="en-US"/>
        </w:rPr>
        <w:t xml:space="preserve">ation through the Sabatier Reaction Using Structured Catalysts. A Review of the Most Recent Advances. </w:t>
      </w:r>
      <w:r w:rsidRPr="00802E14">
        <w:rPr>
          <w:rFonts w:ascii="Times New Roman" w:hAnsi="Times New Roman"/>
          <w:i/>
          <w:iCs/>
          <w:lang w:val="en-US"/>
        </w:rPr>
        <w:t>Catalysts</w:t>
      </w:r>
      <w:r w:rsidRPr="00802E14">
        <w:rPr>
          <w:rFonts w:ascii="Times New Roman" w:hAnsi="Times New Roman"/>
          <w:lang w:val="en-US"/>
        </w:rPr>
        <w:t xml:space="preserve">, </w:t>
      </w:r>
      <w:r w:rsidRPr="00802E14">
        <w:rPr>
          <w:rFonts w:ascii="Times New Roman" w:hAnsi="Times New Roman"/>
          <w:i/>
          <w:iCs/>
          <w:lang w:val="en-US"/>
        </w:rPr>
        <w:t>8</w:t>
      </w:r>
      <w:r w:rsidRPr="00802E14">
        <w:rPr>
          <w:rFonts w:ascii="Times New Roman" w:hAnsi="Times New Roman"/>
          <w:lang w:val="en-US"/>
        </w:rPr>
        <w:t>(12), 578. https://doi.org/10.3390/catal8120578</w:t>
      </w:r>
    </w:p>
    <w:p w14:paraId="3DC0F6A8"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Oliveira, J. A., Oliveira, O. J., Ometto, A. R., Ferraudo, A. S., &amp; Salgado, M. H. (2016). </w:t>
      </w:r>
      <w:r w:rsidRPr="00802E14">
        <w:rPr>
          <w:rFonts w:ascii="Times New Roman" w:hAnsi="Times New Roman"/>
          <w:lang w:val="en-US"/>
        </w:rPr>
        <w:t xml:space="preserve">Environmental Management System ISO 14001 factors for promoting the adoption of Cleaner Production practices.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133</w:t>
      </w:r>
      <w:r w:rsidRPr="00802E14">
        <w:rPr>
          <w:rFonts w:ascii="Times New Roman" w:hAnsi="Times New Roman"/>
          <w:lang w:val="en-US"/>
        </w:rPr>
        <w:t>, 1384–1394. https://doi.org/10.1016/j.jclepro.2016.06.013</w:t>
      </w:r>
    </w:p>
    <w:p w14:paraId="2EC35822" w14:textId="398C2860"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Park, J., Sarkis, J., &amp; Wu, Z. (2010). Creating integrated business and environmental value within the context of China</w:t>
      </w:r>
      <w:r w:rsidR="00106633">
        <w:rPr>
          <w:rFonts w:ascii="Times New Roman" w:hAnsi="Times New Roman"/>
          <w:lang w:val="en-US"/>
        </w:rPr>
        <w:t>'</w:t>
      </w:r>
      <w:r w:rsidRPr="00802E14">
        <w:rPr>
          <w:rFonts w:ascii="Times New Roman" w:hAnsi="Times New Roman"/>
          <w:lang w:val="en-US"/>
        </w:rPr>
        <w:t xml:space="preserve">s circular </w:t>
      </w:r>
      <w:r w:rsidR="00106633">
        <w:rPr>
          <w:rFonts w:ascii="Times New Roman" w:hAnsi="Times New Roman"/>
          <w:lang w:val="en-US"/>
        </w:rPr>
        <w:t>E</w:t>
      </w:r>
      <w:r w:rsidRPr="00802E14">
        <w:rPr>
          <w:rFonts w:ascii="Times New Roman" w:hAnsi="Times New Roman"/>
          <w:lang w:val="en-US"/>
        </w:rPr>
        <w:t>conomy and ecological moderni</w:t>
      </w:r>
      <w:r w:rsidR="00527C14">
        <w:rPr>
          <w:rFonts w:ascii="Times New Roman" w:hAnsi="Times New Roman"/>
          <w:lang w:val="en-US"/>
        </w:rPr>
        <w:t>s</w:t>
      </w:r>
      <w:r w:rsidRPr="00802E14">
        <w:rPr>
          <w:rFonts w:ascii="Times New Roman" w:hAnsi="Times New Roman"/>
          <w:lang w:val="en-US"/>
        </w:rPr>
        <w:t xml:space="preserve">ation.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18</w:t>
      </w:r>
      <w:r w:rsidRPr="00802E14">
        <w:rPr>
          <w:rFonts w:ascii="Times New Roman" w:hAnsi="Times New Roman"/>
          <w:lang w:val="en-US"/>
        </w:rPr>
        <w:t>(15), 1494–1501. https://doi.org/10.1016/j.jclepro.2010.06.001</w:t>
      </w:r>
    </w:p>
    <w:p w14:paraId="1718E6AC"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lastRenderedPageBreak/>
        <w:t xml:space="preserve">Pazienza, P., &amp; Lucia, C. D. (2020). The EU policy for a plastic economy: Reflections on a sectoral implementation strategy. </w:t>
      </w:r>
      <w:r w:rsidRPr="00802E14">
        <w:rPr>
          <w:rFonts w:ascii="Times New Roman" w:hAnsi="Times New Roman"/>
          <w:i/>
          <w:iCs/>
          <w:lang w:val="en-US"/>
        </w:rPr>
        <w:t>Business Strategy and the Environment</w:t>
      </w:r>
      <w:r w:rsidRPr="00802E14">
        <w:rPr>
          <w:rFonts w:ascii="Times New Roman" w:hAnsi="Times New Roman"/>
          <w:lang w:val="en-US"/>
        </w:rPr>
        <w:t xml:space="preserve">, </w:t>
      </w:r>
      <w:r w:rsidRPr="00802E14">
        <w:rPr>
          <w:rFonts w:ascii="Times New Roman" w:hAnsi="Times New Roman"/>
          <w:i/>
          <w:iCs/>
          <w:lang w:val="en-US"/>
        </w:rPr>
        <w:t>29</w:t>
      </w:r>
      <w:r w:rsidRPr="00802E14">
        <w:rPr>
          <w:rFonts w:ascii="Times New Roman" w:hAnsi="Times New Roman"/>
          <w:lang w:val="en-US"/>
        </w:rPr>
        <w:t>(2), 779–788. https://doi.org/10.1002/bse.2445</w:t>
      </w:r>
    </w:p>
    <w:p w14:paraId="3156118D"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Pearce, D. W., &amp; Turner, R. K. (1989). </w:t>
      </w:r>
      <w:r w:rsidRPr="00802E14">
        <w:rPr>
          <w:rFonts w:ascii="Times New Roman" w:hAnsi="Times New Roman"/>
          <w:i/>
          <w:iCs/>
          <w:lang w:val="en-US"/>
        </w:rPr>
        <w:t>Economics of Natural Resources and the Environment—David W. Pearce—R. Kerry Turner—Libro in lingua inglese—Johns Hopkins University Press—| IBS</w:t>
      </w:r>
      <w:r w:rsidRPr="00802E14">
        <w:rPr>
          <w:rFonts w:ascii="Times New Roman" w:hAnsi="Times New Roman"/>
          <w:lang w:val="en-US"/>
        </w:rPr>
        <w:t>. Johns Hopkins University Press. https://www.ibs.it/economics-of-natural-resources-environment-libro-inglese-david-w-pearce-r-kerry-turner/e/9780801839870</w:t>
      </w:r>
    </w:p>
    <w:p w14:paraId="4DEC297C" w14:textId="088E1CAE"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Peters, G. P., Weber, C. L., Guan, D., &amp; Hubacek, K. (2007). China</w:t>
      </w:r>
      <w:r w:rsidR="00106633">
        <w:rPr>
          <w:rFonts w:ascii="Times New Roman" w:hAnsi="Times New Roman"/>
          <w:lang w:val="en-US"/>
        </w:rPr>
        <w:t>'</w:t>
      </w:r>
      <w:r w:rsidRPr="00802E14">
        <w:rPr>
          <w:rFonts w:ascii="Times New Roman" w:hAnsi="Times New Roman"/>
          <w:lang w:val="en-US"/>
        </w:rPr>
        <w:t xml:space="preserve">s Growing CO2 EmissionsA Race between Increasing Consumption and Efficiency Gains. </w:t>
      </w:r>
      <w:r w:rsidRPr="00802E14">
        <w:rPr>
          <w:rFonts w:ascii="Times New Roman" w:hAnsi="Times New Roman"/>
          <w:i/>
          <w:iCs/>
          <w:lang w:val="en-US"/>
        </w:rPr>
        <w:t>Environmental Science &amp; Technology</w:t>
      </w:r>
      <w:r w:rsidRPr="00802E14">
        <w:rPr>
          <w:rFonts w:ascii="Times New Roman" w:hAnsi="Times New Roman"/>
          <w:lang w:val="en-US"/>
        </w:rPr>
        <w:t xml:space="preserve">, </w:t>
      </w:r>
      <w:r w:rsidRPr="00802E14">
        <w:rPr>
          <w:rFonts w:ascii="Times New Roman" w:hAnsi="Times New Roman"/>
          <w:i/>
          <w:iCs/>
          <w:lang w:val="en-US"/>
        </w:rPr>
        <w:t>41</w:t>
      </w:r>
      <w:r w:rsidRPr="00802E14">
        <w:rPr>
          <w:rFonts w:ascii="Times New Roman" w:hAnsi="Times New Roman"/>
          <w:lang w:val="en-US"/>
        </w:rPr>
        <w:t>(17), 5939–5944. https://doi.org/10.1021/es070108f</w:t>
      </w:r>
    </w:p>
    <w:p w14:paraId="78005D06" w14:textId="77777777" w:rsidR="00802E14" w:rsidRPr="00802E14" w:rsidRDefault="00802E14" w:rsidP="00802E14">
      <w:pPr>
        <w:widowControl w:val="0"/>
        <w:autoSpaceDE w:val="0"/>
        <w:autoSpaceDN w:val="0"/>
        <w:adjustRightInd w:val="0"/>
        <w:rPr>
          <w:rFonts w:ascii="Times New Roman" w:hAnsi="Times New Roman"/>
        </w:rPr>
      </w:pPr>
      <w:r w:rsidRPr="00802E14">
        <w:rPr>
          <w:rFonts w:ascii="Times New Roman" w:hAnsi="Times New Roman"/>
          <w:lang w:val="en-US"/>
        </w:rPr>
        <w:t xml:space="preserve">Pham, T. T., Kuo, T.-C., Tseng, M.-L., Tan, R. R., Tan, K., Ika, D. S., &amp; Lin, C. J. (2019). Industry 4.0 to Accelerate the Circular Economy: A Case Study of Electric Scooter Sharing. </w:t>
      </w:r>
      <w:r w:rsidRPr="00802E14">
        <w:rPr>
          <w:rFonts w:ascii="Times New Roman" w:hAnsi="Times New Roman"/>
          <w:i/>
          <w:iCs/>
        </w:rPr>
        <w:t>Sustainability</w:t>
      </w:r>
      <w:r w:rsidRPr="00802E14">
        <w:rPr>
          <w:rFonts w:ascii="Times New Roman" w:hAnsi="Times New Roman"/>
        </w:rPr>
        <w:t xml:space="preserve">, </w:t>
      </w:r>
      <w:r w:rsidRPr="00802E14">
        <w:rPr>
          <w:rFonts w:ascii="Times New Roman" w:hAnsi="Times New Roman"/>
          <w:i/>
          <w:iCs/>
        </w:rPr>
        <w:t>11</w:t>
      </w:r>
      <w:r w:rsidRPr="00802E14">
        <w:rPr>
          <w:rFonts w:ascii="Times New Roman" w:hAnsi="Times New Roman"/>
        </w:rPr>
        <w:t>(23), 6661. https://doi.org/10.3390/su11236661</w:t>
      </w:r>
    </w:p>
    <w:p w14:paraId="40FDAD5C" w14:textId="77777777" w:rsidR="00802E14" w:rsidRPr="00802E14" w:rsidRDefault="00802E14" w:rsidP="00802E14">
      <w:pPr>
        <w:widowControl w:val="0"/>
        <w:autoSpaceDE w:val="0"/>
        <w:autoSpaceDN w:val="0"/>
        <w:adjustRightInd w:val="0"/>
        <w:rPr>
          <w:rFonts w:ascii="Times New Roman" w:hAnsi="Times New Roman"/>
        </w:rPr>
      </w:pPr>
      <w:r w:rsidRPr="00802E14">
        <w:rPr>
          <w:rFonts w:ascii="Times New Roman" w:hAnsi="Times New Roman"/>
        </w:rPr>
        <w:t xml:space="preserve">Piccarozzi, M., Aquilani, B., &amp; Gatti, C. (2018). </w:t>
      </w:r>
      <w:r w:rsidRPr="00802E14">
        <w:rPr>
          <w:rFonts w:ascii="Times New Roman" w:hAnsi="Times New Roman"/>
          <w:lang w:val="en-US"/>
        </w:rPr>
        <w:t xml:space="preserve">Industry 4.0 in Management Studies: A Systematic Literature Review. </w:t>
      </w:r>
      <w:r w:rsidRPr="00802E14">
        <w:rPr>
          <w:rFonts w:ascii="Times New Roman" w:hAnsi="Times New Roman"/>
          <w:i/>
          <w:iCs/>
        </w:rPr>
        <w:t>Sustainability</w:t>
      </w:r>
      <w:r w:rsidRPr="00802E14">
        <w:rPr>
          <w:rFonts w:ascii="Times New Roman" w:hAnsi="Times New Roman"/>
        </w:rPr>
        <w:t xml:space="preserve">, </w:t>
      </w:r>
      <w:r w:rsidRPr="00802E14">
        <w:rPr>
          <w:rFonts w:ascii="Times New Roman" w:hAnsi="Times New Roman"/>
          <w:i/>
          <w:iCs/>
        </w:rPr>
        <w:t>10</w:t>
      </w:r>
      <w:r w:rsidRPr="00802E14">
        <w:rPr>
          <w:rFonts w:ascii="Times New Roman" w:hAnsi="Times New Roman"/>
        </w:rPr>
        <w:t>(10), 3821. https://doi.org/10.3390/su10103821</w:t>
      </w:r>
    </w:p>
    <w:p w14:paraId="5EF077C3"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rPr>
        <w:t xml:space="preserve">Poponi, S., Arcese, G., Mosconi, E. M., &amp; Arezzo di Trifiletti, M. (2020). </w:t>
      </w:r>
      <w:r w:rsidRPr="00802E14">
        <w:rPr>
          <w:rFonts w:ascii="Times New Roman" w:hAnsi="Times New Roman"/>
          <w:lang w:val="en-US"/>
        </w:rPr>
        <w:t xml:space="preserve">Entrepreneurial Drivers for the Development of the Circular Business Model: The Role of Academic Spin-Off. </w:t>
      </w:r>
      <w:r w:rsidRPr="00802E14">
        <w:rPr>
          <w:rFonts w:ascii="Times New Roman" w:hAnsi="Times New Roman"/>
          <w:i/>
          <w:iCs/>
          <w:lang w:val="en-US"/>
        </w:rPr>
        <w:t>Sustainability</w:t>
      </w:r>
      <w:r w:rsidRPr="00802E14">
        <w:rPr>
          <w:rFonts w:ascii="Times New Roman" w:hAnsi="Times New Roman"/>
          <w:lang w:val="en-US"/>
        </w:rPr>
        <w:t xml:space="preserve">, </w:t>
      </w:r>
      <w:r w:rsidRPr="00802E14">
        <w:rPr>
          <w:rFonts w:ascii="Times New Roman" w:hAnsi="Times New Roman"/>
          <w:i/>
          <w:iCs/>
          <w:lang w:val="en-US"/>
        </w:rPr>
        <w:t>12</w:t>
      </w:r>
      <w:r w:rsidRPr="00802E14">
        <w:rPr>
          <w:rFonts w:ascii="Times New Roman" w:hAnsi="Times New Roman"/>
          <w:lang w:val="en-US"/>
        </w:rPr>
        <w:t>(1), 423. https://doi.org/10.3390/su12010423</w:t>
      </w:r>
    </w:p>
    <w:p w14:paraId="4A2F6FC5" w14:textId="507826D1"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Prieto-Sandoval, V., Jaca, C., &amp; Ormazabal, M. (2018). Towards a consensus on the circular </w:t>
      </w:r>
      <w:r w:rsidR="00106633">
        <w:rPr>
          <w:rFonts w:ascii="Times New Roman" w:hAnsi="Times New Roman"/>
          <w:lang w:val="en-US"/>
        </w:rPr>
        <w:t>E</w:t>
      </w:r>
      <w:r w:rsidRPr="00802E14">
        <w:rPr>
          <w:rFonts w:ascii="Times New Roman" w:hAnsi="Times New Roman"/>
          <w:lang w:val="en-US"/>
        </w:rPr>
        <w:t xml:space="preserve">conomy.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179</w:t>
      </w:r>
      <w:r w:rsidRPr="00802E14">
        <w:rPr>
          <w:rFonts w:ascii="Times New Roman" w:hAnsi="Times New Roman"/>
          <w:lang w:val="en-US"/>
        </w:rPr>
        <w:t>, 605–615. https://doi.org/10.1016/j.jclepro.2017.12.224</w:t>
      </w:r>
    </w:p>
    <w:p w14:paraId="18DFC30B"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Ramakrishna, S., Ngowi, A., Jager, H. D., &amp; Awuzie, B. O. (2020). Emerging Industrial Revolution: Symbiosis of Industry 4.0 and Circular Economy: The Role of Universities. </w:t>
      </w:r>
      <w:r w:rsidRPr="00802E14">
        <w:rPr>
          <w:rFonts w:ascii="Times New Roman" w:hAnsi="Times New Roman"/>
          <w:i/>
          <w:iCs/>
          <w:lang w:val="en-US"/>
        </w:rPr>
        <w:t>Science, Technology and Society</w:t>
      </w:r>
      <w:r w:rsidRPr="00802E14">
        <w:rPr>
          <w:rFonts w:ascii="Times New Roman" w:hAnsi="Times New Roman"/>
          <w:lang w:val="en-US"/>
        </w:rPr>
        <w:t>, 0971721820912918. https://doi.org/10.1177/0971721820912918</w:t>
      </w:r>
    </w:p>
    <w:p w14:paraId="5B4A34BE"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Reuber, A. R., &amp; Morgan-Thomas, A. (2019). Communicating Moral Legitimacy in Controversial Industries: The Trade in Human Tissue. </w:t>
      </w:r>
      <w:r w:rsidRPr="00802E14">
        <w:rPr>
          <w:rFonts w:ascii="Times New Roman" w:hAnsi="Times New Roman"/>
          <w:i/>
          <w:iCs/>
          <w:lang w:val="en-US"/>
        </w:rPr>
        <w:t>Journal of Business Ethics</w:t>
      </w:r>
      <w:r w:rsidRPr="00802E14">
        <w:rPr>
          <w:rFonts w:ascii="Times New Roman" w:hAnsi="Times New Roman"/>
          <w:lang w:val="en-US"/>
        </w:rPr>
        <w:t xml:space="preserve">, </w:t>
      </w:r>
      <w:r w:rsidRPr="00802E14">
        <w:rPr>
          <w:rFonts w:ascii="Times New Roman" w:hAnsi="Times New Roman"/>
          <w:i/>
          <w:iCs/>
          <w:lang w:val="en-US"/>
        </w:rPr>
        <w:t>154</w:t>
      </w:r>
      <w:r w:rsidRPr="00802E14">
        <w:rPr>
          <w:rFonts w:ascii="Times New Roman" w:hAnsi="Times New Roman"/>
          <w:lang w:val="en-US"/>
        </w:rPr>
        <w:t>(1), 49–63. Scopus. https://doi.org/10.1007/s10551-017-3480-z</w:t>
      </w:r>
    </w:p>
    <w:p w14:paraId="48D63C42"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Romme, A. G. L., Avenier, M.-J., Denyer, D., Hodgkinson, G. P., Pandza, K., Starkey, K., &amp; Worren, N. (2015). Towards Common Ground and Trading Zones in Management Research and Practice. </w:t>
      </w:r>
      <w:r w:rsidRPr="00802E14">
        <w:rPr>
          <w:rFonts w:ascii="Times New Roman" w:hAnsi="Times New Roman"/>
          <w:i/>
          <w:iCs/>
          <w:lang w:val="en-US"/>
        </w:rPr>
        <w:t>British Journal of Management</w:t>
      </w:r>
      <w:r w:rsidRPr="00802E14">
        <w:rPr>
          <w:rFonts w:ascii="Times New Roman" w:hAnsi="Times New Roman"/>
          <w:lang w:val="en-US"/>
        </w:rPr>
        <w:t xml:space="preserve">, </w:t>
      </w:r>
      <w:r w:rsidRPr="00802E14">
        <w:rPr>
          <w:rFonts w:ascii="Times New Roman" w:hAnsi="Times New Roman"/>
          <w:i/>
          <w:iCs/>
          <w:lang w:val="en-US"/>
        </w:rPr>
        <w:t>26</w:t>
      </w:r>
      <w:r w:rsidRPr="00802E14">
        <w:rPr>
          <w:rFonts w:ascii="Times New Roman" w:hAnsi="Times New Roman"/>
          <w:lang w:val="en-US"/>
        </w:rPr>
        <w:t>(3), 544–559. https://doi.org/10.1111/1467-8551.12110</w:t>
      </w:r>
    </w:p>
    <w:p w14:paraId="5DD284A5"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Rosa, P., Sassanelli, C., Urbinati, A., Chiaroni, D., &amp; Terzi, S. (2020). Assessing relations between Circular Economy and Industry 4.0: A systematic literature review. </w:t>
      </w:r>
      <w:r w:rsidRPr="00802E14">
        <w:rPr>
          <w:rFonts w:ascii="Times New Roman" w:hAnsi="Times New Roman"/>
          <w:i/>
          <w:iCs/>
          <w:lang w:val="en-US"/>
        </w:rPr>
        <w:t>International Journal of Production Research</w:t>
      </w:r>
      <w:r w:rsidRPr="00802E14">
        <w:rPr>
          <w:rFonts w:ascii="Times New Roman" w:hAnsi="Times New Roman"/>
          <w:lang w:val="en-US"/>
        </w:rPr>
        <w:t xml:space="preserve">, </w:t>
      </w:r>
      <w:r w:rsidRPr="00802E14">
        <w:rPr>
          <w:rFonts w:ascii="Times New Roman" w:hAnsi="Times New Roman"/>
          <w:i/>
          <w:iCs/>
          <w:lang w:val="en-US"/>
        </w:rPr>
        <w:t>58</w:t>
      </w:r>
      <w:r w:rsidRPr="00802E14">
        <w:rPr>
          <w:rFonts w:ascii="Times New Roman" w:hAnsi="Times New Roman"/>
          <w:lang w:val="en-US"/>
        </w:rPr>
        <w:t>(6), 1662–1687. https://doi.org/10.1080/00207543.2019.1680896</w:t>
      </w:r>
    </w:p>
    <w:p w14:paraId="70379185"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Sarti, S., Corsini, F., Gusmerotti, N. M., &amp; Frey, M. (2017). Food sharing: Making sense between new business models and responsible social initiatives for food waste prevention. </w:t>
      </w:r>
      <w:r w:rsidRPr="00802E14">
        <w:rPr>
          <w:rFonts w:ascii="Times New Roman" w:hAnsi="Times New Roman"/>
          <w:i/>
          <w:iCs/>
          <w:lang w:val="en-US"/>
        </w:rPr>
        <w:t>Economics and Policy of Energy and the Environment</w:t>
      </w:r>
      <w:r w:rsidRPr="00802E14">
        <w:rPr>
          <w:rFonts w:ascii="Times New Roman" w:hAnsi="Times New Roman"/>
          <w:lang w:val="en-US"/>
        </w:rPr>
        <w:t>, 1–2. https://doi.org/10.3280/EFE2017-001007</w:t>
      </w:r>
    </w:p>
    <w:p w14:paraId="1ED68485"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Schilkowski, C., Shukla, M., &amp; Choudhary, S. (2019). Quantifying the circularity of regional industrial waste across multi-channel enterprises. </w:t>
      </w:r>
      <w:r w:rsidRPr="00802E14">
        <w:rPr>
          <w:rFonts w:ascii="Times New Roman" w:hAnsi="Times New Roman"/>
          <w:i/>
          <w:iCs/>
          <w:lang w:val="en-US"/>
        </w:rPr>
        <w:t>Annals of operations research.</w:t>
      </w:r>
      <w:r w:rsidRPr="00802E14">
        <w:rPr>
          <w:rFonts w:ascii="Times New Roman" w:hAnsi="Times New Roman"/>
          <w:lang w:val="en-US"/>
        </w:rPr>
        <w:t xml:space="preserve"> http://dro.dur.ac.uk/27710/1/27710.pdf</w:t>
      </w:r>
    </w:p>
    <w:p w14:paraId="26A696B1"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Secinaro, S., Brescia, V., Calandra, D., &amp; Biancone, P. (2020). Employing bibliometric analysis to identify suitable business models for electric cars.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264</w:t>
      </w:r>
      <w:r w:rsidRPr="00802E14">
        <w:rPr>
          <w:rFonts w:ascii="Times New Roman" w:hAnsi="Times New Roman"/>
          <w:lang w:val="en-US"/>
        </w:rPr>
        <w:t>, 121503. https://doi.org/10.1016/j.jclepro.2020.121503</w:t>
      </w:r>
    </w:p>
    <w:p w14:paraId="5FEFDCDD"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Secinaro, S., Brescia, V., Calandra, D., &amp; Saiti, B. (2020). Impact of climate change mitigation policies on corporate financial performance: Evidence-based on European publicly listed firms. </w:t>
      </w:r>
      <w:r w:rsidRPr="00802E14">
        <w:rPr>
          <w:rFonts w:ascii="Times New Roman" w:hAnsi="Times New Roman"/>
          <w:i/>
          <w:iCs/>
          <w:lang w:val="en-US"/>
        </w:rPr>
        <w:t>Corporate Social Responsibility and Environmental Management</w:t>
      </w:r>
      <w:r w:rsidRPr="00802E14">
        <w:rPr>
          <w:rFonts w:ascii="Times New Roman" w:hAnsi="Times New Roman"/>
          <w:lang w:val="en-US"/>
        </w:rPr>
        <w:t xml:space="preserve">, </w:t>
      </w:r>
      <w:r w:rsidRPr="00802E14">
        <w:rPr>
          <w:rFonts w:ascii="Times New Roman" w:hAnsi="Times New Roman"/>
          <w:i/>
          <w:iCs/>
          <w:lang w:val="en-US"/>
        </w:rPr>
        <w:t>n/a</w:t>
      </w:r>
      <w:r w:rsidRPr="00802E14">
        <w:rPr>
          <w:rFonts w:ascii="Times New Roman" w:hAnsi="Times New Roman"/>
          <w:lang w:val="en-US"/>
        </w:rPr>
        <w:t>(n/a). https://doi.org/10.1002/csr.1971</w:t>
      </w:r>
    </w:p>
    <w:p w14:paraId="0FF8FEF4" w14:textId="3FB31DAE"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Sharma, M., Joshi, S., Kannan, D., Govindan, K., Singh, R., &amp; Purohit, H. C. (2020). Internet of Things (IoT) adoption barriers of smart cities</w:t>
      </w:r>
      <w:r w:rsidR="00106633">
        <w:rPr>
          <w:rFonts w:ascii="Times New Roman" w:hAnsi="Times New Roman"/>
          <w:lang w:val="en-US"/>
        </w:rPr>
        <w:t>'</w:t>
      </w:r>
      <w:r w:rsidRPr="00802E14">
        <w:rPr>
          <w:rFonts w:ascii="Times New Roman" w:hAnsi="Times New Roman"/>
          <w:lang w:val="en-US"/>
        </w:rPr>
        <w:t xml:space="preserve"> waste management: An Indian context. </w:t>
      </w:r>
      <w:r w:rsidRPr="00802E14">
        <w:rPr>
          <w:rFonts w:ascii="Times New Roman" w:hAnsi="Times New Roman"/>
          <w:i/>
          <w:iCs/>
          <w:lang w:val="en-US"/>
        </w:rPr>
        <w:t>Journal of Cleaner Production</w:t>
      </w:r>
      <w:r w:rsidRPr="00802E14">
        <w:rPr>
          <w:rFonts w:ascii="Times New Roman" w:hAnsi="Times New Roman"/>
          <w:lang w:val="en-US"/>
        </w:rPr>
        <w:t>, 122047. https://doi.org/10.1016/j.jclepro.2020.122047</w:t>
      </w:r>
    </w:p>
    <w:p w14:paraId="5E5982FF"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Sihvonen, S., &amp; Partanen, J. (2017). Eco-design practices with a focus on quantitative environmental targets: An exploratory content analysis within ICT sector.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143</w:t>
      </w:r>
      <w:r w:rsidRPr="00802E14">
        <w:rPr>
          <w:rFonts w:ascii="Times New Roman" w:hAnsi="Times New Roman"/>
          <w:lang w:val="en-US"/>
        </w:rPr>
        <w:t xml:space="preserve">, 769–783. </w:t>
      </w:r>
      <w:r w:rsidRPr="00802E14">
        <w:rPr>
          <w:rFonts w:ascii="Times New Roman" w:hAnsi="Times New Roman"/>
          <w:lang w:val="en-US"/>
        </w:rPr>
        <w:lastRenderedPageBreak/>
        <w:t>https://doi.org/10.1016/j.jclepro.2016.12.047</w:t>
      </w:r>
    </w:p>
    <w:p w14:paraId="2B035EDC"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Smith, A. E., &amp; Humphreys, M. S. (2006). Evaluation of unsupervised semantic mapping of natural language with Leximancer concept mapping. </w:t>
      </w:r>
      <w:r w:rsidRPr="00802E14">
        <w:rPr>
          <w:rFonts w:ascii="Times New Roman" w:hAnsi="Times New Roman"/>
          <w:i/>
          <w:iCs/>
          <w:lang w:val="en-US"/>
        </w:rPr>
        <w:t>Behavior Research Methods</w:t>
      </w:r>
      <w:r w:rsidRPr="00802E14">
        <w:rPr>
          <w:rFonts w:ascii="Times New Roman" w:hAnsi="Times New Roman"/>
          <w:lang w:val="en-US"/>
        </w:rPr>
        <w:t xml:space="preserve">, </w:t>
      </w:r>
      <w:r w:rsidRPr="00802E14">
        <w:rPr>
          <w:rFonts w:ascii="Times New Roman" w:hAnsi="Times New Roman"/>
          <w:i/>
          <w:iCs/>
          <w:lang w:val="en-US"/>
        </w:rPr>
        <w:t>38</w:t>
      </w:r>
      <w:r w:rsidRPr="00802E14">
        <w:rPr>
          <w:rFonts w:ascii="Times New Roman" w:hAnsi="Times New Roman"/>
          <w:lang w:val="en-US"/>
        </w:rPr>
        <w:t>(2), 262–279. https://doi.org/10.3758/BF03192778</w:t>
      </w:r>
    </w:p>
    <w:p w14:paraId="3B5AD8D1"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Sommer, L. (2015). Industrial revolution - industry 4.0: Are German manufacturing SMEs the first victims of this revolution? </w:t>
      </w:r>
      <w:r w:rsidRPr="00802E14">
        <w:rPr>
          <w:rFonts w:ascii="Times New Roman" w:hAnsi="Times New Roman"/>
          <w:i/>
          <w:iCs/>
          <w:lang w:val="en-US"/>
        </w:rPr>
        <w:t>Journal of Industrial Engineering and Management</w:t>
      </w:r>
      <w:r w:rsidRPr="00802E14">
        <w:rPr>
          <w:rFonts w:ascii="Times New Roman" w:hAnsi="Times New Roman"/>
          <w:lang w:val="en-US"/>
        </w:rPr>
        <w:t xml:space="preserve">, </w:t>
      </w:r>
      <w:r w:rsidRPr="00802E14">
        <w:rPr>
          <w:rFonts w:ascii="Times New Roman" w:hAnsi="Times New Roman"/>
          <w:i/>
          <w:iCs/>
          <w:lang w:val="en-US"/>
        </w:rPr>
        <w:t>8</w:t>
      </w:r>
      <w:r w:rsidRPr="00802E14">
        <w:rPr>
          <w:rFonts w:ascii="Times New Roman" w:hAnsi="Times New Roman"/>
          <w:lang w:val="en-US"/>
        </w:rPr>
        <w:t>(5), 1512–1532. https://doi.org/10.3926/jiem.1470</w:t>
      </w:r>
    </w:p>
    <w:p w14:paraId="273C9AED"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Spangenberg, J. H., Fuad-Luke, A., &amp; Blincoe, K. (2010). Design for Sustainability (DfS): The interface of sustainable production and consumption.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18</w:t>
      </w:r>
      <w:r w:rsidRPr="00802E14">
        <w:rPr>
          <w:rFonts w:ascii="Times New Roman" w:hAnsi="Times New Roman"/>
          <w:lang w:val="en-US"/>
        </w:rPr>
        <w:t>(15), 1485–1493. https://doi.org/10.1016/j.jclepro.2010.06.002</w:t>
      </w:r>
    </w:p>
    <w:p w14:paraId="5B103722" w14:textId="47D5C50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Stahel, W. R. (2016). The circular </w:t>
      </w:r>
      <w:r w:rsidR="00106633">
        <w:rPr>
          <w:rFonts w:ascii="Times New Roman" w:hAnsi="Times New Roman"/>
          <w:lang w:val="en-US"/>
        </w:rPr>
        <w:t>E</w:t>
      </w:r>
      <w:r w:rsidRPr="00802E14">
        <w:rPr>
          <w:rFonts w:ascii="Times New Roman" w:hAnsi="Times New Roman"/>
          <w:lang w:val="en-US"/>
        </w:rPr>
        <w:t xml:space="preserve">conomy. </w:t>
      </w:r>
      <w:r w:rsidRPr="00802E14">
        <w:rPr>
          <w:rFonts w:ascii="Times New Roman" w:hAnsi="Times New Roman"/>
          <w:i/>
          <w:iCs/>
          <w:lang w:val="en-US"/>
        </w:rPr>
        <w:t>Nature News</w:t>
      </w:r>
      <w:r w:rsidRPr="00802E14">
        <w:rPr>
          <w:rFonts w:ascii="Times New Roman" w:hAnsi="Times New Roman"/>
          <w:lang w:val="en-US"/>
        </w:rPr>
        <w:t xml:space="preserve">, </w:t>
      </w:r>
      <w:r w:rsidRPr="00802E14">
        <w:rPr>
          <w:rFonts w:ascii="Times New Roman" w:hAnsi="Times New Roman"/>
          <w:i/>
          <w:iCs/>
          <w:lang w:val="en-US"/>
        </w:rPr>
        <w:t>531</w:t>
      </w:r>
      <w:r w:rsidRPr="00802E14">
        <w:rPr>
          <w:rFonts w:ascii="Times New Roman" w:hAnsi="Times New Roman"/>
          <w:lang w:val="en-US"/>
        </w:rPr>
        <w:t>(7595), 435. https://doi.org/10.1038/531435a</w:t>
      </w:r>
    </w:p>
    <w:p w14:paraId="182006AB" w14:textId="20BC75CC"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Thoben, K.-D., Wiesner, S. A., &amp; Wuest, T. (2017). Industrie 4.0</w:t>
      </w:r>
      <w:r w:rsidR="00106633">
        <w:rPr>
          <w:rFonts w:ascii="Times New Roman" w:hAnsi="Times New Roman"/>
          <w:lang w:val="en-US"/>
        </w:rPr>
        <w:t>"</w:t>
      </w:r>
      <w:r w:rsidRPr="00802E14">
        <w:rPr>
          <w:rFonts w:ascii="Times New Roman" w:hAnsi="Times New Roman"/>
          <w:lang w:val="en-US"/>
        </w:rPr>
        <w:t xml:space="preserve"> and Smart Manufacturing – A Review of Research Issues and Application Examples. </w:t>
      </w:r>
      <w:r w:rsidRPr="00802E14">
        <w:rPr>
          <w:rFonts w:ascii="Times New Roman" w:hAnsi="Times New Roman"/>
          <w:i/>
          <w:iCs/>
          <w:lang w:val="en-US"/>
        </w:rPr>
        <w:t>International Journal of Automation Technology</w:t>
      </w:r>
      <w:r w:rsidRPr="00802E14">
        <w:rPr>
          <w:rFonts w:ascii="Times New Roman" w:hAnsi="Times New Roman"/>
          <w:lang w:val="en-US"/>
        </w:rPr>
        <w:t xml:space="preserve">, </w:t>
      </w:r>
      <w:r w:rsidRPr="00802E14">
        <w:rPr>
          <w:rFonts w:ascii="Times New Roman" w:hAnsi="Times New Roman"/>
          <w:i/>
          <w:iCs/>
          <w:lang w:val="en-US"/>
        </w:rPr>
        <w:t>11</w:t>
      </w:r>
      <w:r w:rsidRPr="00802E14">
        <w:rPr>
          <w:rFonts w:ascii="Times New Roman" w:hAnsi="Times New Roman"/>
          <w:lang w:val="en-US"/>
        </w:rPr>
        <w:t>(1), 4–19.</w:t>
      </w:r>
    </w:p>
    <w:p w14:paraId="1FAC9681" w14:textId="31DFCFEF"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Tsiliyannis, C. A. (2019). The Cycle rate as the means for real-time monitoring of wastes in circular </w:t>
      </w:r>
      <w:r w:rsidR="00106633">
        <w:rPr>
          <w:rFonts w:ascii="Times New Roman" w:hAnsi="Times New Roman"/>
          <w:lang w:val="en-US"/>
        </w:rPr>
        <w:t>E</w:t>
      </w:r>
      <w:r w:rsidRPr="00802E14">
        <w:rPr>
          <w:rFonts w:ascii="Times New Roman" w:hAnsi="Times New Roman"/>
          <w:lang w:val="en-US"/>
        </w:rPr>
        <w:t xml:space="preserve">conomy.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227</w:t>
      </w:r>
      <w:r w:rsidRPr="00802E14">
        <w:rPr>
          <w:rFonts w:ascii="Times New Roman" w:hAnsi="Times New Roman"/>
          <w:lang w:val="en-US"/>
        </w:rPr>
        <w:t>, 911–931. https://doi.org/10.1016/j.jclepro.2019.04.065</w:t>
      </w:r>
    </w:p>
    <w:p w14:paraId="3B16982C"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Tucker, B. P., &amp; Lowe, A. D. (2014). Practitioners are from Mars; academics are from Venus?: An investigation of the research-practice gap in management accounting. </w:t>
      </w:r>
      <w:r w:rsidRPr="00802E14">
        <w:rPr>
          <w:rFonts w:ascii="Times New Roman" w:hAnsi="Times New Roman"/>
          <w:i/>
          <w:iCs/>
          <w:lang w:val="en-US"/>
        </w:rPr>
        <w:t>Accounting, Auditing and Accountability Journal</w:t>
      </w:r>
      <w:r w:rsidRPr="00802E14">
        <w:rPr>
          <w:rFonts w:ascii="Times New Roman" w:hAnsi="Times New Roman"/>
          <w:lang w:val="en-US"/>
        </w:rPr>
        <w:t xml:space="preserve">, </w:t>
      </w:r>
      <w:r w:rsidRPr="00802E14">
        <w:rPr>
          <w:rFonts w:ascii="Times New Roman" w:hAnsi="Times New Roman"/>
          <w:i/>
          <w:iCs/>
          <w:lang w:val="en-US"/>
        </w:rPr>
        <w:t>27</w:t>
      </w:r>
      <w:r w:rsidRPr="00802E14">
        <w:rPr>
          <w:rFonts w:ascii="Times New Roman" w:hAnsi="Times New Roman"/>
          <w:lang w:val="en-US"/>
        </w:rPr>
        <w:t>(3), 394–425. https://doi.org/10.1108/AAAJ-01-2012-00932</w:t>
      </w:r>
    </w:p>
    <w:p w14:paraId="6CD8AA7F" w14:textId="06B44170"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Tunn, V. S. C., Bocken, N. M. P., van den Hende, E. A., &amp; Schoormans, J. P. L. (2019). Business models for sustainable consumption in the circular </w:t>
      </w:r>
      <w:r w:rsidR="00106633">
        <w:rPr>
          <w:rFonts w:ascii="Times New Roman" w:hAnsi="Times New Roman"/>
          <w:lang w:val="en-US"/>
        </w:rPr>
        <w:t>E</w:t>
      </w:r>
      <w:r w:rsidRPr="00802E14">
        <w:rPr>
          <w:rFonts w:ascii="Times New Roman" w:hAnsi="Times New Roman"/>
          <w:lang w:val="en-US"/>
        </w:rPr>
        <w:t xml:space="preserve">conomy: An expert study.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212</w:t>
      </w:r>
      <w:r w:rsidRPr="00802E14">
        <w:rPr>
          <w:rFonts w:ascii="Times New Roman" w:hAnsi="Times New Roman"/>
          <w:lang w:val="en-US"/>
        </w:rPr>
        <w:t>, 324–333. https://doi.org/10.1016/j.jclepro.2018.11.290</w:t>
      </w:r>
    </w:p>
    <w:p w14:paraId="4F11B429"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Veleva, V., &amp; Bodkin, G. (2018). Corporate-entrepreneur collaborations to advance a circular economy.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188</w:t>
      </w:r>
      <w:r w:rsidRPr="00802E14">
        <w:rPr>
          <w:rFonts w:ascii="Times New Roman" w:hAnsi="Times New Roman"/>
          <w:lang w:val="en-US"/>
        </w:rPr>
        <w:t>, 20–37. https://doi.org/10.1016/j.jclepro.2018.03.196</w:t>
      </w:r>
    </w:p>
    <w:p w14:paraId="753963A1"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Vondra, M., Touš, M., &amp; Teng, S. Y. (2019). Digestate evaporation treatment in biogas plants: A techno-economic assessment by Monte Carlo, neural networks and decision trees. </w:t>
      </w:r>
      <w:r w:rsidRPr="00802E14">
        <w:rPr>
          <w:rFonts w:ascii="Times New Roman" w:hAnsi="Times New Roman"/>
          <w:i/>
          <w:iCs/>
          <w:lang w:val="en-US"/>
        </w:rPr>
        <w:t>Journal of Cleaner Production</w:t>
      </w:r>
      <w:r w:rsidRPr="00802E14">
        <w:rPr>
          <w:rFonts w:ascii="Times New Roman" w:hAnsi="Times New Roman"/>
          <w:lang w:val="en-US"/>
        </w:rPr>
        <w:t xml:space="preserve">, </w:t>
      </w:r>
      <w:r w:rsidRPr="00802E14">
        <w:rPr>
          <w:rFonts w:ascii="Times New Roman" w:hAnsi="Times New Roman"/>
          <w:i/>
          <w:iCs/>
          <w:lang w:val="en-US"/>
        </w:rPr>
        <w:t>238</w:t>
      </w:r>
      <w:r w:rsidRPr="00802E14">
        <w:rPr>
          <w:rFonts w:ascii="Times New Roman" w:hAnsi="Times New Roman"/>
          <w:lang w:val="en-US"/>
        </w:rPr>
        <w:t>, 117870. https://doi.org/10.1016/j.jclepro.2019.117870</w:t>
      </w:r>
    </w:p>
    <w:p w14:paraId="35B0166B" w14:textId="7E32618A"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Xue, J., Liu, G., Casazza, M., &amp; Ulgiati, S. (2018). Development of an urban FEW nexus online analy</w:t>
      </w:r>
      <w:r w:rsidR="00527C14">
        <w:rPr>
          <w:rFonts w:ascii="Times New Roman" w:hAnsi="Times New Roman"/>
          <w:lang w:val="en-US"/>
        </w:rPr>
        <w:t>s</w:t>
      </w:r>
      <w:r w:rsidRPr="00802E14">
        <w:rPr>
          <w:rFonts w:ascii="Times New Roman" w:hAnsi="Times New Roman"/>
          <w:lang w:val="en-US"/>
        </w:rPr>
        <w:t xml:space="preserve">er to support urban circular economy strategy planning. </w:t>
      </w:r>
      <w:r w:rsidRPr="00802E14">
        <w:rPr>
          <w:rFonts w:ascii="Times New Roman" w:hAnsi="Times New Roman"/>
          <w:i/>
          <w:iCs/>
          <w:lang w:val="en-US"/>
        </w:rPr>
        <w:t>Energy</w:t>
      </w:r>
      <w:r w:rsidRPr="00802E14">
        <w:rPr>
          <w:rFonts w:ascii="Times New Roman" w:hAnsi="Times New Roman"/>
          <w:lang w:val="en-US"/>
        </w:rPr>
        <w:t xml:space="preserve">, </w:t>
      </w:r>
      <w:r w:rsidRPr="00802E14">
        <w:rPr>
          <w:rFonts w:ascii="Times New Roman" w:hAnsi="Times New Roman"/>
          <w:i/>
          <w:iCs/>
          <w:lang w:val="en-US"/>
        </w:rPr>
        <w:t>164</w:t>
      </w:r>
      <w:r w:rsidRPr="00802E14">
        <w:rPr>
          <w:rFonts w:ascii="Times New Roman" w:hAnsi="Times New Roman"/>
          <w:lang w:val="en-US"/>
        </w:rPr>
        <w:t>(C), 475–495.</w:t>
      </w:r>
    </w:p>
    <w:p w14:paraId="3F58D552" w14:textId="77777777" w:rsidR="00802E14" w:rsidRPr="00802E14"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Yang, S., &amp; Feng, N. (2008). A case study of industrial symbiosis: Nanning Sugar Co., Ltd. in China. </w:t>
      </w:r>
      <w:r w:rsidRPr="00802E14">
        <w:rPr>
          <w:rFonts w:ascii="Times New Roman" w:hAnsi="Times New Roman"/>
          <w:i/>
          <w:iCs/>
          <w:lang w:val="en-US"/>
        </w:rPr>
        <w:t>Resources, Conservation and Recycling</w:t>
      </w:r>
      <w:r w:rsidRPr="00802E14">
        <w:rPr>
          <w:rFonts w:ascii="Times New Roman" w:hAnsi="Times New Roman"/>
          <w:lang w:val="en-US"/>
        </w:rPr>
        <w:t xml:space="preserve">, </w:t>
      </w:r>
      <w:r w:rsidRPr="00802E14">
        <w:rPr>
          <w:rFonts w:ascii="Times New Roman" w:hAnsi="Times New Roman"/>
          <w:i/>
          <w:iCs/>
          <w:lang w:val="en-US"/>
        </w:rPr>
        <w:t>52</w:t>
      </w:r>
      <w:r w:rsidRPr="00802E14">
        <w:rPr>
          <w:rFonts w:ascii="Times New Roman" w:hAnsi="Times New Roman"/>
          <w:lang w:val="en-US"/>
        </w:rPr>
        <w:t>(5), 813–820. https://doi.org/10.1016/j.resconrec.2007.11.008</w:t>
      </w:r>
    </w:p>
    <w:p w14:paraId="4DFC8B72" w14:textId="77777777" w:rsidR="00802E14" w:rsidRPr="00106633" w:rsidRDefault="00802E14" w:rsidP="00802E14">
      <w:pPr>
        <w:widowControl w:val="0"/>
        <w:autoSpaceDE w:val="0"/>
        <w:autoSpaceDN w:val="0"/>
        <w:adjustRightInd w:val="0"/>
        <w:rPr>
          <w:rFonts w:ascii="Times New Roman" w:hAnsi="Times New Roman"/>
          <w:lang w:val="en-US"/>
        </w:rPr>
      </w:pPr>
      <w:r w:rsidRPr="00802E14">
        <w:rPr>
          <w:rFonts w:ascii="Times New Roman" w:hAnsi="Times New Roman"/>
          <w:lang w:val="en-US"/>
        </w:rPr>
        <w:t xml:space="preserve">Zhang, A., Venkatesh, V. G., Liu, Y., Wan, M., Qu, T., &amp; Huisingh, D. (2019). Barriers to smart waste management for a circular economy in China. </w:t>
      </w:r>
      <w:r w:rsidRPr="00106633">
        <w:rPr>
          <w:rFonts w:ascii="Times New Roman" w:hAnsi="Times New Roman"/>
          <w:i/>
          <w:iCs/>
          <w:lang w:val="en-US"/>
        </w:rPr>
        <w:t>Journal of Cleaner Production</w:t>
      </w:r>
      <w:r w:rsidRPr="00106633">
        <w:rPr>
          <w:rFonts w:ascii="Times New Roman" w:hAnsi="Times New Roman"/>
          <w:lang w:val="en-US"/>
        </w:rPr>
        <w:t xml:space="preserve">, </w:t>
      </w:r>
      <w:r w:rsidRPr="00106633">
        <w:rPr>
          <w:rFonts w:ascii="Times New Roman" w:hAnsi="Times New Roman"/>
          <w:i/>
          <w:iCs/>
          <w:lang w:val="en-US"/>
        </w:rPr>
        <w:t>240</w:t>
      </w:r>
      <w:r w:rsidRPr="00106633">
        <w:rPr>
          <w:rFonts w:ascii="Times New Roman" w:hAnsi="Times New Roman"/>
          <w:lang w:val="en-US"/>
        </w:rPr>
        <w:t>, 118198. https://doi.org/10.1016/j.jclepro.2019.118198</w:t>
      </w:r>
    </w:p>
    <w:p w14:paraId="2CBC8202" w14:textId="69441A06" w:rsidR="00A614AA" w:rsidRPr="001A34A9" w:rsidRDefault="00A614AA" w:rsidP="00820A56">
      <w:pPr>
        <w:rPr>
          <w:b/>
          <w:bCs/>
          <w:lang w:val="en-GB"/>
        </w:rPr>
      </w:pPr>
      <w:r w:rsidRPr="001A34A9">
        <w:rPr>
          <w:b/>
          <w:bCs/>
          <w:lang w:val="en-GB"/>
        </w:rPr>
        <w:fldChar w:fldCharType="end"/>
      </w:r>
    </w:p>
    <w:p w14:paraId="27B52170" w14:textId="6AD0969C" w:rsidR="001D4346" w:rsidRPr="001D4346" w:rsidRDefault="001D4346" w:rsidP="00A81BB4">
      <w:pPr>
        <w:rPr>
          <w:b/>
          <w:bCs/>
          <w:lang w:val="en-US"/>
        </w:rPr>
      </w:pPr>
    </w:p>
    <w:p w14:paraId="5F2EBF1A" w14:textId="21A1C92A" w:rsidR="00AE3E5B" w:rsidRDefault="00AE3E5B">
      <w:pPr>
        <w:spacing w:before="0" w:after="0"/>
        <w:jc w:val="left"/>
        <w:rPr>
          <w:b/>
          <w:bCs/>
          <w:lang w:val="en-GB"/>
        </w:rPr>
      </w:pPr>
      <w:r>
        <w:rPr>
          <w:b/>
          <w:bCs/>
          <w:lang w:val="en-GB"/>
        </w:rPr>
        <w:br w:type="page"/>
      </w:r>
    </w:p>
    <w:p w14:paraId="52C81268" w14:textId="77777777" w:rsidR="00AE3E5B" w:rsidRPr="000818C9" w:rsidRDefault="00AE3E5B" w:rsidP="00AE3E5B">
      <w:pPr>
        <w:rPr>
          <w:rFonts w:cstheme="minorHAnsi"/>
          <w:szCs w:val="22"/>
          <w:lang w:val="en-GB"/>
        </w:rPr>
      </w:pPr>
      <w:r w:rsidRPr="001D4346">
        <w:rPr>
          <w:rFonts w:cstheme="minorHAnsi"/>
          <w:b/>
          <w:bCs/>
          <w:szCs w:val="22"/>
          <w:lang w:val="en-GB"/>
        </w:rPr>
        <w:lastRenderedPageBreak/>
        <w:t>Table I</w:t>
      </w:r>
      <w:r w:rsidRPr="00473378">
        <w:rPr>
          <w:rFonts w:cstheme="minorHAnsi"/>
          <w:szCs w:val="22"/>
          <w:lang w:val="en-GB"/>
        </w:rPr>
        <w:t xml:space="preserve">: Number of scientific and </w:t>
      </w:r>
      <w:r w:rsidRPr="000818C9">
        <w:rPr>
          <w:rFonts w:cstheme="minorHAnsi"/>
          <w:szCs w:val="22"/>
          <w:lang w:val="en-GB"/>
        </w:rPr>
        <w:t>practitioners</w:t>
      </w:r>
      <w:r>
        <w:rPr>
          <w:rFonts w:cstheme="minorHAnsi"/>
          <w:szCs w:val="22"/>
          <w:lang w:val="en-GB"/>
        </w:rPr>
        <w:t>'</w:t>
      </w:r>
      <w:r w:rsidRPr="000818C9">
        <w:rPr>
          <w:rFonts w:cstheme="minorHAnsi"/>
          <w:szCs w:val="22"/>
          <w:lang w:val="en-GB"/>
        </w:rPr>
        <w:t xml:space="preserve"> documents</w:t>
      </w:r>
    </w:p>
    <w:tbl>
      <w:tblPr>
        <w:tblW w:w="5000" w:type="pct"/>
        <w:tblLook w:val="04A0" w:firstRow="1" w:lastRow="0" w:firstColumn="1" w:lastColumn="0" w:noHBand="0" w:noVBand="1"/>
      </w:tblPr>
      <w:tblGrid>
        <w:gridCol w:w="704"/>
        <w:gridCol w:w="2719"/>
        <w:gridCol w:w="1287"/>
        <w:gridCol w:w="3063"/>
        <w:gridCol w:w="1859"/>
      </w:tblGrid>
      <w:tr w:rsidR="00AE3E5B" w:rsidRPr="00053E77" w14:paraId="650E484F" w14:textId="77777777" w:rsidTr="00FC2378">
        <w:trPr>
          <w:trHeight w:val="255"/>
        </w:trPr>
        <w:tc>
          <w:tcPr>
            <w:tcW w:w="365" w:type="pct"/>
            <w:tcBorders>
              <w:top w:val="single" w:sz="4" w:space="0" w:color="auto"/>
              <w:left w:val="nil"/>
              <w:bottom w:val="single" w:sz="4" w:space="0" w:color="auto"/>
              <w:right w:val="nil"/>
            </w:tcBorders>
            <w:shd w:val="clear" w:color="auto" w:fill="auto"/>
            <w:noWrap/>
            <w:vAlign w:val="bottom"/>
            <w:hideMark/>
          </w:tcPr>
          <w:p w14:paraId="6076FE57" w14:textId="77777777" w:rsidR="00AE3E5B" w:rsidRPr="008228A8" w:rsidRDefault="00AE3E5B" w:rsidP="00FC2378">
            <w:pPr>
              <w:spacing w:before="0" w:after="0"/>
              <w:rPr>
                <w:rFonts w:cstheme="minorHAnsi"/>
                <w:b/>
                <w:bCs/>
                <w:szCs w:val="22"/>
                <w:lang w:val="en-GB" w:eastAsia="en-GB"/>
              </w:rPr>
            </w:pPr>
            <w:r w:rsidRPr="008228A8">
              <w:rPr>
                <w:rFonts w:cstheme="minorHAnsi"/>
                <w:b/>
                <w:bCs/>
                <w:szCs w:val="22"/>
                <w:lang w:val="en-GB" w:eastAsia="en-GB"/>
              </w:rPr>
              <w:t>Year</w:t>
            </w:r>
          </w:p>
        </w:tc>
        <w:tc>
          <w:tcPr>
            <w:tcW w:w="1411" w:type="pct"/>
            <w:tcBorders>
              <w:top w:val="single" w:sz="4" w:space="0" w:color="auto"/>
              <w:left w:val="nil"/>
              <w:bottom w:val="single" w:sz="4" w:space="0" w:color="auto"/>
              <w:right w:val="nil"/>
            </w:tcBorders>
            <w:shd w:val="clear" w:color="auto" w:fill="auto"/>
            <w:noWrap/>
            <w:vAlign w:val="bottom"/>
            <w:hideMark/>
          </w:tcPr>
          <w:p w14:paraId="50083249" w14:textId="77777777" w:rsidR="00AE3E5B" w:rsidRPr="008228A8" w:rsidRDefault="00AE3E5B" w:rsidP="00FC2378">
            <w:pPr>
              <w:spacing w:before="0" w:after="0"/>
              <w:rPr>
                <w:rFonts w:cstheme="minorHAnsi"/>
                <w:b/>
                <w:bCs/>
                <w:color w:val="000000"/>
                <w:szCs w:val="22"/>
                <w:lang w:val="en-GB" w:eastAsia="en-GB"/>
              </w:rPr>
            </w:pPr>
            <w:r w:rsidRPr="008228A8">
              <w:rPr>
                <w:rFonts w:cstheme="minorHAnsi"/>
                <w:b/>
                <w:bCs/>
                <w:color w:val="000000"/>
                <w:szCs w:val="22"/>
                <w:lang w:val="en-GB" w:eastAsia="en-GB"/>
              </w:rPr>
              <w:t>No. of Scientific documents</w:t>
            </w:r>
          </w:p>
        </w:tc>
        <w:tc>
          <w:tcPr>
            <w:tcW w:w="668" w:type="pct"/>
            <w:tcBorders>
              <w:top w:val="single" w:sz="4" w:space="0" w:color="auto"/>
              <w:left w:val="nil"/>
              <w:bottom w:val="single" w:sz="4" w:space="0" w:color="auto"/>
              <w:right w:val="nil"/>
            </w:tcBorders>
          </w:tcPr>
          <w:p w14:paraId="657DFCD3" w14:textId="77777777" w:rsidR="00AE3E5B" w:rsidRPr="002A6E5D" w:rsidRDefault="00AE3E5B" w:rsidP="00FC2378">
            <w:pPr>
              <w:spacing w:before="0" w:after="0"/>
              <w:jc w:val="right"/>
              <w:rPr>
                <w:rFonts w:cstheme="minorHAnsi"/>
                <w:b/>
                <w:bCs/>
                <w:color w:val="000000"/>
                <w:szCs w:val="22"/>
                <w:lang w:val="en-GB" w:eastAsia="en-GB"/>
              </w:rPr>
            </w:pPr>
            <w:r w:rsidRPr="002A6E5D">
              <w:rPr>
                <w:rFonts w:cstheme="minorHAnsi"/>
                <w:b/>
                <w:bCs/>
                <w:color w:val="000000"/>
                <w:szCs w:val="22"/>
                <w:lang w:val="en-GB" w:eastAsia="en-GB"/>
              </w:rPr>
              <w:t>%</w:t>
            </w:r>
          </w:p>
        </w:tc>
        <w:tc>
          <w:tcPr>
            <w:tcW w:w="1590" w:type="pct"/>
            <w:tcBorders>
              <w:top w:val="single" w:sz="4" w:space="0" w:color="auto"/>
              <w:left w:val="nil"/>
              <w:bottom w:val="single" w:sz="4" w:space="0" w:color="auto"/>
              <w:right w:val="nil"/>
            </w:tcBorders>
            <w:shd w:val="clear" w:color="auto" w:fill="auto"/>
            <w:noWrap/>
            <w:vAlign w:val="bottom"/>
            <w:hideMark/>
          </w:tcPr>
          <w:p w14:paraId="2D59107B" w14:textId="77777777" w:rsidR="00AE3E5B" w:rsidRPr="008228A8" w:rsidRDefault="00AE3E5B" w:rsidP="00FC2378">
            <w:pPr>
              <w:spacing w:before="0" w:after="0"/>
              <w:rPr>
                <w:rFonts w:cstheme="minorHAnsi"/>
                <w:b/>
                <w:bCs/>
                <w:color w:val="000000"/>
                <w:szCs w:val="22"/>
                <w:lang w:val="en-GB" w:eastAsia="en-GB"/>
              </w:rPr>
            </w:pPr>
            <w:r w:rsidRPr="008228A8">
              <w:rPr>
                <w:rFonts w:cstheme="minorHAnsi"/>
                <w:b/>
                <w:bCs/>
                <w:color w:val="000000"/>
                <w:szCs w:val="22"/>
                <w:lang w:val="en-GB" w:eastAsia="en-GB"/>
              </w:rPr>
              <w:t>No. of Practitioners documents</w:t>
            </w:r>
          </w:p>
        </w:tc>
        <w:tc>
          <w:tcPr>
            <w:tcW w:w="965" w:type="pct"/>
            <w:tcBorders>
              <w:top w:val="single" w:sz="4" w:space="0" w:color="auto"/>
              <w:left w:val="nil"/>
              <w:bottom w:val="single" w:sz="4" w:space="0" w:color="auto"/>
              <w:right w:val="nil"/>
            </w:tcBorders>
          </w:tcPr>
          <w:p w14:paraId="4CDA12C1" w14:textId="77777777" w:rsidR="00AE3E5B" w:rsidRPr="00053E77" w:rsidRDefault="00AE3E5B" w:rsidP="00FC2378">
            <w:pPr>
              <w:spacing w:before="0" w:after="0"/>
              <w:jc w:val="right"/>
              <w:rPr>
                <w:rFonts w:cstheme="minorHAnsi"/>
                <w:b/>
                <w:bCs/>
                <w:color w:val="000000"/>
                <w:szCs w:val="22"/>
                <w:lang w:val="en-GB" w:eastAsia="en-GB"/>
              </w:rPr>
            </w:pPr>
            <w:r>
              <w:rPr>
                <w:rFonts w:cstheme="minorHAnsi"/>
                <w:b/>
                <w:bCs/>
                <w:color w:val="000000"/>
                <w:szCs w:val="22"/>
                <w:lang w:val="en-GB" w:eastAsia="en-GB"/>
              </w:rPr>
              <w:t>%</w:t>
            </w:r>
          </w:p>
        </w:tc>
      </w:tr>
      <w:tr w:rsidR="00AE3E5B" w:rsidRPr="00053E77" w14:paraId="1DFAD786" w14:textId="77777777" w:rsidTr="00FC2378">
        <w:trPr>
          <w:trHeight w:val="255"/>
        </w:trPr>
        <w:tc>
          <w:tcPr>
            <w:tcW w:w="365" w:type="pct"/>
            <w:tcBorders>
              <w:top w:val="single" w:sz="4" w:space="0" w:color="auto"/>
              <w:left w:val="nil"/>
              <w:bottom w:val="nil"/>
              <w:right w:val="nil"/>
            </w:tcBorders>
            <w:shd w:val="clear" w:color="auto" w:fill="auto"/>
            <w:noWrap/>
            <w:vAlign w:val="bottom"/>
            <w:hideMark/>
          </w:tcPr>
          <w:p w14:paraId="6FF8E280"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2020</w:t>
            </w:r>
          </w:p>
        </w:tc>
        <w:tc>
          <w:tcPr>
            <w:tcW w:w="1411" w:type="pct"/>
            <w:tcBorders>
              <w:top w:val="single" w:sz="4" w:space="0" w:color="auto"/>
              <w:left w:val="nil"/>
              <w:bottom w:val="nil"/>
              <w:right w:val="nil"/>
            </w:tcBorders>
            <w:shd w:val="clear" w:color="auto" w:fill="auto"/>
            <w:noWrap/>
            <w:vAlign w:val="bottom"/>
            <w:hideMark/>
          </w:tcPr>
          <w:p w14:paraId="3A16469B"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93</w:t>
            </w:r>
          </w:p>
        </w:tc>
        <w:tc>
          <w:tcPr>
            <w:tcW w:w="668" w:type="pct"/>
            <w:tcBorders>
              <w:top w:val="single" w:sz="4" w:space="0" w:color="auto"/>
              <w:left w:val="nil"/>
              <w:bottom w:val="nil"/>
              <w:right w:val="nil"/>
            </w:tcBorders>
            <w:vAlign w:val="center"/>
          </w:tcPr>
          <w:p w14:paraId="039F76C3"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25%</w:t>
            </w:r>
          </w:p>
        </w:tc>
        <w:tc>
          <w:tcPr>
            <w:tcW w:w="1590" w:type="pct"/>
            <w:tcBorders>
              <w:top w:val="single" w:sz="4" w:space="0" w:color="auto"/>
              <w:left w:val="nil"/>
              <w:bottom w:val="nil"/>
              <w:right w:val="nil"/>
            </w:tcBorders>
            <w:shd w:val="clear" w:color="auto" w:fill="auto"/>
            <w:noWrap/>
            <w:vAlign w:val="bottom"/>
            <w:hideMark/>
          </w:tcPr>
          <w:p w14:paraId="179BD123" w14:textId="77777777" w:rsidR="00AE3E5B" w:rsidRPr="008228A8" w:rsidRDefault="00AE3E5B" w:rsidP="00FC2378">
            <w:pPr>
              <w:spacing w:before="0" w:after="0"/>
              <w:rPr>
                <w:rFonts w:cstheme="minorHAnsi"/>
                <w:color w:val="000000"/>
                <w:szCs w:val="22"/>
                <w:lang w:val="en-GB" w:eastAsia="en-GB"/>
              </w:rPr>
            </w:pPr>
            <w:r>
              <w:rPr>
                <w:rFonts w:cstheme="minorHAnsi"/>
                <w:color w:val="000000"/>
                <w:szCs w:val="22"/>
                <w:lang w:val="en-GB" w:eastAsia="en-GB"/>
              </w:rPr>
              <w:t>248</w:t>
            </w:r>
          </w:p>
        </w:tc>
        <w:tc>
          <w:tcPr>
            <w:tcW w:w="965" w:type="pct"/>
            <w:tcBorders>
              <w:top w:val="single" w:sz="4" w:space="0" w:color="auto"/>
              <w:left w:val="nil"/>
              <w:bottom w:val="nil"/>
              <w:right w:val="nil"/>
            </w:tcBorders>
            <w:vAlign w:val="center"/>
          </w:tcPr>
          <w:p w14:paraId="4FB2EB54"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26%</w:t>
            </w:r>
          </w:p>
        </w:tc>
      </w:tr>
      <w:tr w:rsidR="00AE3E5B" w:rsidRPr="00053E77" w14:paraId="763152CD" w14:textId="77777777" w:rsidTr="00FC2378">
        <w:trPr>
          <w:trHeight w:val="255"/>
        </w:trPr>
        <w:tc>
          <w:tcPr>
            <w:tcW w:w="365" w:type="pct"/>
            <w:tcBorders>
              <w:top w:val="nil"/>
              <w:left w:val="nil"/>
              <w:bottom w:val="nil"/>
              <w:right w:val="nil"/>
            </w:tcBorders>
            <w:shd w:val="clear" w:color="auto" w:fill="auto"/>
            <w:noWrap/>
            <w:vAlign w:val="bottom"/>
            <w:hideMark/>
          </w:tcPr>
          <w:p w14:paraId="3B2AF9A2"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2019</w:t>
            </w:r>
          </w:p>
        </w:tc>
        <w:tc>
          <w:tcPr>
            <w:tcW w:w="1411" w:type="pct"/>
            <w:tcBorders>
              <w:top w:val="nil"/>
              <w:left w:val="nil"/>
              <w:bottom w:val="nil"/>
              <w:right w:val="nil"/>
            </w:tcBorders>
            <w:shd w:val="clear" w:color="auto" w:fill="auto"/>
            <w:noWrap/>
            <w:vAlign w:val="bottom"/>
            <w:hideMark/>
          </w:tcPr>
          <w:p w14:paraId="7AB7A067"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148</w:t>
            </w:r>
          </w:p>
        </w:tc>
        <w:tc>
          <w:tcPr>
            <w:tcW w:w="668" w:type="pct"/>
            <w:tcBorders>
              <w:top w:val="nil"/>
              <w:left w:val="nil"/>
              <w:bottom w:val="nil"/>
              <w:right w:val="nil"/>
            </w:tcBorders>
            <w:vAlign w:val="center"/>
          </w:tcPr>
          <w:p w14:paraId="7191867A"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40%</w:t>
            </w:r>
          </w:p>
        </w:tc>
        <w:tc>
          <w:tcPr>
            <w:tcW w:w="1590" w:type="pct"/>
            <w:tcBorders>
              <w:top w:val="nil"/>
              <w:left w:val="nil"/>
              <w:bottom w:val="nil"/>
              <w:right w:val="nil"/>
            </w:tcBorders>
            <w:shd w:val="clear" w:color="auto" w:fill="auto"/>
            <w:noWrap/>
            <w:vAlign w:val="bottom"/>
            <w:hideMark/>
          </w:tcPr>
          <w:p w14:paraId="76E0E849" w14:textId="77777777" w:rsidR="00AE3E5B" w:rsidRPr="008228A8" w:rsidRDefault="00AE3E5B" w:rsidP="00FC2378">
            <w:pPr>
              <w:spacing w:before="0" w:after="0"/>
              <w:rPr>
                <w:rFonts w:cstheme="minorHAnsi"/>
                <w:color w:val="000000"/>
                <w:szCs w:val="22"/>
                <w:lang w:val="en-GB" w:eastAsia="en-GB"/>
              </w:rPr>
            </w:pPr>
            <w:r>
              <w:rPr>
                <w:rFonts w:cstheme="minorHAnsi"/>
                <w:color w:val="000000"/>
                <w:szCs w:val="22"/>
                <w:lang w:val="en-GB" w:eastAsia="en-GB"/>
              </w:rPr>
              <w:t>260</w:t>
            </w:r>
          </w:p>
        </w:tc>
        <w:tc>
          <w:tcPr>
            <w:tcW w:w="965" w:type="pct"/>
            <w:tcBorders>
              <w:top w:val="nil"/>
              <w:left w:val="nil"/>
              <w:bottom w:val="nil"/>
              <w:right w:val="nil"/>
            </w:tcBorders>
            <w:vAlign w:val="center"/>
          </w:tcPr>
          <w:p w14:paraId="2D3C1D00"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27%</w:t>
            </w:r>
          </w:p>
        </w:tc>
      </w:tr>
      <w:tr w:rsidR="00AE3E5B" w:rsidRPr="00053E77" w14:paraId="214EBE31" w14:textId="77777777" w:rsidTr="00FC2378">
        <w:trPr>
          <w:trHeight w:val="255"/>
        </w:trPr>
        <w:tc>
          <w:tcPr>
            <w:tcW w:w="365" w:type="pct"/>
            <w:tcBorders>
              <w:top w:val="nil"/>
              <w:left w:val="nil"/>
              <w:bottom w:val="nil"/>
              <w:right w:val="nil"/>
            </w:tcBorders>
            <w:shd w:val="clear" w:color="auto" w:fill="auto"/>
            <w:noWrap/>
            <w:vAlign w:val="bottom"/>
            <w:hideMark/>
          </w:tcPr>
          <w:p w14:paraId="5D427F74"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2018</w:t>
            </w:r>
          </w:p>
        </w:tc>
        <w:tc>
          <w:tcPr>
            <w:tcW w:w="1411" w:type="pct"/>
            <w:tcBorders>
              <w:top w:val="nil"/>
              <w:left w:val="nil"/>
              <w:bottom w:val="nil"/>
              <w:right w:val="nil"/>
            </w:tcBorders>
            <w:shd w:val="clear" w:color="auto" w:fill="auto"/>
            <w:noWrap/>
            <w:vAlign w:val="bottom"/>
            <w:hideMark/>
          </w:tcPr>
          <w:p w14:paraId="5B205E14"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72</w:t>
            </w:r>
          </w:p>
        </w:tc>
        <w:tc>
          <w:tcPr>
            <w:tcW w:w="668" w:type="pct"/>
            <w:tcBorders>
              <w:top w:val="nil"/>
              <w:left w:val="nil"/>
              <w:bottom w:val="nil"/>
              <w:right w:val="nil"/>
            </w:tcBorders>
            <w:vAlign w:val="center"/>
          </w:tcPr>
          <w:p w14:paraId="03C61669"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20%</w:t>
            </w:r>
          </w:p>
        </w:tc>
        <w:tc>
          <w:tcPr>
            <w:tcW w:w="1590" w:type="pct"/>
            <w:tcBorders>
              <w:top w:val="nil"/>
              <w:left w:val="nil"/>
              <w:bottom w:val="nil"/>
              <w:right w:val="nil"/>
            </w:tcBorders>
            <w:shd w:val="clear" w:color="auto" w:fill="auto"/>
            <w:noWrap/>
            <w:vAlign w:val="bottom"/>
            <w:hideMark/>
          </w:tcPr>
          <w:p w14:paraId="61567842" w14:textId="77777777" w:rsidR="00AE3E5B" w:rsidRPr="008228A8" w:rsidRDefault="00AE3E5B" w:rsidP="00FC2378">
            <w:pPr>
              <w:spacing w:before="0" w:after="0"/>
              <w:rPr>
                <w:rFonts w:cstheme="minorHAnsi"/>
                <w:color w:val="000000"/>
                <w:szCs w:val="22"/>
                <w:lang w:val="en-GB" w:eastAsia="en-GB"/>
              </w:rPr>
            </w:pPr>
            <w:r>
              <w:rPr>
                <w:rFonts w:cstheme="minorHAnsi"/>
                <w:color w:val="000000"/>
                <w:szCs w:val="22"/>
                <w:lang w:val="en-GB" w:eastAsia="en-GB"/>
              </w:rPr>
              <w:t>202</w:t>
            </w:r>
          </w:p>
        </w:tc>
        <w:tc>
          <w:tcPr>
            <w:tcW w:w="965" w:type="pct"/>
            <w:tcBorders>
              <w:top w:val="nil"/>
              <w:left w:val="nil"/>
              <w:bottom w:val="nil"/>
              <w:right w:val="nil"/>
            </w:tcBorders>
            <w:vAlign w:val="center"/>
          </w:tcPr>
          <w:p w14:paraId="4D506C12"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21%</w:t>
            </w:r>
          </w:p>
        </w:tc>
      </w:tr>
      <w:tr w:rsidR="00AE3E5B" w:rsidRPr="00053E77" w14:paraId="72B53494" w14:textId="77777777" w:rsidTr="00FC2378">
        <w:trPr>
          <w:trHeight w:val="255"/>
        </w:trPr>
        <w:tc>
          <w:tcPr>
            <w:tcW w:w="365" w:type="pct"/>
            <w:tcBorders>
              <w:top w:val="nil"/>
              <w:left w:val="nil"/>
              <w:bottom w:val="nil"/>
              <w:right w:val="nil"/>
            </w:tcBorders>
            <w:shd w:val="clear" w:color="auto" w:fill="auto"/>
            <w:noWrap/>
            <w:vAlign w:val="bottom"/>
            <w:hideMark/>
          </w:tcPr>
          <w:p w14:paraId="64E3147F"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2017</w:t>
            </w:r>
          </w:p>
        </w:tc>
        <w:tc>
          <w:tcPr>
            <w:tcW w:w="1411" w:type="pct"/>
            <w:tcBorders>
              <w:top w:val="nil"/>
              <w:left w:val="nil"/>
              <w:bottom w:val="nil"/>
              <w:right w:val="nil"/>
            </w:tcBorders>
            <w:shd w:val="clear" w:color="auto" w:fill="auto"/>
            <w:noWrap/>
            <w:vAlign w:val="bottom"/>
            <w:hideMark/>
          </w:tcPr>
          <w:p w14:paraId="76963CE7"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w:t>
            </w:r>
          </w:p>
        </w:tc>
        <w:tc>
          <w:tcPr>
            <w:tcW w:w="668" w:type="pct"/>
            <w:tcBorders>
              <w:top w:val="nil"/>
              <w:left w:val="nil"/>
              <w:bottom w:val="nil"/>
              <w:right w:val="nil"/>
            </w:tcBorders>
            <w:vAlign w:val="center"/>
          </w:tcPr>
          <w:p w14:paraId="7CAB51EA"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5%</w:t>
            </w:r>
          </w:p>
        </w:tc>
        <w:tc>
          <w:tcPr>
            <w:tcW w:w="1590" w:type="pct"/>
            <w:tcBorders>
              <w:top w:val="nil"/>
              <w:left w:val="nil"/>
              <w:bottom w:val="nil"/>
              <w:right w:val="nil"/>
            </w:tcBorders>
            <w:shd w:val="clear" w:color="auto" w:fill="auto"/>
            <w:noWrap/>
            <w:vAlign w:val="bottom"/>
            <w:hideMark/>
          </w:tcPr>
          <w:p w14:paraId="537282B4" w14:textId="77777777" w:rsidR="00AE3E5B" w:rsidRPr="008228A8" w:rsidRDefault="00AE3E5B" w:rsidP="00FC2378">
            <w:pPr>
              <w:spacing w:before="0" w:after="0"/>
              <w:rPr>
                <w:rFonts w:cstheme="minorHAnsi"/>
                <w:color w:val="000000"/>
                <w:szCs w:val="22"/>
                <w:lang w:val="en-GB" w:eastAsia="en-GB"/>
              </w:rPr>
            </w:pPr>
            <w:r>
              <w:rPr>
                <w:rFonts w:cstheme="minorHAnsi"/>
                <w:color w:val="000000"/>
                <w:szCs w:val="22"/>
                <w:lang w:val="en-GB" w:eastAsia="en-GB"/>
              </w:rPr>
              <w:t>140</w:t>
            </w:r>
          </w:p>
        </w:tc>
        <w:tc>
          <w:tcPr>
            <w:tcW w:w="965" w:type="pct"/>
            <w:tcBorders>
              <w:top w:val="nil"/>
              <w:left w:val="nil"/>
              <w:bottom w:val="nil"/>
              <w:right w:val="nil"/>
            </w:tcBorders>
            <w:vAlign w:val="center"/>
          </w:tcPr>
          <w:p w14:paraId="6B0D279A"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15%</w:t>
            </w:r>
          </w:p>
        </w:tc>
      </w:tr>
      <w:tr w:rsidR="00AE3E5B" w:rsidRPr="00053E77" w14:paraId="06929A5D" w14:textId="77777777" w:rsidTr="00FC2378">
        <w:trPr>
          <w:trHeight w:val="255"/>
        </w:trPr>
        <w:tc>
          <w:tcPr>
            <w:tcW w:w="365" w:type="pct"/>
            <w:tcBorders>
              <w:top w:val="nil"/>
              <w:left w:val="nil"/>
              <w:bottom w:val="nil"/>
              <w:right w:val="nil"/>
            </w:tcBorders>
            <w:shd w:val="clear" w:color="auto" w:fill="auto"/>
            <w:noWrap/>
            <w:vAlign w:val="bottom"/>
            <w:hideMark/>
          </w:tcPr>
          <w:p w14:paraId="2CAF18DD"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2016</w:t>
            </w:r>
          </w:p>
        </w:tc>
        <w:tc>
          <w:tcPr>
            <w:tcW w:w="1411" w:type="pct"/>
            <w:tcBorders>
              <w:top w:val="nil"/>
              <w:left w:val="nil"/>
              <w:bottom w:val="nil"/>
              <w:right w:val="nil"/>
            </w:tcBorders>
            <w:shd w:val="clear" w:color="auto" w:fill="auto"/>
            <w:noWrap/>
            <w:vAlign w:val="bottom"/>
            <w:hideMark/>
          </w:tcPr>
          <w:p w14:paraId="54599CF1"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18</w:t>
            </w:r>
          </w:p>
        </w:tc>
        <w:tc>
          <w:tcPr>
            <w:tcW w:w="668" w:type="pct"/>
            <w:tcBorders>
              <w:top w:val="nil"/>
              <w:left w:val="nil"/>
              <w:bottom w:val="nil"/>
              <w:right w:val="nil"/>
            </w:tcBorders>
            <w:vAlign w:val="center"/>
          </w:tcPr>
          <w:p w14:paraId="0CE6AE68"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5%</w:t>
            </w:r>
          </w:p>
        </w:tc>
        <w:tc>
          <w:tcPr>
            <w:tcW w:w="1590" w:type="pct"/>
            <w:tcBorders>
              <w:top w:val="nil"/>
              <w:left w:val="nil"/>
              <w:bottom w:val="nil"/>
              <w:right w:val="nil"/>
            </w:tcBorders>
            <w:shd w:val="clear" w:color="auto" w:fill="auto"/>
            <w:noWrap/>
            <w:vAlign w:val="bottom"/>
            <w:hideMark/>
          </w:tcPr>
          <w:p w14:paraId="08BD91FE" w14:textId="77777777" w:rsidR="00AE3E5B" w:rsidRPr="008228A8" w:rsidRDefault="00AE3E5B" w:rsidP="00FC2378">
            <w:pPr>
              <w:spacing w:before="0" w:after="0"/>
              <w:rPr>
                <w:rFonts w:cstheme="minorHAnsi"/>
                <w:color w:val="000000"/>
                <w:szCs w:val="22"/>
                <w:lang w:val="en-GB" w:eastAsia="en-GB"/>
              </w:rPr>
            </w:pPr>
            <w:r>
              <w:rPr>
                <w:rFonts w:cstheme="minorHAnsi"/>
                <w:color w:val="000000"/>
                <w:szCs w:val="22"/>
                <w:lang w:val="en-GB" w:eastAsia="en-GB"/>
              </w:rPr>
              <w:t>64</w:t>
            </w:r>
          </w:p>
        </w:tc>
        <w:tc>
          <w:tcPr>
            <w:tcW w:w="965" w:type="pct"/>
            <w:tcBorders>
              <w:top w:val="nil"/>
              <w:left w:val="nil"/>
              <w:bottom w:val="nil"/>
              <w:right w:val="nil"/>
            </w:tcBorders>
            <w:vAlign w:val="center"/>
          </w:tcPr>
          <w:p w14:paraId="6B967851"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7%</w:t>
            </w:r>
          </w:p>
        </w:tc>
      </w:tr>
      <w:tr w:rsidR="00AE3E5B" w:rsidRPr="00053E77" w14:paraId="1FA834C3" w14:textId="77777777" w:rsidTr="00FC2378">
        <w:trPr>
          <w:trHeight w:val="255"/>
        </w:trPr>
        <w:tc>
          <w:tcPr>
            <w:tcW w:w="365" w:type="pct"/>
            <w:tcBorders>
              <w:top w:val="nil"/>
              <w:left w:val="nil"/>
              <w:bottom w:val="nil"/>
              <w:right w:val="nil"/>
            </w:tcBorders>
            <w:shd w:val="clear" w:color="auto" w:fill="auto"/>
            <w:noWrap/>
            <w:vAlign w:val="bottom"/>
            <w:hideMark/>
          </w:tcPr>
          <w:p w14:paraId="41389AA8"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2015</w:t>
            </w:r>
          </w:p>
        </w:tc>
        <w:tc>
          <w:tcPr>
            <w:tcW w:w="1411" w:type="pct"/>
            <w:tcBorders>
              <w:top w:val="nil"/>
              <w:left w:val="nil"/>
              <w:bottom w:val="nil"/>
              <w:right w:val="nil"/>
            </w:tcBorders>
            <w:shd w:val="clear" w:color="auto" w:fill="auto"/>
            <w:noWrap/>
            <w:vAlign w:val="bottom"/>
            <w:hideMark/>
          </w:tcPr>
          <w:p w14:paraId="3391F3B4"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8</w:t>
            </w:r>
          </w:p>
        </w:tc>
        <w:tc>
          <w:tcPr>
            <w:tcW w:w="668" w:type="pct"/>
            <w:tcBorders>
              <w:top w:val="nil"/>
              <w:left w:val="nil"/>
              <w:bottom w:val="nil"/>
              <w:right w:val="nil"/>
            </w:tcBorders>
            <w:vAlign w:val="center"/>
          </w:tcPr>
          <w:p w14:paraId="013EFD9C"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2%</w:t>
            </w:r>
          </w:p>
        </w:tc>
        <w:tc>
          <w:tcPr>
            <w:tcW w:w="1590" w:type="pct"/>
            <w:tcBorders>
              <w:top w:val="nil"/>
              <w:left w:val="nil"/>
              <w:bottom w:val="nil"/>
              <w:right w:val="nil"/>
            </w:tcBorders>
            <w:shd w:val="clear" w:color="auto" w:fill="auto"/>
            <w:noWrap/>
            <w:vAlign w:val="bottom"/>
            <w:hideMark/>
          </w:tcPr>
          <w:p w14:paraId="68940C81" w14:textId="77777777" w:rsidR="00AE3E5B" w:rsidRPr="008228A8" w:rsidRDefault="00AE3E5B" w:rsidP="00FC2378">
            <w:pPr>
              <w:spacing w:before="0" w:after="0"/>
              <w:rPr>
                <w:rFonts w:cstheme="minorHAnsi"/>
                <w:color w:val="000000"/>
                <w:szCs w:val="22"/>
                <w:lang w:val="en-GB" w:eastAsia="en-GB"/>
              </w:rPr>
            </w:pPr>
            <w:r>
              <w:rPr>
                <w:rFonts w:cstheme="minorHAnsi"/>
                <w:color w:val="000000"/>
                <w:szCs w:val="22"/>
                <w:lang w:val="en-GB" w:eastAsia="en-GB"/>
              </w:rPr>
              <w:t>34</w:t>
            </w:r>
          </w:p>
        </w:tc>
        <w:tc>
          <w:tcPr>
            <w:tcW w:w="965" w:type="pct"/>
            <w:tcBorders>
              <w:top w:val="nil"/>
              <w:left w:val="nil"/>
              <w:bottom w:val="nil"/>
              <w:right w:val="nil"/>
            </w:tcBorders>
            <w:vAlign w:val="center"/>
          </w:tcPr>
          <w:p w14:paraId="12B0B1F8"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4%</w:t>
            </w:r>
          </w:p>
        </w:tc>
      </w:tr>
      <w:tr w:rsidR="00AE3E5B" w:rsidRPr="00053E77" w14:paraId="3EB5E5A9" w14:textId="77777777" w:rsidTr="00FC2378">
        <w:trPr>
          <w:trHeight w:val="255"/>
        </w:trPr>
        <w:tc>
          <w:tcPr>
            <w:tcW w:w="365" w:type="pct"/>
            <w:tcBorders>
              <w:top w:val="nil"/>
              <w:left w:val="nil"/>
              <w:bottom w:val="nil"/>
              <w:right w:val="nil"/>
            </w:tcBorders>
            <w:shd w:val="clear" w:color="auto" w:fill="auto"/>
            <w:noWrap/>
            <w:vAlign w:val="bottom"/>
            <w:hideMark/>
          </w:tcPr>
          <w:p w14:paraId="12FCE320"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2014</w:t>
            </w:r>
          </w:p>
        </w:tc>
        <w:tc>
          <w:tcPr>
            <w:tcW w:w="1411" w:type="pct"/>
            <w:tcBorders>
              <w:top w:val="nil"/>
              <w:left w:val="nil"/>
              <w:bottom w:val="nil"/>
              <w:right w:val="nil"/>
            </w:tcBorders>
            <w:shd w:val="clear" w:color="auto" w:fill="auto"/>
            <w:noWrap/>
            <w:vAlign w:val="bottom"/>
            <w:hideMark/>
          </w:tcPr>
          <w:p w14:paraId="0AA204A4"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3</w:t>
            </w:r>
          </w:p>
        </w:tc>
        <w:tc>
          <w:tcPr>
            <w:tcW w:w="668" w:type="pct"/>
            <w:tcBorders>
              <w:top w:val="nil"/>
              <w:left w:val="nil"/>
              <w:bottom w:val="nil"/>
              <w:right w:val="nil"/>
            </w:tcBorders>
            <w:vAlign w:val="center"/>
          </w:tcPr>
          <w:p w14:paraId="0498BC08"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1%</w:t>
            </w:r>
          </w:p>
        </w:tc>
        <w:tc>
          <w:tcPr>
            <w:tcW w:w="1590" w:type="pct"/>
            <w:tcBorders>
              <w:top w:val="nil"/>
              <w:left w:val="nil"/>
              <w:bottom w:val="nil"/>
              <w:right w:val="nil"/>
            </w:tcBorders>
            <w:shd w:val="clear" w:color="auto" w:fill="auto"/>
            <w:noWrap/>
            <w:vAlign w:val="bottom"/>
            <w:hideMark/>
          </w:tcPr>
          <w:p w14:paraId="72723813" w14:textId="77777777" w:rsidR="00AE3E5B" w:rsidRPr="008228A8" w:rsidRDefault="00AE3E5B" w:rsidP="00FC2378">
            <w:pPr>
              <w:spacing w:before="0" w:after="0"/>
              <w:rPr>
                <w:rFonts w:cstheme="minorHAnsi"/>
                <w:color w:val="000000"/>
                <w:szCs w:val="22"/>
                <w:lang w:val="en-GB" w:eastAsia="en-GB"/>
              </w:rPr>
            </w:pPr>
            <w:r>
              <w:rPr>
                <w:rFonts w:cstheme="minorHAnsi"/>
                <w:color w:val="000000"/>
                <w:szCs w:val="22"/>
                <w:lang w:val="en-GB" w:eastAsia="en-GB"/>
              </w:rPr>
              <w:t>7</w:t>
            </w:r>
          </w:p>
        </w:tc>
        <w:tc>
          <w:tcPr>
            <w:tcW w:w="965" w:type="pct"/>
            <w:tcBorders>
              <w:top w:val="nil"/>
              <w:left w:val="nil"/>
              <w:bottom w:val="nil"/>
              <w:right w:val="nil"/>
            </w:tcBorders>
            <w:vAlign w:val="center"/>
          </w:tcPr>
          <w:p w14:paraId="22DE2172" w14:textId="77777777" w:rsidR="00AE3E5B" w:rsidRDefault="00AE3E5B" w:rsidP="00FC2378">
            <w:pPr>
              <w:spacing w:before="0" w:after="0"/>
              <w:jc w:val="right"/>
              <w:rPr>
                <w:rFonts w:cstheme="minorHAnsi"/>
                <w:color w:val="000000"/>
                <w:szCs w:val="22"/>
                <w:lang w:val="en-GB" w:eastAsia="en-GB"/>
              </w:rPr>
            </w:pPr>
            <w:r>
              <w:rPr>
                <w:rFonts w:ascii="Calibri" w:hAnsi="Calibri" w:cs="Calibri"/>
                <w:color w:val="000000"/>
                <w:szCs w:val="22"/>
              </w:rPr>
              <w:t>1%</w:t>
            </w:r>
          </w:p>
        </w:tc>
      </w:tr>
      <w:tr w:rsidR="00AE3E5B" w:rsidRPr="00053E77" w14:paraId="562EDD26" w14:textId="77777777" w:rsidTr="00FC2378">
        <w:trPr>
          <w:trHeight w:val="255"/>
        </w:trPr>
        <w:tc>
          <w:tcPr>
            <w:tcW w:w="365" w:type="pct"/>
            <w:tcBorders>
              <w:top w:val="nil"/>
              <w:left w:val="nil"/>
              <w:bottom w:val="nil"/>
              <w:right w:val="nil"/>
            </w:tcBorders>
            <w:shd w:val="clear" w:color="auto" w:fill="auto"/>
            <w:noWrap/>
            <w:vAlign w:val="bottom"/>
            <w:hideMark/>
          </w:tcPr>
          <w:p w14:paraId="633856AA"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2013</w:t>
            </w:r>
          </w:p>
        </w:tc>
        <w:tc>
          <w:tcPr>
            <w:tcW w:w="1411" w:type="pct"/>
            <w:tcBorders>
              <w:top w:val="nil"/>
              <w:left w:val="nil"/>
              <w:bottom w:val="nil"/>
              <w:right w:val="nil"/>
            </w:tcBorders>
            <w:shd w:val="clear" w:color="auto" w:fill="auto"/>
            <w:noWrap/>
            <w:vAlign w:val="bottom"/>
            <w:hideMark/>
          </w:tcPr>
          <w:p w14:paraId="0361A289"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w:t>
            </w:r>
          </w:p>
        </w:tc>
        <w:tc>
          <w:tcPr>
            <w:tcW w:w="668" w:type="pct"/>
            <w:tcBorders>
              <w:top w:val="nil"/>
              <w:left w:val="nil"/>
              <w:bottom w:val="nil"/>
              <w:right w:val="nil"/>
            </w:tcBorders>
            <w:vAlign w:val="center"/>
          </w:tcPr>
          <w:p w14:paraId="53A50F06"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1%</w:t>
            </w:r>
          </w:p>
        </w:tc>
        <w:tc>
          <w:tcPr>
            <w:tcW w:w="1590" w:type="pct"/>
            <w:tcBorders>
              <w:top w:val="nil"/>
              <w:left w:val="nil"/>
              <w:bottom w:val="nil"/>
              <w:right w:val="nil"/>
            </w:tcBorders>
            <w:shd w:val="clear" w:color="auto" w:fill="auto"/>
            <w:noWrap/>
            <w:vAlign w:val="bottom"/>
            <w:hideMark/>
          </w:tcPr>
          <w:p w14:paraId="7E3E4E4A" w14:textId="77777777" w:rsidR="00AE3E5B" w:rsidRPr="008228A8" w:rsidRDefault="00AE3E5B" w:rsidP="00FC2378">
            <w:pPr>
              <w:spacing w:before="0" w:after="0"/>
              <w:rPr>
                <w:rFonts w:cstheme="minorHAnsi"/>
                <w:color w:val="000000"/>
                <w:szCs w:val="22"/>
                <w:lang w:val="en-GB" w:eastAsia="en-GB"/>
              </w:rPr>
            </w:pPr>
          </w:p>
        </w:tc>
        <w:tc>
          <w:tcPr>
            <w:tcW w:w="965" w:type="pct"/>
            <w:tcBorders>
              <w:top w:val="nil"/>
              <w:left w:val="nil"/>
              <w:bottom w:val="nil"/>
              <w:right w:val="nil"/>
            </w:tcBorders>
            <w:vAlign w:val="center"/>
          </w:tcPr>
          <w:p w14:paraId="374E696A"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r>
      <w:tr w:rsidR="00AE3E5B" w:rsidRPr="00053E77" w14:paraId="4032514A" w14:textId="77777777" w:rsidTr="00FC2378">
        <w:trPr>
          <w:trHeight w:val="255"/>
        </w:trPr>
        <w:tc>
          <w:tcPr>
            <w:tcW w:w="365" w:type="pct"/>
            <w:tcBorders>
              <w:top w:val="nil"/>
              <w:left w:val="nil"/>
              <w:bottom w:val="nil"/>
              <w:right w:val="nil"/>
            </w:tcBorders>
            <w:shd w:val="clear" w:color="auto" w:fill="auto"/>
            <w:noWrap/>
            <w:vAlign w:val="bottom"/>
            <w:hideMark/>
          </w:tcPr>
          <w:p w14:paraId="5EE6EC3F"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2012</w:t>
            </w:r>
          </w:p>
        </w:tc>
        <w:tc>
          <w:tcPr>
            <w:tcW w:w="1411" w:type="pct"/>
            <w:tcBorders>
              <w:top w:val="nil"/>
              <w:left w:val="nil"/>
              <w:bottom w:val="nil"/>
              <w:right w:val="nil"/>
            </w:tcBorders>
            <w:shd w:val="clear" w:color="auto" w:fill="auto"/>
            <w:noWrap/>
            <w:vAlign w:val="bottom"/>
            <w:hideMark/>
          </w:tcPr>
          <w:p w14:paraId="5C0206E0"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0</w:t>
            </w:r>
          </w:p>
        </w:tc>
        <w:tc>
          <w:tcPr>
            <w:tcW w:w="668" w:type="pct"/>
            <w:tcBorders>
              <w:top w:val="nil"/>
              <w:left w:val="nil"/>
              <w:bottom w:val="nil"/>
              <w:right w:val="nil"/>
            </w:tcBorders>
            <w:vAlign w:val="center"/>
          </w:tcPr>
          <w:p w14:paraId="54CE9EFC"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c>
          <w:tcPr>
            <w:tcW w:w="1590" w:type="pct"/>
            <w:tcBorders>
              <w:top w:val="nil"/>
              <w:left w:val="nil"/>
              <w:bottom w:val="nil"/>
              <w:right w:val="nil"/>
            </w:tcBorders>
            <w:shd w:val="clear" w:color="auto" w:fill="auto"/>
            <w:noWrap/>
            <w:vAlign w:val="bottom"/>
            <w:hideMark/>
          </w:tcPr>
          <w:p w14:paraId="15B5FAB2" w14:textId="77777777" w:rsidR="00AE3E5B" w:rsidRPr="008228A8" w:rsidRDefault="00AE3E5B" w:rsidP="00FC2378">
            <w:pPr>
              <w:spacing w:before="0" w:after="0"/>
              <w:rPr>
                <w:rFonts w:cstheme="minorHAnsi"/>
                <w:color w:val="000000"/>
                <w:szCs w:val="22"/>
                <w:lang w:val="en-GB" w:eastAsia="en-GB"/>
              </w:rPr>
            </w:pPr>
          </w:p>
        </w:tc>
        <w:tc>
          <w:tcPr>
            <w:tcW w:w="965" w:type="pct"/>
            <w:tcBorders>
              <w:top w:val="nil"/>
              <w:left w:val="nil"/>
              <w:bottom w:val="nil"/>
              <w:right w:val="nil"/>
            </w:tcBorders>
            <w:vAlign w:val="center"/>
          </w:tcPr>
          <w:p w14:paraId="015F4DA5"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r>
      <w:tr w:rsidR="00AE3E5B" w:rsidRPr="00053E77" w14:paraId="2D186EA3" w14:textId="77777777" w:rsidTr="00FC2378">
        <w:trPr>
          <w:trHeight w:val="255"/>
        </w:trPr>
        <w:tc>
          <w:tcPr>
            <w:tcW w:w="365" w:type="pct"/>
            <w:tcBorders>
              <w:top w:val="nil"/>
              <w:left w:val="nil"/>
              <w:bottom w:val="nil"/>
              <w:right w:val="nil"/>
            </w:tcBorders>
            <w:shd w:val="clear" w:color="auto" w:fill="auto"/>
            <w:noWrap/>
            <w:vAlign w:val="bottom"/>
            <w:hideMark/>
          </w:tcPr>
          <w:p w14:paraId="65654D03"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2011</w:t>
            </w:r>
          </w:p>
        </w:tc>
        <w:tc>
          <w:tcPr>
            <w:tcW w:w="1411" w:type="pct"/>
            <w:tcBorders>
              <w:top w:val="nil"/>
              <w:left w:val="nil"/>
              <w:bottom w:val="nil"/>
              <w:right w:val="nil"/>
            </w:tcBorders>
            <w:shd w:val="clear" w:color="auto" w:fill="auto"/>
            <w:noWrap/>
            <w:vAlign w:val="bottom"/>
            <w:hideMark/>
          </w:tcPr>
          <w:p w14:paraId="7A485C2E"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1</w:t>
            </w:r>
          </w:p>
        </w:tc>
        <w:tc>
          <w:tcPr>
            <w:tcW w:w="668" w:type="pct"/>
            <w:tcBorders>
              <w:top w:val="nil"/>
              <w:left w:val="nil"/>
              <w:bottom w:val="nil"/>
              <w:right w:val="nil"/>
            </w:tcBorders>
            <w:vAlign w:val="center"/>
          </w:tcPr>
          <w:p w14:paraId="450546B9"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c>
          <w:tcPr>
            <w:tcW w:w="1590" w:type="pct"/>
            <w:tcBorders>
              <w:top w:val="nil"/>
              <w:left w:val="nil"/>
              <w:bottom w:val="nil"/>
              <w:right w:val="nil"/>
            </w:tcBorders>
            <w:shd w:val="clear" w:color="auto" w:fill="auto"/>
            <w:noWrap/>
            <w:vAlign w:val="bottom"/>
            <w:hideMark/>
          </w:tcPr>
          <w:p w14:paraId="76770457" w14:textId="77777777" w:rsidR="00AE3E5B" w:rsidRPr="008228A8" w:rsidRDefault="00AE3E5B" w:rsidP="00FC2378">
            <w:pPr>
              <w:spacing w:before="0" w:after="0"/>
              <w:rPr>
                <w:rFonts w:cstheme="minorHAnsi"/>
                <w:color w:val="000000"/>
                <w:szCs w:val="22"/>
                <w:lang w:val="en-GB" w:eastAsia="en-GB"/>
              </w:rPr>
            </w:pPr>
          </w:p>
        </w:tc>
        <w:tc>
          <w:tcPr>
            <w:tcW w:w="965" w:type="pct"/>
            <w:tcBorders>
              <w:top w:val="nil"/>
              <w:left w:val="nil"/>
              <w:bottom w:val="nil"/>
              <w:right w:val="nil"/>
            </w:tcBorders>
            <w:vAlign w:val="center"/>
          </w:tcPr>
          <w:p w14:paraId="4EEE7557"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r>
      <w:tr w:rsidR="00AE3E5B" w:rsidRPr="00053E77" w14:paraId="50CAC87F" w14:textId="77777777" w:rsidTr="00FC2378">
        <w:trPr>
          <w:trHeight w:val="255"/>
        </w:trPr>
        <w:tc>
          <w:tcPr>
            <w:tcW w:w="365" w:type="pct"/>
            <w:tcBorders>
              <w:top w:val="nil"/>
              <w:left w:val="nil"/>
              <w:bottom w:val="nil"/>
              <w:right w:val="nil"/>
            </w:tcBorders>
            <w:shd w:val="clear" w:color="auto" w:fill="auto"/>
            <w:noWrap/>
            <w:vAlign w:val="bottom"/>
          </w:tcPr>
          <w:p w14:paraId="1D592980"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2010</w:t>
            </w:r>
          </w:p>
        </w:tc>
        <w:tc>
          <w:tcPr>
            <w:tcW w:w="1411" w:type="pct"/>
            <w:tcBorders>
              <w:top w:val="nil"/>
              <w:left w:val="nil"/>
              <w:bottom w:val="nil"/>
              <w:right w:val="nil"/>
            </w:tcBorders>
            <w:shd w:val="clear" w:color="auto" w:fill="auto"/>
            <w:noWrap/>
            <w:vAlign w:val="bottom"/>
          </w:tcPr>
          <w:p w14:paraId="0099D584"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0</w:t>
            </w:r>
          </w:p>
        </w:tc>
        <w:tc>
          <w:tcPr>
            <w:tcW w:w="668" w:type="pct"/>
            <w:tcBorders>
              <w:top w:val="nil"/>
              <w:left w:val="nil"/>
              <w:bottom w:val="nil"/>
              <w:right w:val="nil"/>
            </w:tcBorders>
            <w:vAlign w:val="center"/>
          </w:tcPr>
          <w:p w14:paraId="28A0DD68"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c>
          <w:tcPr>
            <w:tcW w:w="1590" w:type="pct"/>
            <w:tcBorders>
              <w:top w:val="nil"/>
              <w:left w:val="nil"/>
              <w:bottom w:val="nil"/>
              <w:right w:val="nil"/>
            </w:tcBorders>
            <w:shd w:val="clear" w:color="auto" w:fill="auto"/>
            <w:noWrap/>
            <w:vAlign w:val="bottom"/>
          </w:tcPr>
          <w:p w14:paraId="3E5A97F4" w14:textId="77777777" w:rsidR="00AE3E5B" w:rsidRPr="008228A8" w:rsidRDefault="00AE3E5B" w:rsidP="00FC2378">
            <w:pPr>
              <w:spacing w:before="0" w:after="0"/>
              <w:rPr>
                <w:rFonts w:cstheme="minorHAnsi"/>
                <w:color w:val="000000"/>
                <w:szCs w:val="22"/>
                <w:lang w:val="en-GB" w:eastAsia="en-GB"/>
              </w:rPr>
            </w:pPr>
          </w:p>
        </w:tc>
        <w:tc>
          <w:tcPr>
            <w:tcW w:w="965" w:type="pct"/>
            <w:tcBorders>
              <w:top w:val="nil"/>
              <w:left w:val="nil"/>
              <w:bottom w:val="nil"/>
              <w:right w:val="nil"/>
            </w:tcBorders>
            <w:vAlign w:val="center"/>
          </w:tcPr>
          <w:p w14:paraId="34844152"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r>
      <w:tr w:rsidR="00AE3E5B" w:rsidRPr="00053E77" w14:paraId="274A7830" w14:textId="77777777" w:rsidTr="00FC2378">
        <w:trPr>
          <w:trHeight w:val="255"/>
        </w:trPr>
        <w:tc>
          <w:tcPr>
            <w:tcW w:w="365" w:type="pct"/>
            <w:tcBorders>
              <w:top w:val="nil"/>
              <w:left w:val="nil"/>
              <w:bottom w:val="nil"/>
              <w:right w:val="nil"/>
            </w:tcBorders>
            <w:shd w:val="clear" w:color="auto" w:fill="auto"/>
            <w:noWrap/>
            <w:vAlign w:val="bottom"/>
          </w:tcPr>
          <w:p w14:paraId="0E7A8496"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2009</w:t>
            </w:r>
          </w:p>
        </w:tc>
        <w:tc>
          <w:tcPr>
            <w:tcW w:w="1411" w:type="pct"/>
            <w:tcBorders>
              <w:top w:val="nil"/>
              <w:left w:val="nil"/>
              <w:bottom w:val="nil"/>
              <w:right w:val="nil"/>
            </w:tcBorders>
            <w:shd w:val="clear" w:color="auto" w:fill="auto"/>
            <w:noWrap/>
            <w:vAlign w:val="bottom"/>
          </w:tcPr>
          <w:p w14:paraId="0D3D16CF"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1</w:t>
            </w:r>
          </w:p>
        </w:tc>
        <w:tc>
          <w:tcPr>
            <w:tcW w:w="668" w:type="pct"/>
            <w:tcBorders>
              <w:top w:val="nil"/>
              <w:left w:val="nil"/>
              <w:bottom w:val="nil"/>
              <w:right w:val="nil"/>
            </w:tcBorders>
            <w:vAlign w:val="center"/>
          </w:tcPr>
          <w:p w14:paraId="7BA0AC08"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c>
          <w:tcPr>
            <w:tcW w:w="1590" w:type="pct"/>
            <w:tcBorders>
              <w:top w:val="nil"/>
              <w:left w:val="nil"/>
              <w:bottom w:val="nil"/>
              <w:right w:val="nil"/>
            </w:tcBorders>
            <w:shd w:val="clear" w:color="auto" w:fill="auto"/>
            <w:noWrap/>
            <w:vAlign w:val="bottom"/>
          </w:tcPr>
          <w:p w14:paraId="5DF4AEE2" w14:textId="77777777" w:rsidR="00AE3E5B" w:rsidRPr="008228A8" w:rsidRDefault="00AE3E5B" w:rsidP="00FC2378">
            <w:pPr>
              <w:spacing w:before="0" w:after="0"/>
              <w:rPr>
                <w:rFonts w:cstheme="minorHAnsi"/>
                <w:color w:val="000000"/>
                <w:szCs w:val="22"/>
                <w:lang w:val="en-GB" w:eastAsia="en-GB"/>
              </w:rPr>
            </w:pPr>
          </w:p>
        </w:tc>
        <w:tc>
          <w:tcPr>
            <w:tcW w:w="965" w:type="pct"/>
            <w:tcBorders>
              <w:top w:val="nil"/>
              <w:left w:val="nil"/>
              <w:bottom w:val="nil"/>
              <w:right w:val="nil"/>
            </w:tcBorders>
            <w:vAlign w:val="center"/>
          </w:tcPr>
          <w:p w14:paraId="0EE5F73C"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r>
      <w:tr w:rsidR="00AE3E5B" w:rsidRPr="00053E77" w14:paraId="7451D3B6" w14:textId="77777777" w:rsidTr="00FC2378">
        <w:trPr>
          <w:trHeight w:val="255"/>
        </w:trPr>
        <w:tc>
          <w:tcPr>
            <w:tcW w:w="365" w:type="pct"/>
            <w:tcBorders>
              <w:top w:val="nil"/>
              <w:left w:val="nil"/>
              <w:bottom w:val="nil"/>
              <w:right w:val="nil"/>
            </w:tcBorders>
            <w:shd w:val="clear" w:color="auto" w:fill="auto"/>
            <w:noWrap/>
            <w:vAlign w:val="bottom"/>
          </w:tcPr>
          <w:p w14:paraId="6EF19689"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2008</w:t>
            </w:r>
          </w:p>
        </w:tc>
        <w:tc>
          <w:tcPr>
            <w:tcW w:w="1411" w:type="pct"/>
            <w:tcBorders>
              <w:top w:val="nil"/>
              <w:left w:val="nil"/>
              <w:bottom w:val="nil"/>
              <w:right w:val="nil"/>
            </w:tcBorders>
            <w:shd w:val="clear" w:color="auto" w:fill="auto"/>
            <w:noWrap/>
            <w:vAlign w:val="bottom"/>
          </w:tcPr>
          <w:p w14:paraId="45290273"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w:t>
            </w:r>
          </w:p>
        </w:tc>
        <w:tc>
          <w:tcPr>
            <w:tcW w:w="668" w:type="pct"/>
            <w:tcBorders>
              <w:top w:val="nil"/>
              <w:left w:val="nil"/>
              <w:bottom w:val="nil"/>
              <w:right w:val="nil"/>
            </w:tcBorders>
            <w:vAlign w:val="center"/>
          </w:tcPr>
          <w:p w14:paraId="514FD935"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1%</w:t>
            </w:r>
          </w:p>
        </w:tc>
        <w:tc>
          <w:tcPr>
            <w:tcW w:w="1590" w:type="pct"/>
            <w:tcBorders>
              <w:top w:val="nil"/>
              <w:left w:val="nil"/>
              <w:bottom w:val="nil"/>
              <w:right w:val="nil"/>
            </w:tcBorders>
            <w:shd w:val="clear" w:color="auto" w:fill="auto"/>
            <w:noWrap/>
            <w:vAlign w:val="bottom"/>
          </w:tcPr>
          <w:p w14:paraId="7F4CA183" w14:textId="77777777" w:rsidR="00AE3E5B" w:rsidRPr="008228A8" w:rsidRDefault="00AE3E5B" w:rsidP="00FC2378">
            <w:pPr>
              <w:spacing w:before="0" w:after="0"/>
              <w:rPr>
                <w:rFonts w:cstheme="minorHAnsi"/>
                <w:color w:val="000000"/>
                <w:szCs w:val="22"/>
                <w:lang w:val="en-GB" w:eastAsia="en-GB"/>
              </w:rPr>
            </w:pPr>
          </w:p>
        </w:tc>
        <w:tc>
          <w:tcPr>
            <w:tcW w:w="965" w:type="pct"/>
            <w:tcBorders>
              <w:top w:val="nil"/>
              <w:left w:val="nil"/>
              <w:bottom w:val="nil"/>
              <w:right w:val="nil"/>
            </w:tcBorders>
            <w:vAlign w:val="center"/>
          </w:tcPr>
          <w:p w14:paraId="39DD27EF"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r>
      <w:tr w:rsidR="00AE3E5B" w:rsidRPr="00053E77" w14:paraId="3D127E44" w14:textId="77777777" w:rsidTr="00FC2378">
        <w:trPr>
          <w:trHeight w:val="255"/>
        </w:trPr>
        <w:tc>
          <w:tcPr>
            <w:tcW w:w="365" w:type="pct"/>
            <w:tcBorders>
              <w:top w:val="nil"/>
              <w:left w:val="nil"/>
              <w:right w:val="nil"/>
            </w:tcBorders>
            <w:shd w:val="clear" w:color="auto" w:fill="auto"/>
            <w:noWrap/>
            <w:vAlign w:val="bottom"/>
            <w:hideMark/>
          </w:tcPr>
          <w:p w14:paraId="0233EFCC"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2007</w:t>
            </w:r>
          </w:p>
        </w:tc>
        <w:tc>
          <w:tcPr>
            <w:tcW w:w="1411" w:type="pct"/>
            <w:tcBorders>
              <w:top w:val="nil"/>
              <w:left w:val="nil"/>
              <w:right w:val="nil"/>
            </w:tcBorders>
            <w:shd w:val="clear" w:color="auto" w:fill="auto"/>
            <w:noWrap/>
            <w:vAlign w:val="bottom"/>
            <w:hideMark/>
          </w:tcPr>
          <w:p w14:paraId="1D831032" w14:textId="77777777" w:rsidR="00AE3E5B" w:rsidRPr="008228A8" w:rsidRDefault="00AE3E5B" w:rsidP="00FC2378">
            <w:pPr>
              <w:spacing w:before="0" w:after="0"/>
              <w:rPr>
                <w:rFonts w:cstheme="minorHAnsi"/>
                <w:color w:val="000000"/>
                <w:szCs w:val="22"/>
                <w:lang w:val="en-GB" w:eastAsia="en-GB"/>
              </w:rPr>
            </w:pPr>
            <w:r w:rsidRPr="008228A8">
              <w:rPr>
                <w:rFonts w:cstheme="minorHAnsi"/>
                <w:color w:val="000000"/>
                <w:szCs w:val="22"/>
                <w:lang w:val="en-GB" w:eastAsia="en-GB"/>
              </w:rPr>
              <w:t>1</w:t>
            </w:r>
          </w:p>
        </w:tc>
        <w:tc>
          <w:tcPr>
            <w:tcW w:w="668" w:type="pct"/>
            <w:tcBorders>
              <w:top w:val="nil"/>
              <w:left w:val="nil"/>
              <w:right w:val="nil"/>
            </w:tcBorders>
            <w:vAlign w:val="center"/>
          </w:tcPr>
          <w:p w14:paraId="481112A7"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c>
          <w:tcPr>
            <w:tcW w:w="1590" w:type="pct"/>
            <w:tcBorders>
              <w:top w:val="nil"/>
              <w:left w:val="nil"/>
              <w:right w:val="nil"/>
            </w:tcBorders>
            <w:shd w:val="clear" w:color="auto" w:fill="auto"/>
            <w:noWrap/>
            <w:vAlign w:val="bottom"/>
            <w:hideMark/>
          </w:tcPr>
          <w:p w14:paraId="52055BE5" w14:textId="77777777" w:rsidR="00AE3E5B" w:rsidRPr="008228A8" w:rsidRDefault="00AE3E5B" w:rsidP="00FC2378">
            <w:pPr>
              <w:spacing w:before="0" w:after="0"/>
              <w:rPr>
                <w:rFonts w:cstheme="minorHAnsi"/>
                <w:color w:val="000000"/>
                <w:szCs w:val="22"/>
                <w:lang w:val="en-GB" w:eastAsia="en-GB"/>
              </w:rPr>
            </w:pPr>
          </w:p>
        </w:tc>
        <w:tc>
          <w:tcPr>
            <w:tcW w:w="965" w:type="pct"/>
            <w:tcBorders>
              <w:top w:val="nil"/>
              <w:left w:val="nil"/>
              <w:right w:val="nil"/>
            </w:tcBorders>
            <w:vAlign w:val="center"/>
          </w:tcPr>
          <w:p w14:paraId="32A3481E" w14:textId="77777777" w:rsidR="00AE3E5B" w:rsidRPr="00053E77" w:rsidRDefault="00AE3E5B" w:rsidP="00FC2378">
            <w:pPr>
              <w:spacing w:before="0" w:after="0"/>
              <w:jc w:val="right"/>
              <w:rPr>
                <w:rFonts w:cstheme="minorHAnsi"/>
                <w:color w:val="000000"/>
                <w:szCs w:val="22"/>
                <w:lang w:val="en-GB" w:eastAsia="en-GB"/>
              </w:rPr>
            </w:pPr>
            <w:r>
              <w:rPr>
                <w:rFonts w:ascii="Calibri" w:hAnsi="Calibri" w:cs="Calibri"/>
                <w:color w:val="000000"/>
                <w:szCs w:val="22"/>
              </w:rPr>
              <w:t>0%</w:t>
            </w:r>
          </w:p>
        </w:tc>
      </w:tr>
      <w:tr w:rsidR="00AE3E5B" w:rsidRPr="00053E77" w14:paraId="3A05CF7F" w14:textId="77777777" w:rsidTr="00FC2378">
        <w:trPr>
          <w:trHeight w:val="255"/>
        </w:trPr>
        <w:tc>
          <w:tcPr>
            <w:tcW w:w="365" w:type="pct"/>
            <w:tcBorders>
              <w:top w:val="nil"/>
              <w:left w:val="nil"/>
              <w:bottom w:val="single" w:sz="4" w:space="0" w:color="auto"/>
              <w:right w:val="nil"/>
            </w:tcBorders>
            <w:shd w:val="clear" w:color="auto" w:fill="auto"/>
            <w:noWrap/>
            <w:vAlign w:val="bottom"/>
            <w:hideMark/>
          </w:tcPr>
          <w:p w14:paraId="0982C89A" w14:textId="77777777" w:rsidR="00AE3E5B" w:rsidRPr="008228A8" w:rsidRDefault="00AE3E5B" w:rsidP="00FC2378">
            <w:pPr>
              <w:spacing w:before="0" w:after="0"/>
              <w:rPr>
                <w:rFonts w:cstheme="minorHAnsi"/>
                <w:b/>
                <w:bCs/>
                <w:color w:val="000000"/>
                <w:szCs w:val="22"/>
                <w:lang w:val="en-GB" w:eastAsia="en-GB"/>
              </w:rPr>
            </w:pPr>
            <w:r w:rsidRPr="008228A8">
              <w:rPr>
                <w:rFonts w:cstheme="minorHAnsi"/>
                <w:b/>
                <w:bCs/>
                <w:color w:val="000000"/>
                <w:szCs w:val="22"/>
                <w:lang w:val="en-GB" w:eastAsia="en-GB"/>
              </w:rPr>
              <w:t>Total</w:t>
            </w:r>
          </w:p>
        </w:tc>
        <w:tc>
          <w:tcPr>
            <w:tcW w:w="1411" w:type="pct"/>
            <w:tcBorders>
              <w:top w:val="nil"/>
              <w:left w:val="nil"/>
              <w:bottom w:val="single" w:sz="4" w:space="0" w:color="auto"/>
              <w:right w:val="nil"/>
            </w:tcBorders>
            <w:shd w:val="clear" w:color="auto" w:fill="auto"/>
            <w:noWrap/>
            <w:vAlign w:val="bottom"/>
            <w:hideMark/>
          </w:tcPr>
          <w:p w14:paraId="795683E0" w14:textId="77777777" w:rsidR="00AE3E5B" w:rsidRPr="008228A8" w:rsidRDefault="00AE3E5B" w:rsidP="00FC2378">
            <w:pPr>
              <w:spacing w:before="0" w:after="0"/>
              <w:rPr>
                <w:rFonts w:cstheme="minorHAnsi"/>
                <w:b/>
                <w:bCs/>
                <w:color w:val="000000"/>
                <w:szCs w:val="22"/>
                <w:lang w:val="en-GB" w:eastAsia="en-GB"/>
              </w:rPr>
            </w:pPr>
            <w:r w:rsidRPr="008228A8">
              <w:rPr>
                <w:rFonts w:cstheme="minorHAnsi"/>
                <w:b/>
                <w:bCs/>
                <w:color w:val="000000"/>
                <w:szCs w:val="22"/>
                <w:lang w:val="en-GB" w:eastAsia="en-GB"/>
              </w:rPr>
              <w:t>369</w:t>
            </w:r>
          </w:p>
        </w:tc>
        <w:tc>
          <w:tcPr>
            <w:tcW w:w="668" w:type="pct"/>
            <w:tcBorders>
              <w:top w:val="nil"/>
              <w:left w:val="nil"/>
              <w:bottom w:val="single" w:sz="4" w:space="0" w:color="auto"/>
              <w:right w:val="nil"/>
            </w:tcBorders>
            <w:vAlign w:val="center"/>
          </w:tcPr>
          <w:p w14:paraId="070E109B" w14:textId="77777777" w:rsidR="00AE3E5B" w:rsidRPr="009E6852" w:rsidRDefault="00AE3E5B" w:rsidP="00FC2378">
            <w:pPr>
              <w:spacing w:before="0" w:after="0"/>
              <w:jc w:val="right"/>
              <w:rPr>
                <w:rFonts w:cstheme="minorHAnsi"/>
                <w:b/>
                <w:bCs/>
                <w:color w:val="000000"/>
                <w:szCs w:val="22"/>
                <w:lang w:val="en-GB" w:eastAsia="en-GB"/>
              </w:rPr>
            </w:pPr>
            <w:r w:rsidRPr="008228A8">
              <w:rPr>
                <w:rFonts w:ascii="Calibri" w:hAnsi="Calibri" w:cs="Calibri"/>
                <w:b/>
                <w:bCs/>
                <w:color w:val="000000"/>
                <w:szCs w:val="22"/>
              </w:rPr>
              <w:t>100%</w:t>
            </w:r>
          </w:p>
        </w:tc>
        <w:tc>
          <w:tcPr>
            <w:tcW w:w="1590" w:type="pct"/>
            <w:tcBorders>
              <w:top w:val="nil"/>
              <w:left w:val="nil"/>
              <w:bottom w:val="single" w:sz="4" w:space="0" w:color="auto"/>
              <w:right w:val="nil"/>
            </w:tcBorders>
            <w:shd w:val="clear" w:color="auto" w:fill="auto"/>
            <w:noWrap/>
            <w:vAlign w:val="bottom"/>
            <w:hideMark/>
          </w:tcPr>
          <w:p w14:paraId="419FB0E6" w14:textId="77777777" w:rsidR="00AE3E5B" w:rsidRPr="008228A8" w:rsidRDefault="00AE3E5B" w:rsidP="00FC2378">
            <w:pPr>
              <w:spacing w:before="0" w:after="0"/>
              <w:rPr>
                <w:rFonts w:cstheme="minorHAnsi"/>
                <w:b/>
                <w:bCs/>
                <w:color w:val="000000"/>
                <w:szCs w:val="22"/>
                <w:lang w:val="en-GB" w:eastAsia="en-GB"/>
              </w:rPr>
            </w:pPr>
            <w:r w:rsidRPr="008228A8">
              <w:rPr>
                <w:rFonts w:cstheme="minorHAnsi"/>
                <w:b/>
                <w:bCs/>
                <w:color w:val="000000"/>
                <w:szCs w:val="22"/>
                <w:lang w:val="en-GB" w:eastAsia="en-GB"/>
              </w:rPr>
              <w:t>955</w:t>
            </w:r>
          </w:p>
        </w:tc>
        <w:tc>
          <w:tcPr>
            <w:tcW w:w="965" w:type="pct"/>
            <w:tcBorders>
              <w:top w:val="nil"/>
              <w:left w:val="nil"/>
              <w:bottom w:val="single" w:sz="4" w:space="0" w:color="auto"/>
              <w:right w:val="nil"/>
            </w:tcBorders>
            <w:vAlign w:val="center"/>
          </w:tcPr>
          <w:p w14:paraId="26522FF0" w14:textId="77777777" w:rsidR="00AE3E5B" w:rsidRPr="00053E77" w:rsidRDefault="00AE3E5B" w:rsidP="00FC2378">
            <w:pPr>
              <w:spacing w:before="0" w:after="0"/>
              <w:jc w:val="right"/>
              <w:rPr>
                <w:rFonts w:cstheme="minorHAnsi"/>
                <w:b/>
                <w:bCs/>
                <w:color w:val="000000"/>
                <w:szCs w:val="22"/>
                <w:lang w:val="en-GB" w:eastAsia="en-GB"/>
              </w:rPr>
            </w:pPr>
            <w:r>
              <w:rPr>
                <w:rFonts w:ascii="Calibri" w:hAnsi="Calibri" w:cs="Calibri"/>
                <w:color w:val="000000"/>
                <w:szCs w:val="22"/>
              </w:rPr>
              <w:t>100%</w:t>
            </w:r>
          </w:p>
        </w:tc>
      </w:tr>
    </w:tbl>
    <w:p w14:paraId="0BF615A7" w14:textId="77777777" w:rsidR="00AE3E5B" w:rsidRDefault="00AE3E5B" w:rsidP="00AE3E5B"/>
    <w:p w14:paraId="56AF06E1" w14:textId="7AA96B53" w:rsidR="00AE3E5B" w:rsidRDefault="00AE3E5B">
      <w:pPr>
        <w:spacing w:before="0" w:after="0"/>
        <w:jc w:val="left"/>
        <w:rPr>
          <w:b/>
          <w:bCs/>
          <w:lang w:val="en-GB"/>
        </w:rPr>
      </w:pPr>
      <w:r>
        <w:rPr>
          <w:b/>
          <w:bCs/>
          <w:lang w:val="en-GB"/>
        </w:rPr>
        <w:br w:type="page"/>
      </w:r>
    </w:p>
    <w:p w14:paraId="58FA626A" w14:textId="77777777" w:rsidR="00AE3E5B" w:rsidRDefault="00AE3E5B" w:rsidP="00AE3E5B">
      <w:pPr>
        <w:rPr>
          <w:b/>
          <w:bCs/>
          <w:lang w:val="en-GB"/>
        </w:rPr>
      </w:pPr>
    </w:p>
    <w:p w14:paraId="189E615D" w14:textId="77777777" w:rsidR="00AE3E5B" w:rsidRPr="00BB6B12" w:rsidRDefault="00AE3E5B" w:rsidP="00AE3E5B">
      <w:pPr>
        <w:rPr>
          <w:rFonts w:cstheme="minorHAnsi"/>
          <w:i/>
          <w:iCs/>
          <w:szCs w:val="22"/>
          <w:lang w:val="en-GB"/>
        </w:rPr>
      </w:pPr>
      <w:r w:rsidRPr="008228A8">
        <w:rPr>
          <w:rFonts w:cstheme="minorHAnsi"/>
          <w:b/>
          <w:bCs/>
          <w:szCs w:val="22"/>
          <w:lang w:val="en-GB"/>
        </w:rPr>
        <w:t xml:space="preserve">Table </w:t>
      </w:r>
      <w:r>
        <w:rPr>
          <w:rFonts w:cstheme="minorHAnsi"/>
          <w:b/>
          <w:bCs/>
          <w:szCs w:val="22"/>
          <w:lang w:val="en-GB"/>
        </w:rPr>
        <w:t>II</w:t>
      </w:r>
      <w:r w:rsidRPr="008228A8">
        <w:rPr>
          <w:rFonts w:cstheme="minorHAnsi"/>
          <w:szCs w:val="22"/>
          <w:lang w:val="en-GB"/>
        </w:rPr>
        <w:t xml:space="preserve">. </w:t>
      </w:r>
      <w:r w:rsidRPr="004D46F6">
        <w:rPr>
          <w:rFonts w:cstheme="minorHAnsi"/>
          <w:szCs w:val="22"/>
          <w:lang w:val="en-GB"/>
        </w:rPr>
        <w:t xml:space="preserve">Industry 4.0 and Circular </w:t>
      </w:r>
      <w:r>
        <w:rPr>
          <w:rFonts w:cstheme="minorHAnsi"/>
          <w:szCs w:val="22"/>
          <w:lang w:val="en-GB"/>
        </w:rPr>
        <w:t>E</w:t>
      </w:r>
      <w:r w:rsidRPr="00F76BE8">
        <w:rPr>
          <w:rFonts w:cstheme="minorHAnsi"/>
          <w:szCs w:val="22"/>
          <w:lang w:val="en-GB"/>
        </w:rPr>
        <w:t xml:space="preserve">conomy in </w:t>
      </w:r>
      <w:r w:rsidRPr="00795030">
        <w:rPr>
          <w:rFonts w:cstheme="minorHAnsi"/>
          <w:szCs w:val="22"/>
          <w:lang w:val="en-GB"/>
        </w:rPr>
        <w:t>practitioners</w:t>
      </w:r>
      <w:r>
        <w:rPr>
          <w:rFonts w:cstheme="minorHAnsi"/>
          <w:szCs w:val="22"/>
          <w:lang w:val="en-GB"/>
        </w:rPr>
        <w:t>'</w:t>
      </w:r>
      <w:r w:rsidRPr="00473378">
        <w:rPr>
          <w:rFonts w:cstheme="minorHAnsi"/>
          <w:szCs w:val="22"/>
          <w:lang w:val="en-GB"/>
        </w:rPr>
        <w:t xml:space="preserve"> sources</w:t>
      </w:r>
    </w:p>
    <w:tbl>
      <w:tblPr>
        <w:tblW w:w="5000" w:type="pct"/>
        <w:tblLayout w:type="fixed"/>
        <w:tblLook w:val="04A0" w:firstRow="1" w:lastRow="0" w:firstColumn="1" w:lastColumn="0" w:noHBand="0" w:noVBand="1"/>
      </w:tblPr>
      <w:tblGrid>
        <w:gridCol w:w="1348"/>
        <w:gridCol w:w="1260"/>
        <w:gridCol w:w="7024"/>
      </w:tblGrid>
      <w:tr w:rsidR="00AE3E5B" w:rsidRPr="00053E77" w14:paraId="0C52479B" w14:textId="77777777" w:rsidTr="00FC2378">
        <w:trPr>
          <w:trHeight w:val="20"/>
        </w:trPr>
        <w:tc>
          <w:tcPr>
            <w:tcW w:w="700" w:type="pct"/>
            <w:tcBorders>
              <w:top w:val="single" w:sz="4" w:space="0" w:color="auto"/>
              <w:left w:val="nil"/>
              <w:bottom w:val="single" w:sz="4" w:space="0" w:color="auto"/>
              <w:right w:val="nil"/>
            </w:tcBorders>
            <w:shd w:val="clear" w:color="auto" w:fill="auto"/>
            <w:vAlign w:val="bottom"/>
            <w:hideMark/>
          </w:tcPr>
          <w:p w14:paraId="0F09F2FF" w14:textId="77777777" w:rsidR="00AE3E5B" w:rsidRPr="008228A8" w:rsidRDefault="00AE3E5B" w:rsidP="00FC2378">
            <w:pPr>
              <w:spacing w:before="0" w:after="0"/>
              <w:rPr>
                <w:rFonts w:cstheme="minorHAnsi"/>
                <w:b/>
                <w:bCs/>
                <w:color w:val="000000"/>
                <w:sz w:val="18"/>
                <w:szCs w:val="18"/>
                <w:lang w:val="en-GB" w:eastAsia="en-GB"/>
              </w:rPr>
            </w:pPr>
            <w:r w:rsidRPr="008228A8">
              <w:rPr>
                <w:rFonts w:cstheme="minorHAnsi"/>
                <w:b/>
                <w:bCs/>
                <w:color w:val="000000"/>
                <w:sz w:val="18"/>
                <w:szCs w:val="18"/>
                <w:lang w:val="en-GB" w:eastAsia="en-GB"/>
              </w:rPr>
              <w:t>Topics</w:t>
            </w:r>
          </w:p>
        </w:tc>
        <w:tc>
          <w:tcPr>
            <w:tcW w:w="654" w:type="pct"/>
            <w:tcBorders>
              <w:top w:val="single" w:sz="4" w:space="0" w:color="auto"/>
              <w:left w:val="nil"/>
              <w:bottom w:val="single" w:sz="4" w:space="0" w:color="auto"/>
              <w:right w:val="nil"/>
            </w:tcBorders>
            <w:shd w:val="clear" w:color="auto" w:fill="auto"/>
            <w:vAlign w:val="bottom"/>
            <w:hideMark/>
          </w:tcPr>
          <w:p w14:paraId="0BBBDBAF" w14:textId="77777777" w:rsidR="00AE3E5B" w:rsidRPr="008228A8" w:rsidRDefault="00AE3E5B" w:rsidP="00FC2378">
            <w:pPr>
              <w:spacing w:before="0" w:after="0"/>
              <w:rPr>
                <w:rFonts w:cstheme="minorHAnsi"/>
                <w:b/>
                <w:bCs/>
                <w:color w:val="000000"/>
                <w:sz w:val="18"/>
                <w:szCs w:val="18"/>
                <w:lang w:val="en-GB" w:eastAsia="en-GB"/>
              </w:rPr>
            </w:pPr>
            <w:r w:rsidRPr="008228A8">
              <w:rPr>
                <w:rFonts w:cstheme="minorHAnsi"/>
                <w:b/>
                <w:bCs/>
                <w:color w:val="000000"/>
                <w:sz w:val="18"/>
                <w:szCs w:val="18"/>
                <w:lang w:val="en-GB" w:eastAsia="en-GB"/>
              </w:rPr>
              <w:t>Examples</w:t>
            </w:r>
          </w:p>
        </w:tc>
        <w:tc>
          <w:tcPr>
            <w:tcW w:w="3646" w:type="pct"/>
            <w:tcBorders>
              <w:top w:val="single" w:sz="4" w:space="0" w:color="auto"/>
              <w:left w:val="nil"/>
              <w:bottom w:val="single" w:sz="4" w:space="0" w:color="auto"/>
              <w:right w:val="nil"/>
            </w:tcBorders>
            <w:shd w:val="clear" w:color="auto" w:fill="auto"/>
            <w:vAlign w:val="bottom"/>
            <w:hideMark/>
          </w:tcPr>
          <w:p w14:paraId="40E78125" w14:textId="77777777" w:rsidR="00AE3E5B" w:rsidRPr="008228A8" w:rsidRDefault="00AE3E5B" w:rsidP="00FC2378">
            <w:pPr>
              <w:spacing w:before="0" w:after="0"/>
              <w:rPr>
                <w:rFonts w:cstheme="minorHAnsi"/>
                <w:b/>
                <w:bCs/>
                <w:color w:val="000000"/>
                <w:sz w:val="18"/>
                <w:szCs w:val="18"/>
                <w:lang w:val="en-GB" w:eastAsia="en-GB"/>
              </w:rPr>
            </w:pPr>
            <w:r>
              <w:rPr>
                <w:rFonts w:cstheme="minorHAnsi"/>
                <w:b/>
                <w:bCs/>
                <w:color w:val="000000"/>
                <w:sz w:val="18"/>
                <w:szCs w:val="18"/>
                <w:lang w:val="en-GB" w:eastAsia="en-GB"/>
              </w:rPr>
              <w:t>Original q</w:t>
            </w:r>
            <w:r w:rsidRPr="008228A8">
              <w:rPr>
                <w:rFonts w:cstheme="minorHAnsi"/>
                <w:b/>
                <w:bCs/>
                <w:color w:val="000000"/>
                <w:sz w:val="18"/>
                <w:szCs w:val="18"/>
                <w:lang w:val="en-GB" w:eastAsia="en-GB"/>
              </w:rPr>
              <w:t>uotes</w:t>
            </w:r>
          </w:p>
        </w:tc>
      </w:tr>
      <w:tr w:rsidR="00AE3E5B" w:rsidRPr="00F31913" w14:paraId="4BC31EAD" w14:textId="77777777" w:rsidTr="00FC2378">
        <w:trPr>
          <w:trHeight w:val="20"/>
        </w:trPr>
        <w:tc>
          <w:tcPr>
            <w:tcW w:w="700" w:type="pct"/>
            <w:tcBorders>
              <w:top w:val="single" w:sz="4" w:space="0" w:color="auto"/>
              <w:left w:val="nil"/>
              <w:right w:val="nil"/>
            </w:tcBorders>
            <w:shd w:val="clear" w:color="auto" w:fill="auto"/>
            <w:vAlign w:val="bottom"/>
            <w:hideMark/>
          </w:tcPr>
          <w:p w14:paraId="4B91ACA5"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Smart services in waste management</w:t>
            </w:r>
          </w:p>
        </w:tc>
        <w:tc>
          <w:tcPr>
            <w:tcW w:w="654" w:type="pct"/>
            <w:tcBorders>
              <w:top w:val="single" w:sz="4" w:space="0" w:color="auto"/>
              <w:left w:val="nil"/>
              <w:right w:val="nil"/>
            </w:tcBorders>
            <w:shd w:val="clear" w:color="auto" w:fill="auto"/>
            <w:vAlign w:val="bottom"/>
            <w:hideMark/>
          </w:tcPr>
          <w:p w14:paraId="2E991DA5"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Frost &amp; Sullivan consultant opinion</w:t>
            </w:r>
          </w:p>
        </w:tc>
        <w:tc>
          <w:tcPr>
            <w:tcW w:w="3646" w:type="pct"/>
            <w:tcBorders>
              <w:top w:val="single" w:sz="4" w:space="0" w:color="auto"/>
              <w:left w:val="nil"/>
              <w:right w:val="nil"/>
            </w:tcBorders>
            <w:shd w:val="clear" w:color="auto" w:fill="auto"/>
            <w:vAlign w:val="bottom"/>
            <w:hideMark/>
          </w:tcPr>
          <w:p w14:paraId="43130567"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Five digital transformation trends are creating new opportunities within the waste recycling industry: the use of waste data tracking includes RFID technology and fill sensors to detect fill levels and monitor all the materials generated, reused, and recycled; the development and adoption of digital solutions such as smart bins, smart trucks, robotic sorting, .mobile applications, and analytical tools and optimi</w:t>
            </w:r>
            <w:r>
              <w:rPr>
                <w:rFonts w:cstheme="minorHAnsi"/>
                <w:color w:val="000000"/>
                <w:sz w:val="18"/>
                <w:szCs w:val="18"/>
                <w:lang w:val="en-GB" w:eastAsia="en-GB"/>
              </w:rPr>
              <w:t>s</w:t>
            </w:r>
            <w:r w:rsidRPr="008228A8">
              <w:rPr>
                <w:rFonts w:cstheme="minorHAnsi"/>
                <w:color w:val="000000"/>
                <w:sz w:val="18"/>
                <w:szCs w:val="18"/>
                <w:lang w:val="en-GB" w:eastAsia="en-GB"/>
              </w:rPr>
              <w:t>ation software; implementation of key Innovative business models such as freemium and Everything-as-a-Service (XaaS); focus on customer experience (CX) to build strong relationships between companies and end-users; and; adoption of crowdsourcing and customi</w:t>
            </w:r>
            <w:r>
              <w:rPr>
                <w:rFonts w:cstheme="minorHAnsi"/>
                <w:color w:val="000000"/>
                <w:sz w:val="18"/>
                <w:szCs w:val="18"/>
                <w:lang w:val="en-GB" w:eastAsia="en-GB"/>
              </w:rPr>
              <w:t>s</w:t>
            </w:r>
            <w:r w:rsidRPr="008228A8">
              <w:rPr>
                <w:rFonts w:cstheme="minorHAnsi"/>
                <w:color w:val="000000"/>
                <w:sz w:val="18"/>
                <w:szCs w:val="18"/>
                <w:lang w:val="en-GB" w:eastAsia="en-GB"/>
              </w:rPr>
              <w:t>ation to boost demand for big data analytics and cloud computing.</w:t>
            </w:r>
          </w:p>
        </w:tc>
      </w:tr>
      <w:tr w:rsidR="00AE3E5B" w:rsidRPr="00F31913" w14:paraId="1A7EEF5B" w14:textId="77777777" w:rsidTr="00FC2378">
        <w:trPr>
          <w:trHeight w:val="20"/>
        </w:trPr>
        <w:tc>
          <w:tcPr>
            <w:tcW w:w="700" w:type="pct"/>
            <w:tcBorders>
              <w:left w:val="nil"/>
              <w:right w:val="nil"/>
            </w:tcBorders>
            <w:shd w:val="clear" w:color="auto" w:fill="auto"/>
            <w:vAlign w:val="bottom"/>
            <w:hideMark/>
          </w:tcPr>
          <w:p w14:paraId="177CC005" w14:textId="77777777" w:rsidR="00AE3E5B" w:rsidRPr="008228A8" w:rsidRDefault="00AE3E5B" w:rsidP="00FC2378">
            <w:pPr>
              <w:spacing w:before="0" w:after="0"/>
              <w:rPr>
                <w:rFonts w:cstheme="minorHAnsi"/>
                <w:color w:val="000000"/>
                <w:sz w:val="18"/>
                <w:szCs w:val="18"/>
                <w:lang w:val="en-GB" w:eastAsia="en-GB"/>
              </w:rPr>
            </w:pPr>
          </w:p>
        </w:tc>
        <w:tc>
          <w:tcPr>
            <w:tcW w:w="654" w:type="pct"/>
            <w:tcBorders>
              <w:left w:val="nil"/>
              <w:right w:val="nil"/>
            </w:tcBorders>
            <w:shd w:val="clear" w:color="auto" w:fill="auto"/>
            <w:vAlign w:val="bottom"/>
            <w:hideMark/>
          </w:tcPr>
          <w:p w14:paraId="27DF4C3F"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Deutsche Post DHL</w:t>
            </w:r>
          </w:p>
        </w:tc>
        <w:tc>
          <w:tcPr>
            <w:tcW w:w="3646" w:type="pct"/>
            <w:tcBorders>
              <w:left w:val="nil"/>
              <w:right w:val="nil"/>
            </w:tcBorders>
            <w:shd w:val="clear" w:color="auto" w:fill="auto"/>
            <w:vAlign w:val="bottom"/>
            <w:hideMark/>
          </w:tcPr>
          <w:p w14:paraId="3C7CCADA"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The </w:t>
            </w:r>
            <w:r>
              <w:rPr>
                <w:rFonts w:cstheme="minorHAnsi"/>
                <w:color w:val="000000"/>
                <w:sz w:val="18"/>
                <w:szCs w:val="18"/>
                <w:lang w:val="en-GB" w:eastAsia="en-GB"/>
              </w:rPr>
              <w:t>E</w:t>
            </w:r>
            <w:r w:rsidRPr="008228A8">
              <w:rPr>
                <w:rFonts w:cstheme="minorHAnsi"/>
                <w:color w:val="000000"/>
                <w:sz w:val="18"/>
                <w:szCs w:val="18"/>
                <w:lang w:val="en-GB" w:eastAsia="en-GB"/>
              </w:rPr>
              <w:t xml:space="preserve">conomy is becoming increasingly circular as products and materials become smart and are connected to the Internet of Things. </w:t>
            </w:r>
            <w:r>
              <w:rPr>
                <w:rFonts w:cstheme="minorHAnsi"/>
                <w:color w:val="000000"/>
                <w:sz w:val="18"/>
                <w:szCs w:val="18"/>
                <w:lang w:val="en-GB" w:eastAsia="en-GB"/>
              </w:rPr>
              <w:t>"</w:t>
            </w:r>
            <w:r w:rsidRPr="008228A8">
              <w:rPr>
                <w:rFonts w:cstheme="minorHAnsi"/>
                <w:color w:val="000000"/>
                <w:sz w:val="18"/>
                <w:szCs w:val="18"/>
                <w:lang w:val="en-GB" w:eastAsia="en-GB"/>
              </w:rPr>
              <w:t>Products will communicate with users, collectors and remanufacturers to ensure they are returned and reused after their first life cycle. Additionally, condition monitoring of sensitive goods during transport, storage and use will expand product lifetime</w:t>
            </w:r>
            <w:r>
              <w:rPr>
                <w:rFonts w:cstheme="minorHAnsi"/>
                <w:color w:val="000000"/>
                <w:sz w:val="18"/>
                <w:szCs w:val="18"/>
                <w:lang w:val="en-GB" w:eastAsia="en-GB"/>
              </w:rPr>
              <w:t>"</w:t>
            </w:r>
            <w:r w:rsidRPr="008228A8">
              <w:rPr>
                <w:rFonts w:cstheme="minorHAnsi"/>
                <w:color w:val="000000"/>
                <w:sz w:val="18"/>
                <w:szCs w:val="18"/>
                <w:lang w:val="en-GB" w:eastAsia="en-GB"/>
              </w:rPr>
              <w:t xml:space="preserve">, says Frank Appel, CEO of Deutsche Post DHL.  He adds that one area of great potential for synergies from IoT and logistics is the focus of the circular </w:t>
            </w:r>
            <w:r>
              <w:rPr>
                <w:rFonts w:cstheme="minorHAnsi"/>
                <w:color w:val="000000"/>
                <w:sz w:val="18"/>
                <w:szCs w:val="18"/>
                <w:lang w:val="en-GB" w:eastAsia="en-GB"/>
              </w:rPr>
              <w:t>E</w:t>
            </w:r>
            <w:r w:rsidRPr="008228A8">
              <w:rPr>
                <w:rFonts w:cstheme="minorHAnsi"/>
                <w:color w:val="000000"/>
                <w:sz w:val="18"/>
                <w:szCs w:val="18"/>
                <w:lang w:val="en-GB" w:eastAsia="en-GB"/>
              </w:rPr>
              <w:t xml:space="preserve">conomy on renewable energy and designing out waste. Smart, communicating vehicles sharing traffic and network information can boost logistics efficiency, he says. </w:t>
            </w:r>
          </w:p>
        </w:tc>
      </w:tr>
      <w:tr w:rsidR="00AE3E5B" w:rsidRPr="00F31913" w14:paraId="4BF776F4" w14:textId="77777777" w:rsidTr="00FC2378">
        <w:trPr>
          <w:trHeight w:val="20"/>
        </w:trPr>
        <w:tc>
          <w:tcPr>
            <w:tcW w:w="700" w:type="pct"/>
            <w:tcBorders>
              <w:left w:val="nil"/>
              <w:bottom w:val="single" w:sz="4" w:space="0" w:color="auto"/>
              <w:right w:val="nil"/>
            </w:tcBorders>
            <w:shd w:val="clear" w:color="auto" w:fill="auto"/>
            <w:vAlign w:val="bottom"/>
          </w:tcPr>
          <w:p w14:paraId="12B12797" w14:textId="77777777" w:rsidR="00AE3E5B" w:rsidRPr="008228A8" w:rsidRDefault="00AE3E5B" w:rsidP="00FC2378">
            <w:pPr>
              <w:spacing w:before="0" w:after="0"/>
              <w:rPr>
                <w:rFonts w:cstheme="minorHAnsi"/>
                <w:color w:val="000000"/>
                <w:sz w:val="18"/>
                <w:szCs w:val="18"/>
                <w:lang w:val="en-GB" w:eastAsia="en-GB"/>
              </w:rPr>
            </w:pPr>
          </w:p>
        </w:tc>
        <w:tc>
          <w:tcPr>
            <w:tcW w:w="654" w:type="pct"/>
            <w:tcBorders>
              <w:left w:val="nil"/>
              <w:bottom w:val="single" w:sz="4" w:space="0" w:color="auto"/>
              <w:right w:val="nil"/>
            </w:tcBorders>
            <w:shd w:val="clear" w:color="auto" w:fill="auto"/>
            <w:vAlign w:val="bottom"/>
          </w:tcPr>
          <w:p w14:paraId="314881CE"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Henkel </w:t>
            </w:r>
          </w:p>
        </w:tc>
        <w:tc>
          <w:tcPr>
            <w:tcW w:w="3646" w:type="pct"/>
            <w:tcBorders>
              <w:left w:val="nil"/>
              <w:bottom w:val="single" w:sz="4" w:space="0" w:color="auto"/>
              <w:right w:val="nil"/>
            </w:tcBorders>
            <w:shd w:val="clear" w:color="auto" w:fill="auto"/>
            <w:vAlign w:val="bottom"/>
          </w:tcPr>
          <w:p w14:paraId="45A88D48"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Henkel</w:t>
            </w:r>
            <w:r>
              <w:rPr>
                <w:rFonts w:cstheme="minorHAnsi"/>
                <w:color w:val="000000"/>
                <w:sz w:val="18"/>
                <w:szCs w:val="18"/>
                <w:lang w:val="en-GB" w:eastAsia="en-GB"/>
              </w:rPr>
              <w:t>'</w:t>
            </w:r>
            <w:r w:rsidRPr="008228A8">
              <w:rPr>
                <w:rFonts w:cstheme="minorHAnsi"/>
                <w:color w:val="000000"/>
                <w:sz w:val="18"/>
                <w:szCs w:val="18"/>
                <w:lang w:val="en-GB" w:eastAsia="en-GB"/>
              </w:rPr>
              <w:t>s new framework for sustainable packaging reflects the three critical phases of a circular value chain. Each of these phases is translated into specific actions: Materials from sustainable sources: Henkel is committed to including an increasing share of sustainable materials into its product packaging - this relates both to its use of recycled materials, especially recycled plastic, and renewable materials such as paper and cardboard.</w:t>
            </w:r>
          </w:p>
          <w:p w14:paraId="6E40EE00"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Smart packaging design: As recycled or renewable packaging materials often come with different properties, e.g. related to stability or appearance, smart designs are the prerequisite further to replace virgin material in Henkel</w:t>
            </w:r>
            <w:r>
              <w:rPr>
                <w:rFonts w:cstheme="minorHAnsi"/>
                <w:color w:val="000000"/>
                <w:sz w:val="18"/>
                <w:szCs w:val="18"/>
                <w:lang w:val="en-GB" w:eastAsia="en-GB"/>
              </w:rPr>
              <w:t>'</w:t>
            </w:r>
            <w:r w:rsidRPr="008228A8">
              <w:rPr>
                <w:rFonts w:cstheme="minorHAnsi"/>
                <w:color w:val="000000"/>
                <w:sz w:val="18"/>
                <w:szCs w:val="18"/>
                <w:lang w:val="en-GB" w:eastAsia="en-GB"/>
              </w:rPr>
              <w:t xml:space="preserve">s product packaging - this is why the company will put an even stronger focus on design principles that enable a circular economy right from the start. </w:t>
            </w:r>
          </w:p>
        </w:tc>
      </w:tr>
      <w:tr w:rsidR="00AE3E5B" w:rsidRPr="00F31913" w14:paraId="3BFF750B" w14:textId="77777777" w:rsidTr="00FC2378">
        <w:trPr>
          <w:trHeight w:val="20"/>
        </w:trPr>
        <w:tc>
          <w:tcPr>
            <w:tcW w:w="700" w:type="pct"/>
            <w:tcBorders>
              <w:top w:val="single" w:sz="4" w:space="0" w:color="auto"/>
              <w:left w:val="nil"/>
              <w:bottom w:val="nil"/>
              <w:right w:val="nil"/>
            </w:tcBorders>
            <w:shd w:val="clear" w:color="auto" w:fill="auto"/>
            <w:vAlign w:val="bottom"/>
            <w:hideMark/>
          </w:tcPr>
          <w:p w14:paraId="6F9B3957"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Resource efficiency and collaborations</w:t>
            </w:r>
          </w:p>
        </w:tc>
        <w:tc>
          <w:tcPr>
            <w:tcW w:w="654" w:type="pct"/>
            <w:tcBorders>
              <w:top w:val="single" w:sz="4" w:space="0" w:color="auto"/>
              <w:left w:val="nil"/>
              <w:bottom w:val="nil"/>
              <w:right w:val="nil"/>
            </w:tcBorders>
            <w:shd w:val="clear" w:color="auto" w:fill="auto"/>
            <w:vAlign w:val="bottom"/>
            <w:hideMark/>
          </w:tcPr>
          <w:p w14:paraId="30F3C27B"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World Economic Forum</w:t>
            </w:r>
          </w:p>
        </w:tc>
        <w:tc>
          <w:tcPr>
            <w:tcW w:w="3646" w:type="pct"/>
            <w:tcBorders>
              <w:top w:val="single" w:sz="4" w:space="0" w:color="auto"/>
              <w:left w:val="nil"/>
              <w:bottom w:val="nil"/>
              <w:right w:val="nil"/>
            </w:tcBorders>
            <w:shd w:val="clear" w:color="auto" w:fill="auto"/>
            <w:vAlign w:val="bottom"/>
            <w:hideMark/>
          </w:tcPr>
          <w:p w14:paraId="1278B68A"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 </w:t>
            </w:r>
            <w:r>
              <w:rPr>
                <w:rFonts w:cstheme="minorHAnsi"/>
                <w:color w:val="000000"/>
                <w:sz w:val="18"/>
                <w:szCs w:val="18"/>
                <w:lang w:val="en-GB" w:eastAsia="en-GB"/>
              </w:rPr>
              <w:t>"</w:t>
            </w:r>
            <w:r w:rsidRPr="008228A8">
              <w:rPr>
                <w:rFonts w:cstheme="minorHAnsi"/>
                <w:color w:val="000000"/>
                <w:sz w:val="18"/>
                <w:szCs w:val="18"/>
                <w:lang w:val="en-GB" w:eastAsia="en-GB"/>
              </w:rPr>
              <w:t xml:space="preserve">This report demonstrates the importance of triggering a revolution in the plastics industrial ecosystem and is a first step to showing how to transform the way plastics move through our </w:t>
            </w:r>
            <w:r>
              <w:rPr>
                <w:rFonts w:cstheme="minorHAnsi"/>
                <w:color w:val="000000"/>
                <w:sz w:val="18"/>
                <w:szCs w:val="18"/>
                <w:lang w:val="en-GB" w:eastAsia="en-GB"/>
              </w:rPr>
              <w:t>E</w:t>
            </w:r>
            <w:r w:rsidRPr="008228A8">
              <w:rPr>
                <w:rFonts w:cstheme="minorHAnsi"/>
                <w:color w:val="000000"/>
                <w:sz w:val="18"/>
                <w:szCs w:val="18"/>
                <w:lang w:val="en-GB" w:eastAsia="en-GB"/>
              </w:rPr>
              <w:t>conomy. To move from insight to large-scale action, it is clear that no one actor can work on this alone. The public, private sector and civil society all need to mobili</w:t>
            </w:r>
            <w:r>
              <w:rPr>
                <w:rFonts w:cstheme="minorHAnsi"/>
                <w:color w:val="000000"/>
                <w:sz w:val="18"/>
                <w:szCs w:val="18"/>
                <w:lang w:val="en-GB" w:eastAsia="en-GB"/>
              </w:rPr>
              <w:t>s</w:t>
            </w:r>
            <w:r w:rsidRPr="008228A8">
              <w:rPr>
                <w:rFonts w:cstheme="minorHAnsi"/>
                <w:color w:val="000000"/>
                <w:sz w:val="18"/>
                <w:szCs w:val="18"/>
                <w:lang w:val="en-GB" w:eastAsia="en-GB"/>
              </w:rPr>
              <w:t>e to capture the opportunity of the new circular plastics economy,</w:t>
            </w:r>
            <w:r>
              <w:rPr>
                <w:rFonts w:cstheme="minorHAnsi"/>
                <w:color w:val="000000"/>
                <w:sz w:val="18"/>
                <w:szCs w:val="18"/>
                <w:lang w:val="en-GB" w:eastAsia="en-GB"/>
              </w:rPr>
              <w:t>"</w:t>
            </w:r>
            <w:r w:rsidRPr="008228A8">
              <w:rPr>
                <w:rFonts w:cstheme="minorHAnsi"/>
                <w:color w:val="000000"/>
                <w:sz w:val="18"/>
                <w:szCs w:val="18"/>
                <w:lang w:val="en-GB" w:eastAsia="en-GB"/>
              </w:rPr>
              <w:t xml:space="preserve"> said Dominic Waughray, Head or Public-Private Partnership, World Economic Forum. </w:t>
            </w:r>
          </w:p>
        </w:tc>
      </w:tr>
      <w:tr w:rsidR="00AE3E5B" w:rsidRPr="00053E77" w14:paraId="232CA208" w14:textId="77777777" w:rsidTr="00FC2378">
        <w:trPr>
          <w:trHeight w:val="20"/>
        </w:trPr>
        <w:tc>
          <w:tcPr>
            <w:tcW w:w="700" w:type="pct"/>
            <w:tcBorders>
              <w:top w:val="nil"/>
              <w:left w:val="nil"/>
              <w:bottom w:val="single" w:sz="4" w:space="0" w:color="auto"/>
              <w:right w:val="nil"/>
            </w:tcBorders>
            <w:shd w:val="clear" w:color="auto" w:fill="auto"/>
            <w:vAlign w:val="bottom"/>
          </w:tcPr>
          <w:p w14:paraId="523A0794" w14:textId="77777777" w:rsidR="00AE3E5B" w:rsidRPr="008228A8" w:rsidRDefault="00AE3E5B" w:rsidP="00FC2378">
            <w:pPr>
              <w:spacing w:before="0" w:after="0"/>
              <w:rPr>
                <w:rFonts w:cstheme="minorHAnsi"/>
                <w:color w:val="000000"/>
                <w:sz w:val="18"/>
                <w:szCs w:val="18"/>
                <w:lang w:val="en-GB" w:eastAsia="en-GB"/>
              </w:rPr>
            </w:pPr>
          </w:p>
        </w:tc>
        <w:tc>
          <w:tcPr>
            <w:tcW w:w="654" w:type="pct"/>
            <w:tcBorders>
              <w:top w:val="nil"/>
              <w:left w:val="nil"/>
              <w:bottom w:val="single" w:sz="4" w:space="0" w:color="auto"/>
              <w:right w:val="nil"/>
            </w:tcBorders>
            <w:shd w:val="clear" w:color="auto" w:fill="auto"/>
            <w:vAlign w:val="bottom"/>
          </w:tcPr>
          <w:p w14:paraId="174197C7"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Gartner Supply Chain</w:t>
            </w:r>
          </w:p>
        </w:tc>
        <w:tc>
          <w:tcPr>
            <w:tcW w:w="3646" w:type="pct"/>
            <w:tcBorders>
              <w:top w:val="nil"/>
              <w:left w:val="nil"/>
              <w:bottom w:val="single" w:sz="4" w:space="0" w:color="auto"/>
              <w:right w:val="nil"/>
            </w:tcBorders>
            <w:shd w:val="clear" w:color="auto" w:fill="auto"/>
            <w:vAlign w:val="bottom"/>
          </w:tcPr>
          <w:p w14:paraId="4A686D0E"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The circular </w:t>
            </w:r>
            <w:r>
              <w:rPr>
                <w:rFonts w:cstheme="minorHAnsi"/>
                <w:color w:val="000000"/>
                <w:sz w:val="18"/>
                <w:szCs w:val="18"/>
                <w:lang w:val="en-GB" w:eastAsia="en-GB"/>
              </w:rPr>
              <w:t>E</w:t>
            </w:r>
            <w:r w:rsidRPr="008228A8">
              <w:rPr>
                <w:rFonts w:cstheme="minorHAnsi"/>
                <w:color w:val="000000"/>
                <w:sz w:val="18"/>
                <w:szCs w:val="18"/>
                <w:lang w:val="en-GB" w:eastAsia="en-GB"/>
              </w:rPr>
              <w:t xml:space="preserve">conomy starts with good design, with end of life and raw material reuse in mind. </w:t>
            </w:r>
            <w:r>
              <w:rPr>
                <w:rFonts w:cstheme="minorHAnsi"/>
                <w:color w:val="000000"/>
                <w:sz w:val="18"/>
                <w:szCs w:val="18"/>
                <w:lang w:val="en-GB" w:eastAsia="en-GB"/>
              </w:rPr>
              <w:t>"</w:t>
            </w:r>
            <w:r w:rsidRPr="008228A8">
              <w:rPr>
                <w:rFonts w:cstheme="minorHAnsi"/>
                <w:color w:val="000000"/>
                <w:sz w:val="18"/>
                <w:szCs w:val="18"/>
                <w:lang w:val="en-GB" w:eastAsia="en-GB"/>
              </w:rPr>
              <w:t>The circular economy creates an ecosystem of materials,</w:t>
            </w:r>
            <w:r>
              <w:rPr>
                <w:rFonts w:cstheme="minorHAnsi"/>
                <w:color w:val="000000"/>
                <w:sz w:val="18"/>
                <w:szCs w:val="18"/>
                <w:lang w:val="en-GB" w:eastAsia="en-GB"/>
              </w:rPr>
              <w:t>"</w:t>
            </w:r>
            <w:r w:rsidRPr="008228A8">
              <w:rPr>
                <w:rFonts w:cstheme="minorHAnsi"/>
                <w:color w:val="000000"/>
                <w:sz w:val="18"/>
                <w:szCs w:val="18"/>
                <w:lang w:val="en-GB" w:eastAsia="en-GB"/>
              </w:rPr>
              <w:t xml:space="preserve"> said Sarah Watt, senior director analyst with the Gartner Supply Chain practice. </w:t>
            </w:r>
            <w:r>
              <w:rPr>
                <w:rFonts w:cstheme="minorHAnsi"/>
                <w:color w:val="000000"/>
                <w:sz w:val="18"/>
                <w:szCs w:val="18"/>
                <w:lang w:val="en-GB" w:eastAsia="en-GB"/>
              </w:rPr>
              <w:t>"</w:t>
            </w:r>
            <w:r w:rsidRPr="008228A8">
              <w:rPr>
                <w:rFonts w:cstheme="minorHAnsi"/>
                <w:color w:val="000000"/>
                <w:sz w:val="18"/>
                <w:szCs w:val="18"/>
                <w:lang w:val="en-GB" w:eastAsia="en-GB"/>
              </w:rPr>
              <w:t>What was previously viewed as waste now has value.</w:t>
            </w:r>
            <w:r>
              <w:rPr>
                <w:rFonts w:cstheme="minorHAnsi"/>
                <w:color w:val="000000"/>
                <w:sz w:val="18"/>
                <w:szCs w:val="18"/>
                <w:lang w:val="en-GB" w:eastAsia="en-GB"/>
              </w:rPr>
              <w:t>"</w:t>
            </w:r>
          </w:p>
        </w:tc>
      </w:tr>
      <w:tr w:rsidR="00AE3E5B" w:rsidRPr="00F31913" w14:paraId="5DBB1D1C" w14:textId="77777777" w:rsidTr="00FC2378">
        <w:trPr>
          <w:trHeight w:val="20"/>
        </w:trPr>
        <w:tc>
          <w:tcPr>
            <w:tcW w:w="700" w:type="pct"/>
            <w:tcBorders>
              <w:top w:val="single" w:sz="4" w:space="0" w:color="auto"/>
              <w:left w:val="nil"/>
              <w:right w:val="nil"/>
            </w:tcBorders>
            <w:shd w:val="clear" w:color="auto" w:fill="auto"/>
            <w:vAlign w:val="bottom"/>
            <w:hideMark/>
          </w:tcPr>
          <w:p w14:paraId="0250CE9F"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Business models and mission</w:t>
            </w:r>
          </w:p>
        </w:tc>
        <w:tc>
          <w:tcPr>
            <w:tcW w:w="654" w:type="pct"/>
            <w:tcBorders>
              <w:top w:val="single" w:sz="4" w:space="0" w:color="auto"/>
              <w:left w:val="nil"/>
              <w:right w:val="nil"/>
            </w:tcBorders>
            <w:shd w:val="clear" w:color="auto" w:fill="auto"/>
            <w:vAlign w:val="bottom"/>
            <w:hideMark/>
          </w:tcPr>
          <w:p w14:paraId="711368B3"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Green Alliance</w:t>
            </w:r>
          </w:p>
        </w:tc>
        <w:tc>
          <w:tcPr>
            <w:tcW w:w="3646" w:type="pct"/>
            <w:tcBorders>
              <w:top w:val="single" w:sz="4" w:space="0" w:color="auto"/>
              <w:left w:val="nil"/>
              <w:right w:val="nil"/>
            </w:tcBorders>
            <w:shd w:val="clear" w:color="auto" w:fill="auto"/>
            <w:vAlign w:val="bottom"/>
            <w:hideMark/>
          </w:tcPr>
          <w:p w14:paraId="10A48B0D"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A circular economy for smart devices, produced by Green Alliance, identifies how laptops, tablets, and smartphones which are up to five years old can be profitably recovered and resold in the UK, US, and India. It describes six business models that companies can use to adapt to consumer preferences for lower cost, longer-lasting electronics, and how reuse can bring the benefits of Internet-connected devices to new consumers in the developing world.  The report includes many options to extend the life of old devices. For example, software companies can detect when a user upgrades to a new phone, find its value on a range of resale sites, dispatch a prepaid envelop, and automatically credit the user</w:t>
            </w:r>
            <w:r>
              <w:rPr>
                <w:rFonts w:cstheme="minorHAnsi"/>
                <w:color w:val="000000"/>
                <w:sz w:val="18"/>
                <w:szCs w:val="18"/>
                <w:lang w:val="en-GB" w:eastAsia="en-GB"/>
              </w:rPr>
              <w:t>'</w:t>
            </w:r>
            <w:r w:rsidRPr="008228A8">
              <w:rPr>
                <w:rFonts w:cstheme="minorHAnsi"/>
                <w:color w:val="000000"/>
                <w:sz w:val="18"/>
                <w:szCs w:val="18"/>
                <w:lang w:val="en-GB" w:eastAsia="en-GB"/>
              </w:rPr>
              <w:t xml:space="preserve">s bank account. This would help make the 28-125 million smartphones languishing in UK homes available for reuse. It would work because surveys show that between 27 and 36% of consumers keep an old phone because they </w:t>
            </w:r>
            <w:r>
              <w:rPr>
                <w:rFonts w:cstheme="minorHAnsi"/>
                <w:color w:val="000000"/>
                <w:sz w:val="18"/>
                <w:szCs w:val="18"/>
                <w:lang w:val="en-GB" w:eastAsia="en-GB"/>
              </w:rPr>
              <w:t>"</w:t>
            </w:r>
            <w:r w:rsidRPr="008228A8">
              <w:rPr>
                <w:rFonts w:cstheme="minorHAnsi"/>
                <w:color w:val="000000"/>
                <w:sz w:val="18"/>
                <w:szCs w:val="18"/>
                <w:lang w:val="en-GB" w:eastAsia="en-GB"/>
              </w:rPr>
              <w:t>don't know what to do with it" and a further 17% are just "too lazy" to get rid of them.</w:t>
            </w:r>
          </w:p>
          <w:p w14:paraId="13772B0C"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Hardware companies can redesign their devices to capture the value of used parts. The report shows that it is economic to pay workers in India to recover high value components, like displays and cameras, from existing devices, and that redesign can make recovery cheaper. It also shows that the parts in a two-year-old iPhone could be worth up to £170 - nearly one third of the original sales value of the device.</w:t>
            </w:r>
          </w:p>
        </w:tc>
      </w:tr>
      <w:tr w:rsidR="00AE3E5B" w:rsidRPr="00F31913" w14:paraId="2CD2FBAA" w14:textId="77777777" w:rsidTr="00FC2378">
        <w:trPr>
          <w:trHeight w:val="20"/>
        </w:trPr>
        <w:tc>
          <w:tcPr>
            <w:tcW w:w="700" w:type="pct"/>
            <w:tcBorders>
              <w:top w:val="nil"/>
              <w:left w:val="nil"/>
              <w:bottom w:val="nil"/>
              <w:right w:val="nil"/>
            </w:tcBorders>
            <w:shd w:val="clear" w:color="auto" w:fill="auto"/>
            <w:vAlign w:val="bottom"/>
            <w:hideMark/>
          </w:tcPr>
          <w:p w14:paraId="6E58AC63" w14:textId="77777777" w:rsidR="00AE3E5B" w:rsidRPr="008228A8" w:rsidRDefault="00AE3E5B" w:rsidP="00FC2378">
            <w:pPr>
              <w:spacing w:before="0" w:after="0"/>
              <w:rPr>
                <w:rFonts w:cstheme="minorHAnsi"/>
                <w:color w:val="000000"/>
                <w:sz w:val="18"/>
                <w:szCs w:val="18"/>
                <w:lang w:val="en-GB" w:eastAsia="en-GB"/>
              </w:rPr>
            </w:pPr>
          </w:p>
        </w:tc>
        <w:tc>
          <w:tcPr>
            <w:tcW w:w="654" w:type="pct"/>
            <w:tcBorders>
              <w:top w:val="nil"/>
              <w:left w:val="nil"/>
              <w:bottom w:val="nil"/>
              <w:right w:val="nil"/>
            </w:tcBorders>
            <w:shd w:val="clear" w:color="auto" w:fill="auto"/>
            <w:noWrap/>
            <w:vAlign w:val="bottom"/>
            <w:hideMark/>
          </w:tcPr>
          <w:p w14:paraId="5ADA3D69"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Dell Technologies </w:t>
            </w:r>
          </w:p>
        </w:tc>
        <w:tc>
          <w:tcPr>
            <w:tcW w:w="3646" w:type="pct"/>
            <w:tcBorders>
              <w:top w:val="nil"/>
              <w:left w:val="nil"/>
              <w:bottom w:val="nil"/>
              <w:right w:val="nil"/>
            </w:tcBorders>
            <w:shd w:val="clear" w:color="auto" w:fill="auto"/>
            <w:vAlign w:val="bottom"/>
            <w:hideMark/>
          </w:tcPr>
          <w:p w14:paraId="0172D145"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A company's social impact and environmental footprint must be core to its business. With more participation from businesses and consumers, we can scale closed-loop processes (where materials from old electronics are recycled back into new electronics), whether that's plastics, gold, or rare earth magnets. </w:t>
            </w:r>
          </w:p>
        </w:tc>
      </w:tr>
      <w:tr w:rsidR="00AE3E5B" w:rsidRPr="00F31913" w14:paraId="64D017BA" w14:textId="77777777" w:rsidTr="00FC2378">
        <w:trPr>
          <w:trHeight w:val="20"/>
        </w:trPr>
        <w:tc>
          <w:tcPr>
            <w:tcW w:w="700" w:type="pct"/>
            <w:tcBorders>
              <w:top w:val="nil"/>
              <w:left w:val="nil"/>
              <w:bottom w:val="single" w:sz="4" w:space="0" w:color="auto"/>
              <w:right w:val="nil"/>
            </w:tcBorders>
            <w:shd w:val="clear" w:color="auto" w:fill="auto"/>
            <w:vAlign w:val="bottom"/>
          </w:tcPr>
          <w:p w14:paraId="350D7A0F" w14:textId="77777777" w:rsidR="00AE3E5B" w:rsidRPr="008228A8" w:rsidRDefault="00AE3E5B" w:rsidP="00FC2378">
            <w:pPr>
              <w:spacing w:before="0" w:after="0"/>
              <w:rPr>
                <w:rFonts w:cstheme="minorHAnsi"/>
                <w:color w:val="000000"/>
                <w:sz w:val="18"/>
                <w:szCs w:val="18"/>
                <w:lang w:val="en-GB" w:eastAsia="en-GB"/>
              </w:rPr>
            </w:pPr>
          </w:p>
        </w:tc>
        <w:tc>
          <w:tcPr>
            <w:tcW w:w="654" w:type="pct"/>
            <w:tcBorders>
              <w:top w:val="nil"/>
              <w:left w:val="nil"/>
              <w:bottom w:val="single" w:sz="4" w:space="0" w:color="auto"/>
              <w:right w:val="nil"/>
            </w:tcBorders>
            <w:shd w:val="clear" w:color="auto" w:fill="auto"/>
            <w:noWrap/>
            <w:vAlign w:val="bottom"/>
          </w:tcPr>
          <w:p w14:paraId="6110537F" w14:textId="77777777" w:rsidR="00AE3E5B" w:rsidRPr="008228A8" w:rsidRDefault="00AE3E5B" w:rsidP="00FC2378">
            <w:pPr>
              <w:spacing w:before="0" w:after="0"/>
              <w:rPr>
                <w:rFonts w:cstheme="minorHAnsi"/>
                <w:color w:val="000000"/>
                <w:sz w:val="18"/>
                <w:szCs w:val="18"/>
                <w:lang w:val="en-GB" w:eastAsia="en-GB"/>
              </w:rPr>
            </w:pPr>
            <w:r>
              <w:rPr>
                <w:rFonts w:cstheme="minorHAnsi"/>
                <w:color w:val="000000"/>
                <w:sz w:val="18"/>
                <w:szCs w:val="18"/>
                <w:lang w:val="en-GB" w:eastAsia="en-GB"/>
              </w:rPr>
              <w:t>Binee</w:t>
            </w:r>
          </w:p>
        </w:tc>
        <w:tc>
          <w:tcPr>
            <w:tcW w:w="3646" w:type="pct"/>
            <w:tcBorders>
              <w:top w:val="nil"/>
              <w:left w:val="nil"/>
              <w:bottom w:val="single" w:sz="4" w:space="0" w:color="auto"/>
              <w:right w:val="nil"/>
            </w:tcBorders>
            <w:shd w:val="clear" w:color="auto" w:fill="auto"/>
            <w:vAlign w:val="bottom"/>
          </w:tcPr>
          <w:p w14:paraId="4A60209E" w14:textId="77777777" w:rsidR="00AE3E5B" w:rsidRPr="008228A8" w:rsidRDefault="00AE3E5B" w:rsidP="00FC2378">
            <w:pPr>
              <w:spacing w:before="0" w:after="0"/>
              <w:rPr>
                <w:rFonts w:cstheme="minorHAnsi"/>
                <w:color w:val="000000"/>
                <w:sz w:val="18"/>
                <w:szCs w:val="18"/>
                <w:lang w:val="en-GB" w:eastAsia="en-GB"/>
              </w:rPr>
            </w:pPr>
            <w:r w:rsidRPr="00A11AC4">
              <w:rPr>
                <w:rFonts w:cstheme="minorHAnsi"/>
                <w:color w:val="000000"/>
                <w:sz w:val="18"/>
                <w:szCs w:val="18"/>
                <w:lang w:val="en-GB" w:eastAsia="en-GB"/>
              </w:rPr>
              <w:t xml:space="preserve">The Leipzig-based start-up Binee, finalist of the 2015 Green Alley Award, is improving the way electrical and electronic waste is collected by way of a smart trash can equipped with a camera system. The latter reads the label of the product thrown into the bin, then playfully informs </w:t>
            </w:r>
            <w:r w:rsidRPr="00A11AC4">
              <w:rPr>
                <w:rFonts w:cstheme="minorHAnsi"/>
                <w:color w:val="000000"/>
                <w:sz w:val="18"/>
                <w:szCs w:val="18"/>
                <w:lang w:val="en-GB" w:eastAsia="en-GB"/>
              </w:rPr>
              <w:lastRenderedPageBreak/>
              <w:t xml:space="preserve">the consumer via app about the disposal process of the old device. The consumer is also rewarded with incentives - because according to the Binee founders, </w:t>
            </w:r>
            <w:proofErr w:type="gramStart"/>
            <w:r w:rsidRPr="00A11AC4">
              <w:rPr>
                <w:rFonts w:cstheme="minorHAnsi"/>
                <w:color w:val="000000"/>
                <w:sz w:val="18"/>
                <w:szCs w:val="18"/>
                <w:lang w:val="en-GB" w:eastAsia="en-GB"/>
              </w:rPr>
              <w:t>there's</w:t>
            </w:r>
            <w:proofErr w:type="gramEnd"/>
            <w:r w:rsidRPr="00A11AC4">
              <w:rPr>
                <w:rFonts w:cstheme="minorHAnsi"/>
                <w:color w:val="000000"/>
                <w:sz w:val="18"/>
                <w:szCs w:val="18"/>
                <w:lang w:val="en-GB" w:eastAsia="en-GB"/>
              </w:rPr>
              <w:t xml:space="preserve"> no reason waste disposal can't also be fun.</w:t>
            </w:r>
          </w:p>
        </w:tc>
      </w:tr>
    </w:tbl>
    <w:p w14:paraId="1E2B1B9B" w14:textId="77777777" w:rsidR="00AE3E5B" w:rsidRPr="00F76BE8" w:rsidRDefault="00AE3E5B" w:rsidP="00AE3E5B">
      <w:pPr>
        <w:rPr>
          <w:rFonts w:cstheme="minorHAnsi"/>
          <w:i/>
          <w:iCs/>
          <w:szCs w:val="22"/>
          <w:lang w:val="en-GB"/>
        </w:rPr>
      </w:pPr>
      <w:r w:rsidRPr="004D46F6">
        <w:rPr>
          <w:rFonts w:cstheme="minorHAnsi"/>
          <w:i/>
          <w:iCs/>
          <w:szCs w:val="22"/>
          <w:lang w:val="en-GB"/>
        </w:rPr>
        <w:lastRenderedPageBreak/>
        <w:t>Source: Author</w:t>
      </w:r>
      <w:r>
        <w:rPr>
          <w:rFonts w:cstheme="minorHAnsi"/>
          <w:i/>
          <w:iCs/>
          <w:szCs w:val="22"/>
          <w:lang w:val="en-GB"/>
        </w:rPr>
        <w:t>s</w:t>
      </w:r>
      <w:r w:rsidRPr="004D46F6">
        <w:rPr>
          <w:rFonts w:cstheme="minorHAnsi"/>
          <w:i/>
          <w:iCs/>
          <w:szCs w:val="22"/>
          <w:lang w:val="en-GB"/>
        </w:rPr>
        <w:t>'</w:t>
      </w:r>
      <w:r w:rsidRPr="00F76BE8">
        <w:rPr>
          <w:rFonts w:cstheme="minorHAnsi"/>
          <w:i/>
          <w:iCs/>
          <w:szCs w:val="22"/>
          <w:lang w:val="en-GB"/>
        </w:rPr>
        <w:t xml:space="preserve"> elaboration </w:t>
      </w:r>
    </w:p>
    <w:p w14:paraId="76CEC566" w14:textId="77777777" w:rsidR="00AE3E5B" w:rsidRDefault="00AE3E5B" w:rsidP="00AE3E5B">
      <w:pPr>
        <w:rPr>
          <w:b/>
          <w:bCs/>
          <w:lang w:val="en-GB"/>
        </w:rPr>
      </w:pPr>
    </w:p>
    <w:p w14:paraId="7577CDD1" w14:textId="77777777" w:rsidR="00AE3E5B" w:rsidRDefault="00AE3E5B" w:rsidP="00AE3E5B"/>
    <w:p w14:paraId="5087502E" w14:textId="101FBD32" w:rsidR="00AE3E5B" w:rsidRDefault="00AE3E5B">
      <w:pPr>
        <w:spacing w:before="0" w:after="0"/>
        <w:jc w:val="left"/>
        <w:rPr>
          <w:b/>
          <w:bCs/>
          <w:lang w:val="en-GB"/>
        </w:rPr>
      </w:pPr>
      <w:r>
        <w:rPr>
          <w:b/>
          <w:bCs/>
          <w:lang w:val="en-GB"/>
        </w:rPr>
        <w:br w:type="page"/>
      </w:r>
    </w:p>
    <w:p w14:paraId="2546BD12" w14:textId="77777777" w:rsidR="00AE3E5B" w:rsidRPr="008228A8" w:rsidRDefault="00AE3E5B" w:rsidP="00AE3E5B">
      <w:pPr>
        <w:rPr>
          <w:rFonts w:cstheme="minorHAnsi"/>
          <w:szCs w:val="22"/>
          <w:lang w:val="en-GB"/>
        </w:rPr>
      </w:pPr>
    </w:p>
    <w:p w14:paraId="25D01A1B" w14:textId="77777777" w:rsidR="00AE3E5B" w:rsidRPr="00A11AC4" w:rsidRDefault="00AE3E5B" w:rsidP="00AE3E5B">
      <w:pPr>
        <w:rPr>
          <w:rFonts w:cstheme="minorHAnsi"/>
          <w:i/>
          <w:iCs/>
          <w:szCs w:val="22"/>
          <w:lang w:val="en-GB"/>
        </w:rPr>
      </w:pPr>
      <w:r w:rsidRPr="001D4346">
        <w:rPr>
          <w:rFonts w:cstheme="minorHAnsi"/>
          <w:b/>
          <w:bCs/>
          <w:szCs w:val="22"/>
          <w:lang w:val="en-GB"/>
        </w:rPr>
        <w:t>Table III</w:t>
      </w:r>
      <w:r w:rsidRPr="008228A8">
        <w:rPr>
          <w:rFonts w:cstheme="minorHAnsi"/>
          <w:szCs w:val="22"/>
          <w:lang w:val="en-GB"/>
        </w:rPr>
        <w:t xml:space="preserve">. </w:t>
      </w:r>
      <w:r w:rsidRPr="004D46F6">
        <w:rPr>
          <w:rFonts w:cstheme="minorHAnsi"/>
          <w:szCs w:val="22"/>
          <w:lang w:val="en-GB"/>
        </w:rPr>
        <w:t xml:space="preserve">Industry 4.0 and Circular </w:t>
      </w:r>
      <w:r>
        <w:rPr>
          <w:rFonts w:cstheme="minorHAnsi"/>
          <w:szCs w:val="22"/>
          <w:lang w:val="en-GB"/>
        </w:rPr>
        <w:t>E</w:t>
      </w:r>
      <w:r w:rsidRPr="004D46F6">
        <w:rPr>
          <w:rFonts w:cstheme="minorHAnsi"/>
          <w:szCs w:val="22"/>
          <w:lang w:val="en-GB"/>
        </w:rPr>
        <w:t>conomy</w:t>
      </w:r>
      <w:r w:rsidRPr="00F76BE8">
        <w:rPr>
          <w:rFonts w:cstheme="minorHAnsi"/>
          <w:szCs w:val="22"/>
          <w:lang w:val="en-GB"/>
        </w:rPr>
        <w:t xml:space="preserve"> in academics'</w:t>
      </w:r>
      <w:r w:rsidRPr="00795030">
        <w:rPr>
          <w:rFonts w:cstheme="minorHAnsi"/>
          <w:szCs w:val="22"/>
          <w:lang w:val="en-GB"/>
        </w:rPr>
        <w:t xml:space="preserve"> sources</w:t>
      </w:r>
    </w:p>
    <w:tbl>
      <w:tblPr>
        <w:tblW w:w="4915" w:type="pct"/>
        <w:tblLayout w:type="fixed"/>
        <w:tblLook w:val="04A0" w:firstRow="1" w:lastRow="0" w:firstColumn="1" w:lastColumn="0" w:noHBand="0" w:noVBand="1"/>
      </w:tblPr>
      <w:tblGrid>
        <w:gridCol w:w="1276"/>
        <w:gridCol w:w="1405"/>
        <w:gridCol w:w="6787"/>
      </w:tblGrid>
      <w:tr w:rsidR="00AE3E5B" w:rsidRPr="00053E77" w14:paraId="4CB7AF93" w14:textId="77777777" w:rsidTr="00FC2378">
        <w:trPr>
          <w:trHeight w:val="20"/>
        </w:trPr>
        <w:tc>
          <w:tcPr>
            <w:tcW w:w="674" w:type="pct"/>
            <w:tcBorders>
              <w:top w:val="single" w:sz="4" w:space="0" w:color="auto"/>
              <w:left w:val="nil"/>
              <w:bottom w:val="single" w:sz="4" w:space="0" w:color="auto"/>
              <w:right w:val="nil"/>
            </w:tcBorders>
            <w:shd w:val="clear" w:color="auto" w:fill="auto"/>
            <w:vAlign w:val="bottom"/>
            <w:hideMark/>
          </w:tcPr>
          <w:p w14:paraId="3B864AFC" w14:textId="77777777" w:rsidR="00AE3E5B" w:rsidRPr="008228A8" w:rsidRDefault="00AE3E5B" w:rsidP="00FC2378">
            <w:pPr>
              <w:spacing w:before="0" w:after="0"/>
              <w:rPr>
                <w:rFonts w:cstheme="minorHAnsi"/>
                <w:b/>
                <w:bCs/>
                <w:color w:val="000000"/>
                <w:sz w:val="18"/>
                <w:szCs w:val="18"/>
                <w:lang w:val="en-GB" w:eastAsia="en-GB"/>
              </w:rPr>
            </w:pPr>
            <w:r w:rsidRPr="008228A8">
              <w:rPr>
                <w:rFonts w:cstheme="minorHAnsi"/>
                <w:b/>
                <w:bCs/>
                <w:color w:val="000000"/>
                <w:sz w:val="18"/>
                <w:szCs w:val="18"/>
                <w:lang w:val="en-GB" w:eastAsia="en-GB"/>
              </w:rPr>
              <w:t>Topics</w:t>
            </w:r>
          </w:p>
        </w:tc>
        <w:tc>
          <w:tcPr>
            <w:tcW w:w="742" w:type="pct"/>
            <w:tcBorders>
              <w:top w:val="single" w:sz="4" w:space="0" w:color="auto"/>
              <w:left w:val="nil"/>
              <w:bottom w:val="single" w:sz="4" w:space="0" w:color="auto"/>
              <w:right w:val="nil"/>
            </w:tcBorders>
            <w:shd w:val="clear" w:color="auto" w:fill="auto"/>
            <w:vAlign w:val="bottom"/>
            <w:hideMark/>
          </w:tcPr>
          <w:p w14:paraId="29F782D6" w14:textId="77777777" w:rsidR="00AE3E5B" w:rsidRPr="008228A8" w:rsidRDefault="00AE3E5B" w:rsidP="00FC2378">
            <w:pPr>
              <w:spacing w:before="0" w:after="0"/>
              <w:rPr>
                <w:rFonts w:cstheme="minorHAnsi"/>
                <w:b/>
                <w:bCs/>
                <w:color w:val="000000"/>
                <w:sz w:val="18"/>
                <w:szCs w:val="18"/>
                <w:lang w:val="en-GB" w:eastAsia="en-GB"/>
              </w:rPr>
            </w:pPr>
            <w:r w:rsidRPr="008228A8">
              <w:rPr>
                <w:rFonts w:cstheme="minorHAnsi"/>
                <w:b/>
                <w:bCs/>
                <w:color w:val="000000"/>
                <w:sz w:val="18"/>
                <w:szCs w:val="18"/>
                <w:lang w:val="en-GB" w:eastAsia="en-GB"/>
              </w:rPr>
              <w:t>Cases</w:t>
            </w:r>
          </w:p>
        </w:tc>
        <w:tc>
          <w:tcPr>
            <w:tcW w:w="3584" w:type="pct"/>
            <w:tcBorders>
              <w:top w:val="single" w:sz="4" w:space="0" w:color="auto"/>
              <w:left w:val="nil"/>
              <w:bottom w:val="single" w:sz="4" w:space="0" w:color="auto"/>
              <w:right w:val="nil"/>
            </w:tcBorders>
            <w:shd w:val="clear" w:color="auto" w:fill="auto"/>
            <w:vAlign w:val="bottom"/>
            <w:hideMark/>
          </w:tcPr>
          <w:p w14:paraId="176304B1" w14:textId="77777777" w:rsidR="00AE3E5B" w:rsidRPr="008228A8" w:rsidRDefault="00AE3E5B" w:rsidP="00FC2378">
            <w:pPr>
              <w:spacing w:before="0" w:after="0"/>
              <w:rPr>
                <w:rFonts w:cstheme="minorHAnsi"/>
                <w:b/>
                <w:bCs/>
                <w:color w:val="000000"/>
                <w:sz w:val="18"/>
                <w:szCs w:val="18"/>
                <w:lang w:val="en-GB" w:eastAsia="en-GB"/>
              </w:rPr>
            </w:pPr>
            <w:r>
              <w:rPr>
                <w:rFonts w:cstheme="minorHAnsi"/>
                <w:b/>
                <w:bCs/>
                <w:color w:val="000000"/>
                <w:sz w:val="18"/>
                <w:szCs w:val="18"/>
                <w:lang w:val="en-GB" w:eastAsia="en-GB"/>
              </w:rPr>
              <w:t>Original q</w:t>
            </w:r>
            <w:r w:rsidRPr="008228A8">
              <w:rPr>
                <w:rFonts w:cstheme="minorHAnsi"/>
                <w:b/>
                <w:bCs/>
                <w:color w:val="000000"/>
                <w:sz w:val="18"/>
                <w:szCs w:val="18"/>
                <w:lang w:val="en-GB" w:eastAsia="en-GB"/>
              </w:rPr>
              <w:t>uote</w:t>
            </w:r>
          </w:p>
        </w:tc>
      </w:tr>
      <w:tr w:rsidR="00AE3E5B" w:rsidRPr="00106633" w14:paraId="0CA87006" w14:textId="77777777" w:rsidTr="00FC2378">
        <w:trPr>
          <w:trHeight w:val="20"/>
        </w:trPr>
        <w:tc>
          <w:tcPr>
            <w:tcW w:w="674" w:type="pct"/>
            <w:tcBorders>
              <w:left w:val="nil"/>
              <w:right w:val="nil"/>
            </w:tcBorders>
            <w:shd w:val="clear" w:color="auto" w:fill="auto"/>
            <w:vAlign w:val="bottom"/>
            <w:hideMark/>
          </w:tcPr>
          <w:p w14:paraId="3DD779DD"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Smart services in waste management</w:t>
            </w:r>
          </w:p>
        </w:tc>
        <w:tc>
          <w:tcPr>
            <w:tcW w:w="742" w:type="pct"/>
            <w:tcBorders>
              <w:left w:val="nil"/>
              <w:right w:val="nil"/>
            </w:tcBorders>
            <w:shd w:val="clear" w:color="auto" w:fill="auto"/>
            <w:vAlign w:val="bottom"/>
            <w:hideMark/>
          </w:tcPr>
          <w:p w14:paraId="0E6AD680"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China</w:t>
            </w:r>
          </w:p>
        </w:tc>
        <w:tc>
          <w:tcPr>
            <w:tcW w:w="3584" w:type="pct"/>
            <w:tcBorders>
              <w:left w:val="nil"/>
              <w:right w:val="nil"/>
            </w:tcBorders>
            <w:shd w:val="clear" w:color="auto" w:fill="auto"/>
            <w:vAlign w:val="bottom"/>
            <w:hideMark/>
          </w:tcPr>
          <w:p w14:paraId="33B39D5B"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"Internet of Things" (IoT), is the vast network of devices communicating over the Internet without human involvement. Nevertheless, a circular economy predominates in recent research effort towards sustainability. The food issue dominates in 10 out of 17 of recently established Sustainable Development Goals. Thanks to the optimi</w:t>
            </w:r>
            <w:r>
              <w:rPr>
                <w:rFonts w:cstheme="minorHAnsi"/>
                <w:color w:val="000000"/>
                <w:sz w:val="18"/>
                <w:szCs w:val="18"/>
                <w:lang w:val="en-GB" w:eastAsia="en-GB"/>
              </w:rPr>
              <w:t>s</w:t>
            </w:r>
            <w:r w:rsidRPr="008228A8">
              <w:rPr>
                <w:rFonts w:cstheme="minorHAnsi"/>
                <w:color w:val="000000"/>
                <w:sz w:val="18"/>
                <w:szCs w:val="18"/>
                <w:lang w:val="en-GB" w:eastAsia="en-GB"/>
              </w:rPr>
              <w:t xml:space="preserve">ation of the supply chain and shorter distribution lines, it will be possible to resolve problems within the circular </w:t>
            </w:r>
            <w:r>
              <w:rPr>
                <w:rFonts w:cstheme="minorHAnsi"/>
                <w:color w:val="000000"/>
                <w:sz w:val="18"/>
                <w:szCs w:val="18"/>
                <w:lang w:val="en-GB" w:eastAsia="en-GB"/>
              </w:rPr>
              <w:t>E</w:t>
            </w:r>
            <w:r w:rsidRPr="008228A8">
              <w:rPr>
                <w:rFonts w:cstheme="minorHAnsi"/>
                <w:color w:val="000000"/>
                <w:sz w:val="18"/>
                <w:szCs w:val="18"/>
                <w:lang w:val="en-GB" w:eastAsia="en-GB"/>
              </w:rPr>
              <w:t>conomy in the food aspect such as decrease food waste, improve food traceability, improve food quality, acquire food authentication, optimi</w:t>
            </w:r>
            <w:r>
              <w:rPr>
                <w:rFonts w:cstheme="minorHAnsi"/>
                <w:color w:val="000000"/>
                <w:sz w:val="18"/>
                <w:szCs w:val="18"/>
                <w:lang w:val="en-GB" w:eastAsia="en-GB"/>
              </w:rPr>
              <w:t>s</w:t>
            </w:r>
            <w:r w:rsidRPr="008228A8">
              <w:rPr>
                <w:rFonts w:cstheme="minorHAnsi"/>
                <w:color w:val="000000"/>
                <w:sz w:val="18"/>
                <w:szCs w:val="18"/>
                <w:lang w:val="en-GB" w:eastAsia="en-GB"/>
              </w:rPr>
              <w:t>e supply chain and logistics, etc.</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{"citationID":"8wUp7g0n","properties":{"formattedCitation":"(Andreopoulou, 2017)","plainCitation":"(Andreopoulou, 2017)","noteIndex":0},"citationItems":[{"id":7090,"uris":["http://zotero.org/users/5243184/items/S2HFE22L"],"uri":["http://zotero.org/users/5243184/items/S2HFE22L"],"itemData":{"id":7090,"type":"article-journal","abstract":"RIVISTA DI STUDI SULLA SOSTENIBILITA' - Internet of Things and food circular economy: A new tool for Sustainable Development Goals (","container-title":"RIVISTA DI STUDI SULLA SOSTENIBILITA&amp;#39;","DOI":"10.3280/RISS2017-002004","ISSN":"2239-7221","language":"English","note":"publisher: FrancoAngeli Editore","source":"www.francoangeli.it","title":"Internet of Things and food circular economy: A new tool for Sustainable Development Goals","title-short":"Internet of Things and food circular economy","URL":"http://www.francoangeli.it/Riviste/SchedaRivista.aspx?IDarticolo=60745&amp;amp;lingua=EN","author":[{"family":"Andreopoulou","given":"Zacharoula"}],"accessed":{"date-parts":[["2020",7,8]]},"issued":{"date-parts":[["2017",12,15]]}}}],"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(Andreopoulou, 2017)</w:t>
            </w:r>
            <w:r>
              <w:rPr>
                <w:rFonts w:cstheme="minorHAnsi"/>
                <w:color w:val="000000"/>
                <w:sz w:val="18"/>
                <w:szCs w:val="18"/>
                <w:lang w:val="en-GB" w:eastAsia="en-GB"/>
              </w:rPr>
              <w:fldChar w:fldCharType="end"/>
            </w:r>
            <w:r>
              <w:rPr>
                <w:rFonts w:cstheme="minorHAnsi"/>
                <w:color w:val="000000"/>
                <w:sz w:val="18"/>
                <w:szCs w:val="18"/>
                <w:lang w:val="en-GB" w:eastAsia="en-GB"/>
              </w:rPr>
              <w:t xml:space="preserve"> </w:t>
            </w:r>
          </w:p>
        </w:tc>
      </w:tr>
      <w:tr w:rsidR="00AE3E5B" w:rsidRPr="00A15718" w14:paraId="741381B9" w14:textId="77777777" w:rsidTr="00FC2378">
        <w:trPr>
          <w:trHeight w:val="20"/>
        </w:trPr>
        <w:tc>
          <w:tcPr>
            <w:tcW w:w="674" w:type="pct"/>
            <w:tcBorders>
              <w:left w:val="nil"/>
              <w:right w:val="nil"/>
            </w:tcBorders>
            <w:shd w:val="clear" w:color="auto" w:fill="auto"/>
            <w:vAlign w:val="bottom"/>
          </w:tcPr>
          <w:p w14:paraId="34DE3FFE"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left w:val="nil"/>
              <w:right w:val="nil"/>
            </w:tcBorders>
            <w:shd w:val="clear" w:color="auto" w:fill="auto"/>
            <w:vAlign w:val="bottom"/>
          </w:tcPr>
          <w:p w14:paraId="4D49B463" w14:textId="77777777" w:rsidR="00AE3E5B" w:rsidRPr="008228A8" w:rsidRDefault="00AE3E5B" w:rsidP="00FC2378">
            <w:pPr>
              <w:spacing w:before="0" w:after="0"/>
              <w:rPr>
                <w:rFonts w:cstheme="minorHAnsi"/>
                <w:color w:val="000000"/>
                <w:sz w:val="18"/>
                <w:szCs w:val="18"/>
                <w:lang w:val="en-GB" w:eastAsia="en-GB"/>
              </w:rPr>
            </w:pPr>
          </w:p>
        </w:tc>
        <w:tc>
          <w:tcPr>
            <w:tcW w:w="3584" w:type="pct"/>
            <w:tcBorders>
              <w:left w:val="nil"/>
              <w:right w:val="nil"/>
            </w:tcBorders>
            <w:shd w:val="clear" w:color="auto" w:fill="auto"/>
            <w:vAlign w:val="bottom"/>
          </w:tcPr>
          <w:p w14:paraId="1F9A0DE3"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Waste management requires a new vision and drastic improvements for a transition to a zero-waste circular economy. However, many economies are producing more and more waste, which poses a severe challenge to environmental sustainability. The problem is enormously complex as it involves a variety of stakeholders, demands behavioural changes, and requires a complete rethinking of the current waste management systems and the dominant linear economic model. Smart enabling technologies can aid in a transformation of waste management toward a circular economy, but many barriers persist. This study first shortlists twelve significant barriers to smart waste management in China based on interviews with experienced practitioners. It then prioriti</w:t>
            </w:r>
            <w:r>
              <w:rPr>
                <w:rFonts w:cstheme="minorHAnsi"/>
                <w:color w:val="000000"/>
                <w:sz w:val="18"/>
                <w:szCs w:val="18"/>
                <w:lang w:val="en-GB" w:eastAsia="en-GB"/>
              </w:rPr>
              <w:t>s</w:t>
            </w:r>
            <w:r w:rsidRPr="008228A8">
              <w:rPr>
                <w:rFonts w:cstheme="minorHAnsi"/>
                <w:color w:val="000000"/>
                <w:sz w:val="18"/>
                <w:szCs w:val="18"/>
                <w:lang w:val="en-GB" w:eastAsia="en-GB"/>
              </w:rPr>
              <w:t>es these barriers through a scientific prioriti</w:t>
            </w:r>
            <w:r>
              <w:rPr>
                <w:rFonts w:cstheme="minorHAnsi"/>
                <w:color w:val="000000"/>
                <w:sz w:val="18"/>
                <w:szCs w:val="18"/>
                <w:lang w:val="en-GB" w:eastAsia="en-GB"/>
              </w:rPr>
              <w:t>s</w:t>
            </w:r>
            <w:r w:rsidRPr="008228A8">
              <w:rPr>
                <w:rFonts w:cstheme="minorHAnsi"/>
                <w:color w:val="000000"/>
                <w:sz w:val="18"/>
                <w:szCs w:val="18"/>
                <w:lang w:val="en-GB" w:eastAsia="en-GB"/>
              </w:rPr>
              <w:t>ation technique, fuzzy Decision-Making Trial and Evaluation Laboratory (DEMATEL), based on the survey data from three representative stakeholders. It identified three critical causal barriers: the lack of regulatory pressures, the lack of environmental education and culture of environmental protection, and the lack of market pressures and demands</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{"citationID":"tu2RtTHm","properties":{"formattedCitation":"(Zhang et al., 2019)","plainCitation":"(Zhang et al., 2019)","noteIndex":0},"citationItems":[{"id":6881,"uris":["http://zotero.org/users/5243184/items/6DFKLJUQ"],"uri":["http://zotero.org/users/5243184/items/6DFKLJUQ"],"itemData":{"id":6881,"type":"article-journal","abstract":"Waste management requires a new vision and drastic improvements for a transition to a zero-waste circular economy. In reality, however, many economies are producing more and more waste, which poses a serious challenge to environmental sustainability. The problem is enormously complex as it involves a variety of stakeholders, demands behavioral changes, and requires a complete rethinking of the current waste management systems and the dominant linear economic model. Smart enabling technologies can aid in a transformation of waste management toward a circular economy, but many barriers persist. This study first shortlists twelve important barriers to smart waste management in China based on interviews with experienced practitioners. It then prioritizes these barriers through a scientific prioritization technique, fuzzy Decision-Making Trial and Evaluation Laboratory (DEMATEL), based on the survey data from three representative stakeholders. It identified three key causal barriers: the lack of regulatory pressures, the lack of environmental education and culture of environmental protection, and the lack of market pressures and demands. Practical and theoretical implications were discussed based on the research results and findings.","container-title":"Journal of Cleaner Production","DOI":"10.1016/j.jclepro.2019.118198","ISSN":"0959-6526","journalAbbreviation":"Journal of Cleaner Production","language":"en","page":"118198","source":"ScienceDirect","title":"Barriers to smart waste management for a circular economy in China","volume":"240","author":[{"family":"Zhang","given":"Abraham"},{"family":"Venkatesh","given":"V. G."},{"family":"Liu","given":"Yang"},{"family":"Wan","given":"Ming"},{"family":"Qu","given":"Ting"},{"family":"Huisingh","given":"Donald"}],"issued":{"date-parts":[["2019",12,10]]}}}],"schema":"https://github.com/citation-style-language/schema/raw/master/csl-citation.json"}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(Zhang et al., 2019)</w:t>
            </w:r>
            <w:r>
              <w:rPr>
                <w:rFonts w:cstheme="minorHAnsi"/>
                <w:color w:val="000000"/>
                <w:sz w:val="18"/>
                <w:szCs w:val="18"/>
                <w:lang w:val="en-GB" w:eastAsia="en-GB"/>
              </w:rPr>
              <w:fldChar w:fldCharType="end"/>
            </w:r>
            <w:r>
              <w:rPr>
                <w:rFonts w:cstheme="minorHAnsi"/>
                <w:color w:val="000000"/>
                <w:sz w:val="18"/>
                <w:szCs w:val="18"/>
                <w:lang w:val="en-GB" w:eastAsia="en-GB"/>
              </w:rPr>
              <w:t xml:space="preserve">. </w:t>
            </w:r>
          </w:p>
        </w:tc>
      </w:tr>
      <w:tr w:rsidR="00AE3E5B" w:rsidRPr="00A15718" w14:paraId="0E8DC0E4" w14:textId="77777777" w:rsidTr="00FC2378">
        <w:trPr>
          <w:trHeight w:val="20"/>
        </w:trPr>
        <w:tc>
          <w:tcPr>
            <w:tcW w:w="674" w:type="pct"/>
            <w:tcBorders>
              <w:top w:val="single" w:sz="4" w:space="0" w:color="auto"/>
              <w:left w:val="nil"/>
              <w:right w:val="nil"/>
            </w:tcBorders>
            <w:shd w:val="clear" w:color="auto" w:fill="auto"/>
            <w:vAlign w:val="bottom"/>
            <w:hideMark/>
          </w:tcPr>
          <w:p w14:paraId="2B648241"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Resource efficiency and collaborations</w:t>
            </w:r>
          </w:p>
        </w:tc>
        <w:tc>
          <w:tcPr>
            <w:tcW w:w="742" w:type="pct"/>
            <w:tcBorders>
              <w:top w:val="single" w:sz="4" w:space="0" w:color="auto"/>
              <w:left w:val="nil"/>
              <w:right w:val="nil"/>
            </w:tcBorders>
            <w:shd w:val="clear" w:color="auto" w:fill="auto"/>
            <w:vAlign w:val="bottom"/>
            <w:hideMark/>
          </w:tcPr>
          <w:p w14:paraId="49E5CEC1"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GHC</w:t>
            </w:r>
          </w:p>
        </w:tc>
        <w:tc>
          <w:tcPr>
            <w:tcW w:w="3584" w:type="pct"/>
            <w:tcBorders>
              <w:top w:val="single" w:sz="4" w:space="0" w:color="auto"/>
              <w:left w:val="nil"/>
              <w:right w:val="nil"/>
            </w:tcBorders>
            <w:shd w:val="clear" w:color="auto" w:fill="auto"/>
            <w:vAlign w:val="bottom"/>
            <w:hideMark/>
          </w:tcPr>
          <w:p w14:paraId="1039A579"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The current scenario where the effects of global warming are more and more evidence has motivated different initiatives for facing this, such as the creation of comprehensive policies with a clear environmental guideline. Within these policies, the control of Greenhouse Gase (GHG) emissions has been defined as mandatory, but for carrying out this, a smart strategy is proposed. This is the application of a circular economy model, which seeks to minimi</w:t>
            </w:r>
            <w:r>
              <w:rPr>
                <w:rFonts w:cstheme="minorHAnsi"/>
                <w:color w:val="000000"/>
                <w:sz w:val="18"/>
                <w:szCs w:val="18"/>
                <w:lang w:val="en-GB" w:eastAsia="en-GB"/>
              </w:rPr>
              <w:t>s</w:t>
            </w:r>
            <w:r w:rsidRPr="008228A8">
              <w:rPr>
                <w:rFonts w:cstheme="minorHAnsi"/>
                <w:color w:val="000000"/>
                <w:sz w:val="18"/>
                <w:szCs w:val="18"/>
                <w:lang w:val="en-GB" w:eastAsia="en-GB"/>
              </w:rPr>
              <w:t>e the generation of waste and maximi</w:t>
            </w:r>
            <w:r>
              <w:rPr>
                <w:rFonts w:cstheme="minorHAnsi"/>
                <w:color w:val="000000"/>
                <w:sz w:val="18"/>
                <w:szCs w:val="18"/>
                <w:lang w:val="en-GB" w:eastAsia="en-GB"/>
              </w:rPr>
              <w:t>s</w:t>
            </w:r>
            <w:r w:rsidRPr="008228A8">
              <w:rPr>
                <w:rFonts w:cstheme="minorHAnsi"/>
                <w:color w:val="000000"/>
                <w:sz w:val="18"/>
                <w:szCs w:val="18"/>
                <w:lang w:val="en-GB" w:eastAsia="en-GB"/>
              </w:rPr>
              <w:t>e the efficient use of resources. From this point of view, CO2 recycling is an alternative to reduce emissions to the atmosphere, and we need to look for new business models which valori</w:t>
            </w:r>
            <w:r>
              <w:rPr>
                <w:rFonts w:cstheme="minorHAnsi"/>
                <w:color w:val="000000"/>
                <w:sz w:val="18"/>
                <w:szCs w:val="18"/>
                <w:lang w:val="en-GB" w:eastAsia="en-GB"/>
              </w:rPr>
              <w:t>s</w:t>
            </w:r>
            <w:r w:rsidRPr="008228A8">
              <w:rPr>
                <w:rFonts w:cstheme="minorHAnsi"/>
                <w:color w:val="000000"/>
                <w:sz w:val="18"/>
                <w:szCs w:val="18"/>
                <w:lang w:val="en-GB" w:eastAsia="en-GB"/>
              </w:rPr>
              <w:t>ation this compound which now must be considered as a renewable carbon source. This allows understanding why efforts are being focused on the development of different reactions for CO2 valori</w:t>
            </w:r>
            <w:r>
              <w:rPr>
                <w:rFonts w:cstheme="minorHAnsi"/>
                <w:color w:val="000000"/>
                <w:sz w:val="18"/>
                <w:szCs w:val="18"/>
                <w:lang w:val="en-GB" w:eastAsia="en-GB"/>
              </w:rPr>
              <w:t>s</w:t>
            </w:r>
            <w:r w:rsidRPr="008228A8">
              <w:rPr>
                <w:rFonts w:cstheme="minorHAnsi"/>
                <w:color w:val="000000"/>
                <w:sz w:val="18"/>
                <w:szCs w:val="18"/>
                <w:lang w:val="en-GB" w:eastAsia="en-GB"/>
              </w:rPr>
              <w:t>ation. Special attention to the case of the Sabatier reaction and in the application of structured reactors for such process is paid</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{"citationID":"FkbJu4Tv","properties":{"formattedCitation":"(Navarro et al., 2018)","plainCitation":"(Navarro et al., 2018)","noteIndex":0},"citationItems":[{"id":6876,"uris":["http://zotero.org/users/5243184/items/MHLUVJUD"],"uri":["http://zotero.org/users/5243184/items/MHLUVJUD"],"itemData":{"id":6876,"type":"article-journal","abstract":"The current scenario where the effects of global warming are more and more evident, has motivated different initiatives for facing this, such as the creation of global policies with a clear environmental guideline. Within these policies, the control of Greenhouse Gase (GHG) emissions has been defined as mandatory, but for carrying out this, a smart strategy is proposed. This is the application of a circular economy model, which seeks to minimize the generation of waste and maximize the efficient use of resources. From this point of view, CO2 recycling is an alternative to reduce emissions to the atmosphere, and we need to look for new business models which valorization this compound which now must be considered as a renewable carbon source. This has renewed the interest in known processes for the chemical transformation of CO2 but that have not been applied at industrial level because they do not offer evident profitability. For example, the methane produced in the Sabatier reaction has a great potential for application, but this depends on the existence of a sustainable supply of hydrogen and a greater efficiency during the process that allows maximizing energy efficiency and thermal control to maximize the methane yield. Regarding energy efficiency and thermal control of the process, the use of structured reactors is an appropriate strategy. The evolution of new technologies, such as 3D printing, and the consolidation of knowledge in the structing of catalysts has enabled the use of these reactors to develop a wide range of possibilities in the field. In this sense, the present review presents a brief description of the main policies that have motivated the transition to a circular economy model and within this, to CO2 recycling. This allows understanding, why efforts are being focused on the development of different reactions for CO2 valorization. Special attention to the case of the Sabatier reaction and in the application of structured reactors for such process is paid.","container-title":"Catalysts","DOI":"10.3390/catal8120578","issue":"12","language":"en","note":"number: 12\npublisher: Multidisciplinary Digital Publishing Institute","page":"578","source":"www.mdpi.com","title":"Policies and Motivations for the CO2 Valorization through the Sabatier Reaction Using Structured Catalysts. A Review of the Most Recent Advances","volume":"8","author":[{"family":"Navarro","given":"Juan C."},{"family":"Centeno","given":"Miguel A."},{"family":"Laguna","given":"Oscar H."},{"family":"Odriozola","given":"José A."}],"issued":{"date-parts":[["2018",12]]}}}],"schema":"https://github.com/citation-style-language/schema/raw/master/csl-citation.json"}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(Navarro et al., 2018)</w:t>
            </w:r>
            <w:r>
              <w:rPr>
                <w:rFonts w:cstheme="minorHAnsi"/>
                <w:color w:val="000000"/>
                <w:sz w:val="18"/>
                <w:szCs w:val="18"/>
                <w:lang w:val="en-GB" w:eastAsia="en-GB"/>
              </w:rPr>
              <w:fldChar w:fldCharType="end"/>
            </w:r>
            <w:r>
              <w:rPr>
                <w:rFonts w:cstheme="minorHAnsi"/>
                <w:color w:val="000000"/>
                <w:sz w:val="18"/>
                <w:szCs w:val="18"/>
                <w:lang w:val="en-GB" w:eastAsia="en-GB"/>
              </w:rPr>
              <w:t xml:space="preserve">. </w:t>
            </w:r>
          </w:p>
        </w:tc>
      </w:tr>
      <w:tr w:rsidR="00AE3E5B" w:rsidRPr="00A15718" w14:paraId="0FCE96E3" w14:textId="77777777" w:rsidTr="00FC2378">
        <w:trPr>
          <w:trHeight w:val="20"/>
        </w:trPr>
        <w:tc>
          <w:tcPr>
            <w:tcW w:w="674" w:type="pct"/>
            <w:tcBorders>
              <w:left w:val="nil"/>
              <w:right w:val="nil"/>
            </w:tcBorders>
            <w:shd w:val="clear" w:color="auto" w:fill="auto"/>
            <w:vAlign w:val="bottom"/>
            <w:hideMark/>
          </w:tcPr>
          <w:p w14:paraId="6F2DAB90"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left w:val="nil"/>
              <w:right w:val="nil"/>
            </w:tcBorders>
            <w:shd w:val="clear" w:color="auto" w:fill="auto"/>
            <w:vAlign w:val="bottom"/>
            <w:hideMark/>
          </w:tcPr>
          <w:p w14:paraId="461BB11E"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Steel production</w:t>
            </w:r>
          </w:p>
        </w:tc>
        <w:tc>
          <w:tcPr>
            <w:tcW w:w="3584" w:type="pct"/>
            <w:tcBorders>
              <w:left w:val="nil"/>
              <w:right w:val="nil"/>
            </w:tcBorders>
            <w:shd w:val="clear" w:color="auto" w:fill="auto"/>
            <w:vAlign w:val="bottom"/>
            <w:hideMark/>
          </w:tcPr>
          <w:p w14:paraId="2F66A4D7"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The electric steel production is in line with the circular economy concept due to the reuse of scrap. However, being energy-intensive industries with a significant environmental impact, electric steelworks can increase their competitiveness and ecological sustainability through adequate management of resource and energy. The paper presents a work related to the quantification of electrical energy consumption and environmental impact of alternative electric steelmaking scenarios while simultaneously monitoring the steel composition</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{"citationID":"WuVvDVBS","properties":{"formattedCitation":"(Matino et al., 2017)","plainCitation":"(Matino et al., 2017)","noteIndex":0},"citationItems":[{"id":6884,"uris":["http://zotero.org/users/5243184/items/UPRA3Z9R"],"uri":["http://zotero.org/users/5243184/items/UPRA3Z9R"],"itemData":{"id":6884,"type":"article-journal","abstract":"The electric steel production is in line with the circular economy concept due to the reuse of scrap. However, being energy intensive industries with a significant environmental impact, electric steelworks can increase their competitiveness and environmental sustainability through an adequate management of resource and energy. The paper presents a work related to the quantification of electric energy consumption and environmental impact of unconventional electric steelmaking scenarios while simultaneously monitoring the steel composition. The exploitation of an ad-hoc developed Decision Support Tool highlights that scrap quality strongly affects the monitored energy and environmental parameters (quantified in terms of Key Performance Indicators and aggregated in a Global Index). Moreover, the developed simulations pointed out that the removal of Fe-alloy addition during EAF tapping allows reducing slag and improving the yield by preserving also the steel quality while slightly increasing the electric energy consumption: in countries where the price and the emissions related to the production of electricity are low, this can be a good compromise to improve the environmental sustainability of the sector. The study shows that also limited modifications of the well-known electric steelmaking process could help to increase the sustainability of this energy intensive industrial production route.","collection-title":"Transformative Innovations for a Sustainable Future – Part II","container-title":"Applied Energy","DOI":"10.1016/j.apenergy.2017.06.088","ISSN":"0306-2619","journalAbbreviation":"Applied Energy","language":"en","page":"543-552","source":"ScienceDirect","title":"Quantification of energy and environmental impacts in uncommon electric steelmaking scenarios to improve process sustainability","volume":"207","author":[{"family":"Matino","given":"Ismael"},{"family":"Colla","given":"Valentina"},{"family":"Baragiola","given":"Stefano"}],"issued":{"date-parts":[["2017",12,1]]}}}],"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(Matino et al., 2017)</w:t>
            </w:r>
            <w:r>
              <w:rPr>
                <w:rFonts w:cstheme="minorHAnsi"/>
                <w:color w:val="000000"/>
                <w:sz w:val="18"/>
                <w:szCs w:val="18"/>
                <w:lang w:val="en-GB" w:eastAsia="en-GB"/>
              </w:rPr>
              <w:fldChar w:fldCharType="end"/>
            </w:r>
            <w:r>
              <w:rPr>
                <w:rFonts w:cstheme="minorHAnsi"/>
                <w:color w:val="000000"/>
                <w:sz w:val="18"/>
                <w:szCs w:val="18"/>
                <w:lang w:val="en-GB" w:eastAsia="en-GB"/>
              </w:rPr>
              <w:t xml:space="preserve">. </w:t>
            </w:r>
          </w:p>
        </w:tc>
      </w:tr>
      <w:tr w:rsidR="00AE3E5B" w:rsidRPr="00A15718" w14:paraId="5FC50E19" w14:textId="77777777" w:rsidTr="00FC2378">
        <w:trPr>
          <w:trHeight w:val="20"/>
        </w:trPr>
        <w:tc>
          <w:tcPr>
            <w:tcW w:w="674" w:type="pct"/>
            <w:tcBorders>
              <w:top w:val="nil"/>
              <w:left w:val="nil"/>
              <w:right w:val="nil"/>
            </w:tcBorders>
            <w:shd w:val="clear" w:color="auto" w:fill="auto"/>
            <w:vAlign w:val="bottom"/>
            <w:hideMark/>
          </w:tcPr>
          <w:p w14:paraId="037F4096"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top w:val="nil"/>
              <w:left w:val="nil"/>
              <w:right w:val="nil"/>
            </w:tcBorders>
            <w:shd w:val="clear" w:color="auto" w:fill="auto"/>
            <w:vAlign w:val="bottom"/>
            <w:hideMark/>
          </w:tcPr>
          <w:p w14:paraId="43DD5DDC" w14:textId="77777777" w:rsidR="00AE3E5B" w:rsidRPr="000818C9" w:rsidRDefault="00AE3E5B" w:rsidP="00FC2378">
            <w:pPr>
              <w:spacing w:before="0" w:after="0"/>
              <w:rPr>
                <w:rFonts w:cstheme="minorHAnsi"/>
                <w:sz w:val="18"/>
                <w:szCs w:val="18"/>
                <w:lang w:val="en-GB" w:eastAsia="en-GB"/>
              </w:rPr>
            </w:pPr>
            <w:r w:rsidRPr="00473378">
              <w:rPr>
                <w:rFonts w:cstheme="minorHAnsi"/>
                <w:sz w:val="18"/>
                <w:szCs w:val="18"/>
                <w:lang w:val="en-GB" w:eastAsia="en-GB"/>
              </w:rPr>
              <w:t>Biogas</w:t>
            </w:r>
          </w:p>
        </w:tc>
        <w:tc>
          <w:tcPr>
            <w:tcW w:w="3584" w:type="pct"/>
            <w:tcBorders>
              <w:top w:val="nil"/>
              <w:left w:val="nil"/>
              <w:right w:val="nil"/>
            </w:tcBorders>
            <w:shd w:val="clear" w:color="auto" w:fill="auto"/>
            <w:vAlign w:val="bottom"/>
            <w:hideMark/>
          </w:tcPr>
          <w:p w14:paraId="1E669093"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This paper recommends the implementation of evaporator systems to provide a sustainable liquid digestate treating mechanism within the </w:t>
            </w:r>
            <w:r>
              <w:rPr>
                <w:rFonts w:cstheme="minorHAnsi"/>
                <w:color w:val="000000"/>
                <w:sz w:val="18"/>
                <w:szCs w:val="18"/>
                <w:lang w:val="en-GB" w:eastAsia="en-GB"/>
              </w:rPr>
              <w:t>E</w:t>
            </w:r>
            <w:r w:rsidRPr="008228A8">
              <w:rPr>
                <w:rFonts w:cstheme="minorHAnsi"/>
                <w:color w:val="000000"/>
                <w:sz w:val="18"/>
                <w:szCs w:val="18"/>
                <w:lang w:val="en-GB" w:eastAsia="en-GB"/>
              </w:rPr>
              <w:t>conomy. Studied evaporator systems are represented by vacuum evaporation in combination with ammonia scrubber, stripping and reverse osmosis</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{"citationID":"2HqwYS8N","properties":{"formattedCitation":"(Vondra et al., 2019)","plainCitation":"(Vondra et al., 2019)","noteIndex":0},"citationItems":[{"id":6889,"uris":["http://zotero.org/users/5243184/items/72LGSLD3"],"uri":["http://zotero.org/users/5243184/items/72LGSLD3"],"itemData":{"id":6889,"type":"article-journal","abstract":"Biogas production is one of the most promising pathways toward fully utilizing green energy within a circular economy. The anaerobic digestion process is the industry standard technology for biogas production due to its lowered energy consumption and its reliance on microbiology. Even in such an environmental-friendly process, liquid digestate is still produced from the remains of digested bio-feedstock and will require treatment. With unsuitable treatment procedure for liquid digestate, the mass of bio-feedstock can potentially escape the circular supply chain within the economy. This paper recommends the implementation of evaporator systems to provide a sustainable liquid digestate treating mechanism within the economy. Studied evaporator systems are represented by vacuum evaporation in combination with ammonia scrubber, stripping and reverse osmosis. Nevertheless, complex multi-dimensional decisions should be made by stakeholders before implementing such systems. Our work utilizes a novel techno-economics model to study the techno-economics robustness in implementing recent state-of-art vacuum evaporation systems with exploitation of waste heat from combined heat and power (CHP) units in biogas plants (BGP). To take into the account the stochasticity of the real world and robustness of the analysis, we used the Monte-Carlo simulation technique to generate more than 20,000 of different possibilities for the implementation of the evaporation system. Favourable decision pathways are then selected using a novel methodology which utilizes the artificial neural network and a hyper-optimized decision tree classifier. Two pathways that give the highest probability of providing a fast payback period are identified. Descriptive statistics are also used to analyse the distributions of decision parameters that lead to success in implementing the evaporator system. The results highlighted that integration of evaporation system are favourable when transport costs and incentives for CHP units are large and while feed-in tariffs for electricity production and specific investment costs are low. The result of this work is expected to pave the way for BGP stakeholders and decision makers in implementing liquid digestate treating technologies within the currently existing infrastructure.","container-title":"Journal of Cleaner Production","DOI":"10.1016/j.jclepro.2019.117870","ISSN":"0959-6526","journalAbbreviation":"Journal of Cleaner Production","language":"en","page":"117870","source":"ScienceDirect","title":"Digestate evaporation treatment in biogas plants: A techno-economic assessment by Monte Carlo, neural networks and decision trees","title-short":"Digestate evaporation treatment in biogas plants","volume":"238","author":[{"family":"Vondra","given":"Marek"},{"family":"Touš","given":"Michal"},{"family":"Teng","given":"Sin Yong"}],"issued":{"date-parts":[["2019",11,20]]}}}],"schema":"https://github.com/citation-style-language/schema/raw/master/csl-citation.json"}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(Vondra et al., 2019)</w:t>
            </w:r>
            <w:r>
              <w:rPr>
                <w:rFonts w:cstheme="minorHAnsi"/>
                <w:color w:val="000000"/>
                <w:sz w:val="18"/>
                <w:szCs w:val="18"/>
                <w:lang w:val="en-GB" w:eastAsia="en-GB"/>
              </w:rPr>
              <w:fldChar w:fldCharType="end"/>
            </w:r>
            <w:r>
              <w:rPr>
                <w:rFonts w:cstheme="minorHAnsi"/>
                <w:color w:val="000000"/>
                <w:sz w:val="18"/>
                <w:szCs w:val="18"/>
                <w:lang w:val="en-GB" w:eastAsia="en-GB"/>
              </w:rPr>
              <w:t xml:space="preserve">. </w:t>
            </w:r>
          </w:p>
        </w:tc>
      </w:tr>
      <w:tr w:rsidR="00AE3E5B" w:rsidRPr="00A15718" w14:paraId="1936E442" w14:textId="77777777" w:rsidTr="00FC2378">
        <w:trPr>
          <w:trHeight w:val="20"/>
        </w:trPr>
        <w:tc>
          <w:tcPr>
            <w:tcW w:w="674" w:type="pct"/>
            <w:tcBorders>
              <w:top w:val="nil"/>
              <w:left w:val="nil"/>
              <w:right w:val="nil"/>
            </w:tcBorders>
            <w:shd w:val="clear" w:color="auto" w:fill="auto"/>
            <w:vAlign w:val="bottom"/>
            <w:hideMark/>
          </w:tcPr>
          <w:p w14:paraId="25BAC5DA"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top w:val="nil"/>
              <w:left w:val="nil"/>
              <w:right w:val="nil"/>
            </w:tcBorders>
            <w:shd w:val="clear" w:color="auto" w:fill="auto"/>
            <w:vAlign w:val="bottom"/>
            <w:hideMark/>
          </w:tcPr>
          <w:p w14:paraId="0944FDD6"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Buildings</w:t>
            </w:r>
          </w:p>
        </w:tc>
        <w:tc>
          <w:tcPr>
            <w:tcW w:w="3584" w:type="pct"/>
            <w:tcBorders>
              <w:top w:val="nil"/>
              <w:left w:val="nil"/>
              <w:right w:val="nil"/>
            </w:tcBorders>
            <w:shd w:val="clear" w:color="auto" w:fill="auto"/>
            <w:vAlign w:val="bottom"/>
            <w:hideMark/>
          </w:tcPr>
          <w:p w14:paraId="36CAB2B7"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Despite the relevance of building information modelling for simulating building performance at various life cycle stages. Its use for assessing the end-of-life impacts is not a common practice. Even though the global sustainability and circular economy agendas require that buildings must have minimal impact on the environment across the entire lifecycle, in this study, therefore, a disassembly and deconstruction analytics system is developed to provide buildings' end-of-life performance assessment from the design stage</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{"citationID":"g3phrVOr","properties":{"formattedCitation":"(Akanbi et al., 2019)","plainCitation":"(Akanbi et al., 2019)","noteIndex":0},"citationItems":[{"id":6892,"uris":["http://zotero.org/users/5243184/items/NJDPDMU9"],"uri":["http://zotero.org/users/5243184/items/NJDPDMU9"],"itemData":{"id":6892,"type":"article-journal","abstract":"Despite the relevance of building information modelling for simulating building performance at various life cycle stages, Its use for assessing the end-of-life impacts is not a common practice. Even though the global sustainability and circular economy agendas require that buildings must have minimal impact on the environment across the entire lifecycle. In this study therefore, a disassembly and deconstruction analytics system is developed to provide buildings’ end-of-life performance assessment from the design stage. The system architecture builds on the existing building information modelling capabilities in managing building design and construction process. The architecture is made up of four different layers namely (i) Data storage layer, (ii) Semantic layer, (iii) Analytics and functional models layer and (iv) Application layer. The four layers are logically connected to function as a single system. Three key functionalities of the disassembly and deconstruction analytics system namely (i) Building Whole Life Performance Analytics (ii) Building Element Deconstruction Analytics and (iii) Design for Deconstruction Advisor are implemented as plug-in in Revit 2017. Three scenarios of a case study building design were used to test and evaluate the performance of the system. The results show that building information modelling software capabilities can be extended to provide a platform for assessing the performance of building designs in respect of the circular economy principle of keeping the embodied energy of materials perpetually in an economy. The disassembly and deconstruction analytics system would ensure that buildings are designed with design for disassembly and deconstruction principles that guarantee efficient materials recovery in mind. The disassembly and deconstruction analytics tool could also serve as a decision support platform that government and planners can use to evaluate the level of compliance of building designs to circular economy and sustainability requirements.","container-title":"Journal of Cleaner Production","DOI":"10.1016/j.jclepro.2019.03.172","ISSN":"0959-6526","journalAbbreviation":"Journal of Cleaner Production","language":"en","page":"386-396","source":"ScienceDirect","title":"Disassembly and deconstruction analytics system (D-DAS) for construction in a circular economy","volume":"223","author":[{"family":"Akanbi","given":"Lukman A."},{"family":"Oyedele","given":"Lukumon O."},{"family":"Omoteso","given":"Kamil"},{"family":"Bilal","given":"Muhammad"},{"family":"Akinade","given":"Olugbenga O."},{"family":"Ajayi","given":"Anuoluwapo O."},{"family":"Davila Delgado","given":"Juan Manuel"},{"family":"Owolabi","given":"Hakeem A."}],"issued":{"date-parts":[["2019",6,20]]}}}],"schema":"https://github.com/citation-style-language/schema/raw/master/csl-citation.json"}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(Akanbi et al., 2019)</w:t>
            </w:r>
            <w:r>
              <w:rPr>
                <w:rFonts w:cstheme="minorHAnsi"/>
                <w:color w:val="000000"/>
                <w:sz w:val="18"/>
                <w:szCs w:val="18"/>
                <w:lang w:val="en-GB" w:eastAsia="en-GB"/>
              </w:rPr>
              <w:fldChar w:fldCharType="end"/>
            </w:r>
            <w:r w:rsidRPr="008228A8">
              <w:rPr>
                <w:rFonts w:cstheme="minorHAnsi"/>
                <w:color w:val="000000"/>
                <w:sz w:val="18"/>
                <w:szCs w:val="18"/>
                <w:lang w:val="en-GB" w:eastAsia="en-GB"/>
              </w:rPr>
              <w:t xml:space="preserve">. </w:t>
            </w:r>
          </w:p>
        </w:tc>
      </w:tr>
      <w:tr w:rsidR="00AE3E5B" w:rsidRPr="00AE3E5B" w14:paraId="08F80D3D" w14:textId="77777777" w:rsidTr="00FC2378">
        <w:trPr>
          <w:trHeight w:val="20"/>
        </w:trPr>
        <w:tc>
          <w:tcPr>
            <w:tcW w:w="674" w:type="pct"/>
            <w:tcBorders>
              <w:left w:val="nil"/>
              <w:right w:val="nil"/>
            </w:tcBorders>
            <w:shd w:val="clear" w:color="auto" w:fill="auto"/>
            <w:vAlign w:val="bottom"/>
            <w:hideMark/>
          </w:tcPr>
          <w:p w14:paraId="69DF8048"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left w:val="nil"/>
              <w:right w:val="nil"/>
            </w:tcBorders>
            <w:shd w:val="clear" w:color="auto" w:fill="auto"/>
            <w:vAlign w:val="bottom"/>
            <w:hideMark/>
          </w:tcPr>
          <w:p w14:paraId="3E492EDC"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US phones</w:t>
            </w:r>
          </w:p>
        </w:tc>
        <w:tc>
          <w:tcPr>
            <w:tcW w:w="3584" w:type="pct"/>
            <w:tcBorders>
              <w:left w:val="nil"/>
              <w:right w:val="nil"/>
            </w:tcBorders>
            <w:shd w:val="clear" w:color="auto" w:fill="auto"/>
            <w:noWrap/>
            <w:vAlign w:val="bottom"/>
            <w:hideMark/>
          </w:tcPr>
          <w:p w14:paraId="18978C8F"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Sharp real-time monitoring of end-wastes is provided by the cycle rate, a dimensionless rate accounting for consumption and stock variations in CE. Its supreme efficacy is demonstrated in a robust Case study (US cellular phones) via Markov-Chain-Monte-Carlo simulation</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{"citationID":"U52ro5E0","properties":{"formattedCitation":"(Tsiliyannis, 2019)","plainCitation":"(Tsiliyannis, 2019)","noteIndex":0},"citationItems":[{"id":6897,"uris":["http://zotero.org/users/5243184/items/QIQUT4YM"],"uri":["http://zotero.org/users/5243184/items/QIQUT4YM"],"itemData":{"id":6897,"type":"article-journal","abstract":"The EC circular economy waste directive sets ambitious recycling and reuse targets towards waste reduction and banning of landfills. Monitoring of wastes can lead to efficient policies and implementation of proactive measures for waste reduction. Up-to-date methods for waste monitoring in cyclic economy (CE) may not provide reliable and useful figures. Product stock-in-use and flows in CE, including waste flows, are uncertain due to varying demand and imports/exports, random, early losses of stock-in-use, delayed and distributed product returns or end-of-life exit and varying utilization of returns by remanufacturers. Adopting a systems perspective and using a dynamic/stochastic model of stock and flows in CE, this work quantifies waste monitoring and reduction under realistic conditions. It reveals how consumption and stock depletion consist the driving forces of waste generation, compensated by cyclic actions, reuse/remanufacturing and recycle. The conventional recycling rate and other key parameters, including the reuse rate, the mean lifetime, the remanufacturing rate, the number of reuse cycles, are shown inapt to accurately monitor end-wastes. None can consistently distinguish the environmentally superior system or state, featuring lower end-wastes. Higher recycling rates and/or higher reuse rates may not ensure lower wastes. Asymmetric policies (differing recycle and reuse rates) can be advantageous: higher reuse is preferable under rising stock and higher recycle under stock depletion. Sharp real-time monitoring of end-wastes is provided by the cycle rate, a dimensionless rate accounting for consumption and stock variations in CE. Its supreme efficacy is demonstrated in a robust Case study (US cellular phones) via Markov-Chain-Monte-Carlo simulation.","container-title":"Journal of Cleaner Production","DOI":"10.1016/j.jclepro.2019.04.065","ISSN":"0959-6526","journalAbbreviation":"Journal of Cleaner Production","language":"en","page":"911-931","source":"ScienceDirect","title":"The Cycle rate as the means for real-time monitoring of wastes in circular economy","volume":"227","author":[{"family":"Tsiliyannis","given":"Christos Aristeides"}],"issued":{"date-parts":[["2019",8,1]]}}}],"schema":"https://github.com/citation-style-language/schema/raw/master/csl-citation.json"}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(Tsiliyannis, 2019)</w:t>
            </w:r>
            <w:r>
              <w:rPr>
                <w:rFonts w:cstheme="minorHAnsi"/>
                <w:color w:val="000000"/>
                <w:sz w:val="18"/>
                <w:szCs w:val="18"/>
                <w:lang w:val="en-GB" w:eastAsia="en-GB"/>
              </w:rPr>
              <w:fldChar w:fldCharType="end"/>
            </w:r>
            <w:r>
              <w:rPr>
                <w:rFonts w:cstheme="minorHAnsi"/>
                <w:color w:val="000000"/>
                <w:sz w:val="18"/>
                <w:szCs w:val="18"/>
                <w:lang w:val="en-GB" w:eastAsia="en-GB"/>
              </w:rPr>
              <w:t>.</w:t>
            </w:r>
          </w:p>
        </w:tc>
      </w:tr>
      <w:tr w:rsidR="00AE3E5B" w:rsidRPr="00AE3E5B" w14:paraId="4C72928B" w14:textId="77777777" w:rsidTr="00FC2378">
        <w:trPr>
          <w:trHeight w:val="20"/>
        </w:trPr>
        <w:tc>
          <w:tcPr>
            <w:tcW w:w="674" w:type="pct"/>
            <w:tcBorders>
              <w:left w:val="nil"/>
              <w:right w:val="nil"/>
            </w:tcBorders>
            <w:shd w:val="clear" w:color="auto" w:fill="auto"/>
            <w:vAlign w:val="bottom"/>
          </w:tcPr>
          <w:p w14:paraId="2F2094FC"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left w:val="nil"/>
              <w:right w:val="nil"/>
            </w:tcBorders>
            <w:shd w:val="clear" w:color="auto" w:fill="auto"/>
            <w:vAlign w:val="bottom"/>
          </w:tcPr>
          <w:p w14:paraId="10004764"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Universities</w:t>
            </w:r>
          </w:p>
        </w:tc>
        <w:tc>
          <w:tcPr>
            <w:tcW w:w="3584" w:type="pct"/>
            <w:tcBorders>
              <w:left w:val="nil"/>
              <w:right w:val="nil"/>
            </w:tcBorders>
            <w:shd w:val="clear" w:color="auto" w:fill="auto"/>
            <w:noWrap/>
            <w:vAlign w:val="bottom"/>
          </w:tcPr>
          <w:p w14:paraId="75BF7183"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Furthermore, it elucidates the role of universities as living laboratories for experimenting with the utility of industry 4.0 technologies in driving the shift towards CE futures. The article concludes that universities should play a pivotal role in engendering CE transitions</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{"citationID":"UXVGYzJJ","properties":{"formattedCitation":"(Ramakrishna et al., 2020)","plainCitation":"(Ramakrishna et al., 2020)","noteIndex":0},"citationItems":[{"id":6863,"uris":["http://zotero.org/users/5243184/items/JSB3VJZV"],"uri":["http://zotero.org/users/5243184/items/JSB3VJZV"],"itemData":{"id":6863,"type":"article-journal","abstract":"Growing consumerism and population worldwide raises concerns about society’s sustainability aspirations. This has led to calls for concerted efforts to shift from the linear economy to a circular economy (CE), which are gaining momentum globally. CE approaches lead to a zero-waste scenario of economic growth and sustainable development. These approaches are based on semi-scientific and empirical concepts with technologies enabling 3Rs (reduce, reuse, recycle) and 6Rs (reuse, recycle, redesign, remanufacture, reduce, recover). Studies estimate that the transition to a CE would save the world in excess of a trillion dollars annually while creating new jobs, business opportunities and economic growth. The emerging industrial revolution will enhance the symbiotic pursuit of new technologies and CE to transform extant production systems and business models for sustainability. This article examines the trends, availability and readiness of fourth industrial revolution (4IR or industry 4.0) technologies (for example, Internet of Things [IoT], artificial intelligence [AI] and nanotechnology) to support and promote CE transitions within the higher education institutional context. Furthermore, it elucidates the role of universities as living laboratories for experimenting the utility of industry 4.0 technologies in driving the shift towards CE futures. The article concludes that universities should play a pivotal role in engendering CE transitions.","container-title":"Science, Technology and Society","DOI":"10.1177/0971721820912918","ISSN":"0971-7218","journalAbbreviation":"Science, Technology and Society","language":"en","note":"publisher: SAGE Publications India","page":"0971721820912918","source":"SAGE Journals","title":"Emerging Industrial Revolution: Symbiosis of Industry 4.0 and Circular Economy: The Role of Universities","title-short":"Emerging Industrial Revolution","author":[{"family":"Ramakrishna","given":"Seeram"},{"family":"Ngowi","given":"Alfred"},{"family":"Jager","given":"Henk De"},{"family":"Awuzie","given":"Bankole O."}],"issued":{"date-parts":[["2020",5,21]]}}}],"schema":"https://github.com/citation-style-language/schema/raw/master/csl-citation.json"}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(Ramakrishna et al., 2020)</w:t>
            </w:r>
            <w:r>
              <w:rPr>
                <w:rFonts w:cstheme="minorHAnsi"/>
                <w:color w:val="000000"/>
                <w:sz w:val="18"/>
                <w:szCs w:val="18"/>
                <w:lang w:val="en-GB" w:eastAsia="en-GB"/>
              </w:rPr>
              <w:fldChar w:fldCharType="end"/>
            </w:r>
            <w:r>
              <w:rPr>
                <w:rFonts w:cstheme="minorHAnsi"/>
                <w:color w:val="000000"/>
                <w:sz w:val="18"/>
                <w:szCs w:val="18"/>
                <w:lang w:val="en-GB" w:eastAsia="en-GB"/>
              </w:rPr>
              <w:t xml:space="preserve">. </w:t>
            </w:r>
          </w:p>
        </w:tc>
      </w:tr>
      <w:tr w:rsidR="00AE3E5B" w:rsidRPr="00A15718" w14:paraId="38E425BA" w14:textId="77777777" w:rsidTr="00FC2378">
        <w:trPr>
          <w:trHeight w:val="20"/>
        </w:trPr>
        <w:tc>
          <w:tcPr>
            <w:tcW w:w="674" w:type="pct"/>
            <w:tcBorders>
              <w:left w:val="nil"/>
              <w:bottom w:val="single" w:sz="4" w:space="0" w:color="auto"/>
              <w:right w:val="nil"/>
            </w:tcBorders>
            <w:shd w:val="clear" w:color="auto" w:fill="auto"/>
            <w:vAlign w:val="bottom"/>
          </w:tcPr>
          <w:p w14:paraId="626CC452"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left w:val="nil"/>
              <w:bottom w:val="single" w:sz="4" w:space="0" w:color="auto"/>
              <w:right w:val="nil"/>
            </w:tcBorders>
            <w:shd w:val="clear" w:color="auto" w:fill="auto"/>
            <w:vAlign w:val="bottom"/>
          </w:tcPr>
          <w:p w14:paraId="01B4783A"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Spin-offs</w:t>
            </w:r>
          </w:p>
        </w:tc>
        <w:tc>
          <w:tcPr>
            <w:tcW w:w="3584" w:type="pct"/>
            <w:tcBorders>
              <w:left w:val="nil"/>
              <w:bottom w:val="single" w:sz="4" w:space="0" w:color="auto"/>
              <w:right w:val="nil"/>
            </w:tcBorders>
            <w:shd w:val="clear" w:color="auto" w:fill="auto"/>
            <w:noWrap/>
            <w:vAlign w:val="bottom"/>
          </w:tcPr>
          <w:p w14:paraId="0374F4E8"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Circular </w:t>
            </w:r>
            <w:r>
              <w:rPr>
                <w:rFonts w:cstheme="minorHAnsi"/>
                <w:color w:val="000000"/>
                <w:sz w:val="18"/>
                <w:szCs w:val="18"/>
                <w:lang w:val="en-GB" w:eastAsia="en-GB"/>
              </w:rPr>
              <w:t>E</w:t>
            </w:r>
            <w:r w:rsidRPr="008228A8">
              <w:rPr>
                <w:rFonts w:cstheme="minorHAnsi"/>
                <w:color w:val="000000"/>
                <w:sz w:val="18"/>
                <w:szCs w:val="18"/>
                <w:lang w:val="en-GB" w:eastAsia="en-GB"/>
              </w:rPr>
              <w:t>conomy represents today a new economic paradigm based on the environment and the recovery of material. The pursuit of this change can be implemented through different policies with a top-down or bottom-up approach. Following the latter approach Spin-Offs, typically defined as "Science-Based" companies, represent an alternative tool to promote technology transfer. In other words, they represent a bridge between the research and the production system</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{"citationID":"77V04xtO","properties":{"formattedCitation":"(Poponi et al., 2020)","plainCitation":"(Poponi et al., 2020)","noteIndex":0},"citationItems":[{"id":6865,"uris":["http://zotero.org/users/5243184/items/CG8IYWGK"],"uri":["http://zotero.org/users/5243184/items/CG8IYWGK"],"itemData":{"id":6865,"type":"article-journal","abstract":"Circular Economy represents today a new economic paradigm based on the environment and on the recovery of material. The pursuit of this change can be implemented through different policies with a top-down or bottom-up approach. Following the latter approach Spin-Offs, typically defined as &amp;ldquo;Science Based&amp;rdquo; companies, represent an alternative tool to promote technology transfer. In other words, they represent a bridge between the research and the production system. This part of the study is part of a larger and more complex project whose objective is to verify whether the development of research Spin-Offs and in particular academics, operating in the environment sector, or more generally sustainable, facilitate the transition from the classic model of linear economics to the innovative model of circular economics. The aim of the paper is to investigate how spin off enterprises can be a driver for the development of a Circular Business Model and to facilitate the transition from the classical model of linear economy to the new model of Circular Economy. At the methodological level, a multiple compared analysis was made between a sample of firms located in Lazio Region- Italy, that operates in the area of green economy Smart Specialization Strategy (S3). The analysis shows a rapid succession of variables that lead to the identification of four scenarios, deriving from the interconnection of the outcome: &amp;ldquo;closed loop&amp;rdquo;, &amp;ldquo;open loop&amp;rdquo; and the presence or absence of Circular Economy practices. The result confirms that the Academic Spin-Offs can be a driver of Circular economy, as long as that fall within the IV scenario, characterized by the interconnection of an open loop system that works in a circular approach. The &amp;ldquo;High valorization of waste&amp;rdquo; represents the discriminant in this scenario, which allows to activate a cascade system in a multi-stakeholder perspective.","container-title":"Sustainability","DOI":"10.3390/su12010423","issue":"1","language":"en","note":"number: 1\npublisher: Multidisciplinary Digital Publishing Institute","page":"423","source":"www.mdpi.com","title":"Entrepreneurial Drivers for the Development of the Circular Business Model: The Role of Academic Spin-Off","title-short":"Entrepreneurial Drivers for the Development of the Circular Business Model","volume":"12","author":[{"family":"Poponi","given":"Stefano"},{"family":"Arcese","given":"Gabriella"},{"family":"Mosconi","given":"Enrico Maria"},{"family":"Arezzo di Trifiletti","given":"Michelangelo"}],"issued":{"date-parts":[["2020",1]]}}}],"schema":"https://github.com/citation-style-language/schema/raw/master/csl-citation.json"}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(Poponi et al., 2020)</w:t>
            </w:r>
            <w:r>
              <w:rPr>
                <w:rFonts w:cstheme="minorHAnsi"/>
                <w:color w:val="000000"/>
                <w:sz w:val="18"/>
                <w:szCs w:val="18"/>
                <w:lang w:val="en-GB" w:eastAsia="en-GB"/>
              </w:rPr>
              <w:fldChar w:fldCharType="end"/>
            </w:r>
            <w:r>
              <w:rPr>
                <w:rFonts w:cstheme="minorHAnsi"/>
                <w:color w:val="000000"/>
                <w:sz w:val="18"/>
                <w:szCs w:val="18"/>
                <w:lang w:val="en-GB" w:eastAsia="en-GB"/>
              </w:rPr>
              <w:t>.</w:t>
            </w:r>
          </w:p>
        </w:tc>
      </w:tr>
      <w:tr w:rsidR="00AE3E5B" w:rsidRPr="00AE3E5B" w14:paraId="4F4A26AC" w14:textId="77777777" w:rsidTr="00FC2378">
        <w:trPr>
          <w:trHeight w:val="20"/>
        </w:trPr>
        <w:tc>
          <w:tcPr>
            <w:tcW w:w="674" w:type="pct"/>
            <w:tcBorders>
              <w:top w:val="single" w:sz="4" w:space="0" w:color="auto"/>
              <w:left w:val="nil"/>
              <w:right w:val="nil"/>
            </w:tcBorders>
            <w:shd w:val="clear" w:color="auto" w:fill="auto"/>
            <w:vAlign w:val="bottom"/>
            <w:hideMark/>
          </w:tcPr>
          <w:p w14:paraId="238818F2"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Business models and mission</w:t>
            </w:r>
          </w:p>
        </w:tc>
        <w:tc>
          <w:tcPr>
            <w:tcW w:w="742" w:type="pct"/>
            <w:tcBorders>
              <w:top w:val="single" w:sz="4" w:space="0" w:color="auto"/>
              <w:left w:val="nil"/>
              <w:right w:val="nil"/>
            </w:tcBorders>
            <w:shd w:val="clear" w:color="auto" w:fill="auto"/>
            <w:vAlign w:val="bottom"/>
            <w:hideMark/>
          </w:tcPr>
          <w:p w14:paraId="3731B1F0"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Taiwan</w:t>
            </w:r>
          </w:p>
        </w:tc>
        <w:tc>
          <w:tcPr>
            <w:tcW w:w="3584" w:type="pct"/>
            <w:tcBorders>
              <w:top w:val="single" w:sz="4" w:space="0" w:color="auto"/>
              <w:left w:val="nil"/>
              <w:right w:val="nil"/>
            </w:tcBorders>
            <w:shd w:val="clear" w:color="auto" w:fill="auto"/>
            <w:vAlign w:val="bottom"/>
            <w:hideMark/>
          </w:tcPr>
          <w:p w14:paraId="08841C9B"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 xml:space="preserve">To achieve sustainability, the circular economy (CE) concept is challenging traditional linear enterprise models due to the need to manage geographically distributed product life cycle and value chains. Concurrently, Industry 4.0 is being used to bring productivity to higher levels by reducing waste and improving the efficiency of production processes via more precise real-time planning. There is significant potential to combine these two frameworks to enhance the sustainability of the manufacturing sectors. This paper discusses the fundamental concepts of Industry 4.0. It explores the influential factors of Industry 4.0 that accelerate the sharing </w:t>
            </w:r>
            <w:r>
              <w:rPr>
                <w:rFonts w:cstheme="minorHAnsi"/>
                <w:color w:val="000000"/>
                <w:sz w:val="18"/>
                <w:szCs w:val="18"/>
                <w:lang w:val="en-GB" w:eastAsia="en-GB"/>
              </w:rPr>
              <w:t>E</w:t>
            </w:r>
            <w:r w:rsidRPr="008228A8">
              <w:rPr>
                <w:rFonts w:cstheme="minorHAnsi"/>
                <w:color w:val="000000"/>
                <w:sz w:val="18"/>
                <w:szCs w:val="18"/>
                <w:lang w:val="en-GB" w:eastAsia="en-GB"/>
              </w:rPr>
              <w:t>conomy in the CE context via a case of electric scooters in Taiwan</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{"citationID":"Tji6vZ9U","properties":{"formattedCitation":"(Pham et al., 2019)","plainCitation":"(Pham et al., 2019)","noteIndex":0},"citationItems":[{"id":6907,"uris":["http://zotero.org/users/5243184/items/3YA2R6UB"],"uri":["http://zotero.org/users/5243184/items/3YA2R6UB"],"itemData":{"id":6907,"type":"article-journal","abstract":"To achieve sustainability, the circular economy (CE) concept is challenging traditional linear enterprise models due to the need to manage geographically distributed product life cycle and value chains. Concurrently, Industry 4.0 is being used to bring productivity to higher levels by reducing waste and improving the efficiency of production processes via more precise real-time planning. There is significant potential to combine these two frameworks to enhance the sustainability of manufacturing sectors. This paper discusses the fundamental concepts of Industry 4.0 and explores the influential factors of Industry 4.0 that accelerate the sharing economy in the CE context via a case of electric scooters in Taiwan. The result shows Industry 4.0 can provide an enabling framework for the sharing economy in CE implementation.","container-title":"Sustainability","DOI":"10.3390/su11236661","issue":"23","language":"en","note":"number: 23\npublisher: Multidisciplinary Digital Publishing Institute","page":"6661","source":"www.mdpi.com","title":"Industry 4.0 to Accelerate the Circular Economy: A Case Study of Electric Scooter Sharing","title-short":"Industry 4.0 to Accelerate the Circular Economy","volume":"11","author":[{"family":"Pham","given":"Trang Thi"},{"family":"Kuo","given":"Tsai-Chi"},{"family":"Tseng","given":"Ming-Lang"},{"family":"Tan","given":"Raymond R."},{"family":"Tan","given":"Kimhua"},{"family":"Ika","given":"Denny Satria"},{"family":"Lin","given":"Chiuhsiang Joe"}],"issued":{"date-parts":[["2019",1]]}}}],"schema":"https://github.com/citation-style-language/schema/raw/master/csl-citation.json"}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(Pham et al., 2019)</w:t>
            </w:r>
            <w:r>
              <w:rPr>
                <w:rFonts w:cstheme="minorHAnsi"/>
                <w:color w:val="000000"/>
                <w:sz w:val="18"/>
                <w:szCs w:val="18"/>
                <w:lang w:val="en-GB" w:eastAsia="en-GB"/>
              </w:rPr>
              <w:fldChar w:fldCharType="end"/>
            </w:r>
            <w:r w:rsidRPr="008228A8">
              <w:rPr>
                <w:rFonts w:cstheme="minorHAnsi"/>
                <w:color w:val="000000"/>
                <w:sz w:val="18"/>
                <w:szCs w:val="18"/>
                <w:lang w:val="en-GB" w:eastAsia="en-GB"/>
              </w:rPr>
              <w:t>.</w:t>
            </w:r>
          </w:p>
        </w:tc>
      </w:tr>
      <w:tr w:rsidR="00AE3E5B" w:rsidRPr="00AE3E5B" w14:paraId="15E3EE44" w14:textId="77777777" w:rsidTr="00FC2378">
        <w:trPr>
          <w:trHeight w:val="20"/>
        </w:trPr>
        <w:tc>
          <w:tcPr>
            <w:tcW w:w="674" w:type="pct"/>
            <w:tcBorders>
              <w:left w:val="nil"/>
              <w:bottom w:val="single" w:sz="4" w:space="0" w:color="auto"/>
              <w:right w:val="nil"/>
            </w:tcBorders>
            <w:shd w:val="clear" w:color="auto" w:fill="auto"/>
            <w:vAlign w:val="bottom"/>
            <w:hideMark/>
          </w:tcPr>
          <w:p w14:paraId="6ABA6F72" w14:textId="77777777" w:rsidR="00AE3E5B" w:rsidRPr="008228A8" w:rsidRDefault="00AE3E5B" w:rsidP="00FC2378">
            <w:pPr>
              <w:spacing w:before="0" w:after="0"/>
              <w:rPr>
                <w:rFonts w:cstheme="minorHAnsi"/>
                <w:color w:val="000000"/>
                <w:sz w:val="18"/>
                <w:szCs w:val="18"/>
                <w:lang w:val="en-GB" w:eastAsia="en-GB"/>
              </w:rPr>
            </w:pPr>
          </w:p>
        </w:tc>
        <w:tc>
          <w:tcPr>
            <w:tcW w:w="742" w:type="pct"/>
            <w:tcBorders>
              <w:left w:val="nil"/>
              <w:bottom w:val="single" w:sz="4" w:space="0" w:color="auto"/>
              <w:right w:val="nil"/>
            </w:tcBorders>
            <w:shd w:val="clear" w:color="auto" w:fill="auto"/>
            <w:vAlign w:val="bottom"/>
            <w:hideMark/>
          </w:tcPr>
          <w:p w14:paraId="0D5255E3" w14:textId="77777777" w:rsidR="00AE3E5B" w:rsidRPr="000818C9" w:rsidRDefault="00AE3E5B" w:rsidP="00FC2378">
            <w:pPr>
              <w:spacing w:before="0" w:after="0"/>
              <w:rPr>
                <w:rFonts w:cstheme="minorHAnsi"/>
                <w:sz w:val="18"/>
                <w:szCs w:val="18"/>
                <w:lang w:val="en-GB" w:eastAsia="en-GB"/>
              </w:rPr>
            </w:pPr>
            <w:r w:rsidRPr="00473378">
              <w:rPr>
                <w:rFonts w:cstheme="minorHAnsi"/>
                <w:sz w:val="18"/>
                <w:szCs w:val="18"/>
                <w:lang w:val="en-GB" w:eastAsia="en-GB"/>
              </w:rPr>
              <w:t>-</w:t>
            </w:r>
          </w:p>
        </w:tc>
        <w:tc>
          <w:tcPr>
            <w:tcW w:w="3584" w:type="pct"/>
            <w:tcBorders>
              <w:left w:val="nil"/>
              <w:bottom w:val="single" w:sz="4" w:space="0" w:color="auto"/>
              <w:right w:val="nil"/>
            </w:tcBorders>
            <w:shd w:val="clear" w:color="auto" w:fill="auto"/>
            <w:vAlign w:val="bottom"/>
            <w:hideMark/>
          </w:tcPr>
          <w:p w14:paraId="2AB5A767" w14:textId="77777777" w:rsidR="00AE3E5B" w:rsidRPr="008228A8" w:rsidRDefault="00AE3E5B" w:rsidP="00FC2378">
            <w:pPr>
              <w:spacing w:before="0" w:after="0"/>
              <w:rPr>
                <w:rFonts w:cstheme="minorHAnsi"/>
                <w:color w:val="000000"/>
                <w:sz w:val="18"/>
                <w:szCs w:val="18"/>
                <w:lang w:val="en-GB" w:eastAsia="en-GB"/>
              </w:rPr>
            </w:pPr>
            <w:r w:rsidRPr="008228A8">
              <w:rPr>
                <w:rFonts w:cstheme="minorHAnsi"/>
                <w:color w:val="000000"/>
                <w:sz w:val="18"/>
                <w:szCs w:val="18"/>
                <w:lang w:val="en-GB" w:eastAsia="en-GB"/>
              </w:rPr>
              <w:t>Our study aims at exploring which models are adopted in food sharing practices based on market-orientation (for-profit or non-profit) and market structure (peer-to-peer or business-to-peer), and their contribution to food waste prevention. Using content analysis, our results indicate there are two typologies of social initiatives and two prevailing business models: social sharing platforms, corporate social sharing platforms, social eating platforms (SE business model) and food alerting platform (FAP business model). Despite the positive social and environmental impact, these initiatives have to face some criticisms due to the lack of a dominant player and the high fragmentation of users among the existing platforms</w:t>
            </w:r>
            <w:r>
              <w:rPr>
                <w:rFonts w:cstheme="minorHAnsi"/>
                <w:color w:val="000000"/>
                <w:sz w:val="18"/>
                <w:szCs w:val="18"/>
                <w:lang w:val="en-GB" w:eastAsia="en-GB"/>
              </w:rPr>
              <w:t xml:space="preserve"> </w:t>
            </w:r>
            <w:r>
              <w:rPr>
                <w:rFonts w:cstheme="minorHAnsi"/>
                <w:color w:val="000000"/>
                <w:sz w:val="18"/>
                <w:szCs w:val="18"/>
                <w:lang w:val="en-GB" w:eastAsia="en-GB"/>
              </w:rPr>
              <w:fldChar w:fldCharType="begin"/>
            </w:r>
            <w:r>
              <w:rPr>
                <w:rFonts w:cstheme="minorHAnsi"/>
                <w:color w:val="000000"/>
                <w:sz w:val="18"/>
                <w:szCs w:val="18"/>
                <w:lang w:val="en-GB" w:eastAsia="en-GB"/>
              </w:rPr>
              <w:instrText xml:space="preserve"> ADDIN ZOTERO_ITEM CSL_CITATION {"citationID":"ICgxO9oI","properties":{"formattedCitation":"(Sarti et al., 2017)","plainCitation":"(Sarti et al., 2017)","noteIndex":0},"citationItems":[{"id":6910,"uris":["http://zotero.org/users/5243184/items/VAW83I3Z"],"uri":["http://zotero.org/users/5243184/items/VAW83I3Z"],"itemData":{"id":6910,"type":"article-journal","abstract":"ResearchGate is a network dedicated to science and research. Connect, collaborate and discover scientific publications, jobs and conferences. All for free.","container-title":"Economics and Policy of Energy and the Environment","DOI":"10.3280/EFE2017-001007","language":"en","note":"source: www.researchgate.net","page":"1-2","title":"Food sharing: Making sense between new business models and responsible social initiatives for food waste prevention","title-short":"(9) Food sharing","author":[{"family":"Sarti","given":"Silvia"},{"family":"Corsini","given":"Filippo"},{"family":"Gusmerotti","given":"Natalia Marzia"},{"family":"Frey","given":"Marco"}],"issued":{"date-parts":[["2017"]]}}}],"schema":"https://github.com/citation-style-language/schema/raw/master/csl-citation.json"} </w:instrText>
            </w:r>
            <w:r>
              <w:rPr>
                <w:rFonts w:cstheme="minorHAnsi"/>
                <w:color w:val="000000"/>
                <w:sz w:val="18"/>
                <w:szCs w:val="18"/>
                <w:lang w:val="en-GB" w:eastAsia="en-GB"/>
              </w:rPr>
              <w:fldChar w:fldCharType="separate"/>
            </w:r>
            <w:r>
              <w:rPr>
                <w:rFonts w:cstheme="minorHAnsi"/>
                <w:noProof/>
                <w:color w:val="000000"/>
                <w:sz w:val="18"/>
                <w:szCs w:val="18"/>
                <w:lang w:val="en-GB" w:eastAsia="en-GB"/>
              </w:rPr>
              <w:t>(Sarti et al., 2017)</w:t>
            </w:r>
            <w:r>
              <w:rPr>
                <w:rFonts w:cstheme="minorHAnsi"/>
                <w:color w:val="000000"/>
                <w:sz w:val="18"/>
                <w:szCs w:val="18"/>
                <w:lang w:val="en-GB" w:eastAsia="en-GB"/>
              </w:rPr>
              <w:fldChar w:fldCharType="end"/>
            </w:r>
          </w:p>
        </w:tc>
      </w:tr>
    </w:tbl>
    <w:p w14:paraId="643863FE" w14:textId="77777777" w:rsidR="00AE3E5B" w:rsidRPr="00F76BE8" w:rsidRDefault="00AE3E5B" w:rsidP="00AE3E5B">
      <w:pPr>
        <w:rPr>
          <w:rFonts w:cstheme="minorHAnsi"/>
          <w:i/>
          <w:iCs/>
          <w:szCs w:val="22"/>
          <w:lang w:val="en-GB"/>
        </w:rPr>
      </w:pPr>
      <w:r w:rsidRPr="004D46F6">
        <w:rPr>
          <w:rFonts w:cstheme="minorHAnsi"/>
          <w:i/>
          <w:iCs/>
          <w:szCs w:val="22"/>
          <w:lang w:val="en-GB"/>
        </w:rPr>
        <w:t>Source: Author</w:t>
      </w:r>
      <w:r>
        <w:rPr>
          <w:rFonts w:cstheme="minorHAnsi"/>
          <w:i/>
          <w:iCs/>
          <w:szCs w:val="22"/>
          <w:lang w:val="en-GB"/>
        </w:rPr>
        <w:t>s</w:t>
      </w:r>
      <w:r w:rsidRPr="004D46F6">
        <w:rPr>
          <w:rFonts w:cstheme="minorHAnsi"/>
          <w:i/>
          <w:iCs/>
          <w:szCs w:val="22"/>
          <w:lang w:val="en-GB"/>
        </w:rPr>
        <w:t>'</w:t>
      </w:r>
      <w:r w:rsidRPr="00F76BE8">
        <w:rPr>
          <w:rFonts w:cstheme="minorHAnsi"/>
          <w:i/>
          <w:iCs/>
          <w:szCs w:val="22"/>
          <w:lang w:val="en-GB"/>
        </w:rPr>
        <w:t xml:space="preserve"> elaboration </w:t>
      </w:r>
    </w:p>
    <w:p w14:paraId="6260F770" w14:textId="77777777" w:rsidR="00AE3E5B" w:rsidRPr="008D6140" w:rsidRDefault="00AE3E5B" w:rsidP="00AE3E5B">
      <w:pPr>
        <w:rPr>
          <w:lang w:val="en-US"/>
        </w:rPr>
      </w:pPr>
    </w:p>
    <w:p w14:paraId="2CA9DACB" w14:textId="77777777" w:rsidR="001D4346" w:rsidRPr="001A34A9" w:rsidRDefault="001D4346" w:rsidP="00A81BB4">
      <w:pPr>
        <w:rPr>
          <w:b/>
          <w:bCs/>
          <w:lang w:val="en-GB"/>
        </w:rPr>
      </w:pPr>
    </w:p>
    <w:sectPr w:rsidR="001D4346" w:rsidRPr="001A34A9" w:rsidSect="001773F8">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D3F8D"/>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C633030"/>
    <w:multiLevelType w:val="multilevel"/>
    <w:tmpl w:val="F5FEC9CE"/>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 w15:restartNumberingAfterBreak="0">
    <w:nsid w:val="25FF66B3"/>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75B0C0F"/>
    <w:multiLevelType w:val="multilevel"/>
    <w:tmpl w:val="9CE6B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7E70A42"/>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FEC406D"/>
    <w:multiLevelType w:val="multilevel"/>
    <w:tmpl w:val="D2F83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DE422F8"/>
    <w:multiLevelType w:val="multilevel"/>
    <w:tmpl w:val="70246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58E1960"/>
    <w:multiLevelType w:val="multilevel"/>
    <w:tmpl w:val="5B2C2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5A0CFC"/>
    <w:multiLevelType w:val="multilevel"/>
    <w:tmpl w:val="9D8C7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A84618"/>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E651D3B"/>
    <w:multiLevelType w:val="multilevel"/>
    <w:tmpl w:val="4B06B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D7A0B57"/>
    <w:multiLevelType w:val="multilevel"/>
    <w:tmpl w:val="70ACF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4"/>
  </w:num>
  <w:num w:numId="4">
    <w:abstractNumId w:val="9"/>
  </w:num>
  <w:num w:numId="5">
    <w:abstractNumId w:val="1"/>
  </w:num>
  <w:num w:numId="6">
    <w:abstractNumId w:val="5"/>
  </w:num>
  <w:num w:numId="7">
    <w:abstractNumId w:val="10"/>
  </w:num>
  <w:num w:numId="8">
    <w:abstractNumId w:val="7"/>
  </w:num>
  <w:num w:numId="9">
    <w:abstractNumId w:val="11"/>
  </w:num>
  <w:num w:numId="10">
    <w:abstractNumId w:val="8"/>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c3MjAysDS1MDM0sjRS0lEKTi0uzszPAykwNKoFAJXz1O4tAAAA"/>
  </w:docVars>
  <w:rsids>
    <w:rsidRoot w:val="00474C2F"/>
    <w:rsid w:val="00007AE5"/>
    <w:rsid w:val="00020BA4"/>
    <w:rsid w:val="00022AF3"/>
    <w:rsid w:val="000275E4"/>
    <w:rsid w:val="00035FFE"/>
    <w:rsid w:val="00053E77"/>
    <w:rsid w:val="00054169"/>
    <w:rsid w:val="00054616"/>
    <w:rsid w:val="00060ED9"/>
    <w:rsid w:val="0006340C"/>
    <w:rsid w:val="000818C9"/>
    <w:rsid w:val="000A6A20"/>
    <w:rsid w:val="00106633"/>
    <w:rsid w:val="0010700F"/>
    <w:rsid w:val="00115B6F"/>
    <w:rsid w:val="001231B9"/>
    <w:rsid w:val="00140006"/>
    <w:rsid w:val="0014731D"/>
    <w:rsid w:val="001773F8"/>
    <w:rsid w:val="00190147"/>
    <w:rsid w:val="001A34A9"/>
    <w:rsid w:val="001A3F65"/>
    <w:rsid w:val="001B22C5"/>
    <w:rsid w:val="001B3E25"/>
    <w:rsid w:val="001B3EC9"/>
    <w:rsid w:val="001C2572"/>
    <w:rsid w:val="001D4346"/>
    <w:rsid w:val="001E06E8"/>
    <w:rsid w:val="001F137A"/>
    <w:rsid w:val="00215217"/>
    <w:rsid w:val="00215720"/>
    <w:rsid w:val="00215925"/>
    <w:rsid w:val="00230798"/>
    <w:rsid w:val="00247D38"/>
    <w:rsid w:val="00256F5D"/>
    <w:rsid w:val="00274CF6"/>
    <w:rsid w:val="00281892"/>
    <w:rsid w:val="0028502D"/>
    <w:rsid w:val="00295896"/>
    <w:rsid w:val="00295BED"/>
    <w:rsid w:val="002A679C"/>
    <w:rsid w:val="002A6E5D"/>
    <w:rsid w:val="002B2A03"/>
    <w:rsid w:val="002D2DE8"/>
    <w:rsid w:val="002F1E1F"/>
    <w:rsid w:val="002F3287"/>
    <w:rsid w:val="002F5D50"/>
    <w:rsid w:val="0034474B"/>
    <w:rsid w:val="0036747D"/>
    <w:rsid w:val="0037274F"/>
    <w:rsid w:val="00394EE0"/>
    <w:rsid w:val="003A1E48"/>
    <w:rsid w:val="003A771F"/>
    <w:rsid w:val="003C3421"/>
    <w:rsid w:val="003D32C9"/>
    <w:rsid w:val="003D45D1"/>
    <w:rsid w:val="003F083A"/>
    <w:rsid w:val="004049D1"/>
    <w:rsid w:val="004243D3"/>
    <w:rsid w:val="004359BA"/>
    <w:rsid w:val="00441C26"/>
    <w:rsid w:val="00452315"/>
    <w:rsid w:val="00454E6D"/>
    <w:rsid w:val="00473378"/>
    <w:rsid w:val="00474725"/>
    <w:rsid w:val="00474C2F"/>
    <w:rsid w:val="00485EF2"/>
    <w:rsid w:val="004C14DA"/>
    <w:rsid w:val="004C2AE1"/>
    <w:rsid w:val="004D46F6"/>
    <w:rsid w:val="00500B6E"/>
    <w:rsid w:val="0050730E"/>
    <w:rsid w:val="00527C14"/>
    <w:rsid w:val="00574F0B"/>
    <w:rsid w:val="0058267C"/>
    <w:rsid w:val="005839DE"/>
    <w:rsid w:val="005A060E"/>
    <w:rsid w:val="005A6565"/>
    <w:rsid w:val="005A7125"/>
    <w:rsid w:val="005C365F"/>
    <w:rsid w:val="005D02BA"/>
    <w:rsid w:val="005F6E1D"/>
    <w:rsid w:val="0063383A"/>
    <w:rsid w:val="00635379"/>
    <w:rsid w:val="006355A7"/>
    <w:rsid w:val="00653439"/>
    <w:rsid w:val="006637A9"/>
    <w:rsid w:val="00667B1E"/>
    <w:rsid w:val="006923AB"/>
    <w:rsid w:val="006D67AB"/>
    <w:rsid w:val="006D6D97"/>
    <w:rsid w:val="006E0F1D"/>
    <w:rsid w:val="006E2D71"/>
    <w:rsid w:val="006E718F"/>
    <w:rsid w:val="00737206"/>
    <w:rsid w:val="00741E0F"/>
    <w:rsid w:val="00761A5A"/>
    <w:rsid w:val="007645C9"/>
    <w:rsid w:val="0076527E"/>
    <w:rsid w:val="00767D32"/>
    <w:rsid w:val="00774E11"/>
    <w:rsid w:val="00784C0C"/>
    <w:rsid w:val="007877C8"/>
    <w:rsid w:val="00790227"/>
    <w:rsid w:val="007905B7"/>
    <w:rsid w:val="00793BC5"/>
    <w:rsid w:val="00795030"/>
    <w:rsid w:val="00795B69"/>
    <w:rsid w:val="007A5ACD"/>
    <w:rsid w:val="007D314D"/>
    <w:rsid w:val="007E1756"/>
    <w:rsid w:val="007F2178"/>
    <w:rsid w:val="007F3C84"/>
    <w:rsid w:val="00802E14"/>
    <w:rsid w:val="00813132"/>
    <w:rsid w:val="0081516A"/>
    <w:rsid w:val="00820A56"/>
    <w:rsid w:val="008228A8"/>
    <w:rsid w:val="008603A1"/>
    <w:rsid w:val="008626F5"/>
    <w:rsid w:val="008629AB"/>
    <w:rsid w:val="00872326"/>
    <w:rsid w:val="00874809"/>
    <w:rsid w:val="00884C23"/>
    <w:rsid w:val="00891E39"/>
    <w:rsid w:val="00892226"/>
    <w:rsid w:val="008923C4"/>
    <w:rsid w:val="00896AFC"/>
    <w:rsid w:val="008A34DA"/>
    <w:rsid w:val="008A44E8"/>
    <w:rsid w:val="008A5AFC"/>
    <w:rsid w:val="008A7DF5"/>
    <w:rsid w:val="008C3A68"/>
    <w:rsid w:val="008D5D97"/>
    <w:rsid w:val="008E41B4"/>
    <w:rsid w:val="008F7D6C"/>
    <w:rsid w:val="0092070A"/>
    <w:rsid w:val="009256FE"/>
    <w:rsid w:val="00933F2F"/>
    <w:rsid w:val="009442D7"/>
    <w:rsid w:val="0095564D"/>
    <w:rsid w:val="0096562B"/>
    <w:rsid w:val="00977C1E"/>
    <w:rsid w:val="009E0EC8"/>
    <w:rsid w:val="009E4291"/>
    <w:rsid w:val="009E63CD"/>
    <w:rsid w:val="009E6852"/>
    <w:rsid w:val="00A023FA"/>
    <w:rsid w:val="00A05FD1"/>
    <w:rsid w:val="00A11AC4"/>
    <w:rsid w:val="00A12CB5"/>
    <w:rsid w:val="00A15718"/>
    <w:rsid w:val="00A17F85"/>
    <w:rsid w:val="00A36C07"/>
    <w:rsid w:val="00A4276D"/>
    <w:rsid w:val="00A434D2"/>
    <w:rsid w:val="00A614AA"/>
    <w:rsid w:val="00A63C91"/>
    <w:rsid w:val="00A81BB4"/>
    <w:rsid w:val="00A942D6"/>
    <w:rsid w:val="00A9788A"/>
    <w:rsid w:val="00AA0DA2"/>
    <w:rsid w:val="00AA65A0"/>
    <w:rsid w:val="00AB30F6"/>
    <w:rsid w:val="00AD4601"/>
    <w:rsid w:val="00AD6935"/>
    <w:rsid w:val="00AE32BB"/>
    <w:rsid w:val="00AE3D37"/>
    <w:rsid w:val="00AE3E5B"/>
    <w:rsid w:val="00B03A7D"/>
    <w:rsid w:val="00B4289F"/>
    <w:rsid w:val="00B44DA9"/>
    <w:rsid w:val="00B57EC8"/>
    <w:rsid w:val="00B65263"/>
    <w:rsid w:val="00B7140C"/>
    <w:rsid w:val="00B7155E"/>
    <w:rsid w:val="00BA25E4"/>
    <w:rsid w:val="00BB01BB"/>
    <w:rsid w:val="00BB6B12"/>
    <w:rsid w:val="00BC0896"/>
    <w:rsid w:val="00BC5303"/>
    <w:rsid w:val="00BD6902"/>
    <w:rsid w:val="00BF4D97"/>
    <w:rsid w:val="00C12BC7"/>
    <w:rsid w:val="00C12F8B"/>
    <w:rsid w:val="00C21A17"/>
    <w:rsid w:val="00C22EE8"/>
    <w:rsid w:val="00C249C1"/>
    <w:rsid w:val="00C44198"/>
    <w:rsid w:val="00C64827"/>
    <w:rsid w:val="00C71963"/>
    <w:rsid w:val="00C874A8"/>
    <w:rsid w:val="00C90462"/>
    <w:rsid w:val="00CA5A66"/>
    <w:rsid w:val="00CB32DB"/>
    <w:rsid w:val="00CC1E45"/>
    <w:rsid w:val="00CF2FBE"/>
    <w:rsid w:val="00CF4835"/>
    <w:rsid w:val="00CF671A"/>
    <w:rsid w:val="00CF6C8C"/>
    <w:rsid w:val="00D11A05"/>
    <w:rsid w:val="00D2075F"/>
    <w:rsid w:val="00D32746"/>
    <w:rsid w:val="00D32E62"/>
    <w:rsid w:val="00D3382A"/>
    <w:rsid w:val="00D37D72"/>
    <w:rsid w:val="00D44E6F"/>
    <w:rsid w:val="00D46EE6"/>
    <w:rsid w:val="00D670D2"/>
    <w:rsid w:val="00DA22BD"/>
    <w:rsid w:val="00DA5843"/>
    <w:rsid w:val="00DC132C"/>
    <w:rsid w:val="00DD01EF"/>
    <w:rsid w:val="00DD5D5D"/>
    <w:rsid w:val="00DE746C"/>
    <w:rsid w:val="00DE7AEA"/>
    <w:rsid w:val="00E05EF8"/>
    <w:rsid w:val="00E172EF"/>
    <w:rsid w:val="00E37859"/>
    <w:rsid w:val="00E419D8"/>
    <w:rsid w:val="00E41C68"/>
    <w:rsid w:val="00E543C1"/>
    <w:rsid w:val="00E55D40"/>
    <w:rsid w:val="00E62839"/>
    <w:rsid w:val="00E713C6"/>
    <w:rsid w:val="00E721D1"/>
    <w:rsid w:val="00E9315B"/>
    <w:rsid w:val="00EA0388"/>
    <w:rsid w:val="00EA4270"/>
    <w:rsid w:val="00EA634A"/>
    <w:rsid w:val="00EA7C47"/>
    <w:rsid w:val="00EB4AED"/>
    <w:rsid w:val="00EC0AA5"/>
    <w:rsid w:val="00EE1DBD"/>
    <w:rsid w:val="00F2576F"/>
    <w:rsid w:val="00F33ECA"/>
    <w:rsid w:val="00F359C7"/>
    <w:rsid w:val="00F45764"/>
    <w:rsid w:val="00F518BE"/>
    <w:rsid w:val="00F53289"/>
    <w:rsid w:val="00F54A73"/>
    <w:rsid w:val="00F76BE8"/>
    <w:rsid w:val="00F81A61"/>
    <w:rsid w:val="00F85EEA"/>
    <w:rsid w:val="00F9641E"/>
    <w:rsid w:val="00FF1FC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DC441"/>
  <w15:chartTrackingRefBased/>
  <w15:docId w15:val="{66068360-6305-2A4D-92E7-57F80C506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53E77"/>
    <w:pPr>
      <w:spacing w:before="120" w:after="120"/>
      <w:jc w:val="both"/>
    </w:pPr>
    <w:rPr>
      <w:rFonts w:eastAsia="Times New Roman" w:cs="Times New Roman"/>
      <w:sz w:val="22"/>
      <w:lang w:eastAsia="it-IT"/>
    </w:rPr>
  </w:style>
  <w:style w:type="paragraph" w:styleId="Titolo1">
    <w:name w:val="heading 1"/>
    <w:basedOn w:val="Normale"/>
    <w:next w:val="Normale"/>
    <w:link w:val="Titolo1Carattere"/>
    <w:uiPriority w:val="9"/>
    <w:qFormat/>
    <w:rsid w:val="006E2D71"/>
    <w:pPr>
      <w:keepNext/>
      <w:keepLines/>
      <w:numPr>
        <w:numId w:val="5"/>
      </w:numPr>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link w:val="Titolo2Carattere"/>
    <w:uiPriority w:val="9"/>
    <w:qFormat/>
    <w:rsid w:val="004D46F6"/>
    <w:pPr>
      <w:numPr>
        <w:ilvl w:val="1"/>
        <w:numId w:val="5"/>
      </w:numPr>
      <w:spacing w:before="100" w:beforeAutospacing="1" w:after="100" w:afterAutospacing="1"/>
      <w:outlineLvl w:val="1"/>
    </w:pPr>
    <w:rPr>
      <w:rFonts w:asciiTheme="majorHAnsi" w:hAnsiTheme="majorHAnsi" w:cstheme="majorHAnsi"/>
      <w:i/>
      <w:iCs/>
      <w:color w:val="4472C4" w:themeColor="accent1"/>
      <w:sz w:val="28"/>
      <w:szCs w:val="28"/>
      <w:lang w:val="en-GB"/>
    </w:rPr>
  </w:style>
  <w:style w:type="paragraph" w:styleId="Titolo3">
    <w:name w:val="heading 3"/>
    <w:basedOn w:val="Normale"/>
    <w:next w:val="Normale"/>
    <w:link w:val="Titolo3Carattere"/>
    <w:uiPriority w:val="9"/>
    <w:semiHidden/>
    <w:unhideWhenUsed/>
    <w:qFormat/>
    <w:rsid w:val="00053E77"/>
    <w:pPr>
      <w:keepNext/>
      <w:keepLines/>
      <w:numPr>
        <w:ilvl w:val="2"/>
        <w:numId w:val="5"/>
      </w:numPr>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semiHidden/>
    <w:unhideWhenUsed/>
    <w:qFormat/>
    <w:rsid w:val="00053E77"/>
    <w:pPr>
      <w:keepNext/>
      <w:keepLines/>
      <w:numPr>
        <w:ilvl w:val="3"/>
        <w:numId w:val="5"/>
      </w:numPr>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053E77"/>
    <w:pPr>
      <w:keepNext/>
      <w:keepLines/>
      <w:numPr>
        <w:ilvl w:val="4"/>
        <w:numId w:val="5"/>
      </w:numPr>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053E77"/>
    <w:pPr>
      <w:keepNext/>
      <w:keepLines/>
      <w:numPr>
        <w:ilvl w:val="5"/>
        <w:numId w:val="5"/>
      </w:numPr>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053E77"/>
    <w:pPr>
      <w:keepNext/>
      <w:keepLines/>
      <w:numPr>
        <w:ilvl w:val="6"/>
        <w:numId w:val="5"/>
      </w:numPr>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053E77"/>
    <w:pPr>
      <w:keepNext/>
      <w:keepLines/>
      <w:numPr>
        <w:ilvl w:val="7"/>
        <w:numId w:val="5"/>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053E77"/>
    <w:pPr>
      <w:keepNext/>
      <w:keepLines/>
      <w:numPr>
        <w:ilvl w:val="8"/>
        <w:numId w:val="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419D8"/>
    <w:pPr>
      <w:ind w:left="720"/>
      <w:contextualSpacing/>
    </w:pPr>
    <w:rPr>
      <w:rFonts w:eastAsiaTheme="minorHAnsi" w:cstheme="minorBidi"/>
      <w:lang w:eastAsia="en-US"/>
    </w:rPr>
  </w:style>
  <w:style w:type="paragraph" w:styleId="NormaleWeb">
    <w:name w:val="Normal (Web)"/>
    <w:basedOn w:val="Normale"/>
    <w:uiPriority w:val="99"/>
    <w:unhideWhenUsed/>
    <w:rsid w:val="00007AE5"/>
    <w:pPr>
      <w:spacing w:before="100" w:beforeAutospacing="1" w:after="100" w:afterAutospacing="1"/>
    </w:pPr>
  </w:style>
  <w:style w:type="character" w:customStyle="1" w:styleId="apple-converted-space">
    <w:name w:val="apple-converted-space"/>
    <w:basedOn w:val="Carpredefinitoparagrafo"/>
    <w:rsid w:val="00AD4601"/>
  </w:style>
  <w:style w:type="character" w:styleId="Collegamentoipertestuale">
    <w:name w:val="Hyperlink"/>
    <w:basedOn w:val="Carpredefinitoparagrafo"/>
    <w:uiPriority w:val="99"/>
    <w:semiHidden/>
    <w:unhideWhenUsed/>
    <w:rsid w:val="00AD4601"/>
    <w:rPr>
      <w:color w:val="0000FF"/>
      <w:u w:val="single"/>
    </w:rPr>
  </w:style>
  <w:style w:type="character" w:customStyle="1" w:styleId="Titolo2Carattere">
    <w:name w:val="Titolo 2 Carattere"/>
    <w:basedOn w:val="Carpredefinitoparagrafo"/>
    <w:link w:val="Titolo2"/>
    <w:uiPriority w:val="9"/>
    <w:rsid w:val="004D46F6"/>
    <w:rPr>
      <w:rFonts w:asciiTheme="majorHAnsi" w:eastAsia="Times New Roman" w:hAnsiTheme="majorHAnsi" w:cstheme="majorHAnsi"/>
      <w:i/>
      <w:iCs/>
      <w:color w:val="4472C4" w:themeColor="accent1"/>
      <w:sz w:val="28"/>
      <w:szCs w:val="28"/>
      <w:lang w:val="en-GB" w:eastAsia="it-IT"/>
    </w:rPr>
  </w:style>
  <w:style w:type="character" w:customStyle="1" w:styleId="gmail-queryoperator">
    <w:name w:val="gmail-queryoperator"/>
    <w:basedOn w:val="Carpredefinitoparagrafo"/>
    <w:rsid w:val="003F083A"/>
  </w:style>
  <w:style w:type="character" w:customStyle="1" w:styleId="gmail-querysrchtext">
    <w:name w:val="gmail-querysrchtext"/>
    <w:basedOn w:val="Carpredefinitoparagrafo"/>
    <w:rsid w:val="003F083A"/>
  </w:style>
  <w:style w:type="character" w:customStyle="1" w:styleId="gmail-querysrchterm">
    <w:name w:val="gmail-querysrchterm"/>
    <w:basedOn w:val="Carpredefinitoparagrafo"/>
    <w:rsid w:val="003F083A"/>
  </w:style>
  <w:style w:type="paragraph" w:customStyle="1" w:styleId="Bibliografia1">
    <w:name w:val="Bibliografia1"/>
    <w:basedOn w:val="Normale"/>
    <w:link w:val="BibliographyCarattere"/>
    <w:rsid w:val="00A614AA"/>
    <w:pPr>
      <w:spacing w:before="100" w:beforeAutospacing="1" w:afterAutospacing="1" w:line="480" w:lineRule="auto"/>
      <w:ind w:left="720" w:hanging="720"/>
    </w:pPr>
    <w:rPr>
      <w:rFonts w:eastAsiaTheme="minorHAnsi"/>
      <w:noProof/>
      <w:lang w:val="en-US" w:eastAsia="en-US"/>
    </w:rPr>
  </w:style>
  <w:style w:type="character" w:customStyle="1" w:styleId="BibliographyCarattere">
    <w:name w:val="Bibliography Carattere"/>
    <w:basedOn w:val="Carpredefinitoparagrafo"/>
    <w:link w:val="Bibliografia1"/>
    <w:rsid w:val="00A614AA"/>
    <w:rPr>
      <w:rFonts w:ascii="Times New Roman" w:hAnsi="Times New Roman" w:cs="Times New Roman"/>
      <w:noProof/>
      <w:lang w:val="en-US"/>
    </w:rPr>
  </w:style>
  <w:style w:type="character" w:styleId="Enfasicorsivo">
    <w:name w:val="Emphasis"/>
    <w:basedOn w:val="Carpredefinitoparagrafo"/>
    <w:uiPriority w:val="20"/>
    <w:qFormat/>
    <w:rsid w:val="005D02BA"/>
    <w:rPr>
      <w:i/>
      <w:iCs/>
    </w:rPr>
  </w:style>
  <w:style w:type="character" w:styleId="Enfasigrassetto">
    <w:name w:val="Strong"/>
    <w:basedOn w:val="Carpredefinitoparagrafo"/>
    <w:uiPriority w:val="22"/>
    <w:qFormat/>
    <w:rsid w:val="005D02BA"/>
    <w:rPr>
      <w:b/>
      <w:bCs/>
    </w:rPr>
  </w:style>
  <w:style w:type="character" w:styleId="Collegamentovisitato">
    <w:name w:val="FollowedHyperlink"/>
    <w:basedOn w:val="Carpredefinitoparagrafo"/>
    <w:uiPriority w:val="99"/>
    <w:semiHidden/>
    <w:unhideWhenUsed/>
    <w:rsid w:val="005D02BA"/>
    <w:rPr>
      <w:color w:val="954F72" w:themeColor="followedHyperlink"/>
      <w:u w:val="single"/>
    </w:rPr>
  </w:style>
  <w:style w:type="character" w:styleId="CitazioneHTML">
    <w:name w:val="HTML Cite"/>
    <w:basedOn w:val="Carpredefinitoparagrafo"/>
    <w:uiPriority w:val="99"/>
    <w:semiHidden/>
    <w:unhideWhenUsed/>
    <w:rsid w:val="005D02BA"/>
    <w:rPr>
      <w:i/>
      <w:iCs/>
    </w:rPr>
  </w:style>
  <w:style w:type="character" w:styleId="Rimandocommento">
    <w:name w:val="annotation reference"/>
    <w:basedOn w:val="Carpredefinitoparagrafo"/>
    <w:uiPriority w:val="99"/>
    <w:semiHidden/>
    <w:unhideWhenUsed/>
    <w:rsid w:val="0096562B"/>
    <w:rPr>
      <w:sz w:val="16"/>
      <w:szCs w:val="16"/>
    </w:rPr>
  </w:style>
  <w:style w:type="paragraph" w:styleId="Testocommento">
    <w:name w:val="annotation text"/>
    <w:basedOn w:val="Normale"/>
    <w:link w:val="TestocommentoCarattere"/>
    <w:uiPriority w:val="99"/>
    <w:semiHidden/>
    <w:unhideWhenUsed/>
    <w:rsid w:val="0096562B"/>
    <w:pPr>
      <w:spacing w:after="160"/>
    </w:pPr>
    <w:rPr>
      <w:rFonts w:eastAsiaTheme="minorHAnsi" w:cstheme="minorBidi"/>
      <w:sz w:val="20"/>
      <w:szCs w:val="20"/>
      <w:lang w:val="en-GB" w:eastAsia="en-US"/>
    </w:rPr>
  </w:style>
  <w:style w:type="character" w:customStyle="1" w:styleId="TestocommentoCarattere">
    <w:name w:val="Testo commento Carattere"/>
    <w:basedOn w:val="Carpredefinitoparagrafo"/>
    <w:link w:val="Testocommento"/>
    <w:uiPriority w:val="99"/>
    <w:semiHidden/>
    <w:rsid w:val="0096562B"/>
    <w:rPr>
      <w:sz w:val="20"/>
      <w:szCs w:val="20"/>
      <w:lang w:val="en-GB"/>
    </w:rPr>
  </w:style>
  <w:style w:type="paragraph" w:styleId="Testofumetto">
    <w:name w:val="Balloon Text"/>
    <w:basedOn w:val="Normale"/>
    <w:link w:val="TestofumettoCarattere"/>
    <w:uiPriority w:val="99"/>
    <w:semiHidden/>
    <w:unhideWhenUsed/>
    <w:rsid w:val="0096562B"/>
    <w:rPr>
      <w:sz w:val="18"/>
      <w:szCs w:val="18"/>
    </w:rPr>
  </w:style>
  <w:style w:type="character" w:customStyle="1" w:styleId="TestofumettoCarattere">
    <w:name w:val="Testo fumetto Carattere"/>
    <w:basedOn w:val="Carpredefinitoparagrafo"/>
    <w:link w:val="Testofumetto"/>
    <w:uiPriority w:val="99"/>
    <w:semiHidden/>
    <w:rsid w:val="0096562B"/>
    <w:rPr>
      <w:rFonts w:ascii="Times New Roman" w:eastAsia="Times New Roman" w:hAnsi="Times New Roman" w:cs="Times New Roman"/>
      <w:sz w:val="18"/>
      <w:szCs w:val="18"/>
      <w:lang w:eastAsia="it-IT"/>
    </w:rPr>
  </w:style>
  <w:style w:type="character" w:customStyle="1" w:styleId="Titolo1Carattere">
    <w:name w:val="Titolo 1 Carattere"/>
    <w:basedOn w:val="Carpredefinitoparagrafo"/>
    <w:link w:val="Titolo1"/>
    <w:uiPriority w:val="9"/>
    <w:rsid w:val="006E2D71"/>
    <w:rPr>
      <w:rFonts w:asciiTheme="majorHAnsi" w:eastAsiaTheme="majorEastAsia" w:hAnsiTheme="majorHAnsi" w:cstheme="majorBidi"/>
      <w:color w:val="2F5496" w:themeColor="accent1" w:themeShade="BF"/>
      <w:sz w:val="32"/>
      <w:szCs w:val="32"/>
      <w:lang w:eastAsia="it-IT"/>
    </w:rPr>
  </w:style>
  <w:style w:type="character" w:customStyle="1" w:styleId="Titolo3Carattere">
    <w:name w:val="Titolo 3 Carattere"/>
    <w:basedOn w:val="Carpredefinitoparagrafo"/>
    <w:link w:val="Titolo3"/>
    <w:uiPriority w:val="9"/>
    <w:semiHidden/>
    <w:rsid w:val="00053E77"/>
    <w:rPr>
      <w:rFonts w:asciiTheme="majorHAnsi" w:eastAsiaTheme="majorEastAsia" w:hAnsiTheme="majorHAnsi" w:cstheme="majorBidi"/>
      <w:color w:val="1F3763" w:themeColor="accent1" w:themeShade="7F"/>
      <w:lang w:eastAsia="it-IT"/>
    </w:rPr>
  </w:style>
  <w:style w:type="character" w:customStyle="1" w:styleId="Titolo4Carattere">
    <w:name w:val="Titolo 4 Carattere"/>
    <w:basedOn w:val="Carpredefinitoparagrafo"/>
    <w:link w:val="Titolo4"/>
    <w:uiPriority w:val="9"/>
    <w:semiHidden/>
    <w:rsid w:val="00053E77"/>
    <w:rPr>
      <w:rFonts w:asciiTheme="majorHAnsi" w:eastAsiaTheme="majorEastAsia" w:hAnsiTheme="majorHAnsi" w:cstheme="majorBidi"/>
      <w:i/>
      <w:iCs/>
      <w:color w:val="2F5496" w:themeColor="accent1" w:themeShade="BF"/>
      <w:lang w:eastAsia="it-IT"/>
    </w:rPr>
  </w:style>
  <w:style w:type="character" w:customStyle="1" w:styleId="Titolo5Carattere">
    <w:name w:val="Titolo 5 Carattere"/>
    <w:basedOn w:val="Carpredefinitoparagrafo"/>
    <w:link w:val="Titolo5"/>
    <w:uiPriority w:val="9"/>
    <w:semiHidden/>
    <w:rsid w:val="00053E77"/>
    <w:rPr>
      <w:rFonts w:asciiTheme="majorHAnsi" w:eastAsiaTheme="majorEastAsia" w:hAnsiTheme="majorHAnsi" w:cstheme="majorBidi"/>
      <w:color w:val="2F5496" w:themeColor="accent1" w:themeShade="BF"/>
      <w:lang w:eastAsia="it-IT"/>
    </w:rPr>
  </w:style>
  <w:style w:type="character" w:customStyle="1" w:styleId="Titolo6Carattere">
    <w:name w:val="Titolo 6 Carattere"/>
    <w:basedOn w:val="Carpredefinitoparagrafo"/>
    <w:link w:val="Titolo6"/>
    <w:uiPriority w:val="9"/>
    <w:semiHidden/>
    <w:rsid w:val="00053E77"/>
    <w:rPr>
      <w:rFonts w:asciiTheme="majorHAnsi" w:eastAsiaTheme="majorEastAsia" w:hAnsiTheme="majorHAnsi" w:cstheme="majorBidi"/>
      <w:color w:val="1F3763" w:themeColor="accent1" w:themeShade="7F"/>
      <w:lang w:eastAsia="it-IT"/>
    </w:rPr>
  </w:style>
  <w:style w:type="character" w:customStyle="1" w:styleId="Titolo7Carattere">
    <w:name w:val="Titolo 7 Carattere"/>
    <w:basedOn w:val="Carpredefinitoparagrafo"/>
    <w:link w:val="Titolo7"/>
    <w:uiPriority w:val="9"/>
    <w:semiHidden/>
    <w:rsid w:val="00053E77"/>
    <w:rPr>
      <w:rFonts w:asciiTheme="majorHAnsi" w:eastAsiaTheme="majorEastAsia" w:hAnsiTheme="majorHAnsi" w:cstheme="majorBidi"/>
      <w:i/>
      <w:iCs/>
      <w:color w:val="1F3763" w:themeColor="accent1" w:themeShade="7F"/>
      <w:lang w:eastAsia="it-IT"/>
    </w:rPr>
  </w:style>
  <w:style w:type="character" w:customStyle="1" w:styleId="Titolo8Carattere">
    <w:name w:val="Titolo 8 Carattere"/>
    <w:basedOn w:val="Carpredefinitoparagrafo"/>
    <w:link w:val="Titolo8"/>
    <w:uiPriority w:val="9"/>
    <w:semiHidden/>
    <w:rsid w:val="00053E77"/>
    <w:rPr>
      <w:rFonts w:asciiTheme="majorHAnsi" w:eastAsiaTheme="majorEastAsia" w:hAnsiTheme="majorHAnsi" w:cstheme="majorBidi"/>
      <w:color w:val="272727" w:themeColor="text1" w:themeTint="D8"/>
      <w:sz w:val="21"/>
      <w:szCs w:val="21"/>
      <w:lang w:eastAsia="it-IT"/>
    </w:rPr>
  </w:style>
  <w:style w:type="character" w:customStyle="1" w:styleId="Titolo9Carattere">
    <w:name w:val="Titolo 9 Carattere"/>
    <w:basedOn w:val="Carpredefinitoparagrafo"/>
    <w:link w:val="Titolo9"/>
    <w:uiPriority w:val="9"/>
    <w:semiHidden/>
    <w:rsid w:val="00053E77"/>
    <w:rPr>
      <w:rFonts w:asciiTheme="majorHAnsi" w:eastAsiaTheme="majorEastAsia" w:hAnsiTheme="majorHAnsi" w:cstheme="majorBidi"/>
      <w:i/>
      <w:iCs/>
      <w:color w:val="272727" w:themeColor="text1" w:themeTint="D8"/>
      <w:sz w:val="21"/>
      <w:szCs w:val="21"/>
      <w:lang w:eastAsia="it-IT"/>
    </w:rPr>
  </w:style>
  <w:style w:type="paragraph" w:styleId="Titolo">
    <w:name w:val="Title"/>
    <w:basedOn w:val="Normale"/>
    <w:next w:val="Normale"/>
    <w:link w:val="TitoloCarattere"/>
    <w:uiPriority w:val="10"/>
    <w:qFormat/>
    <w:rsid w:val="00053E77"/>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53E77"/>
    <w:rPr>
      <w:rFonts w:asciiTheme="majorHAnsi" w:eastAsiaTheme="majorEastAsia" w:hAnsiTheme="majorHAnsi" w:cstheme="majorBidi"/>
      <w:spacing w:val="-10"/>
      <w:kern w:val="28"/>
      <w:sz w:val="56"/>
      <w:szCs w:val="56"/>
      <w:lang w:eastAsia="it-IT"/>
    </w:rPr>
  </w:style>
  <w:style w:type="paragraph" w:styleId="Soggettocommento">
    <w:name w:val="annotation subject"/>
    <w:basedOn w:val="Testocommento"/>
    <w:next w:val="Testocommento"/>
    <w:link w:val="SoggettocommentoCarattere"/>
    <w:uiPriority w:val="99"/>
    <w:semiHidden/>
    <w:unhideWhenUsed/>
    <w:rsid w:val="00F76BE8"/>
    <w:pPr>
      <w:spacing w:after="120"/>
    </w:pPr>
    <w:rPr>
      <w:rFonts w:eastAsia="Times New Roman" w:cs="Times New Roman"/>
      <w:b/>
      <w:bCs/>
      <w:lang w:val="it-IT" w:eastAsia="it-IT"/>
    </w:rPr>
  </w:style>
  <w:style w:type="character" w:customStyle="1" w:styleId="SoggettocommentoCarattere">
    <w:name w:val="Soggetto commento Carattere"/>
    <w:basedOn w:val="TestocommentoCarattere"/>
    <w:link w:val="Soggettocommento"/>
    <w:uiPriority w:val="99"/>
    <w:semiHidden/>
    <w:rsid w:val="00F76BE8"/>
    <w:rPr>
      <w:rFonts w:eastAsia="Times New Roman" w:cs="Times New Roman"/>
      <w:b/>
      <w:bCs/>
      <w:sz w:val="20"/>
      <w:szCs w:val="20"/>
      <w:lang w:val="en-GB" w:eastAsia="it-IT"/>
    </w:rPr>
  </w:style>
  <w:style w:type="paragraph" w:styleId="Bibliografia">
    <w:name w:val="Bibliography"/>
    <w:basedOn w:val="Normale"/>
    <w:next w:val="Normale"/>
    <w:uiPriority w:val="37"/>
    <w:unhideWhenUsed/>
    <w:rsid w:val="00793BC5"/>
  </w:style>
  <w:style w:type="paragraph" w:styleId="Revisione">
    <w:name w:val="Revision"/>
    <w:hidden/>
    <w:uiPriority w:val="99"/>
    <w:semiHidden/>
    <w:rsid w:val="00F45764"/>
    <w:rPr>
      <w:rFonts w:eastAsia="Times New Roman" w:cs="Times New Roman"/>
      <w:sz w:val="22"/>
      <w:lang w:eastAsia="it-IT"/>
    </w:rPr>
  </w:style>
  <w:style w:type="character" w:customStyle="1" w:styleId="list-group-item">
    <w:name w:val="list-group-item"/>
    <w:basedOn w:val="Carpredefinitoparagrafo"/>
    <w:rsid w:val="00215925"/>
  </w:style>
  <w:style w:type="character" w:customStyle="1" w:styleId="anchortext">
    <w:name w:val="anchortext"/>
    <w:basedOn w:val="Carpredefinitoparagrafo"/>
    <w:rsid w:val="00215925"/>
  </w:style>
  <w:style w:type="paragraph" w:styleId="Iniziomodulo-z">
    <w:name w:val="HTML Top of Form"/>
    <w:basedOn w:val="Normale"/>
    <w:next w:val="Normale"/>
    <w:link w:val="Iniziomodulo-zCarattere"/>
    <w:hidden/>
    <w:uiPriority w:val="99"/>
    <w:semiHidden/>
    <w:unhideWhenUsed/>
    <w:rsid w:val="00215925"/>
    <w:pPr>
      <w:pBdr>
        <w:bottom w:val="single" w:sz="6" w:space="1" w:color="auto"/>
      </w:pBdr>
      <w:spacing w:before="0" w:after="0"/>
      <w:jc w:val="center"/>
    </w:pPr>
    <w:rPr>
      <w:rFonts w:ascii="Arial" w:hAnsi="Arial" w:cs="Arial"/>
      <w:vanish/>
      <w:sz w:val="16"/>
      <w:szCs w:val="16"/>
      <w:lang w:val="en-US" w:eastAsia="en-US"/>
    </w:rPr>
  </w:style>
  <w:style w:type="character" w:customStyle="1" w:styleId="Iniziomodulo-zCarattere">
    <w:name w:val="Inizio modulo -z Carattere"/>
    <w:basedOn w:val="Carpredefinitoparagrafo"/>
    <w:link w:val="Iniziomodulo-z"/>
    <w:uiPriority w:val="99"/>
    <w:semiHidden/>
    <w:rsid w:val="00215925"/>
    <w:rPr>
      <w:rFonts w:ascii="Arial" w:eastAsia="Times New Roman" w:hAnsi="Arial" w:cs="Arial"/>
      <w:vanish/>
      <w:sz w:val="16"/>
      <w:szCs w:val="16"/>
      <w:lang w:val="en-US"/>
    </w:rPr>
  </w:style>
  <w:style w:type="paragraph" w:styleId="Finemodulo-z">
    <w:name w:val="HTML Bottom of Form"/>
    <w:basedOn w:val="Normale"/>
    <w:next w:val="Normale"/>
    <w:link w:val="Finemodulo-zCarattere"/>
    <w:hidden/>
    <w:uiPriority w:val="99"/>
    <w:semiHidden/>
    <w:unhideWhenUsed/>
    <w:rsid w:val="00215925"/>
    <w:pPr>
      <w:pBdr>
        <w:top w:val="single" w:sz="6" w:space="1" w:color="auto"/>
      </w:pBdr>
      <w:spacing w:before="0" w:after="0"/>
      <w:jc w:val="center"/>
    </w:pPr>
    <w:rPr>
      <w:rFonts w:ascii="Arial" w:hAnsi="Arial" w:cs="Arial"/>
      <w:vanish/>
      <w:sz w:val="16"/>
      <w:szCs w:val="16"/>
      <w:lang w:val="en-US" w:eastAsia="en-US"/>
    </w:rPr>
  </w:style>
  <w:style w:type="character" w:customStyle="1" w:styleId="Finemodulo-zCarattere">
    <w:name w:val="Fine modulo -z Carattere"/>
    <w:basedOn w:val="Carpredefinitoparagrafo"/>
    <w:link w:val="Finemodulo-z"/>
    <w:uiPriority w:val="99"/>
    <w:semiHidden/>
    <w:rsid w:val="00215925"/>
    <w:rPr>
      <w:rFonts w:ascii="Arial" w:eastAsia="Times New Roman" w:hAnsi="Arial" w:cs="Arial"/>
      <w:vanish/>
      <w:sz w:val="16"/>
      <w:szCs w:val="16"/>
      <w:lang w:val="en-US"/>
    </w:rPr>
  </w:style>
  <w:style w:type="character" w:customStyle="1" w:styleId="scopustermhighlight">
    <w:name w:val="scopustermhighlight"/>
    <w:basedOn w:val="Carpredefinitoparagrafo"/>
    <w:rsid w:val="00215925"/>
  </w:style>
  <w:style w:type="character" w:customStyle="1" w:styleId="sr-only">
    <w:name w:val="sr-only"/>
    <w:basedOn w:val="Carpredefinitoparagrafo"/>
    <w:rsid w:val="00215925"/>
  </w:style>
  <w:style w:type="paragraph" w:customStyle="1" w:styleId="smalltext">
    <w:name w:val="smalltext"/>
    <w:basedOn w:val="Normale"/>
    <w:rsid w:val="0050730E"/>
    <w:pPr>
      <w:spacing w:before="100" w:beforeAutospacing="1" w:after="100" w:afterAutospacing="1"/>
      <w:jc w:val="left"/>
    </w:pPr>
    <w:rPr>
      <w:rFonts w:ascii="Times New Roman" w:hAnsi="Times New Roman"/>
      <w:sz w:val="24"/>
      <w:lang w:val="en-US" w:eastAsia="en-US"/>
    </w:rPr>
  </w:style>
  <w:style w:type="character" w:customStyle="1" w:styleId="text-nowrap">
    <w:name w:val="text-nowrap"/>
    <w:basedOn w:val="Carpredefinitoparagrafo"/>
    <w:rsid w:val="00C21A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9692793">
      <w:bodyDiv w:val="1"/>
      <w:marLeft w:val="0"/>
      <w:marRight w:val="0"/>
      <w:marTop w:val="0"/>
      <w:marBottom w:val="0"/>
      <w:divBdr>
        <w:top w:val="none" w:sz="0" w:space="0" w:color="auto"/>
        <w:left w:val="none" w:sz="0" w:space="0" w:color="auto"/>
        <w:bottom w:val="none" w:sz="0" w:space="0" w:color="auto"/>
        <w:right w:val="none" w:sz="0" w:space="0" w:color="auto"/>
      </w:divBdr>
    </w:div>
    <w:div w:id="69934807">
      <w:bodyDiv w:val="1"/>
      <w:marLeft w:val="0"/>
      <w:marRight w:val="0"/>
      <w:marTop w:val="0"/>
      <w:marBottom w:val="0"/>
      <w:divBdr>
        <w:top w:val="none" w:sz="0" w:space="0" w:color="auto"/>
        <w:left w:val="none" w:sz="0" w:space="0" w:color="auto"/>
        <w:bottom w:val="none" w:sz="0" w:space="0" w:color="auto"/>
        <w:right w:val="none" w:sz="0" w:space="0" w:color="auto"/>
      </w:divBdr>
    </w:div>
    <w:div w:id="99301302">
      <w:bodyDiv w:val="1"/>
      <w:marLeft w:val="0"/>
      <w:marRight w:val="0"/>
      <w:marTop w:val="0"/>
      <w:marBottom w:val="0"/>
      <w:divBdr>
        <w:top w:val="none" w:sz="0" w:space="0" w:color="auto"/>
        <w:left w:val="none" w:sz="0" w:space="0" w:color="auto"/>
        <w:bottom w:val="none" w:sz="0" w:space="0" w:color="auto"/>
        <w:right w:val="none" w:sz="0" w:space="0" w:color="auto"/>
      </w:divBdr>
    </w:div>
    <w:div w:id="145249954">
      <w:bodyDiv w:val="1"/>
      <w:marLeft w:val="0"/>
      <w:marRight w:val="0"/>
      <w:marTop w:val="0"/>
      <w:marBottom w:val="0"/>
      <w:divBdr>
        <w:top w:val="none" w:sz="0" w:space="0" w:color="auto"/>
        <w:left w:val="none" w:sz="0" w:space="0" w:color="auto"/>
        <w:bottom w:val="none" w:sz="0" w:space="0" w:color="auto"/>
        <w:right w:val="none" w:sz="0" w:space="0" w:color="auto"/>
      </w:divBdr>
    </w:div>
    <w:div w:id="149295498">
      <w:bodyDiv w:val="1"/>
      <w:marLeft w:val="0"/>
      <w:marRight w:val="0"/>
      <w:marTop w:val="0"/>
      <w:marBottom w:val="0"/>
      <w:divBdr>
        <w:top w:val="none" w:sz="0" w:space="0" w:color="auto"/>
        <w:left w:val="none" w:sz="0" w:space="0" w:color="auto"/>
        <w:bottom w:val="none" w:sz="0" w:space="0" w:color="auto"/>
        <w:right w:val="none" w:sz="0" w:space="0" w:color="auto"/>
      </w:divBdr>
    </w:div>
    <w:div w:id="153451663">
      <w:bodyDiv w:val="1"/>
      <w:marLeft w:val="0"/>
      <w:marRight w:val="0"/>
      <w:marTop w:val="0"/>
      <w:marBottom w:val="0"/>
      <w:divBdr>
        <w:top w:val="none" w:sz="0" w:space="0" w:color="auto"/>
        <w:left w:val="none" w:sz="0" w:space="0" w:color="auto"/>
        <w:bottom w:val="none" w:sz="0" w:space="0" w:color="auto"/>
        <w:right w:val="none" w:sz="0" w:space="0" w:color="auto"/>
      </w:divBdr>
    </w:div>
    <w:div w:id="160241165">
      <w:bodyDiv w:val="1"/>
      <w:marLeft w:val="0"/>
      <w:marRight w:val="0"/>
      <w:marTop w:val="0"/>
      <w:marBottom w:val="0"/>
      <w:divBdr>
        <w:top w:val="none" w:sz="0" w:space="0" w:color="auto"/>
        <w:left w:val="none" w:sz="0" w:space="0" w:color="auto"/>
        <w:bottom w:val="none" w:sz="0" w:space="0" w:color="auto"/>
        <w:right w:val="none" w:sz="0" w:space="0" w:color="auto"/>
      </w:divBdr>
      <w:divsChild>
        <w:div w:id="1465348604">
          <w:marLeft w:val="0"/>
          <w:marRight w:val="0"/>
          <w:marTop w:val="0"/>
          <w:marBottom w:val="0"/>
          <w:divBdr>
            <w:top w:val="none" w:sz="0" w:space="0" w:color="auto"/>
            <w:left w:val="none" w:sz="0" w:space="0" w:color="auto"/>
            <w:bottom w:val="none" w:sz="0" w:space="0" w:color="auto"/>
            <w:right w:val="none" w:sz="0" w:space="0" w:color="auto"/>
          </w:divBdr>
        </w:div>
      </w:divsChild>
    </w:div>
    <w:div w:id="179585259">
      <w:bodyDiv w:val="1"/>
      <w:marLeft w:val="0"/>
      <w:marRight w:val="0"/>
      <w:marTop w:val="0"/>
      <w:marBottom w:val="0"/>
      <w:divBdr>
        <w:top w:val="none" w:sz="0" w:space="0" w:color="auto"/>
        <w:left w:val="none" w:sz="0" w:space="0" w:color="auto"/>
        <w:bottom w:val="none" w:sz="0" w:space="0" w:color="auto"/>
        <w:right w:val="none" w:sz="0" w:space="0" w:color="auto"/>
      </w:divBdr>
    </w:div>
    <w:div w:id="190383426">
      <w:bodyDiv w:val="1"/>
      <w:marLeft w:val="0"/>
      <w:marRight w:val="0"/>
      <w:marTop w:val="0"/>
      <w:marBottom w:val="0"/>
      <w:divBdr>
        <w:top w:val="none" w:sz="0" w:space="0" w:color="auto"/>
        <w:left w:val="none" w:sz="0" w:space="0" w:color="auto"/>
        <w:bottom w:val="none" w:sz="0" w:space="0" w:color="auto"/>
        <w:right w:val="none" w:sz="0" w:space="0" w:color="auto"/>
      </w:divBdr>
      <w:divsChild>
        <w:div w:id="1651596622">
          <w:marLeft w:val="0"/>
          <w:marRight w:val="0"/>
          <w:marTop w:val="0"/>
          <w:marBottom w:val="0"/>
          <w:divBdr>
            <w:top w:val="none" w:sz="0" w:space="0" w:color="auto"/>
            <w:left w:val="none" w:sz="0" w:space="0" w:color="auto"/>
            <w:bottom w:val="none" w:sz="0" w:space="0" w:color="auto"/>
            <w:right w:val="none" w:sz="0" w:space="0" w:color="auto"/>
          </w:divBdr>
          <w:divsChild>
            <w:div w:id="1993829599">
              <w:marLeft w:val="0"/>
              <w:marRight w:val="0"/>
              <w:marTop w:val="0"/>
              <w:marBottom w:val="0"/>
              <w:divBdr>
                <w:top w:val="none" w:sz="0" w:space="0" w:color="auto"/>
                <w:left w:val="none" w:sz="0" w:space="0" w:color="auto"/>
                <w:bottom w:val="none" w:sz="0" w:space="0" w:color="auto"/>
                <w:right w:val="none" w:sz="0" w:space="0" w:color="auto"/>
              </w:divBdr>
              <w:divsChild>
                <w:div w:id="247277727">
                  <w:marLeft w:val="0"/>
                  <w:marRight w:val="0"/>
                  <w:marTop w:val="0"/>
                  <w:marBottom w:val="0"/>
                  <w:divBdr>
                    <w:top w:val="none" w:sz="0" w:space="0" w:color="auto"/>
                    <w:left w:val="none" w:sz="0" w:space="0" w:color="auto"/>
                    <w:bottom w:val="none" w:sz="0" w:space="0" w:color="auto"/>
                    <w:right w:val="none" w:sz="0" w:space="0" w:color="auto"/>
                  </w:divBdr>
                  <w:divsChild>
                    <w:div w:id="60045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0285566">
      <w:bodyDiv w:val="1"/>
      <w:marLeft w:val="0"/>
      <w:marRight w:val="0"/>
      <w:marTop w:val="0"/>
      <w:marBottom w:val="0"/>
      <w:divBdr>
        <w:top w:val="none" w:sz="0" w:space="0" w:color="auto"/>
        <w:left w:val="none" w:sz="0" w:space="0" w:color="auto"/>
        <w:bottom w:val="none" w:sz="0" w:space="0" w:color="auto"/>
        <w:right w:val="none" w:sz="0" w:space="0" w:color="auto"/>
      </w:divBdr>
    </w:div>
    <w:div w:id="331222788">
      <w:bodyDiv w:val="1"/>
      <w:marLeft w:val="0"/>
      <w:marRight w:val="0"/>
      <w:marTop w:val="0"/>
      <w:marBottom w:val="0"/>
      <w:divBdr>
        <w:top w:val="none" w:sz="0" w:space="0" w:color="auto"/>
        <w:left w:val="none" w:sz="0" w:space="0" w:color="auto"/>
        <w:bottom w:val="none" w:sz="0" w:space="0" w:color="auto"/>
        <w:right w:val="none" w:sz="0" w:space="0" w:color="auto"/>
      </w:divBdr>
      <w:divsChild>
        <w:div w:id="190848576">
          <w:marLeft w:val="0"/>
          <w:marRight w:val="0"/>
          <w:marTop w:val="0"/>
          <w:marBottom w:val="0"/>
          <w:divBdr>
            <w:top w:val="none" w:sz="0" w:space="0" w:color="auto"/>
            <w:left w:val="none" w:sz="0" w:space="0" w:color="auto"/>
            <w:bottom w:val="none" w:sz="0" w:space="0" w:color="auto"/>
            <w:right w:val="none" w:sz="0" w:space="0" w:color="auto"/>
          </w:divBdr>
          <w:divsChild>
            <w:div w:id="279577964">
              <w:marLeft w:val="0"/>
              <w:marRight w:val="0"/>
              <w:marTop w:val="0"/>
              <w:marBottom w:val="0"/>
              <w:divBdr>
                <w:top w:val="none" w:sz="0" w:space="0" w:color="auto"/>
                <w:left w:val="none" w:sz="0" w:space="0" w:color="auto"/>
                <w:bottom w:val="none" w:sz="0" w:space="0" w:color="auto"/>
                <w:right w:val="none" w:sz="0" w:space="0" w:color="auto"/>
              </w:divBdr>
              <w:divsChild>
                <w:div w:id="165513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474884">
          <w:marLeft w:val="0"/>
          <w:marRight w:val="0"/>
          <w:marTop w:val="0"/>
          <w:marBottom w:val="0"/>
          <w:divBdr>
            <w:top w:val="none" w:sz="0" w:space="0" w:color="auto"/>
            <w:left w:val="none" w:sz="0" w:space="0" w:color="auto"/>
            <w:bottom w:val="none" w:sz="0" w:space="0" w:color="auto"/>
            <w:right w:val="none" w:sz="0" w:space="0" w:color="auto"/>
          </w:divBdr>
          <w:divsChild>
            <w:div w:id="993336800">
              <w:marLeft w:val="0"/>
              <w:marRight w:val="0"/>
              <w:marTop w:val="0"/>
              <w:marBottom w:val="0"/>
              <w:divBdr>
                <w:top w:val="none" w:sz="0" w:space="0" w:color="auto"/>
                <w:left w:val="none" w:sz="0" w:space="0" w:color="auto"/>
                <w:bottom w:val="none" w:sz="0" w:space="0" w:color="auto"/>
                <w:right w:val="none" w:sz="0" w:space="0" w:color="auto"/>
              </w:divBdr>
              <w:divsChild>
                <w:div w:id="1539783155">
                  <w:marLeft w:val="0"/>
                  <w:marRight w:val="0"/>
                  <w:marTop w:val="0"/>
                  <w:marBottom w:val="0"/>
                  <w:divBdr>
                    <w:top w:val="none" w:sz="0" w:space="0" w:color="auto"/>
                    <w:left w:val="none" w:sz="0" w:space="0" w:color="auto"/>
                    <w:bottom w:val="none" w:sz="0" w:space="0" w:color="auto"/>
                    <w:right w:val="none" w:sz="0" w:space="0" w:color="auto"/>
                  </w:divBdr>
                </w:div>
              </w:divsChild>
            </w:div>
            <w:div w:id="1778595052">
              <w:marLeft w:val="0"/>
              <w:marRight w:val="0"/>
              <w:marTop w:val="0"/>
              <w:marBottom w:val="0"/>
              <w:divBdr>
                <w:top w:val="none" w:sz="0" w:space="0" w:color="auto"/>
                <w:left w:val="none" w:sz="0" w:space="0" w:color="auto"/>
                <w:bottom w:val="none" w:sz="0" w:space="0" w:color="auto"/>
                <w:right w:val="none" w:sz="0" w:space="0" w:color="auto"/>
              </w:divBdr>
              <w:divsChild>
                <w:div w:id="653721916">
                  <w:marLeft w:val="0"/>
                  <w:marRight w:val="0"/>
                  <w:marTop w:val="0"/>
                  <w:marBottom w:val="0"/>
                  <w:divBdr>
                    <w:top w:val="none" w:sz="0" w:space="0" w:color="auto"/>
                    <w:left w:val="none" w:sz="0" w:space="0" w:color="auto"/>
                    <w:bottom w:val="none" w:sz="0" w:space="0" w:color="auto"/>
                    <w:right w:val="none" w:sz="0" w:space="0" w:color="auto"/>
                  </w:divBdr>
                </w:div>
              </w:divsChild>
            </w:div>
            <w:div w:id="1879972226">
              <w:marLeft w:val="0"/>
              <w:marRight w:val="0"/>
              <w:marTop w:val="0"/>
              <w:marBottom w:val="0"/>
              <w:divBdr>
                <w:top w:val="none" w:sz="0" w:space="0" w:color="auto"/>
                <w:left w:val="none" w:sz="0" w:space="0" w:color="auto"/>
                <w:bottom w:val="none" w:sz="0" w:space="0" w:color="auto"/>
                <w:right w:val="none" w:sz="0" w:space="0" w:color="auto"/>
              </w:divBdr>
              <w:divsChild>
                <w:div w:id="4915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821799">
          <w:marLeft w:val="0"/>
          <w:marRight w:val="0"/>
          <w:marTop w:val="0"/>
          <w:marBottom w:val="0"/>
          <w:divBdr>
            <w:top w:val="none" w:sz="0" w:space="0" w:color="auto"/>
            <w:left w:val="none" w:sz="0" w:space="0" w:color="auto"/>
            <w:bottom w:val="none" w:sz="0" w:space="0" w:color="auto"/>
            <w:right w:val="none" w:sz="0" w:space="0" w:color="auto"/>
          </w:divBdr>
          <w:divsChild>
            <w:div w:id="1663119175">
              <w:marLeft w:val="0"/>
              <w:marRight w:val="0"/>
              <w:marTop w:val="0"/>
              <w:marBottom w:val="0"/>
              <w:divBdr>
                <w:top w:val="none" w:sz="0" w:space="0" w:color="auto"/>
                <w:left w:val="none" w:sz="0" w:space="0" w:color="auto"/>
                <w:bottom w:val="none" w:sz="0" w:space="0" w:color="auto"/>
                <w:right w:val="none" w:sz="0" w:space="0" w:color="auto"/>
              </w:divBdr>
              <w:divsChild>
                <w:div w:id="46720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296453">
      <w:bodyDiv w:val="1"/>
      <w:marLeft w:val="0"/>
      <w:marRight w:val="0"/>
      <w:marTop w:val="0"/>
      <w:marBottom w:val="0"/>
      <w:divBdr>
        <w:top w:val="none" w:sz="0" w:space="0" w:color="auto"/>
        <w:left w:val="none" w:sz="0" w:space="0" w:color="auto"/>
        <w:bottom w:val="none" w:sz="0" w:space="0" w:color="auto"/>
        <w:right w:val="none" w:sz="0" w:space="0" w:color="auto"/>
      </w:divBdr>
      <w:divsChild>
        <w:div w:id="1663660923">
          <w:marLeft w:val="0"/>
          <w:marRight w:val="0"/>
          <w:marTop w:val="0"/>
          <w:marBottom w:val="0"/>
          <w:divBdr>
            <w:top w:val="none" w:sz="0" w:space="0" w:color="auto"/>
            <w:left w:val="none" w:sz="0" w:space="0" w:color="auto"/>
            <w:bottom w:val="none" w:sz="0" w:space="0" w:color="auto"/>
            <w:right w:val="none" w:sz="0" w:space="0" w:color="auto"/>
          </w:divBdr>
          <w:divsChild>
            <w:div w:id="1061099671">
              <w:marLeft w:val="0"/>
              <w:marRight w:val="0"/>
              <w:marTop w:val="0"/>
              <w:marBottom w:val="0"/>
              <w:divBdr>
                <w:top w:val="none" w:sz="0" w:space="0" w:color="auto"/>
                <w:left w:val="none" w:sz="0" w:space="0" w:color="auto"/>
                <w:bottom w:val="none" w:sz="0" w:space="0" w:color="auto"/>
                <w:right w:val="none" w:sz="0" w:space="0" w:color="auto"/>
              </w:divBdr>
            </w:div>
          </w:divsChild>
        </w:div>
        <w:div w:id="1655915752">
          <w:marLeft w:val="0"/>
          <w:marRight w:val="0"/>
          <w:marTop w:val="0"/>
          <w:marBottom w:val="0"/>
          <w:divBdr>
            <w:top w:val="none" w:sz="0" w:space="0" w:color="auto"/>
            <w:left w:val="none" w:sz="0" w:space="0" w:color="auto"/>
            <w:bottom w:val="none" w:sz="0" w:space="0" w:color="auto"/>
            <w:right w:val="none" w:sz="0" w:space="0" w:color="auto"/>
          </w:divBdr>
        </w:div>
      </w:divsChild>
    </w:div>
    <w:div w:id="349987023">
      <w:bodyDiv w:val="1"/>
      <w:marLeft w:val="0"/>
      <w:marRight w:val="0"/>
      <w:marTop w:val="0"/>
      <w:marBottom w:val="0"/>
      <w:divBdr>
        <w:top w:val="none" w:sz="0" w:space="0" w:color="auto"/>
        <w:left w:val="none" w:sz="0" w:space="0" w:color="auto"/>
        <w:bottom w:val="none" w:sz="0" w:space="0" w:color="auto"/>
        <w:right w:val="none" w:sz="0" w:space="0" w:color="auto"/>
      </w:divBdr>
    </w:div>
    <w:div w:id="407768394">
      <w:bodyDiv w:val="1"/>
      <w:marLeft w:val="0"/>
      <w:marRight w:val="0"/>
      <w:marTop w:val="0"/>
      <w:marBottom w:val="0"/>
      <w:divBdr>
        <w:top w:val="none" w:sz="0" w:space="0" w:color="auto"/>
        <w:left w:val="none" w:sz="0" w:space="0" w:color="auto"/>
        <w:bottom w:val="none" w:sz="0" w:space="0" w:color="auto"/>
        <w:right w:val="none" w:sz="0" w:space="0" w:color="auto"/>
      </w:divBdr>
    </w:div>
    <w:div w:id="408967241">
      <w:bodyDiv w:val="1"/>
      <w:marLeft w:val="0"/>
      <w:marRight w:val="0"/>
      <w:marTop w:val="0"/>
      <w:marBottom w:val="0"/>
      <w:divBdr>
        <w:top w:val="none" w:sz="0" w:space="0" w:color="auto"/>
        <w:left w:val="none" w:sz="0" w:space="0" w:color="auto"/>
        <w:bottom w:val="none" w:sz="0" w:space="0" w:color="auto"/>
        <w:right w:val="none" w:sz="0" w:space="0" w:color="auto"/>
      </w:divBdr>
      <w:divsChild>
        <w:div w:id="717435661">
          <w:marLeft w:val="0"/>
          <w:marRight w:val="0"/>
          <w:marTop w:val="0"/>
          <w:marBottom w:val="0"/>
          <w:divBdr>
            <w:top w:val="none" w:sz="0" w:space="0" w:color="auto"/>
            <w:left w:val="none" w:sz="0" w:space="0" w:color="auto"/>
            <w:bottom w:val="none" w:sz="0" w:space="0" w:color="auto"/>
            <w:right w:val="none" w:sz="0" w:space="0" w:color="auto"/>
          </w:divBdr>
          <w:divsChild>
            <w:div w:id="60452032">
              <w:marLeft w:val="0"/>
              <w:marRight w:val="0"/>
              <w:marTop w:val="0"/>
              <w:marBottom w:val="0"/>
              <w:divBdr>
                <w:top w:val="none" w:sz="0" w:space="0" w:color="auto"/>
                <w:left w:val="none" w:sz="0" w:space="0" w:color="auto"/>
                <w:bottom w:val="none" w:sz="0" w:space="0" w:color="auto"/>
                <w:right w:val="none" w:sz="0" w:space="0" w:color="auto"/>
              </w:divBdr>
              <w:divsChild>
                <w:div w:id="200825375">
                  <w:marLeft w:val="0"/>
                  <w:marRight w:val="0"/>
                  <w:marTop w:val="0"/>
                  <w:marBottom w:val="0"/>
                  <w:divBdr>
                    <w:top w:val="none" w:sz="0" w:space="0" w:color="auto"/>
                    <w:left w:val="none" w:sz="0" w:space="0" w:color="auto"/>
                    <w:bottom w:val="none" w:sz="0" w:space="0" w:color="auto"/>
                    <w:right w:val="none" w:sz="0" w:space="0" w:color="auto"/>
                  </w:divBdr>
                  <w:divsChild>
                    <w:div w:id="1716542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0399080">
      <w:bodyDiv w:val="1"/>
      <w:marLeft w:val="0"/>
      <w:marRight w:val="0"/>
      <w:marTop w:val="0"/>
      <w:marBottom w:val="0"/>
      <w:divBdr>
        <w:top w:val="none" w:sz="0" w:space="0" w:color="auto"/>
        <w:left w:val="none" w:sz="0" w:space="0" w:color="auto"/>
        <w:bottom w:val="none" w:sz="0" w:space="0" w:color="auto"/>
        <w:right w:val="none" w:sz="0" w:space="0" w:color="auto"/>
      </w:divBdr>
      <w:divsChild>
        <w:div w:id="1350451295">
          <w:marLeft w:val="0"/>
          <w:marRight w:val="0"/>
          <w:marTop w:val="0"/>
          <w:marBottom w:val="0"/>
          <w:divBdr>
            <w:top w:val="none" w:sz="0" w:space="0" w:color="auto"/>
            <w:left w:val="none" w:sz="0" w:space="0" w:color="auto"/>
            <w:bottom w:val="none" w:sz="0" w:space="0" w:color="auto"/>
            <w:right w:val="none" w:sz="0" w:space="0" w:color="auto"/>
          </w:divBdr>
          <w:divsChild>
            <w:div w:id="721098015">
              <w:marLeft w:val="0"/>
              <w:marRight w:val="0"/>
              <w:marTop w:val="0"/>
              <w:marBottom w:val="0"/>
              <w:divBdr>
                <w:top w:val="none" w:sz="0" w:space="0" w:color="auto"/>
                <w:left w:val="none" w:sz="0" w:space="0" w:color="auto"/>
                <w:bottom w:val="none" w:sz="0" w:space="0" w:color="auto"/>
                <w:right w:val="none" w:sz="0" w:space="0" w:color="auto"/>
              </w:divBdr>
              <w:divsChild>
                <w:div w:id="1069960385">
                  <w:marLeft w:val="0"/>
                  <w:marRight w:val="0"/>
                  <w:marTop w:val="0"/>
                  <w:marBottom w:val="0"/>
                  <w:divBdr>
                    <w:top w:val="none" w:sz="0" w:space="0" w:color="auto"/>
                    <w:left w:val="none" w:sz="0" w:space="0" w:color="auto"/>
                    <w:bottom w:val="none" w:sz="0" w:space="0" w:color="auto"/>
                    <w:right w:val="none" w:sz="0" w:space="0" w:color="auto"/>
                  </w:divBdr>
                  <w:divsChild>
                    <w:div w:id="89851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947837">
      <w:bodyDiv w:val="1"/>
      <w:marLeft w:val="0"/>
      <w:marRight w:val="0"/>
      <w:marTop w:val="0"/>
      <w:marBottom w:val="0"/>
      <w:divBdr>
        <w:top w:val="none" w:sz="0" w:space="0" w:color="auto"/>
        <w:left w:val="none" w:sz="0" w:space="0" w:color="auto"/>
        <w:bottom w:val="none" w:sz="0" w:space="0" w:color="auto"/>
        <w:right w:val="none" w:sz="0" w:space="0" w:color="auto"/>
      </w:divBdr>
    </w:div>
    <w:div w:id="470251251">
      <w:bodyDiv w:val="1"/>
      <w:marLeft w:val="0"/>
      <w:marRight w:val="0"/>
      <w:marTop w:val="0"/>
      <w:marBottom w:val="0"/>
      <w:divBdr>
        <w:top w:val="none" w:sz="0" w:space="0" w:color="auto"/>
        <w:left w:val="none" w:sz="0" w:space="0" w:color="auto"/>
        <w:bottom w:val="none" w:sz="0" w:space="0" w:color="auto"/>
        <w:right w:val="none" w:sz="0" w:space="0" w:color="auto"/>
      </w:divBdr>
      <w:divsChild>
        <w:div w:id="1647510480">
          <w:marLeft w:val="0"/>
          <w:marRight w:val="0"/>
          <w:marTop w:val="0"/>
          <w:marBottom w:val="0"/>
          <w:divBdr>
            <w:top w:val="none" w:sz="0" w:space="0" w:color="auto"/>
            <w:left w:val="none" w:sz="0" w:space="0" w:color="auto"/>
            <w:bottom w:val="none" w:sz="0" w:space="0" w:color="auto"/>
            <w:right w:val="none" w:sz="0" w:space="0" w:color="auto"/>
          </w:divBdr>
          <w:divsChild>
            <w:div w:id="1783106957">
              <w:marLeft w:val="0"/>
              <w:marRight w:val="0"/>
              <w:marTop w:val="0"/>
              <w:marBottom w:val="0"/>
              <w:divBdr>
                <w:top w:val="none" w:sz="0" w:space="0" w:color="auto"/>
                <w:left w:val="none" w:sz="0" w:space="0" w:color="auto"/>
                <w:bottom w:val="none" w:sz="0" w:space="0" w:color="auto"/>
                <w:right w:val="none" w:sz="0" w:space="0" w:color="auto"/>
              </w:divBdr>
            </w:div>
          </w:divsChild>
        </w:div>
        <w:div w:id="1422484671">
          <w:marLeft w:val="0"/>
          <w:marRight w:val="0"/>
          <w:marTop w:val="0"/>
          <w:marBottom w:val="0"/>
          <w:divBdr>
            <w:top w:val="none" w:sz="0" w:space="0" w:color="auto"/>
            <w:left w:val="none" w:sz="0" w:space="0" w:color="auto"/>
            <w:bottom w:val="none" w:sz="0" w:space="0" w:color="auto"/>
            <w:right w:val="none" w:sz="0" w:space="0" w:color="auto"/>
          </w:divBdr>
        </w:div>
      </w:divsChild>
    </w:div>
    <w:div w:id="500587254">
      <w:bodyDiv w:val="1"/>
      <w:marLeft w:val="0"/>
      <w:marRight w:val="0"/>
      <w:marTop w:val="0"/>
      <w:marBottom w:val="0"/>
      <w:divBdr>
        <w:top w:val="none" w:sz="0" w:space="0" w:color="auto"/>
        <w:left w:val="none" w:sz="0" w:space="0" w:color="auto"/>
        <w:bottom w:val="none" w:sz="0" w:space="0" w:color="auto"/>
        <w:right w:val="none" w:sz="0" w:space="0" w:color="auto"/>
      </w:divBdr>
    </w:div>
    <w:div w:id="524293253">
      <w:bodyDiv w:val="1"/>
      <w:marLeft w:val="0"/>
      <w:marRight w:val="0"/>
      <w:marTop w:val="0"/>
      <w:marBottom w:val="0"/>
      <w:divBdr>
        <w:top w:val="none" w:sz="0" w:space="0" w:color="auto"/>
        <w:left w:val="none" w:sz="0" w:space="0" w:color="auto"/>
        <w:bottom w:val="none" w:sz="0" w:space="0" w:color="auto"/>
        <w:right w:val="none" w:sz="0" w:space="0" w:color="auto"/>
      </w:divBdr>
    </w:div>
    <w:div w:id="632753572">
      <w:bodyDiv w:val="1"/>
      <w:marLeft w:val="0"/>
      <w:marRight w:val="0"/>
      <w:marTop w:val="0"/>
      <w:marBottom w:val="0"/>
      <w:divBdr>
        <w:top w:val="none" w:sz="0" w:space="0" w:color="auto"/>
        <w:left w:val="none" w:sz="0" w:space="0" w:color="auto"/>
        <w:bottom w:val="none" w:sz="0" w:space="0" w:color="auto"/>
        <w:right w:val="none" w:sz="0" w:space="0" w:color="auto"/>
      </w:divBdr>
      <w:divsChild>
        <w:div w:id="1796675639">
          <w:marLeft w:val="0"/>
          <w:marRight w:val="0"/>
          <w:marTop w:val="0"/>
          <w:marBottom w:val="0"/>
          <w:divBdr>
            <w:top w:val="none" w:sz="0" w:space="0" w:color="auto"/>
            <w:left w:val="none" w:sz="0" w:space="0" w:color="auto"/>
            <w:bottom w:val="none" w:sz="0" w:space="0" w:color="auto"/>
            <w:right w:val="none" w:sz="0" w:space="0" w:color="auto"/>
          </w:divBdr>
          <w:divsChild>
            <w:div w:id="2086877014">
              <w:marLeft w:val="0"/>
              <w:marRight w:val="0"/>
              <w:marTop w:val="0"/>
              <w:marBottom w:val="0"/>
              <w:divBdr>
                <w:top w:val="none" w:sz="0" w:space="0" w:color="auto"/>
                <w:left w:val="none" w:sz="0" w:space="0" w:color="auto"/>
                <w:bottom w:val="none" w:sz="0" w:space="0" w:color="auto"/>
                <w:right w:val="none" w:sz="0" w:space="0" w:color="auto"/>
              </w:divBdr>
              <w:divsChild>
                <w:div w:id="142137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962434">
          <w:marLeft w:val="0"/>
          <w:marRight w:val="0"/>
          <w:marTop w:val="0"/>
          <w:marBottom w:val="0"/>
          <w:divBdr>
            <w:top w:val="none" w:sz="0" w:space="0" w:color="auto"/>
            <w:left w:val="none" w:sz="0" w:space="0" w:color="auto"/>
            <w:bottom w:val="none" w:sz="0" w:space="0" w:color="auto"/>
            <w:right w:val="none" w:sz="0" w:space="0" w:color="auto"/>
          </w:divBdr>
          <w:divsChild>
            <w:div w:id="1098254285">
              <w:marLeft w:val="0"/>
              <w:marRight w:val="0"/>
              <w:marTop w:val="0"/>
              <w:marBottom w:val="0"/>
              <w:divBdr>
                <w:top w:val="none" w:sz="0" w:space="0" w:color="auto"/>
                <w:left w:val="none" w:sz="0" w:space="0" w:color="auto"/>
                <w:bottom w:val="none" w:sz="0" w:space="0" w:color="auto"/>
                <w:right w:val="none" w:sz="0" w:space="0" w:color="auto"/>
              </w:divBdr>
              <w:divsChild>
                <w:div w:id="19616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550443">
          <w:marLeft w:val="0"/>
          <w:marRight w:val="0"/>
          <w:marTop w:val="0"/>
          <w:marBottom w:val="0"/>
          <w:divBdr>
            <w:top w:val="none" w:sz="0" w:space="0" w:color="auto"/>
            <w:left w:val="none" w:sz="0" w:space="0" w:color="auto"/>
            <w:bottom w:val="none" w:sz="0" w:space="0" w:color="auto"/>
            <w:right w:val="none" w:sz="0" w:space="0" w:color="auto"/>
          </w:divBdr>
          <w:divsChild>
            <w:div w:id="1561092623">
              <w:marLeft w:val="0"/>
              <w:marRight w:val="0"/>
              <w:marTop w:val="0"/>
              <w:marBottom w:val="0"/>
              <w:divBdr>
                <w:top w:val="none" w:sz="0" w:space="0" w:color="auto"/>
                <w:left w:val="none" w:sz="0" w:space="0" w:color="auto"/>
                <w:bottom w:val="none" w:sz="0" w:space="0" w:color="auto"/>
                <w:right w:val="none" w:sz="0" w:space="0" w:color="auto"/>
              </w:divBdr>
              <w:divsChild>
                <w:div w:id="1692145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260382">
      <w:bodyDiv w:val="1"/>
      <w:marLeft w:val="0"/>
      <w:marRight w:val="0"/>
      <w:marTop w:val="0"/>
      <w:marBottom w:val="0"/>
      <w:divBdr>
        <w:top w:val="none" w:sz="0" w:space="0" w:color="auto"/>
        <w:left w:val="none" w:sz="0" w:space="0" w:color="auto"/>
        <w:bottom w:val="none" w:sz="0" w:space="0" w:color="auto"/>
        <w:right w:val="none" w:sz="0" w:space="0" w:color="auto"/>
      </w:divBdr>
    </w:div>
    <w:div w:id="746000781">
      <w:bodyDiv w:val="1"/>
      <w:marLeft w:val="0"/>
      <w:marRight w:val="0"/>
      <w:marTop w:val="0"/>
      <w:marBottom w:val="0"/>
      <w:divBdr>
        <w:top w:val="none" w:sz="0" w:space="0" w:color="auto"/>
        <w:left w:val="none" w:sz="0" w:space="0" w:color="auto"/>
        <w:bottom w:val="none" w:sz="0" w:space="0" w:color="auto"/>
        <w:right w:val="none" w:sz="0" w:space="0" w:color="auto"/>
      </w:divBdr>
      <w:divsChild>
        <w:div w:id="666985153">
          <w:marLeft w:val="0"/>
          <w:marRight w:val="0"/>
          <w:marTop w:val="0"/>
          <w:marBottom w:val="0"/>
          <w:divBdr>
            <w:top w:val="none" w:sz="0" w:space="0" w:color="auto"/>
            <w:left w:val="none" w:sz="0" w:space="0" w:color="auto"/>
            <w:bottom w:val="none" w:sz="0" w:space="0" w:color="auto"/>
            <w:right w:val="none" w:sz="0" w:space="0" w:color="auto"/>
          </w:divBdr>
          <w:divsChild>
            <w:div w:id="959729777">
              <w:marLeft w:val="0"/>
              <w:marRight w:val="0"/>
              <w:marTop w:val="0"/>
              <w:marBottom w:val="0"/>
              <w:divBdr>
                <w:top w:val="none" w:sz="0" w:space="0" w:color="auto"/>
                <w:left w:val="none" w:sz="0" w:space="0" w:color="auto"/>
                <w:bottom w:val="none" w:sz="0" w:space="0" w:color="auto"/>
                <w:right w:val="none" w:sz="0" w:space="0" w:color="auto"/>
              </w:divBdr>
              <w:divsChild>
                <w:div w:id="81568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327315">
          <w:marLeft w:val="0"/>
          <w:marRight w:val="0"/>
          <w:marTop w:val="0"/>
          <w:marBottom w:val="0"/>
          <w:divBdr>
            <w:top w:val="none" w:sz="0" w:space="0" w:color="auto"/>
            <w:left w:val="none" w:sz="0" w:space="0" w:color="auto"/>
            <w:bottom w:val="none" w:sz="0" w:space="0" w:color="auto"/>
            <w:right w:val="none" w:sz="0" w:space="0" w:color="auto"/>
          </w:divBdr>
          <w:divsChild>
            <w:div w:id="656540329">
              <w:marLeft w:val="0"/>
              <w:marRight w:val="0"/>
              <w:marTop w:val="0"/>
              <w:marBottom w:val="0"/>
              <w:divBdr>
                <w:top w:val="none" w:sz="0" w:space="0" w:color="auto"/>
                <w:left w:val="none" w:sz="0" w:space="0" w:color="auto"/>
                <w:bottom w:val="none" w:sz="0" w:space="0" w:color="auto"/>
                <w:right w:val="none" w:sz="0" w:space="0" w:color="auto"/>
              </w:divBdr>
              <w:divsChild>
                <w:div w:id="68390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023925">
      <w:bodyDiv w:val="1"/>
      <w:marLeft w:val="0"/>
      <w:marRight w:val="0"/>
      <w:marTop w:val="0"/>
      <w:marBottom w:val="0"/>
      <w:divBdr>
        <w:top w:val="none" w:sz="0" w:space="0" w:color="auto"/>
        <w:left w:val="none" w:sz="0" w:space="0" w:color="auto"/>
        <w:bottom w:val="none" w:sz="0" w:space="0" w:color="auto"/>
        <w:right w:val="none" w:sz="0" w:space="0" w:color="auto"/>
      </w:divBdr>
      <w:divsChild>
        <w:div w:id="585190183">
          <w:marLeft w:val="0"/>
          <w:marRight w:val="0"/>
          <w:marTop w:val="0"/>
          <w:marBottom w:val="0"/>
          <w:divBdr>
            <w:top w:val="none" w:sz="0" w:space="0" w:color="auto"/>
            <w:left w:val="none" w:sz="0" w:space="0" w:color="auto"/>
            <w:bottom w:val="none" w:sz="0" w:space="0" w:color="auto"/>
            <w:right w:val="none" w:sz="0" w:space="0" w:color="auto"/>
          </w:divBdr>
          <w:divsChild>
            <w:div w:id="1951278340">
              <w:marLeft w:val="0"/>
              <w:marRight w:val="0"/>
              <w:marTop w:val="0"/>
              <w:marBottom w:val="0"/>
              <w:divBdr>
                <w:top w:val="none" w:sz="0" w:space="0" w:color="auto"/>
                <w:left w:val="none" w:sz="0" w:space="0" w:color="auto"/>
                <w:bottom w:val="none" w:sz="0" w:space="0" w:color="auto"/>
                <w:right w:val="none" w:sz="0" w:space="0" w:color="auto"/>
              </w:divBdr>
              <w:divsChild>
                <w:div w:id="1495993705">
                  <w:marLeft w:val="0"/>
                  <w:marRight w:val="0"/>
                  <w:marTop w:val="0"/>
                  <w:marBottom w:val="0"/>
                  <w:divBdr>
                    <w:top w:val="none" w:sz="0" w:space="0" w:color="auto"/>
                    <w:left w:val="none" w:sz="0" w:space="0" w:color="auto"/>
                    <w:bottom w:val="none" w:sz="0" w:space="0" w:color="auto"/>
                    <w:right w:val="none" w:sz="0" w:space="0" w:color="auto"/>
                  </w:divBdr>
                  <w:divsChild>
                    <w:div w:id="201093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697719">
      <w:bodyDiv w:val="1"/>
      <w:marLeft w:val="0"/>
      <w:marRight w:val="0"/>
      <w:marTop w:val="0"/>
      <w:marBottom w:val="0"/>
      <w:divBdr>
        <w:top w:val="none" w:sz="0" w:space="0" w:color="auto"/>
        <w:left w:val="none" w:sz="0" w:space="0" w:color="auto"/>
        <w:bottom w:val="none" w:sz="0" w:space="0" w:color="auto"/>
        <w:right w:val="none" w:sz="0" w:space="0" w:color="auto"/>
      </w:divBdr>
    </w:div>
    <w:div w:id="861628347">
      <w:bodyDiv w:val="1"/>
      <w:marLeft w:val="0"/>
      <w:marRight w:val="0"/>
      <w:marTop w:val="0"/>
      <w:marBottom w:val="0"/>
      <w:divBdr>
        <w:top w:val="none" w:sz="0" w:space="0" w:color="auto"/>
        <w:left w:val="none" w:sz="0" w:space="0" w:color="auto"/>
        <w:bottom w:val="none" w:sz="0" w:space="0" w:color="auto"/>
        <w:right w:val="none" w:sz="0" w:space="0" w:color="auto"/>
      </w:divBdr>
      <w:divsChild>
        <w:div w:id="57369061">
          <w:marLeft w:val="0"/>
          <w:marRight w:val="0"/>
          <w:marTop w:val="0"/>
          <w:marBottom w:val="0"/>
          <w:divBdr>
            <w:top w:val="none" w:sz="0" w:space="0" w:color="auto"/>
            <w:left w:val="none" w:sz="0" w:space="0" w:color="auto"/>
            <w:bottom w:val="none" w:sz="0" w:space="0" w:color="auto"/>
            <w:right w:val="none" w:sz="0" w:space="0" w:color="auto"/>
          </w:divBdr>
          <w:divsChild>
            <w:div w:id="1212306698">
              <w:marLeft w:val="0"/>
              <w:marRight w:val="0"/>
              <w:marTop w:val="0"/>
              <w:marBottom w:val="0"/>
              <w:divBdr>
                <w:top w:val="none" w:sz="0" w:space="0" w:color="auto"/>
                <w:left w:val="none" w:sz="0" w:space="0" w:color="auto"/>
                <w:bottom w:val="none" w:sz="0" w:space="0" w:color="auto"/>
                <w:right w:val="none" w:sz="0" w:space="0" w:color="auto"/>
              </w:divBdr>
              <w:divsChild>
                <w:div w:id="15580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564333">
          <w:marLeft w:val="0"/>
          <w:marRight w:val="0"/>
          <w:marTop w:val="0"/>
          <w:marBottom w:val="0"/>
          <w:divBdr>
            <w:top w:val="none" w:sz="0" w:space="0" w:color="auto"/>
            <w:left w:val="none" w:sz="0" w:space="0" w:color="auto"/>
            <w:bottom w:val="none" w:sz="0" w:space="0" w:color="auto"/>
            <w:right w:val="none" w:sz="0" w:space="0" w:color="auto"/>
          </w:divBdr>
          <w:divsChild>
            <w:div w:id="2069379494">
              <w:marLeft w:val="0"/>
              <w:marRight w:val="0"/>
              <w:marTop w:val="0"/>
              <w:marBottom w:val="0"/>
              <w:divBdr>
                <w:top w:val="none" w:sz="0" w:space="0" w:color="auto"/>
                <w:left w:val="none" w:sz="0" w:space="0" w:color="auto"/>
                <w:bottom w:val="none" w:sz="0" w:space="0" w:color="auto"/>
                <w:right w:val="none" w:sz="0" w:space="0" w:color="auto"/>
              </w:divBdr>
              <w:divsChild>
                <w:div w:id="121674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239498">
      <w:bodyDiv w:val="1"/>
      <w:marLeft w:val="0"/>
      <w:marRight w:val="0"/>
      <w:marTop w:val="0"/>
      <w:marBottom w:val="0"/>
      <w:divBdr>
        <w:top w:val="none" w:sz="0" w:space="0" w:color="auto"/>
        <w:left w:val="none" w:sz="0" w:space="0" w:color="auto"/>
        <w:bottom w:val="none" w:sz="0" w:space="0" w:color="auto"/>
        <w:right w:val="none" w:sz="0" w:space="0" w:color="auto"/>
      </w:divBdr>
      <w:divsChild>
        <w:div w:id="532109113">
          <w:marLeft w:val="0"/>
          <w:marRight w:val="0"/>
          <w:marTop w:val="0"/>
          <w:marBottom w:val="0"/>
          <w:divBdr>
            <w:top w:val="none" w:sz="0" w:space="0" w:color="auto"/>
            <w:left w:val="none" w:sz="0" w:space="0" w:color="auto"/>
            <w:bottom w:val="none" w:sz="0" w:space="0" w:color="auto"/>
            <w:right w:val="none" w:sz="0" w:space="0" w:color="auto"/>
          </w:divBdr>
          <w:divsChild>
            <w:div w:id="677729750">
              <w:marLeft w:val="0"/>
              <w:marRight w:val="0"/>
              <w:marTop w:val="0"/>
              <w:marBottom w:val="0"/>
              <w:divBdr>
                <w:top w:val="none" w:sz="0" w:space="0" w:color="auto"/>
                <w:left w:val="none" w:sz="0" w:space="0" w:color="auto"/>
                <w:bottom w:val="none" w:sz="0" w:space="0" w:color="auto"/>
                <w:right w:val="none" w:sz="0" w:space="0" w:color="auto"/>
              </w:divBdr>
            </w:div>
          </w:divsChild>
        </w:div>
        <w:div w:id="801464558">
          <w:marLeft w:val="0"/>
          <w:marRight w:val="0"/>
          <w:marTop w:val="0"/>
          <w:marBottom w:val="0"/>
          <w:divBdr>
            <w:top w:val="none" w:sz="0" w:space="0" w:color="auto"/>
            <w:left w:val="none" w:sz="0" w:space="0" w:color="auto"/>
            <w:bottom w:val="none" w:sz="0" w:space="0" w:color="auto"/>
            <w:right w:val="none" w:sz="0" w:space="0" w:color="auto"/>
          </w:divBdr>
        </w:div>
      </w:divsChild>
    </w:div>
    <w:div w:id="878400584">
      <w:bodyDiv w:val="1"/>
      <w:marLeft w:val="0"/>
      <w:marRight w:val="0"/>
      <w:marTop w:val="0"/>
      <w:marBottom w:val="0"/>
      <w:divBdr>
        <w:top w:val="none" w:sz="0" w:space="0" w:color="auto"/>
        <w:left w:val="none" w:sz="0" w:space="0" w:color="auto"/>
        <w:bottom w:val="none" w:sz="0" w:space="0" w:color="auto"/>
        <w:right w:val="none" w:sz="0" w:space="0" w:color="auto"/>
      </w:divBdr>
    </w:div>
    <w:div w:id="952782131">
      <w:bodyDiv w:val="1"/>
      <w:marLeft w:val="0"/>
      <w:marRight w:val="0"/>
      <w:marTop w:val="0"/>
      <w:marBottom w:val="0"/>
      <w:divBdr>
        <w:top w:val="none" w:sz="0" w:space="0" w:color="auto"/>
        <w:left w:val="none" w:sz="0" w:space="0" w:color="auto"/>
        <w:bottom w:val="none" w:sz="0" w:space="0" w:color="auto"/>
        <w:right w:val="none" w:sz="0" w:space="0" w:color="auto"/>
      </w:divBdr>
    </w:div>
    <w:div w:id="981468633">
      <w:bodyDiv w:val="1"/>
      <w:marLeft w:val="0"/>
      <w:marRight w:val="0"/>
      <w:marTop w:val="0"/>
      <w:marBottom w:val="0"/>
      <w:divBdr>
        <w:top w:val="none" w:sz="0" w:space="0" w:color="auto"/>
        <w:left w:val="none" w:sz="0" w:space="0" w:color="auto"/>
        <w:bottom w:val="none" w:sz="0" w:space="0" w:color="auto"/>
        <w:right w:val="none" w:sz="0" w:space="0" w:color="auto"/>
      </w:divBdr>
      <w:divsChild>
        <w:div w:id="7219665">
          <w:marLeft w:val="0"/>
          <w:marRight w:val="0"/>
          <w:marTop w:val="0"/>
          <w:marBottom w:val="0"/>
          <w:divBdr>
            <w:top w:val="none" w:sz="0" w:space="0" w:color="auto"/>
            <w:left w:val="none" w:sz="0" w:space="0" w:color="auto"/>
            <w:bottom w:val="none" w:sz="0" w:space="0" w:color="auto"/>
            <w:right w:val="none" w:sz="0" w:space="0" w:color="auto"/>
          </w:divBdr>
          <w:divsChild>
            <w:div w:id="1610351830">
              <w:marLeft w:val="0"/>
              <w:marRight w:val="0"/>
              <w:marTop w:val="0"/>
              <w:marBottom w:val="0"/>
              <w:divBdr>
                <w:top w:val="none" w:sz="0" w:space="0" w:color="auto"/>
                <w:left w:val="none" w:sz="0" w:space="0" w:color="auto"/>
                <w:bottom w:val="none" w:sz="0" w:space="0" w:color="auto"/>
                <w:right w:val="none" w:sz="0" w:space="0" w:color="auto"/>
              </w:divBdr>
              <w:divsChild>
                <w:div w:id="153434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05736">
          <w:marLeft w:val="0"/>
          <w:marRight w:val="0"/>
          <w:marTop w:val="0"/>
          <w:marBottom w:val="0"/>
          <w:divBdr>
            <w:top w:val="none" w:sz="0" w:space="0" w:color="auto"/>
            <w:left w:val="none" w:sz="0" w:space="0" w:color="auto"/>
            <w:bottom w:val="none" w:sz="0" w:space="0" w:color="auto"/>
            <w:right w:val="none" w:sz="0" w:space="0" w:color="auto"/>
          </w:divBdr>
          <w:divsChild>
            <w:div w:id="358514387">
              <w:marLeft w:val="0"/>
              <w:marRight w:val="0"/>
              <w:marTop w:val="0"/>
              <w:marBottom w:val="0"/>
              <w:divBdr>
                <w:top w:val="none" w:sz="0" w:space="0" w:color="auto"/>
                <w:left w:val="none" w:sz="0" w:space="0" w:color="auto"/>
                <w:bottom w:val="none" w:sz="0" w:space="0" w:color="auto"/>
                <w:right w:val="none" w:sz="0" w:space="0" w:color="auto"/>
              </w:divBdr>
              <w:divsChild>
                <w:div w:id="32782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10959">
          <w:marLeft w:val="0"/>
          <w:marRight w:val="0"/>
          <w:marTop w:val="0"/>
          <w:marBottom w:val="0"/>
          <w:divBdr>
            <w:top w:val="none" w:sz="0" w:space="0" w:color="auto"/>
            <w:left w:val="none" w:sz="0" w:space="0" w:color="auto"/>
            <w:bottom w:val="none" w:sz="0" w:space="0" w:color="auto"/>
            <w:right w:val="none" w:sz="0" w:space="0" w:color="auto"/>
          </w:divBdr>
          <w:divsChild>
            <w:div w:id="585499625">
              <w:marLeft w:val="0"/>
              <w:marRight w:val="0"/>
              <w:marTop w:val="0"/>
              <w:marBottom w:val="0"/>
              <w:divBdr>
                <w:top w:val="none" w:sz="0" w:space="0" w:color="auto"/>
                <w:left w:val="none" w:sz="0" w:space="0" w:color="auto"/>
                <w:bottom w:val="none" w:sz="0" w:space="0" w:color="auto"/>
                <w:right w:val="none" w:sz="0" w:space="0" w:color="auto"/>
              </w:divBdr>
              <w:divsChild>
                <w:div w:id="184335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349112">
      <w:bodyDiv w:val="1"/>
      <w:marLeft w:val="0"/>
      <w:marRight w:val="0"/>
      <w:marTop w:val="0"/>
      <w:marBottom w:val="0"/>
      <w:divBdr>
        <w:top w:val="none" w:sz="0" w:space="0" w:color="auto"/>
        <w:left w:val="none" w:sz="0" w:space="0" w:color="auto"/>
        <w:bottom w:val="none" w:sz="0" w:space="0" w:color="auto"/>
        <w:right w:val="none" w:sz="0" w:space="0" w:color="auto"/>
      </w:divBdr>
    </w:div>
    <w:div w:id="1046954954">
      <w:bodyDiv w:val="1"/>
      <w:marLeft w:val="0"/>
      <w:marRight w:val="0"/>
      <w:marTop w:val="0"/>
      <w:marBottom w:val="0"/>
      <w:divBdr>
        <w:top w:val="none" w:sz="0" w:space="0" w:color="auto"/>
        <w:left w:val="none" w:sz="0" w:space="0" w:color="auto"/>
        <w:bottom w:val="none" w:sz="0" w:space="0" w:color="auto"/>
        <w:right w:val="none" w:sz="0" w:space="0" w:color="auto"/>
      </w:divBdr>
    </w:div>
    <w:div w:id="1236815949">
      <w:bodyDiv w:val="1"/>
      <w:marLeft w:val="0"/>
      <w:marRight w:val="0"/>
      <w:marTop w:val="0"/>
      <w:marBottom w:val="0"/>
      <w:divBdr>
        <w:top w:val="none" w:sz="0" w:space="0" w:color="auto"/>
        <w:left w:val="none" w:sz="0" w:space="0" w:color="auto"/>
        <w:bottom w:val="none" w:sz="0" w:space="0" w:color="auto"/>
        <w:right w:val="none" w:sz="0" w:space="0" w:color="auto"/>
      </w:divBdr>
      <w:divsChild>
        <w:div w:id="61758826">
          <w:marLeft w:val="0"/>
          <w:marRight w:val="0"/>
          <w:marTop w:val="0"/>
          <w:marBottom w:val="0"/>
          <w:divBdr>
            <w:top w:val="none" w:sz="0" w:space="0" w:color="auto"/>
            <w:left w:val="none" w:sz="0" w:space="0" w:color="auto"/>
            <w:bottom w:val="none" w:sz="0" w:space="0" w:color="auto"/>
            <w:right w:val="none" w:sz="0" w:space="0" w:color="auto"/>
          </w:divBdr>
          <w:divsChild>
            <w:div w:id="1300182577">
              <w:marLeft w:val="0"/>
              <w:marRight w:val="0"/>
              <w:marTop w:val="0"/>
              <w:marBottom w:val="0"/>
              <w:divBdr>
                <w:top w:val="none" w:sz="0" w:space="0" w:color="auto"/>
                <w:left w:val="none" w:sz="0" w:space="0" w:color="auto"/>
                <w:bottom w:val="none" w:sz="0" w:space="0" w:color="auto"/>
                <w:right w:val="none" w:sz="0" w:space="0" w:color="auto"/>
              </w:divBdr>
              <w:divsChild>
                <w:div w:id="10362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723755">
      <w:bodyDiv w:val="1"/>
      <w:marLeft w:val="0"/>
      <w:marRight w:val="0"/>
      <w:marTop w:val="0"/>
      <w:marBottom w:val="0"/>
      <w:divBdr>
        <w:top w:val="none" w:sz="0" w:space="0" w:color="auto"/>
        <w:left w:val="none" w:sz="0" w:space="0" w:color="auto"/>
        <w:bottom w:val="none" w:sz="0" w:space="0" w:color="auto"/>
        <w:right w:val="none" w:sz="0" w:space="0" w:color="auto"/>
      </w:divBdr>
    </w:div>
    <w:div w:id="1313486799">
      <w:bodyDiv w:val="1"/>
      <w:marLeft w:val="0"/>
      <w:marRight w:val="0"/>
      <w:marTop w:val="0"/>
      <w:marBottom w:val="0"/>
      <w:divBdr>
        <w:top w:val="none" w:sz="0" w:space="0" w:color="auto"/>
        <w:left w:val="none" w:sz="0" w:space="0" w:color="auto"/>
        <w:bottom w:val="none" w:sz="0" w:space="0" w:color="auto"/>
        <w:right w:val="none" w:sz="0" w:space="0" w:color="auto"/>
      </w:divBdr>
      <w:divsChild>
        <w:div w:id="1896701204">
          <w:marLeft w:val="0"/>
          <w:marRight w:val="0"/>
          <w:marTop w:val="0"/>
          <w:marBottom w:val="0"/>
          <w:divBdr>
            <w:top w:val="none" w:sz="0" w:space="0" w:color="auto"/>
            <w:left w:val="none" w:sz="0" w:space="0" w:color="auto"/>
            <w:bottom w:val="none" w:sz="0" w:space="0" w:color="auto"/>
            <w:right w:val="none" w:sz="0" w:space="0" w:color="auto"/>
          </w:divBdr>
          <w:divsChild>
            <w:div w:id="262997432">
              <w:marLeft w:val="0"/>
              <w:marRight w:val="0"/>
              <w:marTop w:val="0"/>
              <w:marBottom w:val="0"/>
              <w:divBdr>
                <w:top w:val="none" w:sz="0" w:space="0" w:color="auto"/>
                <w:left w:val="none" w:sz="0" w:space="0" w:color="auto"/>
                <w:bottom w:val="none" w:sz="0" w:space="0" w:color="auto"/>
                <w:right w:val="none" w:sz="0" w:space="0" w:color="auto"/>
              </w:divBdr>
            </w:div>
          </w:divsChild>
        </w:div>
        <w:div w:id="868421358">
          <w:marLeft w:val="0"/>
          <w:marRight w:val="0"/>
          <w:marTop w:val="0"/>
          <w:marBottom w:val="0"/>
          <w:divBdr>
            <w:top w:val="none" w:sz="0" w:space="0" w:color="auto"/>
            <w:left w:val="none" w:sz="0" w:space="0" w:color="auto"/>
            <w:bottom w:val="none" w:sz="0" w:space="0" w:color="auto"/>
            <w:right w:val="none" w:sz="0" w:space="0" w:color="auto"/>
          </w:divBdr>
        </w:div>
      </w:divsChild>
    </w:div>
    <w:div w:id="1416828140">
      <w:bodyDiv w:val="1"/>
      <w:marLeft w:val="0"/>
      <w:marRight w:val="0"/>
      <w:marTop w:val="0"/>
      <w:marBottom w:val="0"/>
      <w:divBdr>
        <w:top w:val="none" w:sz="0" w:space="0" w:color="auto"/>
        <w:left w:val="none" w:sz="0" w:space="0" w:color="auto"/>
        <w:bottom w:val="none" w:sz="0" w:space="0" w:color="auto"/>
        <w:right w:val="none" w:sz="0" w:space="0" w:color="auto"/>
      </w:divBdr>
    </w:div>
    <w:div w:id="1477800270">
      <w:bodyDiv w:val="1"/>
      <w:marLeft w:val="0"/>
      <w:marRight w:val="0"/>
      <w:marTop w:val="0"/>
      <w:marBottom w:val="0"/>
      <w:divBdr>
        <w:top w:val="none" w:sz="0" w:space="0" w:color="auto"/>
        <w:left w:val="none" w:sz="0" w:space="0" w:color="auto"/>
        <w:bottom w:val="none" w:sz="0" w:space="0" w:color="auto"/>
        <w:right w:val="none" w:sz="0" w:space="0" w:color="auto"/>
      </w:divBdr>
      <w:divsChild>
        <w:div w:id="977420355">
          <w:marLeft w:val="0"/>
          <w:marRight w:val="0"/>
          <w:marTop w:val="0"/>
          <w:marBottom w:val="0"/>
          <w:divBdr>
            <w:top w:val="none" w:sz="0" w:space="0" w:color="auto"/>
            <w:left w:val="none" w:sz="0" w:space="0" w:color="auto"/>
            <w:bottom w:val="none" w:sz="0" w:space="0" w:color="auto"/>
            <w:right w:val="none" w:sz="0" w:space="0" w:color="auto"/>
          </w:divBdr>
          <w:divsChild>
            <w:div w:id="1946450764">
              <w:marLeft w:val="0"/>
              <w:marRight w:val="0"/>
              <w:marTop w:val="0"/>
              <w:marBottom w:val="0"/>
              <w:divBdr>
                <w:top w:val="none" w:sz="0" w:space="0" w:color="auto"/>
                <w:left w:val="none" w:sz="0" w:space="0" w:color="auto"/>
                <w:bottom w:val="none" w:sz="0" w:space="0" w:color="auto"/>
                <w:right w:val="none" w:sz="0" w:space="0" w:color="auto"/>
              </w:divBdr>
              <w:divsChild>
                <w:div w:id="208949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367471">
      <w:bodyDiv w:val="1"/>
      <w:marLeft w:val="0"/>
      <w:marRight w:val="0"/>
      <w:marTop w:val="0"/>
      <w:marBottom w:val="0"/>
      <w:divBdr>
        <w:top w:val="none" w:sz="0" w:space="0" w:color="auto"/>
        <w:left w:val="none" w:sz="0" w:space="0" w:color="auto"/>
        <w:bottom w:val="none" w:sz="0" w:space="0" w:color="auto"/>
        <w:right w:val="none" w:sz="0" w:space="0" w:color="auto"/>
      </w:divBdr>
      <w:divsChild>
        <w:div w:id="123432396">
          <w:marLeft w:val="0"/>
          <w:marRight w:val="0"/>
          <w:marTop w:val="0"/>
          <w:marBottom w:val="0"/>
          <w:divBdr>
            <w:top w:val="none" w:sz="0" w:space="0" w:color="auto"/>
            <w:left w:val="none" w:sz="0" w:space="0" w:color="auto"/>
            <w:bottom w:val="none" w:sz="0" w:space="0" w:color="auto"/>
            <w:right w:val="none" w:sz="0" w:space="0" w:color="auto"/>
          </w:divBdr>
          <w:divsChild>
            <w:div w:id="1748303989">
              <w:marLeft w:val="0"/>
              <w:marRight w:val="0"/>
              <w:marTop w:val="0"/>
              <w:marBottom w:val="0"/>
              <w:divBdr>
                <w:top w:val="none" w:sz="0" w:space="0" w:color="auto"/>
                <w:left w:val="none" w:sz="0" w:space="0" w:color="auto"/>
                <w:bottom w:val="none" w:sz="0" w:space="0" w:color="auto"/>
                <w:right w:val="none" w:sz="0" w:space="0" w:color="auto"/>
              </w:divBdr>
              <w:divsChild>
                <w:div w:id="590748303">
                  <w:marLeft w:val="0"/>
                  <w:marRight w:val="0"/>
                  <w:marTop w:val="0"/>
                  <w:marBottom w:val="0"/>
                  <w:divBdr>
                    <w:top w:val="none" w:sz="0" w:space="0" w:color="auto"/>
                    <w:left w:val="none" w:sz="0" w:space="0" w:color="auto"/>
                    <w:bottom w:val="none" w:sz="0" w:space="0" w:color="auto"/>
                    <w:right w:val="none" w:sz="0" w:space="0" w:color="auto"/>
                  </w:divBdr>
                  <w:divsChild>
                    <w:div w:id="105199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760436">
      <w:bodyDiv w:val="1"/>
      <w:marLeft w:val="0"/>
      <w:marRight w:val="0"/>
      <w:marTop w:val="0"/>
      <w:marBottom w:val="0"/>
      <w:divBdr>
        <w:top w:val="none" w:sz="0" w:space="0" w:color="auto"/>
        <w:left w:val="none" w:sz="0" w:space="0" w:color="auto"/>
        <w:bottom w:val="none" w:sz="0" w:space="0" w:color="auto"/>
        <w:right w:val="none" w:sz="0" w:space="0" w:color="auto"/>
      </w:divBdr>
      <w:divsChild>
        <w:div w:id="893811423">
          <w:marLeft w:val="0"/>
          <w:marRight w:val="0"/>
          <w:marTop w:val="0"/>
          <w:marBottom w:val="0"/>
          <w:divBdr>
            <w:top w:val="none" w:sz="0" w:space="0" w:color="auto"/>
            <w:left w:val="none" w:sz="0" w:space="0" w:color="auto"/>
            <w:bottom w:val="none" w:sz="0" w:space="0" w:color="auto"/>
            <w:right w:val="none" w:sz="0" w:space="0" w:color="auto"/>
          </w:divBdr>
          <w:divsChild>
            <w:div w:id="949434537">
              <w:marLeft w:val="0"/>
              <w:marRight w:val="0"/>
              <w:marTop w:val="0"/>
              <w:marBottom w:val="0"/>
              <w:divBdr>
                <w:top w:val="none" w:sz="0" w:space="0" w:color="auto"/>
                <w:left w:val="none" w:sz="0" w:space="0" w:color="auto"/>
                <w:bottom w:val="none" w:sz="0" w:space="0" w:color="auto"/>
                <w:right w:val="none" w:sz="0" w:space="0" w:color="auto"/>
              </w:divBdr>
              <w:divsChild>
                <w:div w:id="378280636">
                  <w:marLeft w:val="0"/>
                  <w:marRight w:val="0"/>
                  <w:marTop w:val="0"/>
                  <w:marBottom w:val="0"/>
                  <w:divBdr>
                    <w:top w:val="none" w:sz="0" w:space="0" w:color="auto"/>
                    <w:left w:val="none" w:sz="0" w:space="0" w:color="auto"/>
                    <w:bottom w:val="none" w:sz="0" w:space="0" w:color="auto"/>
                    <w:right w:val="none" w:sz="0" w:space="0" w:color="auto"/>
                  </w:divBdr>
                  <w:divsChild>
                    <w:div w:id="69431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405488">
      <w:bodyDiv w:val="1"/>
      <w:marLeft w:val="0"/>
      <w:marRight w:val="0"/>
      <w:marTop w:val="0"/>
      <w:marBottom w:val="0"/>
      <w:divBdr>
        <w:top w:val="none" w:sz="0" w:space="0" w:color="auto"/>
        <w:left w:val="none" w:sz="0" w:space="0" w:color="auto"/>
        <w:bottom w:val="none" w:sz="0" w:space="0" w:color="auto"/>
        <w:right w:val="none" w:sz="0" w:space="0" w:color="auto"/>
      </w:divBdr>
      <w:divsChild>
        <w:div w:id="769085164">
          <w:marLeft w:val="0"/>
          <w:marRight w:val="0"/>
          <w:marTop w:val="0"/>
          <w:marBottom w:val="0"/>
          <w:divBdr>
            <w:top w:val="none" w:sz="0" w:space="0" w:color="auto"/>
            <w:left w:val="none" w:sz="0" w:space="0" w:color="auto"/>
            <w:bottom w:val="none" w:sz="0" w:space="0" w:color="auto"/>
            <w:right w:val="none" w:sz="0" w:space="0" w:color="auto"/>
          </w:divBdr>
          <w:divsChild>
            <w:div w:id="793134553">
              <w:marLeft w:val="0"/>
              <w:marRight w:val="0"/>
              <w:marTop w:val="0"/>
              <w:marBottom w:val="0"/>
              <w:divBdr>
                <w:top w:val="none" w:sz="0" w:space="0" w:color="auto"/>
                <w:left w:val="none" w:sz="0" w:space="0" w:color="auto"/>
                <w:bottom w:val="none" w:sz="0" w:space="0" w:color="auto"/>
                <w:right w:val="none" w:sz="0" w:space="0" w:color="auto"/>
              </w:divBdr>
              <w:divsChild>
                <w:div w:id="1265453749">
                  <w:marLeft w:val="0"/>
                  <w:marRight w:val="0"/>
                  <w:marTop w:val="0"/>
                  <w:marBottom w:val="0"/>
                  <w:divBdr>
                    <w:top w:val="none" w:sz="0" w:space="0" w:color="auto"/>
                    <w:left w:val="none" w:sz="0" w:space="0" w:color="auto"/>
                    <w:bottom w:val="none" w:sz="0" w:space="0" w:color="auto"/>
                    <w:right w:val="none" w:sz="0" w:space="0" w:color="auto"/>
                  </w:divBdr>
                  <w:divsChild>
                    <w:div w:id="174182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417458">
      <w:bodyDiv w:val="1"/>
      <w:marLeft w:val="0"/>
      <w:marRight w:val="0"/>
      <w:marTop w:val="0"/>
      <w:marBottom w:val="0"/>
      <w:divBdr>
        <w:top w:val="none" w:sz="0" w:space="0" w:color="auto"/>
        <w:left w:val="none" w:sz="0" w:space="0" w:color="auto"/>
        <w:bottom w:val="none" w:sz="0" w:space="0" w:color="auto"/>
        <w:right w:val="none" w:sz="0" w:space="0" w:color="auto"/>
      </w:divBdr>
    </w:div>
    <w:div w:id="1618640840">
      <w:bodyDiv w:val="1"/>
      <w:marLeft w:val="0"/>
      <w:marRight w:val="0"/>
      <w:marTop w:val="0"/>
      <w:marBottom w:val="0"/>
      <w:divBdr>
        <w:top w:val="none" w:sz="0" w:space="0" w:color="auto"/>
        <w:left w:val="none" w:sz="0" w:space="0" w:color="auto"/>
        <w:bottom w:val="none" w:sz="0" w:space="0" w:color="auto"/>
        <w:right w:val="none" w:sz="0" w:space="0" w:color="auto"/>
      </w:divBdr>
      <w:divsChild>
        <w:div w:id="132724228">
          <w:marLeft w:val="0"/>
          <w:marRight w:val="0"/>
          <w:marTop w:val="0"/>
          <w:marBottom w:val="0"/>
          <w:divBdr>
            <w:top w:val="none" w:sz="0" w:space="0" w:color="auto"/>
            <w:left w:val="none" w:sz="0" w:space="0" w:color="auto"/>
            <w:bottom w:val="none" w:sz="0" w:space="0" w:color="auto"/>
            <w:right w:val="none" w:sz="0" w:space="0" w:color="auto"/>
          </w:divBdr>
          <w:divsChild>
            <w:div w:id="1737707392">
              <w:marLeft w:val="0"/>
              <w:marRight w:val="0"/>
              <w:marTop w:val="0"/>
              <w:marBottom w:val="0"/>
              <w:divBdr>
                <w:top w:val="none" w:sz="0" w:space="0" w:color="auto"/>
                <w:left w:val="none" w:sz="0" w:space="0" w:color="auto"/>
                <w:bottom w:val="none" w:sz="0" w:space="0" w:color="auto"/>
                <w:right w:val="none" w:sz="0" w:space="0" w:color="auto"/>
              </w:divBdr>
              <w:divsChild>
                <w:div w:id="47191331">
                  <w:marLeft w:val="0"/>
                  <w:marRight w:val="0"/>
                  <w:marTop w:val="0"/>
                  <w:marBottom w:val="0"/>
                  <w:divBdr>
                    <w:top w:val="none" w:sz="0" w:space="0" w:color="auto"/>
                    <w:left w:val="none" w:sz="0" w:space="0" w:color="auto"/>
                    <w:bottom w:val="none" w:sz="0" w:space="0" w:color="auto"/>
                    <w:right w:val="none" w:sz="0" w:space="0" w:color="auto"/>
                  </w:divBdr>
                  <w:divsChild>
                    <w:div w:id="36302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6371640">
      <w:bodyDiv w:val="1"/>
      <w:marLeft w:val="0"/>
      <w:marRight w:val="0"/>
      <w:marTop w:val="0"/>
      <w:marBottom w:val="0"/>
      <w:divBdr>
        <w:top w:val="none" w:sz="0" w:space="0" w:color="auto"/>
        <w:left w:val="none" w:sz="0" w:space="0" w:color="auto"/>
        <w:bottom w:val="none" w:sz="0" w:space="0" w:color="auto"/>
        <w:right w:val="none" w:sz="0" w:space="0" w:color="auto"/>
      </w:divBdr>
    </w:div>
    <w:div w:id="1795782624">
      <w:bodyDiv w:val="1"/>
      <w:marLeft w:val="0"/>
      <w:marRight w:val="0"/>
      <w:marTop w:val="0"/>
      <w:marBottom w:val="0"/>
      <w:divBdr>
        <w:top w:val="none" w:sz="0" w:space="0" w:color="auto"/>
        <w:left w:val="none" w:sz="0" w:space="0" w:color="auto"/>
        <w:bottom w:val="none" w:sz="0" w:space="0" w:color="auto"/>
        <w:right w:val="none" w:sz="0" w:space="0" w:color="auto"/>
      </w:divBdr>
    </w:div>
    <w:div w:id="1800293875">
      <w:bodyDiv w:val="1"/>
      <w:marLeft w:val="0"/>
      <w:marRight w:val="0"/>
      <w:marTop w:val="0"/>
      <w:marBottom w:val="0"/>
      <w:divBdr>
        <w:top w:val="none" w:sz="0" w:space="0" w:color="auto"/>
        <w:left w:val="none" w:sz="0" w:space="0" w:color="auto"/>
        <w:bottom w:val="none" w:sz="0" w:space="0" w:color="auto"/>
        <w:right w:val="none" w:sz="0" w:space="0" w:color="auto"/>
      </w:divBdr>
      <w:divsChild>
        <w:div w:id="763115212">
          <w:marLeft w:val="0"/>
          <w:marRight w:val="0"/>
          <w:marTop w:val="0"/>
          <w:marBottom w:val="0"/>
          <w:divBdr>
            <w:top w:val="none" w:sz="0" w:space="0" w:color="auto"/>
            <w:left w:val="none" w:sz="0" w:space="0" w:color="auto"/>
            <w:bottom w:val="none" w:sz="0" w:space="0" w:color="auto"/>
            <w:right w:val="none" w:sz="0" w:space="0" w:color="auto"/>
          </w:divBdr>
          <w:divsChild>
            <w:div w:id="382751868">
              <w:marLeft w:val="0"/>
              <w:marRight w:val="0"/>
              <w:marTop w:val="0"/>
              <w:marBottom w:val="0"/>
              <w:divBdr>
                <w:top w:val="none" w:sz="0" w:space="0" w:color="auto"/>
                <w:left w:val="none" w:sz="0" w:space="0" w:color="auto"/>
                <w:bottom w:val="none" w:sz="0" w:space="0" w:color="auto"/>
                <w:right w:val="none" w:sz="0" w:space="0" w:color="auto"/>
              </w:divBdr>
            </w:div>
          </w:divsChild>
        </w:div>
        <w:div w:id="763651218">
          <w:marLeft w:val="0"/>
          <w:marRight w:val="0"/>
          <w:marTop w:val="0"/>
          <w:marBottom w:val="0"/>
          <w:divBdr>
            <w:top w:val="none" w:sz="0" w:space="0" w:color="auto"/>
            <w:left w:val="none" w:sz="0" w:space="0" w:color="auto"/>
            <w:bottom w:val="none" w:sz="0" w:space="0" w:color="auto"/>
            <w:right w:val="none" w:sz="0" w:space="0" w:color="auto"/>
          </w:divBdr>
        </w:div>
      </w:divsChild>
    </w:div>
    <w:div w:id="1809082542">
      <w:bodyDiv w:val="1"/>
      <w:marLeft w:val="0"/>
      <w:marRight w:val="0"/>
      <w:marTop w:val="0"/>
      <w:marBottom w:val="0"/>
      <w:divBdr>
        <w:top w:val="none" w:sz="0" w:space="0" w:color="auto"/>
        <w:left w:val="none" w:sz="0" w:space="0" w:color="auto"/>
        <w:bottom w:val="none" w:sz="0" w:space="0" w:color="auto"/>
        <w:right w:val="none" w:sz="0" w:space="0" w:color="auto"/>
      </w:divBdr>
      <w:divsChild>
        <w:div w:id="104202313">
          <w:marLeft w:val="0"/>
          <w:marRight w:val="0"/>
          <w:marTop w:val="0"/>
          <w:marBottom w:val="0"/>
          <w:divBdr>
            <w:top w:val="none" w:sz="0" w:space="0" w:color="auto"/>
            <w:left w:val="none" w:sz="0" w:space="0" w:color="auto"/>
            <w:bottom w:val="none" w:sz="0" w:space="0" w:color="auto"/>
            <w:right w:val="none" w:sz="0" w:space="0" w:color="auto"/>
          </w:divBdr>
          <w:divsChild>
            <w:div w:id="583540064">
              <w:marLeft w:val="0"/>
              <w:marRight w:val="0"/>
              <w:marTop w:val="0"/>
              <w:marBottom w:val="0"/>
              <w:divBdr>
                <w:top w:val="none" w:sz="0" w:space="0" w:color="auto"/>
                <w:left w:val="none" w:sz="0" w:space="0" w:color="auto"/>
                <w:bottom w:val="none" w:sz="0" w:space="0" w:color="auto"/>
                <w:right w:val="none" w:sz="0" w:space="0" w:color="auto"/>
              </w:divBdr>
              <w:divsChild>
                <w:div w:id="75478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250774">
      <w:bodyDiv w:val="1"/>
      <w:marLeft w:val="0"/>
      <w:marRight w:val="0"/>
      <w:marTop w:val="0"/>
      <w:marBottom w:val="0"/>
      <w:divBdr>
        <w:top w:val="none" w:sz="0" w:space="0" w:color="auto"/>
        <w:left w:val="none" w:sz="0" w:space="0" w:color="auto"/>
        <w:bottom w:val="none" w:sz="0" w:space="0" w:color="auto"/>
        <w:right w:val="none" w:sz="0" w:space="0" w:color="auto"/>
      </w:divBdr>
    </w:div>
    <w:div w:id="1855225609">
      <w:bodyDiv w:val="1"/>
      <w:marLeft w:val="0"/>
      <w:marRight w:val="0"/>
      <w:marTop w:val="0"/>
      <w:marBottom w:val="0"/>
      <w:divBdr>
        <w:top w:val="none" w:sz="0" w:space="0" w:color="auto"/>
        <w:left w:val="none" w:sz="0" w:space="0" w:color="auto"/>
        <w:bottom w:val="none" w:sz="0" w:space="0" w:color="auto"/>
        <w:right w:val="none" w:sz="0" w:space="0" w:color="auto"/>
      </w:divBdr>
      <w:divsChild>
        <w:div w:id="1548837397">
          <w:marLeft w:val="0"/>
          <w:marRight w:val="0"/>
          <w:marTop w:val="0"/>
          <w:marBottom w:val="0"/>
          <w:divBdr>
            <w:top w:val="none" w:sz="0" w:space="0" w:color="auto"/>
            <w:left w:val="none" w:sz="0" w:space="0" w:color="auto"/>
            <w:bottom w:val="none" w:sz="0" w:space="0" w:color="auto"/>
            <w:right w:val="none" w:sz="0" w:space="0" w:color="auto"/>
          </w:divBdr>
          <w:divsChild>
            <w:div w:id="96172987">
              <w:marLeft w:val="0"/>
              <w:marRight w:val="0"/>
              <w:marTop w:val="0"/>
              <w:marBottom w:val="0"/>
              <w:divBdr>
                <w:top w:val="none" w:sz="0" w:space="0" w:color="auto"/>
                <w:left w:val="none" w:sz="0" w:space="0" w:color="auto"/>
                <w:bottom w:val="none" w:sz="0" w:space="0" w:color="auto"/>
                <w:right w:val="none" w:sz="0" w:space="0" w:color="auto"/>
              </w:divBdr>
              <w:divsChild>
                <w:div w:id="143335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768761">
      <w:bodyDiv w:val="1"/>
      <w:marLeft w:val="0"/>
      <w:marRight w:val="0"/>
      <w:marTop w:val="0"/>
      <w:marBottom w:val="0"/>
      <w:divBdr>
        <w:top w:val="none" w:sz="0" w:space="0" w:color="auto"/>
        <w:left w:val="none" w:sz="0" w:space="0" w:color="auto"/>
        <w:bottom w:val="none" w:sz="0" w:space="0" w:color="auto"/>
        <w:right w:val="none" w:sz="0" w:space="0" w:color="auto"/>
      </w:divBdr>
      <w:divsChild>
        <w:div w:id="1021127192">
          <w:marLeft w:val="0"/>
          <w:marRight w:val="0"/>
          <w:marTop w:val="0"/>
          <w:marBottom w:val="0"/>
          <w:divBdr>
            <w:top w:val="none" w:sz="0" w:space="0" w:color="auto"/>
            <w:left w:val="none" w:sz="0" w:space="0" w:color="auto"/>
            <w:bottom w:val="none" w:sz="0" w:space="0" w:color="auto"/>
            <w:right w:val="none" w:sz="0" w:space="0" w:color="auto"/>
          </w:divBdr>
          <w:divsChild>
            <w:div w:id="980959198">
              <w:marLeft w:val="0"/>
              <w:marRight w:val="0"/>
              <w:marTop w:val="0"/>
              <w:marBottom w:val="0"/>
              <w:divBdr>
                <w:top w:val="none" w:sz="0" w:space="0" w:color="auto"/>
                <w:left w:val="none" w:sz="0" w:space="0" w:color="auto"/>
                <w:bottom w:val="none" w:sz="0" w:space="0" w:color="auto"/>
                <w:right w:val="none" w:sz="0" w:space="0" w:color="auto"/>
              </w:divBdr>
              <w:divsChild>
                <w:div w:id="2072387491">
                  <w:marLeft w:val="0"/>
                  <w:marRight w:val="0"/>
                  <w:marTop w:val="0"/>
                  <w:marBottom w:val="0"/>
                  <w:divBdr>
                    <w:top w:val="none" w:sz="0" w:space="0" w:color="auto"/>
                    <w:left w:val="none" w:sz="0" w:space="0" w:color="auto"/>
                    <w:bottom w:val="none" w:sz="0" w:space="0" w:color="auto"/>
                    <w:right w:val="none" w:sz="0" w:space="0" w:color="auto"/>
                  </w:divBdr>
                  <w:divsChild>
                    <w:div w:id="165236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9269309">
      <w:bodyDiv w:val="1"/>
      <w:marLeft w:val="0"/>
      <w:marRight w:val="0"/>
      <w:marTop w:val="0"/>
      <w:marBottom w:val="0"/>
      <w:divBdr>
        <w:top w:val="none" w:sz="0" w:space="0" w:color="auto"/>
        <w:left w:val="none" w:sz="0" w:space="0" w:color="auto"/>
        <w:bottom w:val="none" w:sz="0" w:space="0" w:color="auto"/>
        <w:right w:val="none" w:sz="0" w:space="0" w:color="auto"/>
      </w:divBdr>
    </w:div>
    <w:div w:id="1890338099">
      <w:bodyDiv w:val="1"/>
      <w:marLeft w:val="0"/>
      <w:marRight w:val="0"/>
      <w:marTop w:val="0"/>
      <w:marBottom w:val="0"/>
      <w:divBdr>
        <w:top w:val="none" w:sz="0" w:space="0" w:color="auto"/>
        <w:left w:val="none" w:sz="0" w:space="0" w:color="auto"/>
        <w:bottom w:val="none" w:sz="0" w:space="0" w:color="auto"/>
        <w:right w:val="none" w:sz="0" w:space="0" w:color="auto"/>
      </w:divBdr>
      <w:divsChild>
        <w:div w:id="907346650">
          <w:marLeft w:val="0"/>
          <w:marRight w:val="0"/>
          <w:marTop w:val="0"/>
          <w:marBottom w:val="0"/>
          <w:divBdr>
            <w:top w:val="none" w:sz="0" w:space="0" w:color="auto"/>
            <w:left w:val="none" w:sz="0" w:space="0" w:color="auto"/>
            <w:bottom w:val="none" w:sz="0" w:space="0" w:color="auto"/>
            <w:right w:val="none" w:sz="0" w:space="0" w:color="auto"/>
          </w:divBdr>
          <w:divsChild>
            <w:div w:id="795106772">
              <w:marLeft w:val="0"/>
              <w:marRight w:val="0"/>
              <w:marTop w:val="0"/>
              <w:marBottom w:val="0"/>
              <w:divBdr>
                <w:top w:val="none" w:sz="0" w:space="0" w:color="auto"/>
                <w:left w:val="none" w:sz="0" w:space="0" w:color="auto"/>
                <w:bottom w:val="none" w:sz="0" w:space="0" w:color="auto"/>
                <w:right w:val="none" w:sz="0" w:space="0" w:color="auto"/>
              </w:divBdr>
              <w:divsChild>
                <w:div w:id="1478302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841271">
      <w:bodyDiv w:val="1"/>
      <w:marLeft w:val="0"/>
      <w:marRight w:val="0"/>
      <w:marTop w:val="0"/>
      <w:marBottom w:val="0"/>
      <w:divBdr>
        <w:top w:val="none" w:sz="0" w:space="0" w:color="auto"/>
        <w:left w:val="none" w:sz="0" w:space="0" w:color="auto"/>
        <w:bottom w:val="none" w:sz="0" w:space="0" w:color="auto"/>
        <w:right w:val="none" w:sz="0" w:space="0" w:color="auto"/>
      </w:divBdr>
    </w:div>
    <w:div w:id="1907644114">
      <w:bodyDiv w:val="1"/>
      <w:marLeft w:val="0"/>
      <w:marRight w:val="0"/>
      <w:marTop w:val="0"/>
      <w:marBottom w:val="0"/>
      <w:divBdr>
        <w:top w:val="none" w:sz="0" w:space="0" w:color="auto"/>
        <w:left w:val="none" w:sz="0" w:space="0" w:color="auto"/>
        <w:bottom w:val="none" w:sz="0" w:space="0" w:color="auto"/>
        <w:right w:val="none" w:sz="0" w:space="0" w:color="auto"/>
      </w:divBdr>
      <w:divsChild>
        <w:div w:id="684790880">
          <w:marLeft w:val="0"/>
          <w:marRight w:val="0"/>
          <w:marTop w:val="0"/>
          <w:marBottom w:val="0"/>
          <w:divBdr>
            <w:top w:val="none" w:sz="0" w:space="0" w:color="auto"/>
            <w:left w:val="none" w:sz="0" w:space="0" w:color="auto"/>
            <w:bottom w:val="none" w:sz="0" w:space="0" w:color="auto"/>
            <w:right w:val="none" w:sz="0" w:space="0" w:color="auto"/>
          </w:divBdr>
          <w:divsChild>
            <w:div w:id="707023655">
              <w:marLeft w:val="0"/>
              <w:marRight w:val="0"/>
              <w:marTop w:val="0"/>
              <w:marBottom w:val="0"/>
              <w:divBdr>
                <w:top w:val="none" w:sz="0" w:space="0" w:color="auto"/>
                <w:left w:val="none" w:sz="0" w:space="0" w:color="auto"/>
                <w:bottom w:val="none" w:sz="0" w:space="0" w:color="auto"/>
                <w:right w:val="none" w:sz="0" w:space="0" w:color="auto"/>
              </w:divBdr>
            </w:div>
          </w:divsChild>
        </w:div>
        <w:div w:id="2062091567">
          <w:marLeft w:val="0"/>
          <w:marRight w:val="0"/>
          <w:marTop w:val="0"/>
          <w:marBottom w:val="0"/>
          <w:divBdr>
            <w:top w:val="none" w:sz="0" w:space="0" w:color="auto"/>
            <w:left w:val="none" w:sz="0" w:space="0" w:color="auto"/>
            <w:bottom w:val="none" w:sz="0" w:space="0" w:color="auto"/>
            <w:right w:val="none" w:sz="0" w:space="0" w:color="auto"/>
          </w:divBdr>
        </w:div>
      </w:divsChild>
    </w:div>
    <w:div w:id="1965571732">
      <w:bodyDiv w:val="1"/>
      <w:marLeft w:val="0"/>
      <w:marRight w:val="0"/>
      <w:marTop w:val="0"/>
      <w:marBottom w:val="0"/>
      <w:divBdr>
        <w:top w:val="none" w:sz="0" w:space="0" w:color="auto"/>
        <w:left w:val="none" w:sz="0" w:space="0" w:color="auto"/>
        <w:bottom w:val="none" w:sz="0" w:space="0" w:color="auto"/>
        <w:right w:val="none" w:sz="0" w:space="0" w:color="auto"/>
      </w:divBdr>
    </w:div>
    <w:div w:id="1990088361">
      <w:bodyDiv w:val="1"/>
      <w:marLeft w:val="0"/>
      <w:marRight w:val="0"/>
      <w:marTop w:val="0"/>
      <w:marBottom w:val="0"/>
      <w:divBdr>
        <w:top w:val="none" w:sz="0" w:space="0" w:color="auto"/>
        <w:left w:val="none" w:sz="0" w:space="0" w:color="auto"/>
        <w:bottom w:val="none" w:sz="0" w:space="0" w:color="auto"/>
        <w:right w:val="none" w:sz="0" w:space="0" w:color="auto"/>
      </w:divBdr>
      <w:divsChild>
        <w:div w:id="263997321">
          <w:marLeft w:val="0"/>
          <w:marRight w:val="0"/>
          <w:marTop w:val="0"/>
          <w:marBottom w:val="0"/>
          <w:divBdr>
            <w:top w:val="none" w:sz="0" w:space="0" w:color="auto"/>
            <w:left w:val="none" w:sz="0" w:space="0" w:color="auto"/>
            <w:bottom w:val="none" w:sz="0" w:space="0" w:color="auto"/>
            <w:right w:val="none" w:sz="0" w:space="0" w:color="auto"/>
          </w:divBdr>
          <w:divsChild>
            <w:div w:id="868491040">
              <w:marLeft w:val="0"/>
              <w:marRight w:val="0"/>
              <w:marTop w:val="0"/>
              <w:marBottom w:val="0"/>
              <w:divBdr>
                <w:top w:val="none" w:sz="0" w:space="0" w:color="auto"/>
                <w:left w:val="none" w:sz="0" w:space="0" w:color="auto"/>
                <w:bottom w:val="none" w:sz="0" w:space="0" w:color="auto"/>
                <w:right w:val="none" w:sz="0" w:space="0" w:color="auto"/>
              </w:divBdr>
              <w:divsChild>
                <w:div w:id="16459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137465">
      <w:bodyDiv w:val="1"/>
      <w:marLeft w:val="0"/>
      <w:marRight w:val="0"/>
      <w:marTop w:val="0"/>
      <w:marBottom w:val="0"/>
      <w:divBdr>
        <w:top w:val="none" w:sz="0" w:space="0" w:color="auto"/>
        <w:left w:val="none" w:sz="0" w:space="0" w:color="auto"/>
        <w:bottom w:val="none" w:sz="0" w:space="0" w:color="auto"/>
        <w:right w:val="none" w:sz="0" w:space="0" w:color="auto"/>
      </w:divBdr>
    </w:div>
    <w:div w:id="2030178057">
      <w:bodyDiv w:val="1"/>
      <w:marLeft w:val="0"/>
      <w:marRight w:val="0"/>
      <w:marTop w:val="0"/>
      <w:marBottom w:val="0"/>
      <w:divBdr>
        <w:top w:val="none" w:sz="0" w:space="0" w:color="auto"/>
        <w:left w:val="none" w:sz="0" w:space="0" w:color="auto"/>
        <w:bottom w:val="none" w:sz="0" w:space="0" w:color="auto"/>
        <w:right w:val="none" w:sz="0" w:space="0" w:color="auto"/>
      </w:divBdr>
      <w:divsChild>
        <w:div w:id="1617635337">
          <w:marLeft w:val="0"/>
          <w:marRight w:val="0"/>
          <w:marTop w:val="0"/>
          <w:marBottom w:val="0"/>
          <w:divBdr>
            <w:top w:val="none" w:sz="0" w:space="0" w:color="auto"/>
            <w:left w:val="none" w:sz="0" w:space="0" w:color="auto"/>
            <w:bottom w:val="none" w:sz="0" w:space="0" w:color="auto"/>
            <w:right w:val="none" w:sz="0" w:space="0" w:color="auto"/>
          </w:divBdr>
          <w:divsChild>
            <w:div w:id="1844781001">
              <w:marLeft w:val="0"/>
              <w:marRight w:val="0"/>
              <w:marTop w:val="0"/>
              <w:marBottom w:val="0"/>
              <w:divBdr>
                <w:top w:val="none" w:sz="0" w:space="0" w:color="auto"/>
                <w:left w:val="none" w:sz="0" w:space="0" w:color="auto"/>
                <w:bottom w:val="none" w:sz="0" w:space="0" w:color="auto"/>
                <w:right w:val="none" w:sz="0" w:space="0" w:color="auto"/>
              </w:divBdr>
              <w:divsChild>
                <w:div w:id="1424640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112294">
      <w:bodyDiv w:val="1"/>
      <w:marLeft w:val="0"/>
      <w:marRight w:val="0"/>
      <w:marTop w:val="0"/>
      <w:marBottom w:val="0"/>
      <w:divBdr>
        <w:top w:val="none" w:sz="0" w:space="0" w:color="auto"/>
        <w:left w:val="none" w:sz="0" w:space="0" w:color="auto"/>
        <w:bottom w:val="none" w:sz="0" w:space="0" w:color="auto"/>
        <w:right w:val="none" w:sz="0" w:space="0" w:color="auto"/>
      </w:divBdr>
      <w:divsChild>
        <w:div w:id="1238440903">
          <w:marLeft w:val="0"/>
          <w:marRight w:val="0"/>
          <w:marTop w:val="0"/>
          <w:marBottom w:val="0"/>
          <w:divBdr>
            <w:top w:val="none" w:sz="0" w:space="0" w:color="auto"/>
            <w:left w:val="none" w:sz="0" w:space="0" w:color="auto"/>
            <w:bottom w:val="none" w:sz="0" w:space="0" w:color="auto"/>
            <w:right w:val="none" w:sz="0" w:space="0" w:color="auto"/>
          </w:divBdr>
          <w:divsChild>
            <w:div w:id="1840149491">
              <w:marLeft w:val="0"/>
              <w:marRight w:val="0"/>
              <w:marTop w:val="0"/>
              <w:marBottom w:val="0"/>
              <w:divBdr>
                <w:top w:val="none" w:sz="0" w:space="0" w:color="auto"/>
                <w:left w:val="none" w:sz="0" w:space="0" w:color="auto"/>
                <w:bottom w:val="none" w:sz="0" w:space="0" w:color="auto"/>
                <w:right w:val="none" w:sz="0" w:space="0" w:color="auto"/>
              </w:divBdr>
              <w:divsChild>
                <w:div w:id="91443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920577">
          <w:marLeft w:val="0"/>
          <w:marRight w:val="0"/>
          <w:marTop w:val="0"/>
          <w:marBottom w:val="0"/>
          <w:divBdr>
            <w:top w:val="none" w:sz="0" w:space="0" w:color="auto"/>
            <w:left w:val="none" w:sz="0" w:space="0" w:color="auto"/>
            <w:bottom w:val="none" w:sz="0" w:space="0" w:color="auto"/>
            <w:right w:val="none" w:sz="0" w:space="0" w:color="auto"/>
          </w:divBdr>
          <w:divsChild>
            <w:div w:id="742218607">
              <w:marLeft w:val="0"/>
              <w:marRight w:val="0"/>
              <w:marTop w:val="0"/>
              <w:marBottom w:val="0"/>
              <w:divBdr>
                <w:top w:val="none" w:sz="0" w:space="0" w:color="auto"/>
                <w:left w:val="none" w:sz="0" w:space="0" w:color="auto"/>
                <w:bottom w:val="none" w:sz="0" w:space="0" w:color="auto"/>
                <w:right w:val="none" w:sz="0" w:space="0" w:color="auto"/>
              </w:divBdr>
              <w:divsChild>
                <w:div w:id="88205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307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9258671-F2F0-B449-A334-06B923D49A07}">
  <we:reference id="wa200001011" version="1.1.0.0" store="it-IT"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43E52-EFB5-4CA4-A3DC-103ED0C28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21</Pages>
  <Words>57334</Words>
  <Characters>326809</Characters>
  <Application>Microsoft Office Word</Application>
  <DocSecurity>0</DocSecurity>
  <Lines>2723</Lines>
  <Paragraphs>766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383377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Francesca Dal Mas</cp:lastModifiedBy>
  <cp:revision>18</cp:revision>
  <dcterms:created xsi:type="dcterms:W3CDTF">2020-07-15T08:53:00Z</dcterms:created>
  <dcterms:modified xsi:type="dcterms:W3CDTF">2020-07-15T10:01:00Z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zotero-version="5.0.88"&gt;&lt;session id="tWdw92P2"/&gt;&lt;style id="http://www.zotero.org/styles/apa" locale="it-IT" hasBibliography="1" bibliographyStyleHasBeenSet="1"/&gt;&lt;prefs&gt;&lt;pref name="fieldType" value="Field"/&gt;&lt;/prefs&gt;&lt;/data&gt;</vt:lpwstr>
  </property>
  <property fmtid="{D5CDD505-2E9C-101B-9397-08002B2CF9AE}" pid="3" name="grammarly_documentId">
    <vt:lpwstr>documentId_2063</vt:lpwstr>
  </property>
  <property fmtid="{D5CDD505-2E9C-101B-9397-08002B2CF9AE}" pid="4" name="Mendeley Recent Style Id 0_1">
    <vt:lpwstr>http://www.zotero.org/styles/american-sociological-association</vt:lpwstr>
  </property>
  <property fmtid="{D5CDD505-2E9C-101B-9397-08002B2CF9AE}" pid="5" name="Mendeley Recent Style Name 0_1">
    <vt:lpwstr>American Sociological Association</vt:lpwstr>
  </property>
  <property fmtid="{D5CDD505-2E9C-101B-9397-08002B2CF9AE}" pid="6" name="Mendeley Recent Style Id 1_1">
    <vt:lpwstr>http://www.zotero.org/styles/harvard-cite-them-right</vt:lpwstr>
  </property>
  <property fmtid="{D5CDD505-2E9C-101B-9397-08002B2CF9AE}" pid="7" name="Mendeley Recent Style Name 1_1">
    <vt:lpwstr>Cite Them Right 10th edition - Harvard</vt:lpwstr>
  </property>
  <property fmtid="{D5CDD505-2E9C-101B-9397-08002B2CF9AE}" pid="8" name="Mendeley Recent Style Id 2_1">
    <vt:lpwstr>http://www.zotero.org/styles/emerald-harvard</vt:lpwstr>
  </property>
  <property fmtid="{D5CDD505-2E9C-101B-9397-08002B2CF9AE}" pid="9" name="Mendeley Recent Style Name 2_1">
    <vt:lpwstr>Emerald - Harvard</vt:lpwstr>
  </property>
  <property fmtid="{D5CDD505-2E9C-101B-9397-08002B2CF9AE}" pid="10" name="Mendeley Recent Style Id 3_1">
    <vt:lpwstr>http://csl.mendeley.com/styles/11205751/emerald-harvard-2</vt:lpwstr>
  </property>
  <property fmtid="{D5CDD505-2E9C-101B-9397-08002B2CF9AE}" pid="11" name="Mendeley Recent Style Name 3_1">
    <vt:lpwstr>Emerald journals (Harvard) - Maurizio Massaro</vt:lpwstr>
  </property>
  <property fmtid="{D5CDD505-2E9C-101B-9397-08002B2CF9AE}" pid="12" name="Mendeley Recent Style Id 4_1">
    <vt:lpwstr>http://www.zotero.org/styles/harvard1</vt:lpwstr>
  </property>
  <property fmtid="{D5CDD505-2E9C-101B-9397-08002B2CF9AE}" pid="13" name="Mendeley Recent Style Name 4_1">
    <vt:lpwstr>Harvard reference format 1 (deprecated)</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http://www.zotero.org/styles/jama</vt:lpwstr>
  </property>
  <property fmtid="{D5CDD505-2E9C-101B-9397-08002B2CF9AE}" pid="17" name="Mendeley Recent Style Name 6_1">
    <vt:lpwstr>JAMA (The Journal of the American Medical Association)</vt:lpwstr>
  </property>
  <property fmtid="{D5CDD505-2E9C-101B-9397-08002B2CF9AE}" pid="18" name="Mendeley Recent Style Id 7_1">
    <vt:lpwstr>http://www.zotero.org/styles/journal-of-business-research</vt:lpwstr>
  </property>
  <property fmtid="{D5CDD505-2E9C-101B-9397-08002B2CF9AE}" pid="19" name="Mendeley Recent Style Name 7_1">
    <vt:lpwstr>Journal of Business Research</vt:lpwstr>
  </property>
  <property fmtid="{D5CDD505-2E9C-101B-9397-08002B2CF9AE}" pid="20" name="Mendeley Recent Style Id 8_1">
    <vt:lpwstr>http://www.zotero.org/styles/modern-humanities-research-association</vt:lpwstr>
  </property>
  <property fmtid="{D5CDD505-2E9C-101B-9397-08002B2CF9AE}" pid="21" name="Mendeley Recent Style Name 8_1">
    <vt:lpwstr>Modern Humanities Research Association 3rd edition (note with bibliography)</vt:lpwstr>
  </property>
  <property fmtid="{D5CDD505-2E9C-101B-9397-08002B2CF9AE}" pid="22" name="Mendeley Recent Style Id 9_1">
    <vt:lpwstr>http://www.zotero.org/styles/strategic-management-journal</vt:lpwstr>
  </property>
  <property fmtid="{D5CDD505-2E9C-101B-9397-08002B2CF9AE}" pid="23" name="Mendeley Recent Style Name 9_1">
    <vt:lpwstr>Strategic Management Journal</vt:lpwstr>
  </property>
</Properties>
</file>