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EB8BFF" w14:textId="66DB8F70" w:rsidR="00902E96" w:rsidRPr="00F57636" w:rsidRDefault="00902E96" w:rsidP="00902E96">
      <w:pPr>
        <w:rPr>
          <w:rFonts w:ascii="Arial" w:hAnsi="Arial" w:cs="Arial"/>
          <w:b/>
          <w:bCs/>
          <w:sz w:val="20"/>
          <w:szCs w:val="20"/>
          <w:lang w:val="en-US"/>
        </w:rPr>
      </w:pPr>
      <w:r w:rsidRPr="00F57636">
        <w:rPr>
          <w:rFonts w:ascii="Arial" w:hAnsi="Arial" w:cs="Arial"/>
          <w:b/>
          <w:bCs/>
          <w:sz w:val="20"/>
          <w:szCs w:val="20"/>
          <w:lang w:val="en-US"/>
        </w:rPr>
        <w:t>dECM HYDROGEL</w:t>
      </w:r>
      <w:r w:rsidR="00F57636">
        <w:rPr>
          <w:rFonts w:ascii="Arial" w:hAnsi="Arial" w:cs="Arial"/>
          <w:b/>
          <w:bCs/>
          <w:sz w:val="20"/>
          <w:szCs w:val="20"/>
          <w:lang w:val="en-US"/>
        </w:rPr>
        <w:t>S</w:t>
      </w:r>
      <w:r w:rsidRPr="00F57636">
        <w:rPr>
          <w:rFonts w:ascii="Arial" w:hAnsi="Arial" w:cs="Arial"/>
          <w:b/>
          <w:bCs/>
          <w:sz w:val="20"/>
          <w:szCs w:val="20"/>
          <w:lang w:val="en-US"/>
        </w:rPr>
        <w:t xml:space="preserve"> </w:t>
      </w:r>
      <w:r w:rsidR="00F57636">
        <w:rPr>
          <w:rFonts w:ascii="Arial" w:hAnsi="Arial" w:cs="Arial"/>
          <w:b/>
          <w:bCs/>
          <w:sz w:val="20"/>
          <w:szCs w:val="20"/>
          <w:lang w:val="en-US"/>
        </w:rPr>
        <w:t xml:space="preserve">FOR </w:t>
      </w:r>
      <w:r w:rsidRPr="00F57636">
        <w:rPr>
          <w:rFonts w:ascii="Arial" w:hAnsi="Arial" w:cs="Arial"/>
          <w:b/>
          <w:bCs/>
          <w:sz w:val="20"/>
          <w:szCs w:val="20"/>
          <w:lang w:val="en-US"/>
        </w:rPr>
        <w:t>SUPPORT</w:t>
      </w:r>
      <w:r w:rsidR="00F57636">
        <w:rPr>
          <w:rFonts w:ascii="Arial" w:hAnsi="Arial" w:cs="Arial"/>
          <w:b/>
          <w:bCs/>
          <w:sz w:val="20"/>
          <w:szCs w:val="20"/>
          <w:lang w:val="en-US"/>
        </w:rPr>
        <w:t>ING</w:t>
      </w:r>
      <w:r w:rsidRPr="00F57636">
        <w:rPr>
          <w:rFonts w:ascii="Arial" w:hAnsi="Arial" w:cs="Arial"/>
          <w:b/>
          <w:bCs/>
          <w:sz w:val="20"/>
          <w:szCs w:val="20"/>
          <w:lang w:val="en-US"/>
        </w:rPr>
        <w:t xml:space="preserve"> NERVE REGENERATION </w:t>
      </w:r>
    </w:p>
    <w:p w14:paraId="73669D8F" w14:textId="4B24D8DB" w:rsidR="00902E96" w:rsidRPr="00A15664" w:rsidRDefault="00902E96" w:rsidP="00902E96">
      <w:pPr>
        <w:spacing w:after="0" w:line="240" w:lineRule="auto"/>
        <w:jc w:val="both"/>
        <w:rPr>
          <w:rFonts w:ascii="Arial" w:hAnsi="Arial" w:cs="Arial"/>
          <w:i/>
          <w:sz w:val="20"/>
          <w:szCs w:val="20"/>
          <w:vertAlign w:val="superscript"/>
        </w:rPr>
      </w:pPr>
      <w:r w:rsidRPr="00A15664">
        <w:rPr>
          <w:rFonts w:ascii="Arial" w:hAnsi="Arial" w:cs="Arial"/>
          <w:b/>
          <w:bCs/>
          <w:i/>
          <w:sz w:val="20"/>
          <w:szCs w:val="20"/>
          <w:u w:val="single"/>
        </w:rPr>
        <w:t>Miriam Metafune</w:t>
      </w:r>
      <w:r w:rsidRPr="00A15664">
        <w:rPr>
          <w:rFonts w:ascii="Arial" w:hAnsi="Arial" w:cs="Arial"/>
          <w:i/>
          <w:sz w:val="20"/>
          <w:szCs w:val="20"/>
          <w:vertAlign w:val="superscript"/>
        </w:rPr>
        <w:t>1</w:t>
      </w:r>
      <w:r w:rsidRPr="00A15664">
        <w:rPr>
          <w:rFonts w:ascii="Arial" w:hAnsi="Arial" w:cs="Arial"/>
          <w:i/>
          <w:sz w:val="20"/>
          <w:szCs w:val="20"/>
        </w:rPr>
        <w:t xml:space="preserve">, Jesús Ciriza </w:t>
      </w:r>
      <w:r w:rsidRPr="00A15664">
        <w:rPr>
          <w:rFonts w:ascii="Arial" w:hAnsi="Arial" w:cs="Arial"/>
          <w:i/>
          <w:sz w:val="20"/>
          <w:szCs w:val="20"/>
          <w:vertAlign w:val="superscript"/>
        </w:rPr>
        <w:t>2</w:t>
      </w:r>
      <w:r w:rsidRPr="00A15664">
        <w:rPr>
          <w:rFonts w:ascii="Arial" w:hAnsi="Arial" w:cs="Arial"/>
          <w:i/>
          <w:sz w:val="20"/>
          <w:szCs w:val="20"/>
        </w:rPr>
        <w:t>,</w:t>
      </w:r>
      <w:r w:rsidR="00CE5DD2" w:rsidRPr="00CE5DD2">
        <w:rPr>
          <w:color w:val="222222"/>
          <w:shd w:val="clear" w:color="auto" w:fill="FFFFFF"/>
        </w:rPr>
        <w:t xml:space="preserve"> </w:t>
      </w:r>
      <w:r w:rsidR="00CE5DD2" w:rsidRPr="00CE5DD2">
        <w:rPr>
          <w:rFonts w:ascii="Arial" w:hAnsi="Arial" w:cs="Arial"/>
          <w:i/>
          <w:iCs/>
          <w:color w:val="222222"/>
          <w:sz w:val="20"/>
          <w:szCs w:val="20"/>
          <w:shd w:val="clear" w:color="auto" w:fill="FFFFFF"/>
        </w:rPr>
        <w:t>Estibaliz Fernandez-Carro</w:t>
      </w:r>
      <w:r w:rsidR="00CE5DD2" w:rsidRPr="00CE5DD2">
        <w:rPr>
          <w:rFonts w:ascii="Arial" w:hAnsi="Arial" w:cs="Arial"/>
          <w:i/>
          <w:iCs/>
          <w:color w:val="222222"/>
          <w:sz w:val="20"/>
          <w:szCs w:val="20"/>
          <w:shd w:val="clear" w:color="auto" w:fill="FFFFFF"/>
          <w:vertAlign w:val="superscript"/>
        </w:rPr>
        <w:t>2</w:t>
      </w:r>
      <w:r w:rsidR="00CE5DD2">
        <w:rPr>
          <w:rFonts w:ascii="Arial" w:hAnsi="Arial" w:cs="Arial"/>
          <w:i/>
          <w:sz w:val="16"/>
          <w:szCs w:val="16"/>
        </w:rPr>
        <w:t xml:space="preserve">, </w:t>
      </w:r>
      <w:r w:rsidRPr="00A15664">
        <w:rPr>
          <w:rFonts w:ascii="Arial" w:hAnsi="Arial" w:cs="Arial"/>
          <w:i/>
          <w:sz w:val="20"/>
          <w:szCs w:val="20"/>
        </w:rPr>
        <w:t>Luisa Muratori</w:t>
      </w:r>
      <w:r w:rsidRPr="00A15664">
        <w:rPr>
          <w:rFonts w:ascii="Arial" w:hAnsi="Arial" w:cs="Arial"/>
          <w:i/>
          <w:sz w:val="20"/>
          <w:szCs w:val="20"/>
          <w:vertAlign w:val="superscript"/>
        </w:rPr>
        <w:t>1</w:t>
      </w:r>
      <w:r w:rsidRPr="00A15664">
        <w:rPr>
          <w:rFonts w:ascii="Arial" w:hAnsi="Arial" w:cs="Arial"/>
          <w:i/>
          <w:sz w:val="20"/>
          <w:szCs w:val="20"/>
        </w:rPr>
        <w:t>, Stefania Raimondo</w:t>
      </w:r>
      <w:r w:rsidRPr="00A15664">
        <w:rPr>
          <w:rFonts w:ascii="Arial" w:hAnsi="Arial" w:cs="Arial"/>
          <w:i/>
          <w:sz w:val="20"/>
          <w:szCs w:val="20"/>
          <w:vertAlign w:val="superscript"/>
        </w:rPr>
        <w:t>1</w:t>
      </w:r>
    </w:p>
    <w:p w14:paraId="42B774C1" w14:textId="77777777" w:rsidR="00902E96" w:rsidRPr="00A15664" w:rsidRDefault="00902E96" w:rsidP="00902E96">
      <w:pPr>
        <w:spacing w:after="0" w:line="240" w:lineRule="auto"/>
        <w:jc w:val="both"/>
        <w:rPr>
          <w:rFonts w:ascii="Arial" w:hAnsi="Arial" w:cs="Arial"/>
          <w:i/>
          <w:sz w:val="20"/>
          <w:szCs w:val="20"/>
          <w:vertAlign w:val="superscript"/>
        </w:rPr>
      </w:pPr>
    </w:p>
    <w:p w14:paraId="1306E90E" w14:textId="77777777" w:rsidR="00902E96" w:rsidRPr="00A15664" w:rsidRDefault="00902E96" w:rsidP="00902E96">
      <w:pPr>
        <w:spacing w:after="0" w:line="240" w:lineRule="auto"/>
        <w:jc w:val="both"/>
        <w:rPr>
          <w:rFonts w:ascii="Arial" w:eastAsia="Times New Roman" w:hAnsi="Arial" w:cs="Arial"/>
          <w:bCs/>
          <w:i/>
          <w:color w:val="000000"/>
          <w:sz w:val="20"/>
          <w:szCs w:val="20"/>
          <w:lang w:val="en-GB"/>
        </w:rPr>
      </w:pPr>
      <w:r w:rsidRPr="00A15664">
        <w:rPr>
          <w:rFonts w:ascii="Arial" w:hAnsi="Arial" w:cs="Arial"/>
          <w:i/>
          <w:sz w:val="20"/>
          <w:szCs w:val="20"/>
          <w:vertAlign w:val="superscript"/>
          <w:lang w:val="en-GB"/>
        </w:rPr>
        <w:t>1</w:t>
      </w:r>
      <w:r w:rsidRPr="00A15664">
        <w:rPr>
          <w:rFonts w:ascii="Arial" w:eastAsia="Times New Roman" w:hAnsi="Arial" w:cs="Arial"/>
          <w:bCs/>
          <w:i/>
          <w:color w:val="000000"/>
          <w:sz w:val="20"/>
          <w:szCs w:val="20"/>
          <w:vertAlign w:val="superscript"/>
          <w:lang w:val="en-GB"/>
        </w:rPr>
        <w:t xml:space="preserve"> </w:t>
      </w:r>
      <w:r w:rsidRPr="00A15664">
        <w:rPr>
          <w:rFonts w:ascii="Arial" w:eastAsia="Times New Roman" w:hAnsi="Arial" w:cs="Arial"/>
          <w:bCs/>
          <w:i/>
          <w:color w:val="000000"/>
          <w:sz w:val="20"/>
          <w:szCs w:val="20"/>
          <w:lang w:val="en-GB"/>
        </w:rPr>
        <w:t>Department of Clinical and Biological Sciences, Neuroscience Institute Cavalieri Ottolenghi (NICO), University of Turin, Turin, Italy;</w:t>
      </w:r>
    </w:p>
    <w:p w14:paraId="0B2788DE" w14:textId="4B403020" w:rsidR="00902E96" w:rsidRPr="00A15664" w:rsidRDefault="00902E96" w:rsidP="00902E96">
      <w:pPr>
        <w:pStyle w:val="NormaleWeb"/>
        <w:shd w:val="clear" w:color="auto" w:fill="FFFFFF"/>
        <w:spacing w:before="0" w:beforeAutospacing="0" w:after="0" w:afterAutospacing="0" w:line="330" w:lineRule="atLeast"/>
        <w:rPr>
          <w:rFonts w:ascii="Arial" w:hAnsi="Arial" w:cs="Arial"/>
          <w:i/>
          <w:color w:val="000000"/>
          <w:sz w:val="20"/>
          <w:szCs w:val="20"/>
        </w:rPr>
      </w:pPr>
      <w:r w:rsidRPr="00A15664">
        <w:rPr>
          <w:rFonts w:ascii="Arial" w:hAnsi="Arial" w:cs="Arial"/>
          <w:i/>
          <w:sz w:val="20"/>
          <w:szCs w:val="20"/>
          <w:vertAlign w:val="superscript"/>
        </w:rPr>
        <w:t>2</w:t>
      </w:r>
      <w:r w:rsidRPr="00A15664">
        <w:rPr>
          <w:rFonts w:ascii="Arial" w:hAnsi="Arial" w:cs="Arial"/>
          <w:i/>
          <w:sz w:val="20"/>
          <w:szCs w:val="20"/>
        </w:rPr>
        <w:t xml:space="preserve"> </w:t>
      </w:r>
      <w:r w:rsidR="00CE5DD2" w:rsidRPr="00CE5DD2">
        <w:rPr>
          <w:rFonts w:ascii="Arial" w:hAnsi="Arial" w:cs="Arial"/>
          <w:i/>
          <w:iCs/>
          <w:color w:val="222222"/>
          <w:sz w:val="20"/>
          <w:szCs w:val="20"/>
          <w:shd w:val="clear" w:color="auto" w:fill="FFFFFF"/>
        </w:rPr>
        <w:t>Tissue Microenvironment Lab, Institute I3A, University of Zaragoza, Zaragoza, Spain</w:t>
      </w:r>
      <w:r w:rsidR="00CE5DD2" w:rsidRPr="00CE5DD2">
        <w:rPr>
          <w:rFonts w:ascii="Arial" w:hAnsi="Arial" w:cs="Arial"/>
          <w:color w:val="222222"/>
          <w:sz w:val="20"/>
          <w:szCs w:val="20"/>
          <w:shd w:val="clear" w:color="auto" w:fill="FFFFFF"/>
        </w:rPr>
        <w:t>.</w:t>
      </w:r>
    </w:p>
    <w:p w14:paraId="06BA6AC5" w14:textId="77777777" w:rsidR="00902E96" w:rsidRDefault="00902E96" w:rsidP="00902E96">
      <w:pPr>
        <w:pStyle w:val="NormaleWeb"/>
        <w:shd w:val="clear" w:color="auto" w:fill="FFFFFF"/>
        <w:spacing w:before="0" w:beforeAutospacing="0" w:after="0" w:afterAutospacing="0" w:line="330" w:lineRule="atLeast"/>
        <w:rPr>
          <w:rFonts w:ascii="Arial" w:hAnsi="Arial" w:cs="Arial"/>
          <w:color w:val="000000"/>
          <w:sz w:val="20"/>
          <w:szCs w:val="20"/>
        </w:rPr>
      </w:pPr>
    </w:p>
    <w:p w14:paraId="389EAAEF" w14:textId="5EF17B75" w:rsidR="00902E96" w:rsidRDefault="00902E96" w:rsidP="00902E9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en-US" w:eastAsia="it-IT"/>
        </w:rPr>
      </w:pPr>
      <w:r w:rsidRPr="006840C7">
        <w:rPr>
          <w:rFonts w:ascii="Arial" w:eastAsia="Times New Roman" w:hAnsi="Arial" w:cs="Arial"/>
          <w:sz w:val="20"/>
          <w:szCs w:val="20"/>
          <w:lang w:val="en-US" w:eastAsia="it-IT"/>
        </w:rPr>
        <w:t xml:space="preserve">Peripheral nerve injury is a clinical </w:t>
      </w:r>
      <w:r>
        <w:rPr>
          <w:rFonts w:ascii="Arial" w:eastAsia="Times New Roman" w:hAnsi="Arial" w:cs="Arial"/>
          <w:sz w:val="20"/>
          <w:szCs w:val="20"/>
          <w:lang w:val="en-US" w:eastAsia="it-IT"/>
        </w:rPr>
        <w:t xml:space="preserve">condition that </w:t>
      </w:r>
      <w:r w:rsidRPr="006840C7">
        <w:rPr>
          <w:rFonts w:ascii="Arial" w:eastAsia="Times New Roman" w:hAnsi="Arial" w:cs="Arial"/>
          <w:sz w:val="20"/>
          <w:szCs w:val="20"/>
          <w:lang w:val="en-US" w:eastAsia="it-IT"/>
        </w:rPr>
        <w:t>severely reduces patient quality of life by damaging sensory and motor</w:t>
      </w:r>
      <w:r>
        <w:rPr>
          <w:rFonts w:ascii="Arial" w:eastAsia="Times New Roman" w:hAnsi="Arial" w:cs="Arial"/>
          <w:sz w:val="20"/>
          <w:szCs w:val="20"/>
          <w:lang w:val="en-US" w:eastAsia="it-IT"/>
        </w:rPr>
        <w:t xml:space="preserve"> </w:t>
      </w:r>
      <w:r w:rsidRPr="006840C7">
        <w:rPr>
          <w:rFonts w:ascii="Arial" w:eastAsia="Times New Roman" w:hAnsi="Arial" w:cs="Arial"/>
          <w:sz w:val="20"/>
          <w:szCs w:val="20"/>
          <w:lang w:val="en-US" w:eastAsia="it-IT"/>
        </w:rPr>
        <w:t>functions</w:t>
      </w:r>
      <w:r>
        <w:rPr>
          <w:rFonts w:ascii="Arial" w:eastAsia="Times New Roman" w:hAnsi="Arial" w:cs="Arial"/>
          <w:sz w:val="20"/>
          <w:szCs w:val="20"/>
          <w:lang w:val="en-US" w:eastAsia="it-IT"/>
        </w:rPr>
        <w:t>. In the last decades, t</w:t>
      </w:r>
      <w:r w:rsidRPr="0066355E">
        <w:rPr>
          <w:rFonts w:ascii="Arial" w:eastAsia="Times New Roman" w:hAnsi="Arial" w:cs="Arial"/>
          <w:sz w:val="20"/>
          <w:szCs w:val="20"/>
          <w:lang w:val="en-US" w:eastAsia="it-IT"/>
        </w:rPr>
        <w:t>issue engineering has developed a variety of materials that can promote the regeneration of peripheral nerves</w:t>
      </w:r>
      <w:r>
        <w:rPr>
          <w:rFonts w:ascii="Arial" w:eastAsia="Times New Roman" w:hAnsi="Arial" w:cs="Arial"/>
          <w:sz w:val="20"/>
          <w:szCs w:val="20"/>
          <w:lang w:val="en-US" w:eastAsia="it-IT"/>
        </w:rPr>
        <w:t xml:space="preserve"> in case of severe nerve damage</w:t>
      </w:r>
      <w:r w:rsidRPr="0066355E">
        <w:rPr>
          <w:rFonts w:ascii="Arial" w:eastAsia="Times New Roman" w:hAnsi="Arial" w:cs="Arial"/>
          <w:sz w:val="20"/>
          <w:szCs w:val="20"/>
          <w:lang w:val="en-US" w:eastAsia="it-IT"/>
        </w:rPr>
        <w:t xml:space="preserve">. </w:t>
      </w:r>
      <w:r>
        <w:rPr>
          <w:rFonts w:ascii="Arial" w:eastAsia="Times New Roman" w:hAnsi="Arial" w:cs="Arial"/>
          <w:sz w:val="20"/>
          <w:szCs w:val="20"/>
          <w:lang w:val="en-US" w:eastAsia="it-IT"/>
        </w:rPr>
        <w:t xml:space="preserve">Among these, </w:t>
      </w:r>
      <w:r w:rsidRPr="0066355E">
        <w:rPr>
          <w:rFonts w:ascii="Arial" w:eastAsia="Times New Roman" w:hAnsi="Arial" w:cs="Arial"/>
          <w:sz w:val="20"/>
          <w:szCs w:val="20"/>
          <w:lang w:val="en-US" w:eastAsia="it-IT"/>
        </w:rPr>
        <w:t xml:space="preserve">due to their ability to </w:t>
      </w:r>
      <w:r>
        <w:rPr>
          <w:rFonts w:ascii="Arial" w:eastAsia="Times New Roman" w:hAnsi="Arial" w:cs="Arial"/>
          <w:sz w:val="20"/>
          <w:szCs w:val="20"/>
          <w:lang w:val="en-US" w:eastAsia="it-IT"/>
        </w:rPr>
        <w:t>preserve</w:t>
      </w:r>
      <w:r w:rsidRPr="0066355E">
        <w:rPr>
          <w:rFonts w:ascii="Arial" w:eastAsia="Times New Roman" w:hAnsi="Arial" w:cs="Arial"/>
          <w:sz w:val="20"/>
          <w:szCs w:val="20"/>
          <w:lang w:val="en-US" w:eastAsia="it-IT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val="en-US" w:eastAsia="it-IT"/>
        </w:rPr>
        <w:t>tissues</w:t>
      </w:r>
      <w:r w:rsidRPr="0066355E">
        <w:rPr>
          <w:rFonts w:ascii="Arial" w:eastAsia="Times New Roman" w:hAnsi="Arial" w:cs="Arial"/>
          <w:sz w:val="20"/>
          <w:szCs w:val="20"/>
          <w:lang w:val="en-US" w:eastAsia="it-IT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val="en-US" w:eastAsia="it-IT"/>
        </w:rPr>
        <w:t>native</w:t>
      </w:r>
      <w:r w:rsidRPr="0066355E">
        <w:rPr>
          <w:rFonts w:ascii="Arial" w:eastAsia="Times New Roman" w:hAnsi="Arial" w:cs="Arial"/>
          <w:sz w:val="20"/>
          <w:szCs w:val="20"/>
          <w:lang w:val="en-US" w:eastAsia="it-IT"/>
        </w:rPr>
        <w:t xml:space="preserve"> environment, stimulate the proliferation </w:t>
      </w:r>
      <w:r w:rsidR="008D35FF">
        <w:rPr>
          <w:rFonts w:ascii="Arial" w:eastAsia="Times New Roman" w:hAnsi="Arial" w:cs="Arial"/>
          <w:sz w:val="20"/>
          <w:szCs w:val="20"/>
          <w:lang w:val="en-US" w:eastAsia="it-IT"/>
        </w:rPr>
        <w:t xml:space="preserve">and migration </w:t>
      </w:r>
      <w:r w:rsidRPr="0066355E">
        <w:rPr>
          <w:rFonts w:ascii="Arial" w:eastAsia="Times New Roman" w:hAnsi="Arial" w:cs="Arial"/>
          <w:sz w:val="20"/>
          <w:szCs w:val="20"/>
          <w:lang w:val="en-US" w:eastAsia="it-IT"/>
        </w:rPr>
        <w:t>of Schwann cells</w:t>
      </w:r>
      <w:r>
        <w:rPr>
          <w:rFonts w:ascii="Arial" w:eastAsia="Times New Roman" w:hAnsi="Arial" w:cs="Arial"/>
          <w:sz w:val="20"/>
          <w:szCs w:val="20"/>
          <w:lang w:val="en-US" w:eastAsia="it-IT"/>
        </w:rPr>
        <w:t xml:space="preserve"> (SC)</w:t>
      </w:r>
      <w:r w:rsidRPr="0066355E">
        <w:rPr>
          <w:rFonts w:ascii="Arial" w:eastAsia="Times New Roman" w:hAnsi="Arial" w:cs="Arial"/>
          <w:sz w:val="20"/>
          <w:szCs w:val="20"/>
          <w:lang w:val="en-US" w:eastAsia="it-IT"/>
        </w:rPr>
        <w:t>, and provide cues for nerve regeneration, Extracellular matrix</w:t>
      </w:r>
      <w:r w:rsidR="006F4013">
        <w:rPr>
          <w:rFonts w:ascii="Arial" w:eastAsia="Times New Roman" w:hAnsi="Arial" w:cs="Arial"/>
          <w:sz w:val="20"/>
          <w:szCs w:val="20"/>
          <w:lang w:val="en-US" w:eastAsia="it-IT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val="en-US" w:eastAsia="it-IT"/>
        </w:rPr>
        <w:t>(ECM)</w:t>
      </w:r>
      <w:r w:rsidR="006F4013">
        <w:rPr>
          <w:rFonts w:ascii="Arial" w:eastAsia="Times New Roman" w:hAnsi="Arial" w:cs="Arial"/>
          <w:sz w:val="20"/>
          <w:szCs w:val="20"/>
          <w:lang w:val="en-US" w:eastAsia="it-IT"/>
        </w:rPr>
        <w:t xml:space="preserve"> </w:t>
      </w:r>
      <w:r w:rsidRPr="0066355E">
        <w:rPr>
          <w:rFonts w:ascii="Arial" w:eastAsia="Times New Roman" w:hAnsi="Arial" w:cs="Arial"/>
          <w:sz w:val="20"/>
          <w:szCs w:val="20"/>
          <w:lang w:val="en-US" w:eastAsia="it-IT"/>
        </w:rPr>
        <w:t xml:space="preserve">hydrogels </w:t>
      </w:r>
      <w:r>
        <w:rPr>
          <w:rFonts w:ascii="Arial" w:hAnsi="Arial" w:cs="Arial"/>
          <w:sz w:val="20"/>
          <w:szCs w:val="20"/>
          <w:lang w:val="en-US"/>
        </w:rPr>
        <w:t>could be</w:t>
      </w:r>
      <w:r w:rsidRPr="0066355E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</w:t>
      </w:r>
      <w:r w:rsidRPr="0066355E">
        <w:rPr>
          <w:rFonts w:ascii="Arial" w:hAnsi="Arial" w:cs="Arial"/>
          <w:sz w:val="20"/>
          <w:szCs w:val="20"/>
          <w:lang w:val="en-US"/>
        </w:rPr>
        <w:t xml:space="preserve">a significant advancement </w:t>
      </w:r>
      <w:r w:rsidRPr="0066355E">
        <w:rPr>
          <w:rFonts w:ascii="Arial" w:eastAsia="Times New Roman" w:hAnsi="Arial" w:cs="Arial"/>
          <w:sz w:val="20"/>
          <w:szCs w:val="20"/>
          <w:lang w:val="en-US" w:eastAsia="it-IT"/>
        </w:rPr>
        <w:t>in nerve regeneration support systems.</w:t>
      </w:r>
    </w:p>
    <w:p w14:paraId="3A106279" w14:textId="77777777" w:rsidR="00902E96" w:rsidRPr="0066355E" w:rsidRDefault="00902E96" w:rsidP="00902E9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en-US" w:eastAsia="it-IT"/>
        </w:rPr>
      </w:pPr>
      <w:r w:rsidRPr="0091023D">
        <w:rPr>
          <w:rFonts w:ascii="Arial" w:eastAsia="Times New Roman" w:hAnsi="Arial" w:cs="Arial"/>
          <w:sz w:val="20"/>
          <w:szCs w:val="20"/>
          <w:lang w:val="en-US" w:eastAsia="it-IT"/>
        </w:rPr>
        <w:t xml:space="preserve">The aim of the present study is to define the possible role of a human decellularized extracellular matrix (dECM) in sustaining peripheral nerve regeneration </w:t>
      </w:r>
      <w:r w:rsidRPr="00A15664">
        <w:rPr>
          <w:rFonts w:ascii="Arial" w:eastAsia="Times New Roman" w:hAnsi="Arial" w:cs="Arial"/>
          <w:i/>
          <w:iCs/>
          <w:sz w:val="20"/>
          <w:szCs w:val="20"/>
          <w:lang w:val="en-US" w:eastAsia="it-IT"/>
        </w:rPr>
        <w:t>in vitro</w:t>
      </w:r>
      <w:r>
        <w:rPr>
          <w:rFonts w:ascii="Arial" w:eastAsia="Times New Roman" w:hAnsi="Arial" w:cs="Arial"/>
          <w:sz w:val="20"/>
          <w:szCs w:val="20"/>
          <w:lang w:val="en-US" w:eastAsia="it-IT"/>
        </w:rPr>
        <w:t xml:space="preserve"> and then </w:t>
      </w:r>
      <w:r w:rsidRPr="00A15664">
        <w:rPr>
          <w:rFonts w:ascii="Arial" w:eastAsia="Times New Roman" w:hAnsi="Arial" w:cs="Arial"/>
          <w:i/>
          <w:iCs/>
          <w:sz w:val="20"/>
          <w:szCs w:val="20"/>
          <w:lang w:val="en-US" w:eastAsia="it-IT"/>
        </w:rPr>
        <w:t>ex vivo</w:t>
      </w:r>
      <w:r>
        <w:rPr>
          <w:rFonts w:ascii="Arial" w:eastAsia="Times New Roman" w:hAnsi="Arial" w:cs="Arial"/>
          <w:sz w:val="20"/>
          <w:szCs w:val="20"/>
          <w:lang w:val="en-US" w:eastAsia="it-IT"/>
        </w:rPr>
        <w:t>, in order to develop an innovative strategy in the field of nerve repair.</w:t>
      </w:r>
    </w:p>
    <w:p w14:paraId="219E9905" w14:textId="0089222E" w:rsidR="00902E96" w:rsidRPr="002F76AC" w:rsidRDefault="00902E96" w:rsidP="00902E96">
      <w:pPr>
        <w:spacing w:line="240" w:lineRule="auto"/>
        <w:jc w:val="both"/>
        <w:rPr>
          <w:rFonts w:ascii="Arial" w:eastAsia="Times New Roman" w:hAnsi="Arial" w:cs="Arial"/>
          <w:sz w:val="18"/>
          <w:szCs w:val="18"/>
          <w:lang w:val="en-US" w:eastAsia="it-IT"/>
        </w:rPr>
      </w:pPr>
      <w:r>
        <w:rPr>
          <w:rFonts w:ascii="Arial" w:eastAsia="Times New Roman" w:hAnsi="Arial" w:cs="Arial"/>
          <w:sz w:val="20"/>
          <w:szCs w:val="20"/>
          <w:lang w:val="en-US" w:eastAsia="it-IT"/>
        </w:rPr>
        <w:t xml:space="preserve">The dECM tested in this study is derived from cadaver human skin and underwent a decellularization protocol to obtain a </w:t>
      </w:r>
      <w:r w:rsidRPr="0091023D">
        <w:rPr>
          <w:rFonts w:ascii="Arial" w:eastAsia="Times New Roman" w:hAnsi="Arial" w:cs="Arial"/>
          <w:bCs/>
          <w:color w:val="000000"/>
          <w:sz w:val="20"/>
          <w:szCs w:val="20"/>
          <w:lang w:val="en-US"/>
        </w:rPr>
        <w:t>dECM hydrogel</w:t>
      </w:r>
      <w:r>
        <w:rPr>
          <w:rFonts w:ascii="Arial" w:eastAsia="Times New Roman" w:hAnsi="Arial" w:cs="Arial"/>
          <w:bCs/>
          <w:color w:val="000000"/>
          <w:sz w:val="20"/>
          <w:szCs w:val="20"/>
          <w:lang w:val="en-US"/>
        </w:rPr>
        <w:t xml:space="preserve">. It was tested </w:t>
      </w:r>
      <w:r w:rsidRPr="0091023D">
        <w:rPr>
          <w:rFonts w:ascii="Arial" w:eastAsia="Times New Roman" w:hAnsi="Arial" w:cs="Arial"/>
          <w:i/>
          <w:iCs/>
          <w:sz w:val="20"/>
          <w:szCs w:val="20"/>
          <w:lang w:val="en-US" w:eastAsia="it-IT"/>
        </w:rPr>
        <w:t>in vitro</w:t>
      </w:r>
      <w:r w:rsidRPr="0091023D">
        <w:rPr>
          <w:rFonts w:ascii="Arial" w:eastAsia="Times New Roman" w:hAnsi="Arial" w:cs="Arial"/>
          <w:sz w:val="20"/>
          <w:szCs w:val="20"/>
          <w:lang w:val="en-US" w:eastAsia="it-IT"/>
        </w:rPr>
        <w:t xml:space="preserve"> on </w:t>
      </w:r>
      <w:r>
        <w:rPr>
          <w:rFonts w:ascii="Arial" w:eastAsia="Times New Roman" w:hAnsi="Arial" w:cs="Arial"/>
          <w:sz w:val="20"/>
          <w:szCs w:val="20"/>
          <w:lang w:val="en-US" w:eastAsia="it-IT"/>
        </w:rPr>
        <w:t xml:space="preserve">neuronal </w:t>
      </w:r>
      <w:r w:rsidRPr="0091023D">
        <w:rPr>
          <w:rFonts w:ascii="Arial" w:eastAsia="Times New Roman" w:hAnsi="Arial" w:cs="Arial"/>
          <w:sz w:val="20"/>
          <w:szCs w:val="20"/>
          <w:lang w:val="en-US" w:eastAsia="it-IT"/>
        </w:rPr>
        <w:t>(NSC34</w:t>
      </w:r>
      <w:r>
        <w:rPr>
          <w:rFonts w:ascii="Arial" w:eastAsia="Times New Roman" w:hAnsi="Arial" w:cs="Arial"/>
          <w:sz w:val="20"/>
          <w:szCs w:val="20"/>
          <w:lang w:val="en-US" w:eastAsia="it-IT"/>
        </w:rPr>
        <w:t>)</w:t>
      </w:r>
      <w:r w:rsidRPr="0091023D">
        <w:rPr>
          <w:rFonts w:ascii="Arial" w:eastAsia="Times New Roman" w:hAnsi="Arial" w:cs="Arial"/>
          <w:sz w:val="20"/>
          <w:szCs w:val="20"/>
          <w:lang w:val="en-US" w:eastAsia="it-IT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val="en-US" w:eastAsia="it-IT"/>
        </w:rPr>
        <w:t>and glial (</w:t>
      </w:r>
      <w:r w:rsidRPr="0091023D">
        <w:rPr>
          <w:rFonts w:ascii="Arial" w:eastAsia="Times New Roman" w:hAnsi="Arial" w:cs="Arial"/>
          <w:sz w:val="20"/>
          <w:szCs w:val="20"/>
          <w:lang w:val="en-US" w:eastAsia="it-IT"/>
        </w:rPr>
        <w:t>RT4-D62PT</w:t>
      </w:r>
      <w:r>
        <w:rPr>
          <w:rFonts w:ascii="Arial" w:eastAsia="Times New Roman" w:hAnsi="Arial" w:cs="Arial"/>
          <w:sz w:val="20"/>
          <w:szCs w:val="20"/>
          <w:lang w:val="en-US" w:eastAsia="it-IT"/>
        </w:rPr>
        <w:t xml:space="preserve">) cell lines and on </w:t>
      </w:r>
      <w:r w:rsidRPr="0091023D">
        <w:rPr>
          <w:rFonts w:ascii="Arial" w:eastAsia="Times New Roman" w:hAnsi="Arial" w:cs="Arial"/>
          <w:sz w:val="20"/>
          <w:szCs w:val="20"/>
          <w:lang w:val="en-US" w:eastAsia="it-IT"/>
        </w:rPr>
        <w:t xml:space="preserve">primary </w:t>
      </w:r>
      <w:r>
        <w:rPr>
          <w:rFonts w:ascii="Arial" w:eastAsia="Times New Roman" w:hAnsi="Arial" w:cs="Arial"/>
          <w:sz w:val="20"/>
          <w:szCs w:val="20"/>
          <w:lang w:val="en-US" w:eastAsia="it-IT"/>
        </w:rPr>
        <w:t>Schwann cell culture.</w:t>
      </w:r>
      <w:r w:rsidRPr="0091023D">
        <w:rPr>
          <w:rFonts w:ascii="Arial" w:eastAsia="Times New Roman" w:hAnsi="Arial" w:cs="Arial"/>
          <w:sz w:val="20"/>
          <w:szCs w:val="20"/>
          <w:lang w:val="en-US" w:eastAsia="it-IT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val="en-US" w:eastAsia="it-IT"/>
        </w:rPr>
        <w:t xml:space="preserve">Proliferation assay was performed on </w:t>
      </w:r>
      <w:r w:rsidRPr="0091023D">
        <w:rPr>
          <w:rFonts w:ascii="Arial" w:eastAsia="Times New Roman" w:hAnsi="Arial" w:cs="Arial"/>
          <w:sz w:val="20"/>
          <w:szCs w:val="20"/>
          <w:lang w:val="en-US" w:eastAsia="it-IT"/>
        </w:rPr>
        <w:t xml:space="preserve">RT4-D62PT SC cell line, using dECM in solution, while primary SC have been cultured to analyze its role in promoting migration, with promising results. To study the interactions of </w:t>
      </w:r>
      <w:r>
        <w:rPr>
          <w:rFonts w:ascii="Arial" w:eastAsia="Times New Roman" w:hAnsi="Arial" w:cs="Arial"/>
          <w:sz w:val="20"/>
          <w:szCs w:val="20"/>
          <w:lang w:val="en-US" w:eastAsia="it-IT"/>
        </w:rPr>
        <w:t>neurons</w:t>
      </w:r>
      <w:r w:rsidRPr="0091023D">
        <w:rPr>
          <w:rFonts w:ascii="Arial" w:eastAsia="Times New Roman" w:hAnsi="Arial" w:cs="Arial"/>
          <w:sz w:val="20"/>
          <w:szCs w:val="20"/>
          <w:lang w:val="en-US" w:eastAsia="it-IT"/>
        </w:rPr>
        <w:t xml:space="preserve"> with the extracellular molecules and </w:t>
      </w:r>
      <w:r>
        <w:rPr>
          <w:rFonts w:ascii="Arial" w:eastAsia="Times New Roman" w:hAnsi="Arial" w:cs="Arial"/>
          <w:sz w:val="20"/>
          <w:szCs w:val="20"/>
          <w:lang w:val="en-US" w:eastAsia="it-IT"/>
        </w:rPr>
        <w:t xml:space="preserve">to </w:t>
      </w:r>
      <w:r w:rsidRPr="0091023D">
        <w:rPr>
          <w:rFonts w:ascii="Arial" w:eastAsia="Times New Roman" w:hAnsi="Arial" w:cs="Arial"/>
          <w:sz w:val="20"/>
          <w:szCs w:val="20"/>
          <w:lang w:val="en-US" w:eastAsia="it-IT"/>
        </w:rPr>
        <w:t>evaluate neurite orientation and outgrowth, NSC34 cells were seeded on coverslips coated with dECM</w:t>
      </w:r>
      <w:r>
        <w:rPr>
          <w:rFonts w:ascii="Arial" w:eastAsia="Times New Roman" w:hAnsi="Arial" w:cs="Arial"/>
          <w:sz w:val="20"/>
          <w:szCs w:val="20"/>
          <w:lang w:val="en-US" w:eastAsia="it-IT"/>
        </w:rPr>
        <w:t xml:space="preserve">, </w:t>
      </w:r>
      <w:r w:rsidRPr="0091023D">
        <w:rPr>
          <w:rFonts w:ascii="Arial" w:eastAsia="Times New Roman" w:hAnsi="Arial" w:cs="Arial"/>
          <w:sz w:val="20"/>
          <w:szCs w:val="20"/>
          <w:lang w:val="en-US" w:eastAsia="it-IT"/>
        </w:rPr>
        <w:t>differentiated after 3 days of culture</w:t>
      </w:r>
      <w:r>
        <w:rPr>
          <w:rFonts w:ascii="Arial" w:eastAsia="Times New Roman" w:hAnsi="Arial" w:cs="Arial"/>
          <w:sz w:val="20"/>
          <w:szCs w:val="20"/>
          <w:lang w:val="en-US" w:eastAsia="it-IT"/>
        </w:rPr>
        <w:t xml:space="preserve"> in order to quantify the neurites number and length</w:t>
      </w:r>
      <w:r w:rsidRPr="0091023D">
        <w:rPr>
          <w:rFonts w:ascii="Arial" w:eastAsia="Times New Roman" w:hAnsi="Arial" w:cs="Arial"/>
          <w:sz w:val="20"/>
          <w:szCs w:val="20"/>
          <w:lang w:val="en-US" w:eastAsia="it-IT"/>
        </w:rPr>
        <w:t xml:space="preserve">. </w:t>
      </w:r>
      <w:r>
        <w:rPr>
          <w:rFonts w:ascii="Arial" w:eastAsia="Times New Roman" w:hAnsi="Arial" w:cs="Arial"/>
          <w:sz w:val="20"/>
          <w:szCs w:val="20"/>
          <w:lang w:val="en-US" w:eastAsia="it-IT"/>
        </w:rPr>
        <w:t xml:space="preserve">The </w:t>
      </w:r>
      <w:r w:rsidR="00BF43CE">
        <w:rPr>
          <w:rFonts w:ascii="Arial" w:eastAsia="Times New Roman" w:hAnsi="Arial" w:cs="Arial"/>
          <w:sz w:val="20"/>
          <w:szCs w:val="20"/>
          <w:lang w:val="en-US" w:eastAsia="it-IT"/>
        </w:rPr>
        <w:t>preliminary</w:t>
      </w:r>
      <w:r>
        <w:rPr>
          <w:rFonts w:ascii="Arial" w:eastAsia="Times New Roman" w:hAnsi="Arial" w:cs="Arial"/>
          <w:sz w:val="20"/>
          <w:szCs w:val="20"/>
          <w:lang w:val="en-US" w:eastAsia="it-IT"/>
        </w:rPr>
        <w:t xml:space="preserve"> results showed that this matrix</w:t>
      </w:r>
      <w:r w:rsidR="002E25FB">
        <w:rPr>
          <w:rFonts w:ascii="Arial" w:eastAsia="Times New Roman" w:hAnsi="Arial" w:cs="Arial"/>
          <w:sz w:val="20"/>
          <w:szCs w:val="20"/>
          <w:lang w:val="en-US" w:eastAsia="it-IT"/>
        </w:rPr>
        <w:t xml:space="preserve"> </w:t>
      </w:r>
      <w:r>
        <w:rPr>
          <w:rFonts w:ascii="Arial" w:hAnsi="Arial" w:cs="Arial"/>
          <w:sz w:val="20"/>
          <w:szCs w:val="20"/>
          <w:lang w:val="en-US"/>
        </w:rPr>
        <w:t xml:space="preserve">has a significant impact on </w:t>
      </w:r>
      <w:r w:rsidR="00BF43CE">
        <w:rPr>
          <w:rFonts w:ascii="Arial" w:hAnsi="Arial" w:cs="Arial"/>
          <w:sz w:val="20"/>
          <w:szCs w:val="20"/>
          <w:lang w:val="en-US"/>
        </w:rPr>
        <w:t xml:space="preserve">the </w:t>
      </w:r>
      <w:r>
        <w:rPr>
          <w:rFonts w:ascii="Arial" w:hAnsi="Arial" w:cs="Arial"/>
          <w:sz w:val="20"/>
          <w:szCs w:val="20"/>
          <w:lang w:val="en-US"/>
        </w:rPr>
        <w:t>proliferation and migration</w:t>
      </w:r>
      <w:r w:rsidR="00BF43CE">
        <w:rPr>
          <w:rFonts w:ascii="Arial" w:hAnsi="Arial" w:cs="Arial"/>
          <w:sz w:val="20"/>
          <w:szCs w:val="20"/>
          <w:lang w:val="en-US"/>
        </w:rPr>
        <w:t xml:space="preserve"> of glial cells, and on </w:t>
      </w:r>
      <w:r w:rsidR="002E25FB">
        <w:rPr>
          <w:rFonts w:ascii="Arial" w:hAnsi="Arial" w:cs="Arial"/>
          <w:sz w:val="20"/>
          <w:szCs w:val="20"/>
          <w:lang w:val="en-US"/>
        </w:rPr>
        <w:t>axonal sprouting</w:t>
      </w:r>
      <w:r w:rsidR="00BC06B2">
        <w:rPr>
          <w:rFonts w:ascii="Arial" w:hAnsi="Arial" w:cs="Arial"/>
          <w:sz w:val="20"/>
          <w:szCs w:val="20"/>
          <w:lang w:val="en-US"/>
        </w:rPr>
        <w:t xml:space="preserve"> and elongation</w:t>
      </w:r>
      <w:r w:rsidR="00EE0AF4">
        <w:rPr>
          <w:rFonts w:ascii="Arial" w:hAnsi="Arial" w:cs="Arial"/>
          <w:sz w:val="20"/>
          <w:szCs w:val="20"/>
          <w:lang w:val="en-US"/>
        </w:rPr>
        <w:t xml:space="preserve"> of motor neurons</w:t>
      </w:r>
      <w:r>
        <w:rPr>
          <w:rFonts w:ascii="Arial" w:hAnsi="Arial" w:cs="Arial"/>
          <w:sz w:val="20"/>
          <w:szCs w:val="20"/>
          <w:lang w:val="en-US"/>
        </w:rPr>
        <w:t xml:space="preserve">. </w:t>
      </w:r>
      <w:r w:rsidRPr="0091023D">
        <w:rPr>
          <w:rFonts w:ascii="Arial" w:eastAsia="Times New Roman" w:hAnsi="Arial" w:cs="Arial"/>
          <w:sz w:val="20"/>
          <w:szCs w:val="20"/>
          <w:lang w:val="en-US" w:eastAsia="it-IT"/>
        </w:rPr>
        <w:t xml:space="preserve">The dECM hydrogel will be tested also </w:t>
      </w:r>
      <w:r w:rsidRPr="0091023D">
        <w:rPr>
          <w:rFonts w:ascii="Arial" w:eastAsia="Times New Roman" w:hAnsi="Arial" w:cs="Arial"/>
          <w:i/>
          <w:iCs/>
          <w:sz w:val="20"/>
          <w:szCs w:val="20"/>
          <w:lang w:val="en-US" w:eastAsia="it-IT"/>
        </w:rPr>
        <w:t>ex vivo</w:t>
      </w:r>
      <w:r w:rsidRPr="0091023D">
        <w:rPr>
          <w:rFonts w:ascii="Arial" w:eastAsia="Times New Roman" w:hAnsi="Arial" w:cs="Arial"/>
          <w:sz w:val="20"/>
          <w:szCs w:val="20"/>
          <w:lang w:val="en-US" w:eastAsia="it-IT"/>
        </w:rPr>
        <w:t xml:space="preserve"> on dorsal root ganglia (DRG) and autonomic explants to obtain a multicellular structure that provides a closer approximation to </w:t>
      </w:r>
      <w:r w:rsidRPr="0091023D">
        <w:rPr>
          <w:rFonts w:ascii="Arial" w:eastAsia="Times New Roman" w:hAnsi="Arial" w:cs="Arial"/>
          <w:i/>
          <w:iCs/>
          <w:sz w:val="20"/>
          <w:szCs w:val="20"/>
          <w:lang w:val="en-US" w:eastAsia="it-IT"/>
        </w:rPr>
        <w:t>in vivo</w:t>
      </w:r>
      <w:r w:rsidRPr="0091023D">
        <w:rPr>
          <w:rFonts w:ascii="Arial" w:eastAsia="Times New Roman" w:hAnsi="Arial" w:cs="Arial"/>
          <w:sz w:val="20"/>
          <w:szCs w:val="20"/>
          <w:lang w:val="en-US" w:eastAsia="it-IT"/>
        </w:rPr>
        <w:t xml:space="preserve"> conditions. Further investigations are underway to deepen the effect of the dECM in the activation of molecular pathways related </w:t>
      </w:r>
      <w:r w:rsidR="00EE0AF4">
        <w:rPr>
          <w:rFonts w:ascii="Arial" w:eastAsia="Times New Roman" w:hAnsi="Arial" w:cs="Arial"/>
          <w:sz w:val="20"/>
          <w:szCs w:val="20"/>
          <w:lang w:val="en-US" w:eastAsia="it-IT"/>
        </w:rPr>
        <w:t>to</w:t>
      </w:r>
      <w:r w:rsidRPr="0091023D">
        <w:rPr>
          <w:rFonts w:ascii="Arial" w:eastAsia="Times New Roman" w:hAnsi="Arial" w:cs="Arial"/>
          <w:sz w:val="20"/>
          <w:szCs w:val="20"/>
          <w:lang w:val="en-US" w:eastAsia="it-IT"/>
        </w:rPr>
        <w:t xml:space="preserve"> peripheral nerve regeneration.</w:t>
      </w:r>
    </w:p>
    <w:p w14:paraId="076F5760" w14:textId="77777777" w:rsidR="002C6617" w:rsidRPr="00902E96" w:rsidRDefault="002C6617">
      <w:pPr>
        <w:rPr>
          <w:lang w:val="en-US"/>
        </w:rPr>
      </w:pPr>
    </w:p>
    <w:sectPr w:rsidR="002C6617" w:rsidRPr="00902E9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2E96"/>
    <w:rsid w:val="00010A76"/>
    <w:rsid w:val="00065719"/>
    <w:rsid w:val="002526D6"/>
    <w:rsid w:val="002C6617"/>
    <w:rsid w:val="002E25FB"/>
    <w:rsid w:val="00466743"/>
    <w:rsid w:val="00557912"/>
    <w:rsid w:val="006F4013"/>
    <w:rsid w:val="008D35FF"/>
    <w:rsid w:val="00902E96"/>
    <w:rsid w:val="00962319"/>
    <w:rsid w:val="009C7890"/>
    <w:rsid w:val="009F3747"/>
    <w:rsid w:val="00AE272D"/>
    <w:rsid w:val="00BC06B2"/>
    <w:rsid w:val="00BF43CE"/>
    <w:rsid w:val="00CE5DD2"/>
    <w:rsid w:val="00EE0AF4"/>
    <w:rsid w:val="00F57636"/>
    <w:rsid w:val="00FB1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7CBFA2"/>
  <w15:chartTrackingRefBased/>
  <w15:docId w15:val="{3117DD27-4C41-4646-842F-309108225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02E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unhideWhenUsed/>
    <w:rsid w:val="00902E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366</Words>
  <Characters>2089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Universita Degli Studi Di Torino</Company>
  <LinksUpToDate>false</LinksUpToDate>
  <CharactersWithSpaces>2451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Miriam Metafune</dc:creator>
  <cp:keywords/>
  <dc:description/>
  <cp:lastModifiedBy>Miriam Metafune</cp:lastModifiedBy>
  <cp:revision>2</cp:revision>
  <dcterms:created xsi:type="dcterms:W3CDTF">2024-11-05T09:20:00Z</dcterms:created>
  <dcterms:modified xsi:type="dcterms:W3CDTF">2024-11-05T09:20:00Z</dcterms:modified>
</cp:coreProperties>
</file>