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184D1E" w14:textId="77777777" w:rsidR="00BB1089" w:rsidRDefault="00BB1089" w:rsidP="00BB1089">
      <w:pPr>
        <w:rPr>
          <w:b/>
          <w:bCs/>
          <w:lang w:val="en-US"/>
        </w:rPr>
      </w:pPr>
      <w:r>
        <w:rPr>
          <w:b/>
          <w:bCs/>
          <w:lang w:val="en-US"/>
        </w:rPr>
        <w:t>Supplementary material</w:t>
      </w:r>
    </w:p>
    <w:p w14:paraId="365369A4" w14:textId="77777777" w:rsidR="00BB1089" w:rsidRDefault="00BB1089" w:rsidP="00BB1089">
      <w:pPr>
        <w:rPr>
          <w:lang w:val="en-US"/>
        </w:rPr>
      </w:pPr>
    </w:p>
    <w:p w14:paraId="39088814" w14:textId="3653ED8E" w:rsidR="00BB1089" w:rsidRDefault="00BB1089" w:rsidP="00BB1089">
      <w:pPr>
        <w:rPr>
          <w:lang w:val="en-US"/>
        </w:rPr>
      </w:pPr>
      <w:r>
        <w:rPr>
          <w:lang w:val="en-US"/>
        </w:rPr>
        <w:t xml:space="preserve">Clinical </w:t>
      </w:r>
      <w:r w:rsidR="00E7732F">
        <w:rPr>
          <w:lang w:val="en-US"/>
        </w:rPr>
        <w:t xml:space="preserve">report </w:t>
      </w:r>
      <w:r>
        <w:rPr>
          <w:lang w:val="en-US"/>
        </w:rPr>
        <w:t>and neuroimaging of ADLD patients not included in the Italian cohort.</w:t>
      </w:r>
    </w:p>
    <w:p w14:paraId="17593665" w14:textId="77777777" w:rsidR="00BB1089" w:rsidRDefault="00BB1089" w:rsidP="00BB1089">
      <w:pPr>
        <w:rPr>
          <w:lang w:val="en-US"/>
        </w:rPr>
      </w:pPr>
    </w:p>
    <w:p w14:paraId="54886CF9" w14:textId="77777777" w:rsidR="00BB1089" w:rsidRDefault="00BB1089" w:rsidP="00BB1089">
      <w:pPr>
        <w:rPr>
          <w:lang w:val="en-US"/>
        </w:rPr>
      </w:pPr>
      <w:r>
        <w:rPr>
          <w:lang w:val="en-US"/>
        </w:rPr>
        <w:t>ASYM</w:t>
      </w:r>
    </w:p>
    <w:p w14:paraId="5AFB2C07" w14:textId="18E22F13" w:rsidR="00DB5CA0" w:rsidRDefault="00406904" w:rsidP="00BB1089">
      <w:pPr>
        <w:jc w:val="both"/>
        <w:rPr>
          <w:lang w:val="en-US"/>
        </w:rPr>
      </w:pPr>
      <w:r>
        <w:rPr>
          <w:lang w:val="en-US"/>
        </w:rPr>
        <w:t xml:space="preserve">A duplication of chromosome 5 was </w:t>
      </w:r>
      <w:r w:rsidR="00BB1089">
        <w:rPr>
          <w:lang w:val="en-US"/>
        </w:rPr>
        <w:t xml:space="preserve">identified as incidental finding in a 40-year-old woman who had a chromosome microarray to segregate a different copy number variant identified in her affected child. </w:t>
      </w:r>
      <w:r>
        <w:rPr>
          <w:lang w:val="en-US"/>
        </w:rPr>
        <w:t>T</w:t>
      </w:r>
      <w:r w:rsidRPr="00406904">
        <w:rPr>
          <w:lang w:val="en-US"/>
        </w:rPr>
        <w:t xml:space="preserve">he microarray </w:t>
      </w:r>
      <w:r>
        <w:rPr>
          <w:lang w:val="en-US"/>
        </w:rPr>
        <w:t>(</w:t>
      </w:r>
      <w:r w:rsidRPr="00406904">
        <w:rPr>
          <w:lang w:val="en-US"/>
        </w:rPr>
        <w:t xml:space="preserve">Illumina </w:t>
      </w:r>
      <w:proofErr w:type="spellStart"/>
      <w:r w:rsidRPr="00406904">
        <w:rPr>
          <w:lang w:val="en-US"/>
        </w:rPr>
        <w:t>Infinium</w:t>
      </w:r>
      <w:proofErr w:type="spellEnd"/>
      <w:r w:rsidRPr="00406904">
        <w:rPr>
          <w:lang w:val="en-US"/>
        </w:rPr>
        <w:t xml:space="preserve"> Global Screening Array-24 v1.0</w:t>
      </w:r>
      <w:r>
        <w:rPr>
          <w:lang w:val="en-US"/>
        </w:rPr>
        <w:t xml:space="preserve">) identified an 4,35Mb </w:t>
      </w:r>
      <w:r w:rsidR="00784229">
        <w:rPr>
          <w:lang w:val="en-US"/>
        </w:rPr>
        <w:t>d</w:t>
      </w:r>
      <w:r>
        <w:rPr>
          <w:lang w:val="en-US"/>
        </w:rPr>
        <w:t xml:space="preserve">uplication encompassing the </w:t>
      </w:r>
      <w:r w:rsidRPr="00784229">
        <w:rPr>
          <w:i/>
          <w:iCs/>
          <w:lang w:val="en-US"/>
        </w:rPr>
        <w:t>LMNB1</w:t>
      </w:r>
      <w:r>
        <w:rPr>
          <w:lang w:val="en-US"/>
        </w:rPr>
        <w:t xml:space="preserve"> gene </w:t>
      </w:r>
      <w:proofErr w:type="gramStart"/>
      <w:r>
        <w:rPr>
          <w:lang w:val="en-US"/>
        </w:rPr>
        <w:t>[ chr5</w:t>
      </w:r>
      <w:proofErr w:type="gramEnd"/>
      <w:r>
        <w:rPr>
          <w:lang w:val="en-US"/>
        </w:rPr>
        <w:t>:(</w:t>
      </w:r>
      <w:r w:rsidRPr="00406904">
        <w:rPr>
          <w:lang w:val="en-US"/>
        </w:rPr>
        <w:t>121,833,008-126,180,013</w:t>
      </w:r>
      <w:r>
        <w:rPr>
          <w:lang w:val="en-US"/>
        </w:rPr>
        <w:t>)x3; GRCh37/hg19]</w:t>
      </w:r>
      <w:r w:rsidRPr="00406904">
        <w:rPr>
          <w:lang w:val="en-US"/>
        </w:rPr>
        <w:t>.</w:t>
      </w:r>
      <w:r w:rsidR="00784229">
        <w:rPr>
          <w:lang w:val="en-US"/>
        </w:rPr>
        <w:t xml:space="preserve"> </w:t>
      </w:r>
      <w:r w:rsidR="008E36D0" w:rsidRPr="007F2A9F">
        <w:rPr>
          <w:lang w:val="en-US"/>
        </w:rPr>
        <w:t xml:space="preserve">Whole genome sequencing </w:t>
      </w:r>
      <w:r w:rsidR="00A76BD3" w:rsidRPr="007F2A9F">
        <w:rPr>
          <w:lang w:val="en-US"/>
        </w:rPr>
        <w:t>(</w:t>
      </w:r>
      <w:proofErr w:type="spellStart"/>
      <w:r w:rsidR="00A76BD3" w:rsidRPr="007F2A9F">
        <w:rPr>
          <w:lang w:val="en-US"/>
        </w:rPr>
        <w:t>NEBNext</w:t>
      </w:r>
      <w:proofErr w:type="spellEnd"/>
      <w:r w:rsidR="00A76BD3" w:rsidRPr="007F2A9F">
        <w:rPr>
          <w:lang w:val="en-US"/>
        </w:rPr>
        <w:t xml:space="preserve">® Ultra™ II DNA Library Prep Kit, NEB) </w:t>
      </w:r>
      <w:r w:rsidR="008E36D0" w:rsidRPr="007F2A9F">
        <w:rPr>
          <w:lang w:val="en-US"/>
        </w:rPr>
        <w:t>was performed to further characterize the CNV</w:t>
      </w:r>
      <w:r w:rsidR="0003296F" w:rsidRPr="007F2A9F">
        <w:rPr>
          <w:lang w:val="en-US"/>
        </w:rPr>
        <w:t xml:space="preserve"> (sequencing outsourced to Personal Genomics</w:t>
      </w:r>
      <w:r w:rsidR="009338AF" w:rsidRPr="007F2A9F">
        <w:rPr>
          <w:lang w:val="en-US"/>
        </w:rPr>
        <w:t xml:space="preserve"> </w:t>
      </w:r>
      <w:proofErr w:type="spellStart"/>
      <w:r w:rsidR="009338AF" w:rsidRPr="007F2A9F">
        <w:rPr>
          <w:lang w:val="en-US"/>
        </w:rPr>
        <w:t>srl</w:t>
      </w:r>
      <w:proofErr w:type="spellEnd"/>
      <w:r w:rsidR="0003296F" w:rsidRPr="007F2A9F">
        <w:rPr>
          <w:lang w:val="en-US"/>
        </w:rPr>
        <w:t>, Italy)</w:t>
      </w:r>
      <w:r w:rsidR="008E36D0">
        <w:rPr>
          <w:lang w:val="en-US"/>
        </w:rPr>
        <w:t xml:space="preserve">. </w:t>
      </w:r>
      <w:r w:rsidR="00A76BD3">
        <w:rPr>
          <w:lang w:val="en-US"/>
        </w:rPr>
        <w:t xml:space="preserve">The library was </w:t>
      </w:r>
      <w:r w:rsidR="00A76BD3" w:rsidRPr="00A76BD3">
        <w:rPr>
          <w:lang w:val="en-US"/>
        </w:rPr>
        <w:t xml:space="preserve">sequenced on a </w:t>
      </w:r>
      <w:proofErr w:type="spellStart"/>
      <w:r w:rsidR="00A76BD3" w:rsidRPr="00A76BD3">
        <w:rPr>
          <w:lang w:val="en-US"/>
        </w:rPr>
        <w:t>Novaseq</w:t>
      </w:r>
      <w:proofErr w:type="spellEnd"/>
      <w:r w:rsidR="00A76BD3" w:rsidRPr="00A76BD3">
        <w:rPr>
          <w:lang w:val="en-US"/>
        </w:rPr>
        <w:t xml:space="preserve"> X Plus </w:t>
      </w:r>
      <w:r w:rsidR="00A76BD3" w:rsidRPr="007F2A9F">
        <w:rPr>
          <w:lang w:val="en-US"/>
        </w:rPr>
        <w:t xml:space="preserve">(Illumina; PE-150 </w:t>
      </w:r>
      <w:proofErr w:type="spellStart"/>
      <w:r w:rsidR="00A76BD3" w:rsidRPr="007F2A9F">
        <w:rPr>
          <w:lang w:val="en-US"/>
        </w:rPr>
        <w:t>bp</w:t>
      </w:r>
      <w:proofErr w:type="spellEnd"/>
      <w:r w:rsidR="00A76BD3" w:rsidRPr="007F2A9F">
        <w:rPr>
          <w:lang w:val="en-US"/>
        </w:rPr>
        <w:t xml:space="preserve">). </w:t>
      </w:r>
      <w:r w:rsidR="00000E21" w:rsidRPr="007F2A9F">
        <w:rPr>
          <w:lang w:val="en-US"/>
        </w:rPr>
        <w:t xml:space="preserve">Illumina sequencing reads were mapped to the GRCh37/hg19 genome of reference with Isaac-align (ver. 04.18.11.09). For CNVs calling we exploited Manta (ver. 1.6.0) and </w:t>
      </w:r>
      <w:proofErr w:type="spellStart"/>
      <w:r w:rsidR="00000E21" w:rsidRPr="007F2A9F">
        <w:rPr>
          <w:lang w:val="en-US"/>
        </w:rPr>
        <w:t>CNVnator</w:t>
      </w:r>
      <w:proofErr w:type="spellEnd"/>
      <w:r w:rsidR="00000E21" w:rsidRPr="007F2A9F">
        <w:rPr>
          <w:lang w:val="en-US"/>
        </w:rPr>
        <w:t xml:space="preserve"> (ver. 0.4)</w:t>
      </w:r>
      <w:r w:rsidR="00DB5CA0" w:rsidRPr="007F2A9F">
        <w:rPr>
          <w:lang w:val="en-US"/>
        </w:rPr>
        <w:t>, improving the resolution of the CNV to &lt;1Kb</w:t>
      </w:r>
      <w:r w:rsidR="00DB5CA0">
        <w:rPr>
          <w:color w:val="FF0000"/>
          <w:lang w:val="en-US"/>
        </w:rPr>
        <w:t xml:space="preserve"> </w:t>
      </w:r>
      <w:r w:rsidR="00A76BD3">
        <w:rPr>
          <w:lang w:val="en-US"/>
        </w:rPr>
        <w:t>[</w:t>
      </w:r>
      <w:proofErr w:type="gramStart"/>
      <w:r w:rsidR="00A76BD3">
        <w:rPr>
          <w:lang w:val="en-US"/>
        </w:rPr>
        <w:t>chr5:</w:t>
      </w:r>
      <w:proofErr w:type="gramEnd"/>
      <w:r w:rsidR="00A76BD3">
        <w:rPr>
          <w:lang w:val="en-US"/>
        </w:rPr>
        <w:t>(</w:t>
      </w:r>
      <w:r w:rsidR="00A76BD3" w:rsidRPr="00406904">
        <w:rPr>
          <w:lang w:val="en-US"/>
        </w:rPr>
        <w:t>121,8</w:t>
      </w:r>
      <w:r w:rsidR="00A76BD3">
        <w:rPr>
          <w:lang w:val="en-US"/>
        </w:rPr>
        <w:t>1</w:t>
      </w:r>
      <w:r w:rsidR="00A76BD3" w:rsidRPr="00406904">
        <w:rPr>
          <w:lang w:val="en-US"/>
        </w:rPr>
        <w:t>3,00</w:t>
      </w:r>
      <w:r w:rsidR="00A76BD3">
        <w:rPr>
          <w:lang w:val="en-US"/>
        </w:rPr>
        <w:t>1</w:t>
      </w:r>
      <w:r w:rsidR="00A76BD3" w:rsidRPr="00406904">
        <w:rPr>
          <w:lang w:val="en-US"/>
        </w:rPr>
        <w:t>-126,1</w:t>
      </w:r>
      <w:r w:rsidR="00A76BD3">
        <w:rPr>
          <w:lang w:val="en-US"/>
        </w:rPr>
        <w:t>77</w:t>
      </w:r>
      <w:r w:rsidR="00A76BD3" w:rsidRPr="00406904">
        <w:rPr>
          <w:lang w:val="en-US"/>
        </w:rPr>
        <w:t>,0</w:t>
      </w:r>
      <w:r w:rsidR="00A76BD3">
        <w:rPr>
          <w:lang w:val="en-US"/>
        </w:rPr>
        <w:t>00)x3; GRCh37/hg19].</w:t>
      </w:r>
      <w:r w:rsidR="00A76BD3">
        <w:rPr>
          <w:color w:val="FF0000"/>
          <w:lang w:val="en-US"/>
        </w:rPr>
        <w:t xml:space="preserve"> </w:t>
      </w:r>
      <w:r w:rsidR="00BB1089">
        <w:rPr>
          <w:lang w:val="en-US"/>
        </w:rPr>
        <w:t xml:space="preserve">Further segregation analysis of the duplication in the family (parents of the 40-year-old carrier) showed the same CNV in the 68-year-old mother. </w:t>
      </w:r>
    </w:p>
    <w:p w14:paraId="3148836C" w14:textId="77777777" w:rsidR="00DB5CA0" w:rsidRDefault="00DB5CA0" w:rsidP="00BB1089">
      <w:pPr>
        <w:jc w:val="both"/>
        <w:rPr>
          <w:lang w:val="en-US"/>
        </w:rPr>
      </w:pPr>
    </w:p>
    <w:p w14:paraId="3A335A9C" w14:textId="3B624706" w:rsidR="00DB5CA0" w:rsidRDefault="00B534D1" w:rsidP="00BB1089">
      <w:pPr>
        <w:jc w:val="both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483485EA" wp14:editId="6445F298">
            <wp:extent cx="6120130" cy="2181860"/>
            <wp:effectExtent l="0" t="0" r="0" b="8890"/>
            <wp:docPr id="1463266994" name="Immagine 1" descr="Immagine che contiene testo, diagramma, line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3266994" name="Immagine 1" descr="Immagine che contiene testo, diagramma, linea, Diagramm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81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6F5AD5" w14:textId="22BA8F93" w:rsidR="00DB5CA0" w:rsidRPr="007F2A9F" w:rsidRDefault="00B534D1" w:rsidP="00BB1089">
      <w:pPr>
        <w:jc w:val="both"/>
        <w:rPr>
          <w:lang w:val="en-US"/>
        </w:rPr>
      </w:pPr>
      <w:bookmarkStart w:id="0" w:name="_GoBack"/>
      <w:r w:rsidRPr="007F2A9F">
        <w:rPr>
          <w:lang w:val="en-US"/>
        </w:rPr>
        <w:t>Overview o</w:t>
      </w:r>
      <w:r w:rsidR="004E2ACC" w:rsidRPr="007F2A9F">
        <w:rPr>
          <w:lang w:val="en-US"/>
        </w:rPr>
        <w:t>f</w:t>
      </w:r>
      <w:r w:rsidRPr="007F2A9F">
        <w:rPr>
          <w:lang w:val="en-US"/>
        </w:rPr>
        <w:t xml:space="preserve"> the duplication characterized by WGS analysis. A zoom of the two breakpoints (BPs) called by </w:t>
      </w:r>
      <w:proofErr w:type="spellStart"/>
      <w:r w:rsidRPr="007F2A9F">
        <w:rPr>
          <w:lang w:val="en-US"/>
        </w:rPr>
        <w:t>CNVnator</w:t>
      </w:r>
      <w:proofErr w:type="spellEnd"/>
      <w:r w:rsidRPr="007F2A9F">
        <w:rPr>
          <w:lang w:val="en-US"/>
        </w:rPr>
        <w:t xml:space="preserve"> (ver. 0.4) is shown (Resolution &lt;1Kb). The LMNB1 gene (chr5:126,112,315-126,172,712) is fully duplicated even if located </w:t>
      </w:r>
      <w:r w:rsidR="00BD1E8B" w:rsidRPr="007F2A9F">
        <w:rPr>
          <w:lang w:val="en-US"/>
        </w:rPr>
        <w:t>in close proximity to</w:t>
      </w:r>
      <w:r w:rsidRPr="007F2A9F">
        <w:rPr>
          <w:lang w:val="en-US"/>
        </w:rPr>
        <w:t xml:space="preserve"> the </w:t>
      </w:r>
      <w:proofErr w:type="spellStart"/>
      <w:r w:rsidRPr="007F2A9F">
        <w:rPr>
          <w:lang w:val="en-US"/>
        </w:rPr>
        <w:t>telomeric</w:t>
      </w:r>
      <w:proofErr w:type="spellEnd"/>
      <w:r w:rsidRPr="007F2A9F">
        <w:rPr>
          <w:lang w:val="en-US"/>
        </w:rPr>
        <w:t xml:space="preserve"> BP.</w:t>
      </w:r>
      <w:r w:rsidR="00E7732F" w:rsidRPr="007F2A9F">
        <w:rPr>
          <w:lang w:val="en-US"/>
        </w:rPr>
        <w:t xml:space="preserve"> Interestingly, whole-blood RNA-</w:t>
      </w:r>
      <w:proofErr w:type="spellStart"/>
      <w:r w:rsidR="00E7732F" w:rsidRPr="007F2A9F">
        <w:rPr>
          <w:lang w:val="en-US"/>
        </w:rPr>
        <w:t>seq</w:t>
      </w:r>
      <w:proofErr w:type="spellEnd"/>
      <w:r w:rsidR="00E7732F" w:rsidRPr="007F2A9F">
        <w:rPr>
          <w:lang w:val="en-US"/>
        </w:rPr>
        <w:t xml:space="preserve"> data showed that none of the genes encompassed by the duplication </w:t>
      </w:r>
      <w:r w:rsidR="00497B4A" w:rsidRPr="007F2A9F">
        <w:rPr>
          <w:lang w:val="en-US"/>
        </w:rPr>
        <w:t>is</w:t>
      </w:r>
      <w:r w:rsidR="00E7732F" w:rsidRPr="007F2A9F">
        <w:rPr>
          <w:lang w:val="en-US"/>
        </w:rPr>
        <w:t xml:space="preserve"> overexpressed, including LMNB1 which seems to be downregulated compared to the control (Supplementary Fig.6). </w:t>
      </w:r>
    </w:p>
    <w:bookmarkEnd w:id="0"/>
    <w:p w14:paraId="7032B490" w14:textId="77777777" w:rsidR="00B534D1" w:rsidRDefault="00B534D1" w:rsidP="00BB1089">
      <w:pPr>
        <w:jc w:val="both"/>
        <w:rPr>
          <w:lang w:val="en-US"/>
        </w:rPr>
      </w:pPr>
    </w:p>
    <w:p w14:paraId="10C973B6" w14:textId="57DAD626" w:rsidR="00BB1089" w:rsidRPr="00A76BD3" w:rsidRDefault="00BB1089" w:rsidP="00BB1089">
      <w:pPr>
        <w:jc w:val="both"/>
        <w:rPr>
          <w:color w:val="FF0000"/>
          <w:lang w:val="en-US"/>
        </w:rPr>
      </w:pPr>
      <w:r>
        <w:rPr>
          <w:lang w:val="en-US"/>
        </w:rPr>
        <w:t xml:space="preserve">Neither of the people with the </w:t>
      </w:r>
      <w:r w:rsidRPr="00DB6DC5">
        <w:rPr>
          <w:i/>
          <w:iCs/>
          <w:lang w:val="en-US"/>
        </w:rPr>
        <w:t>LMNB1</w:t>
      </w:r>
      <w:r>
        <w:rPr>
          <w:lang w:val="en-US"/>
        </w:rPr>
        <w:t xml:space="preserve"> duplication had symptoms suggestive of ADLD. The 40-year-old individual had an MRI scan </w:t>
      </w:r>
      <w:r w:rsidR="00243487">
        <w:rPr>
          <w:lang w:val="en-US"/>
        </w:rPr>
        <w:t>that</w:t>
      </w:r>
      <w:r>
        <w:rPr>
          <w:lang w:val="en-US"/>
        </w:rPr>
        <w:t xml:space="preserve"> was normal with no suggestion of white matter abnormality. The 68-year-old had an MRI and this revealed white matter changes consistent with small vessel ischemia rather than changes expected from ADLD (see below). </w:t>
      </w:r>
    </w:p>
    <w:p w14:paraId="1B68CC22" w14:textId="2EFCEEE1" w:rsidR="00BB1089" w:rsidRDefault="00BB1089" w:rsidP="00BB1089">
      <w:pPr>
        <w:rPr>
          <w:lang w:val="en-US"/>
        </w:rPr>
      </w:pPr>
      <w:r>
        <w:rPr>
          <w:noProof/>
          <w:lang w:val="en-US"/>
        </w:rPr>
        <w:drawing>
          <wp:anchor distT="0" distB="0" distL="114300" distR="114300" simplePos="0" relativeHeight="251658240" behindDoc="1" locked="0" layoutInCell="1" allowOverlap="1" wp14:anchorId="646A7506" wp14:editId="379A2151">
            <wp:simplePos x="0" y="0"/>
            <wp:positionH relativeFrom="margin">
              <wp:posOffset>-12700</wp:posOffset>
            </wp:positionH>
            <wp:positionV relativeFrom="paragraph">
              <wp:posOffset>335280</wp:posOffset>
            </wp:positionV>
            <wp:extent cx="6120130" cy="1628140"/>
            <wp:effectExtent l="0" t="0" r="0" b="0"/>
            <wp:wrapTight wrapText="bothSides">
              <wp:wrapPolygon edited="0">
                <wp:start x="0" y="0"/>
                <wp:lineTo x="0" y="21229"/>
                <wp:lineTo x="21515" y="21229"/>
                <wp:lineTo x="21515" y="0"/>
                <wp:lineTo x="0" y="0"/>
              </wp:wrapPolygon>
            </wp:wrapTight>
            <wp:docPr id="1276142796" name="Immagine 1" descr="Immagine che contiene nero, Imaging medicale, monocromatico, radiologi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nero, Imaging medicale, monocromatico, radiologi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628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8BA3418" w14:textId="4B1E72E4" w:rsidR="00E7732F" w:rsidRPr="000674AA" w:rsidRDefault="00BB1089" w:rsidP="00BB1089">
      <w:pPr>
        <w:rPr>
          <w:lang w:val="en-US"/>
        </w:rPr>
      </w:pPr>
      <w:r>
        <w:rPr>
          <w:lang w:val="en-US"/>
        </w:rPr>
        <w:t>Axial and sagittal fluid attenuated inversion recovery (FLAIR) images of the 68-years-old asymptomatic subject carrying an inter-TAD LMNB1 duplication (ASYM).</w:t>
      </w:r>
      <w:r w:rsidR="000674AA">
        <w:rPr>
          <w:lang w:val="en-US"/>
        </w:rPr>
        <w:t xml:space="preserve"> </w:t>
      </w:r>
    </w:p>
    <w:sectPr w:rsidR="00E7732F" w:rsidRPr="000674A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089"/>
    <w:rsid w:val="00000E21"/>
    <w:rsid w:val="0003296F"/>
    <w:rsid w:val="000674AA"/>
    <w:rsid w:val="00153AD7"/>
    <w:rsid w:val="00243487"/>
    <w:rsid w:val="00406904"/>
    <w:rsid w:val="00423BBC"/>
    <w:rsid w:val="00497B4A"/>
    <w:rsid w:val="004E2ACC"/>
    <w:rsid w:val="007705C9"/>
    <w:rsid w:val="00784229"/>
    <w:rsid w:val="007F2A9F"/>
    <w:rsid w:val="008252ED"/>
    <w:rsid w:val="008E36D0"/>
    <w:rsid w:val="009338AF"/>
    <w:rsid w:val="00A76BD3"/>
    <w:rsid w:val="00B534D1"/>
    <w:rsid w:val="00BB1089"/>
    <w:rsid w:val="00BD1E8B"/>
    <w:rsid w:val="00CB4941"/>
    <w:rsid w:val="00DB5CA0"/>
    <w:rsid w:val="00DB6DC5"/>
    <w:rsid w:val="00E77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00C13E"/>
  <w15:chartTrackingRefBased/>
  <w15:docId w15:val="{63CA6606-5908-4BAC-B751-93221B953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B10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23B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3BB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3BB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3B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3BB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3BB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3BBC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E773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474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323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 g</dc:creator>
  <cp:keywords/>
  <dc:description/>
  <cp:lastModifiedBy>Suresh Srinivasan</cp:lastModifiedBy>
  <cp:revision>20</cp:revision>
  <dcterms:created xsi:type="dcterms:W3CDTF">2023-08-16T08:23:00Z</dcterms:created>
  <dcterms:modified xsi:type="dcterms:W3CDTF">2024-07-27T11:41:00Z</dcterms:modified>
</cp:coreProperties>
</file>