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E2" w:rsidRDefault="008238E2" w:rsidP="008238E2">
      <w:r>
        <w:rPr>
          <w:noProof/>
          <w:lang w:eastAsia="it-IT"/>
        </w:rPr>
        <w:drawing>
          <wp:inline distT="0" distB="0" distL="0" distR="0">
            <wp:extent cx="6110605" cy="2289175"/>
            <wp:effectExtent l="0" t="0" r="4445" b="0"/>
            <wp:docPr id="4" name="Immagine 1" descr="image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age_gallery.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0605" cy="2289175"/>
                    </a:xfrm>
                    <a:prstGeom prst="rect">
                      <a:avLst/>
                    </a:prstGeom>
                    <a:noFill/>
                    <a:ln>
                      <a:noFill/>
                    </a:ln>
                  </pic:spPr>
                </pic:pic>
              </a:graphicData>
            </a:graphic>
          </wp:inline>
        </w:drawing>
      </w:r>
    </w:p>
    <w:p w:rsidR="008238E2" w:rsidRPr="008238E2" w:rsidRDefault="008238E2" w:rsidP="008238E2">
      <w:pPr>
        <w:rPr>
          <w:rFonts w:asciiTheme="minorHAnsi" w:hAnsiTheme="minorHAnsi"/>
        </w:rPr>
      </w:pPr>
    </w:p>
    <w:p w:rsidR="008238E2" w:rsidRPr="008238E2" w:rsidRDefault="008238E2" w:rsidP="008238E2">
      <w:pPr>
        <w:rPr>
          <w:rFonts w:asciiTheme="minorHAnsi" w:hAnsiTheme="minorHAnsi"/>
        </w:rPr>
      </w:pPr>
    </w:p>
    <w:p w:rsidR="008238E2" w:rsidRPr="008238E2" w:rsidRDefault="008238E2" w:rsidP="008238E2">
      <w:pPr>
        <w:rPr>
          <w:rFonts w:asciiTheme="minorHAnsi" w:hAnsiTheme="minorHAnsi"/>
        </w:rPr>
      </w:pPr>
    </w:p>
    <w:p w:rsidR="008238E2" w:rsidRPr="008238E2" w:rsidRDefault="008238E2" w:rsidP="008238E2">
      <w:pPr>
        <w:jc w:val="center"/>
        <w:rPr>
          <w:rFonts w:asciiTheme="minorHAnsi" w:hAnsiTheme="minorHAnsi"/>
          <w:i/>
          <w:iCs/>
          <w:sz w:val="28"/>
          <w:szCs w:val="28"/>
        </w:rPr>
      </w:pPr>
      <w:r w:rsidRPr="008238E2">
        <w:rPr>
          <w:rFonts w:asciiTheme="minorHAnsi" w:hAnsiTheme="minorHAnsi"/>
          <w:b/>
          <w:i/>
          <w:iCs/>
          <w:sz w:val="28"/>
          <w:szCs w:val="28"/>
        </w:rPr>
        <w:t>This is an author version of the contribution published on</w:t>
      </w:r>
      <w:r w:rsidRPr="008238E2">
        <w:rPr>
          <w:rFonts w:asciiTheme="minorHAnsi" w:hAnsiTheme="minorHAnsi"/>
          <w:i/>
          <w:iCs/>
          <w:sz w:val="28"/>
          <w:szCs w:val="28"/>
        </w:rPr>
        <w:t>:</w:t>
      </w:r>
      <w:r w:rsidRPr="008238E2">
        <w:rPr>
          <w:rFonts w:asciiTheme="minorHAnsi" w:hAnsiTheme="minorHAnsi"/>
          <w:i/>
          <w:iCs/>
          <w:sz w:val="28"/>
          <w:szCs w:val="28"/>
        </w:rPr>
        <w:br/>
        <w:t xml:space="preserve">Questa è la </w:t>
      </w:r>
      <w:proofErr w:type="spellStart"/>
      <w:r w:rsidRPr="008238E2">
        <w:rPr>
          <w:rFonts w:asciiTheme="minorHAnsi" w:hAnsiTheme="minorHAnsi"/>
          <w:i/>
          <w:iCs/>
          <w:sz w:val="28"/>
          <w:szCs w:val="28"/>
        </w:rPr>
        <w:t>versione</w:t>
      </w:r>
      <w:proofErr w:type="spellEnd"/>
      <w:r w:rsidRPr="008238E2">
        <w:rPr>
          <w:rFonts w:asciiTheme="minorHAnsi" w:hAnsiTheme="minorHAnsi"/>
          <w:i/>
          <w:iCs/>
          <w:sz w:val="28"/>
          <w:szCs w:val="28"/>
        </w:rPr>
        <w:t xml:space="preserve"> </w:t>
      </w:r>
      <w:proofErr w:type="spellStart"/>
      <w:r w:rsidRPr="008238E2">
        <w:rPr>
          <w:rFonts w:asciiTheme="minorHAnsi" w:hAnsiTheme="minorHAnsi"/>
          <w:i/>
          <w:iCs/>
          <w:sz w:val="28"/>
          <w:szCs w:val="28"/>
        </w:rPr>
        <w:t>dell’autore</w:t>
      </w:r>
      <w:proofErr w:type="spellEnd"/>
      <w:r w:rsidRPr="008238E2">
        <w:rPr>
          <w:rFonts w:asciiTheme="minorHAnsi" w:hAnsiTheme="minorHAnsi"/>
          <w:i/>
          <w:iCs/>
          <w:sz w:val="28"/>
          <w:szCs w:val="28"/>
        </w:rPr>
        <w:t xml:space="preserve"> </w:t>
      </w:r>
      <w:proofErr w:type="spellStart"/>
      <w:r w:rsidRPr="008238E2">
        <w:rPr>
          <w:rFonts w:asciiTheme="minorHAnsi" w:hAnsiTheme="minorHAnsi"/>
          <w:i/>
          <w:iCs/>
          <w:sz w:val="28"/>
          <w:szCs w:val="28"/>
        </w:rPr>
        <w:t>dell’opera</w:t>
      </w:r>
      <w:proofErr w:type="spellEnd"/>
      <w:r w:rsidRPr="008238E2">
        <w:rPr>
          <w:rFonts w:asciiTheme="minorHAnsi" w:hAnsiTheme="minorHAnsi"/>
          <w:i/>
          <w:iCs/>
          <w:sz w:val="28"/>
          <w:szCs w:val="28"/>
        </w:rPr>
        <w:t>:</w:t>
      </w:r>
      <w:r w:rsidRPr="008238E2">
        <w:rPr>
          <w:rFonts w:asciiTheme="minorHAnsi" w:hAnsiTheme="minorHAnsi"/>
          <w:i/>
          <w:iCs/>
          <w:sz w:val="28"/>
          <w:szCs w:val="28"/>
        </w:rPr>
        <w:br/>
        <w:t>Applied Soil Ecology, 72, 1-6, 2013, doi:10.1016/j.apsoil.2013.05.015</w:t>
      </w:r>
      <w:r w:rsidRPr="008238E2">
        <w:rPr>
          <w:rFonts w:asciiTheme="minorHAnsi" w:hAnsiTheme="minorHAnsi"/>
          <w:i/>
          <w:iCs/>
          <w:sz w:val="28"/>
          <w:szCs w:val="28"/>
        </w:rPr>
        <w:br/>
      </w:r>
    </w:p>
    <w:p w:rsidR="008238E2" w:rsidRPr="008238E2" w:rsidRDefault="008238E2" w:rsidP="008238E2">
      <w:pPr>
        <w:jc w:val="center"/>
        <w:rPr>
          <w:rFonts w:asciiTheme="minorHAnsi" w:hAnsiTheme="minorHAnsi"/>
          <w:i/>
          <w:sz w:val="28"/>
          <w:szCs w:val="28"/>
          <w:lang w:val="it-IT"/>
        </w:rPr>
      </w:pPr>
      <w:r w:rsidRPr="008238E2">
        <w:rPr>
          <w:rFonts w:asciiTheme="minorHAnsi" w:hAnsiTheme="minorHAnsi"/>
          <w:b/>
          <w:i/>
          <w:sz w:val="28"/>
          <w:szCs w:val="28"/>
          <w:lang w:val="it-IT"/>
        </w:rPr>
        <w:t xml:space="preserve">The definitive </w:t>
      </w:r>
      <w:proofErr w:type="spellStart"/>
      <w:r w:rsidRPr="008238E2">
        <w:rPr>
          <w:rFonts w:asciiTheme="minorHAnsi" w:hAnsiTheme="minorHAnsi"/>
          <w:b/>
          <w:i/>
          <w:sz w:val="28"/>
          <w:szCs w:val="28"/>
          <w:lang w:val="it-IT"/>
        </w:rPr>
        <w:t>version</w:t>
      </w:r>
      <w:proofErr w:type="spellEnd"/>
      <w:r w:rsidRPr="008238E2">
        <w:rPr>
          <w:rFonts w:asciiTheme="minorHAnsi" w:hAnsiTheme="minorHAnsi"/>
          <w:b/>
          <w:i/>
          <w:sz w:val="28"/>
          <w:szCs w:val="28"/>
          <w:lang w:val="it-IT"/>
        </w:rPr>
        <w:t xml:space="preserve"> </w:t>
      </w:r>
      <w:proofErr w:type="spellStart"/>
      <w:r w:rsidRPr="008238E2">
        <w:rPr>
          <w:rFonts w:asciiTheme="minorHAnsi" w:hAnsiTheme="minorHAnsi"/>
          <w:b/>
          <w:i/>
          <w:sz w:val="28"/>
          <w:szCs w:val="28"/>
          <w:lang w:val="it-IT"/>
        </w:rPr>
        <w:t>is</w:t>
      </w:r>
      <w:proofErr w:type="spellEnd"/>
      <w:r w:rsidRPr="008238E2">
        <w:rPr>
          <w:rFonts w:asciiTheme="minorHAnsi" w:hAnsiTheme="minorHAnsi"/>
          <w:b/>
          <w:i/>
          <w:sz w:val="28"/>
          <w:szCs w:val="28"/>
          <w:lang w:val="it-IT"/>
        </w:rPr>
        <w:t xml:space="preserve"> </w:t>
      </w:r>
      <w:proofErr w:type="spellStart"/>
      <w:r w:rsidRPr="008238E2">
        <w:rPr>
          <w:rFonts w:asciiTheme="minorHAnsi" w:hAnsiTheme="minorHAnsi"/>
          <w:b/>
          <w:i/>
          <w:sz w:val="28"/>
          <w:szCs w:val="28"/>
          <w:lang w:val="it-IT"/>
        </w:rPr>
        <w:t>available</w:t>
      </w:r>
      <w:proofErr w:type="spellEnd"/>
      <w:r w:rsidRPr="008238E2">
        <w:rPr>
          <w:rFonts w:asciiTheme="minorHAnsi" w:hAnsiTheme="minorHAnsi"/>
          <w:b/>
          <w:i/>
          <w:sz w:val="28"/>
          <w:szCs w:val="28"/>
          <w:lang w:val="it-IT"/>
        </w:rPr>
        <w:t xml:space="preserve"> at:</w:t>
      </w:r>
      <w:r w:rsidRPr="008238E2">
        <w:rPr>
          <w:rFonts w:asciiTheme="minorHAnsi" w:hAnsiTheme="minorHAnsi"/>
          <w:i/>
          <w:sz w:val="28"/>
          <w:szCs w:val="28"/>
          <w:lang w:val="it-IT"/>
        </w:rPr>
        <w:br/>
        <w:t>La versione definitiva è disponibile alla URL:</w:t>
      </w:r>
      <w:r w:rsidRPr="008238E2">
        <w:rPr>
          <w:rFonts w:asciiTheme="minorHAnsi" w:hAnsiTheme="minorHAnsi"/>
          <w:i/>
          <w:sz w:val="28"/>
          <w:szCs w:val="28"/>
          <w:lang w:val="it-IT"/>
        </w:rPr>
        <w:br/>
        <w:t>http://www.sciencedirect.com/science/article/pii/S0929139313001467</w:t>
      </w:r>
    </w:p>
    <w:p w:rsidR="008238E2" w:rsidRPr="008238E2" w:rsidRDefault="008238E2" w:rsidP="008238E2">
      <w:pPr>
        <w:rPr>
          <w:rFonts w:asciiTheme="minorHAnsi" w:hAnsiTheme="minorHAnsi"/>
          <w:b/>
          <w:sz w:val="28"/>
          <w:szCs w:val="28"/>
          <w:lang w:val="it-IT"/>
        </w:rPr>
      </w:pPr>
    </w:p>
    <w:p w:rsidR="008238E2" w:rsidRPr="008238E2" w:rsidRDefault="008238E2" w:rsidP="008238E2">
      <w:pPr>
        <w:rPr>
          <w:rFonts w:asciiTheme="minorHAnsi" w:hAnsiTheme="minorHAnsi"/>
          <w:b/>
          <w:sz w:val="28"/>
          <w:szCs w:val="28"/>
          <w:lang w:val="it-IT"/>
        </w:rPr>
      </w:pPr>
    </w:p>
    <w:p w:rsidR="008238E2" w:rsidRPr="008238E2" w:rsidRDefault="008238E2">
      <w:pPr>
        <w:spacing w:line="480" w:lineRule="auto"/>
        <w:jc w:val="both"/>
        <w:rPr>
          <w:b/>
          <w:sz w:val="28"/>
          <w:szCs w:val="28"/>
          <w:lang w:val="it-IT"/>
        </w:rPr>
      </w:pPr>
    </w:p>
    <w:p w:rsidR="008238E2" w:rsidRDefault="008238E2">
      <w:pPr>
        <w:suppressAutoHyphens w:val="0"/>
        <w:rPr>
          <w:b/>
          <w:sz w:val="28"/>
          <w:szCs w:val="28"/>
        </w:rPr>
      </w:pPr>
      <w:r>
        <w:rPr>
          <w:b/>
          <w:sz w:val="28"/>
          <w:szCs w:val="28"/>
        </w:rPr>
        <w:br w:type="page"/>
      </w:r>
    </w:p>
    <w:p w:rsidR="006F39CD" w:rsidRDefault="003D008C">
      <w:pPr>
        <w:spacing w:line="480" w:lineRule="auto"/>
        <w:jc w:val="both"/>
        <w:rPr>
          <w:b/>
          <w:sz w:val="28"/>
          <w:szCs w:val="28"/>
        </w:rPr>
      </w:pPr>
      <w:r>
        <w:rPr>
          <w:b/>
          <w:sz w:val="28"/>
          <w:szCs w:val="28"/>
        </w:rPr>
        <w:lastRenderedPageBreak/>
        <w:t>Effect of elevated atmospheric CO</w:t>
      </w:r>
      <w:r>
        <w:rPr>
          <w:b/>
          <w:sz w:val="28"/>
          <w:szCs w:val="28"/>
          <w:vertAlign w:val="subscript"/>
        </w:rPr>
        <w:t xml:space="preserve">2 </w:t>
      </w:r>
      <w:r>
        <w:rPr>
          <w:b/>
          <w:sz w:val="28"/>
          <w:szCs w:val="28"/>
        </w:rPr>
        <w:t xml:space="preserve">and temperature on disease severity of </w:t>
      </w:r>
      <w:proofErr w:type="spellStart"/>
      <w:r w:rsidR="003C0EDF">
        <w:rPr>
          <w:b/>
          <w:i/>
          <w:sz w:val="28"/>
          <w:szCs w:val="28"/>
        </w:rPr>
        <w:t>Fusarium</w:t>
      </w:r>
      <w:proofErr w:type="spellEnd"/>
      <w:r w:rsidR="003C0EDF">
        <w:rPr>
          <w:b/>
          <w:i/>
          <w:sz w:val="28"/>
          <w:szCs w:val="28"/>
        </w:rPr>
        <w:t xml:space="preserve"> </w:t>
      </w:r>
      <w:proofErr w:type="spellStart"/>
      <w:r w:rsidR="003C0EDF">
        <w:rPr>
          <w:b/>
          <w:i/>
          <w:sz w:val="28"/>
          <w:szCs w:val="28"/>
        </w:rPr>
        <w:t>oxysporum</w:t>
      </w:r>
      <w:proofErr w:type="spellEnd"/>
      <w:r w:rsidR="003C0EDF">
        <w:rPr>
          <w:b/>
          <w:sz w:val="28"/>
          <w:szCs w:val="28"/>
        </w:rPr>
        <w:t xml:space="preserve"> </w:t>
      </w:r>
      <w:proofErr w:type="spellStart"/>
      <w:r w:rsidR="003C0EDF">
        <w:rPr>
          <w:b/>
          <w:sz w:val="28"/>
          <w:szCs w:val="28"/>
        </w:rPr>
        <w:t>f.sp</w:t>
      </w:r>
      <w:proofErr w:type="spellEnd"/>
      <w:r w:rsidR="003C0EDF">
        <w:rPr>
          <w:b/>
          <w:sz w:val="28"/>
          <w:szCs w:val="28"/>
        </w:rPr>
        <w:t xml:space="preserve">. </w:t>
      </w:r>
      <w:proofErr w:type="spellStart"/>
      <w:r w:rsidR="003C0EDF">
        <w:rPr>
          <w:b/>
          <w:i/>
          <w:sz w:val="28"/>
          <w:szCs w:val="28"/>
        </w:rPr>
        <w:t>lactucae</w:t>
      </w:r>
      <w:proofErr w:type="spellEnd"/>
      <w:r w:rsidR="003C0EDF">
        <w:rPr>
          <w:b/>
          <w:sz w:val="28"/>
          <w:szCs w:val="28"/>
        </w:rPr>
        <w:t xml:space="preserve"> on </w:t>
      </w:r>
      <w:r>
        <w:rPr>
          <w:b/>
          <w:sz w:val="28"/>
          <w:szCs w:val="28"/>
        </w:rPr>
        <w:t xml:space="preserve">lettuce plants </w:t>
      </w:r>
    </w:p>
    <w:p w:rsidR="006F39CD" w:rsidRDefault="006F39CD">
      <w:pPr>
        <w:spacing w:line="480" w:lineRule="auto"/>
        <w:jc w:val="both"/>
        <w:rPr>
          <w:b/>
          <w:sz w:val="28"/>
          <w:szCs w:val="28"/>
        </w:rPr>
      </w:pPr>
    </w:p>
    <w:p w:rsidR="006F39CD" w:rsidRPr="006F39CD" w:rsidRDefault="006F39CD">
      <w:pPr>
        <w:spacing w:line="480" w:lineRule="auto"/>
        <w:jc w:val="both"/>
        <w:rPr>
          <w:b/>
          <w:bCs/>
          <w:sz w:val="28"/>
          <w:szCs w:val="28"/>
          <w:lang w:val="it-IT"/>
        </w:rPr>
      </w:pPr>
      <w:r w:rsidRPr="006F39CD">
        <w:rPr>
          <w:b/>
          <w:bCs/>
          <w:sz w:val="28"/>
          <w:szCs w:val="28"/>
          <w:lang w:val="it-IT"/>
        </w:rPr>
        <w:t>Ferrocino Ilario*, Chitarra Walter, Pugliese Massimo, Gilardi Giovanna, Gullino Maria Lodovica and Garibaldi Angelo</w:t>
      </w:r>
    </w:p>
    <w:p w:rsidR="006F39CD" w:rsidRPr="006F39CD" w:rsidRDefault="006F39CD">
      <w:pPr>
        <w:spacing w:line="480" w:lineRule="auto"/>
        <w:jc w:val="center"/>
        <w:rPr>
          <w:b/>
          <w:bCs/>
          <w:sz w:val="28"/>
          <w:szCs w:val="28"/>
          <w:lang w:val="it-IT"/>
        </w:rPr>
      </w:pPr>
    </w:p>
    <w:p w:rsidR="006F39CD" w:rsidRPr="006F39CD" w:rsidRDefault="006F39CD">
      <w:pPr>
        <w:spacing w:line="480" w:lineRule="auto"/>
        <w:rPr>
          <w:bCs/>
          <w:sz w:val="20"/>
          <w:szCs w:val="20"/>
          <w:lang w:val="it-IT"/>
        </w:rPr>
      </w:pPr>
      <w:r w:rsidRPr="006F39CD">
        <w:rPr>
          <w:bCs/>
          <w:sz w:val="20"/>
          <w:szCs w:val="20"/>
          <w:lang w:val="it-IT"/>
        </w:rPr>
        <w:t>AGROINNOVA-Centre of competence for the Innovation in the Agro-Environmental Sector, University of Torino, Via L. da Vinci 44, Grugliasco (TO), Italy.</w:t>
      </w:r>
    </w:p>
    <w:p w:rsidR="006F39CD" w:rsidRPr="006F39CD" w:rsidRDefault="006F39CD">
      <w:pPr>
        <w:spacing w:line="480" w:lineRule="auto"/>
        <w:rPr>
          <w:bCs/>
          <w:sz w:val="20"/>
          <w:szCs w:val="20"/>
          <w:lang w:val="it-IT"/>
        </w:rPr>
      </w:pPr>
    </w:p>
    <w:p w:rsidR="006F39CD" w:rsidRDefault="003D008C">
      <w:pPr>
        <w:spacing w:line="480" w:lineRule="auto"/>
        <w:rPr>
          <w:bCs/>
          <w:sz w:val="20"/>
          <w:szCs w:val="20"/>
        </w:rPr>
      </w:pPr>
      <w:r>
        <w:rPr>
          <w:bCs/>
          <w:sz w:val="20"/>
          <w:szCs w:val="20"/>
        </w:rPr>
        <w:t>* Corresponding author:</w:t>
      </w:r>
    </w:p>
    <w:p w:rsidR="006F39CD" w:rsidRDefault="003D008C">
      <w:pPr>
        <w:spacing w:line="480" w:lineRule="auto"/>
        <w:rPr>
          <w:bCs/>
          <w:sz w:val="20"/>
          <w:szCs w:val="20"/>
        </w:rPr>
      </w:pPr>
      <w:r>
        <w:rPr>
          <w:bCs/>
          <w:sz w:val="20"/>
          <w:szCs w:val="20"/>
        </w:rPr>
        <w:t xml:space="preserve">   Tel: 0039-011 6708547</w:t>
      </w:r>
    </w:p>
    <w:p w:rsidR="006F39CD" w:rsidRDefault="003D008C">
      <w:pPr>
        <w:spacing w:line="480" w:lineRule="auto"/>
        <w:rPr>
          <w:bCs/>
          <w:sz w:val="20"/>
          <w:szCs w:val="20"/>
        </w:rPr>
      </w:pPr>
      <w:r>
        <w:rPr>
          <w:bCs/>
          <w:sz w:val="20"/>
          <w:szCs w:val="20"/>
        </w:rPr>
        <w:t xml:space="preserve">   Fax:0039-011 6709307</w:t>
      </w:r>
    </w:p>
    <w:p w:rsidR="006F39CD" w:rsidRDefault="003D008C">
      <w:pPr>
        <w:spacing w:line="480" w:lineRule="auto"/>
        <w:rPr>
          <w:b/>
          <w:bCs/>
        </w:rPr>
      </w:pPr>
      <w:r>
        <w:rPr>
          <w:bCs/>
          <w:sz w:val="20"/>
          <w:szCs w:val="20"/>
        </w:rPr>
        <w:t xml:space="preserve">   E-mail address: Ilario.ferrocino@unito.it</w:t>
      </w:r>
    </w:p>
    <w:p w:rsidR="006F39CD" w:rsidRDefault="003D008C">
      <w:pPr>
        <w:pageBreakBefore/>
        <w:spacing w:line="480" w:lineRule="auto"/>
      </w:pPr>
      <w:r>
        <w:rPr>
          <w:b/>
          <w:bCs/>
        </w:rPr>
        <w:lastRenderedPageBreak/>
        <w:t>Keywords:</w:t>
      </w:r>
    </w:p>
    <w:p w:rsidR="006F39CD" w:rsidRDefault="003D008C">
      <w:pPr>
        <w:spacing w:line="480" w:lineRule="auto"/>
      </w:pPr>
      <w:proofErr w:type="spellStart"/>
      <w:r>
        <w:t>Phytotrons</w:t>
      </w:r>
      <w:proofErr w:type="spellEnd"/>
      <w:r>
        <w:t xml:space="preserve"> </w:t>
      </w:r>
    </w:p>
    <w:p w:rsidR="006F39CD" w:rsidRDefault="003D008C">
      <w:pPr>
        <w:spacing w:line="480" w:lineRule="auto"/>
      </w:pPr>
      <w:r>
        <w:t>Climate change</w:t>
      </w:r>
    </w:p>
    <w:p w:rsidR="006F39CD" w:rsidRDefault="003D008C">
      <w:pPr>
        <w:spacing w:line="480" w:lineRule="auto"/>
        <w:rPr>
          <w:bCs/>
        </w:rPr>
      </w:pPr>
      <w:proofErr w:type="spellStart"/>
      <w:r>
        <w:t>Fusarium</w:t>
      </w:r>
      <w:proofErr w:type="spellEnd"/>
      <w:r>
        <w:rPr>
          <w:i/>
        </w:rPr>
        <w:t xml:space="preserve"> </w:t>
      </w:r>
      <w:r>
        <w:t>wilt</w:t>
      </w:r>
    </w:p>
    <w:p w:rsidR="006F39CD" w:rsidRDefault="003D008C">
      <w:pPr>
        <w:spacing w:line="480" w:lineRule="auto"/>
        <w:rPr>
          <w:bCs/>
        </w:rPr>
      </w:pPr>
      <w:r>
        <w:rPr>
          <w:bCs/>
        </w:rPr>
        <w:t>Microbial communities</w:t>
      </w:r>
    </w:p>
    <w:p w:rsidR="006F39CD" w:rsidRDefault="006F39CD">
      <w:pPr>
        <w:spacing w:line="480" w:lineRule="auto"/>
        <w:rPr>
          <w:bCs/>
        </w:rPr>
      </w:pPr>
    </w:p>
    <w:p w:rsidR="006F39CD" w:rsidRDefault="003D008C">
      <w:pPr>
        <w:spacing w:line="480" w:lineRule="auto"/>
      </w:pPr>
      <w:r>
        <w:rPr>
          <w:b/>
          <w:bCs/>
        </w:rPr>
        <w:t>1. Introduction</w:t>
      </w:r>
    </w:p>
    <w:p w:rsidR="006F39CD" w:rsidRDefault="003D008C">
      <w:pPr>
        <w:spacing w:line="480" w:lineRule="auto"/>
        <w:ind w:firstLine="708"/>
        <w:jc w:val="both"/>
      </w:pPr>
      <w:r>
        <w:t>Climate change will influence soil microbial communities both directly (warming) and indirectly (warming and increased CO</w:t>
      </w:r>
      <w:r>
        <w:rPr>
          <w:vertAlign w:val="subscript"/>
        </w:rPr>
        <w:t>2</w:t>
      </w:r>
      <w:r>
        <w:t>) via changes in quantity and quality of plant-mediated soil C inputs (Pritchard, 2011). Modifications mediated by industrial activity and new agricultural techniques induce complex responses of ecosystems to atmospheric CO</w:t>
      </w:r>
      <w:r>
        <w:rPr>
          <w:vertAlign w:val="subscript"/>
        </w:rPr>
        <w:t xml:space="preserve">2 </w:t>
      </w:r>
      <w:r>
        <w:t>(</w:t>
      </w:r>
      <w:proofErr w:type="spellStart"/>
      <w:r>
        <w:t>Zaehle</w:t>
      </w:r>
      <w:proofErr w:type="spellEnd"/>
      <w:r>
        <w:t xml:space="preserve"> et al., 2010). An increase of temperature and CO</w:t>
      </w:r>
      <w:r>
        <w:rPr>
          <w:vertAlign w:val="subscript"/>
        </w:rPr>
        <w:t xml:space="preserve">2 </w:t>
      </w:r>
      <w:r>
        <w:t>concentration in the atmosphere (up to 600 ppm) as predicted for the future (</w:t>
      </w:r>
      <w:proofErr w:type="spellStart"/>
      <w:r>
        <w:t>Lobell</w:t>
      </w:r>
      <w:proofErr w:type="spellEnd"/>
      <w:r>
        <w:t xml:space="preserve"> and </w:t>
      </w:r>
      <w:proofErr w:type="spellStart"/>
      <w:r>
        <w:t>Gourdji</w:t>
      </w:r>
      <w:proofErr w:type="spellEnd"/>
      <w:r>
        <w:t>, 2012) could alter both substrate availability and microbial activity (</w:t>
      </w:r>
      <w:proofErr w:type="spellStart"/>
      <w:r>
        <w:t>Zheng</w:t>
      </w:r>
      <w:proofErr w:type="spellEnd"/>
      <w:r>
        <w:t xml:space="preserve"> et al., 2010). Numerous studies have investigated the effects of elevated CO</w:t>
      </w:r>
      <w:r>
        <w:rPr>
          <w:vertAlign w:val="subscript"/>
        </w:rPr>
        <w:t>2</w:t>
      </w:r>
      <w:r>
        <w:t xml:space="preserve"> on soil microbial composition and activity (</w:t>
      </w:r>
      <w:proofErr w:type="spellStart"/>
      <w:r>
        <w:t>Marilley</w:t>
      </w:r>
      <w:proofErr w:type="spellEnd"/>
      <w:r>
        <w:t xml:space="preserve"> </w:t>
      </w:r>
      <w:r>
        <w:rPr>
          <w:iCs/>
        </w:rPr>
        <w:t>et al</w:t>
      </w:r>
      <w:r>
        <w:t xml:space="preserve">., 1999; </w:t>
      </w:r>
      <w:proofErr w:type="spellStart"/>
      <w:r>
        <w:t>Rønn</w:t>
      </w:r>
      <w:proofErr w:type="spellEnd"/>
      <w:r>
        <w:t xml:space="preserve"> </w:t>
      </w:r>
      <w:r>
        <w:rPr>
          <w:iCs/>
        </w:rPr>
        <w:t>et al</w:t>
      </w:r>
      <w:r>
        <w:t xml:space="preserve">., 2002; Lipson </w:t>
      </w:r>
      <w:r>
        <w:rPr>
          <w:iCs/>
        </w:rPr>
        <w:t>et al</w:t>
      </w:r>
      <w:r>
        <w:t>., 2006) producing many conflicting results. Uncertainty still remains, largely due to the complexity of the interactions between plants, soil and soil microorganisms.</w:t>
      </w:r>
      <w:r>
        <w:rPr>
          <w:bCs/>
        </w:rPr>
        <w:t xml:space="preserve"> To evaluate the effect of elevated CO</w:t>
      </w:r>
      <w:r>
        <w:rPr>
          <w:bCs/>
          <w:vertAlign w:val="subscript"/>
        </w:rPr>
        <w:t>2</w:t>
      </w:r>
      <w:r>
        <w:rPr>
          <w:bCs/>
        </w:rPr>
        <w:t xml:space="preserve"> on soil microbial composition and activity, soil extracellular enzyme activities have been </w:t>
      </w:r>
      <w:r w:rsidR="00456421">
        <w:rPr>
          <w:bCs/>
        </w:rPr>
        <w:t xml:space="preserve">used </w:t>
      </w:r>
      <w:proofErr w:type="spellStart"/>
      <w:r w:rsidR="00456421">
        <w:rPr>
          <w:bCs/>
        </w:rPr>
        <w:t>to</w:t>
      </w:r>
      <w:r>
        <w:rPr>
          <w:bCs/>
        </w:rPr>
        <w:t>expressthe</w:t>
      </w:r>
      <w:proofErr w:type="spellEnd"/>
      <w:r>
        <w:rPr>
          <w:bCs/>
        </w:rPr>
        <w:t xml:space="preserve"> functioning of microbial communities, since they are sensitive and respond rapidly to environmental changes (</w:t>
      </w:r>
      <w:proofErr w:type="spellStart"/>
      <w:r>
        <w:rPr>
          <w:bCs/>
        </w:rPr>
        <w:t>Hanry</w:t>
      </w:r>
      <w:proofErr w:type="spellEnd"/>
      <w:r>
        <w:rPr>
          <w:bCs/>
        </w:rPr>
        <w:t>, 2012</w:t>
      </w:r>
      <w:bookmarkStart w:id="0" w:name="_GoBack"/>
      <w:bookmarkEnd w:id="0"/>
      <w:r>
        <w:rPr>
          <w:bCs/>
        </w:rPr>
        <w:t xml:space="preserve">). </w:t>
      </w:r>
      <w:r>
        <w:t xml:space="preserve">Microbial analysis alone may not be exhaustive to understand the shifts </w:t>
      </w:r>
      <w:r w:rsidR="003C0EDF">
        <w:t>in</w:t>
      </w:r>
      <w:r>
        <w:t xml:space="preserve"> microbial ecology of soil in response to climate change. Certain taxa may be influenced </w:t>
      </w:r>
      <w:r w:rsidR="003C0EDF">
        <w:t xml:space="preserve">differently </w:t>
      </w:r>
      <w:r>
        <w:t xml:space="preserve">by </w:t>
      </w:r>
      <w:r>
        <w:rPr>
          <w:bCs/>
        </w:rPr>
        <w:t>CO</w:t>
      </w:r>
      <w:r>
        <w:rPr>
          <w:bCs/>
          <w:vertAlign w:val="subscript"/>
        </w:rPr>
        <w:t>2</w:t>
      </w:r>
      <w:r>
        <w:rPr>
          <w:bCs/>
        </w:rPr>
        <w:t xml:space="preserve"> conditions</w:t>
      </w:r>
      <w:r w:rsidR="003C0EDF">
        <w:rPr>
          <w:bCs/>
        </w:rPr>
        <w:t>,</w:t>
      </w:r>
      <w:r>
        <w:rPr>
          <w:bCs/>
        </w:rPr>
        <w:t xml:space="preserve"> </w:t>
      </w:r>
      <w:r>
        <w:t xml:space="preserve">and molecular methods such as </w:t>
      </w:r>
      <w:r w:rsidR="00386DDE">
        <w:t>polymerase chain reaction denaturing gradient gel electrophoresis (</w:t>
      </w:r>
      <w:r>
        <w:t>PCR-DGGE</w:t>
      </w:r>
      <w:r w:rsidR="00386DDE">
        <w:t>)</w:t>
      </w:r>
      <w:r>
        <w:t xml:space="preserve"> are optimized to monitor changes of microbial flora in soil undergoing </w:t>
      </w:r>
      <w:proofErr w:type="spellStart"/>
      <w:r>
        <w:t>changes</w:t>
      </w:r>
      <w:r w:rsidR="003C0EDF">
        <w:t>in</w:t>
      </w:r>
      <w:proofErr w:type="spellEnd"/>
      <w:r>
        <w:t xml:space="preserve"> </w:t>
      </w:r>
      <w:r>
        <w:rPr>
          <w:bCs/>
        </w:rPr>
        <w:t>CO</w:t>
      </w:r>
      <w:r>
        <w:rPr>
          <w:bCs/>
          <w:vertAlign w:val="subscript"/>
        </w:rPr>
        <w:t>2</w:t>
      </w:r>
      <w:r>
        <w:t xml:space="preserve"> levels (</w:t>
      </w:r>
      <w:proofErr w:type="spellStart"/>
      <w:r>
        <w:t>Guenet</w:t>
      </w:r>
      <w:proofErr w:type="spellEnd"/>
      <w:r>
        <w:t xml:space="preserve"> et al., 2012).</w:t>
      </w:r>
      <w:r>
        <w:rPr>
          <w:bCs/>
        </w:rPr>
        <w:t xml:space="preserve"> </w:t>
      </w:r>
      <w:r>
        <w:t xml:space="preserve">There is still a general lack of knowledge </w:t>
      </w:r>
      <w:r w:rsidR="003C0EDF">
        <w:t>regarding</w:t>
      </w:r>
      <w:r>
        <w:t xml:space="preserve"> the responses of different soil-borne microorganisms to elevated atmospheric CO</w:t>
      </w:r>
      <w:r>
        <w:rPr>
          <w:vertAlign w:val="subscript"/>
        </w:rPr>
        <w:t>2</w:t>
      </w:r>
      <w:r>
        <w:t xml:space="preserve"> conditions.</w:t>
      </w:r>
      <w:r>
        <w:rPr>
          <w:rFonts w:ascii="AdvPSSAB-R" w:hAnsi="AdvPSSAB-R" w:cs="AdvPSSAB-R"/>
          <w:sz w:val="18"/>
          <w:szCs w:val="18"/>
        </w:rPr>
        <w:t xml:space="preserve"> </w:t>
      </w:r>
      <w:r>
        <w:t>It is also currently unclear how atmospheric CO</w:t>
      </w:r>
      <w:r>
        <w:rPr>
          <w:vertAlign w:val="subscript"/>
        </w:rPr>
        <w:t>2</w:t>
      </w:r>
      <w:r>
        <w:t xml:space="preserve"> affects </w:t>
      </w:r>
      <w:r>
        <w:lastRenderedPageBreak/>
        <w:t>fungal diseases</w:t>
      </w:r>
      <w:r w:rsidR="003C0EDF">
        <w:t>, as</w:t>
      </w:r>
      <w:r>
        <w:t xml:space="preserve"> studies are limited on this topic. </w:t>
      </w:r>
      <w:r>
        <w:rPr>
          <w:bCs/>
        </w:rPr>
        <w:t>Several studies</w:t>
      </w:r>
      <w:r>
        <w:t xml:space="preserve"> address the effect of climate change on increasing/</w:t>
      </w:r>
      <w:r w:rsidR="003C0EDF">
        <w:t xml:space="preserve">decreasing </w:t>
      </w:r>
      <w:r>
        <w:t>disease incidence (</w:t>
      </w:r>
      <w:proofErr w:type="spellStart"/>
      <w:r>
        <w:t>Scherm</w:t>
      </w:r>
      <w:proofErr w:type="spellEnd"/>
      <w:r>
        <w:t xml:space="preserve"> and </w:t>
      </w:r>
      <w:proofErr w:type="spellStart"/>
      <w:r>
        <w:t>Coakley</w:t>
      </w:r>
      <w:proofErr w:type="spellEnd"/>
      <w:r>
        <w:t xml:space="preserve">, 2003; Garrett et al., 2006; </w:t>
      </w:r>
      <w:proofErr w:type="spellStart"/>
      <w:r>
        <w:t>Chakraborty</w:t>
      </w:r>
      <w:proofErr w:type="spellEnd"/>
      <w:r>
        <w:t xml:space="preserve"> et al., 2008). However, to our knowledge, none </w:t>
      </w:r>
      <w:r w:rsidR="003C0EDF">
        <w:t xml:space="preserve">have </w:t>
      </w:r>
      <w:r>
        <w:t>investigated the effect of different atmospheric CO</w:t>
      </w:r>
      <w:r>
        <w:rPr>
          <w:vertAlign w:val="subscript"/>
        </w:rPr>
        <w:t xml:space="preserve">2 </w:t>
      </w:r>
      <w:r>
        <w:t xml:space="preserve">levels on the interaction between </w:t>
      </w:r>
      <w:proofErr w:type="spellStart"/>
      <w:r>
        <w:rPr>
          <w:i/>
        </w:rPr>
        <w:t>Fusarium</w:t>
      </w:r>
      <w:proofErr w:type="spellEnd"/>
      <w:r>
        <w:rPr>
          <w:i/>
        </w:rPr>
        <w:t xml:space="preserve"> </w:t>
      </w:r>
      <w:proofErr w:type="spellStart"/>
      <w:r>
        <w:rPr>
          <w:i/>
        </w:rPr>
        <w:t>oxysporum</w:t>
      </w:r>
      <w:proofErr w:type="spellEnd"/>
      <w:r>
        <w:t xml:space="preserve"> </w:t>
      </w:r>
      <w:proofErr w:type="spellStart"/>
      <w:r>
        <w:t>f.sp</w:t>
      </w:r>
      <w:proofErr w:type="spellEnd"/>
      <w:r>
        <w:t xml:space="preserve">. </w:t>
      </w:r>
      <w:proofErr w:type="spellStart"/>
      <w:r>
        <w:rPr>
          <w:i/>
        </w:rPr>
        <w:t>lactucae</w:t>
      </w:r>
      <w:proofErr w:type="spellEnd"/>
      <w:r>
        <w:t xml:space="preserve"> (FOL) and its host plant. </w:t>
      </w:r>
      <w:proofErr w:type="spellStart"/>
      <w:r>
        <w:rPr>
          <w:i/>
        </w:rPr>
        <w:t>Fusarium</w:t>
      </w:r>
      <w:proofErr w:type="spellEnd"/>
      <w:r>
        <w:rPr>
          <w:i/>
        </w:rPr>
        <w:t xml:space="preserve"> </w:t>
      </w:r>
      <w:proofErr w:type="spellStart"/>
      <w:r>
        <w:rPr>
          <w:i/>
        </w:rPr>
        <w:t>oxysporum</w:t>
      </w:r>
      <w:proofErr w:type="spellEnd"/>
      <w:r>
        <w:t xml:space="preserve"> f. sp. </w:t>
      </w:r>
      <w:proofErr w:type="spellStart"/>
      <w:r>
        <w:rPr>
          <w:i/>
        </w:rPr>
        <w:t>lactucae</w:t>
      </w:r>
      <w:proofErr w:type="spellEnd"/>
      <w:r>
        <w:t xml:space="preserve"> (FOL) is a pathogen causing lettuce wilt worldwide (</w:t>
      </w:r>
      <w:proofErr w:type="spellStart"/>
      <w:r>
        <w:t>Matheron</w:t>
      </w:r>
      <w:proofErr w:type="spellEnd"/>
      <w:r>
        <w:t xml:space="preserve"> and </w:t>
      </w:r>
      <w:proofErr w:type="spellStart"/>
      <w:r>
        <w:t>Gullino</w:t>
      </w:r>
      <w:proofErr w:type="spellEnd"/>
      <w:r>
        <w:t>, 2012). The pathogen was</w:t>
      </w:r>
      <w:r w:rsidR="003C0EDF">
        <w:t xml:space="preserve"> first </w:t>
      </w:r>
      <w:r>
        <w:t>reported in Japan as the causal agent of lettuce root rot (</w:t>
      </w:r>
      <w:proofErr w:type="spellStart"/>
      <w:r>
        <w:rPr>
          <w:i/>
        </w:rPr>
        <w:t>Lactuca</w:t>
      </w:r>
      <w:proofErr w:type="spellEnd"/>
      <w:r>
        <w:t xml:space="preserve"> </w:t>
      </w:r>
      <w:r>
        <w:rPr>
          <w:i/>
        </w:rPr>
        <w:t>sativa</w:t>
      </w:r>
      <w:r>
        <w:t xml:space="preserve"> L.) (</w:t>
      </w:r>
      <w:proofErr w:type="spellStart"/>
      <w:r>
        <w:t>Matuo</w:t>
      </w:r>
      <w:proofErr w:type="spellEnd"/>
      <w:r>
        <w:t xml:space="preserve"> and </w:t>
      </w:r>
      <w:proofErr w:type="spellStart"/>
      <w:r>
        <w:t>Motohashi</w:t>
      </w:r>
      <w:proofErr w:type="spellEnd"/>
      <w:r>
        <w:t xml:space="preserve">, 1967). The same pathogen </w:t>
      </w:r>
      <w:r w:rsidR="003C0EDF">
        <w:t xml:space="preserve">has been </w:t>
      </w:r>
      <w:r>
        <w:t xml:space="preserve">reported in the United States (Hubbard and </w:t>
      </w:r>
      <w:proofErr w:type="spellStart"/>
      <w:r>
        <w:t>Gerik</w:t>
      </w:r>
      <w:proofErr w:type="spellEnd"/>
      <w:r>
        <w:t>, 1993), Taiwan (Huang and Lo, 1998), Brazil (Ventura and Costa, 2008), Italy (Garibaldi et al., 2002) and Arizona (</w:t>
      </w:r>
      <w:proofErr w:type="spellStart"/>
      <w:r>
        <w:t>Matheron</w:t>
      </w:r>
      <w:proofErr w:type="spellEnd"/>
      <w:r>
        <w:t xml:space="preserve"> and Koike, 2003).</w:t>
      </w:r>
    </w:p>
    <w:p w:rsidR="00D226A8" w:rsidRDefault="003D008C" w:rsidP="00D226A8">
      <w:pPr>
        <w:spacing w:line="480" w:lineRule="auto"/>
        <w:ind w:firstLine="708"/>
        <w:jc w:val="both"/>
      </w:pPr>
      <w:r>
        <w:t xml:space="preserve">The aim of this work was to study the effect of </w:t>
      </w:r>
      <w:proofErr w:type="spellStart"/>
      <w:r>
        <w:rPr>
          <w:i/>
        </w:rPr>
        <w:t>Fusarium</w:t>
      </w:r>
      <w:proofErr w:type="spellEnd"/>
      <w:r>
        <w:rPr>
          <w:i/>
        </w:rPr>
        <w:t xml:space="preserve"> </w:t>
      </w:r>
      <w:proofErr w:type="spellStart"/>
      <w:r>
        <w:rPr>
          <w:i/>
        </w:rPr>
        <w:t>oxysporum</w:t>
      </w:r>
      <w:proofErr w:type="spellEnd"/>
      <w:r>
        <w:t xml:space="preserve"> </w:t>
      </w:r>
      <w:proofErr w:type="spellStart"/>
      <w:r>
        <w:t>f.sp</w:t>
      </w:r>
      <w:proofErr w:type="spellEnd"/>
      <w:r>
        <w:t xml:space="preserve">. </w:t>
      </w:r>
      <w:proofErr w:type="spellStart"/>
      <w:r>
        <w:rPr>
          <w:i/>
        </w:rPr>
        <w:t>lactucae</w:t>
      </w:r>
      <w:proofErr w:type="spellEnd"/>
      <w:r w:rsidR="00386DDE">
        <w:t>,</w:t>
      </w:r>
      <w:r>
        <w:t xml:space="preserve"> artificially infested in growing substrate, on lettuce plants grown under simulated climate change conditions by altering levels of CO</w:t>
      </w:r>
      <w:r>
        <w:rPr>
          <w:vertAlign w:val="subscript"/>
        </w:rPr>
        <w:t>2</w:t>
      </w:r>
      <w:r>
        <w:t xml:space="preserve"> and temperature in </w:t>
      </w:r>
      <w:proofErr w:type="spellStart"/>
      <w:r>
        <w:t>phytotron</w:t>
      </w:r>
      <w:proofErr w:type="spellEnd"/>
      <w:r>
        <w:t xml:space="preserve"> plant growth chambers.</w:t>
      </w:r>
      <w:r w:rsidR="00D226A8">
        <w:t xml:space="preserve"> </w:t>
      </w:r>
      <w:r w:rsidR="0009664B">
        <w:t>Various t</w:t>
      </w:r>
      <w:r w:rsidR="00D226A8">
        <w:t>emperature and CO</w:t>
      </w:r>
      <w:r w:rsidR="00D226A8">
        <w:rPr>
          <w:vertAlign w:val="subscript"/>
        </w:rPr>
        <w:t>2</w:t>
      </w:r>
      <w:r w:rsidR="00D226A8">
        <w:t xml:space="preserve"> concentration</w:t>
      </w:r>
      <w:r w:rsidR="0009664B">
        <w:t>s</w:t>
      </w:r>
      <w:r w:rsidR="00D226A8">
        <w:t xml:space="preserve"> were chosen</w:t>
      </w:r>
      <w:r w:rsidR="00F96A49">
        <w:t xml:space="preserve"> to</w:t>
      </w:r>
      <w:r w:rsidR="00D226A8">
        <w:t xml:space="preserve"> represent the present </w:t>
      </w:r>
      <w:r w:rsidR="00F96A49">
        <w:t>ambient condition</w:t>
      </w:r>
      <w:r w:rsidR="00E555C1">
        <w:t xml:space="preserve"> under which the disease develops</w:t>
      </w:r>
      <w:r w:rsidR="00D226A8">
        <w:t xml:space="preserve"> and </w:t>
      </w:r>
      <w:r w:rsidR="00E555C1">
        <w:t>its</w:t>
      </w:r>
      <w:r w:rsidR="00D226A8">
        <w:t xml:space="preserve"> possible forecast for the future.</w:t>
      </w:r>
      <w:r w:rsidR="00F96A49">
        <w:t xml:space="preserve"> </w:t>
      </w:r>
      <w:r>
        <w:t xml:space="preserve">To </w:t>
      </w:r>
      <w:r w:rsidR="0009664B">
        <w:t xml:space="preserve">evaluate </w:t>
      </w:r>
      <w:r>
        <w:t xml:space="preserve">the effect of climate change, the disease incidence, microbial cultivable abundance, enzymatic assays, and shifts in fungal communities were </w:t>
      </w:r>
      <w:proofErr w:type="spellStart"/>
      <w:r>
        <w:t>analysed</w:t>
      </w:r>
      <w:proofErr w:type="spellEnd"/>
      <w:r w:rsidR="00B83E05">
        <w:t>.</w:t>
      </w:r>
      <w:r>
        <w:t xml:space="preserve"> </w:t>
      </w:r>
      <w:r w:rsidR="00A16732">
        <w:t xml:space="preserve"> </w:t>
      </w:r>
    </w:p>
    <w:p w:rsidR="006F39CD" w:rsidRDefault="006F39CD">
      <w:pPr>
        <w:spacing w:line="480" w:lineRule="auto"/>
        <w:ind w:firstLine="708"/>
        <w:jc w:val="both"/>
      </w:pPr>
    </w:p>
    <w:p w:rsidR="006F39CD" w:rsidRDefault="006F39CD">
      <w:pPr>
        <w:spacing w:line="360" w:lineRule="auto"/>
      </w:pPr>
    </w:p>
    <w:p w:rsidR="006F39CD" w:rsidRDefault="003D008C">
      <w:pPr>
        <w:spacing w:line="480" w:lineRule="auto"/>
        <w:jc w:val="both"/>
        <w:rPr>
          <w:bCs/>
          <w:i/>
        </w:rPr>
      </w:pPr>
      <w:r>
        <w:rPr>
          <w:b/>
          <w:bCs/>
        </w:rPr>
        <w:t>2. Materials and methods</w:t>
      </w:r>
    </w:p>
    <w:p w:rsidR="006F39CD" w:rsidRDefault="003D008C">
      <w:pPr>
        <w:spacing w:line="480" w:lineRule="auto"/>
        <w:jc w:val="both"/>
        <w:rPr>
          <w:bCs/>
        </w:rPr>
      </w:pPr>
      <w:r>
        <w:rPr>
          <w:bCs/>
          <w:i/>
        </w:rPr>
        <w:t>2.1. Microorganism and inoculum preparation</w:t>
      </w:r>
    </w:p>
    <w:p w:rsidR="006F39CD" w:rsidRDefault="00C965B4">
      <w:pPr>
        <w:spacing w:line="480" w:lineRule="auto"/>
        <w:ind w:firstLine="708"/>
        <w:jc w:val="both"/>
      </w:pPr>
      <w:r>
        <w:rPr>
          <w:bCs/>
          <w:i/>
        </w:rPr>
        <w:t xml:space="preserve">F. </w:t>
      </w:r>
      <w:proofErr w:type="spellStart"/>
      <w:r>
        <w:rPr>
          <w:bCs/>
          <w:i/>
        </w:rPr>
        <w:t>oxysporum</w:t>
      </w:r>
      <w:proofErr w:type="spellEnd"/>
      <w:r>
        <w:rPr>
          <w:bCs/>
        </w:rPr>
        <w:t xml:space="preserve"> f. sp. </w:t>
      </w:r>
      <w:proofErr w:type="spellStart"/>
      <w:r>
        <w:rPr>
          <w:bCs/>
          <w:i/>
        </w:rPr>
        <w:t>lactucae</w:t>
      </w:r>
      <w:proofErr w:type="spellEnd"/>
      <w:r>
        <w:rPr>
          <w:bCs/>
          <w:i/>
        </w:rPr>
        <w:t xml:space="preserve"> </w:t>
      </w:r>
      <w:r>
        <w:rPr>
          <w:bCs/>
        </w:rPr>
        <w:t xml:space="preserve">(FOL) </w:t>
      </w:r>
      <w:r w:rsidR="003D008C">
        <w:rPr>
          <w:bCs/>
        </w:rPr>
        <w:t>strain MYA3040 (</w:t>
      </w:r>
      <w:proofErr w:type="spellStart"/>
      <w:r w:rsidR="003D008C">
        <w:rPr>
          <w:bCs/>
        </w:rPr>
        <w:t>Agroinnova</w:t>
      </w:r>
      <w:proofErr w:type="spellEnd"/>
      <w:r w:rsidR="003D008C">
        <w:rPr>
          <w:bCs/>
        </w:rPr>
        <w:t xml:space="preserve">, Torino) was cultured in Erlenmeyer flasks containing potato dextrose broth (PDB, </w:t>
      </w:r>
      <w:proofErr w:type="spellStart"/>
      <w:r w:rsidR="003D008C">
        <w:rPr>
          <w:bCs/>
        </w:rPr>
        <w:t>Difco</w:t>
      </w:r>
      <w:proofErr w:type="spellEnd"/>
      <w:r w:rsidR="003D008C">
        <w:rPr>
          <w:bCs/>
        </w:rPr>
        <w:t>) plus 25 mg l</w:t>
      </w:r>
      <w:r w:rsidR="003D008C">
        <w:rPr>
          <w:bCs/>
          <w:vertAlign w:val="superscript"/>
        </w:rPr>
        <w:t xml:space="preserve">-1 </w:t>
      </w:r>
      <w:r w:rsidR="003D008C">
        <w:rPr>
          <w:bCs/>
        </w:rPr>
        <w:t>streptomycin (</w:t>
      </w:r>
      <w:proofErr w:type="spellStart"/>
      <w:r w:rsidR="003D008C">
        <w:rPr>
          <w:bCs/>
        </w:rPr>
        <w:t>AppliChem</w:t>
      </w:r>
      <w:proofErr w:type="spellEnd"/>
      <w:r w:rsidR="003D008C">
        <w:rPr>
          <w:bCs/>
        </w:rPr>
        <w:t xml:space="preserve">) </w:t>
      </w:r>
      <w:r>
        <w:rPr>
          <w:bCs/>
        </w:rPr>
        <w:t xml:space="preserve">for 10 days </w:t>
      </w:r>
      <w:r w:rsidR="003D008C">
        <w:rPr>
          <w:bCs/>
        </w:rPr>
        <w:t xml:space="preserve">at 25 °C. </w:t>
      </w:r>
      <w:proofErr w:type="spellStart"/>
      <w:r w:rsidR="003D008C">
        <w:rPr>
          <w:bCs/>
        </w:rPr>
        <w:t>Chlamydospores</w:t>
      </w:r>
      <w:proofErr w:type="spellEnd"/>
      <w:r w:rsidR="003D008C">
        <w:rPr>
          <w:bCs/>
        </w:rPr>
        <w:t xml:space="preserve"> were recovered by centrifugation for 20 min at 6000 x </w:t>
      </w:r>
      <w:r w:rsidR="003D008C">
        <w:rPr>
          <w:bCs/>
          <w:i/>
        </w:rPr>
        <w:t xml:space="preserve">g </w:t>
      </w:r>
      <w:r w:rsidR="003D008C">
        <w:rPr>
          <w:bCs/>
        </w:rPr>
        <w:t>at 15 °C, follow</w:t>
      </w:r>
      <w:r>
        <w:rPr>
          <w:bCs/>
        </w:rPr>
        <w:t>ed by</w:t>
      </w:r>
      <w:r w:rsidR="003D008C">
        <w:rPr>
          <w:bCs/>
        </w:rPr>
        <w:t xml:space="preserve"> removal of mycelia fragments by sieving through cheesecloth. </w:t>
      </w:r>
      <w:proofErr w:type="spellStart"/>
      <w:r w:rsidR="003D008C">
        <w:rPr>
          <w:bCs/>
        </w:rPr>
        <w:lastRenderedPageBreak/>
        <w:t>Chlamydospore</w:t>
      </w:r>
      <w:proofErr w:type="spellEnd"/>
      <w:r w:rsidR="003D008C">
        <w:rPr>
          <w:bCs/>
        </w:rPr>
        <w:t xml:space="preserve"> suspensions were dried and mixed with sterile talc (Locke and </w:t>
      </w:r>
      <w:proofErr w:type="spellStart"/>
      <w:r w:rsidR="003D008C">
        <w:rPr>
          <w:bCs/>
        </w:rPr>
        <w:t>Colhoun</w:t>
      </w:r>
      <w:proofErr w:type="spellEnd"/>
      <w:r w:rsidR="003D008C">
        <w:rPr>
          <w:bCs/>
        </w:rPr>
        <w:t>, 1974) and stored at room temperature for further use.</w:t>
      </w:r>
    </w:p>
    <w:p w:rsidR="006F39CD" w:rsidRDefault="006F39CD">
      <w:pPr>
        <w:spacing w:line="480" w:lineRule="auto"/>
        <w:ind w:firstLine="708"/>
        <w:jc w:val="both"/>
      </w:pPr>
    </w:p>
    <w:p w:rsidR="006F39CD" w:rsidRDefault="003D008C">
      <w:pPr>
        <w:spacing w:line="480" w:lineRule="auto"/>
        <w:jc w:val="both"/>
        <w:rPr>
          <w:bCs/>
        </w:rPr>
      </w:pPr>
      <w:r>
        <w:rPr>
          <w:i/>
        </w:rPr>
        <w:t xml:space="preserve">2.2. Plant growth and experimental design  </w:t>
      </w:r>
    </w:p>
    <w:p w:rsidR="00243CE4" w:rsidRDefault="003D008C">
      <w:pPr>
        <w:spacing w:line="480" w:lineRule="auto"/>
        <w:ind w:firstLine="708"/>
        <w:jc w:val="both"/>
        <w:rPr>
          <w:bCs/>
        </w:rPr>
      </w:pPr>
      <w:r>
        <w:rPr>
          <w:bCs/>
        </w:rPr>
        <w:t xml:space="preserve">Plastic tanks containing 100 l of a mixture of peat-perlite substrate (1:3 v/v) (Tecno2, </w:t>
      </w:r>
      <w:proofErr w:type="spellStart"/>
      <w:r>
        <w:rPr>
          <w:bCs/>
        </w:rPr>
        <w:t>Turco</w:t>
      </w:r>
      <w:proofErr w:type="spellEnd"/>
      <w:r>
        <w:rPr>
          <w:bCs/>
        </w:rPr>
        <w:t xml:space="preserve"> </w:t>
      </w:r>
      <w:proofErr w:type="spellStart"/>
      <w:r>
        <w:rPr>
          <w:bCs/>
        </w:rPr>
        <w:t>Silvestro</w:t>
      </w:r>
      <w:proofErr w:type="spellEnd"/>
      <w:r>
        <w:rPr>
          <w:bCs/>
        </w:rPr>
        <w:t xml:space="preserve"> sphagnum peat moss, </w:t>
      </w:r>
      <w:proofErr w:type="spellStart"/>
      <w:r>
        <w:rPr>
          <w:bCs/>
        </w:rPr>
        <w:t>Albenga</w:t>
      </w:r>
      <w:proofErr w:type="spellEnd"/>
      <w:r>
        <w:rPr>
          <w:bCs/>
        </w:rPr>
        <w:t xml:space="preserve">, Italy; pH 6, salinity 0.56 </w:t>
      </w:r>
      <w:proofErr w:type="spellStart"/>
      <w:r>
        <w:rPr>
          <w:bCs/>
        </w:rPr>
        <w:t>mS</w:t>
      </w:r>
      <w:proofErr w:type="spellEnd"/>
      <w:r>
        <w:rPr>
          <w:bCs/>
        </w:rPr>
        <w:t xml:space="preserve"> cm</w:t>
      </w:r>
      <w:r>
        <w:rPr>
          <w:bCs/>
          <w:vertAlign w:val="superscript"/>
        </w:rPr>
        <w:t>-1</w:t>
      </w:r>
      <w:r>
        <w:rPr>
          <w:bCs/>
        </w:rPr>
        <w:t>, porosity 90%, density 150 kg m</w:t>
      </w:r>
      <w:r>
        <w:rPr>
          <w:bCs/>
          <w:vertAlign w:val="superscript"/>
        </w:rPr>
        <w:t>-3</w:t>
      </w:r>
      <w:r>
        <w:rPr>
          <w:bCs/>
        </w:rPr>
        <w:t>) were artificially infested with FOL to reach a final concentration of 1×10</w:t>
      </w:r>
      <w:r>
        <w:rPr>
          <w:bCs/>
          <w:vertAlign w:val="superscript"/>
        </w:rPr>
        <w:t xml:space="preserve">4 </w:t>
      </w:r>
      <w:r>
        <w:rPr>
          <w:bCs/>
        </w:rPr>
        <w:t>CFU g</w:t>
      </w:r>
      <w:r>
        <w:rPr>
          <w:bCs/>
          <w:vertAlign w:val="superscript"/>
        </w:rPr>
        <w:t>-1</w:t>
      </w:r>
      <w:r>
        <w:rPr>
          <w:bCs/>
        </w:rPr>
        <w:t xml:space="preserve"> of substrate. A non</w:t>
      </w:r>
      <w:r w:rsidR="00243CE4">
        <w:rPr>
          <w:bCs/>
        </w:rPr>
        <w:t>-</w:t>
      </w:r>
      <w:r>
        <w:rPr>
          <w:bCs/>
        </w:rPr>
        <w:t>infested tank was used as control.</w:t>
      </w:r>
      <w:r>
        <w:t xml:space="preserve"> </w:t>
      </w:r>
      <w:r>
        <w:rPr>
          <w:bCs/>
        </w:rPr>
        <w:t>Subsequently, 32 pots (2</w:t>
      </w:r>
      <w:r w:rsidR="00243CE4">
        <w:rPr>
          <w:bCs/>
        </w:rPr>
        <w:t xml:space="preserve"> </w:t>
      </w:r>
      <w:r>
        <w:rPr>
          <w:bCs/>
        </w:rPr>
        <w:t>l each) were prepared from the infested tank and 32 pots were prepared from the non</w:t>
      </w:r>
      <w:r w:rsidR="00243CE4">
        <w:rPr>
          <w:bCs/>
        </w:rPr>
        <w:t>-</w:t>
      </w:r>
      <w:r>
        <w:rPr>
          <w:bCs/>
        </w:rPr>
        <w:t>infested tank</w:t>
      </w:r>
      <w:r w:rsidR="00B83E05">
        <w:rPr>
          <w:bCs/>
        </w:rPr>
        <w:t xml:space="preserve"> </w:t>
      </w:r>
      <w:r>
        <w:rPr>
          <w:bCs/>
        </w:rPr>
        <w:t xml:space="preserve">(control). Lettuce plants were then transplanted (2 plants/pot), </w:t>
      </w:r>
      <w:r w:rsidR="00243CE4">
        <w:rPr>
          <w:bCs/>
        </w:rPr>
        <w:t xml:space="preserve">and </w:t>
      </w:r>
      <w:r>
        <w:rPr>
          <w:bCs/>
        </w:rPr>
        <w:t>8</w:t>
      </w:r>
      <w:r w:rsidR="00243CE4">
        <w:rPr>
          <w:bCs/>
        </w:rPr>
        <w:t xml:space="preserve"> pots of both</w:t>
      </w:r>
      <w:r>
        <w:rPr>
          <w:bCs/>
        </w:rPr>
        <w:t xml:space="preserve"> infested and non</w:t>
      </w:r>
      <w:r w:rsidR="00243CE4">
        <w:rPr>
          <w:bCs/>
        </w:rPr>
        <w:t>-</w:t>
      </w:r>
      <w:r>
        <w:rPr>
          <w:bCs/>
        </w:rPr>
        <w:t xml:space="preserve">infested </w:t>
      </w:r>
      <w:r w:rsidR="00243CE4">
        <w:rPr>
          <w:bCs/>
        </w:rPr>
        <w:t xml:space="preserve">substrate </w:t>
      </w:r>
      <w:r>
        <w:rPr>
          <w:bCs/>
        </w:rPr>
        <w:t xml:space="preserve">were laid in 4 different </w:t>
      </w:r>
      <w:proofErr w:type="spellStart"/>
      <w:r>
        <w:rPr>
          <w:iCs/>
        </w:rPr>
        <w:t>phytotrons</w:t>
      </w:r>
      <w:proofErr w:type="spellEnd"/>
      <w:r>
        <w:t xml:space="preserve"> </w:t>
      </w:r>
      <w:r>
        <w:rPr>
          <w:bCs/>
        </w:rPr>
        <w:t>(32 plants/</w:t>
      </w:r>
      <w:proofErr w:type="spellStart"/>
      <w:r>
        <w:rPr>
          <w:iCs/>
        </w:rPr>
        <w:t>phytotron</w:t>
      </w:r>
      <w:proofErr w:type="spellEnd"/>
      <w:r>
        <w:rPr>
          <w:bCs/>
        </w:rPr>
        <w:t xml:space="preserve">; PGC 9.2, TECNO.EL, Italy). </w:t>
      </w:r>
      <w:r w:rsidR="00243CE4">
        <w:rPr>
          <w:bCs/>
        </w:rPr>
        <w:t>Each</w:t>
      </w:r>
      <w:r>
        <w:rPr>
          <w:bCs/>
        </w:rPr>
        <w:t xml:space="preserve"> replicate consisted of 2 pots </w:t>
      </w:r>
      <w:r w:rsidR="00243CE4">
        <w:rPr>
          <w:bCs/>
        </w:rPr>
        <w:t xml:space="preserve">with </w:t>
      </w:r>
      <w:r>
        <w:rPr>
          <w:bCs/>
        </w:rPr>
        <w:t xml:space="preserve">4 plants. </w:t>
      </w:r>
    </w:p>
    <w:p w:rsidR="006F39CD" w:rsidRDefault="003D008C">
      <w:pPr>
        <w:spacing w:line="480" w:lineRule="auto"/>
        <w:ind w:firstLine="708"/>
        <w:jc w:val="both"/>
        <w:rPr>
          <w:bCs/>
        </w:rPr>
      </w:pPr>
      <w:r>
        <w:t xml:space="preserve">Plants of </w:t>
      </w:r>
      <w:r>
        <w:rPr>
          <w:i/>
        </w:rPr>
        <w:t>L</w:t>
      </w:r>
      <w:r>
        <w:t xml:space="preserve">. </w:t>
      </w:r>
      <w:r>
        <w:rPr>
          <w:i/>
        </w:rPr>
        <w:t>sativa</w:t>
      </w:r>
      <w:r>
        <w:t xml:space="preserve"> </w:t>
      </w:r>
      <w:proofErr w:type="spellStart"/>
      <w:r>
        <w:t>cv</w:t>
      </w:r>
      <w:proofErr w:type="spellEnd"/>
      <w:r>
        <w:t xml:space="preserve"> </w:t>
      </w:r>
      <w:proofErr w:type="spellStart"/>
      <w:r>
        <w:t>Crispilla</w:t>
      </w:r>
      <w:proofErr w:type="spellEnd"/>
      <w:r>
        <w:t xml:space="preserve"> Bianca were sown in plug trays and kept at 20-26 °C, 70% </w:t>
      </w:r>
      <w:r w:rsidR="00B83E05">
        <w:t>r</w:t>
      </w:r>
      <w:r w:rsidR="00B83E05" w:rsidRPr="00B83E05">
        <w:t xml:space="preserve">elative humidity </w:t>
      </w:r>
      <w:r w:rsidR="00B83E05">
        <w:t>(</w:t>
      </w:r>
      <w:r>
        <w:t>RH</w:t>
      </w:r>
      <w:r w:rsidR="00B83E05">
        <w:t>)</w:t>
      </w:r>
      <w:r>
        <w:t xml:space="preserve"> and natural light condition</w:t>
      </w:r>
      <w:r w:rsidR="002C61F2">
        <w:t>s</w:t>
      </w:r>
      <w:r>
        <w:t xml:space="preserve">. After 15 days, when the first seedling-leaves had developed, lettuce plants were transferred </w:t>
      </w:r>
      <w:r w:rsidR="002C61F2">
        <w:t xml:space="preserve">to </w:t>
      </w:r>
      <w:proofErr w:type="spellStart"/>
      <w:r>
        <w:t>phytotron</w:t>
      </w:r>
      <w:proofErr w:type="spellEnd"/>
      <w:r>
        <w:t xml:space="preserve"> conditions for 7 days before transplanting in the infested and non</w:t>
      </w:r>
      <w:r w:rsidR="002C61F2">
        <w:t>-</w:t>
      </w:r>
      <w:r>
        <w:t xml:space="preserve">infested substrate. </w:t>
      </w:r>
      <w:r>
        <w:rPr>
          <w:bCs/>
        </w:rPr>
        <w:t xml:space="preserve">Each of the 4 </w:t>
      </w:r>
      <w:proofErr w:type="spellStart"/>
      <w:r>
        <w:rPr>
          <w:iCs/>
        </w:rPr>
        <w:t>phytotrons</w:t>
      </w:r>
      <w:proofErr w:type="spellEnd"/>
      <w:r>
        <w:rPr>
          <w:iCs/>
        </w:rPr>
        <w:t xml:space="preserve"> w</w:t>
      </w:r>
      <w:r w:rsidR="002C61F2">
        <w:rPr>
          <w:iCs/>
        </w:rPr>
        <w:t>ere</w:t>
      </w:r>
      <w:r>
        <w:rPr>
          <w:iCs/>
        </w:rPr>
        <w:t xml:space="preserve"> operated under </w:t>
      </w:r>
      <w:r>
        <w:rPr>
          <w:bCs/>
        </w:rPr>
        <w:t>different combinations of temperature and CO</w:t>
      </w:r>
      <w:r>
        <w:rPr>
          <w:bCs/>
          <w:vertAlign w:val="subscript"/>
        </w:rPr>
        <w:t xml:space="preserve">2 </w:t>
      </w:r>
      <w:r>
        <w:t xml:space="preserve">as </w:t>
      </w:r>
      <w:r>
        <w:rPr>
          <w:bCs/>
        </w:rPr>
        <w:t>follows</w:t>
      </w:r>
      <w:r w:rsidR="002C61F2">
        <w:rPr>
          <w:bCs/>
        </w:rPr>
        <w:t>:</w:t>
      </w:r>
      <w:r>
        <w:rPr>
          <w:bCs/>
        </w:rPr>
        <w:t xml:space="preserve"> </w:t>
      </w:r>
      <w:proofErr w:type="spellStart"/>
      <w:r w:rsidR="002C61F2">
        <w:rPr>
          <w:bCs/>
        </w:rPr>
        <w:t>p</w:t>
      </w:r>
      <w:r>
        <w:rPr>
          <w:bCs/>
        </w:rPr>
        <w:t>hytotron</w:t>
      </w:r>
      <w:proofErr w:type="spellEnd"/>
      <w:r>
        <w:rPr>
          <w:bCs/>
        </w:rPr>
        <w:t xml:space="preserve"> 1: 800 </w:t>
      </w:r>
      <w:proofErr w:type="spellStart"/>
      <w:r>
        <w:rPr>
          <w:bCs/>
        </w:rPr>
        <w:t>ppm</w:t>
      </w:r>
      <w:proofErr w:type="spellEnd"/>
      <w:r>
        <w:rPr>
          <w:bCs/>
        </w:rPr>
        <w:t xml:space="preserve"> CO</w:t>
      </w:r>
      <w:r>
        <w:rPr>
          <w:bCs/>
          <w:vertAlign w:val="subscript"/>
        </w:rPr>
        <w:t>2</w:t>
      </w:r>
      <w:r w:rsidR="002C61F2">
        <w:rPr>
          <w:bCs/>
          <w:vertAlign w:val="subscript"/>
        </w:rPr>
        <w:t>,</w:t>
      </w:r>
      <w:r>
        <w:rPr>
          <w:bCs/>
        </w:rPr>
        <w:t xml:space="preserve"> 22-26 °C; </w:t>
      </w:r>
      <w:proofErr w:type="spellStart"/>
      <w:r>
        <w:rPr>
          <w:bCs/>
        </w:rPr>
        <w:t>phytotron</w:t>
      </w:r>
      <w:proofErr w:type="spellEnd"/>
      <w:r>
        <w:rPr>
          <w:bCs/>
        </w:rPr>
        <w:t xml:space="preserve"> 2: 800 </w:t>
      </w:r>
      <w:proofErr w:type="spellStart"/>
      <w:r>
        <w:rPr>
          <w:bCs/>
        </w:rPr>
        <w:t>ppm</w:t>
      </w:r>
      <w:proofErr w:type="spellEnd"/>
      <w:r>
        <w:rPr>
          <w:bCs/>
        </w:rPr>
        <w:t xml:space="preserve"> CO</w:t>
      </w:r>
      <w:r>
        <w:rPr>
          <w:bCs/>
          <w:vertAlign w:val="subscript"/>
        </w:rPr>
        <w:t>2</w:t>
      </w:r>
      <w:r w:rsidR="002C61F2">
        <w:rPr>
          <w:bCs/>
          <w:vertAlign w:val="subscript"/>
        </w:rPr>
        <w:t>,</w:t>
      </w:r>
      <w:r>
        <w:rPr>
          <w:bCs/>
        </w:rPr>
        <w:t xml:space="preserve"> 18-22 °C; </w:t>
      </w:r>
      <w:proofErr w:type="spellStart"/>
      <w:r>
        <w:rPr>
          <w:bCs/>
        </w:rPr>
        <w:t>phytotron</w:t>
      </w:r>
      <w:proofErr w:type="spellEnd"/>
      <w:r>
        <w:rPr>
          <w:bCs/>
        </w:rPr>
        <w:t xml:space="preserve"> 3: 400 </w:t>
      </w:r>
      <w:proofErr w:type="spellStart"/>
      <w:r>
        <w:rPr>
          <w:bCs/>
        </w:rPr>
        <w:t>ppm</w:t>
      </w:r>
      <w:proofErr w:type="spellEnd"/>
      <w:r>
        <w:rPr>
          <w:bCs/>
        </w:rPr>
        <w:t xml:space="preserve"> CO</w:t>
      </w:r>
      <w:r>
        <w:rPr>
          <w:bCs/>
          <w:vertAlign w:val="subscript"/>
        </w:rPr>
        <w:t>2</w:t>
      </w:r>
      <w:r w:rsidR="002C61F2">
        <w:rPr>
          <w:bCs/>
          <w:vertAlign w:val="subscript"/>
        </w:rPr>
        <w:t>,</w:t>
      </w:r>
      <w:r>
        <w:rPr>
          <w:bCs/>
        </w:rPr>
        <w:t xml:space="preserve"> 22-26 °C; </w:t>
      </w:r>
      <w:proofErr w:type="spellStart"/>
      <w:r>
        <w:rPr>
          <w:bCs/>
        </w:rPr>
        <w:t>phytotron</w:t>
      </w:r>
      <w:proofErr w:type="spellEnd"/>
      <w:r>
        <w:rPr>
          <w:bCs/>
        </w:rPr>
        <w:t xml:space="preserve"> 4: 400 </w:t>
      </w:r>
      <w:proofErr w:type="spellStart"/>
      <w:r>
        <w:rPr>
          <w:bCs/>
        </w:rPr>
        <w:t>ppm</w:t>
      </w:r>
      <w:proofErr w:type="spellEnd"/>
      <w:r>
        <w:rPr>
          <w:bCs/>
        </w:rPr>
        <w:t xml:space="preserve"> CO</w:t>
      </w:r>
      <w:r>
        <w:rPr>
          <w:bCs/>
          <w:vertAlign w:val="subscript"/>
        </w:rPr>
        <w:t>2</w:t>
      </w:r>
      <w:r w:rsidR="002C61F2">
        <w:rPr>
          <w:bCs/>
          <w:vertAlign w:val="subscript"/>
        </w:rPr>
        <w:t>,</w:t>
      </w:r>
      <w:r>
        <w:rPr>
          <w:bCs/>
        </w:rPr>
        <w:t xml:space="preserve"> 18-22 °C. Other relevant parameters </w:t>
      </w:r>
      <w:r w:rsidR="002C61F2">
        <w:rPr>
          <w:bCs/>
        </w:rPr>
        <w:t xml:space="preserve">such as </w:t>
      </w:r>
      <w:r>
        <w:rPr>
          <w:bCs/>
        </w:rPr>
        <w:t xml:space="preserve">light and humidity were regulated in the same way for all </w:t>
      </w:r>
      <w:proofErr w:type="spellStart"/>
      <w:r>
        <w:rPr>
          <w:bCs/>
        </w:rPr>
        <w:t>phytotrons</w:t>
      </w:r>
      <w:proofErr w:type="spellEnd"/>
      <w:r>
        <w:rPr>
          <w:bCs/>
        </w:rPr>
        <w:t xml:space="preserve"> in order to simulate natural conditions. Seven, 14, 21, and 28 days after transplanting, soil samples were taken from each </w:t>
      </w:r>
      <w:proofErr w:type="spellStart"/>
      <w:r>
        <w:rPr>
          <w:bCs/>
        </w:rPr>
        <w:t>phytotron</w:t>
      </w:r>
      <w:proofErr w:type="spellEnd"/>
      <w:r>
        <w:rPr>
          <w:bCs/>
        </w:rPr>
        <w:t xml:space="preserve"> for further analysis. The experiment was carried out three times. </w:t>
      </w:r>
    </w:p>
    <w:p w:rsidR="006F39CD" w:rsidRDefault="006F39CD">
      <w:pPr>
        <w:spacing w:line="480" w:lineRule="auto"/>
        <w:jc w:val="both"/>
        <w:rPr>
          <w:bCs/>
        </w:rPr>
      </w:pPr>
    </w:p>
    <w:p w:rsidR="006F39CD" w:rsidRDefault="003D008C">
      <w:pPr>
        <w:jc w:val="both"/>
      </w:pPr>
      <w:r>
        <w:rPr>
          <w:i/>
        </w:rPr>
        <w:t>2.3. Disease incidence</w:t>
      </w:r>
    </w:p>
    <w:p w:rsidR="006F39CD" w:rsidRDefault="006F39CD">
      <w:pPr>
        <w:jc w:val="both"/>
      </w:pPr>
    </w:p>
    <w:p w:rsidR="006F39CD" w:rsidRDefault="003D008C">
      <w:pPr>
        <w:spacing w:line="480" w:lineRule="auto"/>
        <w:ind w:firstLine="708"/>
        <w:jc w:val="both"/>
      </w:pPr>
      <w:r>
        <w:t xml:space="preserve">The </w:t>
      </w:r>
      <w:r w:rsidR="00D45E2F">
        <w:t xml:space="preserve">plants were </w:t>
      </w:r>
      <w:r>
        <w:t xml:space="preserve">checked weekly for </w:t>
      </w:r>
      <w:r w:rsidR="00D45E2F">
        <w:t xml:space="preserve">FOL </w:t>
      </w:r>
      <w:r>
        <w:t>disease development by monitoring the severity of symptoms with the use of a disease index rating from 0 to 100</w:t>
      </w:r>
      <w:r w:rsidR="00B83E05">
        <w:t xml:space="preserve">; </w:t>
      </w:r>
      <w:r>
        <w:t xml:space="preserve">0 corresponding to no infection; 25, </w:t>
      </w:r>
      <w:r>
        <w:lastRenderedPageBreak/>
        <w:t xml:space="preserve">initial symptoms of leaf </w:t>
      </w:r>
      <w:proofErr w:type="spellStart"/>
      <w:r>
        <w:t>chlorosis</w:t>
      </w:r>
      <w:proofErr w:type="spellEnd"/>
      <w:r>
        <w:t xml:space="preserve">, one or two yellow leaves; 50, severe leaf </w:t>
      </w:r>
      <w:proofErr w:type="spellStart"/>
      <w:r>
        <w:t>chlorosis</w:t>
      </w:r>
      <w:proofErr w:type="spellEnd"/>
      <w:r>
        <w:t xml:space="preserve">, growth reduction and initial wilting; 75, incipient symptoms of leaf </w:t>
      </w:r>
      <w:proofErr w:type="spellStart"/>
      <w:r>
        <w:t>chlorosis</w:t>
      </w:r>
      <w:proofErr w:type="spellEnd"/>
      <w:r>
        <w:t xml:space="preserve"> and growth inhibition and severe wilting; 100, leaves totally yellow, wilting of plants followed by death, as previously reported (Garibaldi et al., 2004). </w:t>
      </w:r>
    </w:p>
    <w:p w:rsidR="006F39CD" w:rsidRDefault="003D008C">
      <w:pPr>
        <w:spacing w:line="480" w:lineRule="auto"/>
        <w:ind w:firstLine="708"/>
        <w:jc w:val="both"/>
      </w:pPr>
      <w:r>
        <w:t xml:space="preserve">The final disease index was determined at the end of each </w:t>
      </w:r>
      <w:r w:rsidR="00D45E2F">
        <w:t xml:space="preserve">8 pot </w:t>
      </w:r>
      <w:r>
        <w:t>experiment</w:t>
      </w:r>
      <w:r>
        <w:rPr>
          <w:bCs/>
        </w:rPr>
        <w:t xml:space="preserve"> </w:t>
      </w:r>
      <w:r w:rsidR="00D45E2F">
        <w:rPr>
          <w:bCs/>
        </w:rPr>
        <w:t xml:space="preserve">per </w:t>
      </w:r>
      <w:proofErr w:type="spellStart"/>
      <w:r w:rsidR="00D45E2F">
        <w:rPr>
          <w:bCs/>
        </w:rPr>
        <w:t>phytotron</w:t>
      </w:r>
      <w:proofErr w:type="spellEnd"/>
      <w:r w:rsidR="00D45E2F">
        <w:rPr>
          <w:bCs/>
        </w:rPr>
        <w:t xml:space="preserve"> </w:t>
      </w:r>
      <w:r>
        <w:rPr>
          <w:bCs/>
        </w:rPr>
        <w:t>(16 plants from infested samples and 16 plants from control samples)</w:t>
      </w:r>
      <w:r>
        <w:t xml:space="preserve">. </w:t>
      </w:r>
      <w:r w:rsidR="00D45E2F">
        <w:t xml:space="preserve">Following </w:t>
      </w:r>
      <w:r>
        <w:t xml:space="preserve">harvest of each replicate, stem sections of wilted plants were cut and placed on </w:t>
      </w:r>
      <w:proofErr w:type="spellStart"/>
      <w:r>
        <w:t>Komada</w:t>
      </w:r>
      <w:proofErr w:type="spellEnd"/>
      <w:r>
        <w:t xml:space="preserve"> medium (</w:t>
      </w:r>
      <w:proofErr w:type="spellStart"/>
      <w:r>
        <w:t>Komada</w:t>
      </w:r>
      <w:proofErr w:type="spellEnd"/>
      <w:r>
        <w:t xml:space="preserve">, 1975) to confirm the presence of the wilt pathogen. </w:t>
      </w:r>
      <w:r>
        <w:rPr>
          <w:bCs/>
        </w:rPr>
        <w:t xml:space="preserve">At the last assessment, </w:t>
      </w:r>
      <w:r>
        <w:t xml:space="preserve">the fresh weight (FW) of </w:t>
      </w:r>
      <w:r>
        <w:rPr>
          <w:bCs/>
        </w:rPr>
        <w:t>the</w:t>
      </w:r>
      <w:r>
        <w:t xml:space="preserve"> survey plants </w:t>
      </w:r>
      <w:r>
        <w:rPr>
          <w:bCs/>
        </w:rPr>
        <w:t>was also measured</w:t>
      </w:r>
      <w:r>
        <w:t xml:space="preserve">. </w:t>
      </w:r>
    </w:p>
    <w:p w:rsidR="006F39CD" w:rsidRDefault="006F39CD">
      <w:pPr>
        <w:spacing w:line="480" w:lineRule="auto"/>
        <w:jc w:val="both"/>
      </w:pPr>
    </w:p>
    <w:p w:rsidR="006F39CD" w:rsidRDefault="003D008C">
      <w:pPr>
        <w:spacing w:line="480" w:lineRule="auto"/>
        <w:jc w:val="both"/>
      </w:pPr>
      <w:r>
        <w:rPr>
          <w:bCs/>
          <w:i/>
        </w:rPr>
        <w:t xml:space="preserve">2.4. </w:t>
      </w:r>
      <w:r>
        <w:rPr>
          <w:i/>
        </w:rPr>
        <w:t>Microbial analysis</w:t>
      </w:r>
    </w:p>
    <w:p w:rsidR="006F39CD" w:rsidRDefault="003D008C">
      <w:pPr>
        <w:spacing w:line="480" w:lineRule="auto"/>
        <w:ind w:firstLine="708"/>
        <w:jc w:val="both"/>
        <w:rPr>
          <w:bCs/>
        </w:rPr>
      </w:pPr>
      <w:r>
        <w:t>Substrate samples (25 g) were taken (at 1-30 cm depth) from 4 pots per sample (infested and control) in sterilized polyethylene bags using sterilized spatula</w:t>
      </w:r>
      <w:r w:rsidR="00B871D6">
        <w:t>,</w:t>
      </w:r>
      <w:r>
        <w:t xml:space="preserve"> and stored at 4 ºC until examination. Samples were passed through a sieve (1.7 mm mesh) to remove debris and vegetation</w:t>
      </w:r>
      <w:r w:rsidR="00B871D6">
        <w:t>,</w:t>
      </w:r>
      <w:r>
        <w:t xml:space="preserve"> and </w:t>
      </w:r>
      <w:r>
        <w:rPr>
          <w:bCs/>
        </w:rPr>
        <w:t xml:space="preserve">mixed </w:t>
      </w:r>
      <w:r w:rsidR="00B871D6">
        <w:rPr>
          <w:bCs/>
        </w:rPr>
        <w:t>at room temperature for 30 min</w:t>
      </w:r>
      <w:r w:rsidR="00B871D6">
        <w:t xml:space="preserve"> </w:t>
      </w:r>
      <w:r w:rsidR="00B871D6">
        <w:rPr>
          <w:bCs/>
        </w:rPr>
        <w:t>with 225 ml of quarter strength Ringer’s solution (M</w:t>
      </w:r>
      <w:r w:rsidR="00B871D6">
        <w:t>erck, Germany</w:t>
      </w:r>
      <w:r w:rsidR="00B871D6">
        <w:rPr>
          <w:bCs/>
        </w:rPr>
        <w:t xml:space="preserve">) </w:t>
      </w:r>
      <w:r>
        <w:t>in sterilized polyethylene bags</w:t>
      </w:r>
      <w:r>
        <w:rPr>
          <w:bCs/>
        </w:rPr>
        <w:t xml:space="preserve">. Decimal dilutions in quarter strength Ringer’s solution were prepared and </w:t>
      </w:r>
      <w:r w:rsidR="00B871D6">
        <w:rPr>
          <w:bCs/>
        </w:rPr>
        <w:t xml:space="preserve">1 ml </w:t>
      </w:r>
      <w:r>
        <w:rPr>
          <w:bCs/>
        </w:rPr>
        <w:t xml:space="preserve">aliquots of the appropriate dilutions were poured in triplicate </w:t>
      </w:r>
      <w:r w:rsidR="00B871D6">
        <w:t>on to the following</w:t>
      </w:r>
      <w:r>
        <w:t xml:space="preserve"> selective media</w:t>
      </w:r>
      <w:r>
        <w:rPr>
          <w:bCs/>
        </w:rPr>
        <w:t xml:space="preserve">: plate count agar (PCA, </w:t>
      </w:r>
      <w:proofErr w:type="spellStart"/>
      <w:r>
        <w:rPr>
          <w:bCs/>
        </w:rPr>
        <w:t>Oxoid</w:t>
      </w:r>
      <w:proofErr w:type="spellEnd"/>
      <w:r>
        <w:rPr>
          <w:bCs/>
        </w:rPr>
        <w:t xml:space="preserve">, Milan) incubated at 28 °C for 42 h for total bacterial counts (TBC) of </w:t>
      </w:r>
      <w:proofErr w:type="spellStart"/>
      <w:r>
        <w:rPr>
          <w:bCs/>
        </w:rPr>
        <w:t>mesophilic</w:t>
      </w:r>
      <w:proofErr w:type="spellEnd"/>
      <w:r>
        <w:rPr>
          <w:bCs/>
        </w:rPr>
        <w:t xml:space="preserve"> bacteria, and </w:t>
      </w:r>
      <w:proofErr w:type="spellStart"/>
      <w:r>
        <w:rPr>
          <w:bCs/>
        </w:rPr>
        <w:t>Komada</w:t>
      </w:r>
      <w:proofErr w:type="spellEnd"/>
      <w:r>
        <w:rPr>
          <w:bCs/>
        </w:rPr>
        <w:t xml:space="preserve"> medium (</w:t>
      </w:r>
      <w:proofErr w:type="spellStart"/>
      <w:r>
        <w:rPr>
          <w:bCs/>
        </w:rPr>
        <w:t>Komada</w:t>
      </w:r>
      <w:proofErr w:type="spellEnd"/>
      <w:r>
        <w:rPr>
          <w:bCs/>
        </w:rPr>
        <w:t>, 1975)</w:t>
      </w:r>
      <w:r>
        <w:rPr>
          <w:iCs/>
        </w:rPr>
        <w:t xml:space="preserve"> </w:t>
      </w:r>
      <w:r>
        <w:rPr>
          <w:bCs/>
        </w:rPr>
        <w:t xml:space="preserve">kept at room temperature for 7 days for enumeration of </w:t>
      </w:r>
      <w:proofErr w:type="spellStart"/>
      <w:r>
        <w:rPr>
          <w:bCs/>
          <w:i/>
        </w:rPr>
        <w:t>Fusarium</w:t>
      </w:r>
      <w:proofErr w:type="spellEnd"/>
      <w:r>
        <w:rPr>
          <w:bCs/>
          <w:i/>
        </w:rPr>
        <w:t xml:space="preserve"> </w:t>
      </w:r>
      <w:r>
        <w:rPr>
          <w:bCs/>
        </w:rPr>
        <w:t xml:space="preserve">spp. Results were calculated as the mean of Log counts for three replicates. </w:t>
      </w:r>
    </w:p>
    <w:p w:rsidR="006F39CD" w:rsidRDefault="006F39CD">
      <w:pPr>
        <w:spacing w:line="480" w:lineRule="auto"/>
        <w:jc w:val="both"/>
        <w:rPr>
          <w:bCs/>
        </w:rPr>
      </w:pPr>
    </w:p>
    <w:p w:rsidR="006F39CD" w:rsidRDefault="003D008C">
      <w:pPr>
        <w:spacing w:line="480" w:lineRule="auto"/>
        <w:jc w:val="both"/>
      </w:pPr>
      <w:r>
        <w:rPr>
          <w:i/>
        </w:rPr>
        <w:t>2.5. DNA extraction from substrates inoculated with FOL and PCR-DGGE analysis</w:t>
      </w:r>
    </w:p>
    <w:p w:rsidR="006F39CD" w:rsidRDefault="003D008C">
      <w:pPr>
        <w:spacing w:line="480" w:lineRule="auto"/>
        <w:ind w:firstLine="708"/>
        <w:jc w:val="both"/>
      </w:pPr>
      <w:r>
        <w:t>For DNA extraction, infested substrate samples (250 mg) were taken from 4 pots/</w:t>
      </w:r>
      <w:proofErr w:type="spellStart"/>
      <w:r>
        <w:t>phytotron</w:t>
      </w:r>
      <w:proofErr w:type="spellEnd"/>
      <w:r>
        <w:t xml:space="preserve"> at different times (7, 14, 21, </w:t>
      </w:r>
      <w:r w:rsidR="00657B95">
        <w:t xml:space="preserve">and </w:t>
      </w:r>
      <w:r>
        <w:t>28 days</w:t>
      </w:r>
      <w:r>
        <w:rPr>
          <w:bCs/>
        </w:rPr>
        <w:t xml:space="preserve"> after transplanting</w:t>
      </w:r>
      <w:r>
        <w:t xml:space="preserve">) and </w:t>
      </w:r>
      <w:r w:rsidR="00657B95">
        <w:t xml:space="preserve">extracted using the </w:t>
      </w:r>
      <w:proofErr w:type="spellStart"/>
      <w:r w:rsidR="00657B95">
        <w:t>NucleoSpin</w:t>
      </w:r>
      <w:proofErr w:type="spellEnd"/>
      <w:r w:rsidR="00657B95">
        <w:t>® Soil kit (</w:t>
      </w:r>
      <w:proofErr w:type="spellStart"/>
      <w:r w:rsidR="00657B95">
        <w:t>Macherey</w:t>
      </w:r>
      <w:proofErr w:type="spellEnd"/>
      <w:r w:rsidR="00657B95">
        <w:t xml:space="preserve">-Nagel, Germany)  </w:t>
      </w:r>
      <w:r w:rsidR="00B765ED">
        <w:t xml:space="preserve">according to </w:t>
      </w:r>
      <w:r>
        <w:t>the manufacturer</w:t>
      </w:r>
      <w:r w:rsidR="00657B95">
        <w:t>’s instructions</w:t>
      </w:r>
      <w:r>
        <w:t xml:space="preserve">. </w:t>
      </w:r>
      <w:r w:rsidR="00657B95">
        <w:t xml:space="preserve">The DNA </w:t>
      </w:r>
      <w:r w:rsidR="00657B95">
        <w:lastRenderedPageBreak/>
        <w:t>solution was incubated at 37 °C for 30 min with 5</w:t>
      </w:r>
      <w:r>
        <w:t xml:space="preserve"> µl of </w:t>
      </w:r>
      <w:proofErr w:type="spellStart"/>
      <w:r>
        <w:t>RNAse</w:t>
      </w:r>
      <w:proofErr w:type="spellEnd"/>
      <w:r>
        <w:t xml:space="preserve"> (</w:t>
      </w:r>
      <w:proofErr w:type="spellStart"/>
      <w:r>
        <w:t>Macherey</w:t>
      </w:r>
      <w:proofErr w:type="spellEnd"/>
      <w:r>
        <w:t>-Nagel)</w:t>
      </w:r>
      <w:r w:rsidR="00657B95">
        <w:t>,</w:t>
      </w:r>
      <w:r>
        <w:t xml:space="preserve">  and </w:t>
      </w:r>
      <w:r w:rsidR="00657B95">
        <w:t xml:space="preserve">then </w:t>
      </w:r>
      <w:r>
        <w:t>stor</w:t>
      </w:r>
      <w:r w:rsidR="00657B95">
        <w:t>ed</w:t>
      </w:r>
      <w:r>
        <w:t xml:space="preserve"> at -20 °C. DNA was quantified by using the </w:t>
      </w:r>
      <w:proofErr w:type="spellStart"/>
      <w:r>
        <w:t>NanoDrop</w:t>
      </w:r>
      <w:proofErr w:type="spellEnd"/>
      <w:r>
        <w:t xml:space="preserve"> 1000 spectrophotometer (Thermo Scientific) and was standardized at 50 </w:t>
      </w:r>
      <w:proofErr w:type="spellStart"/>
      <w:r>
        <w:t>ng</w:t>
      </w:r>
      <w:proofErr w:type="spellEnd"/>
      <w:r>
        <w:t xml:space="preserve"> μl</w:t>
      </w:r>
      <w:r>
        <w:rPr>
          <w:vertAlign w:val="superscript"/>
        </w:rPr>
        <w:t>-1</w:t>
      </w:r>
      <w:r>
        <w:t xml:space="preserve">. For </w:t>
      </w:r>
      <w:proofErr w:type="spellStart"/>
      <w:r>
        <w:t>ascomycete</w:t>
      </w:r>
      <w:proofErr w:type="spellEnd"/>
      <w:r>
        <w:t xml:space="preserve"> communities, </w:t>
      </w:r>
      <w:r w:rsidR="00D73368">
        <w:t xml:space="preserve">a </w:t>
      </w:r>
      <w:r>
        <w:t xml:space="preserve">portion of </w:t>
      </w:r>
      <w:r w:rsidR="00D73368">
        <w:t xml:space="preserve">the </w:t>
      </w:r>
      <w:r>
        <w:t>fungal 18S-ITS gene w</w:t>
      </w:r>
      <w:r w:rsidR="00D73368">
        <w:t>as</w:t>
      </w:r>
      <w:r>
        <w:t xml:space="preserve"> amplified using a modified NS1 forward primer (</w:t>
      </w:r>
      <w:proofErr w:type="spellStart"/>
      <w:r>
        <w:t>Danon</w:t>
      </w:r>
      <w:proofErr w:type="spellEnd"/>
      <w:r>
        <w:t xml:space="preserve"> et al., 2010) and the specific reverse primer ITS4A (</w:t>
      </w:r>
      <w:proofErr w:type="spellStart"/>
      <w:r>
        <w:t>Larena</w:t>
      </w:r>
      <w:proofErr w:type="spellEnd"/>
      <w:r>
        <w:t xml:space="preserve"> et al., 1999). These</w:t>
      </w:r>
      <w:r w:rsidR="00D73368">
        <w:t xml:space="preserve"> PCR</w:t>
      </w:r>
      <w:r>
        <w:t xml:space="preserve"> products were then used as templates in nested PCR </w:t>
      </w:r>
      <w:r w:rsidR="00D73368">
        <w:t>with the primer set ITS1/ITS2 (</w:t>
      </w:r>
      <w:proofErr w:type="spellStart"/>
      <w:r w:rsidR="00D73368">
        <w:t>Gardes</w:t>
      </w:r>
      <w:proofErr w:type="spellEnd"/>
      <w:r w:rsidR="00D73368">
        <w:t xml:space="preserve"> and </w:t>
      </w:r>
      <w:proofErr w:type="spellStart"/>
      <w:r w:rsidR="00D73368">
        <w:t>Bruns</w:t>
      </w:r>
      <w:proofErr w:type="spellEnd"/>
      <w:r w:rsidR="00D73368">
        <w:t xml:space="preserve">, 1993; Anderson et al., 2003) </w:t>
      </w:r>
      <w:r>
        <w:t xml:space="preserve">to generate products for DGGE analysis. </w:t>
      </w:r>
      <w:r w:rsidR="00D73368">
        <w:t xml:space="preserve">A </w:t>
      </w:r>
      <w:r>
        <w:t xml:space="preserve">GC clamp was added to the ITS2 primer according to </w:t>
      </w:r>
      <w:proofErr w:type="spellStart"/>
      <w:r>
        <w:t>Muyzer</w:t>
      </w:r>
      <w:proofErr w:type="spellEnd"/>
      <w:r>
        <w:t xml:space="preserve"> et al. (1993). Amplification was carried out in a T-Gradient thermal cycler (</w:t>
      </w:r>
      <w:proofErr w:type="spellStart"/>
      <w:r>
        <w:t>Biometra</w:t>
      </w:r>
      <w:proofErr w:type="spellEnd"/>
      <w:r>
        <w:t xml:space="preserve">, </w:t>
      </w:r>
      <w:proofErr w:type="spellStart"/>
      <w:r>
        <w:t>Goettingen</w:t>
      </w:r>
      <w:proofErr w:type="spellEnd"/>
      <w:r>
        <w:t>, Germany) as previously described (</w:t>
      </w:r>
      <w:proofErr w:type="spellStart"/>
      <w:r>
        <w:t>Danon</w:t>
      </w:r>
      <w:proofErr w:type="spellEnd"/>
      <w:r>
        <w:t xml:space="preserve"> et al., 2010). PCR products of a</w:t>
      </w:r>
      <w:r w:rsidR="00D73368">
        <w:t>pproximately</w:t>
      </w:r>
      <w:r>
        <w:t xml:space="preserve"> 300 </w:t>
      </w:r>
      <w:proofErr w:type="spellStart"/>
      <w:r>
        <w:t>bp</w:t>
      </w:r>
      <w:proofErr w:type="spellEnd"/>
      <w:r>
        <w:t xml:space="preserve"> were analyzed by DGGE </w:t>
      </w:r>
      <w:r w:rsidR="00B83E05">
        <w:t>(</w:t>
      </w:r>
      <w:r>
        <w:t xml:space="preserve">Bio-Rad </w:t>
      </w:r>
      <w:proofErr w:type="spellStart"/>
      <w:r>
        <w:t>Dcode</w:t>
      </w:r>
      <w:proofErr w:type="spellEnd"/>
      <w:r>
        <w:t xml:space="preserve"> apparatus</w:t>
      </w:r>
      <w:r w:rsidR="00B83E05">
        <w:t>)</w:t>
      </w:r>
      <w:r>
        <w:t>. Samples were applied to 6% (wt/</w:t>
      </w:r>
      <w:proofErr w:type="spellStart"/>
      <w:r>
        <w:t>vol</w:t>
      </w:r>
      <w:proofErr w:type="spellEnd"/>
      <w:r>
        <w:t xml:space="preserve">) </w:t>
      </w:r>
      <w:proofErr w:type="spellStart"/>
      <w:r>
        <w:t>polyacrylamide</w:t>
      </w:r>
      <w:proofErr w:type="spellEnd"/>
      <w:r>
        <w:t xml:space="preserve"> gels in 1 X TAE buffer. Parallel electrophoresis experiments were performed at 60 °C using gels containing a 20 to 60% urea-</w:t>
      </w:r>
      <w:proofErr w:type="spellStart"/>
      <w:r>
        <w:t>formamide</w:t>
      </w:r>
      <w:proofErr w:type="spellEnd"/>
      <w:r>
        <w:t xml:space="preserve"> denaturing gradient (100% corresponded to 7 M urea and 40% (wt/</w:t>
      </w:r>
      <w:proofErr w:type="spellStart"/>
      <w:r>
        <w:t>vol</w:t>
      </w:r>
      <w:proofErr w:type="spellEnd"/>
      <w:r>
        <w:t xml:space="preserve">) </w:t>
      </w:r>
      <w:proofErr w:type="spellStart"/>
      <w:r>
        <w:t>formamide</w:t>
      </w:r>
      <w:proofErr w:type="spellEnd"/>
      <w:r>
        <w:t>). The gels were run for 16 h at 75 V, stained with SYBR® Gold Nucleic Acid Gel Stain (Invitrogen, Milano) for 30 minutes, visualized under UV-</w:t>
      </w:r>
      <w:proofErr w:type="spellStart"/>
      <w:r>
        <w:t>transillumination</w:t>
      </w:r>
      <w:proofErr w:type="spellEnd"/>
      <w:r>
        <w:t xml:space="preserve"> and photographed by Bio-Rad Gel Doc system (Bio-Rad, Milano, Italy).</w:t>
      </w:r>
    </w:p>
    <w:p w:rsidR="006F39CD" w:rsidRDefault="006F39CD"/>
    <w:p w:rsidR="006F39CD" w:rsidRDefault="003D008C">
      <w:pPr>
        <w:pStyle w:val="Corpodeltesto21"/>
      </w:pPr>
      <w:r>
        <w:rPr>
          <w:i/>
        </w:rPr>
        <w:t>2.6. Sequencing of DGGE fragments</w:t>
      </w:r>
    </w:p>
    <w:p w:rsidR="006F39CD" w:rsidRDefault="003D008C" w:rsidP="00421B8F">
      <w:pPr>
        <w:pStyle w:val="Corpodeltesto21"/>
        <w:ind w:firstLine="708"/>
      </w:pPr>
      <w:r>
        <w:t xml:space="preserve">Selected DGGE bands were excised from the gel with sterile pipette tips and purified in water according to </w:t>
      </w:r>
      <w:proofErr w:type="spellStart"/>
      <w:r>
        <w:t>Ampe</w:t>
      </w:r>
      <w:proofErr w:type="spellEnd"/>
      <w:r>
        <w:t xml:space="preserve"> et al. (1999).</w:t>
      </w:r>
      <w:r w:rsidR="00B83E05">
        <w:t xml:space="preserve"> </w:t>
      </w:r>
      <w:r>
        <w:t xml:space="preserve">One </w:t>
      </w:r>
      <w:r>
        <w:rPr>
          <w:rFonts w:ascii="Symbol" w:hAnsi="Symbol" w:cs="Symbol"/>
          <w:szCs w:val="24"/>
        </w:rPr>
        <w:t></w:t>
      </w:r>
      <w:r>
        <w:t xml:space="preserve">l of the eluted DNA was used for </w:t>
      </w:r>
      <w:proofErr w:type="spellStart"/>
      <w:r>
        <w:t>reamplification</w:t>
      </w:r>
      <w:proofErr w:type="spellEnd"/>
      <w:r>
        <w:t xml:space="preserve"> </w:t>
      </w:r>
      <w:r w:rsidR="00421B8F" w:rsidRPr="00421B8F">
        <w:rPr>
          <w:rFonts w:ascii="AdvOT863180fb" w:eastAsia="Times New Roman" w:hAnsi="AdvOT863180fb" w:cs="AdvOT863180fb"/>
          <w:kern w:val="0"/>
          <w:sz w:val="16"/>
          <w:szCs w:val="16"/>
          <w:lang w:eastAsia="it-IT"/>
        </w:rPr>
        <w:t xml:space="preserve"> </w:t>
      </w:r>
      <w:r w:rsidR="00421B8F" w:rsidRPr="00421B8F">
        <w:t>by using the primers and the conditions described</w:t>
      </w:r>
      <w:r w:rsidR="00421B8F">
        <w:t xml:space="preserve"> </w:t>
      </w:r>
      <w:r w:rsidR="00421B8F" w:rsidRPr="00421B8F">
        <w:t>above</w:t>
      </w:r>
      <w:r w:rsidR="00421B8F">
        <w:t>,</w:t>
      </w:r>
      <w:r w:rsidR="00421B8F" w:rsidRPr="00421B8F">
        <w:t xml:space="preserve"> </w:t>
      </w:r>
      <w:r>
        <w:t xml:space="preserve">and the PCR products were checked by DGGE; </w:t>
      </w:r>
      <w:r w:rsidR="00421B8F">
        <w:t>The original PCR product was run on the gel as the control</w:t>
      </w:r>
      <w:r>
        <w:t>. Products that migrated as a single band and at the same position as the control were purified by using a QIAEX PCR purification kit (</w:t>
      </w:r>
      <w:proofErr w:type="spellStart"/>
      <w:r>
        <w:t>Qiagen</w:t>
      </w:r>
      <w:proofErr w:type="spellEnd"/>
      <w:r>
        <w:t>, Milano, Italy) according to the manufacturer’s instructions and then were sequenced. To determine the closest known relatives of the partial 18S-ITS gene</w:t>
      </w:r>
      <w:r w:rsidR="00B765ED">
        <w:t xml:space="preserve"> sequence obtained</w:t>
      </w:r>
      <w:r>
        <w:t>, searches were performed in public data</w:t>
      </w:r>
      <w:r>
        <w:rPr>
          <w:vertAlign w:val="superscript"/>
        </w:rPr>
        <w:t xml:space="preserve"> </w:t>
      </w:r>
      <w:r>
        <w:t>libraries (</w:t>
      </w:r>
      <w:proofErr w:type="spellStart"/>
      <w:r>
        <w:t>GenBank</w:t>
      </w:r>
      <w:proofErr w:type="spellEnd"/>
      <w:r>
        <w:t xml:space="preserve">) with the Blast search program (http://www.ncbi.nlm.nih.gov/blast/). </w:t>
      </w:r>
    </w:p>
    <w:p w:rsidR="006F39CD" w:rsidRDefault="003D008C">
      <w:pPr>
        <w:spacing w:line="480" w:lineRule="auto"/>
      </w:pPr>
      <w:r>
        <w:rPr>
          <w:i/>
        </w:rPr>
        <w:lastRenderedPageBreak/>
        <w:t>2.7. Microbial activity</w:t>
      </w:r>
    </w:p>
    <w:p w:rsidR="006F39CD" w:rsidRDefault="003D008C">
      <w:pPr>
        <w:spacing w:line="480" w:lineRule="auto"/>
        <w:ind w:firstLine="708"/>
        <w:jc w:val="both"/>
      </w:pPr>
      <w:r>
        <w:t>The substrate samples collected were tested for soil biological parameters such as soil β-</w:t>
      </w:r>
      <w:proofErr w:type="spellStart"/>
      <w:r>
        <w:t>Glucosidase</w:t>
      </w:r>
      <w:proofErr w:type="spellEnd"/>
      <w:r>
        <w:t xml:space="preserve"> activity (</w:t>
      </w:r>
      <w:proofErr w:type="spellStart"/>
      <w:r>
        <w:t>βGA</w:t>
      </w:r>
      <w:proofErr w:type="spellEnd"/>
      <w:r>
        <w:t xml:space="preserve">) and </w:t>
      </w:r>
      <w:proofErr w:type="spellStart"/>
      <w:r>
        <w:t>fluorescein</w:t>
      </w:r>
      <w:proofErr w:type="spellEnd"/>
      <w:r>
        <w:t xml:space="preserve"> </w:t>
      </w:r>
      <w:proofErr w:type="spellStart"/>
      <w:r>
        <w:t>diacetate</w:t>
      </w:r>
      <w:proofErr w:type="spellEnd"/>
      <w:r>
        <w:t xml:space="preserve"> hydrolysis (FDA). βGA was determined by colorimetric measurement of the reduction of</w:t>
      </w:r>
      <w:r>
        <w:rPr>
          <w:rFonts w:ascii="Times-Roman" w:hAnsi="Times-Roman" w:cs="Times-Roman"/>
          <w:sz w:val="23"/>
          <w:szCs w:val="23"/>
        </w:rPr>
        <w:t xml:space="preserve"> </w:t>
      </w:r>
      <w:r>
        <w:t>4-nitrophenyl-β-D-glucopiranoside to p-</w:t>
      </w:r>
      <w:proofErr w:type="spellStart"/>
      <w:r>
        <w:t>nitrophenyl</w:t>
      </w:r>
      <w:proofErr w:type="spellEnd"/>
      <w:r>
        <w:t xml:space="preserve"> according to the method of </w:t>
      </w:r>
      <w:proofErr w:type="spellStart"/>
      <w:r>
        <w:t>Nannipieri</w:t>
      </w:r>
      <w:proofErr w:type="spellEnd"/>
      <w:r>
        <w:t xml:space="preserve"> et al. (1979). FDA was measured </w:t>
      </w:r>
      <w:r w:rsidR="008C7D71">
        <w:t xml:space="preserve">using 3,6-diacetyl fluorescein, and measuring the absorbance of released fluorescein at 490 nm according to  </w:t>
      </w:r>
      <w:r>
        <w:t xml:space="preserve">the method of </w:t>
      </w:r>
      <w:proofErr w:type="spellStart"/>
      <w:r>
        <w:t>Schnurer</w:t>
      </w:r>
      <w:proofErr w:type="spellEnd"/>
      <w:r>
        <w:t xml:space="preserve"> and </w:t>
      </w:r>
      <w:proofErr w:type="spellStart"/>
      <w:r>
        <w:t>Rosswall</w:t>
      </w:r>
      <w:proofErr w:type="spellEnd"/>
      <w:r>
        <w:t xml:space="preserve"> (1982).</w:t>
      </w:r>
      <w:r>
        <w:rPr>
          <w:rFonts w:ascii="GulliverRM" w:eastAsia="GulliverRM" w:hAnsi="GulliverRM" w:cs="GulliverRM"/>
          <w:color w:val="000000"/>
          <w:sz w:val="16"/>
          <w:szCs w:val="16"/>
        </w:rPr>
        <w:t xml:space="preserve"> </w:t>
      </w:r>
      <w:r>
        <w:t xml:space="preserve">Enzyme activities were expressed as </w:t>
      </w:r>
      <w:proofErr w:type="spellStart"/>
      <w:r>
        <w:t>μg</w:t>
      </w:r>
      <w:proofErr w:type="spellEnd"/>
      <w:r>
        <w:t xml:space="preserve"> per g of substrate </w:t>
      </w:r>
      <w:r w:rsidR="008C7D71">
        <w:t xml:space="preserve">after </w:t>
      </w:r>
      <w:r>
        <w:t xml:space="preserve">one hour of incubation. The measures were done in triplicate. Assays without a substrate were performed at the same time as </w:t>
      </w:r>
      <w:r w:rsidR="008C7D71">
        <w:t xml:space="preserve">a </w:t>
      </w:r>
      <w:r>
        <w:t xml:space="preserve">control. </w:t>
      </w:r>
    </w:p>
    <w:p w:rsidR="006F39CD" w:rsidRDefault="006F39CD">
      <w:pPr>
        <w:spacing w:line="480" w:lineRule="auto"/>
        <w:ind w:firstLine="708"/>
        <w:jc w:val="both"/>
      </w:pPr>
    </w:p>
    <w:p w:rsidR="006F39CD" w:rsidRDefault="003D008C">
      <w:pPr>
        <w:spacing w:line="480" w:lineRule="auto"/>
        <w:jc w:val="both"/>
      </w:pPr>
      <w:r>
        <w:rPr>
          <w:i/>
        </w:rPr>
        <w:t xml:space="preserve">2.8. Statistical analysis </w:t>
      </w:r>
    </w:p>
    <w:p w:rsidR="006F39CD" w:rsidRDefault="003D008C">
      <w:pPr>
        <w:spacing w:line="480" w:lineRule="auto"/>
        <w:ind w:firstLine="708"/>
        <w:jc w:val="both"/>
        <w:rPr>
          <w:b/>
        </w:rPr>
      </w:pPr>
      <w:r>
        <w:t xml:space="preserve">Data obtained in the three replicates were analyzed by using one-way analysis of variance (ANOVA) for each individual date, with treatments being the main factor. ANOVA analyses were performed with an SPSS 13.0 statistical software package (SPSS Inc., Cary, NC, USA). </w:t>
      </w:r>
      <w:r w:rsidR="008C7D71">
        <w:t xml:space="preserve">The </w:t>
      </w:r>
      <w:r>
        <w:t>Duncan HSD test was applied when ANOVA revealed significant differences (P&lt;0.05).</w:t>
      </w:r>
    </w:p>
    <w:p w:rsidR="006F39CD" w:rsidRDefault="006F39CD">
      <w:pPr>
        <w:spacing w:line="480" w:lineRule="auto"/>
        <w:jc w:val="both"/>
        <w:rPr>
          <w:b/>
        </w:rPr>
      </w:pPr>
    </w:p>
    <w:p w:rsidR="006F39CD" w:rsidRDefault="003D008C">
      <w:pPr>
        <w:spacing w:line="480" w:lineRule="auto"/>
        <w:jc w:val="both"/>
        <w:rPr>
          <w:i/>
        </w:rPr>
      </w:pPr>
      <w:r>
        <w:rPr>
          <w:b/>
        </w:rPr>
        <w:t>3. Results</w:t>
      </w:r>
    </w:p>
    <w:p w:rsidR="006F39CD" w:rsidRDefault="003D008C">
      <w:pPr>
        <w:spacing w:line="480" w:lineRule="auto"/>
        <w:jc w:val="both"/>
      </w:pPr>
      <w:r>
        <w:rPr>
          <w:i/>
        </w:rPr>
        <w:t>3.1. Disease assessment</w:t>
      </w:r>
    </w:p>
    <w:p w:rsidR="006F39CD" w:rsidRDefault="003D008C">
      <w:pPr>
        <w:spacing w:line="480" w:lineRule="auto"/>
        <w:ind w:firstLine="708"/>
        <w:jc w:val="both"/>
        <w:rPr>
          <w:b/>
        </w:rPr>
      </w:pPr>
      <w:r>
        <w:t xml:space="preserve">The disease index (DI, 0-100) in the three replicates was influenced significantly by temperature (Table 1). </w:t>
      </w:r>
      <w:r w:rsidR="00884373">
        <w:t>At 22-26 °C (</w:t>
      </w:r>
      <w:proofErr w:type="spellStart"/>
      <w:r w:rsidR="00884373">
        <w:t>phytotrons</w:t>
      </w:r>
      <w:proofErr w:type="spellEnd"/>
      <w:r w:rsidR="00884373">
        <w:t xml:space="preserve"> 1 and 3), DI increased more than 50%, when compared with the DI observed at the lower temperature. </w:t>
      </w:r>
      <w:r w:rsidR="005E3644">
        <w:t>Change in c</w:t>
      </w:r>
      <w:r>
        <w:t xml:space="preserve">arbon dioxide </w:t>
      </w:r>
      <w:r w:rsidR="005E3644">
        <w:t xml:space="preserve">level </w:t>
      </w:r>
      <w:r>
        <w:t>showed no significant effects when temperature ranged between 18-22 °C (</w:t>
      </w:r>
      <w:proofErr w:type="spellStart"/>
      <w:r>
        <w:t>phytotrons</w:t>
      </w:r>
      <w:proofErr w:type="spellEnd"/>
      <w:r>
        <w:t xml:space="preserve"> 2 and 4)</w:t>
      </w:r>
      <w:r w:rsidR="005E3644">
        <w:t xml:space="preserve"> and 22-26 °C (</w:t>
      </w:r>
      <w:proofErr w:type="spellStart"/>
      <w:r w:rsidR="005E3644">
        <w:t>phytotrons</w:t>
      </w:r>
      <w:proofErr w:type="spellEnd"/>
      <w:r w:rsidR="005E3644">
        <w:t xml:space="preserve"> 1 and 3)</w:t>
      </w:r>
      <w:r>
        <w:t>. No disease was observed in lettuce plants grown in non-infested pots (Table 1). DI was high in all conditions</w:t>
      </w:r>
      <w:r w:rsidR="003D6D84">
        <w:t>,</w:t>
      </w:r>
      <w:r>
        <w:t xml:space="preserve"> reaching more than 50% of wilted plants in </w:t>
      </w:r>
      <w:proofErr w:type="spellStart"/>
      <w:r>
        <w:t>phytotron</w:t>
      </w:r>
      <w:proofErr w:type="spellEnd"/>
      <w:r>
        <w:t xml:space="preserve"> 1 and 3 as a consequence of temperature (22-26 °C), while fresh weight (FW) data did not change significantly</w:t>
      </w:r>
      <w:r w:rsidR="003D6D84">
        <w:t xml:space="preserve"> between the different </w:t>
      </w:r>
      <w:proofErr w:type="spellStart"/>
      <w:r w:rsidR="003D6D84">
        <w:t>phytotrons</w:t>
      </w:r>
      <w:proofErr w:type="spellEnd"/>
      <w:r>
        <w:t xml:space="preserve"> (Table 1). Diseased plants produced less than 80% biomass </w:t>
      </w:r>
      <w:r>
        <w:lastRenderedPageBreak/>
        <w:t xml:space="preserve">compared to not inoculated plants, with the exception at </w:t>
      </w:r>
      <w:r>
        <w:rPr>
          <w:bCs/>
        </w:rPr>
        <w:t>18-22 °C</w:t>
      </w:r>
      <w:r>
        <w:t xml:space="preserve"> (</w:t>
      </w:r>
      <w:proofErr w:type="spellStart"/>
      <w:r>
        <w:t>phytotron</w:t>
      </w:r>
      <w:proofErr w:type="spellEnd"/>
      <w:r>
        <w:t xml:space="preserve"> 2 and 4</w:t>
      </w:r>
      <w:r>
        <w:rPr>
          <w:bCs/>
        </w:rPr>
        <w:t>)</w:t>
      </w:r>
      <w:r w:rsidR="006428A7">
        <w:rPr>
          <w:bCs/>
        </w:rPr>
        <w:t>,</w:t>
      </w:r>
      <w:r>
        <w:t xml:space="preserve"> in which the FW of diseased lettuce plants was slightly higher when compared with plants </w:t>
      </w:r>
      <w:r w:rsidR="006428A7">
        <w:t xml:space="preserve">at </w:t>
      </w:r>
      <w:r>
        <w:t xml:space="preserve">22-26 °C. Finally, ANOVA analyses on the </w:t>
      </w:r>
      <w:r w:rsidR="003D6D84">
        <w:t xml:space="preserve">four conditions of inoculated plants showed no statistical differences between the </w:t>
      </w:r>
      <w:r>
        <w:t xml:space="preserve">three </w:t>
      </w:r>
      <w:proofErr w:type="spellStart"/>
      <w:r>
        <w:t>trials</w:t>
      </w:r>
      <w:r w:rsidR="003D6D84">
        <w:t>carried</w:t>
      </w:r>
      <w:proofErr w:type="spellEnd"/>
      <w:r w:rsidR="003D6D84">
        <w:t xml:space="preserve"> out</w:t>
      </w:r>
      <w:r>
        <w:t xml:space="preserve">. </w:t>
      </w:r>
    </w:p>
    <w:p w:rsidR="006F39CD" w:rsidRDefault="006F39CD">
      <w:pPr>
        <w:spacing w:line="480" w:lineRule="auto"/>
        <w:jc w:val="both"/>
        <w:rPr>
          <w:b/>
        </w:rPr>
      </w:pPr>
    </w:p>
    <w:p w:rsidR="006F39CD" w:rsidRDefault="003D008C">
      <w:pPr>
        <w:spacing w:line="480" w:lineRule="auto"/>
        <w:jc w:val="both"/>
      </w:pPr>
      <w:r>
        <w:rPr>
          <w:i/>
        </w:rPr>
        <w:t>3.2. Microbial analysis and enzymatic activity of substrate samples</w:t>
      </w:r>
    </w:p>
    <w:p w:rsidR="006F39CD" w:rsidRDefault="003D008C">
      <w:pPr>
        <w:spacing w:line="480" w:lineRule="auto"/>
        <w:ind w:firstLine="708"/>
        <w:jc w:val="both"/>
      </w:pPr>
      <w:r>
        <w:t xml:space="preserve">The results of the </w:t>
      </w:r>
      <w:r w:rsidR="00223480">
        <w:t xml:space="preserve">fungal and bacterial </w:t>
      </w:r>
      <w:r>
        <w:t xml:space="preserve">plate counts </w:t>
      </w:r>
      <w:r w:rsidR="00223480">
        <w:t xml:space="preserve">from </w:t>
      </w:r>
      <w:r>
        <w:t xml:space="preserve">three replicates on specific media are shown in Tables 2 and 3. Plate counts of </w:t>
      </w:r>
      <w:proofErr w:type="spellStart"/>
      <w:r>
        <w:rPr>
          <w:i/>
        </w:rPr>
        <w:t>Fusarium</w:t>
      </w:r>
      <w:proofErr w:type="spellEnd"/>
      <w:r>
        <w:t xml:space="preserve"> spp. (Table 2) </w:t>
      </w:r>
      <w:r w:rsidR="00E95470">
        <w:t xml:space="preserve">from </w:t>
      </w:r>
      <w:r>
        <w:t>infested substrate samples were not affected by different CO</w:t>
      </w:r>
      <w:r>
        <w:rPr>
          <w:vertAlign w:val="subscript"/>
        </w:rPr>
        <w:t>2</w:t>
      </w:r>
      <w:r>
        <w:t xml:space="preserve"> concentrations, nor by combinations of CO</w:t>
      </w:r>
      <w:r>
        <w:rPr>
          <w:vertAlign w:val="subscript"/>
        </w:rPr>
        <w:t>2</w:t>
      </w:r>
      <w:r>
        <w:t xml:space="preserve"> and temperature conditions, but showed significant differences (P&lt;0.05)  </w:t>
      </w:r>
      <w:r w:rsidR="00E95470">
        <w:t>due to temperature conditions alone</w:t>
      </w:r>
      <w:r>
        <w:t xml:space="preserve">. Samples at 22-26 °C </w:t>
      </w:r>
      <w:r w:rsidR="00E95470">
        <w:t xml:space="preserve">in </w:t>
      </w:r>
      <w:proofErr w:type="spellStart"/>
      <w:r w:rsidR="00E95470">
        <w:t>phytotrons</w:t>
      </w:r>
      <w:proofErr w:type="spellEnd"/>
      <w:r w:rsidR="00E95470">
        <w:t xml:space="preserve"> 1 and 3 </w:t>
      </w:r>
      <w:r>
        <w:t>showed an increase from 4.20 to 4.49 and from 4.19 to 4.63 Log CFU g</w:t>
      </w:r>
      <w:r>
        <w:rPr>
          <w:vertAlign w:val="superscript"/>
        </w:rPr>
        <w:t>-1</w:t>
      </w:r>
      <w:r>
        <w:t xml:space="preserve">, respectively. </w:t>
      </w:r>
      <w:r w:rsidR="00E95470">
        <w:t>However,</w:t>
      </w:r>
      <w:r>
        <w:t xml:space="preserve"> samples at 18-22 °C did not show a significant development. Different concentrations of CO</w:t>
      </w:r>
      <w:r>
        <w:rPr>
          <w:vertAlign w:val="subscript"/>
        </w:rPr>
        <w:t xml:space="preserve">2 </w:t>
      </w:r>
      <w:r>
        <w:t xml:space="preserve">did not affect the growth of </w:t>
      </w:r>
      <w:r>
        <w:rPr>
          <w:bCs/>
          <w:i/>
        </w:rPr>
        <w:t xml:space="preserve">F. </w:t>
      </w:r>
      <w:proofErr w:type="spellStart"/>
      <w:r>
        <w:rPr>
          <w:bCs/>
          <w:i/>
        </w:rPr>
        <w:t>oxysporum</w:t>
      </w:r>
      <w:proofErr w:type="spellEnd"/>
      <w:r>
        <w:rPr>
          <w:bCs/>
        </w:rPr>
        <w:t xml:space="preserve">. </w:t>
      </w:r>
      <w:r w:rsidR="00E95470">
        <w:rPr>
          <w:bCs/>
        </w:rPr>
        <w:t xml:space="preserve">No </w:t>
      </w:r>
      <w:proofErr w:type="spellStart"/>
      <w:r w:rsidR="00B83E05">
        <w:rPr>
          <w:i/>
        </w:rPr>
        <w:t>Fusarium</w:t>
      </w:r>
      <w:proofErr w:type="spellEnd"/>
      <w:r w:rsidR="00B83E05">
        <w:t xml:space="preserve"> spp. </w:t>
      </w:r>
      <w:r>
        <w:rPr>
          <w:bCs/>
        </w:rPr>
        <w:t xml:space="preserve">was  detected in non infested </w:t>
      </w:r>
      <w:r>
        <w:t xml:space="preserve">substrate </w:t>
      </w:r>
      <w:r>
        <w:rPr>
          <w:bCs/>
        </w:rPr>
        <w:t>samples.</w:t>
      </w:r>
    </w:p>
    <w:p w:rsidR="006F39CD" w:rsidRDefault="003D008C">
      <w:pPr>
        <w:spacing w:line="480" w:lineRule="auto"/>
        <w:ind w:firstLine="708"/>
        <w:jc w:val="both"/>
      </w:pPr>
      <w:r>
        <w:t xml:space="preserve">For </w:t>
      </w:r>
      <w:proofErr w:type="spellStart"/>
      <w:r>
        <w:t>mesophilic</w:t>
      </w:r>
      <w:proofErr w:type="spellEnd"/>
      <w:r>
        <w:t xml:space="preserve"> bacteria (Table 3)</w:t>
      </w:r>
      <w:r w:rsidR="00E95470">
        <w:t>,</w:t>
      </w:r>
      <w:r>
        <w:t xml:space="preserve"> total bacterial counts (TBC) </w:t>
      </w:r>
      <w:r w:rsidR="00E95470">
        <w:t>from</w:t>
      </w:r>
      <w:r>
        <w:t xml:space="preserve"> infested substrate samples increased with time</w:t>
      </w:r>
      <w:r w:rsidR="00F50AA2">
        <w:t>,</w:t>
      </w:r>
      <w:r>
        <w:t xml:space="preserve"> only at the standard CO</w:t>
      </w:r>
      <w:r>
        <w:rPr>
          <w:vertAlign w:val="subscript"/>
        </w:rPr>
        <w:t xml:space="preserve">2 </w:t>
      </w:r>
      <w:r>
        <w:t>concentration (400 ppm CO</w:t>
      </w:r>
      <w:r>
        <w:rPr>
          <w:vertAlign w:val="subscript"/>
        </w:rPr>
        <w:t>2</w:t>
      </w:r>
      <w:r>
        <w:t xml:space="preserve">). </w:t>
      </w:r>
      <w:r w:rsidR="002940DE">
        <w:t>I</w:t>
      </w:r>
      <w:r>
        <w:t xml:space="preserve">nfested substrate samples measured after </w:t>
      </w:r>
      <w:r w:rsidR="002940DE">
        <w:t xml:space="preserve">7 and </w:t>
      </w:r>
      <w:r>
        <w:t xml:space="preserve">28 days at </w:t>
      </w:r>
      <w:r>
        <w:rPr>
          <w:bCs/>
        </w:rPr>
        <w:t>400 ppm CO</w:t>
      </w:r>
      <w:r>
        <w:rPr>
          <w:bCs/>
          <w:vertAlign w:val="subscript"/>
        </w:rPr>
        <w:t>2</w:t>
      </w:r>
      <w:r>
        <w:rPr>
          <w:bCs/>
        </w:rPr>
        <w:t xml:space="preserve"> </w:t>
      </w:r>
      <w:r>
        <w:t>increased from 6.82 to 7.60 Log CFU g</w:t>
      </w:r>
      <w:r>
        <w:rPr>
          <w:vertAlign w:val="superscript"/>
        </w:rPr>
        <w:t>-1</w:t>
      </w:r>
      <w:r>
        <w:t xml:space="preserve"> at </w:t>
      </w:r>
      <w:r>
        <w:rPr>
          <w:bCs/>
        </w:rPr>
        <w:t xml:space="preserve">18-22 °C, and </w:t>
      </w:r>
      <w:r>
        <w:t>from 7.12 to 7.86 Log CFU g</w:t>
      </w:r>
      <w:r>
        <w:rPr>
          <w:vertAlign w:val="superscript"/>
        </w:rPr>
        <w:t>-1</w:t>
      </w:r>
      <w:r>
        <w:t>at 22-26 °C. By contrast, the TBC statistical values of substrate samples at 800 ppm CO</w:t>
      </w:r>
      <w:r>
        <w:rPr>
          <w:vertAlign w:val="subscript"/>
        </w:rPr>
        <w:t xml:space="preserve">2 </w:t>
      </w:r>
      <w:r>
        <w:t xml:space="preserve">remained constant throughout the whole experiment. The same </w:t>
      </w:r>
      <w:proofErr w:type="spellStart"/>
      <w:r>
        <w:t>behaviour</w:t>
      </w:r>
      <w:proofErr w:type="spellEnd"/>
      <w:r>
        <w:t xml:space="preserve"> was </w:t>
      </w:r>
      <w:r w:rsidR="00B83E05">
        <w:t xml:space="preserve">observed </w:t>
      </w:r>
      <w:r>
        <w:t>in the control sample.</w:t>
      </w:r>
    </w:p>
    <w:p w:rsidR="006F39CD" w:rsidRDefault="003D008C">
      <w:pPr>
        <w:spacing w:line="480" w:lineRule="auto"/>
        <w:ind w:firstLine="708"/>
        <w:jc w:val="both"/>
        <w:rPr>
          <w:i/>
        </w:rPr>
      </w:pPr>
      <w:r>
        <w:t>Results relat</w:t>
      </w:r>
      <w:r w:rsidR="002940DE">
        <w:t>ing</w:t>
      </w:r>
      <w:r>
        <w:t xml:space="preserve"> to enzymatic activity are shown in Tables 4 and 5. The FDA activity (Table 4) was only affected by CO</w:t>
      </w:r>
      <w:r>
        <w:rPr>
          <w:vertAlign w:val="subscript"/>
        </w:rPr>
        <w:t>2</w:t>
      </w:r>
      <w:r>
        <w:t xml:space="preserve"> concentration and was generally lower at 800 ppm CO</w:t>
      </w:r>
      <w:r>
        <w:rPr>
          <w:vertAlign w:val="subscript"/>
        </w:rPr>
        <w:t xml:space="preserve">2 </w:t>
      </w:r>
      <w:r>
        <w:t>than at 400 ppm CO</w:t>
      </w:r>
      <w:r>
        <w:rPr>
          <w:vertAlign w:val="subscript"/>
        </w:rPr>
        <w:t>2</w:t>
      </w:r>
      <w:r>
        <w:t>. In particular</w:t>
      </w:r>
      <w:r w:rsidR="00B83E05">
        <w:t>,</w:t>
      </w:r>
      <w:r>
        <w:t xml:space="preserve"> the FDA in infested substrate samples measured after 28 days at </w:t>
      </w:r>
      <w:r>
        <w:rPr>
          <w:bCs/>
        </w:rPr>
        <w:t>400 ppm CO</w:t>
      </w:r>
      <w:r>
        <w:rPr>
          <w:bCs/>
          <w:vertAlign w:val="subscript"/>
        </w:rPr>
        <w:t>2</w:t>
      </w:r>
      <w:r>
        <w:rPr>
          <w:bCs/>
        </w:rPr>
        <w:t xml:space="preserve"> </w:t>
      </w:r>
      <w:r>
        <w:t>increased significantly (P&lt;0.05) from 13.59 to 56.20 µg FDA h</w:t>
      </w:r>
      <w:r>
        <w:rPr>
          <w:vertAlign w:val="superscript"/>
        </w:rPr>
        <w:t>-1</w:t>
      </w:r>
      <w:r>
        <w:t xml:space="preserve"> g</w:t>
      </w:r>
      <w:r>
        <w:rPr>
          <w:vertAlign w:val="superscript"/>
        </w:rPr>
        <w:t>-1</w:t>
      </w:r>
      <w:r>
        <w:t xml:space="preserve"> at </w:t>
      </w:r>
      <w:r>
        <w:rPr>
          <w:bCs/>
        </w:rPr>
        <w:t xml:space="preserve">18-22 °C, and </w:t>
      </w:r>
      <w:r>
        <w:t>from 10.67 to 56.03 µg FDA h</w:t>
      </w:r>
      <w:r>
        <w:rPr>
          <w:vertAlign w:val="superscript"/>
        </w:rPr>
        <w:t>-1</w:t>
      </w:r>
      <w:r>
        <w:t xml:space="preserve"> g</w:t>
      </w:r>
      <w:r>
        <w:rPr>
          <w:vertAlign w:val="superscript"/>
        </w:rPr>
        <w:t>-1</w:t>
      </w:r>
      <w:r>
        <w:t xml:space="preserve"> at 22-26 °C. No significant changes were observed in the control. On the other hand, βGA concentrations (Table 5) in all samples and under all CO</w:t>
      </w:r>
      <w:r>
        <w:rPr>
          <w:vertAlign w:val="subscript"/>
        </w:rPr>
        <w:t>2</w:t>
      </w:r>
      <w:r>
        <w:t xml:space="preserve"> and temperature </w:t>
      </w:r>
      <w:r>
        <w:lastRenderedPageBreak/>
        <w:t>conditions decreased significantly after 28 days. Elevated CO</w:t>
      </w:r>
      <w:r>
        <w:rPr>
          <w:vertAlign w:val="subscript"/>
        </w:rPr>
        <w:t>2</w:t>
      </w:r>
      <w:r>
        <w:t xml:space="preserve"> levels had no significant effect on the enzyme measurement. For both enzymes assayed, the presence of FOL had no significant effect (P&lt;0.05) on enzyme activity profiles. </w:t>
      </w:r>
    </w:p>
    <w:p w:rsidR="006F39CD" w:rsidRDefault="006F39CD">
      <w:pPr>
        <w:spacing w:line="480" w:lineRule="auto"/>
        <w:jc w:val="both"/>
        <w:rPr>
          <w:i/>
        </w:rPr>
      </w:pPr>
    </w:p>
    <w:p w:rsidR="006F39CD" w:rsidRDefault="003D008C">
      <w:pPr>
        <w:spacing w:line="480" w:lineRule="auto"/>
        <w:jc w:val="both"/>
      </w:pPr>
      <w:r>
        <w:rPr>
          <w:i/>
        </w:rPr>
        <w:t>3.3. Identification of microbial species</w:t>
      </w:r>
    </w:p>
    <w:p w:rsidR="006F39CD" w:rsidRDefault="003D008C">
      <w:pPr>
        <w:spacing w:line="480" w:lineRule="auto"/>
        <w:ind w:firstLine="708"/>
        <w:jc w:val="both"/>
        <w:rPr>
          <w:b/>
        </w:rPr>
      </w:pPr>
      <w:r>
        <w:t xml:space="preserve"> PCR-DGGE fingerprints of the </w:t>
      </w:r>
      <w:proofErr w:type="spellStart"/>
      <w:r>
        <w:t>ascomycete</w:t>
      </w:r>
      <w:proofErr w:type="spellEnd"/>
      <w:r>
        <w:t xml:space="preserve"> community obtained from DNA directly extracted from infested samples in all the conditions adopted are presented in Fig.1 (see </w:t>
      </w:r>
      <w:r w:rsidR="00B83E05">
        <w:t>Fig</w:t>
      </w:r>
      <w:r>
        <w:t>. S1 for the two other replicate fingerprints); the results of the band sequencing are shown in Table 6.</w:t>
      </w:r>
      <w:r w:rsidR="00185E52">
        <w:t xml:space="preserve"> </w:t>
      </w:r>
      <w:r>
        <w:t xml:space="preserve">Fragments arising from different </w:t>
      </w:r>
      <w:r w:rsidR="00C468AC">
        <w:t xml:space="preserve">fingerprints </w:t>
      </w:r>
      <w:r>
        <w:t xml:space="preserve">were sequenced and </w:t>
      </w:r>
      <w:r w:rsidR="00C468AC">
        <w:t xml:space="preserve">those migrating the same distance </w:t>
      </w:r>
      <w:r>
        <w:t>gave the same results in terms of closest relative species and percent identity</w:t>
      </w:r>
      <w:r w:rsidR="007035BD">
        <w:t xml:space="preserve">. </w:t>
      </w:r>
      <w:r>
        <w:t>Repeated DNA extraction and PCR-DGGE analysis confirmed the fingerprinting obtained. Fungal profiles did not show significant changes in relation to CO</w:t>
      </w:r>
      <w:r>
        <w:rPr>
          <w:vertAlign w:val="subscript"/>
        </w:rPr>
        <w:t>2</w:t>
      </w:r>
      <w:r>
        <w:t xml:space="preserve"> concentration and temperature conditions (Fig.1). Sample profiles were similar and showed bands identified as </w:t>
      </w:r>
      <w:proofErr w:type="spellStart"/>
      <w:r>
        <w:rPr>
          <w:rFonts w:eastAsia="Times New Roman"/>
          <w:i/>
        </w:rPr>
        <w:t>Fusarium</w:t>
      </w:r>
      <w:proofErr w:type="spellEnd"/>
      <w:r>
        <w:rPr>
          <w:rFonts w:eastAsia="Times New Roman"/>
          <w:i/>
        </w:rPr>
        <w:t xml:space="preserve"> </w:t>
      </w:r>
      <w:proofErr w:type="spellStart"/>
      <w:r>
        <w:rPr>
          <w:rFonts w:eastAsia="Times New Roman"/>
          <w:i/>
        </w:rPr>
        <w:t>oxysporum</w:t>
      </w:r>
      <w:proofErr w:type="spellEnd"/>
      <w:r>
        <w:rPr>
          <w:rFonts w:eastAsia="Times New Roman"/>
          <w:i/>
        </w:rPr>
        <w:t xml:space="preserve">, </w:t>
      </w:r>
      <w:proofErr w:type="spellStart"/>
      <w:r>
        <w:rPr>
          <w:rFonts w:eastAsia="Times New Roman"/>
          <w:i/>
        </w:rPr>
        <w:t>Pseudallescheria</w:t>
      </w:r>
      <w:proofErr w:type="spellEnd"/>
      <w:r>
        <w:rPr>
          <w:rFonts w:eastAsia="Times New Roman"/>
          <w:i/>
        </w:rPr>
        <w:t xml:space="preserve"> </w:t>
      </w:r>
      <w:proofErr w:type="spellStart"/>
      <w:r>
        <w:rPr>
          <w:rFonts w:eastAsia="Times New Roman"/>
          <w:i/>
        </w:rPr>
        <w:t>fimeti</w:t>
      </w:r>
      <w:proofErr w:type="spellEnd"/>
      <w:r>
        <w:rPr>
          <w:rFonts w:eastAsia="Times New Roman"/>
          <w:i/>
        </w:rPr>
        <w:t xml:space="preserve"> </w:t>
      </w:r>
      <w:r>
        <w:rPr>
          <w:rFonts w:eastAsia="Times New Roman"/>
        </w:rPr>
        <w:t xml:space="preserve">and </w:t>
      </w:r>
      <w:proofErr w:type="spellStart"/>
      <w:r>
        <w:rPr>
          <w:i/>
        </w:rPr>
        <w:t>Hypocreales</w:t>
      </w:r>
      <w:proofErr w:type="spellEnd"/>
      <w:r>
        <w:rPr>
          <w:i/>
        </w:rPr>
        <w:t xml:space="preserve"> </w:t>
      </w:r>
      <w:r>
        <w:t xml:space="preserve">sp. (bands 3, 5 and 8, respectively) (Table 6) in all the fingerprints. The occurrence of other </w:t>
      </w:r>
      <w:r w:rsidR="004C45F0">
        <w:t>fungi such as</w:t>
      </w:r>
      <w:r>
        <w:t xml:space="preserve"> </w:t>
      </w:r>
      <w:proofErr w:type="spellStart"/>
      <w:r>
        <w:rPr>
          <w:rFonts w:eastAsia="Times New Roman"/>
          <w:i/>
        </w:rPr>
        <w:t>Trichoderma</w:t>
      </w:r>
      <w:proofErr w:type="spellEnd"/>
      <w:r>
        <w:rPr>
          <w:rFonts w:eastAsia="Times New Roman"/>
          <w:i/>
        </w:rPr>
        <w:t xml:space="preserve"> </w:t>
      </w:r>
      <w:proofErr w:type="spellStart"/>
      <w:r>
        <w:rPr>
          <w:rFonts w:eastAsia="Times New Roman"/>
          <w:i/>
        </w:rPr>
        <w:t>asperellum</w:t>
      </w:r>
      <w:proofErr w:type="spellEnd"/>
      <w:r>
        <w:rPr>
          <w:rFonts w:eastAsia="Times New Roman"/>
          <w:i/>
        </w:rPr>
        <w:t>,</w:t>
      </w:r>
      <w:r>
        <w:t xml:space="preserve"> </w:t>
      </w:r>
      <w:proofErr w:type="spellStart"/>
      <w:r>
        <w:rPr>
          <w:rFonts w:eastAsia="Times New Roman"/>
          <w:i/>
        </w:rPr>
        <w:t>Preussia</w:t>
      </w:r>
      <w:proofErr w:type="spellEnd"/>
      <w:r>
        <w:rPr>
          <w:rFonts w:eastAsia="Times New Roman"/>
          <w:i/>
        </w:rPr>
        <w:t xml:space="preserve"> </w:t>
      </w:r>
      <w:r>
        <w:rPr>
          <w:rFonts w:eastAsia="Times New Roman"/>
        </w:rPr>
        <w:t>sp</w:t>
      </w:r>
      <w:r>
        <w:rPr>
          <w:rFonts w:eastAsia="Times New Roman"/>
          <w:i/>
        </w:rPr>
        <w:t xml:space="preserve">., </w:t>
      </w:r>
      <w:proofErr w:type="spellStart"/>
      <w:r>
        <w:rPr>
          <w:rFonts w:eastAsia="Times New Roman"/>
          <w:i/>
        </w:rPr>
        <w:t>Myriococcum</w:t>
      </w:r>
      <w:proofErr w:type="spellEnd"/>
      <w:r>
        <w:rPr>
          <w:rFonts w:eastAsia="Times New Roman"/>
          <w:i/>
        </w:rPr>
        <w:t xml:space="preserve"> </w:t>
      </w:r>
      <w:proofErr w:type="spellStart"/>
      <w:r>
        <w:rPr>
          <w:rFonts w:eastAsia="Times New Roman"/>
          <w:i/>
        </w:rPr>
        <w:t>thermophilum</w:t>
      </w:r>
      <w:proofErr w:type="spellEnd"/>
      <w:r>
        <w:t xml:space="preserve"> and </w:t>
      </w:r>
      <w:proofErr w:type="spellStart"/>
      <w:r>
        <w:rPr>
          <w:i/>
        </w:rPr>
        <w:t>Peziza</w:t>
      </w:r>
      <w:proofErr w:type="spellEnd"/>
      <w:r>
        <w:rPr>
          <w:i/>
        </w:rPr>
        <w:t xml:space="preserve"> </w:t>
      </w:r>
      <w:proofErr w:type="spellStart"/>
      <w:r>
        <w:rPr>
          <w:i/>
        </w:rPr>
        <w:t>ostracoderma</w:t>
      </w:r>
      <w:proofErr w:type="spellEnd"/>
      <w:r>
        <w:t xml:space="preserve"> (bands 1, 2, 4 and 6) was observed (Fig. 1, Table 6).</w:t>
      </w:r>
    </w:p>
    <w:p w:rsidR="006F39CD" w:rsidRDefault="006F39CD">
      <w:pPr>
        <w:spacing w:line="480" w:lineRule="auto"/>
        <w:jc w:val="both"/>
        <w:rPr>
          <w:b/>
        </w:rPr>
      </w:pPr>
    </w:p>
    <w:p w:rsidR="006F39CD" w:rsidRDefault="003D008C">
      <w:pPr>
        <w:spacing w:line="480" w:lineRule="auto"/>
        <w:jc w:val="both"/>
      </w:pPr>
      <w:r>
        <w:rPr>
          <w:b/>
        </w:rPr>
        <w:t xml:space="preserve">4. Discussion </w:t>
      </w:r>
    </w:p>
    <w:p w:rsidR="006F39CD" w:rsidRDefault="003D008C">
      <w:pPr>
        <w:spacing w:line="480" w:lineRule="auto"/>
        <w:jc w:val="both"/>
      </w:pPr>
      <w:r>
        <w:t>The aim of this work was to study the effect of simulated climate change on</w:t>
      </w:r>
      <w:r w:rsidR="00112C80">
        <w:t xml:space="preserve"> the severity of</w:t>
      </w:r>
      <w:r>
        <w:t xml:space="preserve"> </w:t>
      </w:r>
      <w:proofErr w:type="spellStart"/>
      <w:r w:rsidR="00112C80">
        <w:rPr>
          <w:i/>
        </w:rPr>
        <w:t>Fusarium</w:t>
      </w:r>
      <w:proofErr w:type="spellEnd"/>
      <w:r w:rsidR="00112C80">
        <w:rPr>
          <w:i/>
        </w:rPr>
        <w:t xml:space="preserve"> </w:t>
      </w:r>
      <w:proofErr w:type="spellStart"/>
      <w:r w:rsidR="00112C80">
        <w:rPr>
          <w:i/>
        </w:rPr>
        <w:t>oxysporum</w:t>
      </w:r>
      <w:proofErr w:type="spellEnd"/>
      <w:r w:rsidR="00112C80">
        <w:t xml:space="preserve"> </w:t>
      </w:r>
      <w:proofErr w:type="spellStart"/>
      <w:r w:rsidR="00112C80">
        <w:t>f.sp</w:t>
      </w:r>
      <w:proofErr w:type="spellEnd"/>
      <w:r w:rsidR="00112C80">
        <w:t xml:space="preserve">. </w:t>
      </w:r>
      <w:proofErr w:type="spellStart"/>
      <w:r w:rsidR="00112C80">
        <w:rPr>
          <w:i/>
        </w:rPr>
        <w:t>lactucae</w:t>
      </w:r>
      <w:proofErr w:type="spellEnd"/>
      <w:r w:rsidR="00112C80">
        <w:t xml:space="preserve"> on </w:t>
      </w:r>
      <w:r>
        <w:t xml:space="preserve">lettuce plants. </w:t>
      </w:r>
      <w:r w:rsidR="00112C80">
        <w:t>C</w:t>
      </w:r>
      <w:r>
        <w:t xml:space="preserve">hanges </w:t>
      </w:r>
      <w:r w:rsidR="00112C80">
        <w:t>to</w:t>
      </w:r>
      <w:r>
        <w:t xml:space="preserve"> the natural environment were simulated </w:t>
      </w:r>
      <w:r w:rsidR="00112C80">
        <w:t>in</w:t>
      </w:r>
      <w:r>
        <w:t xml:space="preserve"> </w:t>
      </w:r>
      <w:proofErr w:type="spellStart"/>
      <w:r>
        <w:t>phytotron</w:t>
      </w:r>
      <w:proofErr w:type="spellEnd"/>
      <w:r>
        <w:t xml:space="preserve"> growth chambers </w:t>
      </w:r>
      <w:r w:rsidR="00112C80">
        <w:t xml:space="preserve">using </w:t>
      </w:r>
      <w:r>
        <w:t>different levels of CO</w:t>
      </w:r>
      <w:r>
        <w:rPr>
          <w:vertAlign w:val="subscript"/>
        </w:rPr>
        <w:t>2</w:t>
      </w:r>
      <w:r>
        <w:t xml:space="preserve"> and temperature</w:t>
      </w:r>
      <w:r w:rsidR="00112C80">
        <w:t>s</w:t>
      </w:r>
      <w:r>
        <w:t xml:space="preserve">. </w:t>
      </w:r>
      <w:proofErr w:type="spellStart"/>
      <w:r>
        <w:rPr>
          <w:rFonts w:eastAsia="Times-Roman"/>
        </w:rPr>
        <w:t>Phytotrons</w:t>
      </w:r>
      <w:proofErr w:type="spellEnd"/>
      <w:r>
        <w:rPr>
          <w:rFonts w:eastAsia="Times-Roman"/>
        </w:rPr>
        <w:t xml:space="preserve"> have been used to provide controlled and reproducible conditions for several types of studies in plant physiology (</w:t>
      </w:r>
      <w:proofErr w:type="spellStart"/>
      <w:r>
        <w:rPr>
          <w:rFonts w:eastAsia="Times-Roman"/>
        </w:rPr>
        <w:t>Gullino</w:t>
      </w:r>
      <w:proofErr w:type="spellEnd"/>
      <w:r>
        <w:rPr>
          <w:rFonts w:eastAsia="Times-Roman"/>
        </w:rPr>
        <w:t xml:space="preserve"> et al., 2011). Experiments carried out in these chambers can be compared to field data, not only in a qualitative but also in a quantitative </w:t>
      </w:r>
      <w:r w:rsidR="0068143E">
        <w:rPr>
          <w:rFonts w:eastAsia="Times-Roman"/>
        </w:rPr>
        <w:t xml:space="preserve">way </w:t>
      </w:r>
      <w:r>
        <w:rPr>
          <w:rFonts w:eastAsia="Times-Roman"/>
        </w:rPr>
        <w:t xml:space="preserve">(Moot et al., 1996; Hsiao and </w:t>
      </w:r>
      <w:proofErr w:type="spellStart"/>
      <w:r>
        <w:rPr>
          <w:rFonts w:eastAsia="Times-Roman"/>
        </w:rPr>
        <w:t>Xu</w:t>
      </w:r>
      <w:proofErr w:type="spellEnd"/>
      <w:r>
        <w:rPr>
          <w:rFonts w:eastAsia="Times-Roman"/>
        </w:rPr>
        <w:t xml:space="preserve">, 2000;). The </w:t>
      </w:r>
      <w:r w:rsidR="00112C80">
        <w:rPr>
          <w:rFonts w:eastAsia="Times-Roman"/>
        </w:rPr>
        <w:t xml:space="preserve">ability to </w:t>
      </w:r>
      <w:r>
        <w:rPr>
          <w:rFonts w:eastAsia="Times-Roman"/>
        </w:rPr>
        <w:t>reproduc</w:t>
      </w:r>
      <w:r w:rsidR="00112C80">
        <w:rPr>
          <w:rFonts w:eastAsia="Times-Roman"/>
        </w:rPr>
        <w:t>e</w:t>
      </w:r>
      <w:r>
        <w:rPr>
          <w:rFonts w:eastAsia="Times-Roman"/>
        </w:rPr>
        <w:t xml:space="preserve"> different climatic conditions for experimental purposes can be </w:t>
      </w:r>
      <w:r>
        <w:rPr>
          <w:rFonts w:eastAsia="Times-Roman"/>
        </w:rPr>
        <w:lastRenderedPageBreak/>
        <w:t>very useful in simulating climatic scenarios and monitoring plants, pathogens and plant</w:t>
      </w:r>
      <w:r w:rsidR="00112C80">
        <w:rPr>
          <w:rFonts w:eastAsia="Times-Roman"/>
        </w:rPr>
        <w:t>-</w:t>
      </w:r>
      <w:r>
        <w:rPr>
          <w:rFonts w:eastAsia="Times-Roman"/>
        </w:rPr>
        <w:t>pathogen</w:t>
      </w:r>
      <w:r w:rsidR="00112C80">
        <w:rPr>
          <w:rFonts w:eastAsia="Times-Roman"/>
        </w:rPr>
        <w:t xml:space="preserve"> interaction</w:t>
      </w:r>
      <w:r w:rsidR="0068143E">
        <w:rPr>
          <w:rFonts w:eastAsia="Times-Roman"/>
        </w:rPr>
        <w:t>s</w:t>
      </w:r>
      <w:r>
        <w:rPr>
          <w:rFonts w:eastAsia="Times-Roman"/>
        </w:rPr>
        <w:t>.</w:t>
      </w:r>
      <w:r>
        <w:t xml:space="preserve"> The results </w:t>
      </w:r>
      <w:r w:rsidR="00112C80">
        <w:t xml:space="preserve">of this study </w:t>
      </w:r>
      <w:r>
        <w:t xml:space="preserve">were </w:t>
      </w:r>
      <w:r w:rsidR="0068143E">
        <w:t xml:space="preserve">interpreted </w:t>
      </w:r>
      <w:r>
        <w:t xml:space="preserve">in terms of disease incidence, cultivable abundance, enzymatic assays, and variability of fungal profiles by PCR-DGGE. Other studies </w:t>
      </w:r>
      <w:r w:rsidR="00112C80">
        <w:t xml:space="preserve">have </w:t>
      </w:r>
      <w:r>
        <w:t>show</w:t>
      </w:r>
      <w:r w:rsidR="00112C80">
        <w:t>n</w:t>
      </w:r>
      <w:r>
        <w:t xml:space="preserve"> that the response of soil microorganisms to elevated CO</w:t>
      </w:r>
      <w:r>
        <w:rPr>
          <w:vertAlign w:val="subscript"/>
        </w:rPr>
        <w:t>2</w:t>
      </w:r>
      <w:r>
        <w:t xml:space="preserve"> conditions is highly variable and strongly depends upon the plant–soil system (</w:t>
      </w:r>
      <w:proofErr w:type="spellStart"/>
      <w:r>
        <w:t>Moscatelli</w:t>
      </w:r>
      <w:proofErr w:type="spellEnd"/>
      <w:r>
        <w:t xml:space="preserve"> et al., 2005; </w:t>
      </w:r>
      <w:proofErr w:type="spellStart"/>
      <w:r>
        <w:t>Drigo</w:t>
      </w:r>
      <w:proofErr w:type="spellEnd"/>
      <w:r>
        <w:t xml:space="preserve"> et al., 2008). Different levels of CO</w:t>
      </w:r>
      <w:r>
        <w:rPr>
          <w:vertAlign w:val="subscript"/>
        </w:rPr>
        <w:t>2</w:t>
      </w:r>
      <w:r>
        <w:t xml:space="preserve"> used in several long term studies have shown to decrease (</w:t>
      </w:r>
      <w:proofErr w:type="spellStart"/>
      <w:r>
        <w:t>Ebersberger</w:t>
      </w:r>
      <w:proofErr w:type="spellEnd"/>
      <w:r>
        <w:t xml:space="preserve"> et al., 2003), increase (</w:t>
      </w:r>
      <w:proofErr w:type="spellStart"/>
      <w:r>
        <w:t>Hungate</w:t>
      </w:r>
      <w:proofErr w:type="spellEnd"/>
      <w:r>
        <w:t xml:space="preserve"> et al., 1999; Williams et al., 2000; Cheng et al., 2011) or not induce changes (</w:t>
      </w:r>
      <w:proofErr w:type="spellStart"/>
      <w:r>
        <w:t>Nussbaumer</w:t>
      </w:r>
      <w:proofErr w:type="spellEnd"/>
      <w:r>
        <w:t xml:space="preserve"> et al., 1997; Zak et al., 2000) in microbial diversity and activities. Temperature increase of few °C may have very little effect on the development of soil microbial flora (</w:t>
      </w:r>
      <w:proofErr w:type="spellStart"/>
      <w:r>
        <w:t>Scharpenseel</w:t>
      </w:r>
      <w:proofErr w:type="spellEnd"/>
      <w:r>
        <w:t xml:space="preserve"> et al., 1990). A temperature increase in the range predicted </w:t>
      </w:r>
      <w:r w:rsidR="00112C80">
        <w:t>for future</w:t>
      </w:r>
      <w:r>
        <w:t xml:space="preserve"> climate change, under ambient and elevated CO</w:t>
      </w:r>
      <w:r>
        <w:rPr>
          <w:vertAlign w:val="subscript"/>
        </w:rPr>
        <w:t>2</w:t>
      </w:r>
      <w:r>
        <w:t xml:space="preserve"> concentrations, did not show consistent effects on soil microorganism development (</w:t>
      </w:r>
      <w:proofErr w:type="spellStart"/>
      <w:r>
        <w:t>Kandeler</w:t>
      </w:r>
      <w:proofErr w:type="spellEnd"/>
      <w:r>
        <w:t xml:space="preserve"> et al., 1998).</w:t>
      </w:r>
    </w:p>
    <w:p w:rsidR="006F39CD" w:rsidRDefault="003D008C">
      <w:pPr>
        <w:spacing w:line="480" w:lineRule="auto"/>
        <w:ind w:firstLine="708"/>
        <w:jc w:val="both"/>
      </w:pPr>
      <w:r>
        <w:t>In our study</w:t>
      </w:r>
      <w:r w:rsidR="00CC5FA7">
        <w:t>,</w:t>
      </w:r>
      <w:r>
        <w:t xml:space="preserve"> the disease incidence </w:t>
      </w:r>
      <w:r w:rsidR="00112C80">
        <w:t xml:space="preserve">of FOL and plate counts of </w:t>
      </w:r>
      <w:proofErr w:type="spellStart"/>
      <w:r w:rsidR="00112C80" w:rsidRPr="00112C80">
        <w:rPr>
          <w:i/>
        </w:rPr>
        <w:t>Fusarium</w:t>
      </w:r>
      <w:proofErr w:type="spellEnd"/>
      <w:r w:rsidR="00112C80">
        <w:t xml:space="preserve"> spp. in infested substrate samples were not affected by</w:t>
      </w:r>
      <w:r>
        <w:t xml:space="preserve"> variations in CO</w:t>
      </w:r>
      <w:r>
        <w:rPr>
          <w:vertAlign w:val="subscript"/>
        </w:rPr>
        <w:t>2</w:t>
      </w:r>
      <w:r>
        <w:t xml:space="preserve"> concentration, but showed significant differences (P&lt;0.05) as a function of temperature. As previously reported higher temperatures generally corresponded to greater severity of </w:t>
      </w:r>
      <w:proofErr w:type="spellStart"/>
      <w:r>
        <w:t>Fusarium</w:t>
      </w:r>
      <w:proofErr w:type="spellEnd"/>
      <w:r>
        <w:t xml:space="preserve"> wilt in lettuce (Scott and Gordon, 2010). This </w:t>
      </w:r>
      <w:proofErr w:type="spellStart"/>
      <w:r>
        <w:t>behavio</w:t>
      </w:r>
      <w:r w:rsidR="00112C80">
        <w:t>u</w:t>
      </w:r>
      <w:r>
        <w:t>r</w:t>
      </w:r>
      <w:proofErr w:type="spellEnd"/>
      <w:r>
        <w:t xml:space="preserve"> is well correlated with disease incidence. Total bacterial counts in infested substrate samples </w:t>
      </w:r>
      <w:r w:rsidR="00112C80">
        <w:t xml:space="preserve">showed a greater </w:t>
      </w:r>
      <w:r>
        <w:t>increase at the standard CO</w:t>
      </w:r>
      <w:r>
        <w:rPr>
          <w:vertAlign w:val="subscript"/>
        </w:rPr>
        <w:t xml:space="preserve">2 </w:t>
      </w:r>
      <w:r>
        <w:t>concentration than under higher CO</w:t>
      </w:r>
      <w:r>
        <w:rPr>
          <w:vertAlign w:val="subscript"/>
        </w:rPr>
        <w:t>2</w:t>
      </w:r>
      <w:r>
        <w:t xml:space="preserve"> conditions. In the conditions adopted</w:t>
      </w:r>
      <w:r w:rsidR="00112C80">
        <w:t xml:space="preserve"> in this study</w:t>
      </w:r>
      <w:r>
        <w:t xml:space="preserve">, </w:t>
      </w:r>
      <w:r w:rsidR="00112C80">
        <w:t xml:space="preserve">the </w:t>
      </w:r>
      <w:r>
        <w:t>results suggested that the forecast increase in CO</w:t>
      </w:r>
      <w:r>
        <w:rPr>
          <w:vertAlign w:val="subscript"/>
        </w:rPr>
        <w:t>2</w:t>
      </w:r>
      <w:r>
        <w:t xml:space="preserve"> concentration due to climate change would have a limited effect on bacterial development. Results of this study also showed that the microbial enzyme activity involved in the carbon cycle was not affected by elevated CO</w:t>
      </w:r>
      <w:r>
        <w:rPr>
          <w:vertAlign w:val="subscript"/>
        </w:rPr>
        <w:t>2</w:t>
      </w:r>
      <w:r>
        <w:t xml:space="preserve"> concentration. Recent reports (</w:t>
      </w:r>
      <w:proofErr w:type="spellStart"/>
      <w:r>
        <w:t>Dorodnikov</w:t>
      </w:r>
      <w:proofErr w:type="spellEnd"/>
      <w:r>
        <w:t xml:space="preserve"> et al., 2009; </w:t>
      </w:r>
      <w:proofErr w:type="spellStart"/>
      <w:r>
        <w:t>Guenet</w:t>
      </w:r>
      <w:proofErr w:type="spellEnd"/>
      <w:r>
        <w:t xml:space="preserve"> et al., 2012) have shown similar results, while other studies reported conflicting results about the enzymatic activity (Freeman et al., 2004). This variability of results can originate from differences in several factors </w:t>
      </w:r>
      <w:r w:rsidR="00475A2B">
        <w:t xml:space="preserve">such as </w:t>
      </w:r>
      <w:r>
        <w:t xml:space="preserve">the composition of the substrates used and the availability of plant nutrients. The variability of fungal profiles was evaluated by PCR-DGGE, a technique that has also </w:t>
      </w:r>
      <w:r>
        <w:lastRenderedPageBreak/>
        <w:t>been employed with good results in other studies to assess the soil microbial population under different CO</w:t>
      </w:r>
      <w:r>
        <w:rPr>
          <w:vertAlign w:val="subscript"/>
        </w:rPr>
        <w:t>2</w:t>
      </w:r>
      <w:r>
        <w:t xml:space="preserve"> levels (</w:t>
      </w:r>
      <w:proofErr w:type="spellStart"/>
      <w:r>
        <w:t>Guenet</w:t>
      </w:r>
      <w:proofErr w:type="spellEnd"/>
      <w:r>
        <w:t xml:space="preserve"> et al., 2012). In this study the PCR-DGGE analysis of DNA extracted from substrate samples showed that the fungal species diversity at different levels of CO</w:t>
      </w:r>
      <w:r>
        <w:rPr>
          <w:vertAlign w:val="subscript"/>
        </w:rPr>
        <w:t>2</w:t>
      </w:r>
      <w:r>
        <w:t xml:space="preserve"> did not change significantly. The results of th</w:t>
      </w:r>
      <w:r w:rsidR="00475A2B">
        <w:t>is study</w:t>
      </w:r>
      <w:r>
        <w:t xml:space="preserve"> are in agreement with recent studies showing that species diversity is not influenced by elevated CO</w:t>
      </w:r>
      <w:r>
        <w:rPr>
          <w:vertAlign w:val="subscript"/>
        </w:rPr>
        <w:t>2</w:t>
      </w:r>
      <w:r>
        <w:t xml:space="preserve"> levels (Lipson et al., 2006; </w:t>
      </w:r>
      <w:proofErr w:type="spellStart"/>
      <w:r>
        <w:t>Guenet</w:t>
      </w:r>
      <w:proofErr w:type="spellEnd"/>
      <w:r>
        <w:t xml:space="preserve"> et al., 2012). PCR-DGGE analyses showed that temperature does not affect the species diversity in the substrate samples analyzed.</w:t>
      </w:r>
    </w:p>
    <w:p w:rsidR="006F39CD" w:rsidRDefault="006F39CD">
      <w:pPr>
        <w:spacing w:line="480" w:lineRule="auto"/>
        <w:jc w:val="both"/>
      </w:pPr>
    </w:p>
    <w:p w:rsidR="006F39CD" w:rsidRDefault="003D008C">
      <w:pPr>
        <w:spacing w:line="480" w:lineRule="auto"/>
        <w:jc w:val="both"/>
      </w:pPr>
      <w:r>
        <w:rPr>
          <w:b/>
        </w:rPr>
        <w:t>5. Conclusions</w:t>
      </w:r>
    </w:p>
    <w:p w:rsidR="00F65219" w:rsidRDefault="00F65219">
      <w:pPr>
        <w:spacing w:line="480" w:lineRule="auto"/>
        <w:ind w:firstLine="708"/>
        <w:jc w:val="both"/>
      </w:pPr>
    </w:p>
    <w:p w:rsidR="006F39CD" w:rsidRDefault="003D008C">
      <w:pPr>
        <w:spacing w:line="480" w:lineRule="auto"/>
        <w:ind w:firstLine="708"/>
        <w:jc w:val="both"/>
      </w:pPr>
      <w:r>
        <w:t xml:space="preserve">The global warming </w:t>
      </w:r>
      <w:r w:rsidR="00CC5FA7">
        <w:t xml:space="preserve">predicted </w:t>
      </w:r>
      <w:r>
        <w:t xml:space="preserve">for the future could induce an increase in the incidence of diseases caused by </w:t>
      </w:r>
      <w:r w:rsidR="00475A2B">
        <w:t xml:space="preserve">plant pathogenic </w:t>
      </w:r>
      <w:proofErr w:type="spellStart"/>
      <w:r>
        <w:rPr>
          <w:i/>
        </w:rPr>
        <w:t>Fusarium</w:t>
      </w:r>
      <w:proofErr w:type="spellEnd"/>
      <w:r>
        <w:t xml:space="preserve"> species. Previous studies have shown that exposure to high atmospheric CO</w:t>
      </w:r>
      <w:r>
        <w:rPr>
          <w:vertAlign w:val="subscript"/>
        </w:rPr>
        <w:t>2</w:t>
      </w:r>
      <w:r>
        <w:t xml:space="preserve"> levels and high temperatures can cause a low, but significant modification in plant growth and in the development of FOL in lettuce. We cannot make specific predictions on what would happen in the field, </w:t>
      </w:r>
      <w:r w:rsidR="002859BC" w:rsidRPr="00457FD2">
        <w:t xml:space="preserve">but results from the simulation experiment, performed in </w:t>
      </w:r>
      <w:proofErr w:type="spellStart"/>
      <w:r w:rsidR="002859BC" w:rsidRPr="00457FD2">
        <w:t>phytotron</w:t>
      </w:r>
      <w:proofErr w:type="spellEnd"/>
      <w:r w:rsidR="002859BC" w:rsidRPr="00457FD2">
        <w:t xml:space="preserve"> growth chambers, showed</w:t>
      </w:r>
      <w:r w:rsidR="002859BC" w:rsidDel="002859BC">
        <w:t xml:space="preserve"> </w:t>
      </w:r>
      <w:r>
        <w:t>that temperatures of 22-26 °C induce</w:t>
      </w:r>
      <w:r w:rsidR="00CC5FA7">
        <w:t>d</w:t>
      </w:r>
      <w:r>
        <w:t xml:space="preserve"> an increase in disease incidence compared </w:t>
      </w:r>
      <w:r w:rsidR="005E7DEB">
        <w:t xml:space="preserve">with </w:t>
      </w:r>
      <w:r>
        <w:t>standard conditions, although no effect was observed on TBC or on the stimulation of the monitored extra-cellular enzymes. No significant effects were detected as a consequence of elevated CO</w:t>
      </w:r>
      <w:r>
        <w:rPr>
          <w:vertAlign w:val="subscript"/>
        </w:rPr>
        <w:t>2</w:t>
      </w:r>
      <w:r>
        <w:t xml:space="preserve"> concentration. However, the potential impacts of elevated atmospheric CO</w:t>
      </w:r>
      <w:r>
        <w:rPr>
          <w:vertAlign w:val="subscript"/>
        </w:rPr>
        <w:t xml:space="preserve">2 </w:t>
      </w:r>
      <w:r>
        <w:t xml:space="preserve">on soil microbial composition and activity deserve further studies. </w:t>
      </w:r>
    </w:p>
    <w:p w:rsidR="006F39CD" w:rsidRDefault="006F39CD">
      <w:pPr>
        <w:spacing w:line="480" w:lineRule="auto"/>
        <w:ind w:firstLine="708"/>
        <w:jc w:val="both"/>
      </w:pPr>
    </w:p>
    <w:p w:rsidR="009B7B44" w:rsidRDefault="009B7B44">
      <w:pPr>
        <w:spacing w:line="480" w:lineRule="auto"/>
        <w:ind w:firstLine="708"/>
        <w:jc w:val="both"/>
      </w:pPr>
    </w:p>
    <w:p w:rsidR="0073620C" w:rsidRDefault="0073620C">
      <w:pPr>
        <w:spacing w:line="480" w:lineRule="auto"/>
        <w:ind w:firstLine="708"/>
        <w:jc w:val="both"/>
      </w:pPr>
    </w:p>
    <w:p w:rsidR="00F65219" w:rsidRDefault="00F65219">
      <w:pPr>
        <w:spacing w:line="480" w:lineRule="auto"/>
        <w:ind w:firstLine="708"/>
        <w:jc w:val="both"/>
      </w:pPr>
    </w:p>
    <w:p w:rsidR="0073620C" w:rsidRDefault="0073620C">
      <w:pPr>
        <w:spacing w:line="480" w:lineRule="auto"/>
        <w:ind w:firstLine="708"/>
        <w:jc w:val="both"/>
      </w:pPr>
    </w:p>
    <w:p w:rsidR="005871C5" w:rsidRDefault="005871C5">
      <w:pPr>
        <w:spacing w:line="480" w:lineRule="auto"/>
        <w:ind w:firstLine="708"/>
        <w:jc w:val="both"/>
      </w:pPr>
    </w:p>
    <w:p w:rsidR="006F39CD" w:rsidRDefault="003D008C">
      <w:pPr>
        <w:spacing w:line="360" w:lineRule="auto"/>
        <w:jc w:val="both"/>
        <w:rPr>
          <w:rFonts w:eastAsia="Times New Roman"/>
        </w:rPr>
      </w:pPr>
      <w:r>
        <w:rPr>
          <w:b/>
          <w:bCs/>
        </w:rPr>
        <w:lastRenderedPageBreak/>
        <w:t>Acknowledgement:</w:t>
      </w:r>
    </w:p>
    <w:p w:rsidR="00B56CE8" w:rsidRPr="00B56CE8" w:rsidRDefault="003D008C" w:rsidP="00B56CE8">
      <w:pPr>
        <w:spacing w:before="28" w:after="28" w:line="480" w:lineRule="auto"/>
        <w:jc w:val="both"/>
        <w:rPr>
          <w:rFonts w:eastAsia="Times New Roman"/>
        </w:rPr>
      </w:pPr>
      <w:r>
        <w:rPr>
          <w:rFonts w:eastAsia="Times New Roman"/>
        </w:rPr>
        <w:t>This research was supported by the Italian Ministry for Environment, Land and Sea, within the program “Sustainable agriculture, clim</w:t>
      </w:r>
      <w:r w:rsidR="00B56CE8">
        <w:rPr>
          <w:rFonts w:eastAsia="Times New Roman"/>
        </w:rPr>
        <w:t xml:space="preserve">ate change and food security”. </w:t>
      </w:r>
      <w:r w:rsidR="00B56CE8" w:rsidRPr="00B56CE8">
        <w:rPr>
          <w:rFonts w:eastAsia="Times New Roman"/>
        </w:rPr>
        <w:t xml:space="preserve">We are grateful to Kathryn Webb for </w:t>
      </w:r>
      <w:r w:rsidR="00636506">
        <w:rPr>
          <w:rFonts w:eastAsia="Times New Roman"/>
        </w:rPr>
        <w:t>English language revision</w:t>
      </w:r>
      <w:r w:rsidR="00B56CE8" w:rsidRPr="00B56CE8">
        <w:rPr>
          <w:rFonts w:eastAsia="Times New Roman"/>
        </w:rPr>
        <w:t>.</w:t>
      </w:r>
    </w:p>
    <w:p w:rsidR="006F39CD" w:rsidRDefault="006F39CD">
      <w:pPr>
        <w:spacing w:before="28" w:after="28" w:line="480" w:lineRule="auto"/>
        <w:jc w:val="both"/>
        <w:rPr>
          <w:b/>
          <w:bCs/>
        </w:rPr>
      </w:pPr>
    </w:p>
    <w:p w:rsidR="006F39CD" w:rsidRDefault="003D008C">
      <w:pPr>
        <w:spacing w:line="480" w:lineRule="auto"/>
        <w:ind w:left="539" w:hanging="539"/>
        <w:jc w:val="both"/>
      </w:pPr>
      <w:r>
        <w:rPr>
          <w:b/>
          <w:bCs/>
        </w:rPr>
        <w:t xml:space="preserve">References: </w:t>
      </w:r>
    </w:p>
    <w:p w:rsidR="006F39CD" w:rsidRDefault="003D008C">
      <w:pPr>
        <w:ind w:left="567" w:hanging="567"/>
        <w:jc w:val="both"/>
      </w:pPr>
      <w:proofErr w:type="spellStart"/>
      <w:r>
        <w:t>Ampe</w:t>
      </w:r>
      <w:proofErr w:type="spellEnd"/>
      <w:r>
        <w:t xml:space="preserve">, F., Ben Omar, N., </w:t>
      </w:r>
      <w:proofErr w:type="spellStart"/>
      <w:r>
        <w:t>Moizan</w:t>
      </w:r>
      <w:proofErr w:type="spellEnd"/>
      <w:r>
        <w:t xml:space="preserve">, C., </w:t>
      </w:r>
      <w:proofErr w:type="spellStart"/>
      <w:r>
        <w:t>Wacher</w:t>
      </w:r>
      <w:proofErr w:type="spellEnd"/>
      <w:r>
        <w:t xml:space="preserve">, C., </w:t>
      </w:r>
      <w:proofErr w:type="spellStart"/>
      <w:r>
        <w:t>Guyot</w:t>
      </w:r>
      <w:proofErr w:type="spellEnd"/>
      <w:r>
        <w:t xml:space="preserve">, J. P., 1999. </w:t>
      </w:r>
      <w:proofErr w:type="spellStart"/>
      <w:r>
        <w:t>Polyphasic</w:t>
      </w:r>
      <w:proofErr w:type="spellEnd"/>
      <w:r>
        <w:t xml:space="preserve"> study of the spatial distribution of microorganisms in Mexican </w:t>
      </w:r>
      <w:proofErr w:type="spellStart"/>
      <w:r>
        <w:t>pozol</w:t>
      </w:r>
      <w:proofErr w:type="spellEnd"/>
      <w:r>
        <w:t xml:space="preserve">, a fermented maize dough, demonstrates the need for cultivation-independent methods to investigate traditional fermentations. Appl. Environ. </w:t>
      </w:r>
      <w:proofErr w:type="spellStart"/>
      <w:r>
        <w:t>Microbiol</w:t>
      </w:r>
      <w:proofErr w:type="spellEnd"/>
      <w:r>
        <w:t>.</w:t>
      </w:r>
      <w:r>
        <w:rPr>
          <w:i/>
        </w:rPr>
        <w:t xml:space="preserve"> </w:t>
      </w:r>
      <w:r>
        <w:t>65, 5464-5473.</w:t>
      </w:r>
    </w:p>
    <w:p w:rsidR="006F39CD" w:rsidRDefault="006F39CD">
      <w:pPr>
        <w:ind w:left="567" w:hanging="567"/>
        <w:jc w:val="both"/>
      </w:pPr>
    </w:p>
    <w:p w:rsidR="006F39CD" w:rsidRDefault="003D008C">
      <w:pPr>
        <w:ind w:left="567" w:hanging="567"/>
        <w:jc w:val="both"/>
      </w:pPr>
      <w:r>
        <w:t>Anderson, I.C., Campbell, C.D., Prosser, J.I., 2003. Diversity of fungi in organic soils under moorland-Scots pine (</w:t>
      </w:r>
      <w:proofErr w:type="spellStart"/>
      <w:r>
        <w:rPr>
          <w:i/>
        </w:rPr>
        <w:t>Pinus</w:t>
      </w:r>
      <w:proofErr w:type="spellEnd"/>
      <w:r>
        <w:rPr>
          <w:i/>
        </w:rPr>
        <w:t xml:space="preserve"> </w:t>
      </w:r>
      <w:proofErr w:type="spellStart"/>
      <w:r>
        <w:rPr>
          <w:i/>
        </w:rPr>
        <w:t>sylvestris</w:t>
      </w:r>
      <w:proofErr w:type="spellEnd"/>
      <w:r>
        <w:t xml:space="preserve"> L.) gradient. Environ. </w:t>
      </w:r>
      <w:proofErr w:type="spellStart"/>
      <w:r>
        <w:t>Microbiol</w:t>
      </w:r>
      <w:proofErr w:type="spellEnd"/>
      <w:r>
        <w:t>.</w:t>
      </w:r>
      <w:r>
        <w:rPr>
          <w:i/>
        </w:rPr>
        <w:t xml:space="preserve"> </w:t>
      </w:r>
      <w:r>
        <w:t>5, 1121–1132.</w:t>
      </w:r>
    </w:p>
    <w:p w:rsidR="006F39CD" w:rsidRDefault="006F39CD">
      <w:pPr>
        <w:ind w:left="567" w:hanging="567"/>
        <w:jc w:val="both"/>
      </w:pPr>
    </w:p>
    <w:p w:rsidR="006F39CD" w:rsidRDefault="003D008C">
      <w:pPr>
        <w:ind w:left="567" w:hanging="567"/>
        <w:jc w:val="both"/>
      </w:pPr>
      <w:proofErr w:type="spellStart"/>
      <w:r>
        <w:t>Chakraborty</w:t>
      </w:r>
      <w:proofErr w:type="spellEnd"/>
      <w:r>
        <w:t xml:space="preserve">, S., Luck, J., </w:t>
      </w:r>
      <w:proofErr w:type="spellStart"/>
      <w:r>
        <w:t>Hollaway</w:t>
      </w:r>
      <w:proofErr w:type="spellEnd"/>
      <w:r>
        <w:t xml:space="preserve">, G., Freeman, A., Norton, R., Garrett, K.A., Percy, K., Hopkins, A., Davis, C., </w:t>
      </w:r>
      <w:proofErr w:type="spellStart"/>
      <w:r>
        <w:t>Karnosky</w:t>
      </w:r>
      <w:proofErr w:type="spellEnd"/>
      <w:r>
        <w:t>, D.F., 2008. Impacts of global change on diseases of agricultural crops and forest trees. CAB Rev. 3, 1-15.</w:t>
      </w:r>
    </w:p>
    <w:p w:rsidR="006F39CD" w:rsidRDefault="006F39CD">
      <w:pPr>
        <w:ind w:left="567" w:hanging="567"/>
        <w:jc w:val="both"/>
      </w:pPr>
    </w:p>
    <w:p w:rsidR="006F39CD" w:rsidRDefault="003D008C">
      <w:pPr>
        <w:ind w:left="567" w:hanging="567"/>
        <w:jc w:val="both"/>
      </w:pPr>
      <w:r>
        <w:t xml:space="preserve">Cheng, L., Booker, F.L., </w:t>
      </w:r>
      <w:proofErr w:type="spellStart"/>
      <w:r>
        <w:t>Burkey</w:t>
      </w:r>
      <w:proofErr w:type="spellEnd"/>
      <w:r>
        <w:t xml:space="preserve">, K.O., </w:t>
      </w:r>
      <w:proofErr w:type="spellStart"/>
      <w:r>
        <w:t>Tu</w:t>
      </w:r>
      <w:proofErr w:type="spellEnd"/>
      <w:r>
        <w:t xml:space="preserve"> C., </w:t>
      </w:r>
      <w:proofErr w:type="spellStart"/>
      <w:r>
        <w:t>Shew</w:t>
      </w:r>
      <w:proofErr w:type="spellEnd"/>
      <w:r>
        <w:t>, H.D., 2011 Soil Microbial Responses to Elevated CO</w:t>
      </w:r>
      <w:r>
        <w:rPr>
          <w:vertAlign w:val="subscript"/>
        </w:rPr>
        <w:t>2</w:t>
      </w:r>
      <w:r>
        <w:t xml:space="preserve"> and O</w:t>
      </w:r>
      <w:r>
        <w:rPr>
          <w:vertAlign w:val="subscript"/>
        </w:rPr>
        <w:t>3</w:t>
      </w:r>
      <w:r>
        <w:t xml:space="preserve"> in a Nitrogen-Aggrading </w:t>
      </w:r>
      <w:proofErr w:type="spellStart"/>
      <w:r>
        <w:t>Agroecosystem</w:t>
      </w:r>
      <w:proofErr w:type="spellEnd"/>
      <w:r>
        <w:t xml:space="preserve">. </w:t>
      </w:r>
      <w:proofErr w:type="spellStart"/>
      <w:r>
        <w:t>PLoS</w:t>
      </w:r>
      <w:proofErr w:type="spellEnd"/>
      <w:r>
        <w:t xml:space="preserve"> ONE 6, e21377.</w:t>
      </w:r>
    </w:p>
    <w:p w:rsidR="006F39CD" w:rsidRDefault="006F39CD">
      <w:pPr>
        <w:ind w:left="567" w:hanging="567"/>
        <w:jc w:val="both"/>
      </w:pPr>
    </w:p>
    <w:p w:rsidR="006F39CD" w:rsidRDefault="003D008C">
      <w:pPr>
        <w:ind w:left="567" w:hanging="567"/>
        <w:jc w:val="both"/>
      </w:pPr>
      <w:proofErr w:type="spellStart"/>
      <w:r>
        <w:t>Danon</w:t>
      </w:r>
      <w:proofErr w:type="spellEnd"/>
      <w:r>
        <w:t xml:space="preserve">, M., </w:t>
      </w:r>
      <w:proofErr w:type="spellStart"/>
      <w:r>
        <w:t>Yona</w:t>
      </w:r>
      <w:proofErr w:type="spellEnd"/>
      <w:r>
        <w:t xml:space="preserve">, C., Yitzhak, H., 2010. </w:t>
      </w:r>
      <w:proofErr w:type="spellStart"/>
      <w:r>
        <w:t>Ascomycete</w:t>
      </w:r>
      <w:proofErr w:type="spellEnd"/>
      <w:r>
        <w:t xml:space="preserve"> communities associated with suppression of </w:t>
      </w:r>
      <w:proofErr w:type="spellStart"/>
      <w:r>
        <w:rPr>
          <w:i/>
        </w:rPr>
        <w:t>Sclerotium</w:t>
      </w:r>
      <w:proofErr w:type="spellEnd"/>
      <w:r>
        <w:rPr>
          <w:i/>
        </w:rPr>
        <w:t xml:space="preserve"> </w:t>
      </w:r>
      <w:proofErr w:type="spellStart"/>
      <w:r>
        <w:rPr>
          <w:i/>
        </w:rPr>
        <w:t>rolfsii</w:t>
      </w:r>
      <w:proofErr w:type="spellEnd"/>
      <w:r>
        <w:t xml:space="preserve"> in compost. Fungal ecol. 3, 20–30.</w:t>
      </w:r>
    </w:p>
    <w:p w:rsidR="006F39CD" w:rsidRDefault="006F39CD">
      <w:pPr>
        <w:ind w:left="567" w:hanging="567"/>
        <w:jc w:val="both"/>
      </w:pPr>
    </w:p>
    <w:p w:rsidR="006F39CD" w:rsidRDefault="003D008C">
      <w:pPr>
        <w:ind w:left="567" w:hanging="567"/>
        <w:jc w:val="both"/>
      </w:pPr>
      <w:proofErr w:type="spellStart"/>
      <w:r>
        <w:t>Dorodnikov</w:t>
      </w:r>
      <w:proofErr w:type="spellEnd"/>
      <w:r>
        <w:t xml:space="preserve">, M., </w:t>
      </w:r>
      <w:proofErr w:type="spellStart"/>
      <w:r>
        <w:t>Blagodatskaya</w:t>
      </w:r>
      <w:proofErr w:type="spellEnd"/>
      <w:r>
        <w:t xml:space="preserve">, E., </w:t>
      </w:r>
      <w:proofErr w:type="spellStart"/>
      <w:r>
        <w:t>Blagodatsky</w:t>
      </w:r>
      <w:proofErr w:type="spellEnd"/>
      <w:r>
        <w:t xml:space="preserve">, S., </w:t>
      </w:r>
      <w:proofErr w:type="spellStart"/>
      <w:r>
        <w:t>Marhan</w:t>
      </w:r>
      <w:proofErr w:type="spellEnd"/>
      <w:r>
        <w:t xml:space="preserve">, S., </w:t>
      </w:r>
      <w:proofErr w:type="spellStart"/>
      <w:r>
        <w:t>Fangmeier</w:t>
      </w:r>
      <w:proofErr w:type="spellEnd"/>
      <w:r>
        <w:t xml:space="preserve">, A., </w:t>
      </w:r>
      <w:proofErr w:type="spellStart"/>
      <w:r>
        <w:t>Kuzyakov</w:t>
      </w:r>
      <w:proofErr w:type="spellEnd"/>
      <w:r>
        <w:t>, Y., 2009. Stimulation of microbial extracellular enzyme activities by elevated CO</w:t>
      </w:r>
      <w:r>
        <w:rPr>
          <w:vertAlign w:val="subscript"/>
        </w:rPr>
        <w:t>2</w:t>
      </w:r>
      <w:r>
        <w:t xml:space="preserve"> depends on soil aggregate size. </w:t>
      </w:r>
      <w:r>
        <w:rPr>
          <w:bCs/>
        </w:rPr>
        <w:t>Global Change Biol.</w:t>
      </w:r>
      <w:r>
        <w:rPr>
          <w:b/>
          <w:bCs/>
        </w:rPr>
        <w:t xml:space="preserve"> </w:t>
      </w:r>
      <w:r>
        <w:t>15, 1603–1614.</w:t>
      </w:r>
    </w:p>
    <w:p w:rsidR="006F39CD" w:rsidRDefault="006F39CD">
      <w:pPr>
        <w:ind w:left="567" w:hanging="567"/>
        <w:jc w:val="both"/>
      </w:pPr>
    </w:p>
    <w:p w:rsidR="006F39CD" w:rsidRDefault="003D008C">
      <w:pPr>
        <w:ind w:left="567" w:hanging="567"/>
        <w:jc w:val="both"/>
      </w:pPr>
      <w:proofErr w:type="spellStart"/>
      <w:r>
        <w:t>Drigo</w:t>
      </w:r>
      <w:proofErr w:type="spellEnd"/>
      <w:r>
        <w:t xml:space="preserve">, B., </w:t>
      </w:r>
      <w:proofErr w:type="spellStart"/>
      <w:r>
        <w:t>Kowalchuk</w:t>
      </w:r>
      <w:proofErr w:type="spellEnd"/>
      <w:r>
        <w:t xml:space="preserve">, G.A., van </w:t>
      </w:r>
      <w:proofErr w:type="spellStart"/>
      <w:r>
        <w:t>Veen</w:t>
      </w:r>
      <w:proofErr w:type="spellEnd"/>
      <w:r>
        <w:t>, J.A., 2008. Climate change goes underground: effects of elevated atmospheric CO</w:t>
      </w:r>
      <w:r>
        <w:rPr>
          <w:vertAlign w:val="subscript"/>
        </w:rPr>
        <w:t>2</w:t>
      </w:r>
      <w:r>
        <w:t xml:space="preserve"> on microbial community structure and activities in the </w:t>
      </w:r>
      <w:proofErr w:type="spellStart"/>
      <w:r>
        <w:t>rhizosphere</w:t>
      </w:r>
      <w:proofErr w:type="spellEnd"/>
      <w:r>
        <w:t xml:space="preserve">. Biol. </w:t>
      </w:r>
      <w:proofErr w:type="spellStart"/>
      <w:r>
        <w:t>Fert</w:t>
      </w:r>
      <w:proofErr w:type="spellEnd"/>
      <w:r>
        <w:t>. Soils. 44, 667-679.</w:t>
      </w:r>
    </w:p>
    <w:p w:rsidR="006F39CD" w:rsidRDefault="006F39CD">
      <w:pPr>
        <w:ind w:left="567" w:hanging="567"/>
        <w:jc w:val="both"/>
      </w:pPr>
    </w:p>
    <w:p w:rsidR="006F39CD" w:rsidRDefault="003D008C">
      <w:pPr>
        <w:ind w:left="567" w:hanging="567"/>
        <w:jc w:val="both"/>
      </w:pPr>
      <w:proofErr w:type="spellStart"/>
      <w:r>
        <w:t>Ebersberger</w:t>
      </w:r>
      <w:proofErr w:type="spellEnd"/>
      <w:r>
        <w:t xml:space="preserve">, D., </w:t>
      </w:r>
      <w:proofErr w:type="spellStart"/>
      <w:r>
        <w:t>Niklaus</w:t>
      </w:r>
      <w:proofErr w:type="spellEnd"/>
      <w:r>
        <w:t xml:space="preserve">, P.A., </w:t>
      </w:r>
      <w:proofErr w:type="spellStart"/>
      <w:r>
        <w:t>Kandeler</w:t>
      </w:r>
      <w:proofErr w:type="spellEnd"/>
      <w:r>
        <w:t>, E., 2003. Long term CO</w:t>
      </w:r>
      <w:r>
        <w:rPr>
          <w:vertAlign w:val="subscript"/>
        </w:rPr>
        <w:t>2</w:t>
      </w:r>
      <w:r>
        <w:t xml:space="preserve"> enrichment stimulates N-</w:t>
      </w:r>
      <w:proofErr w:type="spellStart"/>
      <w:r>
        <w:t>mineralisation</w:t>
      </w:r>
      <w:proofErr w:type="spellEnd"/>
      <w:r>
        <w:t xml:space="preserve"> and enzyme activities in calcareous grassland. </w:t>
      </w:r>
      <w:r>
        <w:rPr>
          <w:iCs/>
        </w:rPr>
        <w:t xml:space="preserve">Soil Biol. </w:t>
      </w:r>
      <w:proofErr w:type="spellStart"/>
      <w:r>
        <w:rPr>
          <w:iCs/>
        </w:rPr>
        <w:t>Biochem</w:t>
      </w:r>
      <w:proofErr w:type="spellEnd"/>
      <w:r>
        <w:t xml:space="preserve">. </w:t>
      </w:r>
      <w:r>
        <w:rPr>
          <w:bCs/>
        </w:rPr>
        <w:t>35</w:t>
      </w:r>
      <w:r>
        <w:t>, 965–972.</w:t>
      </w:r>
    </w:p>
    <w:p w:rsidR="006F39CD" w:rsidRDefault="006F39CD">
      <w:pPr>
        <w:ind w:left="567" w:hanging="567"/>
        <w:jc w:val="both"/>
      </w:pPr>
    </w:p>
    <w:p w:rsidR="006F39CD" w:rsidRDefault="003D008C">
      <w:pPr>
        <w:ind w:left="567" w:hanging="567"/>
        <w:jc w:val="both"/>
      </w:pPr>
      <w:r>
        <w:t>Freeman, C., Kim, S.Y., Lee, S.H., Kang, H., 2004. Effect of elevated atmospheric CO</w:t>
      </w:r>
      <w:r>
        <w:rPr>
          <w:vertAlign w:val="subscript"/>
        </w:rPr>
        <w:t>2</w:t>
      </w:r>
      <w:r>
        <w:t xml:space="preserve"> concentrations on soil microorganisms. J. </w:t>
      </w:r>
      <w:proofErr w:type="spellStart"/>
      <w:r>
        <w:t>Microbiol</w:t>
      </w:r>
      <w:proofErr w:type="spellEnd"/>
      <w:r>
        <w:t>. 42, 267–277.</w:t>
      </w:r>
    </w:p>
    <w:p w:rsidR="006F39CD" w:rsidRDefault="006F39CD">
      <w:pPr>
        <w:ind w:left="567" w:hanging="567"/>
        <w:jc w:val="both"/>
      </w:pPr>
    </w:p>
    <w:p w:rsidR="006F39CD" w:rsidRDefault="003D008C">
      <w:pPr>
        <w:ind w:left="567" w:hanging="567"/>
        <w:jc w:val="both"/>
      </w:pPr>
      <w:r>
        <w:t xml:space="preserve">Garibaldi, A., Gilardi, G., </w:t>
      </w:r>
      <w:proofErr w:type="spellStart"/>
      <w:r>
        <w:t>Gullino</w:t>
      </w:r>
      <w:proofErr w:type="spellEnd"/>
      <w:r>
        <w:t>, M.L., 2002. First report of</w:t>
      </w:r>
      <w:r>
        <w:rPr>
          <w:i/>
        </w:rPr>
        <w:t xml:space="preserve"> </w:t>
      </w:r>
      <w:proofErr w:type="spellStart"/>
      <w:r>
        <w:rPr>
          <w:i/>
        </w:rPr>
        <w:t>Fusarium</w:t>
      </w:r>
      <w:proofErr w:type="spellEnd"/>
      <w:r>
        <w:rPr>
          <w:i/>
        </w:rPr>
        <w:t xml:space="preserve"> </w:t>
      </w:r>
      <w:proofErr w:type="spellStart"/>
      <w:r>
        <w:rPr>
          <w:i/>
        </w:rPr>
        <w:t>oxysporum</w:t>
      </w:r>
      <w:proofErr w:type="spellEnd"/>
      <w:r>
        <w:t xml:space="preserve"> on lettuce in Europe. Plant Dis. 86, 1052.</w:t>
      </w:r>
    </w:p>
    <w:p w:rsidR="006F39CD" w:rsidRDefault="006F39CD">
      <w:pPr>
        <w:ind w:left="567" w:hanging="567"/>
        <w:jc w:val="both"/>
      </w:pPr>
    </w:p>
    <w:p w:rsidR="006F39CD" w:rsidRDefault="003D008C">
      <w:pPr>
        <w:ind w:left="567" w:hanging="567"/>
        <w:jc w:val="both"/>
      </w:pPr>
      <w:r>
        <w:t xml:space="preserve">Garibaldi, A., Gilardi, G., </w:t>
      </w:r>
      <w:proofErr w:type="spellStart"/>
      <w:r>
        <w:t>Gullino</w:t>
      </w:r>
      <w:proofErr w:type="spellEnd"/>
      <w:r>
        <w:t xml:space="preserve">, M.L., 2004. Varietal resistance of lettuce to </w:t>
      </w:r>
      <w:proofErr w:type="spellStart"/>
      <w:r>
        <w:rPr>
          <w:i/>
        </w:rPr>
        <w:t>Fusarium</w:t>
      </w:r>
      <w:proofErr w:type="spellEnd"/>
      <w:r>
        <w:rPr>
          <w:i/>
        </w:rPr>
        <w:t xml:space="preserve"> </w:t>
      </w:r>
      <w:proofErr w:type="spellStart"/>
      <w:r>
        <w:rPr>
          <w:i/>
        </w:rPr>
        <w:t>oxysporum</w:t>
      </w:r>
      <w:proofErr w:type="spellEnd"/>
      <w:r>
        <w:t xml:space="preserve"> </w:t>
      </w:r>
      <w:proofErr w:type="spellStart"/>
      <w:r>
        <w:t>f.sp</w:t>
      </w:r>
      <w:proofErr w:type="spellEnd"/>
      <w:r>
        <w:t xml:space="preserve">. </w:t>
      </w:r>
      <w:proofErr w:type="spellStart"/>
      <w:r>
        <w:rPr>
          <w:i/>
        </w:rPr>
        <w:t>lactucae</w:t>
      </w:r>
      <w:proofErr w:type="spellEnd"/>
      <w:r>
        <w:t>. Crop Prot. 23, 845-851.</w:t>
      </w:r>
    </w:p>
    <w:p w:rsidR="006F39CD" w:rsidRDefault="006F39CD">
      <w:pPr>
        <w:ind w:left="567" w:hanging="567"/>
        <w:jc w:val="both"/>
      </w:pPr>
    </w:p>
    <w:p w:rsidR="006F39CD" w:rsidRDefault="003D008C">
      <w:pPr>
        <w:ind w:left="567" w:hanging="567"/>
        <w:jc w:val="both"/>
      </w:pPr>
      <w:proofErr w:type="spellStart"/>
      <w:r>
        <w:lastRenderedPageBreak/>
        <w:t>Gardes</w:t>
      </w:r>
      <w:proofErr w:type="spellEnd"/>
      <w:r>
        <w:t xml:space="preserve">, M., </w:t>
      </w:r>
      <w:proofErr w:type="spellStart"/>
      <w:r>
        <w:t>Bruns</w:t>
      </w:r>
      <w:proofErr w:type="spellEnd"/>
      <w:r>
        <w:t xml:space="preserve">, T.D., 1993. ITS primers with enhanced specificity for </w:t>
      </w:r>
      <w:proofErr w:type="spellStart"/>
      <w:r>
        <w:t>basidiomycetes</w:t>
      </w:r>
      <w:proofErr w:type="spellEnd"/>
      <w:r>
        <w:t xml:space="preserve">: application to the identification of </w:t>
      </w:r>
      <w:proofErr w:type="spellStart"/>
      <w:r>
        <w:t>mycorrhiza</w:t>
      </w:r>
      <w:proofErr w:type="spellEnd"/>
      <w:r>
        <w:t xml:space="preserve"> and rusts. Mol. Ecol. 2,113–118.</w:t>
      </w:r>
    </w:p>
    <w:p w:rsidR="006F39CD" w:rsidRDefault="006F39CD">
      <w:pPr>
        <w:ind w:left="567" w:hanging="567"/>
        <w:jc w:val="both"/>
      </w:pPr>
    </w:p>
    <w:p w:rsidR="006F39CD" w:rsidRDefault="003D008C">
      <w:pPr>
        <w:ind w:left="567" w:hanging="567"/>
        <w:jc w:val="both"/>
      </w:pPr>
      <w:r>
        <w:t xml:space="preserve">Garrett, K.A., </w:t>
      </w:r>
      <w:proofErr w:type="spellStart"/>
      <w:r>
        <w:t>Dendy</w:t>
      </w:r>
      <w:proofErr w:type="spellEnd"/>
      <w:r>
        <w:t xml:space="preserve">, S.P., Frank, E.E., Rouse, M.N., Travers, S.E., 2006. Climate change effects on plant disease: Genomes to ecosystems. Ann. Rev. </w:t>
      </w:r>
      <w:proofErr w:type="spellStart"/>
      <w:r>
        <w:t>Phytopathol</w:t>
      </w:r>
      <w:proofErr w:type="spellEnd"/>
      <w:r>
        <w:t>. 44,489-509.</w:t>
      </w:r>
    </w:p>
    <w:p w:rsidR="006F39CD" w:rsidRDefault="006F39CD">
      <w:pPr>
        <w:ind w:left="567" w:hanging="567"/>
        <w:jc w:val="both"/>
      </w:pPr>
    </w:p>
    <w:p w:rsidR="006F39CD" w:rsidRPr="006F39CD" w:rsidRDefault="003D008C">
      <w:pPr>
        <w:ind w:left="567" w:hanging="567"/>
        <w:jc w:val="both"/>
        <w:rPr>
          <w:lang w:val="it-IT"/>
        </w:rPr>
      </w:pPr>
      <w:proofErr w:type="spellStart"/>
      <w:r>
        <w:t>Guenet</w:t>
      </w:r>
      <w:proofErr w:type="spellEnd"/>
      <w:r>
        <w:t xml:space="preserve">, B., </w:t>
      </w:r>
      <w:proofErr w:type="spellStart"/>
      <w:r>
        <w:t>Lenhart</w:t>
      </w:r>
      <w:proofErr w:type="spellEnd"/>
      <w:r>
        <w:t xml:space="preserve">, K., </w:t>
      </w:r>
      <w:proofErr w:type="spellStart"/>
      <w:r>
        <w:t>Leloup</w:t>
      </w:r>
      <w:proofErr w:type="spellEnd"/>
      <w:r>
        <w:t xml:space="preserve">, J., </w:t>
      </w:r>
      <w:proofErr w:type="spellStart"/>
      <w:r>
        <w:t>Giusti</w:t>
      </w:r>
      <w:proofErr w:type="spellEnd"/>
      <w:r>
        <w:t xml:space="preserve">-Miller, S., </w:t>
      </w:r>
      <w:proofErr w:type="spellStart"/>
      <w:r>
        <w:t>Pouteau</w:t>
      </w:r>
      <w:proofErr w:type="spellEnd"/>
      <w:r>
        <w:t xml:space="preserve">, V., Mora, P., </w:t>
      </w:r>
      <w:proofErr w:type="spellStart"/>
      <w:r>
        <w:t>Nunan</w:t>
      </w:r>
      <w:proofErr w:type="spellEnd"/>
      <w:r>
        <w:t xml:space="preserve">, N., </w:t>
      </w:r>
      <w:proofErr w:type="spellStart"/>
      <w:r>
        <w:t>Abbadie</w:t>
      </w:r>
      <w:proofErr w:type="spellEnd"/>
      <w:r>
        <w:t>, L., 2012.  The impact of long-term CO</w:t>
      </w:r>
      <w:r>
        <w:rPr>
          <w:vertAlign w:val="subscript"/>
        </w:rPr>
        <w:t>2</w:t>
      </w:r>
      <w:r>
        <w:t xml:space="preserve"> enrichment and moisture levels on soil microbial community structure and enzyme activities. </w:t>
      </w:r>
      <w:r w:rsidR="00B60B97" w:rsidRPr="00B60B97">
        <w:rPr>
          <w:lang w:val="it-IT"/>
        </w:rPr>
        <w:t>Geoderma. 170, 331-336.</w:t>
      </w:r>
    </w:p>
    <w:p w:rsidR="006F39CD" w:rsidRPr="006F39CD" w:rsidRDefault="006F39CD">
      <w:pPr>
        <w:ind w:left="567" w:hanging="567"/>
        <w:jc w:val="both"/>
        <w:rPr>
          <w:lang w:val="it-IT"/>
        </w:rPr>
      </w:pPr>
    </w:p>
    <w:p w:rsidR="006F39CD" w:rsidRDefault="00B60B97">
      <w:pPr>
        <w:autoSpaceDE w:val="0"/>
        <w:spacing w:line="200" w:lineRule="atLeast"/>
        <w:ind w:left="567" w:hanging="567"/>
        <w:jc w:val="both"/>
      </w:pPr>
      <w:r w:rsidRPr="00B60B97">
        <w:rPr>
          <w:lang w:val="it-IT"/>
        </w:rPr>
        <w:t xml:space="preserve">Gullino, M.L., Pugliese, M., Paravicini, A., Casulli, E., Rettori, A., Sanna, M., Garibaldi, A., 2011. </w:t>
      </w:r>
      <w:r w:rsidR="003D008C">
        <w:t xml:space="preserve">New </w:t>
      </w:r>
      <w:proofErr w:type="spellStart"/>
      <w:r w:rsidR="003D008C">
        <w:t>phytotron</w:t>
      </w:r>
      <w:proofErr w:type="spellEnd"/>
      <w:r w:rsidR="003D008C">
        <w:t xml:space="preserve"> for studying the effect of climate change on plant pathogens. J Agric </w:t>
      </w:r>
      <w:proofErr w:type="spellStart"/>
      <w:r w:rsidR="003D008C">
        <w:t>Engin</w:t>
      </w:r>
      <w:proofErr w:type="spellEnd"/>
      <w:r w:rsidR="003D008C">
        <w:rPr>
          <w:i/>
        </w:rPr>
        <w:t xml:space="preserve"> </w:t>
      </w:r>
      <w:r w:rsidR="003D008C">
        <w:t>1, 1-11.</w:t>
      </w:r>
    </w:p>
    <w:p w:rsidR="006F39CD" w:rsidRDefault="006F39CD">
      <w:pPr>
        <w:spacing w:line="200" w:lineRule="atLeast"/>
        <w:ind w:left="567" w:hanging="567"/>
        <w:jc w:val="both"/>
      </w:pPr>
    </w:p>
    <w:p w:rsidR="006F39CD" w:rsidRDefault="003D008C">
      <w:pPr>
        <w:ind w:left="567" w:hanging="567"/>
        <w:jc w:val="both"/>
      </w:pPr>
      <w:proofErr w:type="spellStart"/>
      <w:r>
        <w:t>Hanry</w:t>
      </w:r>
      <w:proofErr w:type="spellEnd"/>
      <w:r>
        <w:t xml:space="preserve">, H.A.L., 2012. Soil extracellular enzyme dynamics in a changing climate. Soil Biol. </w:t>
      </w:r>
      <w:proofErr w:type="spellStart"/>
      <w:r>
        <w:t>Biochem</w:t>
      </w:r>
      <w:proofErr w:type="spellEnd"/>
      <w:r>
        <w:t xml:space="preserve">. 47, 53-59. </w:t>
      </w:r>
    </w:p>
    <w:p w:rsidR="006F39CD" w:rsidRDefault="006F39CD">
      <w:pPr>
        <w:ind w:left="567" w:hanging="567"/>
        <w:jc w:val="both"/>
      </w:pPr>
    </w:p>
    <w:p w:rsidR="006F39CD" w:rsidRDefault="003D008C">
      <w:pPr>
        <w:autoSpaceDE w:val="0"/>
        <w:spacing w:line="200" w:lineRule="atLeast"/>
        <w:ind w:left="567" w:hanging="567"/>
        <w:jc w:val="both"/>
      </w:pPr>
      <w:r>
        <w:rPr>
          <w:rFonts w:eastAsia="Times-Roman"/>
          <w:color w:val="000000"/>
        </w:rPr>
        <w:t xml:space="preserve">Hsiao, T.C., </w:t>
      </w:r>
      <w:proofErr w:type="spellStart"/>
      <w:r>
        <w:rPr>
          <w:rFonts w:eastAsia="Times-Roman"/>
          <w:color w:val="000000"/>
        </w:rPr>
        <w:t>Xu</w:t>
      </w:r>
      <w:proofErr w:type="spellEnd"/>
      <w:r>
        <w:rPr>
          <w:rFonts w:eastAsia="Times-Roman"/>
          <w:color w:val="000000"/>
        </w:rPr>
        <w:t xml:space="preserve">, L.K., 2000. Predicting water use efficiency of </w:t>
      </w:r>
      <w:r>
        <w:rPr>
          <w:rFonts w:eastAsia="Times-Roman"/>
        </w:rPr>
        <w:t xml:space="preserve">crops. </w:t>
      </w:r>
      <w:proofErr w:type="spellStart"/>
      <w:r>
        <w:rPr>
          <w:rFonts w:eastAsia="Times-Roman"/>
        </w:rPr>
        <w:t>Acta</w:t>
      </w:r>
      <w:proofErr w:type="spellEnd"/>
      <w:r>
        <w:rPr>
          <w:rFonts w:eastAsia="Times-Roman"/>
        </w:rPr>
        <w:t xml:space="preserve"> </w:t>
      </w:r>
      <w:proofErr w:type="spellStart"/>
      <w:r>
        <w:rPr>
          <w:rFonts w:eastAsia="Times-Roman"/>
        </w:rPr>
        <w:t>Hortic</w:t>
      </w:r>
      <w:proofErr w:type="spellEnd"/>
      <w:r>
        <w:rPr>
          <w:rFonts w:eastAsia="Times-Roman"/>
        </w:rPr>
        <w:t>. 537, 199-206.</w:t>
      </w:r>
    </w:p>
    <w:p w:rsidR="006F39CD" w:rsidRDefault="006F39CD">
      <w:pPr>
        <w:autoSpaceDE w:val="0"/>
        <w:spacing w:line="200" w:lineRule="atLeast"/>
        <w:ind w:left="567" w:hanging="567"/>
        <w:jc w:val="both"/>
      </w:pPr>
    </w:p>
    <w:p w:rsidR="006F39CD" w:rsidRDefault="003D008C">
      <w:pPr>
        <w:ind w:left="567" w:hanging="567"/>
        <w:jc w:val="both"/>
      </w:pPr>
      <w:r>
        <w:t xml:space="preserve">Huang, J.H., Lo, C.T., 1998. Wilt of lettuce caused by </w:t>
      </w:r>
      <w:proofErr w:type="spellStart"/>
      <w:r>
        <w:rPr>
          <w:i/>
        </w:rPr>
        <w:t>Fusarium</w:t>
      </w:r>
      <w:proofErr w:type="spellEnd"/>
      <w:r>
        <w:rPr>
          <w:i/>
        </w:rPr>
        <w:t xml:space="preserve"> </w:t>
      </w:r>
      <w:proofErr w:type="spellStart"/>
      <w:r>
        <w:rPr>
          <w:i/>
        </w:rPr>
        <w:t>oxysporum</w:t>
      </w:r>
      <w:proofErr w:type="spellEnd"/>
      <w:r>
        <w:t xml:space="preserve"> in Taiwan. Plant </w:t>
      </w:r>
      <w:proofErr w:type="spellStart"/>
      <w:r>
        <w:t>Pathol</w:t>
      </w:r>
      <w:proofErr w:type="spellEnd"/>
      <w:r>
        <w:t xml:space="preserve">. Bull. 7, 150-153. </w:t>
      </w:r>
    </w:p>
    <w:p w:rsidR="006F39CD" w:rsidRDefault="006F39CD">
      <w:pPr>
        <w:ind w:left="567" w:hanging="567"/>
        <w:jc w:val="both"/>
      </w:pPr>
    </w:p>
    <w:p w:rsidR="006F39CD" w:rsidRDefault="003D008C">
      <w:pPr>
        <w:ind w:left="567" w:hanging="567"/>
        <w:jc w:val="both"/>
      </w:pPr>
      <w:r>
        <w:t xml:space="preserve">Hubbard, J.C., </w:t>
      </w:r>
      <w:proofErr w:type="spellStart"/>
      <w:r>
        <w:t>Gerik</w:t>
      </w:r>
      <w:proofErr w:type="spellEnd"/>
      <w:r>
        <w:t xml:space="preserve">, J.S., 1993. A new wilt disease of lettuce incited by </w:t>
      </w:r>
      <w:proofErr w:type="spellStart"/>
      <w:r>
        <w:rPr>
          <w:i/>
        </w:rPr>
        <w:t>Fusarium</w:t>
      </w:r>
      <w:proofErr w:type="spellEnd"/>
      <w:r>
        <w:rPr>
          <w:i/>
        </w:rPr>
        <w:t xml:space="preserve"> </w:t>
      </w:r>
      <w:proofErr w:type="spellStart"/>
      <w:r>
        <w:rPr>
          <w:i/>
        </w:rPr>
        <w:t>oxysporum</w:t>
      </w:r>
      <w:proofErr w:type="spellEnd"/>
      <w:r>
        <w:t xml:space="preserve"> f sp. </w:t>
      </w:r>
      <w:proofErr w:type="spellStart"/>
      <w:r>
        <w:rPr>
          <w:i/>
        </w:rPr>
        <w:t>lactucum</w:t>
      </w:r>
      <w:proofErr w:type="spellEnd"/>
      <w:r>
        <w:t xml:space="preserve"> forma </w:t>
      </w:r>
      <w:proofErr w:type="spellStart"/>
      <w:r>
        <w:t>specialis</w:t>
      </w:r>
      <w:proofErr w:type="spellEnd"/>
      <w:r>
        <w:t xml:space="preserve"> </w:t>
      </w:r>
      <w:proofErr w:type="spellStart"/>
      <w:r>
        <w:t>nov</w:t>
      </w:r>
      <w:proofErr w:type="spellEnd"/>
      <w:r>
        <w:t>. Plant Dis. 77,750-754.</w:t>
      </w:r>
    </w:p>
    <w:p w:rsidR="006F39CD" w:rsidRDefault="006F39CD">
      <w:pPr>
        <w:ind w:left="567" w:hanging="567"/>
        <w:jc w:val="both"/>
      </w:pPr>
    </w:p>
    <w:p w:rsidR="006F39CD" w:rsidRDefault="003D008C">
      <w:pPr>
        <w:ind w:left="567" w:hanging="567"/>
        <w:jc w:val="both"/>
      </w:pPr>
      <w:proofErr w:type="spellStart"/>
      <w:r>
        <w:t>Hungate</w:t>
      </w:r>
      <w:proofErr w:type="spellEnd"/>
      <w:r>
        <w:t>, B.A., 1999. Ecosystem responses to rising atmospheric CO</w:t>
      </w:r>
      <w:r>
        <w:rPr>
          <w:vertAlign w:val="subscript"/>
        </w:rPr>
        <w:t>2</w:t>
      </w:r>
      <w:r>
        <w:t xml:space="preserve">: feedbacks through the nitrogen cycle, </w:t>
      </w:r>
      <w:r>
        <w:rPr>
          <w:iCs/>
        </w:rPr>
        <w:t>in</w:t>
      </w:r>
      <w:r>
        <w:rPr>
          <w:i/>
          <w:iCs/>
        </w:rPr>
        <w:t xml:space="preserve"> </w:t>
      </w:r>
      <w:proofErr w:type="spellStart"/>
      <w:r>
        <w:t>Luo</w:t>
      </w:r>
      <w:proofErr w:type="spellEnd"/>
      <w:r>
        <w:t>, Y., Mooney, H.A. (Eds.), Carbon Dioxide and Environmental Stress. Academic Press, San Diego, pp. 265–285.</w:t>
      </w:r>
    </w:p>
    <w:p w:rsidR="006F39CD" w:rsidRDefault="006F39CD">
      <w:pPr>
        <w:ind w:left="567" w:hanging="567"/>
        <w:jc w:val="both"/>
      </w:pPr>
    </w:p>
    <w:p w:rsidR="006F39CD" w:rsidRDefault="003D008C">
      <w:pPr>
        <w:ind w:left="567" w:hanging="567"/>
        <w:jc w:val="both"/>
      </w:pPr>
      <w:proofErr w:type="spellStart"/>
      <w:r>
        <w:t>Insam</w:t>
      </w:r>
      <w:proofErr w:type="spellEnd"/>
      <w:r>
        <w:t xml:space="preserve">, H., Baath, E., </w:t>
      </w:r>
      <w:proofErr w:type="spellStart"/>
      <w:r>
        <w:t>Berreck</w:t>
      </w:r>
      <w:proofErr w:type="spellEnd"/>
      <w:r>
        <w:t xml:space="preserve">, M., </w:t>
      </w:r>
      <w:proofErr w:type="spellStart"/>
      <w:r>
        <w:t>Frostegard</w:t>
      </w:r>
      <w:proofErr w:type="spellEnd"/>
      <w:r>
        <w:t xml:space="preserve">, A., </w:t>
      </w:r>
      <w:proofErr w:type="spellStart"/>
      <w:r>
        <w:t>Gerzabek</w:t>
      </w:r>
      <w:proofErr w:type="spellEnd"/>
      <w:r>
        <w:t xml:space="preserve">, M.H., Kraft, A., </w:t>
      </w:r>
      <w:proofErr w:type="spellStart"/>
      <w:r>
        <w:t>Schinner</w:t>
      </w:r>
      <w:proofErr w:type="spellEnd"/>
      <w:r>
        <w:t xml:space="preserve">, F., </w:t>
      </w:r>
      <w:proofErr w:type="spellStart"/>
      <w:r>
        <w:t>Schweiger</w:t>
      </w:r>
      <w:proofErr w:type="spellEnd"/>
      <w:r>
        <w:t xml:space="preserve">, P., </w:t>
      </w:r>
      <w:proofErr w:type="spellStart"/>
      <w:r>
        <w:t>Tschuggnall</w:t>
      </w:r>
      <w:proofErr w:type="spellEnd"/>
      <w:r>
        <w:t xml:space="preserve">, G., 1999. Responses of the soil </w:t>
      </w:r>
      <w:proofErr w:type="spellStart"/>
      <w:r>
        <w:t>microbiota</w:t>
      </w:r>
      <w:proofErr w:type="spellEnd"/>
      <w:r>
        <w:t xml:space="preserve"> to elevated CO</w:t>
      </w:r>
      <w:r>
        <w:rPr>
          <w:vertAlign w:val="subscript"/>
        </w:rPr>
        <w:t>2</w:t>
      </w:r>
      <w:r>
        <w:t xml:space="preserve"> in an artificial tropical ecosystem. J </w:t>
      </w:r>
      <w:proofErr w:type="spellStart"/>
      <w:r>
        <w:t>Microbiol</w:t>
      </w:r>
      <w:proofErr w:type="spellEnd"/>
      <w:r>
        <w:t xml:space="preserve">. Meth. 36, 45-54 </w:t>
      </w:r>
    </w:p>
    <w:p w:rsidR="006F39CD" w:rsidRDefault="006F39CD">
      <w:pPr>
        <w:ind w:left="567" w:hanging="567"/>
        <w:jc w:val="both"/>
      </w:pPr>
    </w:p>
    <w:p w:rsidR="006F39CD" w:rsidRDefault="003D008C">
      <w:pPr>
        <w:ind w:left="567" w:hanging="567"/>
        <w:jc w:val="both"/>
      </w:pPr>
      <w:proofErr w:type="spellStart"/>
      <w:r>
        <w:t>Kandeler</w:t>
      </w:r>
      <w:proofErr w:type="spellEnd"/>
      <w:r>
        <w:t xml:space="preserve">, E., </w:t>
      </w:r>
      <w:proofErr w:type="spellStart"/>
      <w:r>
        <w:t>Tscherko</w:t>
      </w:r>
      <w:proofErr w:type="spellEnd"/>
      <w:r>
        <w:t xml:space="preserve">, D., </w:t>
      </w:r>
      <w:proofErr w:type="spellStart"/>
      <w:r>
        <w:t>Bardgett</w:t>
      </w:r>
      <w:proofErr w:type="spellEnd"/>
      <w:r>
        <w:t xml:space="preserve">, R.D., Hobbs, P.J., </w:t>
      </w:r>
      <w:proofErr w:type="spellStart"/>
      <w:r>
        <w:t>Kampichler</w:t>
      </w:r>
      <w:proofErr w:type="spellEnd"/>
      <w:r>
        <w:t>, C., Jones, T.H., 1998. The response of soil microorganisms and roots to elevated CO</w:t>
      </w:r>
      <w:r>
        <w:rPr>
          <w:vertAlign w:val="subscript"/>
        </w:rPr>
        <w:t>2</w:t>
      </w:r>
      <w:r>
        <w:t xml:space="preserve"> and temperature in a terrestrial model ecosystem. Plant Soil 202, 251-262. </w:t>
      </w:r>
    </w:p>
    <w:p w:rsidR="006F39CD" w:rsidRDefault="006F39CD">
      <w:pPr>
        <w:ind w:left="567" w:hanging="567"/>
        <w:jc w:val="both"/>
      </w:pPr>
    </w:p>
    <w:p w:rsidR="006F39CD" w:rsidRDefault="003D008C">
      <w:pPr>
        <w:ind w:left="567" w:hanging="567"/>
        <w:jc w:val="both"/>
      </w:pPr>
      <w:proofErr w:type="spellStart"/>
      <w:r>
        <w:t>Komada</w:t>
      </w:r>
      <w:proofErr w:type="spellEnd"/>
      <w:r>
        <w:t xml:space="preserve">, H., 1975. Development of a selective medium for quantitative isolation of </w:t>
      </w:r>
      <w:proofErr w:type="spellStart"/>
      <w:r>
        <w:rPr>
          <w:i/>
        </w:rPr>
        <w:t>Fusarium</w:t>
      </w:r>
      <w:proofErr w:type="spellEnd"/>
      <w:r>
        <w:rPr>
          <w:i/>
        </w:rPr>
        <w:t xml:space="preserve"> </w:t>
      </w:r>
      <w:proofErr w:type="spellStart"/>
      <w:r>
        <w:rPr>
          <w:i/>
        </w:rPr>
        <w:t>oxysporum</w:t>
      </w:r>
      <w:proofErr w:type="spellEnd"/>
      <w:r>
        <w:t xml:space="preserve"> from natural soils. J. Plant Prot. Res. 8, 114-124.</w:t>
      </w:r>
    </w:p>
    <w:p w:rsidR="006F39CD" w:rsidRDefault="006F39CD">
      <w:pPr>
        <w:ind w:left="567" w:hanging="567"/>
        <w:jc w:val="both"/>
      </w:pPr>
    </w:p>
    <w:p w:rsidR="006F39CD" w:rsidRDefault="003D008C">
      <w:pPr>
        <w:ind w:left="567" w:hanging="567"/>
        <w:jc w:val="both"/>
      </w:pPr>
      <w:proofErr w:type="spellStart"/>
      <w:r>
        <w:t>Larena</w:t>
      </w:r>
      <w:proofErr w:type="spellEnd"/>
      <w:r>
        <w:t xml:space="preserve">, I., Salazar, O., Gonzalez, V., Julian, M.C., Rubio, V., 1999. Design of a primer for ribosomal DNA internal transcribed spacer with enhanced specificity for </w:t>
      </w:r>
      <w:proofErr w:type="spellStart"/>
      <w:r>
        <w:t>ascomycetes</w:t>
      </w:r>
      <w:proofErr w:type="spellEnd"/>
      <w:r>
        <w:t xml:space="preserve">. J. </w:t>
      </w:r>
      <w:proofErr w:type="spellStart"/>
      <w:r>
        <w:t>Biotechnol</w:t>
      </w:r>
      <w:proofErr w:type="spellEnd"/>
      <w:r>
        <w:t>. 75, 187-194.</w:t>
      </w:r>
    </w:p>
    <w:p w:rsidR="006F39CD" w:rsidRDefault="006F39CD">
      <w:pPr>
        <w:ind w:left="567" w:hanging="567"/>
        <w:jc w:val="both"/>
      </w:pPr>
    </w:p>
    <w:p w:rsidR="006F39CD" w:rsidRDefault="003D008C">
      <w:pPr>
        <w:ind w:left="567" w:hanging="567"/>
        <w:jc w:val="both"/>
      </w:pPr>
      <w:r>
        <w:t>Lipson, D., Blair, M., Barron-</w:t>
      </w:r>
      <w:proofErr w:type="spellStart"/>
      <w:r>
        <w:t>Gafford</w:t>
      </w:r>
      <w:proofErr w:type="spellEnd"/>
      <w:r>
        <w:t>, G., Grieve, K., Murthy, R., 2006. Relationships between microbial community structure and soil processes under elevated atmospheric carbon dioxide. Microbial Ecol. 51, 302-314.</w:t>
      </w:r>
    </w:p>
    <w:p w:rsidR="006F39CD" w:rsidRDefault="006F39CD">
      <w:pPr>
        <w:ind w:left="567" w:hanging="567"/>
        <w:jc w:val="both"/>
      </w:pPr>
    </w:p>
    <w:p w:rsidR="006F39CD" w:rsidRDefault="003D008C">
      <w:pPr>
        <w:ind w:left="567" w:hanging="567"/>
        <w:jc w:val="both"/>
      </w:pPr>
      <w:proofErr w:type="spellStart"/>
      <w:r>
        <w:t>Lobell</w:t>
      </w:r>
      <w:proofErr w:type="spellEnd"/>
      <w:r>
        <w:t xml:space="preserve">, D.B., </w:t>
      </w:r>
      <w:proofErr w:type="spellStart"/>
      <w:r>
        <w:t>Gourdji</w:t>
      </w:r>
      <w:proofErr w:type="spellEnd"/>
      <w:r>
        <w:t xml:space="preserve">, S.M., 2012. The influence of climate change on global crop productivity. </w:t>
      </w:r>
    </w:p>
    <w:p w:rsidR="006F39CD" w:rsidRDefault="003D008C">
      <w:pPr>
        <w:ind w:left="567" w:hanging="567"/>
        <w:jc w:val="both"/>
      </w:pPr>
      <w:r>
        <w:t xml:space="preserve">Plant Physiol. </w:t>
      </w:r>
      <w:proofErr w:type="spellStart"/>
      <w:r>
        <w:t>Doi</w:t>
      </w:r>
      <w:proofErr w:type="spellEnd"/>
      <w:r>
        <w:t>: 10.1104/pp.112.208298.</w:t>
      </w:r>
    </w:p>
    <w:p w:rsidR="006F39CD" w:rsidRDefault="006F39CD">
      <w:pPr>
        <w:ind w:left="567" w:hanging="567"/>
        <w:jc w:val="both"/>
      </w:pPr>
    </w:p>
    <w:p w:rsidR="006F39CD" w:rsidRDefault="003D008C">
      <w:pPr>
        <w:ind w:left="567" w:hanging="567"/>
        <w:jc w:val="both"/>
      </w:pPr>
      <w:r>
        <w:lastRenderedPageBreak/>
        <w:t xml:space="preserve">Locke, T., </w:t>
      </w:r>
      <w:proofErr w:type="spellStart"/>
      <w:r>
        <w:t>Colhoun</w:t>
      </w:r>
      <w:proofErr w:type="spellEnd"/>
      <w:r>
        <w:t xml:space="preserve">, J., 1974. Contributions to a method of testing oil palm seedlings for resistance to </w:t>
      </w:r>
      <w:proofErr w:type="spellStart"/>
      <w:r>
        <w:rPr>
          <w:i/>
        </w:rPr>
        <w:t>Fusarium</w:t>
      </w:r>
      <w:proofErr w:type="spellEnd"/>
      <w:r>
        <w:t xml:space="preserve"> </w:t>
      </w:r>
      <w:proofErr w:type="spellStart"/>
      <w:r>
        <w:rPr>
          <w:i/>
        </w:rPr>
        <w:t>oxysporum</w:t>
      </w:r>
      <w:proofErr w:type="spellEnd"/>
      <w:r>
        <w:t xml:space="preserve"> </w:t>
      </w:r>
      <w:proofErr w:type="spellStart"/>
      <w:r>
        <w:t>Schl</w:t>
      </w:r>
      <w:proofErr w:type="spellEnd"/>
      <w:r>
        <w:t xml:space="preserve">. f. sp. </w:t>
      </w:r>
      <w:proofErr w:type="spellStart"/>
      <w:r>
        <w:rPr>
          <w:i/>
        </w:rPr>
        <w:t>elaeidis</w:t>
      </w:r>
      <w:proofErr w:type="spellEnd"/>
      <w:r>
        <w:t xml:space="preserve"> </w:t>
      </w:r>
      <w:proofErr w:type="spellStart"/>
      <w:r>
        <w:t>Toovey</w:t>
      </w:r>
      <w:proofErr w:type="spellEnd"/>
      <w:r>
        <w:t xml:space="preserve">. </w:t>
      </w:r>
      <w:proofErr w:type="spellStart"/>
      <w:r>
        <w:t>Phytopathol</w:t>
      </w:r>
      <w:proofErr w:type="spellEnd"/>
      <w:r>
        <w:t>.  79, 77-92.</w:t>
      </w:r>
    </w:p>
    <w:p w:rsidR="006F39CD" w:rsidRDefault="006F39CD">
      <w:pPr>
        <w:ind w:left="567" w:hanging="567"/>
        <w:jc w:val="both"/>
      </w:pPr>
    </w:p>
    <w:p w:rsidR="006F39CD" w:rsidRDefault="003D008C">
      <w:pPr>
        <w:ind w:left="567" w:hanging="567"/>
        <w:jc w:val="both"/>
      </w:pPr>
      <w:proofErr w:type="spellStart"/>
      <w:r>
        <w:t>Marilley</w:t>
      </w:r>
      <w:proofErr w:type="spellEnd"/>
      <w:r>
        <w:t xml:space="preserve">, L., </w:t>
      </w:r>
      <w:proofErr w:type="spellStart"/>
      <w:r>
        <w:t>Hartwig</w:t>
      </w:r>
      <w:proofErr w:type="spellEnd"/>
      <w:r>
        <w:t xml:space="preserve">, U.A., </w:t>
      </w:r>
      <w:proofErr w:type="spellStart"/>
      <w:r>
        <w:t>Aragno</w:t>
      </w:r>
      <w:proofErr w:type="spellEnd"/>
      <w:r>
        <w:t>, M., 1999. Influence of an elevated atmospheric CO</w:t>
      </w:r>
      <w:r>
        <w:rPr>
          <w:vertAlign w:val="subscript"/>
        </w:rPr>
        <w:t>2</w:t>
      </w:r>
      <w:r>
        <w:t xml:space="preserve"> content on soil and </w:t>
      </w:r>
      <w:proofErr w:type="spellStart"/>
      <w:r>
        <w:t>rhizosphere</w:t>
      </w:r>
      <w:proofErr w:type="spellEnd"/>
      <w:r>
        <w:t xml:space="preserve"> bacterial communities beneath </w:t>
      </w:r>
      <w:proofErr w:type="spellStart"/>
      <w:r>
        <w:rPr>
          <w:i/>
        </w:rPr>
        <w:t>Lolium</w:t>
      </w:r>
      <w:proofErr w:type="spellEnd"/>
      <w:r>
        <w:rPr>
          <w:i/>
        </w:rPr>
        <w:t xml:space="preserve"> </w:t>
      </w:r>
      <w:proofErr w:type="spellStart"/>
      <w:r>
        <w:rPr>
          <w:i/>
        </w:rPr>
        <w:t>perenne</w:t>
      </w:r>
      <w:proofErr w:type="spellEnd"/>
      <w:r>
        <w:t xml:space="preserve"> and </w:t>
      </w:r>
      <w:proofErr w:type="spellStart"/>
      <w:r>
        <w:rPr>
          <w:i/>
        </w:rPr>
        <w:t>Trifolium</w:t>
      </w:r>
      <w:proofErr w:type="spellEnd"/>
      <w:r>
        <w:rPr>
          <w:i/>
        </w:rPr>
        <w:t xml:space="preserve"> </w:t>
      </w:r>
      <w:proofErr w:type="spellStart"/>
      <w:r>
        <w:rPr>
          <w:i/>
        </w:rPr>
        <w:t>repens</w:t>
      </w:r>
      <w:proofErr w:type="spellEnd"/>
      <w:r>
        <w:t xml:space="preserve"> under field conditions. </w:t>
      </w:r>
      <w:proofErr w:type="spellStart"/>
      <w:r>
        <w:t>Microb</w:t>
      </w:r>
      <w:proofErr w:type="spellEnd"/>
      <w:r>
        <w:t>. Ecol. 38, 39-49.</w:t>
      </w:r>
    </w:p>
    <w:p w:rsidR="006F39CD" w:rsidRDefault="006F39CD">
      <w:pPr>
        <w:ind w:left="567" w:hanging="567"/>
        <w:jc w:val="both"/>
      </w:pPr>
    </w:p>
    <w:p w:rsidR="006F39CD" w:rsidRDefault="003D008C">
      <w:pPr>
        <w:ind w:left="567" w:hanging="567"/>
        <w:jc w:val="both"/>
      </w:pPr>
      <w:proofErr w:type="spellStart"/>
      <w:r>
        <w:t>Matheron</w:t>
      </w:r>
      <w:proofErr w:type="spellEnd"/>
      <w:r>
        <w:t xml:space="preserve">, M.E., Koike, S.T., 2003. First report of </w:t>
      </w:r>
      <w:proofErr w:type="spellStart"/>
      <w:r>
        <w:t>Fusarium</w:t>
      </w:r>
      <w:proofErr w:type="spellEnd"/>
      <w:r>
        <w:t xml:space="preserve"> wilt of lettuce caused by </w:t>
      </w:r>
      <w:proofErr w:type="spellStart"/>
      <w:r>
        <w:rPr>
          <w:i/>
        </w:rPr>
        <w:t>Fusarium</w:t>
      </w:r>
      <w:proofErr w:type="spellEnd"/>
      <w:r>
        <w:rPr>
          <w:i/>
        </w:rPr>
        <w:t xml:space="preserve"> </w:t>
      </w:r>
      <w:proofErr w:type="spellStart"/>
      <w:r>
        <w:rPr>
          <w:i/>
        </w:rPr>
        <w:t>oxysporum</w:t>
      </w:r>
      <w:proofErr w:type="spellEnd"/>
      <w:r>
        <w:t xml:space="preserve"> f. sp. </w:t>
      </w:r>
      <w:proofErr w:type="spellStart"/>
      <w:r>
        <w:rPr>
          <w:i/>
        </w:rPr>
        <w:t>lactucae</w:t>
      </w:r>
      <w:proofErr w:type="spellEnd"/>
      <w:r>
        <w:rPr>
          <w:i/>
        </w:rPr>
        <w:t xml:space="preserve"> </w:t>
      </w:r>
      <w:r>
        <w:t>in Arizona. Plant Dis. 87, 1265.</w:t>
      </w:r>
    </w:p>
    <w:p w:rsidR="006F39CD" w:rsidRDefault="006F39CD">
      <w:pPr>
        <w:ind w:left="567" w:hanging="567"/>
        <w:jc w:val="both"/>
      </w:pPr>
    </w:p>
    <w:p w:rsidR="006F39CD" w:rsidRDefault="003D008C">
      <w:pPr>
        <w:ind w:left="567" w:hanging="567"/>
        <w:jc w:val="both"/>
      </w:pPr>
      <w:proofErr w:type="spellStart"/>
      <w:r>
        <w:t>Matheron</w:t>
      </w:r>
      <w:proofErr w:type="spellEnd"/>
      <w:r>
        <w:t xml:space="preserve">, M.E., </w:t>
      </w:r>
      <w:proofErr w:type="spellStart"/>
      <w:r>
        <w:t>Gullino</w:t>
      </w:r>
      <w:proofErr w:type="spellEnd"/>
      <w:r>
        <w:t xml:space="preserve">, M.L., 2012. </w:t>
      </w:r>
      <w:proofErr w:type="spellStart"/>
      <w:r>
        <w:t>Fusarium</w:t>
      </w:r>
      <w:proofErr w:type="spellEnd"/>
      <w:r>
        <w:t xml:space="preserve"> wilts of </w:t>
      </w:r>
      <w:proofErr w:type="spellStart"/>
      <w:r>
        <w:t>lattuce</w:t>
      </w:r>
      <w:proofErr w:type="spellEnd"/>
      <w:r>
        <w:t xml:space="preserve"> and other salad crops, in </w:t>
      </w:r>
      <w:proofErr w:type="spellStart"/>
      <w:r>
        <w:t>Gullino</w:t>
      </w:r>
      <w:proofErr w:type="spellEnd"/>
      <w:r>
        <w:t xml:space="preserve">, M.L., </w:t>
      </w:r>
      <w:proofErr w:type="spellStart"/>
      <w:r>
        <w:t>Katan</w:t>
      </w:r>
      <w:proofErr w:type="spellEnd"/>
      <w:r>
        <w:t xml:space="preserve">, J., Garibaldi, A. (Eds.), </w:t>
      </w:r>
      <w:proofErr w:type="spellStart"/>
      <w:r>
        <w:t>Fusarium</w:t>
      </w:r>
      <w:proofErr w:type="spellEnd"/>
      <w:r>
        <w:t xml:space="preserve"> wilts of greenhouse vegetable and ornamental crops. APS Press, </w:t>
      </w:r>
      <w:proofErr w:type="spellStart"/>
      <w:r>
        <w:t>St.Paul</w:t>
      </w:r>
      <w:proofErr w:type="spellEnd"/>
      <w:r>
        <w:t>, MN. pp. 175-183.</w:t>
      </w:r>
    </w:p>
    <w:p w:rsidR="006F39CD" w:rsidRDefault="006F39CD">
      <w:pPr>
        <w:ind w:left="567" w:hanging="567"/>
        <w:jc w:val="both"/>
      </w:pPr>
    </w:p>
    <w:p w:rsidR="006F39CD" w:rsidRDefault="003D008C">
      <w:pPr>
        <w:ind w:left="567" w:hanging="567"/>
        <w:jc w:val="both"/>
      </w:pPr>
      <w:proofErr w:type="spellStart"/>
      <w:r>
        <w:t>Matuo</w:t>
      </w:r>
      <w:proofErr w:type="spellEnd"/>
      <w:r>
        <w:t xml:space="preserve">, T., </w:t>
      </w:r>
      <w:proofErr w:type="spellStart"/>
      <w:r>
        <w:t>Motohashi</w:t>
      </w:r>
      <w:proofErr w:type="spellEnd"/>
      <w:r>
        <w:t xml:space="preserve">, S., 1967. On </w:t>
      </w:r>
      <w:proofErr w:type="spellStart"/>
      <w:r>
        <w:rPr>
          <w:i/>
        </w:rPr>
        <w:t>Fusarium</w:t>
      </w:r>
      <w:proofErr w:type="spellEnd"/>
      <w:r>
        <w:rPr>
          <w:i/>
        </w:rPr>
        <w:t xml:space="preserve"> </w:t>
      </w:r>
      <w:proofErr w:type="spellStart"/>
      <w:r>
        <w:rPr>
          <w:i/>
        </w:rPr>
        <w:t>oxysporum</w:t>
      </w:r>
      <w:proofErr w:type="spellEnd"/>
      <w:r>
        <w:t xml:space="preserve"> f. sp. </w:t>
      </w:r>
      <w:proofErr w:type="spellStart"/>
      <w:r>
        <w:rPr>
          <w:i/>
        </w:rPr>
        <w:t>lactucae</w:t>
      </w:r>
      <w:proofErr w:type="spellEnd"/>
      <w:r>
        <w:t xml:space="preserve"> n. f. causing root rot of lettuce. Mycol. Soc. </w:t>
      </w:r>
      <w:proofErr w:type="spellStart"/>
      <w:r>
        <w:t>Jpn</w:t>
      </w:r>
      <w:proofErr w:type="spellEnd"/>
      <w:r>
        <w:t>. 32, 13-15.</w:t>
      </w:r>
    </w:p>
    <w:p w:rsidR="006F39CD" w:rsidRDefault="006F39CD">
      <w:pPr>
        <w:ind w:left="567" w:hanging="567"/>
        <w:jc w:val="both"/>
      </w:pPr>
    </w:p>
    <w:p w:rsidR="006F39CD" w:rsidRDefault="003D008C">
      <w:pPr>
        <w:autoSpaceDE w:val="0"/>
        <w:ind w:left="589" w:hanging="589"/>
      </w:pPr>
      <w:r>
        <w:rPr>
          <w:rFonts w:eastAsia="Times-Roman"/>
          <w:color w:val="000000"/>
        </w:rPr>
        <w:t>Moot, J., Henderson, A.L., Porter, J.R., Semenov, M., 1996. Temperature, CO</w:t>
      </w:r>
      <w:r>
        <w:rPr>
          <w:rFonts w:eastAsia="Times-Roman"/>
          <w:color w:val="000000"/>
          <w:vertAlign w:val="subscript"/>
        </w:rPr>
        <w:t>2</w:t>
      </w:r>
      <w:r>
        <w:rPr>
          <w:rFonts w:eastAsia="Times-Roman"/>
        </w:rPr>
        <w:t xml:space="preserve"> and the growth and development of wheat: changes in mean and variability of growing </w:t>
      </w:r>
      <w:proofErr w:type="spellStart"/>
      <w:r>
        <w:rPr>
          <w:rFonts w:eastAsia="Times-Roman"/>
        </w:rPr>
        <w:t>conditions.Climatic</w:t>
      </w:r>
      <w:proofErr w:type="spellEnd"/>
      <w:r>
        <w:rPr>
          <w:rFonts w:eastAsia="Times-Roman"/>
        </w:rPr>
        <w:t xml:space="preserve"> change.33, 351-368.</w:t>
      </w:r>
    </w:p>
    <w:p w:rsidR="006F39CD" w:rsidRDefault="006F39CD">
      <w:pPr>
        <w:autoSpaceDE w:val="0"/>
        <w:ind w:left="567" w:hanging="567"/>
        <w:jc w:val="both"/>
      </w:pPr>
    </w:p>
    <w:p w:rsidR="006F39CD" w:rsidRDefault="00B60B97">
      <w:pPr>
        <w:ind w:left="567" w:hanging="567"/>
        <w:jc w:val="both"/>
      </w:pPr>
      <w:r w:rsidRPr="00B60B97">
        <w:rPr>
          <w:lang w:val="it-IT"/>
        </w:rPr>
        <w:t xml:space="preserve">Moscatelli, M.C., Lagomarsino, A., Marinari, S., De Angelis, P., Grego, S., 2005.  </w:t>
      </w:r>
      <w:r w:rsidR="003D008C">
        <w:t xml:space="preserve">Soil microbial indices as </w:t>
      </w:r>
      <w:proofErr w:type="spellStart"/>
      <w:r w:rsidR="003D008C">
        <w:t>bioindicators</w:t>
      </w:r>
      <w:proofErr w:type="spellEnd"/>
      <w:r w:rsidR="003D008C">
        <w:t xml:space="preserve"> of environmental changes in a poplar plantation. Ecol. Indic. 5, 171-179.</w:t>
      </w:r>
    </w:p>
    <w:p w:rsidR="006F39CD" w:rsidRDefault="006F39CD">
      <w:pPr>
        <w:ind w:left="567" w:hanging="567"/>
        <w:jc w:val="both"/>
      </w:pPr>
    </w:p>
    <w:p w:rsidR="006F39CD" w:rsidRPr="006F39CD" w:rsidRDefault="003D008C">
      <w:pPr>
        <w:ind w:left="567" w:hanging="567"/>
        <w:jc w:val="both"/>
        <w:rPr>
          <w:lang w:val="it-IT"/>
        </w:rPr>
      </w:pPr>
      <w:proofErr w:type="spellStart"/>
      <w:r>
        <w:t>Muyzer</w:t>
      </w:r>
      <w:proofErr w:type="spellEnd"/>
      <w:r>
        <w:t xml:space="preserve">, G., De Waal, E.C., </w:t>
      </w:r>
      <w:proofErr w:type="spellStart"/>
      <w:r>
        <w:t>Uitterlinden</w:t>
      </w:r>
      <w:proofErr w:type="spellEnd"/>
      <w:r>
        <w:t xml:space="preserve">, A.G., 1993. Profiling of complex microbial populations by denaturing gradient gel electrophoresis analysis of polymerase chain reaction-amplified genes coding for 16S </w:t>
      </w:r>
      <w:proofErr w:type="spellStart"/>
      <w:r>
        <w:t>rRNA</w:t>
      </w:r>
      <w:proofErr w:type="spellEnd"/>
      <w:r>
        <w:t xml:space="preserve">. </w:t>
      </w:r>
      <w:r w:rsidR="00B60B97" w:rsidRPr="00B60B97">
        <w:rPr>
          <w:iCs/>
          <w:lang w:val="it-IT"/>
        </w:rPr>
        <w:t>Appl.</w:t>
      </w:r>
      <w:r w:rsidR="00B60B97" w:rsidRPr="00B60B97">
        <w:rPr>
          <w:lang w:val="it-IT"/>
        </w:rPr>
        <w:t xml:space="preserve"> </w:t>
      </w:r>
      <w:r w:rsidR="00B60B97" w:rsidRPr="00B60B97">
        <w:rPr>
          <w:iCs/>
          <w:lang w:val="it-IT"/>
        </w:rPr>
        <w:t>Environ. Microbiol</w:t>
      </w:r>
      <w:r w:rsidR="00B60B97" w:rsidRPr="00B60B97">
        <w:rPr>
          <w:i/>
          <w:iCs/>
          <w:lang w:val="it-IT"/>
        </w:rPr>
        <w:t>.</w:t>
      </w:r>
      <w:r w:rsidR="00B60B97" w:rsidRPr="00B60B97">
        <w:rPr>
          <w:lang w:val="it-IT"/>
        </w:rPr>
        <w:t xml:space="preserve"> 59, 695-700.</w:t>
      </w:r>
    </w:p>
    <w:p w:rsidR="006F39CD" w:rsidRPr="006F39CD" w:rsidRDefault="006F39CD">
      <w:pPr>
        <w:ind w:left="567" w:hanging="567"/>
        <w:jc w:val="both"/>
        <w:rPr>
          <w:lang w:val="it-IT"/>
        </w:rPr>
      </w:pPr>
    </w:p>
    <w:p w:rsidR="006F39CD" w:rsidRDefault="00B60B97">
      <w:pPr>
        <w:ind w:left="567" w:hanging="567"/>
        <w:jc w:val="both"/>
      </w:pPr>
      <w:r w:rsidRPr="00B60B97">
        <w:rPr>
          <w:lang w:val="it-IT"/>
        </w:rPr>
        <w:t xml:space="preserve">Nannipieri, P., Pudrozzini, F., Arcara, P.G., Piovanelli, C., 1979. </w:t>
      </w:r>
      <w:r w:rsidR="003D008C">
        <w:rPr>
          <w:iCs/>
        </w:rPr>
        <w:t xml:space="preserve">Changes in </w:t>
      </w:r>
      <w:proofErr w:type="spellStart"/>
      <w:r w:rsidR="003D008C">
        <w:rPr>
          <w:iCs/>
        </w:rPr>
        <w:t>aminoacides</w:t>
      </w:r>
      <w:proofErr w:type="spellEnd"/>
      <w:r w:rsidR="003D008C">
        <w:rPr>
          <w:iCs/>
        </w:rPr>
        <w:t xml:space="preserve"> enzyme activities and biomass during soil microbial growth</w:t>
      </w:r>
      <w:r w:rsidR="003D008C">
        <w:t>. Soil Sci. 127, 26-34.</w:t>
      </w:r>
    </w:p>
    <w:p w:rsidR="006F39CD" w:rsidRDefault="006F39CD">
      <w:pPr>
        <w:ind w:left="567" w:hanging="567"/>
        <w:jc w:val="both"/>
      </w:pPr>
    </w:p>
    <w:p w:rsidR="006F39CD" w:rsidRDefault="003D008C">
      <w:pPr>
        <w:ind w:left="567" w:hanging="567"/>
        <w:jc w:val="both"/>
      </w:pPr>
      <w:proofErr w:type="spellStart"/>
      <w:r>
        <w:t>Nussbaumer</w:t>
      </w:r>
      <w:proofErr w:type="spellEnd"/>
      <w:r>
        <w:t xml:space="preserve">, U., </w:t>
      </w:r>
      <w:proofErr w:type="spellStart"/>
      <w:r>
        <w:t>Ascher</w:t>
      </w:r>
      <w:proofErr w:type="spellEnd"/>
      <w:r>
        <w:t xml:space="preserve">, J., Kraft, A., </w:t>
      </w:r>
      <w:proofErr w:type="spellStart"/>
      <w:r>
        <w:t>Insam</w:t>
      </w:r>
      <w:proofErr w:type="spellEnd"/>
      <w:r>
        <w:t>, H., 1997. Litter decomposition of a tropical understory species (</w:t>
      </w:r>
      <w:proofErr w:type="spellStart"/>
      <w:r>
        <w:t>Ctenanthe</w:t>
      </w:r>
      <w:proofErr w:type="spellEnd"/>
      <w:r>
        <w:t xml:space="preserve"> </w:t>
      </w:r>
      <w:proofErr w:type="spellStart"/>
      <w:r>
        <w:t>lubbersiana</w:t>
      </w:r>
      <w:proofErr w:type="spellEnd"/>
      <w:r>
        <w:t>) grown under ambient and elevated CO</w:t>
      </w:r>
      <w:r>
        <w:rPr>
          <w:vertAlign w:val="subscript"/>
        </w:rPr>
        <w:t>2</w:t>
      </w:r>
      <w:r>
        <w:t xml:space="preserve">. </w:t>
      </w:r>
      <w:proofErr w:type="spellStart"/>
      <w:r>
        <w:t>Acta</w:t>
      </w:r>
      <w:proofErr w:type="spellEnd"/>
      <w:r>
        <w:t xml:space="preserve"> </w:t>
      </w:r>
      <w:proofErr w:type="spellStart"/>
      <w:r>
        <w:t>Oecol</w:t>
      </w:r>
      <w:proofErr w:type="spellEnd"/>
      <w:r>
        <w:t xml:space="preserve"> 18, 377-381. </w:t>
      </w:r>
    </w:p>
    <w:p w:rsidR="006F39CD" w:rsidRDefault="006F39CD">
      <w:pPr>
        <w:ind w:left="567" w:hanging="567"/>
        <w:jc w:val="both"/>
      </w:pPr>
    </w:p>
    <w:p w:rsidR="006F39CD" w:rsidRDefault="003D008C">
      <w:pPr>
        <w:ind w:left="567" w:hanging="567"/>
      </w:pPr>
      <w:r>
        <w:t xml:space="preserve">Pritchard, S.G., 2011. Soil organisms and global climate change. Plant </w:t>
      </w:r>
      <w:proofErr w:type="spellStart"/>
      <w:r>
        <w:t>Pathol</w:t>
      </w:r>
      <w:proofErr w:type="spellEnd"/>
      <w:r>
        <w:t>. 60, 82–99.</w:t>
      </w:r>
    </w:p>
    <w:p w:rsidR="006F39CD" w:rsidRDefault="006F39CD">
      <w:pPr>
        <w:ind w:left="567" w:hanging="567"/>
        <w:jc w:val="both"/>
      </w:pPr>
    </w:p>
    <w:p w:rsidR="006F39CD" w:rsidRDefault="003D008C">
      <w:pPr>
        <w:ind w:left="567" w:hanging="567"/>
        <w:jc w:val="both"/>
      </w:pPr>
      <w:proofErr w:type="spellStart"/>
      <w:r>
        <w:t>Rønn</w:t>
      </w:r>
      <w:proofErr w:type="spellEnd"/>
      <w:r>
        <w:t xml:space="preserve">, R., </w:t>
      </w:r>
      <w:proofErr w:type="spellStart"/>
      <w:r>
        <w:t>McCaig</w:t>
      </w:r>
      <w:proofErr w:type="spellEnd"/>
      <w:r>
        <w:t xml:space="preserve">, A.E., Griffiths, B.S., James, I., 2002. Prosser impact of protozoan grazing on bacterial community structure in soil microcosms. Appl. Environ. </w:t>
      </w:r>
      <w:proofErr w:type="spellStart"/>
      <w:r>
        <w:t>Microbiol</w:t>
      </w:r>
      <w:proofErr w:type="spellEnd"/>
      <w:r>
        <w:t xml:space="preserve">. 68,6094-6105. </w:t>
      </w:r>
    </w:p>
    <w:p w:rsidR="006F39CD" w:rsidRDefault="006F39CD">
      <w:pPr>
        <w:ind w:left="567" w:hanging="567"/>
        <w:jc w:val="both"/>
      </w:pPr>
    </w:p>
    <w:p w:rsidR="006F39CD" w:rsidRDefault="003D008C">
      <w:pPr>
        <w:ind w:left="567" w:hanging="567"/>
        <w:jc w:val="both"/>
      </w:pPr>
      <w:proofErr w:type="spellStart"/>
      <w:r>
        <w:t>Scherm</w:t>
      </w:r>
      <w:proofErr w:type="spellEnd"/>
      <w:r>
        <w:t xml:space="preserve">, H., </w:t>
      </w:r>
      <w:proofErr w:type="spellStart"/>
      <w:r>
        <w:t>Coakley</w:t>
      </w:r>
      <w:proofErr w:type="spellEnd"/>
      <w:r>
        <w:t xml:space="preserve">, S.M., 2003. Plant pathogens in a changing world. </w:t>
      </w:r>
      <w:proofErr w:type="spellStart"/>
      <w:r>
        <w:t>Australas</w:t>
      </w:r>
      <w:proofErr w:type="spellEnd"/>
      <w:r>
        <w:t xml:space="preserve">. Plant </w:t>
      </w:r>
      <w:proofErr w:type="spellStart"/>
      <w:r>
        <w:t>Pathol</w:t>
      </w:r>
      <w:proofErr w:type="spellEnd"/>
      <w:r>
        <w:t>. 32, 157-165.</w:t>
      </w:r>
    </w:p>
    <w:p w:rsidR="006F39CD" w:rsidRDefault="006F39CD">
      <w:pPr>
        <w:ind w:left="567" w:hanging="567"/>
        <w:jc w:val="both"/>
      </w:pPr>
    </w:p>
    <w:p w:rsidR="006F39CD" w:rsidRDefault="003D008C">
      <w:pPr>
        <w:ind w:left="567" w:hanging="567"/>
        <w:jc w:val="both"/>
      </w:pPr>
      <w:proofErr w:type="spellStart"/>
      <w:r>
        <w:t>Schnurer</w:t>
      </w:r>
      <w:proofErr w:type="spellEnd"/>
      <w:r>
        <w:t xml:space="preserve">, J., </w:t>
      </w:r>
      <w:proofErr w:type="spellStart"/>
      <w:r>
        <w:t>Rosswal</w:t>
      </w:r>
      <w:proofErr w:type="spellEnd"/>
      <w:r>
        <w:t xml:space="preserve">, T., 1982. </w:t>
      </w:r>
      <w:proofErr w:type="spellStart"/>
      <w:r>
        <w:rPr>
          <w:iCs/>
        </w:rPr>
        <w:t>Fluorescin</w:t>
      </w:r>
      <w:proofErr w:type="spellEnd"/>
      <w:r>
        <w:rPr>
          <w:iCs/>
        </w:rPr>
        <w:t xml:space="preserve"> </w:t>
      </w:r>
      <w:proofErr w:type="spellStart"/>
      <w:r>
        <w:rPr>
          <w:iCs/>
        </w:rPr>
        <w:t>diacetate</w:t>
      </w:r>
      <w:proofErr w:type="spellEnd"/>
      <w:r>
        <w:rPr>
          <w:iCs/>
        </w:rPr>
        <w:t xml:space="preserve"> hydrolysis as a measure of total microbiological activity in soil and litter</w:t>
      </w:r>
      <w:r>
        <w:t xml:space="preserve">. Appl. Environ. </w:t>
      </w:r>
      <w:proofErr w:type="spellStart"/>
      <w:r>
        <w:t>Microbiol</w:t>
      </w:r>
      <w:proofErr w:type="spellEnd"/>
      <w:r>
        <w:t>. 43, 1256-1261.</w:t>
      </w:r>
    </w:p>
    <w:p w:rsidR="006F39CD" w:rsidRDefault="006F39CD">
      <w:pPr>
        <w:ind w:left="567" w:hanging="567"/>
        <w:jc w:val="both"/>
      </w:pPr>
    </w:p>
    <w:p w:rsidR="006F39CD" w:rsidRDefault="003D008C">
      <w:pPr>
        <w:ind w:left="567" w:hanging="567"/>
        <w:rPr>
          <w:bCs/>
        </w:rPr>
      </w:pPr>
      <w:r>
        <w:rPr>
          <w:bCs/>
        </w:rPr>
        <w:t xml:space="preserve">Scott, J.C., Gordon, T.R., 2010. Effect of Temperature on Severity of </w:t>
      </w:r>
      <w:proofErr w:type="spellStart"/>
      <w:r>
        <w:rPr>
          <w:bCs/>
        </w:rPr>
        <w:t>Fusarium</w:t>
      </w:r>
      <w:proofErr w:type="spellEnd"/>
      <w:r>
        <w:rPr>
          <w:bCs/>
        </w:rPr>
        <w:t xml:space="preserve"> Wilt of Lettuce</w:t>
      </w:r>
    </w:p>
    <w:p w:rsidR="006F39CD" w:rsidRDefault="003D008C">
      <w:pPr>
        <w:ind w:left="567" w:firstLine="142"/>
      </w:pPr>
      <w:r>
        <w:rPr>
          <w:bCs/>
        </w:rPr>
        <w:t xml:space="preserve">Caused by </w:t>
      </w:r>
      <w:proofErr w:type="spellStart"/>
      <w:r>
        <w:rPr>
          <w:bCs/>
          <w:i/>
          <w:iCs/>
        </w:rPr>
        <w:t>Fusarium</w:t>
      </w:r>
      <w:proofErr w:type="spellEnd"/>
      <w:r>
        <w:rPr>
          <w:bCs/>
          <w:i/>
          <w:iCs/>
        </w:rPr>
        <w:t xml:space="preserve"> </w:t>
      </w:r>
      <w:proofErr w:type="spellStart"/>
      <w:r>
        <w:rPr>
          <w:bCs/>
          <w:i/>
          <w:iCs/>
        </w:rPr>
        <w:t>oxysporum</w:t>
      </w:r>
      <w:proofErr w:type="spellEnd"/>
      <w:r>
        <w:rPr>
          <w:bCs/>
          <w:i/>
          <w:iCs/>
        </w:rPr>
        <w:t xml:space="preserve"> </w:t>
      </w:r>
      <w:r>
        <w:rPr>
          <w:bCs/>
        </w:rPr>
        <w:t xml:space="preserve">f. sp. </w:t>
      </w:r>
      <w:proofErr w:type="spellStart"/>
      <w:r>
        <w:rPr>
          <w:bCs/>
          <w:i/>
          <w:iCs/>
        </w:rPr>
        <w:t>lactucae</w:t>
      </w:r>
      <w:proofErr w:type="spellEnd"/>
      <w:r>
        <w:rPr>
          <w:bCs/>
          <w:iCs/>
        </w:rPr>
        <w:t>.</w:t>
      </w:r>
      <w:r>
        <w:rPr>
          <w:bCs/>
        </w:rPr>
        <w:t xml:space="preserve"> </w:t>
      </w:r>
      <w:r>
        <w:t xml:space="preserve">Plant Dis. 94, </w:t>
      </w:r>
      <w:r>
        <w:rPr>
          <w:bCs/>
        </w:rPr>
        <w:t>13.</w:t>
      </w:r>
    </w:p>
    <w:p w:rsidR="006F39CD" w:rsidRDefault="006F39CD">
      <w:pPr>
        <w:ind w:left="567" w:hanging="567"/>
        <w:jc w:val="both"/>
      </w:pPr>
    </w:p>
    <w:p w:rsidR="006F39CD" w:rsidRDefault="003D008C">
      <w:pPr>
        <w:ind w:left="567" w:hanging="567"/>
        <w:jc w:val="both"/>
      </w:pPr>
      <w:r>
        <w:lastRenderedPageBreak/>
        <w:t xml:space="preserve">Ventura, J.A., Costa, H., 2008. </w:t>
      </w:r>
      <w:proofErr w:type="spellStart"/>
      <w:r>
        <w:t>Fusarium</w:t>
      </w:r>
      <w:proofErr w:type="spellEnd"/>
      <w:r>
        <w:t xml:space="preserve"> wilt caused by </w:t>
      </w:r>
      <w:proofErr w:type="spellStart"/>
      <w:r>
        <w:rPr>
          <w:i/>
        </w:rPr>
        <w:t>Fusarium</w:t>
      </w:r>
      <w:proofErr w:type="spellEnd"/>
      <w:r>
        <w:rPr>
          <w:i/>
        </w:rPr>
        <w:t xml:space="preserve"> </w:t>
      </w:r>
      <w:proofErr w:type="spellStart"/>
      <w:r>
        <w:rPr>
          <w:i/>
        </w:rPr>
        <w:t>oxysporum</w:t>
      </w:r>
      <w:proofErr w:type="spellEnd"/>
      <w:r>
        <w:t xml:space="preserve"> on lettuce in </w:t>
      </w:r>
      <w:proofErr w:type="spellStart"/>
      <w:r>
        <w:t>Espirito</w:t>
      </w:r>
      <w:proofErr w:type="spellEnd"/>
      <w:r>
        <w:t xml:space="preserve"> Santo, Brazil. Plant Dis. 92, 976.</w:t>
      </w:r>
    </w:p>
    <w:p w:rsidR="006F39CD" w:rsidRDefault="006F39CD">
      <w:pPr>
        <w:ind w:left="567" w:hanging="567"/>
        <w:jc w:val="both"/>
      </w:pPr>
    </w:p>
    <w:p w:rsidR="006F39CD" w:rsidRDefault="003D008C">
      <w:pPr>
        <w:ind w:left="567" w:hanging="567"/>
        <w:jc w:val="both"/>
      </w:pPr>
      <w:r>
        <w:t xml:space="preserve">Williams, M.A., Rice, C.W., </w:t>
      </w:r>
      <w:proofErr w:type="spellStart"/>
      <w:r>
        <w:t>Owensby</w:t>
      </w:r>
      <w:proofErr w:type="spellEnd"/>
      <w:r>
        <w:t xml:space="preserve">, C.E., 2000. Carbon dynamics and microbial activity in </w:t>
      </w:r>
      <w:proofErr w:type="spellStart"/>
      <w:r>
        <w:t>tallgrass</w:t>
      </w:r>
      <w:proofErr w:type="spellEnd"/>
      <w:r>
        <w:t xml:space="preserve"> prairie exposed to elevated CO</w:t>
      </w:r>
      <w:r>
        <w:rPr>
          <w:vertAlign w:val="subscript"/>
        </w:rPr>
        <w:t>2</w:t>
      </w:r>
      <w:r>
        <w:t xml:space="preserve"> for 8 years. </w:t>
      </w:r>
      <w:r>
        <w:rPr>
          <w:iCs/>
        </w:rPr>
        <w:t>Plant Soil.</w:t>
      </w:r>
      <w:r>
        <w:rPr>
          <w:i/>
          <w:iCs/>
        </w:rPr>
        <w:t xml:space="preserve"> </w:t>
      </w:r>
      <w:r>
        <w:rPr>
          <w:bCs/>
        </w:rPr>
        <w:t>227</w:t>
      </w:r>
      <w:r>
        <w:t>, 127-137.</w:t>
      </w:r>
    </w:p>
    <w:p w:rsidR="006F39CD" w:rsidRDefault="006F39CD">
      <w:pPr>
        <w:ind w:left="567" w:hanging="567"/>
        <w:jc w:val="both"/>
      </w:pPr>
    </w:p>
    <w:p w:rsidR="006F39CD" w:rsidRDefault="003D008C">
      <w:pPr>
        <w:ind w:left="567" w:hanging="567"/>
        <w:jc w:val="both"/>
      </w:pPr>
      <w:r>
        <w:t xml:space="preserve">Zak, D.R., </w:t>
      </w:r>
      <w:proofErr w:type="spellStart"/>
      <w:r>
        <w:t>Pregitzer</w:t>
      </w:r>
      <w:proofErr w:type="spellEnd"/>
      <w:r>
        <w:t>, K.S., Curtis, P.S., Holmes, W.E., 2000. Atmospheric CO</w:t>
      </w:r>
      <w:r>
        <w:rPr>
          <w:vertAlign w:val="subscript"/>
        </w:rPr>
        <w:t>2</w:t>
      </w:r>
      <w:r>
        <w:t xml:space="preserve"> and the composition and function of soil microbial communities. </w:t>
      </w:r>
      <w:r>
        <w:rPr>
          <w:iCs/>
        </w:rPr>
        <w:t>Ecol. Appl</w:t>
      </w:r>
      <w:r>
        <w:t xml:space="preserve">. </w:t>
      </w:r>
      <w:r>
        <w:rPr>
          <w:bCs/>
        </w:rPr>
        <w:t>10</w:t>
      </w:r>
      <w:r>
        <w:t>, 47-59.</w:t>
      </w:r>
    </w:p>
    <w:p w:rsidR="006F39CD" w:rsidRDefault="006F39CD">
      <w:pPr>
        <w:ind w:left="567" w:hanging="567"/>
        <w:jc w:val="both"/>
      </w:pPr>
    </w:p>
    <w:p w:rsidR="006F39CD" w:rsidRDefault="003D008C">
      <w:pPr>
        <w:ind w:left="567" w:hanging="567"/>
        <w:jc w:val="both"/>
      </w:pPr>
      <w:proofErr w:type="spellStart"/>
      <w:r>
        <w:t>Zaehle</w:t>
      </w:r>
      <w:proofErr w:type="spellEnd"/>
      <w:r>
        <w:t xml:space="preserve">, S., Friend, A.D., </w:t>
      </w:r>
      <w:proofErr w:type="spellStart"/>
      <w:r>
        <w:t>Friedlingstein</w:t>
      </w:r>
      <w:proofErr w:type="spellEnd"/>
      <w:r>
        <w:t xml:space="preserve">, P., </w:t>
      </w:r>
      <w:proofErr w:type="spellStart"/>
      <w:r>
        <w:t>Dentener</w:t>
      </w:r>
      <w:proofErr w:type="spellEnd"/>
      <w:r>
        <w:t xml:space="preserve">, F., </w:t>
      </w:r>
      <w:proofErr w:type="spellStart"/>
      <w:r>
        <w:t>Peylin</w:t>
      </w:r>
      <w:proofErr w:type="spellEnd"/>
      <w:r>
        <w:t xml:space="preserve">, P., Schulz, M., 2010. Carbon and nitrogen cycle dynamics in the O-CN land surface model: 2. Role of the </w:t>
      </w:r>
      <w:proofErr w:type="spellStart"/>
      <w:r>
        <w:t>nitrose</w:t>
      </w:r>
      <w:proofErr w:type="spellEnd"/>
      <w:r>
        <w:t xml:space="preserve"> cycle in the historical terrestrial carbon balance. Global </w:t>
      </w:r>
      <w:proofErr w:type="spellStart"/>
      <w:r>
        <w:t>Biogeochem</w:t>
      </w:r>
      <w:proofErr w:type="spellEnd"/>
      <w:r>
        <w:t>. Cy. 24, GB1006.</w:t>
      </w:r>
    </w:p>
    <w:p w:rsidR="006F39CD" w:rsidRDefault="006F39CD">
      <w:pPr>
        <w:ind w:left="567" w:hanging="567"/>
        <w:jc w:val="both"/>
      </w:pPr>
    </w:p>
    <w:p w:rsidR="006F39CD" w:rsidRDefault="003D008C">
      <w:pPr>
        <w:ind w:left="567" w:hanging="567"/>
        <w:jc w:val="both"/>
      </w:pPr>
      <w:proofErr w:type="spellStart"/>
      <w:r>
        <w:t>Zheng</w:t>
      </w:r>
      <w:proofErr w:type="spellEnd"/>
      <w:r>
        <w:t xml:space="preserve">, J.Q., Han, S.J., Zhou, Y.M., </w:t>
      </w:r>
      <w:proofErr w:type="spellStart"/>
      <w:r>
        <w:t>Ren</w:t>
      </w:r>
      <w:proofErr w:type="spellEnd"/>
      <w:r>
        <w:t xml:space="preserve">, F.R., </w:t>
      </w:r>
      <w:proofErr w:type="spellStart"/>
      <w:r>
        <w:t>Xin</w:t>
      </w:r>
      <w:proofErr w:type="spellEnd"/>
      <w:r>
        <w:t>, L.H., Zhang, Y., 2010. Microbial activity in a temperate forest soil as affected by elevated atmospheric CO</w:t>
      </w:r>
      <w:r>
        <w:rPr>
          <w:vertAlign w:val="subscript"/>
        </w:rPr>
        <w:t>2</w:t>
      </w:r>
      <w:r>
        <w:t xml:space="preserve">. </w:t>
      </w:r>
      <w:proofErr w:type="spellStart"/>
      <w:r>
        <w:t>Pedosphere</w:t>
      </w:r>
      <w:proofErr w:type="spellEnd"/>
      <w:r>
        <w:t xml:space="preserve">. 20, 427-435. </w:t>
      </w:r>
    </w:p>
    <w:p w:rsidR="006F39CD" w:rsidRDefault="006F39CD">
      <w:pPr>
        <w:jc w:val="both"/>
      </w:pPr>
    </w:p>
    <w:p w:rsidR="008B6F6A" w:rsidRDefault="008B6F6A">
      <w:pPr>
        <w:suppressAutoHyphens w:val="0"/>
      </w:pPr>
      <w:r>
        <w:br w:type="page"/>
      </w:r>
    </w:p>
    <w:p w:rsidR="008B6F6A" w:rsidRDefault="008B6F6A" w:rsidP="008B6F6A">
      <w:pPr>
        <w:jc w:val="both"/>
      </w:pPr>
      <w:r>
        <w:rPr>
          <w:b/>
          <w:lang w:val="en-GB"/>
        </w:rPr>
        <w:lastRenderedPageBreak/>
        <w:t xml:space="preserve">Figure 1 - </w:t>
      </w:r>
      <w:r>
        <w:t xml:space="preserve">PCR-DGGE profiles of the 18S-ITS </w:t>
      </w:r>
      <w:proofErr w:type="spellStart"/>
      <w:r>
        <w:t>amplicons</w:t>
      </w:r>
      <w:proofErr w:type="spellEnd"/>
      <w:r>
        <w:t xml:space="preserve"> from microbial DNA directly extracted from </w:t>
      </w:r>
      <w:r>
        <w:rPr>
          <w:lang w:val="en-GB"/>
        </w:rPr>
        <w:t>i</w:t>
      </w:r>
      <w:r w:rsidRPr="00E24A14">
        <w:rPr>
          <w:lang w:val="en-GB"/>
        </w:rPr>
        <w:t xml:space="preserve">nfested </w:t>
      </w:r>
      <w:r>
        <w:t xml:space="preserve">substrate samples after 28 days growth in </w:t>
      </w:r>
      <w:proofErr w:type="spellStart"/>
      <w:r>
        <w:t>phytotrons</w:t>
      </w:r>
      <w:proofErr w:type="spellEnd"/>
      <w:r>
        <w:t>; subscript numbers indicate the number of days after transplantation when the sample was taken. Single band numbers indicate the sequenced fragments reported in Table 6.</w:t>
      </w:r>
    </w:p>
    <w:p w:rsidR="008B6F6A" w:rsidRDefault="008B6F6A" w:rsidP="008B6F6A"/>
    <w:p w:rsidR="008B6F6A" w:rsidRDefault="00077135" w:rsidP="008B6F6A">
      <w:r>
        <w:pict>
          <v:group id="_x0000_s1039" editas="canvas" style="width:481.9pt;height:233.35pt;mso-position-horizontal-relative:char;mso-position-vertical-relative:line" coordorigin="2308,1710" coordsize="8731,42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308;top:1710;width:8731;height:420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1" type="#_x0000_t202" style="position:absolute;left:2308;top:2255;width:8731;height:360" filled="f" fillcolor="#bbe0e3" stroked="f">
              <v:textbox inset="2.10819mm,1.0541mm,2.10819mm,1.0541mm">
                <w:txbxContent>
                  <w:p w:rsidR="008B6F6A" w:rsidRPr="00CB1E2B" w:rsidRDefault="008B6F6A" w:rsidP="008B6F6A">
                    <w:pPr>
                      <w:autoSpaceDE w:val="0"/>
                      <w:autoSpaceDN w:val="0"/>
                      <w:adjustRightInd w:val="0"/>
                      <w:rPr>
                        <w:rFonts w:ascii="Arial" w:hAnsi="Arial" w:cs="Arial"/>
                        <w:b/>
                        <w:bCs/>
                        <w:color w:val="000000"/>
                        <w:sz w:val="23"/>
                        <w:szCs w:val="28"/>
                      </w:rPr>
                    </w:pPr>
                    <w:r w:rsidRPr="00CB1E2B">
                      <w:rPr>
                        <w:rFonts w:ascii="Arial" w:hAnsi="Arial" w:cs="Arial"/>
                        <w:b/>
                        <w:bCs/>
                        <w:color w:val="000000"/>
                        <w:sz w:val="23"/>
                        <w:szCs w:val="28"/>
                      </w:rPr>
                      <w:t xml:space="preserve">           7      14    21    28     7    14     21   28    7      14   21    28     7     14    21   28 </w:t>
                    </w:r>
                  </w:p>
                </w:txbxContent>
              </v:textbox>
            </v:shape>
            <v:line id="_x0000_s1042" style="position:absolute" from="3080,2255" to="4707,2255"/>
            <v:line id="_x0000_s1043" style="position:absolute" from="4961,2255" to="6673,2255"/>
            <v:line id="_x0000_s1044" style="position:absolute" from="6760,2255" to="8386,2255"/>
            <v:line id="_x0000_s1045" style="position:absolute" from="8643,2255" to="10354,2255"/>
            <v:shape id="_x0000_s1046" type="#_x0000_t202" style="position:absolute;left:4704;top:1710;width:2312;height:540" filled="f" fillcolor="#bbe0e3" stroked="f">
              <v:textbox inset="2.10819mm,1.0541mm,2.10819mm,1.0541mm">
                <w:txbxContent>
                  <w:p w:rsidR="008B6F6A" w:rsidRPr="00CB1E2B" w:rsidRDefault="008B6F6A" w:rsidP="008B6F6A">
                    <w:pPr>
                      <w:autoSpaceDE w:val="0"/>
                      <w:autoSpaceDN w:val="0"/>
                      <w:adjustRightInd w:val="0"/>
                      <w:jc w:val="center"/>
                      <w:rPr>
                        <w:b/>
                        <w:bCs/>
                        <w:color w:val="000000"/>
                        <w:sz w:val="20"/>
                      </w:rPr>
                    </w:pPr>
                    <w:r w:rsidRPr="00CB1E2B">
                      <w:rPr>
                        <w:b/>
                        <w:bCs/>
                        <w:color w:val="000000"/>
                        <w:sz w:val="20"/>
                      </w:rPr>
                      <w:t>2</w:t>
                    </w:r>
                  </w:p>
                  <w:p w:rsidR="008B6F6A" w:rsidRPr="00CB1E2B" w:rsidRDefault="008B6F6A" w:rsidP="008B6F6A">
                    <w:pPr>
                      <w:autoSpaceDE w:val="0"/>
                      <w:autoSpaceDN w:val="0"/>
                      <w:adjustRightInd w:val="0"/>
                      <w:jc w:val="center"/>
                      <w:rPr>
                        <w:b/>
                        <w:bCs/>
                        <w:color w:val="000000"/>
                        <w:sz w:val="20"/>
                        <w:lang w:val="en-GB"/>
                      </w:rPr>
                    </w:pPr>
                    <w:r w:rsidRPr="00CB1E2B">
                      <w:rPr>
                        <w:b/>
                        <w:bCs/>
                        <w:color w:val="000000"/>
                        <w:sz w:val="20"/>
                      </w:rPr>
                      <w:t>(</w:t>
                    </w:r>
                    <w:r w:rsidRPr="00CB1E2B">
                      <w:rPr>
                        <w:b/>
                        <w:bCs/>
                        <w:color w:val="000000"/>
                        <w:sz w:val="20"/>
                        <w:lang w:val="en-GB"/>
                      </w:rPr>
                      <w:t>800ppm CO</w:t>
                    </w:r>
                    <w:r w:rsidRPr="00CB1E2B">
                      <w:rPr>
                        <w:b/>
                        <w:bCs/>
                        <w:color w:val="000000"/>
                        <w:sz w:val="20"/>
                        <w:vertAlign w:val="subscript"/>
                        <w:lang w:val="en-GB"/>
                      </w:rPr>
                      <w:t xml:space="preserve">2 </w:t>
                    </w:r>
                    <w:r w:rsidRPr="00CB1E2B">
                      <w:rPr>
                        <w:b/>
                        <w:bCs/>
                        <w:color w:val="000000"/>
                        <w:sz w:val="20"/>
                        <w:lang w:val="en-GB"/>
                      </w:rPr>
                      <w:t>18-22</w:t>
                    </w:r>
                    <w:r w:rsidRPr="00CB1E2B">
                      <w:rPr>
                        <w:rFonts w:cs="SimSun" w:hint="eastAsia"/>
                        <w:b/>
                        <w:bCs/>
                        <w:color w:val="000000"/>
                        <w:sz w:val="20"/>
                        <w:lang w:val="en-GB"/>
                      </w:rPr>
                      <w:t>°</w:t>
                    </w:r>
                    <w:r w:rsidRPr="00CB1E2B">
                      <w:rPr>
                        <w:b/>
                        <w:bCs/>
                        <w:color w:val="000000"/>
                        <w:sz w:val="20"/>
                        <w:lang w:val="en-GB"/>
                      </w:rPr>
                      <w:t>C)</w:t>
                    </w:r>
                  </w:p>
                </w:txbxContent>
              </v:textbox>
            </v:shape>
            <v:shape id="_x0000_s1047" type="#_x0000_t202" style="position:absolute;left:2697;top:1740;width:2312;height:540" filled="f" fillcolor="#bbe0e3" stroked="f">
              <v:textbox inset="2.10819mm,1.0541mm,2.10819mm,1.0541mm">
                <w:txbxContent>
                  <w:p w:rsidR="008B6F6A" w:rsidRPr="00CB1E2B" w:rsidRDefault="008B6F6A" w:rsidP="008B6F6A">
                    <w:pPr>
                      <w:autoSpaceDE w:val="0"/>
                      <w:autoSpaceDN w:val="0"/>
                      <w:adjustRightInd w:val="0"/>
                      <w:jc w:val="center"/>
                      <w:rPr>
                        <w:b/>
                        <w:bCs/>
                        <w:color w:val="000000"/>
                        <w:sz w:val="20"/>
                      </w:rPr>
                    </w:pPr>
                    <w:r w:rsidRPr="00CB1E2B">
                      <w:rPr>
                        <w:b/>
                        <w:bCs/>
                        <w:color w:val="000000"/>
                        <w:sz w:val="20"/>
                      </w:rPr>
                      <w:t>1</w:t>
                    </w:r>
                  </w:p>
                  <w:p w:rsidR="008B6F6A" w:rsidRPr="00CB1E2B" w:rsidRDefault="008B6F6A" w:rsidP="008B6F6A">
                    <w:pPr>
                      <w:autoSpaceDE w:val="0"/>
                      <w:autoSpaceDN w:val="0"/>
                      <w:adjustRightInd w:val="0"/>
                      <w:jc w:val="center"/>
                      <w:rPr>
                        <w:b/>
                        <w:bCs/>
                        <w:color w:val="000000"/>
                        <w:sz w:val="20"/>
                        <w:lang w:val="en-GB"/>
                      </w:rPr>
                    </w:pPr>
                    <w:r w:rsidRPr="00CB1E2B">
                      <w:rPr>
                        <w:b/>
                        <w:bCs/>
                        <w:color w:val="000000"/>
                        <w:sz w:val="20"/>
                      </w:rPr>
                      <w:t>(</w:t>
                    </w:r>
                    <w:r w:rsidRPr="00CB1E2B">
                      <w:rPr>
                        <w:b/>
                        <w:bCs/>
                        <w:color w:val="000000"/>
                        <w:sz w:val="20"/>
                        <w:lang w:val="en-GB"/>
                      </w:rPr>
                      <w:t>800ppm CO</w:t>
                    </w:r>
                    <w:r w:rsidRPr="00CB1E2B">
                      <w:rPr>
                        <w:b/>
                        <w:bCs/>
                        <w:color w:val="000000"/>
                        <w:sz w:val="20"/>
                        <w:vertAlign w:val="subscript"/>
                        <w:lang w:val="en-GB"/>
                      </w:rPr>
                      <w:t>2</w:t>
                    </w:r>
                    <w:r w:rsidRPr="00CB1E2B">
                      <w:rPr>
                        <w:b/>
                        <w:bCs/>
                        <w:color w:val="000000"/>
                        <w:sz w:val="20"/>
                        <w:lang w:val="en-GB"/>
                      </w:rPr>
                      <w:t xml:space="preserve"> 22-26</w:t>
                    </w:r>
                    <w:r w:rsidRPr="00CB1E2B">
                      <w:rPr>
                        <w:rFonts w:cs="SimSun" w:hint="eastAsia"/>
                        <w:b/>
                        <w:bCs/>
                        <w:color w:val="000000"/>
                        <w:sz w:val="20"/>
                        <w:lang w:val="en-GB"/>
                      </w:rPr>
                      <w:t>°</w:t>
                    </w:r>
                    <w:r w:rsidRPr="00CB1E2B">
                      <w:rPr>
                        <w:b/>
                        <w:bCs/>
                        <w:color w:val="000000"/>
                        <w:sz w:val="20"/>
                        <w:lang w:val="en-GB"/>
                      </w:rPr>
                      <w:t>C)</w:t>
                    </w:r>
                  </w:p>
                </w:txbxContent>
              </v:textbox>
            </v:shape>
            <v:shape id="_x0000_s1048" type="#_x0000_t202" style="position:absolute;left:8471;top:1715;width:2226;height:540" filled="f" fillcolor="#bbe0e3" stroked="f">
              <v:textbox inset="2.10819mm,1.0541mm,2.10819mm,1.0541mm">
                <w:txbxContent>
                  <w:p w:rsidR="008B6F6A" w:rsidRPr="00CB1E2B" w:rsidRDefault="008B6F6A" w:rsidP="008B6F6A">
                    <w:pPr>
                      <w:autoSpaceDE w:val="0"/>
                      <w:autoSpaceDN w:val="0"/>
                      <w:adjustRightInd w:val="0"/>
                      <w:jc w:val="center"/>
                      <w:rPr>
                        <w:b/>
                        <w:bCs/>
                        <w:color w:val="000000"/>
                        <w:sz w:val="20"/>
                      </w:rPr>
                    </w:pPr>
                    <w:r w:rsidRPr="00CB1E2B">
                      <w:rPr>
                        <w:b/>
                        <w:bCs/>
                        <w:color w:val="000000"/>
                        <w:sz w:val="20"/>
                      </w:rPr>
                      <w:t>4</w:t>
                    </w:r>
                  </w:p>
                  <w:p w:rsidR="008B6F6A" w:rsidRPr="00CB1E2B" w:rsidRDefault="008B6F6A" w:rsidP="008B6F6A">
                    <w:pPr>
                      <w:autoSpaceDE w:val="0"/>
                      <w:autoSpaceDN w:val="0"/>
                      <w:adjustRightInd w:val="0"/>
                      <w:jc w:val="center"/>
                      <w:rPr>
                        <w:b/>
                        <w:bCs/>
                        <w:color w:val="000000"/>
                        <w:sz w:val="20"/>
                        <w:lang w:val="en-GB"/>
                      </w:rPr>
                    </w:pPr>
                    <w:r w:rsidRPr="00CB1E2B">
                      <w:rPr>
                        <w:b/>
                        <w:bCs/>
                        <w:color w:val="000000"/>
                        <w:sz w:val="20"/>
                      </w:rPr>
                      <w:t>(</w:t>
                    </w:r>
                    <w:r w:rsidRPr="00CB1E2B">
                      <w:rPr>
                        <w:b/>
                        <w:bCs/>
                        <w:color w:val="000000"/>
                        <w:sz w:val="20"/>
                        <w:lang w:val="en-GB"/>
                      </w:rPr>
                      <w:t>400ppm CO</w:t>
                    </w:r>
                    <w:r w:rsidRPr="00CB1E2B">
                      <w:rPr>
                        <w:b/>
                        <w:bCs/>
                        <w:color w:val="000000"/>
                        <w:sz w:val="20"/>
                        <w:vertAlign w:val="subscript"/>
                        <w:lang w:val="en-GB"/>
                      </w:rPr>
                      <w:t xml:space="preserve">2 </w:t>
                    </w:r>
                    <w:r w:rsidRPr="00CB1E2B">
                      <w:rPr>
                        <w:b/>
                        <w:bCs/>
                        <w:color w:val="000000"/>
                        <w:sz w:val="20"/>
                        <w:lang w:val="en-GB"/>
                      </w:rPr>
                      <w:t xml:space="preserve"> 18-22</w:t>
                    </w:r>
                    <w:r w:rsidRPr="00CB1E2B">
                      <w:rPr>
                        <w:rFonts w:cs="SimSun" w:hint="eastAsia"/>
                        <w:b/>
                        <w:bCs/>
                        <w:color w:val="000000"/>
                        <w:sz w:val="20"/>
                        <w:lang w:val="en-GB"/>
                      </w:rPr>
                      <w:t>°</w:t>
                    </w:r>
                    <w:r w:rsidRPr="00CB1E2B">
                      <w:rPr>
                        <w:b/>
                        <w:bCs/>
                        <w:color w:val="000000"/>
                        <w:sz w:val="20"/>
                        <w:lang w:val="en-GB"/>
                      </w:rPr>
                      <w:t>C)</w:t>
                    </w:r>
                  </w:p>
                </w:txbxContent>
              </v:textbox>
            </v:shape>
            <v:shape id="_x0000_s1049" type="#_x0000_t202" style="position:absolute;left:6587;top:1715;width:2310;height:540" filled="f" fillcolor="#bbe0e3" stroked="f">
              <v:textbox inset="2.10819mm,1.0541mm,2.10819mm,1.0541mm">
                <w:txbxContent>
                  <w:p w:rsidR="008B6F6A" w:rsidRPr="00CB1E2B" w:rsidRDefault="008B6F6A" w:rsidP="008B6F6A">
                    <w:pPr>
                      <w:autoSpaceDE w:val="0"/>
                      <w:autoSpaceDN w:val="0"/>
                      <w:adjustRightInd w:val="0"/>
                      <w:jc w:val="center"/>
                      <w:rPr>
                        <w:b/>
                        <w:bCs/>
                        <w:color w:val="000000"/>
                        <w:sz w:val="20"/>
                      </w:rPr>
                    </w:pPr>
                    <w:r w:rsidRPr="00CB1E2B">
                      <w:rPr>
                        <w:b/>
                        <w:bCs/>
                        <w:color w:val="000000"/>
                        <w:sz w:val="20"/>
                      </w:rPr>
                      <w:t>3</w:t>
                    </w:r>
                  </w:p>
                  <w:p w:rsidR="008B6F6A" w:rsidRPr="00CB1E2B" w:rsidRDefault="008B6F6A" w:rsidP="008B6F6A">
                    <w:pPr>
                      <w:autoSpaceDE w:val="0"/>
                      <w:autoSpaceDN w:val="0"/>
                      <w:adjustRightInd w:val="0"/>
                      <w:jc w:val="center"/>
                      <w:rPr>
                        <w:b/>
                        <w:bCs/>
                        <w:color w:val="000000"/>
                        <w:sz w:val="20"/>
                        <w:lang w:val="en-GB"/>
                      </w:rPr>
                    </w:pPr>
                    <w:r w:rsidRPr="00CB1E2B">
                      <w:rPr>
                        <w:b/>
                        <w:bCs/>
                        <w:color w:val="000000"/>
                        <w:sz w:val="20"/>
                      </w:rPr>
                      <w:t>(</w:t>
                    </w:r>
                    <w:r w:rsidRPr="00CB1E2B">
                      <w:rPr>
                        <w:b/>
                        <w:bCs/>
                        <w:color w:val="000000"/>
                        <w:sz w:val="20"/>
                        <w:lang w:val="en-GB"/>
                      </w:rPr>
                      <w:t>400ppm CO</w:t>
                    </w:r>
                    <w:r w:rsidRPr="00CB1E2B">
                      <w:rPr>
                        <w:b/>
                        <w:bCs/>
                        <w:color w:val="000000"/>
                        <w:sz w:val="20"/>
                        <w:vertAlign w:val="subscript"/>
                        <w:lang w:val="en-GB"/>
                      </w:rPr>
                      <w:t xml:space="preserve">2 </w:t>
                    </w:r>
                    <w:r w:rsidRPr="00CB1E2B">
                      <w:rPr>
                        <w:b/>
                        <w:bCs/>
                        <w:color w:val="000000"/>
                        <w:sz w:val="20"/>
                        <w:lang w:val="en-GB"/>
                      </w:rPr>
                      <w:t xml:space="preserve"> 22-26</w:t>
                    </w:r>
                    <w:r w:rsidRPr="00CB1E2B">
                      <w:rPr>
                        <w:rFonts w:cs="SimSun" w:hint="eastAsia"/>
                        <w:b/>
                        <w:bCs/>
                        <w:color w:val="000000"/>
                        <w:sz w:val="20"/>
                        <w:lang w:val="en-GB"/>
                      </w:rPr>
                      <w:t>°</w:t>
                    </w:r>
                    <w:r w:rsidRPr="00CB1E2B">
                      <w:rPr>
                        <w:b/>
                        <w:bCs/>
                        <w:color w:val="000000"/>
                        <w:sz w:val="20"/>
                        <w:lang w:val="en-GB"/>
                      </w:rPr>
                      <w:t>C)</w:t>
                    </w:r>
                  </w:p>
                </w:txbxContent>
              </v:textbox>
            </v:shape>
            <v:shape id="_x0000_s1050" type="#_x0000_t75" style="position:absolute;left:2395;top:2548;width:8131;height:3363">
              <v:imagedata r:id="rId9" o:title="Sans titre-2"/>
            </v:shape>
            <w10:wrap type="none"/>
            <w10:anchorlock/>
          </v:group>
        </w:pict>
      </w:r>
    </w:p>
    <w:p w:rsidR="008B6F6A" w:rsidRDefault="008B6F6A" w:rsidP="008B6F6A">
      <w:pPr>
        <w:tabs>
          <w:tab w:val="left" w:pos="3570"/>
        </w:tabs>
      </w:pPr>
    </w:p>
    <w:p w:rsidR="008B6F6A" w:rsidRDefault="00077135" w:rsidP="008B6F6A">
      <w:r>
        <w:pict>
          <v:group id="_x0000_s1051" editas="canvas" style="width:481.9pt;height:273.95pt;mso-position-horizontal-relative:char;mso-position-vertical-relative:line" coordorigin="2308,3743" coordsize="9586,5415">
            <o:lock v:ext="edit" aspectratio="t"/>
            <v:shape id="_x0000_s1052" type="#_x0000_t75" style="position:absolute;left:2308;top:3743;width:9586;height:5415" o:preferrelative="f">
              <v:fill o:detectmouseclick="t"/>
              <v:path o:extrusionok="t" o:connecttype="none"/>
              <o:lock v:ext="edit" text="t"/>
            </v:shape>
            <v:shape id="_x0000_s1053" type="#_x0000_t202" style="position:absolute;left:2308;top:4349;width:9586;height:360" filled="f" fillcolor="#bbe0e3" stroked="f">
              <v:textbox inset="1.93039mm,.96519mm,1.93039mm,.96519mm">
                <w:txbxContent>
                  <w:p w:rsidR="008B6F6A" w:rsidRPr="00CB1E2B" w:rsidRDefault="008B6F6A" w:rsidP="008B6F6A">
                    <w:pPr>
                      <w:autoSpaceDE w:val="0"/>
                      <w:autoSpaceDN w:val="0"/>
                      <w:adjustRightInd w:val="0"/>
                      <w:rPr>
                        <w:rFonts w:ascii="Arial" w:hAnsi="Arial" w:cs="Arial"/>
                        <w:b/>
                        <w:bCs/>
                        <w:color w:val="000000"/>
                        <w:sz w:val="21"/>
                        <w:szCs w:val="28"/>
                      </w:rPr>
                    </w:pPr>
                    <w:r w:rsidRPr="00CB1E2B">
                      <w:rPr>
                        <w:rFonts w:ascii="Arial" w:hAnsi="Arial" w:cs="Arial"/>
                        <w:b/>
                        <w:bCs/>
                        <w:color w:val="000000"/>
                        <w:sz w:val="21"/>
                        <w:szCs w:val="28"/>
                      </w:rPr>
                      <w:t xml:space="preserve">             7      14      21    28      7     14     21    28      7    14      21     28     7      14     21    28 </w:t>
                    </w:r>
                  </w:p>
                </w:txbxContent>
              </v:textbox>
            </v:shape>
            <v:line id="_x0000_s1054" style="position:absolute" from="3123,4368" to="4922,4368"/>
            <v:line id="_x0000_s1055" style="position:absolute" from="5218,4283" to="6929,4283"/>
            <v:line id="_x0000_s1056" style="position:absolute" from="7271,4283" to="8898,4283"/>
            <v:line id="_x0000_s1057" style="position:absolute" from="9241,4283" to="10952,4283"/>
            <v:shape id="_x0000_s1058" type="#_x0000_t202" style="position:absolute;left:4961;top:3773;width:2312;height:540" filled="f" fillcolor="#bbe0e3" stroked="f">
              <v:textbox inset="1.93039mm,.96519mm,1.93039mm,.96519mm">
                <w:txbxContent>
                  <w:p w:rsidR="008B6F6A" w:rsidRPr="00CB1E2B" w:rsidRDefault="008B6F6A" w:rsidP="008B6F6A">
                    <w:pPr>
                      <w:autoSpaceDE w:val="0"/>
                      <w:autoSpaceDN w:val="0"/>
                      <w:adjustRightInd w:val="0"/>
                      <w:jc w:val="center"/>
                      <w:rPr>
                        <w:b/>
                        <w:bCs/>
                        <w:color w:val="000000"/>
                        <w:sz w:val="18"/>
                      </w:rPr>
                    </w:pPr>
                    <w:r w:rsidRPr="00CB1E2B">
                      <w:rPr>
                        <w:b/>
                        <w:bCs/>
                        <w:color w:val="000000"/>
                        <w:sz w:val="18"/>
                      </w:rPr>
                      <w:t>2</w:t>
                    </w:r>
                  </w:p>
                  <w:p w:rsidR="008B6F6A" w:rsidRPr="00CB1E2B" w:rsidRDefault="008B6F6A" w:rsidP="008B6F6A">
                    <w:pPr>
                      <w:autoSpaceDE w:val="0"/>
                      <w:autoSpaceDN w:val="0"/>
                      <w:adjustRightInd w:val="0"/>
                      <w:jc w:val="center"/>
                      <w:rPr>
                        <w:b/>
                        <w:bCs/>
                        <w:color w:val="000000"/>
                        <w:sz w:val="18"/>
                        <w:lang w:val="en-GB"/>
                      </w:rPr>
                    </w:pPr>
                    <w:r w:rsidRPr="00CB1E2B">
                      <w:rPr>
                        <w:b/>
                        <w:bCs/>
                        <w:color w:val="000000"/>
                        <w:sz w:val="18"/>
                      </w:rPr>
                      <w:t>(</w:t>
                    </w:r>
                    <w:r w:rsidRPr="00CB1E2B">
                      <w:rPr>
                        <w:b/>
                        <w:bCs/>
                        <w:color w:val="000000"/>
                        <w:sz w:val="18"/>
                        <w:lang w:val="en-GB"/>
                      </w:rPr>
                      <w:t>800ppm CO</w:t>
                    </w:r>
                    <w:r w:rsidRPr="00CB1E2B">
                      <w:rPr>
                        <w:b/>
                        <w:bCs/>
                        <w:color w:val="000000"/>
                        <w:sz w:val="18"/>
                        <w:vertAlign w:val="subscript"/>
                        <w:lang w:val="en-GB"/>
                      </w:rPr>
                      <w:t xml:space="preserve">2 </w:t>
                    </w:r>
                    <w:r w:rsidRPr="00CB1E2B">
                      <w:rPr>
                        <w:b/>
                        <w:bCs/>
                        <w:color w:val="000000"/>
                        <w:sz w:val="18"/>
                        <w:lang w:val="en-GB"/>
                      </w:rPr>
                      <w:t>18-22</w:t>
                    </w:r>
                    <w:r w:rsidRPr="00CB1E2B">
                      <w:rPr>
                        <w:rFonts w:cs="SimSun" w:hint="eastAsia"/>
                        <w:b/>
                        <w:bCs/>
                        <w:color w:val="000000"/>
                        <w:sz w:val="18"/>
                        <w:lang w:val="en-GB"/>
                      </w:rPr>
                      <w:t>°</w:t>
                    </w:r>
                    <w:r w:rsidRPr="00CB1E2B">
                      <w:rPr>
                        <w:b/>
                        <w:bCs/>
                        <w:color w:val="000000"/>
                        <w:sz w:val="18"/>
                        <w:lang w:val="en-GB"/>
                      </w:rPr>
                      <w:t>C)</w:t>
                    </w:r>
                  </w:p>
                </w:txbxContent>
              </v:textbox>
            </v:shape>
            <v:shape id="_x0000_s1059" type="#_x0000_t202" style="position:absolute;left:2857;top:3822;width:2311;height:540" filled="f" fillcolor="#bbe0e3" stroked="f">
              <v:textbox inset="1.93039mm,.96519mm,1.93039mm,.96519mm">
                <w:txbxContent>
                  <w:p w:rsidR="008B6F6A" w:rsidRPr="00CB1E2B" w:rsidRDefault="008B6F6A" w:rsidP="008B6F6A">
                    <w:pPr>
                      <w:autoSpaceDE w:val="0"/>
                      <w:autoSpaceDN w:val="0"/>
                      <w:adjustRightInd w:val="0"/>
                      <w:jc w:val="center"/>
                      <w:rPr>
                        <w:b/>
                        <w:bCs/>
                        <w:color w:val="000000"/>
                        <w:sz w:val="18"/>
                      </w:rPr>
                    </w:pPr>
                    <w:r w:rsidRPr="00CB1E2B">
                      <w:rPr>
                        <w:b/>
                        <w:bCs/>
                        <w:color w:val="000000"/>
                        <w:sz w:val="18"/>
                      </w:rPr>
                      <w:t>1</w:t>
                    </w:r>
                  </w:p>
                  <w:p w:rsidR="008B6F6A" w:rsidRPr="00CB1E2B" w:rsidRDefault="008B6F6A" w:rsidP="008B6F6A">
                    <w:pPr>
                      <w:autoSpaceDE w:val="0"/>
                      <w:autoSpaceDN w:val="0"/>
                      <w:adjustRightInd w:val="0"/>
                      <w:jc w:val="center"/>
                      <w:rPr>
                        <w:b/>
                        <w:bCs/>
                        <w:color w:val="000000"/>
                        <w:sz w:val="18"/>
                        <w:lang w:val="en-GB"/>
                      </w:rPr>
                    </w:pPr>
                    <w:r w:rsidRPr="00CB1E2B">
                      <w:rPr>
                        <w:b/>
                        <w:bCs/>
                        <w:color w:val="000000"/>
                        <w:sz w:val="18"/>
                      </w:rPr>
                      <w:t>(</w:t>
                    </w:r>
                    <w:r w:rsidRPr="00CB1E2B">
                      <w:rPr>
                        <w:b/>
                        <w:bCs/>
                        <w:color w:val="000000"/>
                        <w:sz w:val="18"/>
                        <w:lang w:val="en-GB"/>
                      </w:rPr>
                      <w:t>800ppm CO</w:t>
                    </w:r>
                    <w:r w:rsidRPr="00CB1E2B">
                      <w:rPr>
                        <w:b/>
                        <w:bCs/>
                        <w:color w:val="000000"/>
                        <w:sz w:val="18"/>
                        <w:vertAlign w:val="subscript"/>
                        <w:lang w:val="en-GB"/>
                      </w:rPr>
                      <w:t>2</w:t>
                    </w:r>
                    <w:r w:rsidRPr="00CB1E2B">
                      <w:rPr>
                        <w:b/>
                        <w:bCs/>
                        <w:color w:val="000000"/>
                        <w:sz w:val="18"/>
                        <w:lang w:val="en-GB"/>
                      </w:rPr>
                      <w:t xml:space="preserve"> 22-26</w:t>
                    </w:r>
                    <w:r w:rsidRPr="00CB1E2B">
                      <w:rPr>
                        <w:rFonts w:cs="SimSun" w:hint="eastAsia"/>
                        <w:b/>
                        <w:bCs/>
                        <w:color w:val="000000"/>
                        <w:sz w:val="18"/>
                        <w:lang w:val="en-GB"/>
                      </w:rPr>
                      <w:t>°</w:t>
                    </w:r>
                    <w:r w:rsidRPr="00CB1E2B">
                      <w:rPr>
                        <w:b/>
                        <w:bCs/>
                        <w:color w:val="000000"/>
                        <w:sz w:val="18"/>
                        <w:lang w:val="en-GB"/>
                      </w:rPr>
                      <w:t>C)</w:t>
                    </w:r>
                  </w:p>
                </w:txbxContent>
              </v:textbox>
            </v:shape>
            <v:shape id="_x0000_s1060" type="#_x0000_t202" style="position:absolute;left:9069;top:3743;width:2226;height:540" filled="f" fillcolor="#bbe0e3" stroked="f">
              <v:textbox inset="1.93039mm,.96519mm,1.93039mm,.96519mm">
                <w:txbxContent>
                  <w:p w:rsidR="008B6F6A" w:rsidRPr="00CB1E2B" w:rsidRDefault="008B6F6A" w:rsidP="008B6F6A">
                    <w:pPr>
                      <w:autoSpaceDE w:val="0"/>
                      <w:autoSpaceDN w:val="0"/>
                      <w:adjustRightInd w:val="0"/>
                      <w:jc w:val="center"/>
                      <w:rPr>
                        <w:b/>
                        <w:bCs/>
                        <w:color w:val="000000"/>
                        <w:sz w:val="18"/>
                      </w:rPr>
                    </w:pPr>
                    <w:r w:rsidRPr="00CB1E2B">
                      <w:rPr>
                        <w:b/>
                        <w:bCs/>
                        <w:color w:val="000000"/>
                        <w:sz w:val="18"/>
                      </w:rPr>
                      <w:t>4</w:t>
                    </w:r>
                  </w:p>
                  <w:p w:rsidR="008B6F6A" w:rsidRPr="00CB1E2B" w:rsidRDefault="008B6F6A" w:rsidP="008B6F6A">
                    <w:pPr>
                      <w:autoSpaceDE w:val="0"/>
                      <w:autoSpaceDN w:val="0"/>
                      <w:adjustRightInd w:val="0"/>
                      <w:jc w:val="center"/>
                      <w:rPr>
                        <w:b/>
                        <w:bCs/>
                        <w:color w:val="000000"/>
                        <w:sz w:val="18"/>
                        <w:lang w:val="en-GB"/>
                      </w:rPr>
                    </w:pPr>
                    <w:r w:rsidRPr="00CB1E2B">
                      <w:rPr>
                        <w:b/>
                        <w:bCs/>
                        <w:color w:val="000000"/>
                        <w:sz w:val="18"/>
                      </w:rPr>
                      <w:t>(</w:t>
                    </w:r>
                    <w:r w:rsidRPr="00CB1E2B">
                      <w:rPr>
                        <w:b/>
                        <w:bCs/>
                        <w:color w:val="000000"/>
                        <w:sz w:val="18"/>
                        <w:lang w:val="en-GB"/>
                      </w:rPr>
                      <w:t>400ppm CO</w:t>
                    </w:r>
                    <w:r w:rsidRPr="00CB1E2B">
                      <w:rPr>
                        <w:b/>
                        <w:bCs/>
                        <w:color w:val="000000"/>
                        <w:sz w:val="18"/>
                        <w:vertAlign w:val="subscript"/>
                        <w:lang w:val="en-GB"/>
                      </w:rPr>
                      <w:t xml:space="preserve">2 </w:t>
                    </w:r>
                    <w:r w:rsidRPr="00CB1E2B">
                      <w:rPr>
                        <w:b/>
                        <w:bCs/>
                        <w:color w:val="000000"/>
                        <w:sz w:val="18"/>
                        <w:lang w:val="en-GB"/>
                      </w:rPr>
                      <w:t xml:space="preserve"> 18-22</w:t>
                    </w:r>
                    <w:r w:rsidRPr="00CB1E2B">
                      <w:rPr>
                        <w:rFonts w:cs="SimSun" w:hint="eastAsia"/>
                        <w:b/>
                        <w:bCs/>
                        <w:color w:val="000000"/>
                        <w:sz w:val="18"/>
                        <w:lang w:val="en-GB"/>
                      </w:rPr>
                      <w:t>°</w:t>
                    </w:r>
                    <w:r w:rsidRPr="00CB1E2B">
                      <w:rPr>
                        <w:b/>
                        <w:bCs/>
                        <w:color w:val="000000"/>
                        <w:sz w:val="18"/>
                        <w:lang w:val="en-GB"/>
                      </w:rPr>
                      <w:t>C)</w:t>
                    </w:r>
                  </w:p>
                </w:txbxContent>
              </v:textbox>
            </v:shape>
            <v:shape id="_x0000_s1061" type="#_x0000_t202" style="position:absolute;left:6965;top:3753;width:2310;height:540" filled="f" fillcolor="#bbe0e3" stroked="f">
              <v:textbox inset="1.93039mm,.96519mm,1.93039mm,.96519mm">
                <w:txbxContent>
                  <w:p w:rsidR="008B6F6A" w:rsidRPr="00CB1E2B" w:rsidRDefault="008B6F6A" w:rsidP="008B6F6A">
                    <w:pPr>
                      <w:autoSpaceDE w:val="0"/>
                      <w:autoSpaceDN w:val="0"/>
                      <w:adjustRightInd w:val="0"/>
                      <w:jc w:val="center"/>
                      <w:rPr>
                        <w:b/>
                        <w:bCs/>
                        <w:color w:val="000000"/>
                        <w:sz w:val="18"/>
                      </w:rPr>
                    </w:pPr>
                    <w:r w:rsidRPr="00CB1E2B">
                      <w:rPr>
                        <w:b/>
                        <w:bCs/>
                        <w:color w:val="000000"/>
                        <w:sz w:val="18"/>
                      </w:rPr>
                      <w:t>3</w:t>
                    </w:r>
                  </w:p>
                  <w:p w:rsidR="008B6F6A" w:rsidRPr="00CB1E2B" w:rsidRDefault="008B6F6A" w:rsidP="008B6F6A">
                    <w:pPr>
                      <w:autoSpaceDE w:val="0"/>
                      <w:autoSpaceDN w:val="0"/>
                      <w:adjustRightInd w:val="0"/>
                      <w:jc w:val="center"/>
                      <w:rPr>
                        <w:b/>
                        <w:bCs/>
                        <w:color w:val="000000"/>
                        <w:sz w:val="18"/>
                        <w:lang w:val="en-GB"/>
                      </w:rPr>
                    </w:pPr>
                    <w:r w:rsidRPr="00CB1E2B">
                      <w:rPr>
                        <w:b/>
                        <w:bCs/>
                        <w:color w:val="000000"/>
                        <w:sz w:val="18"/>
                      </w:rPr>
                      <w:t>(</w:t>
                    </w:r>
                    <w:r w:rsidRPr="00CB1E2B">
                      <w:rPr>
                        <w:b/>
                        <w:bCs/>
                        <w:color w:val="000000"/>
                        <w:sz w:val="18"/>
                        <w:lang w:val="en-GB"/>
                      </w:rPr>
                      <w:t>400ppm CO</w:t>
                    </w:r>
                    <w:r w:rsidRPr="00CB1E2B">
                      <w:rPr>
                        <w:b/>
                        <w:bCs/>
                        <w:color w:val="000000"/>
                        <w:sz w:val="18"/>
                        <w:vertAlign w:val="subscript"/>
                        <w:lang w:val="en-GB"/>
                      </w:rPr>
                      <w:t xml:space="preserve">2 </w:t>
                    </w:r>
                    <w:r w:rsidRPr="00CB1E2B">
                      <w:rPr>
                        <w:b/>
                        <w:bCs/>
                        <w:color w:val="000000"/>
                        <w:sz w:val="18"/>
                        <w:lang w:val="en-GB"/>
                      </w:rPr>
                      <w:t xml:space="preserve"> 22-26</w:t>
                    </w:r>
                    <w:r w:rsidRPr="00CB1E2B">
                      <w:rPr>
                        <w:rFonts w:cs="SimSun" w:hint="eastAsia"/>
                        <w:b/>
                        <w:bCs/>
                        <w:color w:val="000000"/>
                        <w:sz w:val="18"/>
                        <w:lang w:val="en-GB"/>
                      </w:rPr>
                      <w:t>°</w:t>
                    </w:r>
                    <w:r w:rsidRPr="00CB1E2B">
                      <w:rPr>
                        <w:b/>
                        <w:bCs/>
                        <w:color w:val="000000"/>
                        <w:sz w:val="18"/>
                        <w:lang w:val="en-GB"/>
                      </w:rPr>
                      <w:t>C)</w:t>
                    </w:r>
                  </w:p>
                </w:txbxContent>
              </v:textbox>
            </v:shape>
            <v:shape id="_x0000_s1062" type="#_x0000_t75" style="position:absolute;left:2650;top:4623;width:8729;height:4535">
              <v:imagedata r:id="rId10" o:title="its 1-09-2011"/>
            </v:shape>
            <w10:wrap type="none"/>
            <w10:anchorlock/>
          </v:group>
        </w:pict>
      </w:r>
    </w:p>
    <w:p w:rsidR="008B6F6A" w:rsidRPr="00A45C2B" w:rsidRDefault="008B6F6A" w:rsidP="008B6F6A"/>
    <w:p w:rsidR="008B6F6A" w:rsidRPr="00A45C2B" w:rsidRDefault="008B6F6A" w:rsidP="008B6F6A"/>
    <w:p w:rsidR="008B6F6A" w:rsidRDefault="008B6F6A" w:rsidP="008B6F6A"/>
    <w:p w:rsidR="008B6F6A" w:rsidRDefault="008B6F6A" w:rsidP="008B6F6A">
      <w:pPr>
        <w:tabs>
          <w:tab w:val="left" w:pos="3570"/>
        </w:tabs>
      </w:pPr>
      <w:r>
        <w:tab/>
      </w:r>
    </w:p>
    <w:p w:rsidR="008B6F6A" w:rsidRDefault="008B6F6A" w:rsidP="008B6F6A">
      <w:pPr>
        <w:tabs>
          <w:tab w:val="left" w:pos="3570"/>
        </w:tabs>
      </w:pPr>
    </w:p>
    <w:p w:rsidR="008B6F6A" w:rsidRDefault="008B6F6A" w:rsidP="008B6F6A">
      <w:pPr>
        <w:tabs>
          <w:tab w:val="left" w:pos="3570"/>
        </w:tabs>
      </w:pPr>
    </w:p>
    <w:p w:rsidR="003D008C" w:rsidRDefault="003D008C"/>
    <w:p w:rsidR="008B6F6A" w:rsidRDefault="008B6F6A"/>
    <w:p w:rsidR="008B6F6A" w:rsidRDefault="008B6F6A"/>
    <w:p w:rsidR="008B6F6A" w:rsidRPr="00C41B76" w:rsidRDefault="008B6F6A" w:rsidP="008B6F6A"/>
    <w:tbl>
      <w:tblPr>
        <w:tblpPr w:leftFromText="141" w:rightFromText="141" w:horzAnchor="margin" w:tblpY="1074"/>
        <w:tblW w:w="12670" w:type="dxa"/>
        <w:tblCellMar>
          <w:left w:w="70" w:type="dxa"/>
          <w:right w:w="70" w:type="dxa"/>
        </w:tblCellMar>
        <w:tblLook w:val="0000"/>
      </w:tblPr>
      <w:tblGrid>
        <w:gridCol w:w="1744"/>
        <w:gridCol w:w="2276"/>
        <w:gridCol w:w="2080"/>
        <w:gridCol w:w="2180"/>
        <w:gridCol w:w="2238"/>
        <w:gridCol w:w="2152"/>
      </w:tblGrid>
      <w:tr w:rsidR="008B6F6A" w:rsidRPr="00467F83" w:rsidTr="002A6EB7">
        <w:trPr>
          <w:trHeight w:val="330"/>
        </w:trPr>
        <w:tc>
          <w:tcPr>
            <w:tcW w:w="1744" w:type="dxa"/>
            <w:tcBorders>
              <w:top w:val="nil"/>
              <w:left w:val="nil"/>
              <w:bottom w:val="nil"/>
              <w:right w:val="nil"/>
            </w:tcBorders>
            <w:shd w:val="clear" w:color="auto" w:fill="auto"/>
            <w:noWrap/>
            <w:vAlign w:val="bottom"/>
          </w:tcPr>
          <w:p w:rsidR="008B6F6A" w:rsidRPr="00637DDA" w:rsidRDefault="008B6F6A" w:rsidP="002A6EB7">
            <w:pPr>
              <w:jc w:val="center"/>
              <w:rPr>
                <w:rFonts w:eastAsia="Times New Roman"/>
                <w:b/>
                <w:bCs/>
                <w:lang w:val="en-GB" w:eastAsia="it-IT"/>
              </w:rPr>
            </w:pPr>
          </w:p>
        </w:tc>
        <w:tc>
          <w:tcPr>
            <w:tcW w:w="2276" w:type="dxa"/>
            <w:tcBorders>
              <w:top w:val="nil"/>
              <w:left w:val="nil"/>
              <w:bottom w:val="nil"/>
              <w:right w:val="nil"/>
            </w:tcBorders>
            <w:shd w:val="clear" w:color="auto" w:fill="auto"/>
            <w:noWrap/>
            <w:vAlign w:val="bottom"/>
          </w:tcPr>
          <w:p w:rsidR="008B6F6A" w:rsidRPr="00637DDA" w:rsidRDefault="008B6F6A" w:rsidP="002A6EB7">
            <w:pPr>
              <w:rPr>
                <w:rFonts w:eastAsia="Times New Roman"/>
                <w:lang w:val="en-GB" w:eastAsia="it-IT"/>
              </w:rPr>
            </w:pPr>
          </w:p>
        </w:tc>
        <w:tc>
          <w:tcPr>
            <w:tcW w:w="8650" w:type="dxa"/>
            <w:gridSpan w:val="4"/>
            <w:tcBorders>
              <w:top w:val="single" w:sz="4" w:space="0" w:color="auto"/>
              <w:left w:val="nil"/>
              <w:bottom w:val="single" w:sz="4" w:space="0" w:color="auto"/>
              <w:right w:val="nil"/>
            </w:tcBorders>
            <w:shd w:val="clear" w:color="auto" w:fill="auto"/>
            <w:noWrap/>
            <w:vAlign w:val="bottom"/>
          </w:tcPr>
          <w:p w:rsidR="008B6F6A" w:rsidRPr="00467F83" w:rsidRDefault="008B6F6A" w:rsidP="002A6EB7">
            <w:pPr>
              <w:jc w:val="center"/>
              <w:rPr>
                <w:rFonts w:eastAsia="Times New Roman"/>
                <w:lang w:eastAsia="it-IT"/>
              </w:rPr>
            </w:pPr>
            <w:proofErr w:type="spellStart"/>
            <w:r w:rsidRPr="00467F83">
              <w:rPr>
                <w:rFonts w:eastAsia="Times New Roman"/>
                <w:lang w:eastAsia="it-IT"/>
              </w:rPr>
              <w:t>Phytotron</w:t>
            </w:r>
            <w:proofErr w:type="spellEnd"/>
            <w:r>
              <w:rPr>
                <w:rFonts w:eastAsia="Times New Roman"/>
                <w:lang w:eastAsia="it-IT"/>
              </w:rPr>
              <w:t>*</w:t>
            </w:r>
          </w:p>
        </w:tc>
      </w:tr>
      <w:tr w:rsidR="008B6F6A" w:rsidRPr="00467F83" w:rsidTr="002A6EB7">
        <w:trPr>
          <w:trHeight w:val="840"/>
        </w:trPr>
        <w:tc>
          <w:tcPr>
            <w:tcW w:w="1744" w:type="dxa"/>
            <w:tcBorders>
              <w:top w:val="nil"/>
              <w:left w:val="nil"/>
              <w:bottom w:val="nil"/>
              <w:right w:val="nil"/>
            </w:tcBorders>
            <w:shd w:val="clear" w:color="auto" w:fill="auto"/>
            <w:noWrap/>
            <w:vAlign w:val="bottom"/>
          </w:tcPr>
          <w:p w:rsidR="008B6F6A" w:rsidRPr="00467F83" w:rsidRDefault="008B6F6A" w:rsidP="002A6EB7">
            <w:pPr>
              <w:rPr>
                <w:rFonts w:eastAsia="Times New Roman"/>
                <w:lang w:eastAsia="it-IT"/>
              </w:rPr>
            </w:pPr>
          </w:p>
        </w:tc>
        <w:tc>
          <w:tcPr>
            <w:tcW w:w="2276" w:type="dxa"/>
            <w:tcBorders>
              <w:top w:val="nil"/>
              <w:left w:val="nil"/>
              <w:bottom w:val="nil"/>
              <w:right w:val="nil"/>
            </w:tcBorders>
            <w:shd w:val="clear" w:color="auto" w:fill="auto"/>
            <w:noWrap/>
            <w:vAlign w:val="center"/>
          </w:tcPr>
          <w:p w:rsidR="008B6F6A" w:rsidRPr="00467F83" w:rsidRDefault="008B6F6A" w:rsidP="002A6EB7">
            <w:pPr>
              <w:jc w:val="center"/>
              <w:rPr>
                <w:rFonts w:eastAsia="Times New Roman"/>
                <w:lang w:eastAsia="it-IT"/>
              </w:rPr>
            </w:pPr>
            <w:r w:rsidRPr="00467F83">
              <w:rPr>
                <w:rFonts w:eastAsia="Times New Roman"/>
                <w:lang w:eastAsia="it-IT"/>
              </w:rPr>
              <w:t>Parameters</w:t>
            </w:r>
          </w:p>
        </w:tc>
        <w:tc>
          <w:tcPr>
            <w:tcW w:w="2080" w:type="dxa"/>
            <w:tcBorders>
              <w:top w:val="nil"/>
              <w:left w:val="nil"/>
              <w:bottom w:val="nil"/>
              <w:right w:val="nil"/>
            </w:tcBorders>
            <w:shd w:val="clear" w:color="auto" w:fill="auto"/>
            <w:vAlign w:val="center"/>
          </w:tcPr>
          <w:p w:rsidR="008B6F6A" w:rsidRDefault="008B6F6A" w:rsidP="002A6EB7">
            <w:pPr>
              <w:jc w:val="center"/>
              <w:rPr>
                <w:rFonts w:eastAsia="Times New Roman"/>
                <w:lang w:eastAsia="it-IT"/>
              </w:rPr>
            </w:pPr>
            <w:r>
              <w:rPr>
                <w:rFonts w:eastAsia="Times New Roman"/>
                <w:lang w:eastAsia="it-IT"/>
              </w:rPr>
              <w:t>1</w:t>
            </w:r>
            <w:r w:rsidRPr="00467F83">
              <w:rPr>
                <w:rFonts w:eastAsia="Times New Roman"/>
                <w:lang w:eastAsia="it-IT"/>
              </w:rPr>
              <w:t xml:space="preserve">                                                800</w:t>
            </w:r>
            <w:r>
              <w:rPr>
                <w:rFonts w:eastAsia="Times New Roman"/>
                <w:lang w:eastAsia="it-IT"/>
              </w:rPr>
              <w:t xml:space="preserve"> </w:t>
            </w:r>
            <w:proofErr w:type="spellStart"/>
            <w:r w:rsidRPr="00467F83">
              <w:rPr>
                <w:rFonts w:eastAsia="Times New Roman"/>
                <w:lang w:eastAsia="it-IT"/>
              </w:rPr>
              <w:t>ppm</w:t>
            </w:r>
            <w:proofErr w:type="spellEnd"/>
            <w:r w:rsidRPr="00467F83">
              <w:rPr>
                <w:rFonts w:eastAsia="Times New Roman"/>
                <w:lang w:eastAsia="it-IT"/>
              </w:rPr>
              <w:t xml:space="preserve"> CO</w:t>
            </w:r>
            <w:r w:rsidRPr="00467F83">
              <w:rPr>
                <w:rFonts w:eastAsia="Times New Roman"/>
                <w:vertAlign w:val="subscript"/>
                <w:lang w:eastAsia="it-IT"/>
              </w:rPr>
              <w:t>2</w:t>
            </w:r>
            <w:r w:rsidRPr="00467F83">
              <w:rPr>
                <w:rFonts w:eastAsia="Times New Roman"/>
                <w:lang w:eastAsia="it-IT"/>
              </w:rPr>
              <w:t xml:space="preserve"> </w:t>
            </w:r>
          </w:p>
          <w:p w:rsidR="008B6F6A" w:rsidRPr="00467F83" w:rsidRDefault="008B6F6A" w:rsidP="002A6EB7">
            <w:pPr>
              <w:jc w:val="center"/>
              <w:rPr>
                <w:rFonts w:eastAsia="Times New Roman"/>
                <w:lang w:eastAsia="it-IT"/>
              </w:rPr>
            </w:pPr>
            <w:r w:rsidRPr="00467F83">
              <w:rPr>
                <w:rFonts w:eastAsia="Times New Roman"/>
                <w:lang w:eastAsia="it-IT"/>
              </w:rPr>
              <w:t>22-26°C</w:t>
            </w:r>
          </w:p>
        </w:tc>
        <w:tc>
          <w:tcPr>
            <w:tcW w:w="2180" w:type="dxa"/>
            <w:tcBorders>
              <w:top w:val="nil"/>
              <w:left w:val="nil"/>
              <w:bottom w:val="nil"/>
              <w:right w:val="nil"/>
            </w:tcBorders>
            <w:shd w:val="clear" w:color="auto" w:fill="auto"/>
            <w:vAlign w:val="center"/>
          </w:tcPr>
          <w:p w:rsidR="008B6F6A" w:rsidRDefault="008B6F6A" w:rsidP="002A6EB7">
            <w:pPr>
              <w:jc w:val="center"/>
              <w:rPr>
                <w:rFonts w:eastAsia="Times New Roman"/>
                <w:lang w:eastAsia="it-IT"/>
              </w:rPr>
            </w:pPr>
            <w:r>
              <w:rPr>
                <w:rFonts w:eastAsia="Times New Roman"/>
                <w:lang w:eastAsia="it-IT"/>
              </w:rPr>
              <w:t>2</w:t>
            </w:r>
            <w:r w:rsidRPr="00467F83">
              <w:rPr>
                <w:rFonts w:eastAsia="Times New Roman"/>
                <w:lang w:eastAsia="it-IT"/>
              </w:rPr>
              <w:t xml:space="preserve">                                                  800</w:t>
            </w:r>
            <w:r>
              <w:rPr>
                <w:rFonts w:eastAsia="Times New Roman"/>
                <w:lang w:eastAsia="it-IT"/>
              </w:rPr>
              <w:t xml:space="preserve"> </w:t>
            </w:r>
            <w:proofErr w:type="spellStart"/>
            <w:r w:rsidRPr="00467F83">
              <w:rPr>
                <w:rFonts w:eastAsia="Times New Roman"/>
                <w:lang w:eastAsia="it-IT"/>
              </w:rPr>
              <w:t>ppm</w:t>
            </w:r>
            <w:proofErr w:type="spellEnd"/>
            <w:r w:rsidRPr="00467F83">
              <w:rPr>
                <w:rFonts w:eastAsia="Times New Roman"/>
                <w:lang w:eastAsia="it-IT"/>
              </w:rPr>
              <w:t xml:space="preserve"> CO</w:t>
            </w:r>
            <w:r w:rsidRPr="00467F83">
              <w:rPr>
                <w:rFonts w:eastAsia="Times New Roman"/>
                <w:vertAlign w:val="subscript"/>
                <w:lang w:eastAsia="it-IT"/>
              </w:rPr>
              <w:t>2</w:t>
            </w:r>
            <w:r w:rsidRPr="00467F83">
              <w:rPr>
                <w:rFonts w:eastAsia="Times New Roman"/>
                <w:lang w:eastAsia="it-IT"/>
              </w:rPr>
              <w:t xml:space="preserve"> </w:t>
            </w:r>
          </w:p>
          <w:p w:rsidR="008B6F6A" w:rsidRPr="00467F83" w:rsidRDefault="008B6F6A" w:rsidP="002A6EB7">
            <w:pPr>
              <w:jc w:val="center"/>
              <w:rPr>
                <w:rFonts w:eastAsia="Times New Roman"/>
                <w:lang w:eastAsia="it-IT"/>
              </w:rPr>
            </w:pPr>
            <w:r w:rsidRPr="00467F83">
              <w:rPr>
                <w:rFonts w:eastAsia="Times New Roman"/>
                <w:lang w:eastAsia="it-IT"/>
              </w:rPr>
              <w:t>18-22°C</w:t>
            </w:r>
          </w:p>
        </w:tc>
        <w:tc>
          <w:tcPr>
            <w:tcW w:w="2238" w:type="dxa"/>
            <w:tcBorders>
              <w:top w:val="nil"/>
              <w:left w:val="nil"/>
              <w:bottom w:val="nil"/>
              <w:right w:val="nil"/>
            </w:tcBorders>
            <w:shd w:val="clear" w:color="auto" w:fill="auto"/>
            <w:vAlign w:val="center"/>
          </w:tcPr>
          <w:p w:rsidR="008B6F6A" w:rsidRDefault="008B6F6A" w:rsidP="002A6EB7">
            <w:pPr>
              <w:jc w:val="center"/>
              <w:rPr>
                <w:rFonts w:eastAsia="Times New Roman"/>
                <w:lang w:eastAsia="it-IT"/>
              </w:rPr>
            </w:pPr>
            <w:r>
              <w:rPr>
                <w:rFonts w:eastAsia="Times New Roman"/>
                <w:lang w:eastAsia="it-IT"/>
              </w:rPr>
              <w:t>3</w:t>
            </w:r>
            <w:r w:rsidRPr="00467F83">
              <w:rPr>
                <w:rFonts w:eastAsia="Times New Roman"/>
                <w:lang w:eastAsia="it-IT"/>
              </w:rPr>
              <w:t xml:space="preserve">                                                      400</w:t>
            </w:r>
            <w:r>
              <w:rPr>
                <w:rFonts w:eastAsia="Times New Roman"/>
                <w:lang w:eastAsia="it-IT"/>
              </w:rPr>
              <w:t xml:space="preserve"> </w:t>
            </w:r>
            <w:proofErr w:type="spellStart"/>
            <w:r w:rsidRPr="00467F83">
              <w:rPr>
                <w:rFonts w:eastAsia="Times New Roman"/>
                <w:lang w:eastAsia="it-IT"/>
              </w:rPr>
              <w:t>ppm</w:t>
            </w:r>
            <w:proofErr w:type="spellEnd"/>
            <w:r w:rsidRPr="00467F83">
              <w:rPr>
                <w:rFonts w:eastAsia="Times New Roman"/>
                <w:lang w:eastAsia="it-IT"/>
              </w:rPr>
              <w:t xml:space="preserve"> CO</w:t>
            </w:r>
            <w:r w:rsidRPr="00467F83">
              <w:rPr>
                <w:rFonts w:eastAsia="Times New Roman"/>
                <w:vertAlign w:val="subscript"/>
                <w:lang w:eastAsia="it-IT"/>
              </w:rPr>
              <w:t>2</w:t>
            </w:r>
            <w:r w:rsidRPr="00467F83">
              <w:rPr>
                <w:rFonts w:eastAsia="Times New Roman"/>
                <w:lang w:eastAsia="it-IT"/>
              </w:rPr>
              <w:t xml:space="preserve"> </w:t>
            </w:r>
          </w:p>
          <w:p w:rsidR="008B6F6A" w:rsidRPr="00467F83" w:rsidRDefault="008B6F6A" w:rsidP="002A6EB7">
            <w:pPr>
              <w:jc w:val="center"/>
              <w:rPr>
                <w:rFonts w:eastAsia="Times New Roman"/>
                <w:lang w:eastAsia="it-IT"/>
              </w:rPr>
            </w:pPr>
            <w:r w:rsidRPr="00467F83">
              <w:rPr>
                <w:rFonts w:eastAsia="Times New Roman"/>
                <w:lang w:eastAsia="it-IT"/>
              </w:rPr>
              <w:t>22-26°C</w:t>
            </w:r>
          </w:p>
        </w:tc>
        <w:tc>
          <w:tcPr>
            <w:tcW w:w="2152" w:type="dxa"/>
            <w:tcBorders>
              <w:top w:val="nil"/>
              <w:left w:val="nil"/>
              <w:bottom w:val="nil"/>
              <w:right w:val="nil"/>
            </w:tcBorders>
            <w:shd w:val="clear" w:color="auto" w:fill="auto"/>
            <w:vAlign w:val="center"/>
          </w:tcPr>
          <w:p w:rsidR="008B6F6A" w:rsidRDefault="008B6F6A" w:rsidP="002A6EB7">
            <w:pPr>
              <w:jc w:val="center"/>
              <w:rPr>
                <w:rFonts w:eastAsia="Times New Roman"/>
                <w:lang w:eastAsia="it-IT"/>
              </w:rPr>
            </w:pPr>
            <w:r>
              <w:rPr>
                <w:rFonts w:eastAsia="Times New Roman"/>
                <w:lang w:eastAsia="it-IT"/>
              </w:rPr>
              <w:t>4</w:t>
            </w:r>
            <w:r w:rsidRPr="00467F83">
              <w:rPr>
                <w:rFonts w:eastAsia="Times New Roman"/>
                <w:lang w:eastAsia="it-IT"/>
              </w:rPr>
              <w:t xml:space="preserve">                                            400</w:t>
            </w:r>
            <w:r>
              <w:rPr>
                <w:rFonts w:eastAsia="Times New Roman"/>
                <w:lang w:eastAsia="it-IT"/>
              </w:rPr>
              <w:t xml:space="preserve"> </w:t>
            </w:r>
            <w:proofErr w:type="spellStart"/>
            <w:r w:rsidRPr="00467F83">
              <w:rPr>
                <w:rFonts w:eastAsia="Times New Roman"/>
                <w:lang w:eastAsia="it-IT"/>
              </w:rPr>
              <w:t>ppm</w:t>
            </w:r>
            <w:proofErr w:type="spellEnd"/>
            <w:r w:rsidRPr="00467F83">
              <w:rPr>
                <w:rFonts w:eastAsia="Times New Roman"/>
                <w:lang w:eastAsia="it-IT"/>
              </w:rPr>
              <w:t xml:space="preserve"> CO</w:t>
            </w:r>
            <w:r w:rsidRPr="00467F83">
              <w:rPr>
                <w:rFonts w:eastAsia="Times New Roman"/>
                <w:vertAlign w:val="subscript"/>
                <w:lang w:eastAsia="it-IT"/>
              </w:rPr>
              <w:t>2</w:t>
            </w:r>
            <w:r w:rsidRPr="00467F83">
              <w:rPr>
                <w:rFonts w:eastAsia="Times New Roman"/>
                <w:lang w:eastAsia="it-IT"/>
              </w:rPr>
              <w:t xml:space="preserve"> </w:t>
            </w:r>
          </w:p>
          <w:p w:rsidR="008B6F6A" w:rsidRPr="00467F83" w:rsidRDefault="008B6F6A" w:rsidP="002A6EB7">
            <w:pPr>
              <w:jc w:val="center"/>
              <w:rPr>
                <w:rFonts w:eastAsia="Times New Roman"/>
                <w:lang w:eastAsia="it-IT"/>
              </w:rPr>
            </w:pPr>
            <w:r w:rsidRPr="00467F83">
              <w:rPr>
                <w:rFonts w:eastAsia="Times New Roman"/>
                <w:lang w:eastAsia="it-IT"/>
              </w:rPr>
              <w:t>18-22°C</w:t>
            </w:r>
          </w:p>
        </w:tc>
      </w:tr>
      <w:tr w:rsidR="008B6F6A" w:rsidRPr="00467F83" w:rsidTr="002A6EB7">
        <w:trPr>
          <w:trHeight w:val="330"/>
        </w:trPr>
        <w:tc>
          <w:tcPr>
            <w:tcW w:w="1744" w:type="dxa"/>
            <w:vMerge w:val="restart"/>
            <w:tcBorders>
              <w:top w:val="nil"/>
              <w:left w:val="nil"/>
              <w:bottom w:val="nil"/>
              <w:right w:val="nil"/>
            </w:tcBorders>
            <w:shd w:val="clear" w:color="auto" w:fill="auto"/>
            <w:noWrap/>
            <w:vAlign w:val="center"/>
          </w:tcPr>
          <w:p w:rsidR="008B6F6A" w:rsidRPr="00467F83" w:rsidRDefault="008B6F6A" w:rsidP="002A6EB7">
            <w:pPr>
              <w:jc w:val="center"/>
              <w:rPr>
                <w:rFonts w:eastAsia="Times New Roman"/>
                <w:lang w:eastAsia="it-IT"/>
              </w:rPr>
            </w:pPr>
            <w:r>
              <w:rPr>
                <w:lang w:val="en-GB"/>
              </w:rPr>
              <w:t xml:space="preserve">Infested </w:t>
            </w:r>
            <w:r w:rsidRPr="00467F83">
              <w:rPr>
                <w:rFonts w:eastAsia="Times New Roman"/>
                <w:lang w:eastAsia="it-IT"/>
              </w:rPr>
              <w:t>sample</w:t>
            </w:r>
            <w:r>
              <w:rPr>
                <w:rFonts w:eastAsia="Times New Roman"/>
                <w:lang w:eastAsia="it-IT"/>
              </w:rPr>
              <w:t>s</w:t>
            </w:r>
          </w:p>
        </w:tc>
        <w:tc>
          <w:tcPr>
            <w:tcW w:w="2276" w:type="dxa"/>
            <w:tcBorders>
              <w:top w:val="single" w:sz="4" w:space="0" w:color="auto"/>
              <w:left w:val="nil"/>
              <w:bottom w:val="nil"/>
              <w:right w:val="nil"/>
            </w:tcBorders>
            <w:shd w:val="clear" w:color="auto" w:fill="auto"/>
            <w:noWrap/>
            <w:vAlign w:val="bottom"/>
          </w:tcPr>
          <w:p w:rsidR="008B6F6A" w:rsidRPr="00467F83" w:rsidRDefault="008B6F6A" w:rsidP="002A6EB7">
            <w:pPr>
              <w:rPr>
                <w:rFonts w:eastAsia="Times New Roman"/>
                <w:lang w:eastAsia="it-IT"/>
              </w:rPr>
            </w:pPr>
            <w:r w:rsidRPr="00467F83">
              <w:rPr>
                <w:rFonts w:eastAsia="Times New Roman"/>
                <w:lang w:eastAsia="it-IT"/>
              </w:rPr>
              <w:t>Disease Index (0-100)</w:t>
            </w:r>
          </w:p>
        </w:tc>
        <w:tc>
          <w:tcPr>
            <w:tcW w:w="2080" w:type="dxa"/>
            <w:tcBorders>
              <w:top w:val="single" w:sz="4" w:space="0" w:color="auto"/>
              <w:left w:val="nil"/>
              <w:bottom w:val="nil"/>
              <w:right w:val="nil"/>
            </w:tcBorders>
            <w:shd w:val="clear" w:color="auto" w:fill="auto"/>
            <w:noWrap/>
            <w:vAlign w:val="bottom"/>
          </w:tcPr>
          <w:p w:rsidR="008B6F6A" w:rsidRPr="00467F83" w:rsidRDefault="008B6F6A" w:rsidP="002A6EB7">
            <w:pPr>
              <w:jc w:val="center"/>
              <w:rPr>
                <w:rFonts w:eastAsia="Times New Roman"/>
                <w:lang w:eastAsia="it-IT"/>
              </w:rPr>
            </w:pPr>
            <w:r>
              <w:rPr>
                <w:rFonts w:eastAsia="Times New Roman"/>
                <w:lang w:eastAsia="it-IT"/>
              </w:rPr>
              <w:t>58.3</w:t>
            </w:r>
            <w:r w:rsidRPr="00467F83">
              <w:rPr>
                <w:rFonts w:eastAsia="Times New Roman"/>
                <w:vertAlign w:val="superscript"/>
                <w:lang w:eastAsia="it-IT"/>
              </w:rPr>
              <w:t>c</w:t>
            </w:r>
          </w:p>
        </w:tc>
        <w:tc>
          <w:tcPr>
            <w:tcW w:w="2180" w:type="dxa"/>
            <w:tcBorders>
              <w:top w:val="single" w:sz="4" w:space="0" w:color="auto"/>
              <w:left w:val="nil"/>
              <w:bottom w:val="nil"/>
              <w:right w:val="nil"/>
            </w:tcBorders>
            <w:shd w:val="clear" w:color="auto" w:fill="auto"/>
            <w:noWrap/>
            <w:vAlign w:val="bottom"/>
          </w:tcPr>
          <w:p w:rsidR="008B6F6A" w:rsidRPr="00467F83" w:rsidRDefault="008B6F6A" w:rsidP="002A6EB7">
            <w:pPr>
              <w:jc w:val="center"/>
              <w:rPr>
                <w:rFonts w:eastAsia="Times New Roman"/>
                <w:lang w:eastAsia="it-IT"/>
              </w:rPr>
            </w:pPr>
            <w:r>
              <w:rPr>
                <w:rFonts w:eastAsia="Times New Roman"/>
                <w:lang w:eastAsia="it-IT"/>
              </w:rPr>
              <w:t>29.7</w:t>
            </w:r>
            <w:r w:rsidRPr="00467F83">
              <w:rPr>
                <w:rFonts w:eastAsia="Times New Roman"/>
                <w:vertAlign w:val="superscript"/>
                <w:lang w:eastAsia="it-IT"/>
              </w:rPr>
              <w:t>b</w:t>
            </w:r>
          </w:p>
        </w:tc>
        <w:tc>
          <w:tcPr>
            <w:tcW w:w="2238" w:type="dxa"/>
            <w:tcBorders>
              <w:top w:val="single" w:sz="4" w:space="0" w:color="auto"/>
              <w:left w:val="nil"/>
              <w:bottom w:val="nil"/>
              <w:right w:val="nil"/>
            </w:tcBorders>
            <w:shd w:val="clear" w:color="auto" w:fill="auto"/>
            <w:noWrap/>
            <w:vAlign w:val="bottom"/>
          </w:tcPr>
          <w:p w:rsidR="008B6F6A" w:rsidRPr="00467F83" w:rsidRDefault="008B6F6A" w:rsidP="002A6EB7">
            <w:pPr>
              <w:jc w:val="center"/>
              <w:rPr>
                <w:rFonts w:eastAsia="Times New Roman"/>
                <w:lang w:eastAsia="it-IT"/>
              </w:rPr>
            </w:pPr>
            <w:r w:rsidRPr="0024191E">
              <w:rPr>
                <w:rFonts w:eastAsia="Times New Roman"/>
                <w:lang w:eastAsia="it-IT"/>
              </w:rPr>
              <w:t>54.7</w:t>
            </w:r>
            <w:r w:rsidRPr="00467F83">
              <w:rPr>
                <w:rFonts w:eastAsia="Times New Roman"/>
                <w:vertAlign w:val="superscript"/>
                <w:lang w:eastAsia="it-IT"/>
              </w:rPr>
              <w:t>c</w:t>
            </w:r>
          </w:p>
        </w:tc>
        <w:tc>
          <w:tcPr>
            <w:tcW w:w="2152" w:type="dxa"/>
            <w:tcBorders>
              <w:top w:val="single" w:sz="4" w:space="0" w:color="auto"/>
              <w:left w:val="nil"/>
              <w:bottom w:val="nil"/>
              <w:right w:val="nil"/>
            </w:tcBorders>
            <w:shd w:val="clear" w:color="auto" w:fill="auto"/>
            <w:noWrap/>
            <w:vAlign w:val="bottom"/>
          </w:tcPr>
          <w:p w:rsidR="008B6F6A" w:rsidRPr="00467F83" w:rsidRDefault="008B6F6A" w:rsidP="002A6EB7">
            <w:pPr>
              <w:jc w:val="center"/>
              <w:rPr>
                <w:rFonts w:eastAsia="Times New Roman"/>
                <w:lang w:eastAsia="it-IT"/>
              </w:rPr>
            </w:pPr>
            <w:r>
              <w:rPr>
                <w:rFonts w:eastAsia="Times New Roman"/>
                <w:lang w:eastAsia="it-IT"/>
              </w:rPr>
              <w:t>31.3</w:t>
            </w:r>
            <w:r w:rsidRPr="00467F83">
              <w:rPr>
                <w:rFonts w:eastAsia="Times New Roman"/>
                <w:vertAlign w:val="superscript"/>
                <w:lang w:eastAsia="it-IT"/>
              </w:rPr>
              <w:t>b</w:t>
            </w:r>
          </w:p>
        </w:tc>
      </w:tr>
      <w:tr w:rsidR="008B6F6A" w:rsidRPr="00467F83" w:rsidTr="002A6EB7">
        <w:trPr>
          <w:trHeight w:val="330"/>
        </w:trPr>
        <w:tc>
          <w:tcPr>
            <w:tcW w:w="1744" w:type="dxa"/>
            <w:vMerge/>
            <w:tcBorders>
              <w:top w:val="nil"/>
              <w:left w:val="nil"/>
              <w:bottom w:val="nil"/>
              <w:right w:val="nil"/>
            </w:tcBorders>
            <w:vAlign w:val="center"/>
          </w:tcPr>
          <w:p w:rsidR="008B6F6A" w:rsidRPr="00467F83" w:rsidRDefault="008B6F6A" w:rsidP="002A6EB7">
            <w:pPr>
              <w:rPr>
                <w:rFonts w:eastAsia="Times New Roman"/>
                <w:lang w:eastAsia="it-IT"/>
              </w:rPr>
            </w:pPr>
          </w:p>
        </w:tc>
        <w:tc>
          <w:tcPr>
            <w:tcW w:w="2276" w:type="dxa"/>
            <w:tcBorders>
              <w:top w:val="nil"/>
              <w:left w:val="nil"/>
              <w:bottom w:val="single" w:sz="4" w:space="0" w:color="auto"/>
              <w:right w:val="nil"/>
            </w:tcBorders>
            <w:shd w:val="clear" w:color="auto" w:fill="auto"/>
            <w:noWrap/>
            <w:vAlign w:val="bottom"/>
          </w:tcPr>
          <w:p w:rsidR="008B6F6A" w:rsidRPr="00467F83" w:rsidRDefault="008B6F6A" w:rsidP="002A6EB7">
            <w:pPr>
              <w:rPr>
                <w:rFonts w:eastAsia="Times New Roman"/>
                <w:lang w:eastAsia="it-IT"/>
              </w:rPr>
            </w:pPr>
            <w:r w:rsidRPr="00467F83">
              <w:rPr>
                <w:rFonts w:eastAsia="Times New Roman"/>
                <w:lang w:eastAsia="it-IT"/>
              </w:rPr>
              <w:t>FW (g plants</w:t>
            </w:r>
            <w:r w:rsidRPr="00467F83">
              <w:rPr>
                <w:rFonts w:eastAsia="Times New Roman"/>
                <w:vertAlign w:val="superscript"/>
                <w:lang w:eastAsia="it-IT"/>
              </w:rPr>
              <w:t>-1</w:t>
            </w:r>
            <w:r w:rsidRPr="00467F83">
              <w:rPr>
                <w:rFonts w:eastAsia="Times New Roman"/>
                <w:lang w:eastAsia="it-IT"/>
              </w:rPr>
              <w:t>)</w:t>
            </w:r>
          </w:p>
        </w:tc>
        <w:tc>
          <w:tcPr>
            <w:tcW w:w="2080" w:type="dxa"/>
            <w:tcBorders>
              <w:top w:val="nil"/>
              <w:left w:val="nil"/>
              <w:bottom w:val="single" w:sz="4" w:space="0" w:color="auto"/>
              <w:right w:val="nil"/>
            </w:tcBorders>
            <w:shd w:val="clear" w:color="auto" w:fill="auto"/>
            <w:noWrap/>
            <w:vAlign w:val="bottom"/>
          </w:tcPr>
          <w:p w:rsidR="008B6F6A" w:rsidRPr="0024191E" w:rsidRDefault="008B6F6A" w:rsidP="002A6EB7">
            <w:pPr>
              <w:jc w:val="center"/>
              <w:rPr>
                <w:rFonts w:eastAsia="Times New Roman"/>
                <w:vertAlign w:val="superscript"/>
                <w:lang w:eastAsia="it-IT"/>
              </w:rPr>
            </w:pPr>
            <w:r>
              <w:rPr>
                <w:rFonts w:eastAsia="Times New Roman"/>
                <w:lang w:eastAsia="it-IT"/>
              </w:rPr>
              <w:t>4.2</w:t>
            </w:r>
            <w:r>
              <w:rPr>
                <w:rFonts w:eastAsia="Times New Roman"/>
                <w:vertAlign w:val="superscript"/>
                <w:lang w:eastAsia="it-IT"/>
              </w:rPr>
              <w:t>a</w:t>
            </w:r>
          </w:p>
        </w:tc>
        <w:tc>
          <w:tcPr>
            <w:tcW w:w="2180" w:type="dxa"/>
            <w:tcBorders>
              <w:top w:val="nil"/>
              <w:left w:val="nil"/>
              <w:bottom w:val="single" w:sz="4" w:space="0" w:color="auto"/>
              <w:right w:val="nil"/>
            </w:tcBorders>
            <w:shd w:val="clear" w:color="auto" w:fill="auto"/>
            <w:noWrap/>
            <w:vAlign w:val="bottom"/>
          </w:tcPr>
          <w:p w:rsidR="008B6F6A" w:rsidRPr="0024191E" w:rsidRDefault="008B6F6A" w:rsidP="002A6EB7">
            <w:pPr>
              <w:jc w:val="center"/>
              <w:rPr>
                <w:rFonts w:eastAsia="Times New Roman"/>
                <w:vertAlign w:val="superscript"/>
                <w:lang w:eastAsia="it-IT"/>
              </w:rPr>
            </w:pPr>
            <w:r>
              <w:rPr>
                <w:rFonts w:eastAsia="Times New Roman"/>
                <w:lang w:eastAsia="it-IT"/>
              </w:rPr>
              <w:t>5.8</w:t>
            </w:r>
            <w:r>
              <w:rPr>
                <w:rFonts w:eastAsia="Times New Roman"/>
                <w:vertAlign w:val="superscript"/>
                <w:lang w:eastAsia="it-IT"/>
              </w:rPr>
              <w:t>a</w:t>
            </w:r>
          </w:p>
        </w:tc>
        <w:tc>
          <w:tcPr>
            <w:tcW w:w="2238" w:type="dxa"/>
            <w:tcBorders>
              <w:top w:val="nil"/>
              <w:left w:val="nil"/>
              <w:bottom w:val="single" w:sz="4" w:space="0" w:color="auto"/>
              <w:right w:val="nil"/>
            </w:tcBorders>
            <w:shd w:val="clear" w:color="auto" w:fill="auto"/>
            <w:noWrap/>
            <w:vAlign w:val="bottom"/>
          </w:tcPr>
          <w:p w:rsidR="008B6F6A" w:rsidRPr="0024191E" w:rsidRDefault="008B6F6A" w:rsidP="002A6EB7">
            <w:pPr>
              <w:jc w:val="center"/>
              <w:rPr>
                <w:rFonts w:eastAsia="Times New Roman"/>
                <w:vertAlign w:val="superscript"/>
                <w:lang w:eastAsia="it-IT"/>
              </w:rPr>
            </w:pPr>
            <w:r>
              <w:rPr>
                <w:rFonts w:eastAsia="Times New Roman"/>
                <w:lang w:eastAsia="it-IT"/>
              </w:rPr>
              <w:t>4.1</w:t>
            </w:r>
            <w:r>
              <w:rPr>
                <w:rFonts w:eastAsia="Times New Roman"/>
                <w:vertAlign w:val="superscript"/>
                <w:lang w:eastAsia="it-IT"/>
              </w:rPr>
              <w:t>a</w:t>
            </w:r>
          </w:p>
        </w:tc>
        <w:tc>
          <w:tcPr>
            <w:tcW w:w="2152" w:type="dxa"/>
            <w:tcBorders>
              <w:top w:val="nil"/>
              <w:left w:val="nil"/>
              <w:bottom w:val="single" w:sz="4" w:space="0" w:color="auto"/>
              <w:right w:val="nil"/>
            </w:tcBorders>
            <w:shd w:val="clear" w:color="auto" w:fill="auto"/>
            <w:noWrap/>
            <w:vAlign w:val="bottom"/>
          </w:tcPr>
          <w:p w:rsidR="008B6F6A" w:rsidRPr="0024191E" w:rsidRDefault="008B6F6A" w:rsidP="002A6EB7">
            <w:pPr>
              <w:jc w:val="center"/>
              <w:rPr>
                <w:rFonts w:eastAsia="Times New Roman"/>
                <w:vertAlign w:val="superscript"/>
                <w:lang w:eastAsia="it-IT"/>
              </w:rPr>
            </w:pPr>
            <w:r>
              <w:rPr>
                <w:rFonts w:eastAsia="Times New Roman"/>
                <w:lang w:eastAsia="it-IT"/>
              </w:rPr>
              <w:t>5.6</w:t>
            </w:r>
            <w:r>
              <w:rPr>
                <w:rFonts w:eastAsia="Times New Roman"/>
                <w:vertAlign w:val="superscript"/>
                <w:lang w:eastAsia="it-IT"/>
              </w:rPr>
              <w:t>a</w:t>
            </w:r>
          </w:p>
        </w:tc>
      </w:tr>
      <w:tr w:rsidR="008B6F6A" w:rsidRPr="00467F83" w:rsidTr="002A6EB7">
        <w:trPr>
          <w:trHeight w:val="330"/>
        </w:trPr>
        <w:tc>
          <w:tcPr>
            <w:tcW w:w="1744" w:type="dxa"/>
            <w:vMerge w:val="restart"/>
            <w:tcBorders>
              <w:top w:val="nil"/>
              <w:left w:val="nil"/>
              <w:bottom w:val="nil"/>
              <w:right w:val="nil"/>
            </w:tcBorders>
            <w:shd w:val="clear" w:color="auto" w:fill="auto"/>
            <w:noWrap/>
            <w:vAlign w:val="center"/>
          </w:tcPr>
          <w:p w:rsidR="008B6F6A" w:rsidRPr="00467F83" w:rsidRDefault="008B6F6A" w:rsidP="002A6EB7">
            <w:pPr>
              <w:jc w:val="center"/>
              <w:rPr>
                <w:rFonts w:eastAsia="Times New Roman"/>
                <w:lang w:eastAsia="it-IT"/>
              </w:rPr>
            </w:pPr>
            <w:r w:rsidRPr="00467F83">
              <w:rPr>
                <w:rFonts w:eastAsia="Times New Roman"/>
                <w:lang w:eastAsia="it-IT"/>
              </w:rPr>
              <w:t>Control</w:t>
            </w:r>
          </w:p>
        </w:tc>
        <w:tc>
          <w:tcPr>
            <w:tcW w:w="2276" w:type="dxa"/>
            <w:tcBorders>
              <w:top w:val="nil"/>
              <w:left w:val="nil"/>
              <w:bottom w:val="nil"/>
              <w:right w:val="nil"/>
            </w:tcBorders>
            <w:shd w:val="clear" w:color="auto" w:fill="auto"/>
            <w:noWrap/>
            <w:vAlign w:val="bottom"/>
          </w:tcPr>
          <w:p w:rsidR="008B6F6A" w:rsidRPr="00467F83" w:rsidRDefault="008B6F6A" w:rsidP="002A6EB7">
            <w:pPr>
              <w:rPr>
                <w:rFonts w:eastAsia="Times New Roman"/>
                <w:lang w:eastAsia="it-IT"/>
              </w:rPr>
            </w:pPr>
            <w:r w:rsidRPr="00467F83">
              <w:rPr>
                <w:rFonts w:eastAsia="Times New Roman"/>
                <w:lang w:eastAsia="it-IT"/>
              </w:rPr>
              <w:t>Disease Index (0-100)</w:t>
            </w:r>
          </w:p>
        </w:tc>
        <w:tc>
          <w:tcPr>
            <w:tcW w:w="2080" w:type="dxa"/>
            <w:tcBorders>
              <w:top w:val="nil"/>
              <w:left w:val="nil"/>
              <w:bottom w:val="nil"/>
              <w:right w:val="nil"/>
            </w:tcBorders>
            <w:shd w:val="clear" w:color="auto" w:fill="auto"/>
            <w:noWrap/>
            <w:vAlign w:val="bottom"/>
          </w:tcPr>
          <w:p w:rsidR="008B6F6A" w:rsidRPr="00467F83" w:rsidRDefault="008B6F6A" w:rsidP="002A6EB7">
            <w:pPr>
              <w:jc w:val="center"/>
              <w:rPr>
                <w:rFonts w:eastAsia="Times New Roman"/>
                <w:lang w:eastAsia="it-IT"/>
              </w:rPr>
            </w:pPr>
            <w:r w:rsidRPr="00467F83">
              <w:rPr>
                <w:rFonts w:eastAsia="Times New Roman"/>
                <w:lang w:eastAsia="it-IT"/>
              </w:rPr>
              <w:t>0.00</w:t>
            </w:r>
            <w:r w:rsidRPr="00467F83">
              <w:rPr>
                <w:rFonts w:eastAsia="Times New Roman"/>
                <w:vertAlign w:val="superscript"/>
                <w:lang w:eastAsia="it-IT"/>
              </w:rPr>
              <w:t>a</w:t>
            </w:r>
          </w:p>
        </w:tc>
        <w:tc>
          <w:tcPr>
            <w:tcW w:w="2180" w:type="dxa"/>
            <w:tcBorders>
              <w:top w:val="nil"/>
              <w:left w:val="nil"/>
              <w:bottom w:val="nil"/>
              <w:right w:val="nil"/>
            </w:tcBorders>
            <w:shd w:val="clear" w:color="auto" w:fill="auto"/>
            <w:noWrap/>
            <w:vAlign w:val="bottom"/>
          </w:tcPr>
          <w:p w:rsidR="008B6F6A" w:rsidRPr="00467F83" w:rsidRDefault="008B6F6A" w:rsidP="002A6EB7">
            <w:pPr>
              <w:jc w:val="center"/>
              <w:rPr>
                <w:rFonts w:eastAsia="Times New Roman"/>
                <w:lang w:eastAsia="it-IT"/>
              </w:rPr>
            </w:pPr>
            <w:r w:rsidRPr="00467F83">
              <w:rPr>
                <w:rFonts w:eastAsia="Times New Roman"/>
                <w:lang w:eastAsia="it-IT"/>
              </w:rPr>
              <w:t>0.00</w:t>
            </w:r>
            <w:r w:rsidRPr="00467F83">
              <w:rPr>
                <w:rFonts w:eastAsia="Times New Roman"/>
                <w:vertAlign w:val="superscript"/>
                <w:lang w:eastAsia="it-IT"/>
              </w:rPr>
              <w:t>a</w:t>
            </w:r>
          </w:p>
        </w:tc>
        <w:tc>
          <w:tcPr>
            <w:tcW w:w="2238" w:type="dxa"/>
            <w:tcBorders>
              <w:top w:val="nil"/>
              <w:left w:val="nil"/>
              <w:bottom w:val="nil"/>
              <w:right w:val="nil"/>
            </w:tcBorders>
            <w:shd w:val="clear" w:color="auto" w:fill="auto"/>
            <w:noWrap/>
            <w:vAlign w:val="bottom"/>
          </w:tcPr>
          <w:p w:rsidR="008B6F6A" w:rsidRPr="00467F83" w:rsidRDefault="008B6F6A" w:rsidP="002A6EB7">
            <w:pPr>
              <w:jc w:val="center"/>
              <w:rPr>
                <w:rFonts w:eastAsia="Times New Roman"/>
                <w:lang w:eastAsia="it-IT"/>
              </w:rPr>
            </w:pPr>
            <w:r w:rsidRPr="00467F83">
              <w:rPr>
                <w:rFonts w:eastAsia="Times New Roman"/>
                <w:lang w:eastAsia="it-IT"/>
              </w:rPr>
              <w:t>0.00</w:t>
            </w:r>
            <w:r w:rsidRPr="00467F83">
              <w:rPr>
                <w:rFonts w:eastAsia="Times New Roman"/>
                <w:vertAlign w:val="superscript"/>
                <w:lang w:eastAsia="it-IT"/>
              </w:rPr>
              <w:t>a</w:t>
            </w:r>
          </w:p>
        </w:tc>
        <w:tc>
          <w:tcPr>
            <w:tcW w:w="2152" w:type="dxa"/>
            <w:tcBorders>
              <w:top w:val="nil"/>
              <w:left w:val="nil"/>
              <w:bottom w:val="nil"/>
              <w:right w:val="nil"/>
            </w:tcBorders>
            <w:shd w:val="clear" w:color="auto" w:fill="auto"/>
            <w:noWrap/>
            <w:vAlign w:val="bottom"/>
          </w:tcPr>
          <w:p w:rsidR="008B6F6A" w:rsidRPr="00467F83" w:rsidRDefault="008B6F6A" w:rsidP="002A6EB7">
            <w:pPr>
              <w:jc w:val="center"/>
              <w:rPr>
                <w:rFonts w:eastAsia="Times New Roman"/>
                <w:lang w:eastAsia="it-IT"/>
              </w:rPr>
            </w:pPr>
            <w:r w:rsidRPr="00467F83">
              <w:rPr>
                <w:rFonts w:eastAsia="Times New Roman"/>
                <w:lang w:eastAsia="it-IT"/>
              </w:rPr>
              <w:t>0.00</w:t>
            </w:r>
            <w:r w:rsidRPr="00467F83">
              <w:rPr>
                <w:rFonts w:eastAsia="Times New Roman"/>
                <w:vertAlign w:val="superscript"/>
                <w:lang w:eastAsia="it-IT"/>
              </w:rPr>
              <w:t>a</w:t>
            </w:r>
          </w:p>
        </w:tc>
      </w:tr>
      <w:tr w:rsidR="008B6F6A" w:rsidRPr="00467F83" w:rsidTr="002A6EB7">
        <w:trPr>
          <w:trHeight w:val="330"/>
        </w:trPr>
        <w:tc>
          <w:tcPr>
            <w:tcW w:w="1744" w:type="dxa"/>
            <w:vMerge/>
            <w:tcBorders>
              <w:top w:val="nil"/>
              <w:left w:val="nil"/>
              <w:bottom w:val="nil"/>
              <w:right w:val="nil"/>
            </w:tcBorders>
            <w:vAlign w:val="center"/>
          </w:tcPr>
          <w:p w:rsidR="008B6F6A" w:rsidRPr="00467F83" w:rsidRDefault="008B6F6A" w:rsidP="002A6EB7">
            <w:pPr>
              <w:rPr>
                <w:rFonts w:eastAsia="Times New Roman"/>
                <w:lang w:eastAsia="it-IT"/>
              </w:rPr>
            </w:pPr>
          </w:p>
        </w:tc>
        <w:tc>
          <w:tcPr>
            <w:tcW w:w="2276" w:type="dxa"/>
            <w:tcBorders>
              <w:top w:val="nil"/>
              <w:left w:val="nil"/>
              <w:bottom w:val="single" w:sz="4" w:space="0" w:color="auto"/>
              <w:right w:val="nil"/>
            </w:tcBorders>
            <w:shd w:val="clear" w:color="auto" w:fill="auto"/>
            <w:noWrap/>
            <w:vAlign w:val="bottom"/>
          </w:tcPr>
          <w:p w:rsidR="008B6F6A" w:rsidRPr="00467F83" w:rsidRDefault="008B6F6A" w:rsidP="002A6EB7">
            <w:pPr>
              <w:rPr>
                <w:rFonts w:eastAsia="Times New Roman"/>
                <w:lang w:eastAsia="it-IT"/>
              </w:rPr>
            </w:pPr>
            <w:r w:rsidRPr="00467F83">
              <w:rPr>
                <w:rFonts w:eastAsia="Times New Roman"/>
                <w:lang w:eastAsia="it-IT"/>
              </w:rPr>
              <w:t>FW (g plants</w:t>
            </w:r>
            <w:r w:rsidRPr="00467F83">
              <w:rPr>
                <w:rFonts w:eastAsia="Times New Roman"/>
                <w:vertAlign w:val="superscript"/>
                <w:lang w:eastAsia="it-IT"/>
              </w:rPr>
              <w:t>-1</w:t>
            </w:r>
            <w:r w:rsidRPr="00467F83">
              <w:rPr>
                <w:rFonts w:eastAsia="Times New Roman"/>
                <w:lang w:eastAsia="it-IT"/>
              </w:rPr>
              <w:t>)</w:t>
            </w:r>
          </w:p>
        </w:tc>
        <w:tc>
          <w:tcPr>
            <w:tcW w:w="2080" w:type="dxa"/>
            <w:tcBorders>
              <w:top w:val="nil"/>
              <w:left w:val="nil"/>
              <w:bottom w:val="single" w:sz="4" w:space="0" w:color="auto"/>
              <w:right w:val="nil"/>
            </w:tcBorders>
            <w:shd w:val="clear" w:color="auto" w:fill="auto"/>
            <w:noWrap/>
            <w:vAlign w:val="bottom"/>
          </w:tcPr>
          <w:p w:rsidR="008B6F6A" w:rsidRPr="0024191E" w:rsidRDefault="008B6F6A" w:rsidP="002A6EB7">
            <w:pPr>
              <w:jc w:val="center"/>
              <w:rPr>
                <w:rFonts w:eastAsia="Times New Roman"/>
                <w:vertAlign w:val="superscript"/>
                <w:lang w:eastAsia="it-IT"/>
              </w:rPr>
            </w:pPr>
            <w:r>
              <w:rPr>
                <w:rFonts w:eastAsia="Times New Roman"/>
                <w:lang w:eastAsia="it-IT"/>
              </w:rPr>
              <w:t>15.4</w:t>
            </w:r>
            <w:r>
              <w:rPr>
                <w:rFonts w:eastAsia="Times New Roman"/>
                <w:vertAlign w:val="superscript"/>
                <w:lang w:eastAsia="it-IT"/>
              </w:rPr>
              <w:t>b</w:t>
            </w:r>
          </w:p>
        </w:tc>
        <w:tc>
          <w:tcPr>
            <w:tcW w:w="2180" w:type="dxa"/>
            <w:tcBorders>
              <w:top w:val="nil"/>
              <w:left w:val="nil"/>
              <w:bottom w:val="single" w:sz="4" w:space="0" w:color="auto"/>
              <w:right w:val="nil"/>
            </w:tcBorders>
            <w:shd w:val="clear" w:color="auto" w:fill="auto"/>
            <w:noWrap/>
            <w:vAlign w:val="bottom"/>
          </w:tcPr>
          <w:p w:rsidR="008B6F6A" w:rsidRPr="0024191E" w:rsidRDefault="008B6F6A" w:rsidP="002A6EB7">
            <w:pPr>
              <w:jc w:val="center"/>
              <w:rPr>
                <w:rFonts w:eastAsia="Times New Roman"/>
                <w:vertAlign w:val="superscript"/>
                <w:lang w:eastAsia="it-IT"/>
              </w:rPr>
            </w:pPr>
            <w:r>
              <w:rPr>
                <w:rFonts w:eastAsia="Times New Roman"/>
                <w:lang w:eastAsia="it-IT"/>
              </w:rPr>
              <w:t>15.9</w:t>
            </w:r>
            <w:r>
              <w:rPr>
                <w:rFonts w:eastAsia="Times New Roman"/>
                <w:vertAlign w:val="superscript"/>
                <w:lang w:eastAsia="it-IT"/>
              </w:rPr>
              <w:t>b</w:t>
            </w:r>
          </w:p>
        </w:tc>
        <w:tc>
          <w:tcPr>
            <w:tcW w:w="2238" w:type="dxa"/>
            <w:tcBorders>
              <w:top w:val="nil"/>
              <w:left w:val="nil"/>
              <w:bottom w:val="single" w:sz="4" w:space="0" w:color="auto"/>
              <w:right w:val="nil"/>
            </w:tcBorders>
            <w:shd w:val="clear" w:color="auto" w:fill="auto"/>
            <w:noWrap/>
            <w:vAlign w:val="bottom"/>
          </w:tcPr>
          <w:p w:rsidR="008B6F6A" w:rsidRPr="0024191E" w:rsidRDefault="008B6F6A" w:rsidP="002A6EB7">
            <w:pPr>
              <w:jc w:val="center"/>
              <w:rPr>
                <w:rFonts w:eastAsia="Times New Roman"/>
                <w:vertAlign w:val="superscript"/>
                <w:lang w:eastAsia="it-IT"/>
              </w:rPr>
            </w:pPr>
            <w:r>
              <w:rPr>
                <w:rFonts w:eastAsia="Times New Roman"/>
                <w:lang w:eastAsia="it-IT"/>
              </w:rPr>
              <w:t>16.2</w:t>
            </w:r>
            <w:r>
              <w:rPr>
                <w:rFonts w:eastAsia="Times New Roman"/>
                <w:vertAlign w:val="superscript"/>
                <w:lang w:eastAsia="it-IT"/>
              </w:rPr>
              <w:t>b</w:t>
            </w:r>
          </w:p>
        </w:tc>
        <w:tc>
          <w:tcPr>
            <w:tcW w:w="2152" w:type="dxa"/>
            <w:tcBorders>
              <w:top w:val="nil"/>
              <w:left w:val="nil"/>
              <w:bottom w:val="single" w:sz="4" w:space="0" w:color="auto"/>
              <w:right w:val="nil"/>
            </w:tcBorders>
            <w:shd w:val="clear" w:color="auto" w:fill="auto"/>
            <w:noWrap/>
            <w:vAlign w:val="bottom"/>
          </w:tcPr>
          <w:p w:rsidR="008B6F6A" w:rsidRPr="0024191E" w:rsidRDefault="008B6F6A" w:rsidP="002A6EB7">
            <w:pPr>
              <w:jc w:val="center"/>
              <w:rPr>
                <w:rFonts w:eastAsia="Times New Roman"/>
                <w:vertAlign w:val="superscript"/>
                <w:lang w:eastAsia="it-IT"/>
              </w:rPr>
            </w:pPr>
            <w:r>
              <w:rPr>
                <w:rFonts w:eastAsia="Times New Roman"/>
                <w:lang w:eastAsia="it-IT"/>
              </w:rPr>
              <w:t>15.5</w:t>
            </w:r>
            <w:r>
              <w:rPr>
                <w:rFonts w:eastAsia="Times New Roman"/>
                <w:vertAlign w:val="superscript"/>
                <w:lang w:eastAsia="it-IT"/>
              </w:rPr>
              <w:t>b</w:t>
            </w:r>
          </w:p>
        </w:tc>
      </w:tr>
    </w:tbl>
    <w:p w:rsidR="008B6F6A" w:rsidRDefault="008B6F6A" w:rsidP="008B6F6A">
      <w:pPr>
        <w:rPr>
          <w:b/>
          <w:lang w:val="en-GB"/>
        </w:rPr>
      </w:pPr>
      <w:r>
        <w:rPr>
          <w:b/>
          <w:lang w:val="en-GB"/>
        </w:rPr>
        <w:t>Table 1</w:t>
      </w:r>
    </w:p>
    <w:p w:rsidR="008B6F6A" w:rsidRPr="00EC3CFB" w:rsidRDefault="008B6F6A" w:rsidP="008B6F6A">
      <w:pPr>
        <w:rPr>
          <w:b/>
          <w:lang w:val="en-GB"/>
        </w:rPr>
      </w:pPr>
      <w:r>
        <w:rPr>
          <w:lang w:val="en-GB"/>
        </w:rPr>
        <w:t xml:space="preserve">Disease index (0-100) and </w:t>
      </w:r>
      <w:r w:rsidRPr="004B158B">
        <w:rPr>
          <w:bCs/>
          <w:lang w:val="en-GB"/>
        </w:rPr>
        <w:t>t</w:t>
      </w:r>
      <w:r w:rsidRPr="004B158B">
        <w:rPr>
          <w:lang w:val="en-GB"/>
        </w:rPr>
        <w:t>otal plant fresh weight</w:t>
      </w:r>
      <w:r w:rsidRPr="00563F4D">
        <w:rPr>
          <w:lang w:val="en-GB"/>
        </w:rPr>
        <w:t xml:space="preserve"> </w:t>
      </w:r>
      <w:r>
        <w:rPr>
          <w:lang w:val="en-GB"/>
        </w:rPr>
        <w:t>of plants at the end of the replicates (FW)</w:t>
      </w:r>
    </w:p>
    <w:p w:rsidR="008B6F6A" w:rsidRPr="00467F83" w:rsidRDefault="008B6F6A" w:rsidP="008B6F6A">
      <w:pPr>
        <w:rPr>
          <w:lang w:val="en-GB"/>
        </w:rPr>
      </w:pPr>
    </w:p>
    <w:p w:rsidR="008B6F6A" w:rsidRDefault="008B6F6A" w:rsidP="008B6F6A">
      <w:pPr>
        <w:rPr>
          <w:lang w:val="en-GB"/>
        </w:rPr>
      </w:pPr>
    </w:p>
    <w:p w:rsidR="008B6F6A" w:rsidRPr="00614F9B" w:rsidRDefault="008B6F6A" w:rsidP="008B6F6A">
      <w:pPr>
        <w:rPr>
          <w:lang w:val="en-GB"/>
        </w:rPr>
      </w:pPr>
    </w:p>
    <w:p w:rsidR="008B6F6A" w:rsidRPr="00614F9B" w:rsidRDefault="008B6F6A" w:rsidP="008B6F6A">
      <w:pPr>
        <w:rPr>
          <w:lang w:val="en-GB"/>
        </w:rPr>
      </w:pPr>
    </w:p>
    <w:p w:rsidR="008B6F6A" w:rsidRPr="00614F9B" w:rsidRDefault="008B6F6A" w:rsidP="008B6F6A">
      <w:pPr>
        <w:rPr>
          <w:lang w:val="en-GB"/>
        </w:rPr>
      </w:pPr>
    </w:p>
    <w:p w:rsidR="008B6F6A" w:rsidRPr="00614F9B" w:rsidRDefault="008B6F6A" w:rsidP="008B6F6A">
      <w:pPr>
        <w:rPr>
          <w:lang w:val="en-GB"/>
        </w:rPr>
      </w:pPr>
    </w:p>
    <w:p w:rsidR="008B6F6A" w:rsidRPr="00614F9B" w:rsidRDefault="008B6F6A" w:rsidP="008B6F6A">
      <w:pPr>
        <w:rPr>
          <w:lang w:val="en-GB"/>
        </w:rPr>
      </w:pPr>
    </w:p>
    <w:p w:rsidR="008B6F6A" w:rsidRPr="00614F9B" w:rsidRDefault="008B6F6A" w:rsidP="008B6F6A">
      <w:pPr>
        <w:rPr>
          <w:lang w:val="en-GB"/>
        </w:rPr>
      </w:pPr>
    </w:p>
    <w:p w:rsidR="008B6F6A" w:rsidRPr="00614F9B" w:rsidRDefault="008B6F6A" w:rsidP="008B6F6A">
      <w:pPr>
        <w:rPr>
          <w:lang w:val="en-GB"/>
        </w:rPr>
      </w:pPr>
    </w:p>
    <w:p w:rsidR="008B6F6A" w:rsidRPr="00614F9B" w:rsidRDefault="008B6F6A" w:rsidP="008B6F6A">
      <w:pPr>
        <w:rPr>
          <w:lang w:val="en-GB"/>
        </w:rPr>
      </w:pPr>
    </w:p>
    <w:p w:rsidR="008B6F6A" w:rsidRPr="00614F9B" w:rsidRDefault="008B6F6A" w:rsidP="008B6F6A">
      <w:pPr>
        <w:rPr>
          <w:lang w:val="en-GB"/>
        </w:rPr>
      </w:pPr>
    </w:p>
    <w:p w:rsidR="008B6F6A" w:rsidRPr="00614F9B" w:rsidRDefault="008B6F6A" w:rsidP="008B6F6A">
      <w:pPr>
        <w:rPr>
          <w:lang w:val="en-GB"/>
        </w:rPr>
      </w:pPr>
    </w:p>
    <w:p w:rsidR="008B6F6A" w:rsidRPr="00614F9B" w:rsidRDefault="008B6F6A" w:rsidP="008B6F6A">
      <w:pPr>
        <w:rPr>
          <w:lang w:val="en-GB"/>
        </w:rPr>
      </w:pPr>
    </w:p>
    <w:p w:rsidR="008B6F6A" w:rsidRDefault="008B6F6A" w:rsidP="008B6F6A">
      <w:pPr>
        <w:rPr>
          <w:lang w:val="en-GB"/>
        </w:rPr>
      </w:pPr>
    </w:p>
    <w:p w:rsidR="008B6F6A" w:rsidRPr="00467F83" w:rsidRDefault="008B6F6A" w:rsidP="008B6F6A">
      <w:pPr>
        <w:rPr>
          <w:lang w:val="en-GB"/>
        </w:rPr>
      </w:pPr>
    </w:p>
    <w:p w:rsidR="008B6F6A" w:rsidRPr="00965D47" w:rsidRDefault="008B6F6A" w:rsidP="008B6F6A">
      <w:pPr>
        <w:ind w:left="708"/>
        <w:rPr>
          <w:sz w:val="20"/>
          <w:szCs w:val="20"/>
          <w:lang w:val="en-GB"/>
        </w:rPr>
      </w:pPr>
      <w:r>
        <w:rPr>
          <w:sz w:val="20"/>
          <w:szCs w:val="20"/>
          <w:vertAlign w:val="superscript"/>
          <w:lang w:val="en-GB"/>
        </w:rPr>
        <w:t>*</w:t>
      </w:r>
      <w:r w:rsidRPr="00965D47">
        <w:rPr>
          <w:sz w:val="20"/>
          <w:szCs w:val="20"/>
          <w:lang w:val="en-GB"/>
        </w:rPr>
        <w:t xml:space="preserve"> </w:t>
      </w:r>
      <w:r w:rsidRPr="009C5A1B">
        <w:rPr>
          <w:sz w:val="20"/>
          <w:szCs w:val="20"/>
          <w:lang w:val="en-GB"/>
        </w:rPr>
        <w:t xml:space="preserve">The </w:t>
      </w:r>
      <w:r w:rsidRPr="00920D9D">
        <w:rPr>
          <w:sz w:val="20"/>
          <w:szCs w:val="20"/>
          <w:lang w:val="en-GB"/>
        </w:rPr>
        <w:t xml:space="preserve">Disease index (0-100) and </w:t>
      </w:r>
      <w:r w:rsidRPr="00920D9D">
        <w:rPr>
          <w:bCs/>
          <w:sz w:val="20"/>
          <w:szCs w:val="20"/>
          <w:lang w:val="en-GB"/>
        </w:rPr>
        <w:t>t</w:t>
      </w:r>
      <w:r w:rsidRPr="00920D9D">
        <w:rPr>
          <w:sz w:val="20"/>
          <w:szCs w:val="20"/>
          <w:lang w:val="en-GB"/>
        </w:rPr>
        <w:t>otal plant fresh weight (FW)</w:t>
      </w:r>
      <w:r>
        <w:rPr>
          <w:sz w:val="20"/>
          <w:szCs w:val="20"/>
          <w:lang w:val="en-GB"/>
        </w:rPr>
        <w:t xml:space="preserve"> were</w:t>
      </w:r>
      <w:r w:rsidRPr="009C5A1B">
        <w:rPr>
          <w:sz w:val="20"/>
          <w:szCs w:val="20"/>
          <w:lang w:val="en-GB"/>
        </w:rPr>
        <w:t xml:space="preserve"> expressed as</w:t>
      </w:r>
      <w:r>
        <w:rPr>
          <w:sz w:val="20"/>
          <w:szCs w:val="20"/>
          <w:lang w:val="en-GB"/>
        </w:rPr>
        <w:t xml:space="preserve"> a</w:t>
      </w:r>
      <w:r w:rsidRPr="009C5A1B">
        <w:rPr>
          <w:sz w:val="20"/>
          <w:szCs w:val="20"/>
          <w:lang w:val="en-GB"/>
        </w:rPr>
        <w:t xml:space="preserve"> mean of the three </w:t>
      </w:r>
      <w:r>
        <w:rPr>
          <w:sz w:val="20"/>
          <w:szCs w:val="20"/>
          <w:lang w:val="en-GB"/>
        </w:rPr>
        <w:t>replicates</w:t>
      </w:r>
      <w:r w:rsidRPr="009C5A1B">
        <w:rPr>
          <w:sz w:val="20"/>
          <w:szCs w:val="20"/>
          <w:lang w:val="en-GB"/>
        </w:rPr>
        <w:t>.</w:t>
      </w:r>
      <w:r>
        <w:rPr>
          <w:sz w:val="20"/>
          <w:szCs w:val="20"/>
          <w:lang w:val="en-GB"/>
        </w:rPr>
        <w:t xml:space="preserve"> V</w:t>
      </w:r>
      <w:r w:rsidRPr="00965D47">
        <w:rPr>
          <w:sz w:val="20"/>
          <w:szCs w:val="20"/>
          <w:lang w:val="en-GB"/>
        </w:rPr>
        <w:t xml:space="preserve">alues with different superscripts in the same </w:t>
      </w:r>
      <w:r>
        <w:rPr>
          <w:sz w:val="20"/>
          <w:szCs w:val="20"/>
          <w:lang w:val="en-GB"/>
        </w:rPr>
        <w:t>row differ significantly (P&lt;0.05</w:t>
      </w:r>
      <w:r w:rsidRPr="00965D47">
        <w:rPr>
          <w:sz w:val="20"/>
          <w:szCs w:val="20"/>
          <w:lang w:val="en-GB"/>
        </w:rPr>
        <w:t>)</w:t>
      </w:r>
    </w:p>
    <w:p w:rsidR="008B6F6A" w:rsidRDefault="008B6F6A" w:rsidP="008B6F6A">
      <w:pPr>
        <w:ind w:left="1416"/>
        <w:rPr>
          <w:lang w:val="en-GB"/>
        </w:rPr>
      </w:pPr>
    </w:p>
    <w:p w:rsidR="008B6F6A" w:rsidRDefault="008B6F6A" w:rsidP="008B6F6A">
      <w:pPr>
        <w:ind w:left="1416"/>
        <w:rPr>
          <w:lang w:val="en-GB"/>
        </w:rPr>
      </w:pPr>
    </w:p>
    <w:p w:rsidR="008B6F6A" w:rsidRDefault="008B6F6A" w:rsidP="008B6F6A">
      <w:pPr>
        <w:ind w:left="1416"/>
        <w:rPr>
          <w:sz w:val="20"/>
          <w:szCs w:val="20"/>
          <w:lang w:val="en-GB"/>
        </w:rPr>
      </w:pPr>
      <w:r w:rsidRPr="003452F8">
        <w:rPr>
          <w:b/>
          <w:sz w:val="20"/>
          <w:szCs w:val="20"/>
          <w:lang w:val="en-GB"/>
        </w:rPr>
        <w:t xml:space="preserve">Table </w:t>
      </w:r>
      <w:r>
        <w:rPr>
          <w:b/>
          <w:sz w:val="20"/>
          <w:szCs w:val="20"/>
          <w:lang w:val="en-GB"/>
        </w:rPr>
        <w:t>2</w:t>
      </w:r>
      <w:r w:rsidRPr="003452F8">
        <w:rPr>
          <w:sz w:val="20"/>
          <w:szCs w:val="20"/>
          <w:lang w:val="en-GB"/>
        </w:rPr>
        <w:t xml:space="preserve"> </w:t>
      </w:r>
    </w:p>
    <w:p w:rsidR="008B6F6A" w:rsidRDefault="008B6F6A" w:rsidP="008B6F6A">
      <w:pPr>
        <w:ind w:left="1416"/>
        <w:rPr>
          <w:sz w:val="20"/>
          <w:szCs w:val="20"/>
          <w:lang w:val="en-GB"/>
        </w:rPr>
      </w:pPr>
      <w:r>
        <w:rPr>
          <w:sz w:val="20"/>
          <w:szCs w:val="20"/>
          <w:lang w:val="en-GB"/>
        </w:rPr>
        <w:t>Plate</w:t>
      </w:r>
      <w:r w:rsidRPr="003452F8">
        <w:rPr>
          <w:sz w:val="20"/>
          <w:szCs w:val="20"/>
          <w:lang w:val="en-GB"/>
        </w:rPr>
        <w:t xml:space="preserve"> counts of </w:t>
      </w:r>
      <w:proofErr w:type="spellStart"/>
      <w:r w:rsidRPr="00425A86">
        <w:rPr>
          <w:i/>
          <w:sz w:val="20"/>
          <w:szCs w:val="20"/>
          <w:lang w:val="en-GB"/>
        </w:rPr>
        <w:t>Fusarium</w:t>
      </w:r>
      <w:proofErr w:type="spellEnd"/>
      <w:r w:rsidRPr="003452F8">
        <w:rPr>
          <w:sz w:val="20"/>
          <w:szCs w:val="20"/>
          <w:lang w:val="en-GB"/>
        </w:rPr>
        <w:t xml:space="preserve"> spp. </w:t>
      </w:r>
      <w:r>
        <w:rPr>
          <w:sz w:val="20"/>
          <w:szCs w:val="20"/>
          <w:lang w:val="en-GB"/>
        </w:rPr>
        <w:t>from</w:t>
      </w:r>
      <w:r w:rsidRPr="00E24A14">
        <w:rPr>
          <w:lang w:val="en-GB"/>
        </w:rPr>
        <w:t xml:space="preserve"> </w:t>
      </w:r>
      <w:r w:rsidRPr="00E24A14">
        <w:rPr>
          <w:sz w:val="20"/>
          <w:szCs w:val="20"/>
          <w:lang w:val="en-GB"/>
        </w:rPr>
        <w:t>infested</w:t>
      </w:r>
      <w:r w:rsidRPr="003452F8">
        <w:rPr>
          <w:sz w:val="20"/>
          <w:szCs w:val="20"/>
          <w:lang w:val="en-GB"/>
        </w:rPr>
        <w:t xml:space="preserve"> substrate samples </w:t>
      </w:r>
      <w:r>
        <w:rPr>
          <w:sz w:val="20"/>
          <w:szCs w:val="20"/>
          <w:lang w:val="en-GB"/>
        </w:rPr>
        <w:t>following incubation in</w:t>
      </w:r>
      <w:r w:rsidRPr="003452F8">
        <w:rPr>
          <w:sz w:val="20"/>
          <w:szCs w:val="20"/>
          <w:lang w:val="en-GB"/>
        </w:rPr>
        <w:t xml:space="preserve"> </w:t>
      </w:r>
      <w:proofErr w:type="spellStart"/>
      <w:r>
        <w:rPr>
          <w:sz w:val="20"/>
          <w:szCs w:val="20"/>
          <w:lang w:val="en-GB"/>
        </w:rPr>
        <w:t>phytotrons</w:t>
      </w:r>
      <w:proofErr w:type="spellEnd"/>
      <w:r w:rsidRPr="003452F8">
        <w:rPr>
          <w:sz w:val="20"/>
          <w:szCs w:val="20"/>
          <w:lang w:val="en-GB"/>
        </w:rPr>
        <w:t xml:space="preserve"> for 28 days</w:t>
      </w:r>
    </w:p>
    <w:tbl>
      <w:tblPr>
        <w:tblpPr w:leftFromText="141" w:rightFromText="141" w:vertAnchor="text" w:horzAnchor="margin" w:tblpXSpec="center" w:tblpY="82"/>
        <w:tblW w:w="11538" w:type="dxa"/>
        <w:tblCellMar>
          <w:left w:w="70" w:type="dxa"/>
          <w:right w:w="70" w:type="dxa"/>
        </w:tblCellMar>
        <w:tblLook w:val="0000"/>
      </w:tblPr>
      <w:tblGrid>
        <w:gridCol w:w="1481"/>
        <w:gridCol w:w="2500"/>
        <w:gridCol w:w="2479"/>
        <w:gridCol w:w="2539"/>
        <w:gridCol w:w="2539"/>
      </w:tblGrid>
      <w:tr w:rsidR="008B6F6A" w:rsidRPr="00A46FF2" w:rsidTr="002A6EB7">
        <w:trPr>
          <w:trHeight w:val="255"/>
        </w:trPr>
        <w:tc>
          <w:tcPr>
            <w:tcW w:w="0" w:type="auto"/>
            <w:shd w:val="clear" w:color="auto" w:fill="auto"/>
            <w:noWrap/>
            <w:vAlign w:val="bottom"/>
          </w:tcPr>
          <w:p w:rsidR="008B6F6A" w:rsidRPr="008722DA" w:rsidRDefault="008B6F6A" w:rsidP="002A6EB7">
            <w:pPr>
              <w:jc w:val="center"/>
              <w:rPr>
                <w:sz w:val="20"/>
                <w:szCs w:val="20"/>
                <w:lang w:val="en-GB"/>
              </w:rPr>
            </w:pPr>
            <w:bookmarkStart w:id="1" w:name="OLE_LINK1"/>
          </w:p>
        </w:tc>
        <w:tc>
          <w:tcPr>
            <w:tcW w:w="0" w:type="auto"/>
            <w:gridSpan w:val="4"/>
            <w:tcBorders>
              <w:top w:val="single" w:sz="4" w:space="0" w:color="auto"/>
              <w:bottom w:val="single" w:sz="4" w:space="0" w:color="auto"/>
            </w:tcBorders>
            <w:shd w:val="clear" w:color="auto" w:fill="auto"/>
            <w:noWrap/>
            <w:vAlign w:val="bottom"/>
          </w:tcPr>
          <w:p w:rsidR="008B6F6A" w:rsidRPr="00A46FF2" w:rsidRDefault="008B6F6A" w:rsidP="002A6EB7">
            <w:pPr>
              <w:jc w:val="center"/>
              <w:rPr>
                <w:sz w:val="20"/>
                <w:szCs w:val="20"/>
                <w:lang w:val="en-GB"/>
              </w:rPr>
            </w:pPr>
            <w:r w:rsidRPr="00A46FF2">
              <w:rPr>
                <w:sz w:val="20"/>
                <w:szCs w:val="20"/>
                <w:vertAlign w:val="superscript"/>
                <w:lang w:val="en-GB"/>
              </w:rPr>
              <w:t xml:space="preserve">* </w:t>
            </w:r>
            <w:r w:rsidRPr="00A46FF2">
              <w:rPr>
                <w:sz w:val="20"/>
                <w:szCs w:val="20"/>
                <w:lang w:val="en-GB"/>
              </w:rPr>
              <w:t>Log CFU g</w:t>
            </w:r>
            <w:r w:rsidRPr="00A46FF2">
              <w:rPr>
                <w:sz w:val="20"/>
                <w:szCs w:val="20"/>
                <w:vertAlign w:val="superscript"/>
                <w:lang w:val="en-GB"/>
              </w:rPr>
              <w:t>-</w:t>
            </w:r>
            <w:r w:rsidRPr="00A46FF2">
              <w:rPr>
                <w:sz w:val="20"/>
                <w:szCs w:val="20"/>
                <w:lang w:val="en-GB"/>
              </w:rPr>
              <w:t>1 ± SD</w:t>
            </w:r>
          </w:p>
        </w:tc>
      </w:tr>
      <w:tr w:rsidR="008B6F6A" w:rsidTr="002A6EB7">
        <w:trPr>
          <w:trHeight w:val="255"/>
        </w:trPr>
        <w:tc>
          <w:tcPr>
            <w:tcW w:w="0" w:type="auto"/>
            <w:tcBorders>
              <w:bottom w:val="single" w:sz="4" w:space="0" w:color="auto"/>
            </w:tcBorders>
            <w:shd w:val="clear" w:color="auto" w:fill="auto"/>
            <w:noWrap/>
            <w:vAlign w:val="center"/>
          </w:tcPr>
          <w:p w:rsidR="008B6F6A" w:rsidRPr="00A46FF2" w:rsidRDefault="008B6F6A" w:rsidP="002A6EB7">
            <w:pPr>
              <w:jc w:val="center"/>
              <w:rPr>
                <w:sz w:val="20"/>
                <w:szCs w:val="20"/>
                <w:lang w:val="en-GB"/>
              </w:rPr>
            </w:pPr>
            <w:r>
              <w:rPr>
                <w:sz w:val="20"/>
                <w:szCs w:val="20"/>
                <w:lang w:val="en-GB"/>
              </w:rPr>
              <w:t>Sampling day</w:t>
            </w:r>
          </w:p>
        </w:tc>
        <w:tc>
          <w:tcPr>
            <w:tcW w:w="0" w:type="auto"/>
            <w:tcBorders>
              <w:top w:val="single" w:sz="4" w:space="0" w:color="auto"/>
              <w:bottom w:val="single" w:sz="4" w:space="0" w:color="auto"/>
            </w:tcBorders>
            <w:shd w:val="clear" w:color="auto" w:fill="auto"/>
            <w:noWrap/>
            <w:vAlign w:val="center"/>
          </w:tcPr>
          <w:p w:rsidR="008B6F6A" w:rsidRPr="00A46FF2" w:rsidRDefault="008B6F6A" w:rsidP="002A6EB7">
            <w:pPr>
              <w:jc w:val="center"/>
              <w:rPr>
                <w:sz w:val="20"/>
                <w:szCs w:val="20"/>
                <w:lang w:val="en-GB"/>
              </w:rPr>
            </w:pPr>
            <w:r>
              <w:rPr>
                <w:sz w:val="20"/>
                <w:szCs w:val="20"/>
                <w:lang w:val="en-GB"/>
              </w:rPr>
              <w:t>1</w:t>
            </w:r>
          </w:p>
          <w:p w:rsidR="008B6F6A" w:rsidRPr="00A46FF2" w:rsidRDefault="008B6F6A" w:rsidP="002A6EB7">
            <w:pPr>
              <w:jc w:val="center"/>
              <w:rPr>
                <w:sz w:val="20"/>
                <w:szCs w:val="20"/>
                <w:lang w:val="en-GB"/>
              </w:rPr>
            </w:pPr>
            <w:r w:rsidRPr="00A46FF2">
              <w:rPr>
                <w:sz w:val="20"/>
                <w:szCs w:val="20"/>
                <w:lang w:val="en-GB"/>
              </w:rPr>
              <w:t>(</w:t>
            </w:r>
            <w:r w:rsidRPr="008722DA">
              <w:rPr>
                <w:bCs/>
                <w:sz w:val="20"/>
                <w:szCs w:val="20"/>
                <w:lang w:val="en-GB"/>
              </w:rPr>
              <w:t>800</w:t>
            </w:r>
            <w:r>
              <w:rPr>
                <w:bCs/>
                <w:sz w:val="20"/>
                <w:szCs w:val="20"/>
                <w:lang w:val="en-GB"/>
              </w:rPr>
              <w:t xml:space="preserve"> </w:t>
            </w:r>
            <w:proofErr w:type="spellStart"/>
            <w:r w:rsidRPr="008722DA">
              <w:rPr>
                <w:bCs/>
                <w:sz w:val="20"/>
                <w:szCs w:val="20"/>
                <w:lang w:val="en-GB"/>
              </w:rPr>
              <w:t>ppm</w:t>
            </w:r>
            <w:proofErr w:type="spellEnd"/>
            <w:r w:rsidRPr="008722DA">
              <w:rPr>
                <w:bCs/>
                <w:sz w:val="20"/>
                <w:szCs w:val="20"/>
                <w:lang w:val="en-GB"/>
              </w:rPr>
              <w:t xml:space="preserve"> CO</w:t>
            </w:r>
            <w:r w:rsidRPr="008722DA">
              <w:rPr>
                <w:bCs/>
                <w:sz w:val="20"/>
                <w:szCs w:val="20"/>
                <w:vertAlign w:val="subscript"/>
                <w:lang w:val="en-GB"/>
              </w:rPr>
              <w:t>2</w:t>
            </w:r>
            <w:r w:rsidRPr="008722DA">
              <w:rPr>
                <w:bCs/>
                <w:sz w:val="20"/>
                <w:szCs w:val="20"/>
                <w:lang w:val="en-GB"/>
              </w:rPr>
              <w:t xml:space="preserve"> 22-26°C)</w:t>
            </w:r>
          </w:p>
        </w:tc>
        <w:tc>
          <w:tcPr>
            <w:tcW w:w="0" w:type="auto"/>
            <w:tcBorders>
              <w:top w:val="single" w:sz="4" w:space="0" w:color="auto"/>
              <w:bottom w:val="single" w:sz="4" w:space="0" w:color="auto"/>
            </w:tcBorders>
            <w:shd w:val="clear" w:color="auto" w:fill="auto"/>
            <w:noWrap/>
            <w:vAlign w:val="center"/>
          </w:tcPr>
          <w:p w:rsidR="008B6F6A" w:rsidRPr="00A46FF2" w:rsidRDefault="008B6F6A" w:rsidP="002A6EB7">
            <w:pPr>
              <w:jc w:val="center"/>
              <w:rPr>
                <w:sz w:val="20"/>
                <w:szCs w:val="20"/>
                <w:lang w:val="en-GB"/>
              </w:rPr>
            </w:pPr>
            <w:r>
              <w:rPr>
                <w:sz w:val="20"/>
                <w:szCs w:val="20"/>
                <w:lang w:val="en-GB"/>
              </w:rPr>
              <w:t>2</w:t>
            </w:r>
          </w:p>
          <w:p w:rsidR="008B6F6A" w:rsidRPr="00A46FF2" w:rsidRDefault="008B6F6A" w:rsidP="002A6EB7">
            <w:pPr>
              <w:jc w:val="center"/>
              <w:rPr>
                <w:sz w:val="20"/>
                <w:szCs w:val="20"/>
                <w:lang w:val="en-GB"/>
              </w:rPr>
            </w:pPr>
            <w:r w:rsidRPr="00A46FF2">
              <w:rPr>
                <w:sz w:val="20"/>
                <w:szCs w:val="20"/>
                <w:lang w:val="en-GB"/>
              </w:rPr>
              <w:t>(</w:t>
            </w:r>
            <w:r w:rsidRPr="008722DA">
              <w:rPr>
                <w:bCs/>
                <w:sz w:val="20"/>
                <w:szCs w:val="20"/>
                <w:lang w:val="en-GB"/>
              </w:rPr>
              <w:t>800</w:t>
            </w:r>
            <w:r>
              <w:rPr>
                <w:bCs/>
                <w:sz w:val="20"/>
                <w:szCs w:val="20"/>
                <w:lang w:val="en-GB"/>
              </w:rPr>
              <w:t xml:space="preserve"> </w:t>
            </w:r>
            <w:proofErr w:type="spellStart"/>
            <w:r w:rsidRPr="008722DA">
              <w:rPr>
                <w:bCs/>
                <w:sz w:val="20"/>
                <w:szCs w:val="20"/>
                <w:lang w:val="en-GB"/>
              </w:rPr>
              <w:t>ppm</w:t>
            </w:r>
            <w:proofErr w:type="spellEnd"/>
            <w:r w:rsidRPr="008722DA">
              <w:rPr>
                <w:bCs/>
                <w:sz w:val="20"/>
                <w:szCs w:val="20"/>
                <w:lang w:val="en-GB"/>
              </w:rPr>
              <w:t xml:space="preserve"> CO</w:t>
            </w:r>
            <w:r w:rsidRPr="008722DA">
              <w:rPr>
                <w:bCs/>
                <w:sz w:val="20"/>
                <w:szCs w:val="20"/>
                <w:vertAlign w:val="subscript"/>
                <w:lang w:val="en-GB"/>
              </w:rPr>
              <w:t xml:space="preserve">2 </w:t>
            </w:r>
            <w:r w:rsidRPr="008722DA">
              <w:rPr>
                <w:bCs/>
                <w:sz w:val="20"/>
                <w:szCs w:val="20"/>
                <w:lang w:val="en-GB"/>
              </w:rPr>
              <w:t>18-22°C)</w:t>
            </w:r>
          </w:p>
        </w:tc>
        <w:tc>
          <w:tcPr>
            <w:tcW w:w="0" w:type="auto"/>
            <w:tcBorders>
              <w:top w:val="single" w:sz="4" w:space="0" w:color="auto"/>
              <w:bottom w:val="single" w:sz="4" w:space="0" w:color="auto"/>
            </w:tcBorders>
            <w:shd w:val="clear" w:color="auto" w:fill="auto"/>
            <w:noWrap/>
            <w:vAlign w:val="center"/>
          </w:tcPr>
          <w:p w:rsidR="008B6F6A" w:rsidRPr="00A46FF2" w:rsidRDefault="008B6F6A" w:rsidP="002A6EB7">
            <w:pPr>
              <w:jc w:val="center"/>
              <w:rPr>
                <w:sz w:val="20"/>
                <w:szCs w:val="20"/>
                <w:lang w:val="en-GB"/>
              </w:rPr>
            </w:pPr>
            <w:r>
              <w:rPr>
                <w:sz w:val="20"/>
                <w:szCs w:val="20"/>
                <w:lang w:val="en-GB"/>
              </w:rPr>
              <w:t>3</w:t>
            </w:r>
          </w:p>
          <w:p w:rsidR="008B6F6A" w:rsidRPr="008722DA" w:rsidRDefault="008B6F6A" w:rsidP="002A6EB7">
            <w:pPr>
              <w:jc w:val="center"/>
              <w:rPr>
                <w:sz w:val="20"/>
                <w:szCs w:val="20"/>
              </w:rPr>
            </w:pPr>
            <w:r w:rsidRPr="00A46FF2">
              <w:rPr>
                <w:sz w:val="20"/>
                <w:szCs w:val="20"/>
                <w:lang w:val="en-GB"/>
              </w:rPr>
              <w:t>(</w:t>
            </w:r>
            <w:r w:rsidRPr="008722DA">
              <w:rPr>
                <w:bCs/>
                <w:sz w:val="20"/>
                <w:szCs w:val="20"/>
                <w:lang w:val="en-GB"/>
              </w:rPr>
              <w:t>400</w:t>
            </w:r>
            <w:r>
              <w:rPr>
                <w:bCs/>
                <w:sz w:val="20"/>
                <w:szCs w:val="20"/>
                <w:lang w:val="en-GB"/>
              </w:rPr>
              <w:t xml:space="preserve"> </w:t>
            </w:r>
            <w:proofErr w:type="spellStart"/>
            <w:r w:rsidRPr="008722DA">
              <w:rPr>
                <w:bCs/>
                <w:sz w:val="20"/>
                <w:szCs w:val="20"/>
                <w:lang w:val="en-GB"/>
              </w:rPr>
              <w:t>ppm</w:t>
            </w:r>
            <w:proofErr w:type="spellEnd"/>
            <w:r w:rsidRPr="008722DA">
              <w:rPr>
                <w:bCs/>
                <w:sz w:val="20"/>
                <w:szCs w:val="20"/>
                <w:lang w:val="en-GB"/>
              </w:rPr>
              <w:t xml:space="preserve"> CO</w:t>
            </w:r>
            <w:r w:rsidRPr="008722DA">
              <w:rPr>
                <w:bCs/>
                <w:sz w:val="20"/>
                <w:szCs w:val="20"/>
                <w:vertAlign w:val="subscript"/>
                <w:lang w:val="en-GB"/>
              </w:rPr>
              <w:t xml:space="preserve">2 </w:t>
            </w:r>
            <w:r w:rsidRPr="008722DA">
              <w:rPr>
                <w:bCs/>
                <w:sz w:val="20"/>
                <w:szCs w:val="20"/>
                <w:lang w:val="en-GB"/>
              </w:rPr>
              <w:t xml:space="preserve"> 22-26°C)</w:t>
            </w:r>
          </w:p>
        </w:tc>
        <w:tc>
          <w:tcPr>
            <w:tcW w:w="0" w:type="auto"/>
            <w:tcBorders>
              <w:top w:val="single" w:sz="4" w:space="0" w:color="auto"/>
              <w:bottom w:val="single" w:sz="4" w:space="0" w:color="auto"/>
            </w:tcBorders>
            <w:shd w:val="clear" w:color="auto" w:fill="auto"/>
            <w:noWrap/>
            <w:vAlign w:val="center"/>
          </w:tcPr>
          <w:p w:rsidR="008B6F6A" w:rsidRPr="008722DA" w:rsidRDefault="008B6F6A" w:rsidP="002A6EB7">
            <w:pPr>
              <w:jc w:val="center"/>
              <w:rPr>
                <w:sz w:val="20"/>
                <w:szCs w:val="20"/>
              </w:rPr>
            </w:pPr>
            <w:r>
              <w:rPr>
                <w:sz w:val="20"/>
                <w:szCs w:val="20"/>
              </w:rPr>
              <w:t>4</w:t>
            </w:r>
          </w:p>
          <w:p w:rsidR="008B6F6A" w:rsidRPr="008722DA" w:rsidRDefault="008B6F6A" w:rsidP="002A6EB7">
            <w:pPr>
              <w:jc w:val="center"/>
              <w:rPr>
                <w:sz w:val="20"/>
                <w:szCs w:val="20"/>
              </w:rPr>
            </w:pPr>
            <w:r w:rsidRPr="008722DA">
              <w:rPr>
                <w:sz w:val="20"/>
                <w:szCs w:val="20"/>
              </w:rPr>
              <w:t>(</w:t>
            </w:r>
            <w:r w:rsidRPr="008722DA">
              <w:rPr>
                <w:bCs/>
                <w:sz w:val="20"/>
                <w:szCs w:val="20"/>
                <w:lang w:val="en-GB"/>
              </w:rPr>
              <w:t>400</w:t>
            </w:r>
            <w:r>
              <w:rPr>
                <w:bCs/>
                <w:sz w:val="20"/>
                <w:szCs w:val="20"/>
                <w:lang w:val="en-GB"/>
              </w:rPr>
              <w:t xml:space="preserve"> </w:t>
            </w:r>
            <w:proofErr w:type="spellStart"/>
            <w:r w:rsidRPr="008722DA">
              <w:rPr>
                <w:bCs/>
                <w:sz w:val="20"/>
                <w:szCs w:val="20"/>
                <w:lang w:val="en-GB"/>
              </w:rPr>
              <w:t>ppm</w:t>
            </w:r>
            <w:proofErr w:type="spellEnd"/>
            <w:r w:rsidRPr="008722DA">
              <w:rPr>
                <w:bCs/>
                <w:sz w:val="20"/>
                <w:szCs w:val="20"/>
                <w:lang w:val="en-GB"/>
              </w:rPr>
              <w:t xml:space="preserve"> CO</w:t>
            </w:r>
            <w:r w:rsidRPr="008722DA">
              <w:rPr>
                <w:bCs/>
                <w:sz w:val="20"/>
                <w:szCs w:val="20"/>
                <w:vertAlign w:val="subscript"/>
                <w:lang w:val="en-GB"/>
              </w:rPr>
              <w:t xml:space="preserve">2 </w:t>
            </w:r>
            <w:r w:rsidRPr="008722DA">
              <w:rPr>
                <w:bCs/>
                <w:sz w:val="20"/>
                <w:szCs w:val="20"/>
                <w:lang w:val="en-GB"/>
              </w:rPr>
              <w:t xml:space="preserve"> 18-22°C)</w:t>
            </w:r>
          </w:p>
        </w:tc>
      </w:tr>
      <w:tr w:rsidR="008B6F6A" w:rsidRPr="00D757DE" w:rsidTr="002A6EB7">
        <w:trPr>
          <w:trHeight w:val="255"/>
        </w:trPr>
        <w:tc>
          <w:tcPr>
            <w:tcW w:w="0" w:type="auto"/>
            <w:tcBorders>
              <w:top w:val="single" w:sz="4" w:space="0" w:color="auto"/>
            </w:tcBorders>
            <w:shd w:val="clear" w:color="auto" w:fill="auto"/>
            <w:noWrap/>
            <w:vAlign w:val="center"/>
          </w:tcPr>
          <w:p w:rsidR="008B6F6A" w:rsidRPr="008722DA" w:rsidRDefault="008B6F6A" w:rsidP="002A6EB7">
            <w:pPr>
              <w:spacing w:line="360" w:lineRule="auto"/>
              <w:jc w:val="center"/>
              <w:rPr>
                <w:sz w:val="20"/>
                <w:szCs w:val="20"/>
              </w:rPr>
            </w:pPr>
            <w:r w:rsidRPr="008722DA">
              <w:rPr>
                <w:sz w:val="20"/>
                <w:szCs w:val="20"/>
              </w:rPr>
              <w:t>7</w:t>
            </w:r>
          </w:p>
        </w:tc>
        <w:tc>
          <w:tcPr>
            <w:tcW w:w="0" w:type="auto"/>
            <w:tcBorders>
              <w:top w:val="single" w:sz="4" w:space="0" w:color="auto"/>
            </w:tcBorders>
            <w:shd w:val="clear" w:color="auto" w:fill="auto"/>
            <w:noWrap/>
            <w:vAlign w:val="center"/>
          </w:tcPr>
          <w:p w:rsidR="008B6F6A" w:rsidRPr="008722DA" w:rsidRDefault="008B6F6A" w:rsidP="002A6EB7">
            <w:pPr>
              <w:spacing w:line="360" w:lineRule="auto"/>
              <w:jc w:val="center"/>
              <w:rPr>
                <w:sz w:val="20"/>
                <w:szCs w:val="20"/>
              </w:rPr>
            </w:pPr>
            <w:r w:rsidRPr="008722DA">
              <w:rPr>
                <w:sz w:val="20"/>
                <w:szCs w:val="20"/>
              </w:rPr>
              <w:t>4.</w:t>
            </w:r>
            <w:r>
              <w:rPr>
                <w:sz w:val="20"/>
                <w:szCs w:val="20"/>
              </w:rPr>
              <w:t>20</w:t>
            </w:r>
            <w:r w:rsidRPr="008722DA">
              <w:rPr>
                <w:sz w:val="20"/>
                <w:szCs w:val="20"/>
              </w:rPr>
              <w:t xml:space="preserve"> ± 0.</w:t>
            </w:r>
            <w:r>
              <w:rPr>
                <w:sz w:val="20"/>
                <w:szCs w:val="20"/>
              </w:rPr>
              <w:t>22</w:t>
            </w:r>
            <w:r>
              <w:rPr>
                <w:sz w:val="20"/>
                <w:szCs w:val="20"/>
                <w:vertAlign w:val="superscript"/>
              </w:rPr>
              <w:t>abA</w:t>
            </w:r>
          </w:p>
        </w:tc>
        <w:tc>
          <w:tcPr>
            <w:tcW w:w="0" w:type="auto"/>
            <w:tcBorders>
              <w:top w:val="single" w:sz="4" w:space="0" w:color="auto"/>
            </w:tcBorders>
            <w:shd w:val="clear" w:color="auto" w:fill="auto"/>
            <w:noWrap/>
            <w:vAlign w:val="center"/>
          </w:tcPr>
          <w:p w:rsidR="008B6F6A" w:rsidRPr="00D757DE" w:rsidRDefault="008B6F6A" w:rsidP="002A6EB7">
            <w:pPr>
              <w:spacing w:line="360" w:lineRule="auto"/>
              <w:jc w:val="center"/>
              <w:rPr>
                <w:sz w:val="20"/>
                <w:szCs w:val="20"/>
              </w:rPr>
            </w:pPr>
            <w:r w:rsidRPr="00D757DE">
              <w:rPr>
                <w:sz w:val="20"/>
                <w:szCs w:val="20"/>
              </w:rPr>
              <w:t>4.</w:t>
            </w:r>
            <w:r>
              <w:rPr>
                <w:sz w:val="20"/>
                <w:szCs w:val="20"/>
              </w:rPr>
              <w:t>21</w:t>
            </w:r>
            <w:r w:rsidRPr="00D757DE">
              <w:rPr>
                <w:sz w:val="20"/>
                <w:szCs w:val="20"/>
              </w:rPr>
              <w:t xml:space="preserve"> ± 0.</w:t>
            </w:r>
            <w:r>
              <w:rPr>
                <w:sz w:val="20"/>
                <w:szCs w:val="20"/>
              </w:rPr>
              <w:t>32</w:t>
            </w:r>
            <w:r w:rsidRPr="00D757DE">
              <w:rPr>
                <w:sz w:val="20"/>
                <w:szCs w:val="20"/>
                <w:vertAlign w:val="superscript"/>
              </w:rPr>
              <w:t>aA</w:t>
            </w:r>
          </w:p>
        </w:tc>
        <w:tc>
          <w:tcPr>
            <w:tcW w:w="0" w:type="auto"/>
            <w:tcBorders>
              <w:top w:val="single" w:sz="4" w:space="0" w:color="auto"/>
            </w:tcBorders>
            <w:shd w:val="clear" w:color="auto" w:fill="auto"/>
            <w:noWrap/>
            <w:vAlign w:val="center"/>
          </w:tcPr>
          <w:p w:rsidR="008B6F6A" w:rsidRPr="00D757DE" w:rsidRDefault="008B6F6A" w:rsidP="002A6EB7">
            <w:pPr>
              <w:spacing w:line="360" w:lineRule="auto"/>
              <w:jc w:val="center"/>
              <w:rPr>
                <w:sz w:val="20"/>
                <w:szCs w:val="20"/>
              </w:rPr>
            </w:pPr>
            <w:r w:rsidRPr="00D757DE">
              <w:rPr>
                <w:sz w:val="20"/>
                <w:szCs w:val="20"/>
              </w:rPr>
              <w:t>4.</w:t>
            </w:r>
            <w:r>
              <w:rPr>
                <w:sz w:val="20"/>
                <w:szCs w:val="20"/>
              </w:rPr>
              <w:t>19</w:t>
            </w:r>
            <w:r w:rsidRPr="00D757DE">
              <w:rPr>
                <w:sz w:val="20"/>
                <w:szCs w:val="20"/>
              </w:rPr>
              <w:t xml:space="preserve"> ± 0.32</w:t>
            </w:r>
            <w:r w:rsidRPr="00D757DE">
              <w:rPr>
                <w:sz w:val="20"/>
                <w:szCs w:val="20"/>
                <w:vertAlign w:val="superscript"/>
              </w:rPr>
              <w:t>aA</w:t>
            </w:r>
          </w:p>
        </w:tc>
        <w:tc>
          <w:tcPr>
            <w:tcW w:w="0" w:type="auto"/>
            <w:tcBorders>
              <w:top w:val="single" w:sz="4" w:space="0" w:color="auto"/>
            </w:tcBorders>
            <w:shd w:val="clear" w:color="auto" w:fill="auto"/>
            <w:noWrap/>
            <w:vAlign w:val="center"/>
          </w:tcPr>
          <w:p w:rsidR="008B6F6A" w:rsidRPr="00D757DE" w:rsidRDefault="008B6F6A" w:rsidP="002A6EB7">
            <w:pPr>
              <w:spacing w:line="360" w:lineRule="auto"/>
              <w:jc w:val="center"/>
              <w:rPr>
                <w:sz w:val="20"/>
                <w:szCs w:val="20"/>
              </w:rPr>
            </w:pPr>
            <w:r w:rsidRPr="00D757DE">
              <w:rPr>
                <w:sz w:val="20"/>
                <w:szCs w:val="20"/>
              </w:rPr>
              <w:t>4.</w:t>
            </w:r>
            <w:r>
              <w:rPr>
                <w:sz w:val="20"/>
                <w:szCs w:val="20"/>
              </w:rPr>
              <w:t>38</w:t>
            </w:r>
            <w:r w:rsidRPr="00D757DE">
              <w:rPr>
                <w:sz w:val="20"/>
                <w:szCs w:val="20"/>
              </w:rPr>
              <w:t xml:space="preserve"> ± 0.33</w:t>
            </w:r>
            <w:r w:rsidRPr="00D757DE">
              <w:rPr>
                <w:sz w:val="20"/>
                <w:szCs w:val="20"/>
                <w:vertAlign w:val="superscript"/>
              </w:rPr>
              <w:t xml:space="preserve"> </w:t>
            </w:r>
            <w:proofErr w:type="spellStart"/>
            <w:r>
              <w:rPr>
                <w:sz w:val="20"/>
                <w:szCs w:val="20"/>
                <w:vertAlign w:val="superscript"/>
              </w:rPr>
              <w:t>b</w:t>
            </w:r>
            <w:r w:rsidRPr="00D757DE">
              <w:rPr>
                <w:sz w:val="20"/>
                <w:szCs w:val="20"/>
                <w:vertAlign w:val="superscript"/>
              </w:rPr>
              <w:t>A</w:t>
            </w:r>
            <w:proofErr w:type="spellEnd"/>
          </w:p>
        </w:tc>
      </w:tr>
      <w:tr w:rsidR="008B6F6A" w:rsidRPr="00D757DE" w:rsidTr="002A6EB7">
        <w:trPr>
          <w:trHeight w:val="255"/>
        </w:trPr>
        <w:tc>
          <w:tcPr>
            <w:tcW w:w="0" w:type="auto"/>
            <w:shd w:val="clear" w:color="auto" w:fill="auto"/>
            <w:noWrap/>
            <w:vAlign w:val="center"/>
          </w:tcPr>
          <w:p w:rsidR="008B6F6A" w:rsidRPr="00D757DE" w:rsidRDefault="008B6F6A" w:rsidP="002A6EB7">
            <w:pPr>
              <w:spacing w:line="360" w:lineRule="auto"/>
              <w:jc w:val="center"/>
              <w:rPr>
                <w:sz w:val="20"/>
                <w:szCs w:val="20"/>
              </w:rPr>
            </w:pPr>
            <w:r w:rsidRPr="00D757DE">
              <w:rPr>
                <w:sz w:val="20"/>
                <w:szCs w:val="20"/>
              </w:rPr>
              <w:t>14</w:t>
            </w:r>
          </w:p>
        </w:tc>
        <w:tc>
          <w:tcPr>
            <w:tcW w:w="0" w:type="auto"/>
            <w:shd w:val="clear" w:color="auto" w:fill="auto"/>
            <w:noWrap/>
            <w:vAlign w:val="center"/>
          </w:tcPr>
          <w:p w:rsidR="008B6F6A" w:rsidRPr="00D757DE" w:rsidRDefault="008B6F6A" w:rsidP="002A6EB7">
            <w:pPr>
              <w:spacing w:line="360" w:lineRule="auto"/>
              <w:jc w:val="center"/>
              <w:rPr>
                <w:sz w:val="20"/>
                <w:szCs w:val="20"/>
              </w:rPr>
            </w:pPr>
            <w:r w:rsidRPr="00D757DE">
              <w:rPr>
                <w:sz w:val="20"/>
                <w:szCs w:val="20"/>
              </w:rPr>
              <w:t xml:space="preserve">3.88 ± 0.66 </w:t>
            </w:r>
            <w:proofErr w:type="spellStart"/>
            <w:r w:rsidRPr="00D757DE">
              <w:rPr>
                <w:sz w:val="20"/>
                <w:szCs w:val="20"/>
                <w:vertAlign w:val="superscript"/>
              </w:rPr>
              <w:t>a</w:t>
            </w:r>
            <w:r>
              <w:rPr>
                <w:sz w:val="20"/>
                <w:szCs w:val="20"/>
                <w:vertAlign w:val="superscript"/>
              </w:rPr>
              <w:t>A</w:t>
            </w:r>
            <w:proofErr w:type="spellEnd"/>
          </w:p>
        </w:tc>
        <w:tc>
          <w:tcPr>
            <w:tcW w:w="0" w:type="auto"/>
            <w:shd w:val="clear" w:color="auto" w:fill="auto"/>
            <w:noWrap/>
            <w:vAlign w:val="center"/>
          </w:tcPr>
          <w:p w:rsidR="008B6F6A" w:rsidRPr="00D757DE" w:rsidRDefault="008B6F6A" w:rsidP="002A6EB7">
            <w:pPr>
              <w:spacing w:line="360" w:lineRule="auto"/>
              <w:jc w:val="center"/>
              <w:rPr>
                <w:sz w:val="20"/>
                <w:szCs w:val="20"/>
                <w:vertAlign w:val="superscript"/>
              </w:rPr>
            </w:pPr>
            <w:r w:rsidRPr="00D757DE">
              <w:rPr>
                <w:sz w:val="20"/>
                <w:szCs w:val="20"/>
              </w:rPr>
              <w:t>4.</w:t>
            </w:r>
            <w:r>
              <w:rPr>
                <w:sz w:val="20"/>
                <w:szCs w:val="20"/>
              </w:rPr>
              <w:t>22</w:t>
            </w:r>
            <w:r w:rsidRPr="00D757DE">
              <w:rPr>
                <w:sz w:val="20"/>
                <w:szCs w:val="20"/>
              </w:rPr>
              <w:t xml:space="preserve"> ±  0.</w:t>
            </w:r>
            <w:r>
              <w:rPr>
                <w:sz w:val="20"/>
                <w:szCs w:val="20"/>
              </w:rPr>
              <w:t>61</w:t>
            </w:r>
            <w:r w:rsidRPr="00D757DE">
              <w:rPr>
                <w:sz w:val="20"/>
                <w:szCs w:val="20"/>
                <w:vertAlign w:val="superscript"/>
              </w:rPr>
              <w:t>a</w:t>
            </w:r>
            <w:r>
              <w:rPr>
                <w:sz w:val="20"/>
                <w:szCs w:val="20"/>
                <w:vertAlign w:val="superscript"/>
              </w:rPr>
              <w:t>A</w:t>
            </w:r>
          </w:p>
        </w:tc>
        <w:tc>
          <w:tcPr>
            <w:tcW w:w="0" w:type="auto"/>
            <w:shd w:val="clear" w:color="auto" w:fill="auto"/>
            <w:noWrap/>
            <w:vAlign w:val="center"/>
          </w:tcPr>
          <w:p w:rsidR="008B6F6A" w:rsidRPr="00D757DE" w:rsidRDefault="008B6F6A" w:rsidP="002A6EB7">
            <w:pPr>
              <w:spacing w:line="360" w:lineRule="auto"/>
              <w:jc w:val="center"/>
              <w:rPr>
                <w:sz w:val="20"/>
                <w:szCs w:val="20"/>
              </w:rPr>
            </w:pPr>
            <w:r w:rsidRPr="00D757DE">
              <w:rPr>
                <w:sz w:val="20"/>
                <w:szCs w:val="20"/>
              </w:rPr>
              <w:t>3.</w:t>
            </w:r>
            <w:r>
              <w:rPr>
                <w:sz w:val="20"/>
                <w:szCs w:val="20"/>
              </w:rPr>
              <w:t>89</w:t>
            </w:r>
            <w:r w:rsidRPr="00D757DE">
              <w:rPr>
                <w:sz w:val="20"/>
                <w:szCs w:val="20"/>
              </w:rPr>
              <w:t xml:space="preserve"> ±  0.67</w:t>
            </w:r>
            <w:r w:rsidRPr="00D757DE">
              <w:rPr>
                <w:sz w:val="20"/>
                <w:szCs w:val="20"/>
                <w:vertAlign w:val="superscript"/>
              </w:rPr>
              <w:t xml:space="preserve"> </w:t>
            </w:r>
            <w:proofErr w:type="spellStart"/>
            <w:r w:rsidRPr="00D757DE">
              <w:rPr>
                <w:sz w:val="20"/>
                <w:szCs w:val="20"/>
                <w:vertAlign w:val="superscript"/>
              </w:rPr>
              <w:t>a</w:t>
            </w:r>
            <w:r>
              <w:rPr>
                <w:sz w:val="20"/>
                <w:szCs w:val="20"/>
                <w:vertAlign w:val="superscript"/>
              </w:rPr>
              <w:t>A</w:t>
            </w:r>
            <w:proofErr w:type="spellEnd"/>
          </w:p>
        </w:tc>
        <w:tc>
          <w:tcPr>
            <w:tcW w:w="0" w:type="auto"/>
            <w:shd w:val="clear" w:color="auto" w:fill="auto"/>
            <w:noWrap/>
            <w:vAlign w:val="center"/>
          </w:tcPr>
          <w:p w:rsidR="008B6F6A" w:rsidRPr="00D757DE" w:rsidRDefault="008B6F6A" w:rsidP="002A6EB7">
            <w:pPr>
              <w:spacing w:line="360" w:lineRule="auto"/>
              <w:jc w:val="center"/>
              <w:rPr>
                <w:sz w:val="20"/>
                <w:szCs w:val="20"/>
              </w:rPr>
            </w:pPr>
            <w:r w:rsidRPr="00D757DE">
              <w:rPr>
                <w:sz w:val="20"/>
                <w:szCs w:val="20"/>
              </w:rPr>
              <w:t>4.</w:t>
            </w:r>
            <w:r>
              <w:rPr>
                <w:sz w:val="20"/>
                <w:szCs w:val="20"/>
              </w:rPr>
              <w:t>35</w:t>
            </w:r>
            <w:r w:rsidRPr="00D757DE">
              <w:rPr>
                <w:sz w:val="20"/>
                <w:szCs w:val="20"/>
              </w:rPr>
              <w:t xml:space="preserve"> ± 0.36</w:t>
            </w:r>
            <w:r w:rsidRPr="00D757DE">
              <w:rPr>
                <w:sz w:val="20"/>
                <w:szCs w:val="20"/>
                <w:vertAlign w:val="superscript"/>
              </w:rPr>
              <w:t xml:space="preserve"> </w:t>
            </w:r>
            <w:proofErr w:type="spellStart"/>
            <w:r>
              <w:rPr>
                <w:sz w:val="20"/>
                <w:szCs w:val="20"/>
                <w:vertAlign w:val="superscript"/>
              </w:rPr>
              <w:t>bA</w:t>
            </w:r>
            <w:proofErr w:type="spellEnd"/>
          </w:p>
        </w:tc>
      </w:tr>
      <w:tr w:rsidR="008B6F6A" w:rsidRPr="00D757DE" w:rsidTr="002A6EB7">
        <w:trPr>
          <w:trHeight w:val="255"/>
        </w:trPr>
        <w:tc>
          <w:tcPr>
            <w:tcW w:w="0" w:type="auto"/>
            <w:shd w:val="clear" w:color="auto" w:fill="auto"/>
            <w:noWrap/>
            <w:vAlign w:val="center"/>
          </w:tcPr>
          <w:p w:rsidR="008B6F6A" w:rsidRPr="00D757DE" w:rsidRDefault="008B6F6A" w:rsidP="002A6EB7">
            <w:pPr>
              <w:spacing w:line="360" w:lineRule="auto"/>
              <w:jc w:val="center"/>
              <w:rPr>
                <w:sz w:val="20"/>
                <w:szCs w:val="20"/>
              </w:rPr>
            </w:pPr>
            <w:r w:rsidRPr="00D757DE">
              <w:rPr>
                <w:sz w:val="20"/>
                <w:szCs w:val="20"/>
              </w:rPr>
              <w:t>21</w:t>
            </w:r>
          </w:p>
        </w:tc>
        <w:tc>
          <w:tcPr>
            <w:tcW w:w="0" w:type="auto"/>
            <w:shd w:val="clear" w:color="auto" w:fill="auto"/>
            <w:noWrap/>
            <w:vAlign w:val="center"/>
          </w:tcPr>
          <w:p w:rsidR="008B6F6A" w:rsidRPr="00DA0407" w:rsidRDefault="008B6F6A" w:rsidP="002A6EB7">
            <w:pPr>
              <w:spacing w:line="360" w:lineRule="auto"/>
              <w:jc w:val="center"/>
              <w:rPr>
                <w:sz w:val="20"/>
                <w:szCs w:val="20"/>
                <w:vertAlign w:val="superscript"/>
              </w:rPr>
            </w:pPr>
            <w:r w:rsidRPr="008722DA">
              <w:rPr>
                <w:sz w:val="20"/>
                <w:szCs w:val="20"/>
              </w:rPr>
              <w:t>4.</w:t>
            </w:r>
            <w:r>
              <w:rPr>
                <w:sz w:val="20"/>
                <w:szCs w:val="20"/>
              </w:rPr>
              <w:t>41</w:t>
            </w:r>
            <w:r w:rsidRPr="008722DA">
              <w:rPr>
                <w:sz w:val="20"/>
                <w:szCs w:val="20"/>
              </w:rPr>
              <w:t xml:space="preserve"> ± 0.</w:t>
            </w:r>
            <w:r>
              <w:rPr>
                <w:sz w:val="20"/>
                <w:szCs w:val="20"/>
              </w:rPr>
              <w:t>36</w:t>
            </w:r>
            <w:r>
              <w:rPr>
                <w:sz w:val="20"/>
                <w:szCs w:val="20"/>
                <w:vertAlign w:val="superscript"/>
              </w:rPr>
              <w:t>bA</w:t>
            </w:r>
          </w:p>
        </w:tc>
        <w:tc>
          <w:tcPr>
            <w:tcW w:w="0" w:type="auto"/>
            <w:shd w:val="clear" w:color="auto" w:fill="auto"/>
            <w:noWrap/>
            <w:vAlign w:val="center"/>
          </w:tcPr>
          <w:p w:rsidR="008B6F6A" w:rsidRPr="00DA0407" w:rsidRDefault="008B6F6A" w:rsidP="002A6EB7">
            <w:pPr>
              <w:spacing w:line="360" w:lineRule="auto"/>
              <w:jc w:val="center"/>
              <w:rPr>
                <w:sz w:val="20"/>
                <w:szCs w:val="20"/>
                <w:vertAlign w:val="superscript"/>
              </w:rPr>
            </w:pPr>
            <w:r w:rsidRPr="008722DA">
              <w:rPr>
                <w:sz w:val="20"/>
                <w:szCs w:val="20"/>
              </w:rPr>
              <w:t>4.</w:t>
            </w:r>
            <w:r>
              <w:rPr>
                <w:sz w:val="20"/>
                <w:szCs w:val="20"/>
              </w:rPr>
              <w:t>25</w:t>
            </w:r>
            <w:r w:rsidRPr="008722DA">
              <w:rPr>
                <w:sz w:val="20"/>
                <w:szCs w:val="20"/>
              </w:rPr>
              <w:t xml:space="preserve"> ± 0.</w:t>
            </w:r>
            <w:r>
              <w:rPr>
                <w:sz w:val="20"/>
                <w:szCs w:val="20"/>
              </w:rPr>
              <w:t>17</w:t>
            </w:r>
            <w:r>
              <w:rPr>
                <w:sz w:val="20"/>
                <w:szCs w:val="20"/>
                <w:vertAlign w:val="superscript"/>
              </w:rPr>
              <w:t>aA</w:t>
            </w:r>
          </w:p>
        </w:tc>
        <w:tc>
          <w:tcPr>
            <w:tcW w:w="0" w:type="auto"/>
            <w:shd w:val="clear" w:color="auto" w:fill="auto"/>
            <w:noWrap/>
            <w:vAlign w:val="center"/>
          </w:tcPr>
          <w:p w:rsidR="008B6F6A" w:rsidRPr="008722DA" w:rsidRDefault="008B6F6A" w:rsidP="002A6EB7">
            <w:pPr>
              <w:spacing w:line="360" w:lineRule="auto"/>
              <w:jc w:val="center"/>
              <w:rPr>
                <w:sz w:val="20"/>
                <w:szCs w:val="20"/>
              </w:rPr>
            </w:pPr>
            <w:r w:rsidRPr="008722DA">
              <w:rPr>
                <w:sz w:val="20"/>
                <w:szCs w:val="20"/>
              </w:rPr>
              <w:t>4.</w:t>
            </w:r>
            <w:r>
              <w:rPr>
                <w:sz w:val="20"/>
                <w:szCs w:val="20"/>
              </w:rPr>
              <w:t>26</w:t>
            </w:r>
            <w:r w:rsidRPr="008722DA">
              <w:rPr>
                <w:sz w:val="20"/>
                <w:szCs w:val="20"/>
              </w:rPr>
              <w:t xml:space="preserve"> ± 0.</w:t>
            </w:r>
            <w:r>
              <w:rPr>
                <w:sz w:val="20"/>
                <w:szCs w:val="20"/>
              </w:rPr>
              <w:t>30</w:t>
            </w:r>
            <w:r w:rsidRPr="008722DA">
              <w:rPr>
                <w:sz w:val="20"/>
                <w:szCs w:val="20"/>
                <w:vertAlign w:val="superscript"/>
              </w:rPr>
              <w:t xml:space="preserve"> </w:t>
            </w:r>
            <w:proofErr w:type="spellStart"/>
            <w:r>
              <w:rPr>
                <w:sz w:val="20"/>
                <w:szCs w:val="20"/>
                <w:vertAlign w:val="superscript"/>
              </w:rPr>
              <w:t>abA</w:t>
            </w:r>
            <w:proofErr w:type="spellEnd"/>
          </w:p>
        </w:tc>
        <w:tc>
          <w:tcPr>
            <w:tcW w:w="0" w:type="auto"/>
            <w:shd w:val="clear" w:color="auto" w:fill="auto"/>
            <w:noWrap/>
            <w:vAlign w:val="center"/>
          </w:tcPr>
          <w:p w:rsidR="008B6F6A" w:rsidRPr="00D757DE" w:rsidRDefault="008B6F6A" w:rsidP="002A6EB7">
            <w:pPr>
              <w:spacing w:line="360" w:lineRule="auto"/>
              <w:jc w:val="center"/>
              <w:rPr>
                <w:sz w:val="20"/>
                <w:szCs w:val="20"/>
                <w:lang w:val="en-GB"/>
              </w:rPr>
            </w:pPr>
            <w:r w:rsidRPr="00D757DE">
              <w:rPr>
                <w:sz w:val="20"/>
                <w:szCs w:val="20"/>
                <w:lang w:val="en-GB"/>
              </w:rPr>
              <w:t>4.</w:t>
            </w:r>
            <w:r>
              <w:rPr>
                <w:sz w:val="20"/>
                <w:szCs w:val="20"/>
                <w:lang w:val="en-GB"/>
              </w:rPr>
              <w:t>19</w:t>
            </w:r>
            <w:r w:rsidRPr="00D757DE">
              <w:rPr>
                <w:sz w:val="20"/>
                <w:szCs w:val="20"/>
                <w:lang w:val="en-GB"/>
              </w:rPr>
              <w:t xml:space="preserve"> ± 0.</w:t>
            </w:r>
            <w:r>
              <w:rPr>
                <w:sz w:val="20"/>
                <w:szCs w:val="20"/>
                <w:lang w:val="en-GB"/>
              </w:rPr>
              <w:t>19</w:t>
            </w:r>
            <w:r w:rsidRPr="00D757DE">
              <w:rPr>
                <w:sz w:val="20"/>
                <w:szCs w:val="20"/>
                <w:vertAlign w:val="superscript"/>
                <w:lang w:val="en-GB"/>
              </w:rPr>
              <w:t xml:space="preserve"> </w:t>
            </w:r>
            <w:proofErr w:type="spellStart"/>
            <w:r w:rsidRPr="00D757DE">
              <w:rPr>
                <w:sz w:val="20"/>
                <w:szCs w:val="20"/>
                <w:vertAlign w:val="superscript"/>
                <w:lang w:val="en-GB"/>
              </w:rPr>
              <w:t>a</w:t>
            </w:r>
            <w:r>
              <w:rPr>
                <w:sz w:val="20"/>
                <w:szCs w:val="20"/>
                <w:vertAlign w:val="superscript"/>
                <w:lang w:val="en-GB"/>
              </w:rPr>
              <w:t>b</w:t>
            </w:r>
            <w:r w:rsidRPr="00D757DE">
              <w:rPr>
                <w:sz w:val="20"/>
                <w:szCs w:val="20"/>
                <w:vertAlign w:val="superscript"/>
                <w:lang w:val="en-GB"/>
              </w:rPr>
              <w:t>A</w:t>
            </w:r>
            <w:proofErr w:type="spellEnd"/>
          </w:p>
        </w:tc>
      </w:tr>
      <w:tr w:rsidR="008B6F6A" w:rsidRPr="00D757DE" w:rsidTr="002A6EB7">
        <w:trPr>
          <w:trHeight w:val="255"/>
        </w:trPr>
        <w:tc>
          <w:tcPr>
            <w:tcW w:w="0" w:type="auto"/>
            <w:tcBorders>
              <w:bottom w:val="single" w:sz="4" w:space="0" w:color="auto"/>
            </w:tcBorders>
            <w:shd w:val="clear" w:color="auto" w:fill="auto"/>
            <w:noWrap/>
            <w:vAlign w:val="center"/>
          </w:tcPr>
          <w:p w:rsidR="008B6F6A" w:rsidRPr="00D757DE" w:rsidRDefault="008B6F6A" w:rsidP="002A6EB7">
            <w:pPr>
              <w:spacing w:line="360" w:lineRule="auto"/>
              <w:jc w:val="center"/>
              <w:rPr>
                <w:sz w:val="20"/>
                <w:szCs w:val="20"/>
                <w:lang w:val="en-GB"/>
              </w:rPr>
            </w:pPr>
            <w:r w:rsidRPr="00D757DE">
              <w:rPr>
                <w:sz w:val="20"/>
                <w:szCs w:val="20"/>
                <w:lang w:val="en-GB"/>
              </w:rPr>
              <w:t>28</w:t>
            </w:r>
          </w:p>
        </w:tc>
        <w:tc>
          <w:tcPr>
            <w:tcW w:w="0" w:type="auto"/>
            <w:tcBorders>
              <w:bottom w:val="single" w:sz="4" w:space="0" w:color="auto"/>
            </w:tcBorders>
            <w:shd w:val="clear" w:color="auto" w:fill="auto"/>
            <w:noWrap/>
            <w:vAlign w:val="center"/>
          </w:tcPr>
          <w:p w:rsidR="008B6F6A" w:rsidRPr="00D757DE" w:rsidRDefault="008B6F6A" w:rsidP="002A6EB7">
            <w:pPr>
              <w:spacing w:line="360" w:lineRule="auto"/>
              <w:jc w:val="center"/>
              <w:rPr>
                <w:sz w:val="20"/>
                <w:szCs w:val="20"/>
                <w:vertAlign w:val="superscript"/>
                <w:lang w:val="en-GB"/>
              </w:rPr>
            </w:pPr>
            <w:r w:rsidRPr="00D757DE">
              <w:rPr>
                <w:sz w:val="20"/>
                <w:szCs w:val="20"/>
                <w:lang w:val="en-GB"/>
              </w:rPr>
              <w:t>4.49 ± 0.</w:t>
            </w:r>
            <w:r>
              <w:rPr>
                <w:sz w:val="20"/>
                <w:szCs w:val="20"/>
                <w:lang w:val="en-GB"/>
              </w:rPr>
              <w:t>15</w:t>
            </w:r>
            <w:r>
              <w:rPr>
                <w:sz w:val="20"/>
                <w:szCs w:val="20"/>
                <w:vertAlign w:val="superscript"/>
                <w:lang w:val="en-GB"/>
              </w:rPr>
              <w:t>bBC</w:t>
            </w:r>
          </w:p>
        </w:tc>
        <w:tc>
          <w:tcPr>
            <w:tcW w:w="0" w:type="auto"/>
            <w:tcBorders>
              <w:bottom w:val="single" w:sz="4" w:space="0" w:color="auto"/>
            </w:tcBorders>
            <w:shd w:val="clear" w:color="auto" w:fill="auto"/>
            <w:noWrap/>
            <w:vAlign w:val="center"/>
          </w:tcPr>
          <w:p w:rsidR="008B6F6A" w:rsidRPr="00D757DE" w:rsidRDefault="008B6F6A" w:rsidP="002A6EB7">
            <w:pPr>
              <w:spacing w:line="360" w:lineRule="auto"/>
              <w:jc w:val="center"/>
              <w:rPr>
                <w:sz w:val="20"/>
                <w:szCs w:val="20"/>
                <w:lang w:val="en-GB"/>
              </w:rPr>
            </w:pPr>
            <w:r w:rsidRPr="00D757DE">
              <w:rPr>
                <w:sz w:val="20"/>
                <w:szCs w:val="20"/>
                <w:lang w:val="en-GB"/>
              </w:rPr>
              <w:t>4.28 ± 0.</w:t>
            </w:r>
            <w:r>
              <w:rPr>
                <w:sz w:val="20"/>
                <w:szCs w:val="20"/>
                <w:lang w:val="en-GB"/>
              </w:rPr>
              <w:t>51</w:t>
            </w:r>
            <w:r w:rsidRPr="00D757DE">
              <w:rPr>
                <w:sz w:val="20"/>
                <w:szCs w:val="20"/>
                <w:vertAlign w:val="superscript"/>
                <w:lang w:val="en-GB"/>
              </w:rPr>
              <w:t>aA</w:t>
            </w:r>
            <w:r>
              <w:rPr>
                <w:sz w:val="20"/>
                <w:szCs w:val="20"/>
                <w:vertAlign w:val="superscript"/>
                <w:lang w:val="en-GB"/>
              </w:rPr>
              <w:t>B</w:t>
            </w:r>
          </w:p>
        </w:tc>
        <w:tc>
          <w:tcPr>
            <w:tcW w:w="0" w:type="auto"/>
            <w:tcBorders>
              <w:bottom w:val="single" w:sz="4" w:space="0" w:color="auto"/>
            </w:tcBorders>
            <w:shd w:val="clear" w:color="auto" w:fill="auto"/>
            <w:noWrap/>
            <w:vAlign w:val="center"/>
          </w:tcPr>
          <w:p w:rsidR="008B6F6A" w:rsidRPr="00D757DE" w:rsidRDefault="008B6F6A" w:rsidP="002A6EB7">
            <w:pPr>
              <w:spacing w:line="360" w:lineRule="auto"/>
              <w:jc w:val="center"/>
              <w:rPr>
                <w:sz w:val="20"/>
                <w:szCs w:val="20"/>
                <w:lang w:val="en-GB"/>
              </w:rPr>
            </w:pPr>
            <w:r w:rsidRPr="00D757DE">
              <w:rPr>
                <w:sz w:val="20"/>
                <w:szCs w:val="20"/>
                <w:lang w:val="en-GB"/>
              </w:rPr>
              <w:t>4.63 ± 0.30</w:t>
            </w:r>
            <w:r w:rsidRPr="00D757DE">
              <w:rPr>
                <w:sz w:val="20"/>
                <w:szCs w:val="20"/>
                <w:vertAlign w:val="superscript"/>
                <w:lang w:val="en-GB"/>
              </w:rPr>
              <w:t xml:space="preserve"> </w:t>
            </w:r>
            <w:proofErr w:type="spellStart"/>
            <w:r>
              <w:rPr>
                <w:sz w:val="20"/>
                <w:szCs w:val="20"/>
                <w:vertAlign w:val="superscript"/>
                <w:lang w:val="en-GB"/>
              </w:rPr>
              <w:t>bC</w:t>
            </w:r>
            <w:proofErr w:type="spellEnd"/>
          </w:p>
        </w:tc>
        <w:tc>
          <w:tcPr>
            <w:tcW w:w="0" w:type="auto"/>
            <w:tcBorders>
              <w:bottom w:val="single" w:sz="4" w:space="0" w:color="auto"/>
            </w:tcBorders>
            <w:shd w:val="clear" w:color="auto" w:fill="auto"/>
            <w:noWrap/>
            <w:vAlign w:val="center"/>
          </w:tcPr>
          <w:p w:rsidR="008B6F6A" w:rsidRPr="00D757DE" w:rsidRDefault="008B6F6A" w:rsidP="002A6EB7">
            <w:pPr>
              <w:spacing w:line="360" w:lineRule="auto"/>
              <w:jc w:val="center"/>
              <w:rPr>
                <w:sz w:val="20"/>
                <w:szCs w:val="20"/>
                <w:lang w:val="en-GB"/>
              </w:rPr>
            </w:pPr>
            <w:r>
              <w:rPr>
                <w:sz w:val="20"/>
                <w:szCs w:val="20"/>
                <w:lang w:val="en-GB"/>
              </w:rPr>
              <w:t>3.88</w:t>
            </w:r>
            <w:r w:rsidRPr="00D757DE">
              <w:rPr>
                <w:sz w:val="20"/>
                <w:szCs w:val="20"/>
                <w:lang w:val="en-GB"/>
              </w:rPr>
              <w:t xml:space="preserve"> ± 0.</w:t>
            </w:r>
            <w:r>
              <w:rPr>
                <w:sz w:val="20"/>
                <w:szCs w:val="20"/>
                <w:lang w:val="en-GB"/>
              </w:rPr>
              <w:t>58</w:t>
            </w:r>
            <w:r w:rsidRPr="00D757DE">
              <w:rPr>
                <w:sz w:val="20"/>
                <w:szCs w:val="20"/>
                <w:vertAlign w:val="superscript"/>
                <w:lang w:val="en-GB"/>
              </w:rPr>
              <w:t xml:space="preserve"> </w:t>
            </w:r>
            <w:proofErr w:type="spellStart"/>
            <w:r w:rsidRPr="00D757DE">
              <w:rPr>
                <w:sz w:val="20"/>
                <w:szCs w:val="20"/>
                <w:vertAlign w:val="superscript"/>
                <w:lang w:val="en-GB"/>
              </w:rPr>
              <w:t>aA</w:t>
            </w:r>
            <w:proofErr w:type="spellEnd"/>
          </w:p>
        </w:tc>
      </w:tr>
      <w:bookmarkEnd w:id="1"/>
    </w:tbl>
    <w:p w:rsidR="008B6F6A" w:rsidRDefault="008B6F6A" w:rsidP="008B6F6A">
      <w:pPr>
        <w:ind w:left="1416"/>
        <w:rPr>
          <w:lang w:val="en-GB"/>
        </w:rPr>
      </w:pPr>
    </w:p>
    <w:p w:rsidR="008B6F6A" w:rsidRDefault="008B6F6A" w:rsidP="008B6F6A">
      <w:pPr>
        <w:ind w:left="1416"/>
        <w:rPr>
          <w:lang w:val="en-GB"/>
        </w:rPr>
      </w:pPr>
    </w:p>
    <w:p w:rsidR="008B6F6A" w:rsidRPr="008722DA" w:rsidRDefault="008B6F6A" w:rsidP="008B6F6A">
      <w:pPr>
        <w:ind w:left="1416"/>
        <w:rPr>
          <w:lang w:val="en-GB"/>
        </w:rPr>
      </w:pPr>
    </w:p>
    <w:p w:rsidR="008B6F6A" w:rsidRPr="009C5A1B" w:rsidRDefault="008B6F6A" w:rsidP="008B6F6A">
      <w:pPr>
        <w:ind w:left="708"/>
        <w:jc w:val="both"/>
        <w:rPr>
          <w:sz w:val="20"/>
          <w:szCs w:val="20"/>
          <w:lang w:val="en-GB"/>
        </w:rPr>
      </w:pPr>
      <w:r w:rsidRPr="009C5A1B">
        <w:rPr>
          <w:sz w:val="20"/>
          <w:szCs w:val="20"/>
          <w:vertAlign w:val="superscript"/>
          <w:lang w:val="en-GB"/>
        </w:rPr>
        <w:t>*</w:t>
      </w:r>
      <w:r w:rsidRPr="009C5A1B">
        <w:rPr>
          <w:sz w:val="20"/>
          <w:szCs w:val="20"/>
          <w:lang w:val="en-GB"/>
        </w:rPr>
        <w:t xml:space="preserve"> Results were calculated as the </w:t>
      </w:r>
      <w:proofErr w:type="spellStart"/>
      <w:r w:rsidRPr="009C5A1B">
        <w:rPr>
          <w:sz w:val="20"/>
          <w:szCs w:val="20"/>
          <w:lang w:val="en-GB"/>
        </w:rPr>
        <w:t>meanLog</w:t>
      </w:r>
      <w:proofErr w:type="spellEnd"/>
      <w:r w:rsidRPr="009C5A1B">
        <w:rPr>
          <w:sz w:val="20"/>
          <w:szCs w:val="20"/>
          <w:lang w:val="en-GB"/>
        </w:rPr>
        <w:t xml:space="preserve"> count for </w:t>
      </w:r>
      <w:r>
        <w:rPr>
          <w:sz w:val="20"/>
          <w:szCs w:val="20"/>
          <w:lang w:val="en-GB"/>
        </w:rPr>
        <w:t xml:space="preserve">the </w:t>
      </w:r>
      <w:r w:rsidRPr="009C5A1B">
        <w:rPr>
          <w:sz w:val="20"/>
          <w:szCs w:val="20"/>
          <w:lang w:val="en-GB"/>
        </w:rPr>
        <w:t xml:space="preserve">three </w:t>
      </w:r>
      <w:r>
        <w:rPr>
          <w:sz w:val="20"/>
          <w:szCs w:val="20"/>
          <w:lang w:val="en-GB"/>
        </w:rPr>
        <w:t>replicates</w:t>
      </w:r>
      <w:r w:rsidRPr="009C5A1B">
        <w:rPr>
          <w:sz w:val="20"/>
          <w:szCs w:val="20"/>
          <w:lang w:val="en-GB"/>
        </w:rPr>
        <w:t xml:space="preserve">. The plate counts were expressed as </w:t>
      </w:r>
      <w:r>
        <w:rPr>
          <w:sz w:val="20"/>
          <w:szCs w:val="20"/>
          <w:lang w:val="en-GB"/>
        </w:rPr>
        <w:t xml:space="preserve">the </w:t>
      </w:r>
      <w:r w:rsidRPr="009C5A1B">
        <w:rPr>
          <w:sz w:val="20"/>
          <w:szCs w:val="20"/>
          <w:lang w:val="en-GB"/>
        </w:rPr>
        <w:t>mean of the three trials.</w:t>
      </w:r>
      <w:r>
        <w:rPr>
          <w:sz w:val="20"/>
          <w:szCs w:val="20"/>
          <w:lang w:val="en-GB"/>
        </w:rPr>
        <w:t xml:space="preserve"> V</w:t>
      </w:r>
      <w:r w:rsidRPr="009C5A1B">
        <w:rPr>
          <w:sz w:val="20"/>
          <w:szCs w:val="20"/>
          <w:lang w:val="en-GB"/>
        </w:rPr>
        <w:t>alues with different superscripts</w:t>
      </w:r>
      <w:r>
        <w:rPr>
          <w:sz w:val="20"/>
          <w:szCs w:val="20"/>
          <w:lang w:val="en-GB"/>
        </w:rPr>
        <w:t xml:space="preserve"> </w:t>
      </w:r>
      <w:r w:rsidRPr="009C5A1B">
        <w:rPr>
          <w:sz w:val="20"/>
          <w:szCs w:val="20"/>
          <w:lang w:val="en-GB"/>
        </w:rPr>
        <w:t>(lowercase</w:t>
      </w:r>
      <w:r>
        <w:rPr>
          <w:sz w:val="20"/>
          <w:szCs w:val="20"/>
          <w:lang w:val="en-GB"/>
        </w:rPr>
        <w:t xml:space="preserve"> letters</w:t>
      </w:r>
      <w:r w:rsidRPr="009C5A1B">
        <w:rPr>
          <w:sz w:val="20"/>
          <w:szCs w:val="20"/>
          <w:lang w:val="en-GB"/>
        </w:rPr>
        <w:t>)  in the same c</w:t>
      </w:r>
      <w:r>
        <w:rPr>
          <w:sz w:val="20"/>
          <w:szCs w:val="20"/>
          <w:lang w:val="en-GB"/>
        </w:rPr>
        <w:t>olumn differ significantly (P&lt;0.05</w:t>
      </w:r>
      <w:r w:rsidRPr="009C5A1B">
        <w:rPr>
          <w:sz w:val="20"/>
          <w:szCs w:val="20"/>
          <w:lang w:val="en-GB"/>
        </w:rPr>
        <w:t>).</w:t>
      </w:r>
      <w:r>
        <w:rPr>
          <w:sz w:val="20"/>
          <w:szCs w:val="20"/>
          <w:lang w:val="en-GB"/>
        </w:rPr>
        <w:t>V</w:t>
      </w:r>
      <w:r w:rsidRPr="009C5A1B">
        <w:rPr>
          <w:sz w:val="20"/>
          <w:szCs w:val="20"/>
          <w:lang w:val="en-GB"/>
        </w:rPr>
        <w:t>alues  with</w:t>
      </w:r>
      <w:r w:rsidRPr="00404273">
        <w:rPr>
          <w:sz w:val="20"/>
          <w:szCs w:val="20"/>
          <w:lang w:val="en-GB"/>
        </w:rPr>
        <w:t xml:space="preserve"> </w:t>
      </w:r>
      <w:r w:rsidRPr="009C5A1B">
        <w:rPr>
          <w:sz w:val="20"/>
          <w:szCs w:val="20"/>
          <w:lang w:val="en-GB"/>
        </w:rPr>
        <w:t>different superscripts (</w:t>
      </w:r>
      <w:r>
        <w:rPr>
          <w:sz w:val="20"/>
          <w:szCs w:val="20"/>
          <w:lang w:val="en-GB"/>
        </w:rPr>
        <w:t>uppercase letters</w:t>
      </w:r>
      <w:r w:rsidRPr="009C5A1B">
        <w:rPr>
          <w:sz w:val="20"/>
          <w:szCs w:val="20"/>
          <w:lang w:val="en-GB"/>
        </w:rPr>
        <w:t>)</w:t>
      </w:r>
      <w:r>
        <w:rPr>
          <w:sz w:val="20"/>
          <w:szCs w:val="20"/>
          <w:lang w:val="en-GB"/>
        </w:rPr>
        <w:t xml:space="preserve"> </w:t>
      </w:r>
      <w:r w:rsidRPr="009C5A1B">
        <w:rPr>
          <w:sz w:val="20"/>
          <w:szCs w:val="20"/>
          <w:lang w:val="en-GB"/>
        </w:rPr>
        <w:t xml:space="preserve">in the same </w:t>
      </w:r>
      <w:r>
        <w:rPr>
          <w:sz w:val="20"/>
          <w:szCs w:val="20"/>
          <w:lang w:val="en-GB"/>
        </w:rPr>
        <w:t>row</w:t>
      </w:r>
      <w:r w:rsidRPr="009C5A1B">
        <w:rPr>
          <w:sz w:val="20"/>
          <w:szCs w:val="20"/>
          <w:lang w:val="en-GB"/>
        </w:rPr>
        <w:t xml:space="preserve"> </w:t>
      </w:r>
      <w:r>
        <w:rPr>
          <w:sz w:val="20"/>
          <w:szCs w:val="20"/>
          <w:lang w:val="en-GB"/>
        </w:rPr>
        <w:t>differ significantly (P&lt;0.05</w:t>
      </w:r>
      <w:r w:rsidRPr="009C5A1B">
        <w:rPr>
          <w:sz w:val="20"/>
          <w:szCs w:val="20"/>
          <w:lang w:val="en-GB"/>
        </w:rPr>
        <w:t>).</w:t>
      </w:r>
    </w:p>
    <w:p w:rsidR="008B6F6A" w:rsidRPr="00A001F3" w:rsidRDefault="008B6F6A" w:rsidP="008B6F6A">
      <w:pPr>
        <w:rPr>
          <w:lang w:val="en-GB"/>
        </w:rPr>
      </w:pPr>
    </w:p>
    <w:p w:rsidR="008B6F6A" w:rsidRDefault="008B6F6A">
      <w:pPr>
        <w:rPr>
          <w:lang w:val="en-GB"/>
        </w:rPr>
      </w:pPr>
    </w:p>
    <w:p w:rsidR="008B6F6A" w:rsidRDefault="008B6F6A" w:rsidP="008B6F6A">
      <w:pPr>
        <w:rPr>
          <w:b/>
          <w:sz w:val="20"/>
          <w:szCs w:val="20"/>
          <w:lang w:val="en-GB"/>
        </w:rPr>
      </w:pPr>
      <w:r w:rsidRPr="003452F8">
        <w:rPr>
          <w:b/>
          <w:sz w:val="20"/>
          <w:szCs w:val="20"/>
          <w:lang w:val="en-GB"/>
        </w:rPr>
        <w:lastRenderedPageBreak/>
        <w:t xml:space="preserve">Table </w:t>
      </w:r>
      <w:r>
        <w:rPr>
          <w:b/>
          <w:sz w:val="20"/>
          <w:szCs w:val="20"/>
          <w:lang w:val="en-GB"/>
        </w:rPr>
        <w:t xml:space="preserve">3 </w:t>
      </w:r>
    </w:p>
    <w:p w:rsidR="008B6F6A" w:rsidRPr="008722DA" w:rsidRDefault="008B6F6A" w:rsidP="008B6F6A">
      <w:pPr>
        <w:rPr>
          <w:lang w:val="en-GB"/>
        </w:rPr>
      </w:pPr>
      <w:r w:rsidRPr="003452F8">
        <w:rPr>
          <w:sz w:val="20"/>
          <w:szCs w:val="20"/>
          <w:lang w:val="en-GB"/>
        </w:rPr>
        <w:t xml:space="preserve">Total </w:t>
      </w:r>
      <w:r>
        <w:rPr>
          <w:sz w:val="20"/>
          <w:szCs w:val="20"/>
          <w:lang w:val="en-GB"/>
        </w:rPr>
        <w:t>bacterial</w:t>
      </w:r>
      <w:r w:rsidRPr="003452F8">
        <w:rPr>
          <w:sz w:val="20"/>
          <w:szCs w:val="20"/>
          <w:lang w:val="en-GB"/>
        </w:rPr>
        <w:t xml:space="preserve"> counts (T</w:t>
      </w:r>
      <w:r>
        <w:rPr>
          <w:sz w:val="20"/>
          <w:szCs w:val="20"/>
          <w:lang w:val="en-GB"/>
        </w:rPr>
        <w:t>B</w:t>
      </w:r>
      <w:r w:rsidRPr="003452F8">
        <w:rPr>
          <w:sz w:val="20"/>
          <w:szCs w:val="20"/>
          <w:lang w:val="en-GB"/>
        </w:rPr>
        <w:t xml:space="preserve">C) of </w:t>
      </w:r>
      <w:proofErr w:type="spellStart"/>
      <w:r w:rsidRPr="003452F8">
        <w:rPr>
          <w:sz w:val="20"/>
          <w:szCs w:val="20"/>
          <w:lang w:val="en-GB"/>
        </w:rPr>
        <w:t>mesophilic</w:t>
      </w:r>
      <w:proofErr w:type="spellEnd"/>
      <w:r w:rsidRPr="003452F8">
        <w:rPr>
          <w:sz w:val="20"/>
          <w:szCs w:val="20"/>
          <w:lang w:val="en-GB"/>
        </w:rPr>
        <w:t xml:space="preserve"> bacteria </w:t>
      </w:r>
      <w:r>
        <w:rPr>
          <w:sz w:val="20"/>
          <w:szCs w:val="20"/>
          <w:lang w:val="en-GB"/>
        </w:rPr>
        <w:t>from</w:t>
      </w:r>
      <w:r w:rsidRPr="003452F8">
        <w:rPr>
          <w:sz w:val="20"/>
          <w:szCs w:val="20"/>
          <w:lang w:val="en-GB"/>
        </w:rPr>
        <w:t xml:space="preserve"> </w:t>
      </w:r>
      <w:r w:rsidRPr="00E24A14">
        <w:rPr>
          <w:sz w:val="20"/>
          <w:szCs w:val="20"/>
          <w:lang w:val="en-GB"/>
        </w:rPr>
        <w:t xml:space="preserve">infested </w:t>
      </w:r>
      <w:r>
        <w:rPr>
          <w:sz w:val="20"/>
          <w:szCs w:val="20"/>
          <w:lang w:val="en-GB"/>
        </w:rPr>
        <w:t xml:space="preserve">and control </w:t>
      </w:r>
      <w:r w:rsidRPr="003452F8">
        <w:rPr>
          <w:sz w:val="20"/>
          <w:szCs w:val="20"/>
          <w:lang w:val="en-GB"/>
        </w:rPr>
        <w:t xml:space="preserve">substrate samples </w:t>
      </w:r>
      <w:r>
        <w:rPr>
          <w:sz w:val="20"/>
          <w:szCs w:val="20"/>
          <w:lang w:val="en-GB"/>
        </w:rPr>
        <w:t>following incubation in</w:t>
      </w:r>
      <w:r w:rsidRPr="003452F8">
        <w:rPr>
          <w:sz w:val="20"/>
          <w:szCs w:val="20"/>
          <w:lang w:val="en-GB"/>
        </w:rPr>
        <w:t xml:space="preserve"> </w:t>
      </w:r>
      <w:proofErr w:type="spellStart"/>
      <w:r>
        <w:rPr>
          <w:sz w:val="20"/>
          <w:szCs w:val="20"/>
          <w:lang w:val="en-GB"/>
        </w:rPr>
        <w:t>phytotrons</w:t>
      </w:r>
      <w:proofErr w:type="spellEnd"/>
      <w:r w:rsidRPr="003452F8">
        <w:rPr>
          <w:sz w:val="20"/>
          <w:szCs w:val="20"/>
          <w:lang w:val="en-GB"/>
        </w:rPr>
        <w:t xml:space="preserve"> for 28 days.</w:t>
      </w:r>
    </w:p>
    <w:p w:rsidR="008B6F6A" w:rsidRDefault="008B6F6A" w:rsidP="008B6F6A">
      <w:pPr>
        <w:rPr>
          <w:lang w:val="en-GB"/>
        </w:rPr>
      </w:pPr>
    </w:p>
    <w:tbl>
      <w:tblPr>
        <w:tblpPr w:leftFromText="141" w:rightFromText="141" w:vertAnchor="text" w:horzAnchor="margin" w:tblpXSpec="center" w:tblpY="-54"/>
        <w:tblW w:w="9250" w:type="dxa"/>
        <w:tblLayout w:type="fixed"/>
        <w:tblCellMar>
          <w:left w:w="70" w:type="dxa"/>
          <w:right w:w="70" w:type="dxa"/>
        </w:tblCellMar>
        <w:tblLook w:val="0000"/>
      </w:tblPr>
      <w:tblGrid>
        <w:gridCol w:w="1260"/>
        <w:gridCol w:w="1102"/>
        <w:gridCol w:w="1701"/>
        <w:gridCol w:w="1701"/>
        <w:gridCol w:w="1701"/>
        <w:gridCol w:w="1785"/>
      </w:tblGrid>
      <w:tr w:rsidR="008B6F6A" w:rsidRPr="000A1A47" w:rsidTr="002A6EB7">
        <w:trPr>
          <w:trHeight w:val="255"/>
        </w:trPr>
        <w:tc>
          <w:tcPr>
            <w:tcW w:w="1260" w:type="dxa"/>
          </w:tcPr>
          <w:p w:rsidR="008B6F6A" w:rsidRPr="00974E6A" w:rsidRDefault="008B6F6A" w:rsidP="002A6EB7">
            <w:pPr>
              <w:jc w:val="center"/>
              <w:rPr>
                <w:sz w:val="20"/>
                <w:szCs w:val="20"/>
                <w:lang w:val="en-GB"/>
              </w:rPr>
            </w:pPr>
            <w:bookmarkStart w:id="2" w:name="OLE_LINK2"/>
          </w:p>
        </w:tc>
        <w:tc>
          <w:tcPr>
            <w:tcW w:w="1102" w:type="dxa"/>
            <w:shd w:val="clear" w:color="auto" w:fill="auto"/>
            <w:noWrap/>
            <w:vAlign w:val="bottom"/>
          </w:tcPr>
          <w:p w:rsidR="008B6F6A" w:rsidRPr="00974E6A" w:rsidRDefault="008B6F6A" w:rsidP="002A6EB7">
            <w:pPr>
              <w:jc w:val="center"/>
              <w:rPr>
                <w:sz w:val="20"/>
                <w:szCs w:val="20"/>
                <w:lang w:val="en-GB"/>
              </w:rPr>
            </w:pPr>
          </w:p>
        </w:tc>
        <w:tc>
          <w:tcPr>
            <w:tcW w:w="6888" w:type="dxa"/>
            <w:gridSpan w:val="4"/>
            <w:tcBorders>
              <w:top w:val="single" w:sz="4" w:space="0" w:color="auto"/>
              <w:bottom w:val="single" w:sz="4" w:space="0" w:color="auto"/>
            </w:tcBorders>
            <w:shd w:val="clear" w:color="auto" w:fill="auto"/>
            <w:noWrap/>
            <w:vAlign w:val="bottom"/>
          </w:tcPr>
          <w:p w:rsidR="008B6F6A" w:rsidRPr="000A1A47" w:rsidRDefault="008B6F6A" w:rsidP="002A6EB7">
            <w:pPr>
              <w:jc w:val="center"/>
              <w:rPr>
                <w:sz w:val="20"/>
                <w:szCs w:val="20"/>
              </w:rPr>
            </w:pPr>
            <w:r>
              <w:rPr>
                <w:rFonts w:ascii="Arial" w:hAnsi="Arial" w:cs="Arial"/>
                <w:sz w:val="20"/>
                <w:szCs w:val="20"/>
                <w:vertAlign w:val="superscript"/>
              </w:rPr>
              <w:t>*</w:t>
            </w:r>
            <w:r w:rsidRPr="000A1A47">
              <w:rPr>
                <w:rFonts w:ascii="Arial" w:hAnsi="Arial" w:cs="Arial"/>
                <w:sz w:val="20"/>
                <w:szCs w:val="20"/>
                <w:vertAlign w:val="superscript"/>
              </w:rPr>
              <w:t xml:space="preserve"> </w:t>
            </w:r>
            <w:r w:rsidRPr="000A1A47">
              <w:rPr>
                <w:rFonts w:ascii="Arial" w:hAnsi="Arial" w:cs="Arial"/>
                <w:sz w:val="20"/>
                <w:szCs w:val="20"/>
              </w:rPr>
              <w:t>Log CFU g</w:t>
            </w:r>
            <w:r w:rsidRPr="007D3454">
              <w:rPr>
                <w:rFonts w:ascii="Arial" w:hAnsi="Arial" w:cs="Arial"/>
                <w:sz w:val="20"/>
                <w:szCs w:val="20"/>
                <w:vertAlign w:val="superscript"/>
              </w:rPr>
              <w:t>-1</w:t>
            </w:r>
            <w:r w:rsidRPr="000A1A47">
              <w:rPr>
                <w:rFonts w:ascii="Arial" w:hAnsi="Arial" w:cs="Arial"/>
                <w:sz w:val="20"/>
                <w:szCs w:val="20"/>
              </w:rPr>
              <w:t xml:space="preserve"> ± SD</w:t>
            </w:r>
          </w:p>
        </w:tc>
      </w:tr>
      <w:tr w:rsidR="008B6F6A" w:rsidRPr="000A1A47" w:rsidTr="002A6EB7">
        <w:trPr>
          <w:trHeight w:val="255"/>
        </w:trPr>
        <w:tc>
          <w:tcPr>
            <w:tcW w:w="1260" w:type="dxa"/>
            <w:tcBorders>
              <w:bottom w:val="single" w:sz="4" w:space="0" w:color="auto"/>
            </w:tcBorders>
            <w:vAlign w:val="center"/>
          </w:tcPr>
          <w:p w:rsidR="008B6F6A" w:rsidRPr="000A1A47" w:rsidRDefault="008B6F6A" w:rsidP="002A6EB7">
            <w:pPr>
              <w:jc w:val="center"/>
            </w:pPr>
          </w:p>
        </w:tc>
        <w:tc>
          <w:tcPr>
            <w:tcW w:w="1102" w:type="dxa"/>
            <w:tcBorders>
              <w:bottom w:val="single" w:sz="4" w:space="0" w:color="auto"/>
            </w:tcBorders>
            <w:shd w:val="clear" w:color="auto" w:fill="auto"/>
            <w:noWrap/>
            <w:vAlign w:val="bottom"/>
          </w:tcPr>
          <w:p w:rsidR="008B6F6A" w:rsidRPr="00375726" w:rsidRDefault="008B6F6A" w:rsidP="002A6EB7">
            <w:pPr>
              <w:jc w:val="center"/>
              <w:rPr>
                <w:sz w:val="20"/>
                <w:szCs w:val="20"/>
              </w:rPr>
            </w:pPr>
            <w:r>
              <w:rPr>
                <w:sz w:val="20"/>
                <w:szCs w:val="20"/>
              </w:rPr>
              <w:t>Sampling day</w:t>
            </w:r>
          </w:p>
        </w:tc>
        <w:tc>
          <w:tcPr>
            <w:tcW w:w="1701" w:type="dxa"/>
            <w:tcBorders>
              <w:top w:val="single" w:sz="4" w:space="0" w:color="auto"/>
              <w:bottom w:val="single" w:sz="4" w:space="0" w:color="auto"/>
            </w:tcBorders>
            <w:shd w:val="clear" w:color="auto" w:fill="auto"/>
            <w:noWrap/>
            <w:vAlign w:val="center"/>
          </w:tcPr>
          <w:p w:rsidR="008B6F6A" w:rsidRPr="000A1A47" w:rsidRDefault="008B6F6A" w:rsidP="002A6EB7">
            <w:pPr>
              <w:jc w:val="center"/>
              <w:rPr>
                <w:sz w:val="20"/>
                <w:szCs w:val="20"/>
              </w:rPr>
            </w:pPr>
            <w:r>
              <w:rPr>
                <w:sz w:val="20"/>
                <w:szCs w:val="20"/>
              </w:rPr>
              <w:t>1</w:t>
            </w:r>
          </w:p>
          <w:p w:rsidR="008B6F6A" w:rsidRPr="000A1A47" w:rsidRDefault="008B6F6A" w:rsidP="002A6EB7">
            <w:pPr>
              <w:jc w:val="center"/>
              <w:rPr>
                <w:sz w:val="20"/>
                <w:szCs w:val="20"/>
              </w:rPr>
            </w:pPr>
            <w:r w:rsidRPr="000A1A47">
              <w:rPr>
                <w:sz w:val="20"/>
                <w:szCs w:val="20"/>
              </w:rPr>
              <w:t>(</w:t>
            </w:r>
            <w:r w:rsidRPr="000A1A47">
              <w:rPr>
                <w:bCs/>
                <w:sz w:val="20"/>
                <w:szCs w:val="20"/>
                <w:lang w:val="en-GB"/>
              </w:rPr>
              <w:t>800</w:t>
            </w:r>
            <w:r>
              <w:rPr>
                <w:bCs/>
                <w:sz w:val="20"/>
                <w:szCs w:val="20"/>
                <w:lang w:val="en-GB"/>
              </w:rPr>
              <w:t xml:space="preserve"> </w:t>
            </w:r>
            <w:proofErr w:type="spellStart"/>
            <w:r w:rsidRPr="000A1A47">
              <w:rPr>
                <w:bCs/>
                <w:sz w:val="20"/>
                <w:szCs w:val="20"/>
                <w:lang w:val="en-GB"/>
              </w:rPr>
              <w:t>ppm</w:t>
            </w:r>
            <w:proofErr w:type="spellEnd"/>
            <w:r w:rsidRPr="000A1A47">
              <w:rPr>
                <w:bCs/>
                <w:sz w:val="20"/>
                <w:szCs w:val="20"/>
                <w:lang w:val="en-GB"/>
              </w:rPr>
              <w:t xml:space="preserve"> CO</w:t>
            </w:r>
            <w:r w:rsidRPr="000A1A47">
              <w:rPr>
                <w:bCs/>
                <w:sz w:val="20"/>
                <w:szCs w:val="20"/>
                <w:vertAlign w:val="subscript"/>
                <w:lang w:val="en-GB"/>
              </w:rPr>
              <w:t>2</w:t>
            </w:r>
            <w:r w:rsidRPr="000A1A47">
              <w:rPr>
                <w:bCs/>
                <w:sz w:val="20"/>
                <w:szCs w:val="20"/>
                <w:lang w:val="en-GB"/>
              </w:rPr>
              <w:t xml:space="preserve"> 22-26°C)</w:t>
            </w:r>
          </w:p>
        </w:tc>
        <w:tc>
          <w:tcPr>
            <w:tcW w:w="1701" w:type="dxa"/>
            <w:tcBorders>
              <w:top w:val="single" w:sz="4" w:space="0" w:color="auto"/>
              <w:bottom w:val="single" w:sz="4" w:space="0" w:color="auto"/>
            </w:tcBorders>
            <w:shd w:val="clear" w:color="auto" w:fill="auto"/>
            <w:noWrap/>
            <w:vAlign w:val="center"/>
          </w:tcPr>
          <w:p w:rsidR="008B6F6A" w:rsidRPr="000A1A47" w:rsidRDefault="008B6F6A" w:rsidP="002A6EB7">
            <w:pPr>
              <w:jc w:val="center"/>
              <w:rPr>
                <w:sz w:val="20"/>
                <w:szCs w:val="20"/>
              </w:rPr>
            </w:pPr>
            <w:r>
              <w:rPr>
                <w:sz w:val="20"/>
                <w:szCs w:val="20"/>
              </w:rPr>
              <w:t>2</w:t>
            </w:r>
          </w:p>
          <w:p w:rsidR="008B6F6A" w:rsidRPr="000A1A47" w:rsidRDefault="008B6F6A" w:rsidP="002A6EB7">
            <w:pPr>
              <w:jc w:val="center"/>
              <w:rPr>
                <w:sz w:val="20"/>
                <w:szCs w:val="20"/>
              </w:rPr>
            </w:pPr>
            <w:r w:rsidRPr="000A1A47">
              <w:rPr>
                <w:sz w:val="20"/>
                <w:szCs w:val="20"/>
              </w:rPr>
              <w:t>(</w:t>
            </w:r>
            <w:r w:rsidRPr="000A1A47">
              <w:rPr>
                <w:bCs/>
                <w:sz w:val="20"/>
                <w:szCs w:val="20"/>
                <w:lang w:val="en-GB"/>
              </w:rPr>
              <w:t>800</w:t>
            </w:r>
            <w:r>
              <w:rPr>
                <w:bCs/>
                <w:sz w:val="20"/>
                <w:szCs w:val="20"/>
                <w:lang w:val="en-GB"/>
              </w:rPr>
              <w:t xml:space="preserve"> </w:t>
            </w:r>
            <w:proofErr w:type="spellStart"/>
            <w:r w:rsidRPr="000A1A47">
              <w:rPr>
                <w:bCs/>
                <w:sz w:val="20"/>
                <w:szCs w:val="20"/>
                <w:lang w:val="en-GB"/>
              </w:rPr>
              <w:t>ppm</w:t>
            </w:r>
            <w:proofErr w:type="spellEnd"/>
            <w:r w:rsidRPr="000A1A47">
              <w:rPr>
                <w:bCs/>
                <w:sz w:val="20"/>
                <w:szCs w:val="20"/>
                <w:lang w:val="en-GB"/>
              </w:rPr>
              <w:t xml:space="preserve"> CO</w:t>
            </w:r>
            <w:r w:rsidRPr="000A1A47">
              <w:rPr>
                <w:bCs/>
                <w:sz w:val="20"/>
                <w:szCs w:val="20"/>
                <w:vertAlign w:val="subscript"/>
                <w:lang w:val="en-GB"/>
              </w:rPr>
              <w:t xml:space="preserve">2 </w:t>
            </w:r>
            <w:r w:rsidRPr="000A1A47">
              <w:rPr>
                <w:bCs/>
                <w:sz w:val="20"/>
                <w:szCs w:val="20"/>
                <w:lang w:val="en-GB"/>
              </w:rPr>
              <w:t>18-22°C)</w:t>
            </w:r>
          </w:p>
        </w:tc>
        <w:tc>
          <w:tcPr>
            <w:tcW w:w="1701" w:type="dxa"/>
            <w:tcBorders>
              <w:top w:val="single" w:sz="4" w:space="0" w:color="auto"/>
              <w:bottom w:val="single" w:sz="4" w:space="0" w:color="auto"/>
            </w:tcBorders>
            <w:shd w:val="clear" w:color="auto" w:fill="auto"/>
            <w:noWrap/>
            <w:vAlign w:val="center"/>
          </w:tcPr>
          <w:p w:rsidR="008B6F6A" w:rsidRPr="000A1A47" w:rsidRDefault="008B6F6A" w:rsidP="002A6EB7">
            <w:pPr>
              <w:jc w:val="center"/>
              <w:rPr>
                <w:sz w:val="20"/>
                <w:szCs w:val="20"/>
              </w:rPr>
            </w:pPr>
            <w:r>
              <w:rPr>
                <w:sz w:val="20"/>
                <w:szCs w:val="20"/>
              </w:rPr>
              <w:t>3</w:t>
            </w:r>
          </w:p>
          <w:p w:rsidR="008B6F6A" w:rsidRPr="000A1A47" w:rsidRDefault="008B6F6A" w:rsidP="002A6EB7">
            <w:pPr>
              <w:jc w:val="center"/>
              <w:rPr>
                <w:sz w:val="20"/>
                <w:szCs w:val="20"/>
              </w:rPr>
            </w:pPr>
            <w:r w:rsidRPr="000A1A47">
              <w:rPr>
                <w:sz w:val="20"/>
                <w:szCs w:val="20"/>
              </w:rPr>
              <w:t>(</w:t>
            </w:r>
            <w:r w:rsidRPr="000A1A47">
              <w:rPr>
                <w:bCs/>
                <w:sz w:val="20"/>
                <w:szCs w:val="20"/>
                <w:lang w:val="en-GB"/>
              </w:rPr>
              <w:t>400</w:t>
            </w:r>
            <w:r>
              <w:rPr>
                <w:bCs/>
                <w:sz w:val="20"/>
                <w:szCs w:val="20"/>
                <w:lang w:val="en-GB"/>
              </w:rPr>
              <w:t xml:space="preserve"> </w:t>
            </w:r>
            <w:proofErr w:type="spellStart"/>
            <w:r w:rsidRPr="000A1A47">
              <w:rPr>
                <w:bCs/>
                <w:sz w:val="20"/>
                <w:szCs w:val="20"/>
                <w:lang w:val="en-GB"/>
              </w:rPr>
              <w:t>ppm</w:t>
            </w:r>
            <w:proofErr w:type="spellEnd"/>
            <w:r w:rsidRPr="000A1A47">
              <w:rPr>
                <w:bCs/>
                <w:sz w:val="20"/>
                <w:szCs w:val="20"/>
                <w:lang w:val="en-GB"/>
              </w:rPr>
              <w:t xml:space="preserve"> CO</w:t>
            </w:r>
            <w:r w:rsidRPr="000A1A47">
              <w:rPr>
                <w:bCs/>
                <w:sz w:val="20"/>
                <w:szCs w:val="20"/>
                <w:vertAlign w:val="subscript"/>
                <w:lang w:val="en-GB"/>
              </w:rPr>
              <w:t xml:space="preserve">2 </w:t>
            </w:r>
            <w:r w:rsidRPr="000A1A47">
              <w:rPr>
                <w:bCs/>
                <w:sz w:val="20"/>
                <w:szCs w:val="20"/>
                <w:lang w:val="en-GB"/>
              </w:rPr>
              <w:t xml:space="preserve"> 22-26°C)</w:t>
            </w:r>
          </w:p>
        </w:tc>
        <w:tc>
          <w:tcPr>
            <w:tcW w:w="1785" w:type="dxa"/>
            <w:tcBorders>
              <w:top w:val="single" w:sz="4" w:space="0" w:color="auto"/>
              <w:bottom w:val="single" w:sz="4" w:space="0" w:color="auto"/>
            </w:tcBorders>
            <w:shd w:val="clear" w:color="auto" w:fill="auto"/>
            <w:noWrap/>
            <w:vAlign w:val="center"/>
          </w:tcPr>
          <w:p w:rsidR="008B6F6A" w:rsidRPr="000A1A47" w:rsidRDefault="008B6F6A" w:rsidP="002A6EB7">
            <w:pPr>
              <w:jc w:val="center"/>
              <w:rPr>
                <w:sz w:val="20"/>
                <w:szCs w:val="20"/>
              </w:rPr>
            </w:pPr>
            <w:r>
              <w:rPr>
                <w:sz w:val="20"/>
                <w:szCs w:val="20"/>
              </w:rPr>
              <w:t>4</w:t>
            </w:r>
          </w:p>
          <w:p w:rsidR="008B6F6A" w:rsidRPr="000A1A47" w:rsidRDefault="008B6F6A" w:rsidP="002A6EB7">
            <w:pPr>
              <w:jc w:val="center"/>
              <w:rPr>
                <w:sz w:val="20"/>
                <w:szCs w:val="20"/>
              </w:rPr>
            </w:pPr>
            <w:r w:rsidRPr="000A1A47">
              <w:rPr>
                <w:sz w:val="20"/>
                <w:szCs w:val="20"/>
              </w:rPr>
              <w:t>(</w:t>
            </w:r>
            <w:r w:rsidRPr="000A1A47">
              <w:rPr>
                <w:bCs/>
                <w:sz w:val="20"/>
                <w:szCs w:val="20"/>
                <w:lang w:val="en-GB"/>
              </w:rPr>
              <w:t>400</w:t>
            </w:r>
            <w:r>
              <w:rPr>
                <w:bCs/>
                <w:sz w:val="20"/>
                <w:szCs w:val="20"/>
                <w:lang w:val="en-GB"/>
              </w:rPr>
              <w:t xml:space="preserve"> </w:t>
            </w:r>
            <w:proofErr w:type="spellStart"/>
            <w:r w:rsidRPr="000A1A47">
              <w:rPr>
                <w:bCs/>
                <w:sz w:val="20"/>
                <w:szCs w:val="20"/>
                <w:lang w:val="en-GB"/>
              </w:rPr>
              <w:t>ppm</w:t>
            </w:r>
            <w:proofErr w:type="spellEnd"/>
            <w:r w:rsidRPr="000A1A47">
              <w:rPr>
                <w:bCs/>
                <w:sz w:val="20"/>
                <w:szCs w:val="20"/>
                <w:lang w:val="en-GB"/>
              </w:rPr>
              <w:t xml:space="preserve"> CO</w:t>
            </w:r>
            <w:r w:rsidRPr="000A1A47">
              <w:rPr>
                <w:bCs/>
                <w:sz w:val="20"/>
                <w:szCs w:val="20"/>
                <w:vertAlign w:val="subscript"/>
                <w:lang w:val="en-GB"/>
              </w:rPr>
              <w:t xml:space="preserve">2 </w:t>
            </w:r>
            <w:r w:rsidRPr="000A1A47">
              <w:rPr>
                <w:bCs/>
                <w:sz w:val="20"/>
                <w:szCs w:val="20"/>
                <w:lang w:val="en-GB"/>
              </w:rPr>
              <w:t xml:space="preserve"> 18-22°C)</w:t>
            </w:r>
          </w:p>
        </w:tc>
      </w:tr>
      <w:tr w:rsidR="008B6F6A" w:rsidRPr="00FC27AB" w:rsidTr="002A6EB7">
        <w:trPr>
          <w:trHeight w:val="80"/>
        </w:trPr>
        <w:tc>
          <w:tcPr>
            <w:tcW w:w="1260" w:type="dxa"/>
            <w:vMerge w:val="restart"/>
            <w:tcBorders>
              <w:top w:val="single" w:sz="4" w:space="0" w:color="auto"/>
            </w:tcBorders>
            <w:vAlign w:val="center"/>
          </w:tcPr>
          <w:p w:rsidR="008B6F6A" w:rsidRPr="000A1A47" w:rsidRDefault="008B6F6A" w:rsidP="002A6EB7">
            <w:pPr>
              <w:jc w:val="center"/>
            </w:pPr>
            <w:r>
              <w:rPr>
                <w:lang w:val="en-GB"/>
              </w:rPr>
              <w:t>I</w:t>
            </w:r>
            <w:r w:rsidRPr="00E24A14">
              <w:rPr>
                <w:lang w:val="en-GB"/>
              </w:rPr>
              <w:t>nfested</w:t>
            </w:r>
            <w:r>
              <w:rPr>
                <w:lang w:val="en-GB"/>
              </w:rPr>
              <w:t xml:space="preserve"> </w:t>
            </w:r>
            <w:r w:rsidRPr="000A1A47">
              <w:t>sample</w:t>
            </w:r>
            <w:r>
              <w:t>s</w:t>
            </w:r>
          </w:p>
        </w:tc>
        <w:tc>
          <w:tcPr>
            <w:tcW w:w="1102" w:type="dxa"/>
            <w:shd w:val="clear" w:color="auto" w:fill="auto"/>
            <w:noWrap/>
            <w:vAlign w:val="bottom"/>
          </w:tcPr>
          <w:p w:rsidR="008B6F6A" w:rsidRPr="000A1A47" w:rsidRDefault="008B6F6A" w:rsidP="002A6EB7">
            <w:pPr>
              <w:jc w:val="center"/>
              <w:rPr>
                <w:sz w:val="20"/>
                <w:szCs w:val="20"/>
              </w:rPr>
            </w:pPr>
            <w:r w:rsidRPr="000A1A47">
              <w:rPr>
                <w:sz w:val="20"/>
                <w:szCs w:val="20"/>
              </w:rPr>
              <w:t>7</w:t>
            </w:r>
          </w:p>
        </w:tc>
        <w:tc>
          <w:tcPr>
            <w:tcW w:w="1701" w:type="dxa"/>
            <w:shd w:val="clear" w:color="auto" w:fill="auto"/>
            <w:noWrap/>
            <w:vAlign w:val="center"/>
          </w:tcPr>
          <w:p w:rsidR="008B6F6A" w:rsidRPr="00FC27AB" w:rsidRDefault="008B6F6A" w:rsidP="002A6EB7">
            <w:pPr>
              <w:jc w:val="center"/>
              <w:rPr>
                <w:sz w:val="20"/>
                <w:szCs w:val="20"/>
                <w:lang w:val="de-DE"/>
              </w:rPr>
            </w:pPr>
            <w:r w:rsidRPr="00FC27AB">
              <w:rPr>
                <w:sz w:val="20"/>
                <w:szCs w:val="20"/>
                <w:lang w:val="de-DE"/>
              </w:rPr>
              <w:t>6.</w:t>
            </w:r>
            <w:r>
              <w:rPr>
                <w:sz w:val="20"/>
                <w:szCs w:val="20"/>
                <w:lang w:val="de-DE"/>
              </w:rPr>
              <w:t>84</w:t>
            </w:r>
            <w:r w:rsidRPr="00FC27AB">
              <w:rPr>
                <w:sz w:val="20"/>
                <w:szCs w:val="20"/>
                <w:lang w:val="de-DE"/>
              </w:rPr>
              <w:t xml:space="preserve"> ± 0.</w:t>
            </w:r>
            <w:r>
              <w:rPr>
                <w:sz w:val="20"/>
                <w:szCs w:val="20"/>
                <w:lang w:val="de-DE"/>
              </w:rPr>
              <w:t>58</w:t>
            </w:r>
            <w:r w:rsidRPr="00FC27AB">
              <w:rPr>
                <w:sz w:val="20"/>
                <w:szCs w:val="20"/>
                <w:lang w:val="de-DE"/>
              </w:rPr>
              <w:t xml:space="preserve"> </w:t>
            </w:r>
            <w:proofErr w:type="spellStart"/>
            <w:r w:rsidRPr="00FC27AB">
              <w:rPr>
                <w:sz w:val="20"/>
                <w:szCs w:val="20"/>
                <w:vertAlign w:val="superscript"/>
                <w:lang w:val="de-DE"/>
              </w:rPr>
              <w:t>a</w:t>
            </w:r>
            <w:r>
              <w:rPr>
                <w:sz w:val="20"/>
                <w:szCs w:val="20"/>
                <w:vertAlign w:val="superscript"/>
                <w:lang w:val="de-DE"/>
              </w:rPr>
              <w:t>A</w:t>
            </w:r>
            <w:proofErr w:type="spellEnd"/>
          </w:p>
        </w:tc>
        <w:tc>
          <w:tcPr>
            <w:tcW w:w="1701" w:type="dxa"/>
            <w:shd w:val="clear" w:color="auto" w:fill="auto"/>
            <w:noWrap/>
            <w:vAlign w:val="center"/>
          </w:tcPr>
          <w:p w:rsidR="008B6F6A" w:rsidRPr="00FC27AB" w:rsidRDefault="008B6F6A" w:rsidP="002A6EB7">
            <w:pPr>
              <w:jc w:val="center"/>
              <w:rPr>
                <w:sz w:val="20"/>
                <w:szCs w:val="20"/>
                <w:lang w:val="de-DE"/>
              </w:rPr>
            </w:pPr>
            <w:r w:rsidRPr="00FC27AB">
              <w:rPr>
                <w:sz w:val="20"/>
                <w:szCs w:val="20"/>
                <w:lang w:val="de-DE"/>
              </w:rPr>
              <w:t>6.</w:t>
            </w:r>
            <w:r>
              <w:rPr>
                <w:sz w:val="20"/>
                <w:szCs w:val="20"/>
                <w:lang w:val="de-DE"/>
              </w:rPr>
              <w:t>94</w:t>
            </w:r>
            <w:r w:rsidRPr="00FC27AB">
              <w:rPr>
                <w:sz w:val="20"/>
                <w:szCs w:val="20"/>
                <w:lang w:val="de-DE"/>
              </w:rPr>
              <w:t xml:space="preserve"> ± 0.</w:t>
            </w:r>
            <w:r>
              <w:rPr>
                <w:sz w:val="20"/>
                <w:szCs w:val="20"/>
                <w:lang w:val="de-DE"/>
              </w:rPr>
              <w:t>33</w:t>
            </w:r>
            <w:r w:rsidRPr="00FC27AB">
              <w:rPr>
                <w:sz w:val="20"/>
                <w:szCs w:val="20"/>
                <w:vertAlign w:val="superscript"/>
                <w:lang w:val="de-DE"/>
              </w:rPr>
              <w:t xml:space="preserve"> </w:t>
            </w:r>
            <w:proofErr w:type="spellStart"/>
            <w:r w:rsidRPr="00FC27AB">
              <w:rPr>
                <w:sz w:val="20"/>
                <w:szCs w:val="20"/>
                <w:vertAlign w:val="superscript"/>
                <w:lang w:val="de-DE"/>
              </w:rPr>
              <w:t>a</w:t>
            </w:r>
            <w:r>
              <w:rPr>
                <w:sz w:val="20"/>
                <w:szCs w:val="20"/>
                <w:vertAlign w:val="superscript"/>
                <w:lang w:val="de-DE"/>
              </w:rPr>
              <w:t>A</w:t>
            </w:r>
            <w:proofErr w:type="spellEnd"/>
          </w:p>
        </w:tc>
        <w:tc>
          <w:tcPr>
            <w:tcW w:w="1701" w:type="dxa"/>
            <w:shd w:val="clear" w:color="auto" w:fill="auto"/>
            <w:noWrap/>
            <w:vAlign w:val="center"/>
          </w:tcPr>
          <w:p w:rsidR="008B6F6A" w:rsidRPr="00FC27AB" w:rsidRDefault="008B6F6A" w:rsidP="002A6EB7">
            <w:pPr>
              <w:jc w:val="center"/>
              <w:rPr>
                <w:sz w:val="20"/>
                <w:szCs w:val="20"/>
                <w:lang w:val="de-DE"/>
              </w:rPr>
            </w:pPr>
            <w:r w:rsidRPr="00FC27AB">
              <w:rPr>
                <w:sz w:val="20"/>
                <w:szCs w:val="20"/>
                <w:lang w:val="de-DE"/>
              </w:rPr>
              <w:t>7.</w:t>
            </w:r>
            <w:r>
              <w:rPr>
                <w:sz w:val="20"/>
                <w:szCs w:val="20"/>
                <w:lang w:val="de-DE"/>
              </w:rPr>
              <w:t>12</w:t>
            </w:r>
            <w:r w:rsidRPr="00FC27AB">
              <w:rPr>
                <w:sz w:val="20"/>
                <w:szCs w:val="20"/>
                <w:lang w:val="de-DE"/>
              </w:rPr>
              <w:t xml:space="preserve"> ± 0.</w:t>
            </w:r>
            <w:r>
              <w:rPr>
                <w:sz w:val="20"/>
                <w:szCs w:val="20"/>
                <w:lang w:val="de-DE"/>
              </w:rPr>
              <w:t>27</w:t>
            </w:r>
            <w:r w:rsidRPr="00FC27AB">
              <w:rPr>
                <w:sz w:val="20"/>
                <w:szCs w:val="20"/>
                <w:vertAlign w:val="superscript"/>
                <w:lang w:val="de-DE"/>
              </w:rPr>
              <w:t>a</w:t>
            </w:r>
            <w:r>
              <w:rPr>
                <w:sz w:val="20"/>
                <w:szCs w:val="20"/>
                <w:vertAlign w:val="superscript"/>
                <w:lang w:val="de-DE"/>
              </w:rPr>
              <w:t>A</w:t>
            </w:r>
          </w:p>
        </w:tc>
        <w:tc>
          <w:tcPr>
            <w:tcW w:w="1785" w:type="dxa"/>
            <w:shd w:val="clear" w:color="auto" w:fill="auto"/>
            <w:noWrap/>
            <w:vAlign w:val="center"/>
          </w:tcPr>
          <w:p w:rsidR="008B6F6A" w:rsidRPr="00FC27AB" w:rsidRDefault="008B6F6A" w:rsidP="002A6EB7">
            <w:pPr>
              <w:jc w:val="center"/>
              <w:rPr>
                <w:sz w:val="20"/>
                <w:szCs w:val="20"/>
                <w:lang w:val="de-DE"/>
              </w:rPr>
            </w:pPr>
            <w:r w:rsidRPr="00FC27AB">
              <w:rPr>
                <w:sz w:val="20"/>
                <w:szCs w:val="20"/>
                <w:lang w:val="de-DE"/>
              </w:rPr>
              <w:t>6.</w:t>
            </w:r>
            <w:r>
              <w:rPr>
                <w:sz w:val="20"/>
                <w:szCs w:val="20"/>
                <w:lang w:val="de-DE"/>
              </w:rPr>
              <w:t>82</w:t>
            </w:r>
            <w:r w:rsidRPr="00FC27AB">
              <w:rPr>
                <w:sz w:val="20"/>
                <w:szCs w:val="20"/>
                <w:lang w:val="de-DE"/>
              </w:rPr>
              <w:t xml:space="preserve"> ± 0.</w:t>
            </w:r>
            <w:r>
              <w:rPr>
                <w:sz w:val="20"/>
                <w:szCs w:val="20"/>
                <w:lang w:val="de-DE"/>
              </w:rPr>
              <w:t>19</w:t>
            </w:r>
            <w:r w:rsidRPr="00FC27AB">
              <w:rPr>
                <w:sz w:val="20"/>
                <w:szCs w:val="20"/>
                <w:vertAlign w:val="superscript"/>
                <w:lang w:val="de-DE"/>
              </w:rPr>
              <w:t xml:space="preserve"> </w:t>
            </w:r>
            <w:proofErr w:type="spellStart"/>
            <w:r w:rsidRPr="00FC27AB">
              <w:rPr>
                <w:sz w:val="20"/>
                <w:szCs w:val="20"/>
                <w:vertAlign w:val="superscript"/>
                <w:lang w:val="de-DE"/>
              </w:rPr>
              <w:t>a</w:t>
            </w:r>
            <w:r>
              <w:rPr>
                <w:sz w:val="20"/>
                <w:szCs w:val="20"/>
                <w:vertAlign w:val="superscript"/>
                <w:lang w:val="de-DE"/>
              </w:rPr>
              <w:t>A</w:t>
            </w:r>
            <w:proofErr w:type="spellEnd"/>
          </w:p>
        </w:tc>
      </w:tr>
      <w:tr w:rsidR="008B6F6A" w:rsidRPr="000A1A47" w:rsidTr="002A6EB7">
        <w:trPr>
          <w:trHeight w:val="255"/>
        </w:trPr>
        <w:tc>
          <w:tcPr>
            <w:tcW w:w="1260" w:type="dxa"/>
            <w:vMerge/>
          </w:tcPr>
          <w:p w:rsidR="008B6F6A" w:rsidRPr="00FC27AB" w:rsidRDefault="008B6F6A" w:rsidP="002A6EB7">
            <w:pPr>
              <w:rPr>
                <w:lang w:val="de-DE"/>
              </w:rPr>
            </w:pPr>
          </w:p>
        </w:tc>
        <w:tc>
          <w:tcPr>
            <w:tcW w:w="1102" w:type="dxa"/>
            <w:shd w:val="clear" w:color="auto" w:fill="auto"/>
            <w:noWrap/>
            <w:vAlign w:val="bottom"/>
          </w:tcPr>
          <w:p w:rsidR="008B6F6A" w:rsidRPr="00FC27AB" w:rsidRDefault="008B6F6A" w:rsidP="002A6EB7">
            <w:pPr>
              <w:jc w:val="center"/>
              <w:rPr>
                <w:sz w:val="20"/>
                <w:szCs w:val="20"/>
                <w:lang w:val="de-DE"/>
              </w:rPr>
            </w:pPr>
            <w:r w:rsidRPr="00FC27AB">
              <w:rPr>
                <w:sz w:val="20"/>
                <w:szCs w:val="20"/>
                <w:lang w:val="de-DE"/>
              </w:rPr>
              <w:t>14</w:t>
            </w:r>
          </w:p>
        </w:tc>
        <w:tc>
          <w:tcPr>
            <w:tcW w:w="1701" w:type="dxa"/>
            <w:shd w:val="clear" w:color="auto" w:fill="auto"/>
            <w:noWrap/>
            <w:vAlign w:val="center"/>
          </w:tcPr>
          <w:p w:rsidR="008B6F6A" w:rsidRPr="00FC27AB" w:rsidRDefault="008B6F6A" w:rsidP="002A6EB7">
            <w:pPr>
              <w:jc w:val="center"/>
              <w:rPr>
                <w:sz w:val="20"/>
                <w:szCs w:val="20"/>
                <w:lang w:val="de-DE"/>
              </w:rPr>
            </w:pPr>
            <w:r w:rsidRPr="00FC27AB">
              <w:rPr>
                <w:sz w:val="20"/>
                <w:szCs w:val="20"/>
                <w:lang w:val="de-DE"/>
              </w:rPr>
              <w:t>7.</w:t>
            </w:r>
            <w:r>
              <w:rPr>
                <w:sz w:val="20"/>
                <w:szCs w:val="20"/>
                <w:lang w:val="de-DE"/>
              </w:rPr>
              <w:t>15</w:t>
            </w:r>
            <w:r w:rsidRPr="00FC27AB">
              <w:rPr>
                <w:sz w:val="20"/>
                <w:szCs w:val="20"/>
                <w:lang w:val="de-DE"/>
              </w:rPr>
              <w:t xml:space="preserve"> ± 0.</w:t>
            </w:r>
            <w:r>
              <w:rPr>
                <w:sz w:val="20"/>
                <w:szCs w:val="20"/>
                <w:lang w:val="de-DE"/>
              </w:rPr>
              <w:t>50</w:t>
            </w:r>
            <w:r w:rsidRPr="00FC27AB">
              <w:rPr>
                <w:sz w:val="20"/>
                <w:szCs w:val="20"/>
                <w:vertAlign w:val="superscript"/>
                <w:lang w:val="de-DE"/>
              </w:rPr>
              <w:t xml:space="preserve"> </w:t>
            </w:r>
            <w:proofErr w:type="spellStart"/>
            <w:r w:rsidRPr="00FC27AB">
              <w:rPr>
                <w:sz w:val="20"/>
                <w:szCs w:val="20"/>
                <w:vertAlign w:val="superscript"/>
                <w:lang w:val="de-DE"/>
              </w:rPr>
              <w:t>a</w:t>
            </w:r>
            <w:r>
              <w:rPr>
                <w:sz w:val="20"/>
                <w:szCs w:val="20"/>
                <w:vertAlign w:val="superscript"/>
                <w:lang w:val="de-DE"/>
              </w:rPr>
              <w:t>bA</w:t>
            </w:r>
            <w:proofErr w:type="spellEnd"/>
          </w:p>
        </w:tc>
        <w:tc>
          <w:tcPr>
            <w:tcW w:w="1701" w:type="dxa"/>
            <w:shd w:val="clear" w:color="auto" w:fill="auto"/>
            <w:noWrap/>
            <w:vAlign w:val="center"/>
          </w:tcPr>
          <w:p w:rsidR="008B6F6A" w:rsidRPr="00FC27AB" w:rsidRDefault="008B6F6A" w:rsidP="002A6EB7">
            <w:pPr>
              <w:jc w:val="center"/>
              <w:rPr>
                <w:sz w:val="20"/>
                <w:szCs w:val="20"/>
                <w:lang w:val="de-DE"/>
              </w:rPr>
            </w:pPr>
            <w:r w:rsidRPr="00FC27AB">
              <w:rPr>
                <w:sz w:val="20"/>
                <w:szCs w:val="20"/>
                <w:lang w:val="de-DE"/>
              </w:rPr>
              <w:t>7.</w:t>
            </w:r>
            <w:r>
              <w:rPr>
                <w:sz w:val="20"/>
                <w:szCs w:val="20"/>
                <w:lang w:val="de-DE"/>
              </w:rPr>
              <w:t>49</w:t>
            </w:r>
            <w:r w:rsidRPr="00FC27AB">
              <w:rPr>
                <w:sz w:val="20"/>
                <w:szCs w:val="20"/>
                <w:lang w:val="de-DE"/>
              </w:rPr>
              <w:t xml:space="preserve"> ± 0.</w:t>
            </w:r>
            <w:r>
              <w:rPr>
                <w:sz w:val="20"/>
                <w:szCs w:val="20"/>
                <w:lang w:val="de-DE"/>
              </w:rPr>
              <w:t>3</w:t>
            </w:r>
            <w:r w:rsidRPr="00FC27AB">
              <w:rPr>
                <w:sz w:val="20"/>
                <w:szCs w:val="20"/>
                <w:lang w:val="de-DE"/>
              </w:rPr>
              <w:t>4</w:t>
            </w:r>
            <w:r w:rsidRPr="00FC27AB">
              <w:rPr>
                <w:sz w:val="20"/>
                <w:szCs w:val="20"/>
                <w:vertAlign w:val="superscript"/>
                <w:lang w:val="de-DE"/>
              </w:rPr>
              <w:t xml:space="preserve"> </w:t>
            </w:r>
            <w:proofErr w:type="spellStart"/>
            <w:r>
              <w:rPr>
                <w:sz w:val="20"/>
                <w:szCs w:val="20"/>
                <w:vertAlign w:val="superscript"/>
                <w:lang w:val="de-DE"/>
              </w:rPr>
              <w:t>bB</w:t>
            </w:r>
            <w:proofErr w:type="spellEnd"/>
          </w:p>
        </w:tc>
        <w:tc>
          <w:tcPr>
            <w:tcW w:w="1701" w:type="dxa"/>
            <w:shd w:val="clear" w:color="auto" w:fill="auto"/>
            <w:noWrap/>
            <w:vAlign w:val="center"/>
          </w:tcPr>
          <w:p w:rsidR="008B6F6A" w:rsidRPr="00FC27AB" w:rsidRDefault="008B6F6A" w:rsidP="002A6EB7">
            <w:pPr>
              <w:jc w:val="center"/>
              <w:rPr>
                <w:sz w:val="20"/>
                <w:szCs w:val="20"/>
                <w:lang w:val="de-DE"/>
              </w:rPr>
            </w:pPr>
            <w:r w:rsidRPr="00FC27AB">
              <w:rPr>
                <w:sz w:val="20"/>
                <w:szCs w:val="20"/>
                <w:lang w:val="de-DE"/>
              </w:rPr>
              <w:t>7.</w:t>
            </w:r>
            <w:r>
              <w:rPr>
                <w:sz w:val="20"/>
                <w:szCs w:val="20"/>
                <w:lang w:val="de-DE"/>
              </w:rPr>
              <w:t>21</w:t>
            </w:r>
            <w:r w:rsidRPr="00FC27AB">
              <w:rPr>
                <w:sz w:val="20"/>
                <w:szCs w:val="20"/>
                <w:lang w:val="de-DE"/>
              </w:rPr>
              <w:t xml:space="preserve"> ± 0.</w:t>
            </w:r>
            <w:r>
              <w:rPr>
                <w:sz w:val="20"/>
                <w:szCs w:val="20"/>
                <w:lang w:val="de-DE"/>
              </w:rPr>
              <w:t>37</w:t>
            </w:r>
            <w:r w:rsidRPr="00FC27AB">
              <w:rPr>
                <w:sz w:val="20"/>
                <w:szCs w:val="20"/>
                <w:vertAlign w:val="superscript"/>
                <w:lang w:val="de-DE"/>
              </w:rPr>
              <w:t xml:space="preserve"> </w:t>
            </w:r>
            <w:proofErr w:type="spellStart"/>
            <w:r w:rsidRPr="00FC27AB">
              <w:rPr>
                <w:sz w:val="20"/>
                <w:szCs w:val="20"/>
                <w:vertAlign w:val="superscript"/>
                <w:lang w:val="de-DE"/>
              </w:rPr>
              <w:t>a</w:t>
            </w:r>
            <w:r>
              <w:rPr>
                <w:sz w:val="20"/>
                <w:szCs w:val="20"/>
                <w:vertAlign w:val="superscript"/>
                <w:lang w:val="de-DE"/>
              </w:rPr>
              <w:t>AB</w:t>
            </w:r>
            <w:proofErr w:type="spellEnd"/>
          </w:p>
        </w:tc>
        <w:tc>
          <w:tcPr>
            <w:tcW w:w="1785" w:type="dxa"/>
            <w:shd w:val="clear" w:color="auto" w:fill="auto"/>
            <w:noWrap/>
            <w:vAlign w:val="center"/>
          </w:tcPr>
          <w:p w:rsidR="008B6F6A" w:rsidRPr="000A1A47" w:rsidRDefault="008B6F6A" w:rsidP="002A6EB7">
            <w:pPr>
              <w:jc w:val="center"/>
              <w:rPr>
                <w:sz w:val="20"/>
                <w:szCs w:val="20"/>
              </w:rPr>
            </w:pPr>
            <w:r w:rsidRPr="000A1A47">
              <w:rPr>
                <w:sz w:val="20"/>
                <w:szCs w:val="20"/>
              </w:rPr>
              <w:t>7</w:t>
            </w:r>
            <w:r>
              <w:rPr>
                <w:sz w:val="20"/>
                <w:szCs w:val="20"/>
              </w:rPr>
              <w:t>.44</w:t>
            </w:r>
            <w:r w:rsidRPr="000A1A47">
              <w:rPr>
                <w:sz w:val="20"/>
                <w:szCs w:val="20"/>
              </w:rPr>
              <w:t xml:space="preserve"> ± 0</w:t>
            </w:r>
            <w:r>
              <w:rPr>
                <w:sz w:val="20"/>
                <w:szCs w:val="20"/>
              </w:rPr>
              <w:t>.32</w:t>
            </w:r>
            <w:r w:rsidRPr="001A0BB4">
              <w:rPr>
                <w:sz w:val="20"/>
                <w:szCs w:val="20"/>
                <w:vertAlign w:val="superscript"/>
              </w:rPr>
              <w:t>b</w:t>
            </w:r>
            <w:r>
              <w:rPr>
                <w:sz w:val="20"/>
                <w:szCs w:val="20"/>
                <w:vertAlign w:val="superscript"/>
              </w:rPr>
              <w:t>B</w:t>
            </w:r>
          </w:p>
        </w:tc>
      </w:tr>
      <w:tr w:rsidR="008B6F6A" w:rsidRPr="000A1A47" w:rsidTr="002A6EB7">
        <w:trPr>
          <w:trHeight w:val="255"/>
        </w:trPr>
        <w:tc>
          <w:tcPr>
            <w:tcW w:w="1260" w:type="dxa"/>
            <w:vMerge/>
          </w:tcPr>
          <w:p w:rsidR="008B6F6A" w:rsidRPr="000A1A47" w:rsidRDefault="008B6F6A" w:rsidP="002A6EB7"/>
        </w:tc>
        <w:tc>
          <w:tcPr>
            <w:tcW w:w="1102" w:type="dxa"/>
            <w:shd w:val="clear" w:color="auto" w:fill="auto"/>
            <w:noWrap/>
            <w:vAlign w:val="bottom"/>
          </w:tcPr>
          <w:p w:rsidR="008B6F6A" w:rsidRPr="000A1A47" w:rsidRDefault="008B6F6A" w:rsidP="002A6EB7">
            <w:pPr>
              <w:jc w:val="center"/>
              <w:rPr>
                <w:sz w:val="20"/>
                <w:szCs w:val="20"/>
              </w:rPr>
            </w:pPr>
            <w:r w:rsidRPr="000A1A47">
              <w:rPr>
                <w:sz w:val="20"/>
                <w:szCs w:val="20"/>
              </w:rPr>
              <w:t>21</w:t>
            </w:r>
          </w:p>
        </w:tc>
        <w:tc>
          <w:tcPr>
            <w:tcW w:w="1701" w:type="dxa"/>
            <w:shd w:val="clear" w:color="auto" w:fill="auto"/>
            <w:noWrap/>
            <w:vAlign w:val="center"/>
          </w:tcPr>
          <w:p w:rsidR="008B6F6A" w:rsidRPr="000A1A47" w:rsidRDefault="008B6F6A" w:rsidP="002A6EB7">
            <w:pPr>
              <w:jc w:val="center"/>
              <w:rPr>
                <w:sz w:val="20"/>
                <w:szCs w:val="20"/>
              </w:rPr>
            </w:pPr>
            <w:r w:rsidRPr="000A1A47">
              <w:rPr>
                <w:sz w:val="20"/>
                <w:szCs w:val="20"/>
              </w:rPr>
              <w:t>7</w:t>
            </w:r>
            <w:r>
              <w:rPr>
                <w:sz w:val="20"/>
                <w:szCs w:val="20"/>
              </w:rPr>
              <w:t>.44</w:t>
            </w:r>
            <w:r w:rsidRPr="000A1A47">
              <w:rPr>
                <w:sz w:val="20"/>
                <w:szCs w:val="20"/>
              </w:rPr>
              <w:t xml:space="preserve"> ± 0</w:t>
            </w:r>
            <w:r>
              <w:rPr>
                <w:sz w:val="20"/>
                <w:szCs w:val="20"/>
              </w:rPr>
              <w:t>.7</w:t>
            </w:r>
            <w:r w:rsidRPr="000A1A47">
              <w:rPr>
                <w:sz w:val="20"/>
                <w:szCs w:val="20"/>
              </w:rPr>
              <w:t>3</w:t>
            </w:r>
            <w:r w:rsidRPr="000A1A47">
              <w:rPr>
                <w:sz w:val="20"/>
                <w:szCs w:val="20"/>
                <w:vertAlign w:val="superscript"/>
              </w:rPr>
              <w:t xml:space="preserve"> </w:t>
            </w:r>
            <w:r>
              <w:rPr>
                <w:sz w:val="20"/>
                <w:szCs w:val="20"/>
                <w:vertAlign w:val="superscript"/>
              </w:rPr>
              <w:t>b</w:t>
            </w:r>
            <w:r>
              <w:rPr>
                <w:sz w:val="20"/>
                <w:szCs w:val="20"/>
                <w:vertAlign w:val="superscript"/>
                <w:lang w:val="de-DE"/>
              </w:rPr>
              <w:t>AB</w:t>
            </w:r>
          </w:p>
        </w:tc>
        <w:tc>
          <w:tcPr>
            <w:tcW w:w="1701" w:type="dxa"/>
            <w:shd w:val="clear" w:color="auto" w:fill="auto"/>
            <w:noWrap/>
            <w:vAlign w:val="center"/>
          </w:tcPr>
          <w:p w:rsidR="008B6F6A" w:rsidRPr="000A1A47" w:rsidRDefault="008B6F6A" w:rsidP="002A6EB7">
            <w:pPr>
              <w:jc w:val="center"/>
              <w:rPr>
                <w:sz w:val="20"/>
                <w:szCs w:val="20"/>
              </w:rPr>
            </w:pPr>
            <w:r w:rsidRPr="000A1A47">
              <w:rPr>
                <w:sz w:val="20"/>
                <w:szCs w:val="20"/>
              </w:rPr>
              <w:t>7</w:t>
            </w:r>
            <w:r>
              <w:rPr>
                <w:sz w:val="20"/>
                <w:szCs w:val="20"/>
              </w:rPr>
              <w:t>.07</w:t>
            </w:r>
            <w:r w:rsidRPr="000A1A47">
              <w:rPr>
                <w:sz w:val="20"/>
                <w:szCs w:val="20"/>
              </w:rPr>
              <w:t xml:space="preserve"> ± 0</w:t>
            </w:r>
            <w:r>
              <w:rPr>
                <w:sz w:val="20"/>
                <w:szCs w:val="20"/>
              </w:rPr>
              <w:t>.47</w:t>
            </w:r>
            <w:r>
              <w:rPr>
                <w:sz w:val="20"/>
                <w:szCs w:val="20"/>
                <w:vertAlign w:val="superscript"/>
              </w:rPr>
              <w:t>a</w:t>
            </w:r>
            <w:r>
              <w:rPr>
                <w:sz w:val="20"/>
                <w:szCs w:val="20"/>
                <w:vertAlign w:val="superscript"/>
                <w:lang w:val="de-DE"/>
              </w:rPr>
              <w:t>A</w:t>
            </w:r>
          </w:p>
        </w:tc>
        <w:tc>
          <w:tcPr>
            <w:tcW w:w="1701" w:type="dxa"/>
            <w:shd w:val="clear" w:color="auto" w:fill="auto"/>
            <w:noWrap/>
            <w:vAlign w:val="center"/>
          </w:tcPr>
          <w:p w:rsidR="008B6F6A" w:rsidRPr="000A1A47" w:rsidRDefault="008B6F6A" w:rsidP="002A6EB7">
            <w:pPr>
              <w:jc w:val="center"/>
              <w:rPr>
                <w:sz w:val="20"/>
                <w:szCs w:val="20"/>
              </w:rPr>
            </w:pPr>
            <w:r>
              <w:rPr>
                <w:sz w:val="20"/>
                <w:szCs w:val="20"/>
              </w:rPr>
              <w:t>7.12</w:t>
            </w:r>
            <w:r w:rsidRPr="000A1A47">
              <w:rPr>
                <w:sz w:val="20"/>
                <w:szCs w:val="20"/>
              </w:rPr>
              <w:t xml:space="preserve"> ± 0</w:t>
            </w:r>
            <w:r>
              <w:rPr>
                <w:sz w:val="20"/>
                <w:szCs w:val="20"/>
              </w:rPr>
              <w:t>.66</w:t>
            </w:r>
            <w:r w:rsidRPr="000A1A47">
              <w:rPr>
                <w:sz w:val="20"/>
                <w:szCs w:val="20"/>
                <w:vertAlign w:val="superscript"/>
              </w:rPr>
              <w:t xml:space="preserve"> a</w:t>
            </w:r>
            <w:proofErr w:type="spellStart"/>
            <w:r>
              <w:rPr>
                <w:sz w:val="20"/>
                <w:szCs w:val="20"/>
                <w:vertAlign w:val="superscript"/>
                <w:lang w:val="de-DE"/>
              </w:rPr>
              <w:t>A</w:t>
            </w:r>
            <w:proofErr w:type="spellEnd"/>
          </w:p>
        </w:tc>
        <w:tc>
          <w:tcPr>
            <w:tcW w:w="1785" w:type="dxa"/>
            <w:shd w:val="clear" w:color="auto" w:fill="auto"/>
            <w:noWrap/>
            <w:vAlign w:val="center"/>
          </w:tcPr>
          <w:p w:rsidR="008B6F6A" w:rsidRPr="00043E1A" w:rsidRDefault="008B6F6A" w:rsidP="002A6EB7">
            <w:pPr>
              <w:jc w:val="center"/>
              <w:rPr>
                <w:sz w:val="20"/>
                <w:szCs w:val="20"/>
                <w:lang w:val="en-GB"/>
              </w:rPr>
            </w:pPr>
            <w:r w:rsidRPr="00043E1A">
              <w:rPr>
                <w:sz w:val="20"/>
                <w:szCs w:val="20"/>
                <w:lang w:val="en-GB"/>
              </w:rPr>
              <w:t>7.</w:t>
            </w:r>
            <w:r>
              <w:rPr>
                <w:sz w:val="20"/>
                <w:szCs w:val="20"/>
                <w:lang w:val="en-GB"/>
              </w:rPr>
              <w:t>64</w:t>
            </w:r>
            <w:r w:rsidRPr="00043E1A">
              <w:rPr>
                <w:sz w:val="20"/>
                <w:szCs w:val="20"/>
                <w:lang w:val="en-GB"/>
              </w:rPr>
              <w:t xml:space="preserve"> ± 0.</w:t>
            </w:r>
            <w:r>
              <w:rPr>
                <w:sz w:val="20"/>
                <w:szCs w:val="20"/>
                <w:lang w:val="en-GB"/>
              </w:rPr>
              <w:t>64</w:t>
            </w:r>
            <w:r w:rsidRPr="00043E1A">
              <w:rPr>
                <w:sz w:val="20"/>
                <w:szCs w:val="20"/>
                <w:vertAlign w:val="superscript"/>
                <w:lang w:val="en-GB"/>
              </w:rPr>
              <w:t xml:space="preserve"> </w:t>
            </w:r>
            <w:r>
              <w:rPr>
                <w:sz w:val="20"/>
                <w:szCs w:val="20"/>
                <w:vertAlign w:val="superscript"/>
                <w:lang w:val="en-GB"/>
              </w:rPr>
              <w:t>b</w:t>
            </w:r>
            <w:proofErr w:type="spellStart"/>
            <w:r>
              <w:rPr>
                <w:sz w:val="20"/>
                <w:szCs w:val="20"/>
                <w:vertAlign w:val="superscript"/>
                <w:lang w:val="de-DE"/>
              </w:rPr>
              <w:t>B</w:t>
            </w:r>
            <w:proofErr w:type="spellEnd"/>
          </w:p>
        </w:tc>
      </w:tr>
      <w:tr w:rsidR="008B6F6A" w:rsidRPr="00043E1A" w:rsidTr="002A6EB7">
        <w:trPr>
          <w:trHeight w:val="255"/>
        </w:trPr>
        <w:tc>
          <w:tcPr>
            <w:tcW w:w="1260" w:type="dxa"/>
            <w:vMerge/>
          </w:tcPr>
          <w:p w:rsidR="008B6F6A" w:rsidRPr="000A1A47" w:rsidRDefault="008B6F6A" w:rsidP="002A6EB7"/>
        </w:tc>
        <w:tc>
          <w:tcPr>
            <w:tcW w:w="1102" w:type="dxa"/>
            <w:shd w:val="clear" w:color="auto" w:fill="auto"/>
            <w:noWrap/>
            <w:vAlign w:val="bottom"/>
          </w:tcPr>
          <w:p w:rsidR="008B6F6A" w:rsidRPr="000A1A47" w:rsidRDefault="008B6F6A" w:rsidP="002A6EB7">
            <w:pPr>
              <w:jc w:val="center"/>
              <w:rPr>
                <w:sz w:val="20"/>
                <w:szCs w:val="20"/>
              </w:rPr>
            </w:pPr>
            <w:r w:rsidRPr="000A1A47">
              <w:rPr>
                <w:sz w:val="20"/>
                <w:szCs w:val="20"/>
              </w:rPr>
              <w:t>28</w:t>
            </w:r>
          </w:p>
        </w:tc>
        <w:tc>
          <w:tcPr>
            <w:tcW w:w="1701" w:type="dxa"/>
            <w:shd w:val="clear" w:color="auto" w:fill="auto"/>
            <w:noWrap/>
            <w:vAlign w:val="center"/>
          </w:tcPr>
          <w:p w:rsidR="008B6F6A" w:rsidRPr="000A1A47" w:rsidRDefault="008B6F6A" w:rsidP="002A6EB7">
            <w:pPr>
              <w:jc w:val="center"/>
              <w:rPr>
                <w:sz w:val="20"/>
                <w:szCs w:val="20"/>
              </w:rPr>
            </w:pPr>
            <w:r w:rsidRPr="000A1A47">
              <w:rPr>
                <w:sz w:val="20"/>
                <w:szCs w:val="20"/>
              </w:rPr>
              <w:t>7</w:t>
            </w:r>
            <w:r>
              <w:rPr>
                <w:sz w:val="20"/>
                <w:szCs w:val="20"/>
              </w:rPr>
              <w:t>.20</w:t>
            </w:r>
            <w:r w:rsidRPr="000A1A47">
              <w:rPr>
                <w:sz w:val="20"/>
                <w:szCs w:val="20"/>
              </w:rPr>
              <w:t xml:space="preserve"> ± 0</w:t>
            </w:r>
            <w:r>
              <w:rPr>
                <w:sz w:val="20"/>
                <w:szCs w:val="20"/>
              </w:rPr>
              <w:t>.43</w:t>
            </w:r>
            <w:r w:rsidRPr="000A1A47">
              <w:rPr>
                <w:sz w:val="20"/>
                <w:szCs w:val="20"/>
                <w:vertAlign w:val="superscript"/>
              </w:rPr>
              <w:t xml:space="preserve"> </w:t>
            </w:r>
            <w:proofErr w:type="spellStart"/>
            <w:r>
              <w:rPr>
                <w:sz w:val="20"/>
                <w:szCs w:val="20"/>
                <w:vertAlign w:val="superscript"/>
              </w:rPr>
              <w:t>ab</w:t>
            </w:r>
            <w:proofErr w:type="spellEnd"/>
            <w:r>
              <w:rPr>
                <w:sz w:val="20"/>
                <w:szCs w:val="20"/>
                <w:vertAlign w:val="superscript"/>
                <w:lang w:val="de-DE"/>
              </w:rPr>
              <w:t>A</w:t>
            </w:r>
          </w:p>
        </w:tc>
        <w:tc>
          <w:tcPr>
            <w:tcW w:w="1701" w:type="dxa"/>
            <w:shd w:val="clear" w:color="auto" w:fill="auto"/>
            <w:noWrap/>
            <w:vAlign w:val="center"/>
          </w:tcPr>
          <w:p w:rsidR="008B6F6A" w:rsidRPr="000A1A47" w:rsidRDefault="008B6F6A" w:rsidP="002A6EB7">
            <w:pPr>
              <w:jc w:val="center"/>
              <w:rPr>
                <w:sz w:val="20"/>
                <w:szCs w:val="20"/>
              </w:rPr>
            </w:pPr>
            <w:r w:rsidRPr="000A1A47">
              <w:rPr>
                <w:sz w:val="20"/>
                <w:szCs w:val="20"/>
              </w:rPr>
              <w:t>7</w:t>
            </w:r>
            <w:r>
              <w:rPr>
                <w:sz w:val="20"/>
                <w:szCs w:val="20"/>
              </w:rPr>
              <w:t>.19</w:t>
            </w:r>
            <w:r w:rsidRPr="000A1A47">
              <w:rPr>
                <w:sz w:val="20"/>
                <w:szCs w:val="20"/>
              </w:rPr>
              <w:t xml:space="preserve"> ± 0</w:t>
            </w:r>
            <w:r>
              <w:rPr>
                <w:sz w:val="20"/>
                <w:szCs w:val="20"/>
              </w:rPr>
              <w:t>.33</w:t>
            </w:r>
            <w:r>
              <w:rPr>
                <w:sz w:val="20"/>
                <w:szCs w:val="20"/>
                <w:vertAlign w:val="superscript"/>
              </w:rPr>
              <w:t>ab</w:t>
            </w:r>
            <w:r>
              <w:rPr>
                <w:sz w:val="20"/>
                <w:szCs w:val="20"/>
                <w:vertAlign w:val="superscript"/>
                <w:lang w:val="de-DE"/>
              </w:rPr>
              <w:t>A</w:t>
            </w:r>
          </w:p>
        </w:tc>
        <w:tc>
          <w:tcPr>
            <w:tcW w:w="1701" w:type="dxa"/>
            <w:shd w:val="clear" w:color="auto" w:fill="auto"/>
            <w:noWrap/>
            <w:vAlign w:val="center"/>
          </w:tcPr>
          <w:p w:rsidR="008B6F6A" w:rsidRPr="000A1A47" w:rsidRDefault="008B6F6A" w:rsidP="002A6EB7">
            <w:pPr>
              <w:jc w:val="center"/>
              <w:rPr>
                <w:sz w:val="20"/>
                <w:szCs w:val="20"/>
              </w:rPr>
            </w:pPr>
            <w:r w:rsidRPr="000A1A47">
              <w:rPr>
                <w:sz w:val="20"/>
                <w:szCs w:val="20"/>
              </w:rPr>
              <w:t>7</w:t>
            </w:r>
            <w:r>
              <w:rPr>
                <w:sz w:val="20"/>
                <w:szCs w:val="20"/>
              </w:rPr>
              <w:t>.86</w:t>
            </w:r>
            <w:r w:rsidRPr="000A1A47">
              <w:rPr>
                <w:sz w:val="20"/>
                <w:szCs w:val="20"/>
              </w:rPr>
              <w:t xml:space="preserve"> ± 0</w:t>
            </w:r>
            <w:r>
              <w:rPr>
                <w:sz w:val="20"/>
                <w:szCs w:val="20"/>
              </w:rPr>
              <w:t>.31</w:t>
            </w:r>
            <w:r>
              <w:rPr>
                <w:sz w:val="20"/>
                <w:szCs w:val="20"/>
                <w:vertAlign w:val="superscript"/>
              </w:rPr>
              <w:t>b</w:t>
            </w:r>
            <w:r>
              <w:rPr>
                <w:sz w:val="20"/>
                <w:szCs w:val="20"/>
                <w:vertAlign w:val="superscript"/>
                <w:lang w:val="de-DE"/>
              </w:rPr>
              <w:t>B</w:t>
            </w:r>
          </w:p>
        </w:tc>
        <w:tc>
          <w:tcPr>
            <w:tcW w:w="1785" w:type="dxa"/>
            <w:shd w:val="clear" w:color="auto" w:fill="auto"/>
            <w:noWrap/>
            <w:vAlign w:val="center"/>
          </w:tcPr>
          <w:p w:rsidR="008B6F6A" w:rsidRPr="000A1A47" w:rsidRDefault="008B6F6A" w:rsidP="002A6EB7">
            <w:pPr>
              <w:jc w:val="center"/>
              <w:rPr>
                <w:sz w:val="20"/>
                <w:szCs w:val="20"/>
              </w:rPr>
            </w:pPr>
            <w:r>
              <w:rPr>
                <w:sz w:val="20"/>
                <w:szCs w:val="20"/>
              </w:rPr>
              <w:t>7.60</w:t>
            </w:r>
            <w:r w:rsidRPr="000A1A47">
              <w:rPr>
                <w:sz w:val="20"/>
                <w:szCs w:val="20"/>
              </w:rPr>
              <w:t xml:space="preserve"> ± 0</w:t>
            </w:r>
            <w:r>
              <w:rPr>
                <w:sz w:val="20"/>
                <w:szCs w:val="20"/>
              </w:rPr>
              <w:t>.06</w:t>
            </w:r>
            <w:r w:rsidRPr="000A1A47">
              <w:rPr>
                <w:sz w:val="20"/>
                <w:szCs w:val="20"/>
                <w:vertAlign w:val="superscript"/>
              </w:rPr>
              <w:t xml:space="preserve"> </w:t>
            </w:r>
            <w:r>
              <w:rPr>
                <w:sz w:val="20"/>
                <w:szCs w:val="20"/>
                <w:vertAlign w:val="superscript"/>
              </w:rPr>
              <w:t>b</w:t>
            </w:r>
            <w:proofErr w:type="spellStart"/>
            <w:r>
              <w:rPr>
                <w:sz w:val="20"/>
                <w:szCs w:val="20"/>
                <w:vertAlign w:val="superscript"/>
                <w:lang w:val="de-DE"/>
              </w:rPr>
              <w:t>B</w:t>
            </w:r>
            <w:proofErr w:type="spellEnd"/>
          </w:p>
        </w:tc>
      </w:tr>
      <w:tr w:rsidR="008B6F6A" w:rsidRPr="00043E1A" w:rsidTr="002A6EB7">
        <w:trPr>
          <w:trHeight w:val="255"/>
        </w:trPr>
        <w:tc>
          <w:tcPr>
            <w:tcW w:w="1260" w:type="dxa"/>
            <w:vMerge/>
          </w:tcPr>
          <w:p w:rsidR="008B6F6A" w:rsidRPr="00043E1A" w:rsidRDefault="008B6F6A" w:rsidP="002A6EB7">
            <w:pPr>
              <w:rPr>
                <w:lang w:val="en-GB"/>
              </w:rPr>
            </w:pPr>
          </w:p>
        </w:tc>
        <w:tc>
          <w:tcPr>
            <w:tcW w:w="1102" w:type="dxa"/>
            <w:shd w:val="clear" w:color="auto" w:fill="auto"/>
            <w:noWrap/>
            <w:vAlign w:val="bottom"/>
          </w:tcPr>
          <w:p w:rsidR="008B6F6A" w:rsidRPr="00043E1A" w:rsidRDefault="008B6F6A" w:rsidP="002A6EB7">
            <w:pPr>
              <w:jc w:val="center"/>
              <w:rPr>
                <w:sz w:val="20"/>
                <w:szCs w:val="20"/>
                <w:lang w:val="en-GB"/>
              </w:rPr>
            </w:pPr>
          </w:p>
        </w:tc>
        <w:tc>
          <w:tcPr>
            <w:tcW w:w="1701" w:type="dxa"/>
            <w:shd w:val="clear" w:color="auto" w:fill="auto"/>
            <w:noWrap/>
            <w:vAlign w:val="bottom"/>
          </w:tcPr>
          <w:p w:rsidR="008B6F6A" w:rsidRPr="00043E1A" w:rsidRDefault="008B6F6A" w:rsidP="002A6EB7">
            <w:pPr>
              <w:jc w:val="center"/>
              <w:rPr>
                <w:sz w:val="20"/>
                <w:szCs w:val="20"/>
                <w:lang w:val="en-GB"/>
              </w:rPr>
            </w:pPr>
          </w:p>
        </w:tc>
        <w:tc>
          <w:tcPr>
            <w:tcW w:w="1701" w:type="dxa"/>
            <w:shd w:val="clear" w:color="auto" w:fill="auto"/>
            <w:noWrap/>
            <w:vAlign w:val="bottom"/>
          </w:tcPr>
          <w:p w:rsidR="008B6F6A" w:rsidRPr="00043E1A" w:rsidRDefault="008B6F6A" w:rsidP="002A6EB7">
            <w:pPr>
              <w:jc w:val="center"/>
              <w:rPr>
                <w:sz w:val="20"/>
                <w:szCs w:val="20"/>
                <w:lang w:val="en-GB"/>
              </w:rPr>
            </w:pPr>
          </w:p>
        </w:tc>
        <w:tc>
          <w:tcPr>
            <w:tcW w:w="1701" w:type="dxa"/>
            <w:shd w:val="clear" w:color="auto" w:fill="auto"/>
            <w:noWrap/>
            <w:vAlign w:val="bottom"/>
          </w:tcPr>
          <w:p w:rsidR="008B6F6A" w:rsidRPr="00043E1A" w:rsidRDefault="008B6F6A" w:rsidP="002A6EB7">
            <w:pPr>
              <w:jc w:val="center"/>
              <w:rPr>
                <w:sz w:val="20"/>
                <w:szCs w:val="20"/>
                <w:lang w:val="en-GB"/>
              </w:rPr>
            </w:pPr>
          </w:p>
        </w:tc>
        <w:tc>
          <w:tcPr>
            <w:tcW w:w="1785" w:type="dxa"/>
            <w:shd w:val="clear" w:color="auto" w:fill="auto"/>
            <w:noWrap/>
            <w:vAlign w:val="bottom"/>
          </w:tcPr>
          <w:p w:rsidR="008B6F6A" w:rsidRPr="00043E1A" w:rsidRDefault="008B6F6A" w:rsidP="002A6EB7">
            <w:pPr>
              <w:jc w:val="center"/>
              <w:rPr>
                <w:sz w:val="20"/>
                <w:szCs w:val="20"/>
                <w:lang w:val="en-GB"/>
              </w:rPr>
            </w:pPr>
          </w:p>
        </w:tc>
      </w:tr>
      <w:tr w:rsidR="008B6F6A" w:rsidRPr="00B639B3" w:rsidTr="002A6EB7">
        <w:trPr>
          <w:trHeight w:val="255"/>
        </w:trPr>
        <w:tc>
          <w:tcPr>
            <w:tcW w:w="1260" w:type="dxa"/>
            <w:vMerge w:val="restart"/>
            <w:tcBorders>
              <w:bottom w:val="single" w:sz="4" w:space="0" w:color="auto"/>
            </w:tcBorders>
            <w:vAlign w:val="center"/>
          </w:tcPr>
          <w:p w:rsidR="008B6F6A" w:rsidRPr="00043E1A" w:rsidRDefault="008B6F6A" w:rsidP="002A6EB7">
            <w:pPr>
              <w:jc w:val="center"/>
              <w:rPr>
                <w:lang w:val="en-GB"/>
              </w:rPr>
            </w:pPr>
            <w:r>
              <w:rPr>
                <w:lang w:val="en-GB"/>
              </w:rPr>
              <w:t>Control</w:t>
            </w:r>
          </w:p>
        </w:tc>
        <w:tc>
          <w:tcPr>
            <w:tcW w:w="1102" w:type="dxa"/>
            <w:shd w:val="clear" w:color="auto" w:fill="auto"/>
            <w:noWrap/>
            <w:vAlign w:val="bottom"/>
          </w:tcPr>
          <w:p w:rsidR="008B6F6A" w:rsidRPr="000A1A47" w:rsidRDefault="008B6F6A" w:rsidP="002A6EB7">
            <w:pPr>
              <w:jc w:val="center"/>
              <w:rPr>
                <w:sz w:val="20"/>
                <w:szCs w:val="20"/>
              </w:rPr>
            </w:pPr>
            <w:r w:rsidRPr="000A1A47">
              <w:rPr>
                <w:sz w:val="20"/>
                <w:szCs w:val="20"/>
              </w:rPr>
              <w:t>7</w:t>
            </w:r>
          </w:p>
        </w:tc>
        <w:tc>
          <w:tcPr>
            <w:tcW w:w="1701" w:type="dxa"/>
            <w:shd w:val="clear" w:color="auto" w:fill="auto"/>
            <w:noWrap/>
          </w:tcPr>
          <w:p w:rsidR="008B6F6A" w:rsidRPr="00B639B3" w:rsidRDefault="008B6F6A" w:rsidP="002A6EB7">
            <w:pPr>
              <w:jc w:val="center"/>
              <w:rPr>
                <w:color w:val="000000"/>
                <w:sz w:val="20"/>
                <w:szCs w:val="20"/>
              </w:rPr>
            </w:pPr>
            <w:r w:rsidRPr="00B639B3">
              <w:rPr>
                <w:color w:val="000000"/>
                <w:sz w:val="20"/>
                <w:szCs w:val="20"/>
              </w:rPr>
              <w:t xml:space="preserve">6.93 </w:t>
            </w:r>
            <w:r w:rsidRPr="00B639B3">
              <w:rPr>
                <w:sz w:val="20"/>
                <w:szCs w:val="20"/>
              </w:rPr>
              <w:t>± 0.</w:t>
            </w:r>
            <w:r>
              <w:rPr>
                <w:sz w:val="20"/>
                <w:szCs w:val="20"/>
              </w:rPr>
              <w:t>47</w:t>
            </w:r>
            <w:r w:rsidRPr="00B639B3">
              <w:rPr>
                <w:sz w:val="20"/>
                <w:szCs w:val="20"/>
                <w:vertAlign w:val="superscript"/>
              </w:rPr>
              <w:t xml:space="preserve"> </w:t>
            </w:r>
            <w:proofErr w:type="spellStart"/>
            <w:r w:rsidRPr="00B639B3">
              <w:rPr>
                <w:sz w:val="20"/>
                <w:szCs w:val="20"/>
                <w:vertAlign w:val="superscript"/>
              </w:rPr>
              <w:t>aAB</w:t>
            </w:r>
            <w:proofErr w:type="spellEnd"/>
          </w:p>
        </w:tc>
        <w:tc>
          <w:tcPr>
            <w:tcW w:w="1701" w:type="dxa"/>
            <w:shd w:val="clear" w:color="auto" w:fill="auto"/>
            <w:noWrap/>
          </w:tcPr>
          <w:p w:rsidR="008B6F6A" w:rsidRPr="00B639B3" w:rsidRDefault="008B6F6A" w:rsidP="002A6EB7">
            <w:pPr>
              <w:jc w:val="center"/>
              <w:rPr>
                <w:color w:val="000000"/>
                <w:sz w:val="20"/>
                <w:szCs w:val="20"/>
              </w:rPr>
            </w:pPr>
            <w:r w:rsidRPr="00B639B3">
              <w:rPr>
                <w:color w:val="000000"/>
                <w:sz w:val="20"/>
                <w:szCs w:val="20"/>
              </w:rPr>
              <w:t xml:space="preserve">6.81 </w:t>
            </w:r>
            <w:r w:rsidRPr="00B639B3">
              <w:rPr>
                <w:sz w:val="20"/>
                <w:szCs w:val="20"/>
              </w:rPr>
              <w:t>±0.</w:t>
            </w:r>
            <w:r>
              <w:rPr>
                <w:sz w:val="20"/>
                <w:szCs w:val="20"/>
              </w:rPr>
              <w:t>27</w:t>
            </w:r>
            <w:r w:rsidRPr="00B639B3">
              <w:rPr>
                <w:sz w:val="20"/>
                <w:szCs w:val="20"/>
                <w:vertAlign w:val="superscript"/>
              </w:rPr>
              <w:t xml:space="preserve"> </w:t>
            </w:r>
            <w:proofErr w:type="spellStart"/>
            <w:r w:rsidRPr="00B639B3">
              <w:rPr>
                <w:sz w:val="20"/>
                <w:szCs w:val="20"/>
                <w:vertAlign w:val="superscript"/>
              </w:rPr>
              <w:t>aA</w:t>
            </w:r>
            <w:proofErr w:type="spellEnd"/>
          </w:p>
        </w:tc>
        <w:tc>
          <w:tcPr>
            <w:tcW w:w="1701" w:type="dxa"/>
            <w:shd w:val="clear" w:color="auto" w:fill="auto"/>
            <w:noWrap/>
          </w:tcPr>
          <w:p w:rsidR="008B6F6A" w:rsidRPr="00B639B3" w:rsidRDefault="008B6F6A" w:rsidP="002A6EB7">
            <w:pPr>
              <w:jc w:val="center"/>
              <w:rPr>
                <w:color w:val="000000"/>
                <w:sz w:val="20"/>
                <w:szCs w:val="20"/>
              </w:rPr>
            </w:pPr>
            <w:r w:rsidRPr="00B639B3">
              <w:rPr>
                <w:color w:val="000000"/>
                <w:sz w:val="20"/>
                <w:szCs w:val="20"/>
              </w:rPr>
              <w:t>7.</w:t>
            </w:r>
            <w:r>
              <w:rPr>
                <w:color w:val="000000"/>
                <w:sz w:val="20"/>
                <w:szCs w:val="20"/>
              </w:rPr>
              <w:t>27</w:t>
            </w:r>
            <w:r w:rsidRPr="00B639B3">
              <w:rPr>
                <w:sz w:val="20"/>
                <w:szCs w:val="20"/>
              </w:rPr>
              <w:t>±0.</w:t>
            </w:r>
            <w:r>
              <w:rPr>
                <w:sz w:val="20"/>
                <w:szCs w:val="20"/>
              </w:rPr>
              <w:t>13</w:t>
            </w:r>
            <w:r w:rsidRPr="00B639B3">
              <w:rPr>
                <w:sz w:val="20"/>
                <w:szCs w:val="20"/>
                <w:vertAlign w:val="superscript"/>
              </w:rPr>
              <w:t xml:space="preserve"> </w:t>
            </w:r>
            <w:proofErr w:type="spellStart"/>
            <w:r w:rsidRPr="00B639B3">
              <w:rPr>
                <w:sz w:val="20"/>
                <w:szCs w:val="20"/>
                <w:vertAlign w:val="superscript"/>
              </w:rPr>
              <w:t>aC</w:t>
            </w:r>
            <w:proofErr w:type="spellEnd"/>
          </w:p>
        </w:tc>
        <w:tc>
          <w:tcPr>
            <w:tcW w:w="1785" w:type="dxa"/>
            <w:shd w:val="clear" w:color="auto" w:fill="auto"/>
            <w:noWrap/>
          </w:tcPr>
          <w:p w:rsidR="008B6F6A" w:rsidRPr="00B639B3" w:rsidRDefault="008B6F6A" w:rsidP="002A6EB7">
            <w:pPr>
              <w:jc w:val="center"/>
              <w:rPr>
                <w:color w:val="000000"/>
                <w:sz w:val="20"/>
                <w:szCs w:val="20"/>
              </w:rPr>
            </w:pPr>
            <w:r w:rsidRPr="00B639B3">
              <w:rPr>
                <w:color w:val="000000"/>
                <w:sz w:val="20"/>
                <w:szCs w:val="20"/>
              </w:rPr>
              <w:t>7.20</w:t>
            </w:r>
            <w:r w:rsidRPr="00B639B3">
              <w:rPr>
                <w:sz w:val="20"/>
                <w:szCs w:val="20"/>
              </w:rPr>
              <w:t>±0.</w:t>
            </w:r>
            <w:r>
              <w:rPr>
                <w:sz w:val="20"/>
                <w:szCs w:val="20"/>
              </w:rPr>
              <w:t>36</w:t>
            </w:r>
            <w:r w:rsidRPr="00B639B3">
              <w:rPr>
                <w:sz w:val="20"/>
                <w:szCs w:val="20"/>
                <w:vertAlign w:val="superscript"/>
              </w:rPr>
              <w:t xml:space="preserve"> </w:t>
            </w:r>
            <w:proofErr w:type="spellStart"/>
            <w:r w:rsidRPr="00B639B3">
              <w:rPr>
                <w:sz w:val="20"/>
                <w:szCs w:val="20"/>
                <w:vertAlign w:val="superscript"/>
              </w:rPr>
              <w:t>aBC</w:t>
            </w:r>
            <w:proofErr w:type="spellEnd"/>
          </w:p>
        </w:tc>
      </w:tr>
      <w:tr w:rsidR="008B6F6A" w:rsidRPr="000A1A47" w:rsidTr="002A6EB7">
        <w:trPr>
          <w:trHeight w:val="255"/>
        </w:trPr>
        <w:tc>
          <w:tcPr>
            <w:tcW w:w="1260" w:type="dxa"/>
            <w:vMerge/>
            <w:tcBorders>
              <w:bottom w:val="single" w:sz="4" w:space="0" w:color="auto"/>
            </w:tcBorders>
            <w:vAlign w:val="center"/>
          </w:tcPr>
          <w:p w:rsidR="008B6F6A" w:rsidRPr="00B639B3" w:rsidRDefault="008B6F6A" w:rsidP="002A6EB7">
            <w:pPr>
              <w:jc w:val="center"/>
            </w:pPr>
          </w:p>
        </w:tc>
        <w:tc>
          <w:tcPr>
            <w:tcW w:w="1102" w:type="dxa"/>
            <w:shd w:val="clear" w:color="auto" w:fill="auto"/>
            <w:noWrap/>
            <w:vAlign w:val="bottom"/>
          </w:tcPr>
          <w:p w:rsidR="008B6F6A" w:rsidRPr="00B639B3" w:rsidRDefault="008B6F6A" w:rsidP="002A6EB7">
            <w:pPr>
              <w:jc w:val="center"/>
              <w:rPr>
                <w:sz w:val="20"/>
                <w:szCs w:val="20"/>
              </w:rPr>
            </w:pPr>
            <w:r w:rsidRPr="00B639B3">
              <w:rPr>
                <w:sz w:val="20"/>
                <w:szCs w:val="20"/>
              </w:rPr>
              <w:t>14</w:t>
            </w:r>
          </w:p>
        </w:tc>
        <w:tc>
          <w:tcPr>
            <w:tcW w:w="1701" w:type="dxa"/>
            <w:shd w:val="clear" w:color="auto" w:fill="auto"/>
            <w:noWrap/>
          </w:tcPr>
          <w:p w:rsidR="008B6F6A" w:rsidRPr="00B639B3" w:rsidRDefault="008B6F6A" w:rsidP="002A6EB7">
            <w:pPr>
              <w:jc w:val="center"/>
              <w:rPr>
                <w:color w:val="000000"/>
                <w:sz w:val="20"/>
                <w:szCs w:val="20"/>
              </w:rPr>
            </w:pPr>
            <w:r w:rsidRPr="00B639B3">
              <w:rPr>
                <w:color w:val="000000"/>
                <w:sz w:val="20"/>
                <w:szCs w:val="20"/>
              </w:rPr>
              <w:t>7.</w:t>
            </w:r>
            <w:r>
              <w:rPr>
                <w:color w:val="000000"/>
                <w:sz w:val="20"/>
                <w:szCs w:val="20"/>
              </w:rPr>
              <w:t>36</w:t>
            </w:r>
            <w:r w:rsidRPr="00B639B3">
              <w:rPr>
                <w:color w:val="000000"/>
                <w:sz w:val="20"/>
                <w:szCs w:val="20"/>
              </w:rPr>
              <w:t xml:space="preserve"> </w:t>
            </w:r>
            <w:r w:rsidRPr="00B639B3">
              <w:rPr>
                <w:sz w:val="20"/>
                <w:szCs w:val="20"/>
              </w:rPr>
              <w:t>± 0.</w:t>
            </w:r>
            <w:r>
              <w:rPr>
                <w:sz w:val="20"/>
                <w:szCs w:val="20"/>
              </w:rPr>
              <w:t>60</w:t>
            </w:r>
            <w:r w:rsidRPr="00B639B3">
              <w:rPr>
                <w:sz w:val="20"/>
                <w:szCs w:val="20"/>
                <w:vertAlign w:val="superscript"/>
              </w:rPr>
              <w:t xml:space="preserve"> </w:t>
            </w:r>
            <w:proofErr w:type="spellStart"/>
            <w:r w:rsidRPr="00B639B3">
              <w:rPr>
                <w:sz w:val="20"/>
                <w:szCs w:val="20"/>
                <w:vertAlign w:val="superscript"/>
              </w:rPr>
              <w:t>aA</w:t>
            </w:r>
            <w:proofErr w:type="spellEnd"/>
          </w:p>
        </w:tc>
        <w:tc>
          <w:tcPr>
            <w:tcW w:w="1701" w:type="dxa"/>
            <w:shd w:val="clear" w:color="auto" w:fill="auto"/>
            <w:noWrap/>
          </w:tcPr>
          <w:p w:rsidR="008B6F6A" w:rsidRPr="00B639B3" w:rsidRDefault="008B6F6A" w:rsidP="002A6EB7">
            <w:pPr>
              <w:jc w:val="center"/>
              <w:rPr>
                <w:color w:val="000000"/>
                <w:sz w:val="20"/>
                <w:szCs w:val="20"/>
              </w:rPr>
            </w:pPr>
            <w:r w:rsidRPr="00B639B3">
              <w:rPr>
                <w:color w:val="000000"/>
                <w:sz w:val="20"/>
                <w:szCs w:val="20"/>
              </w:rPr>
              <w:t>7.</w:t>
            </w:r>
            <w:r>
              <w:rPr>
                <w:color w:val="000000"/>
                <w:sz w:val="20"/>
                <w:szCs w:val="20"/>
              </w:rPr>
              <w:t>48</w:t>
            </w:r>
            <w:r w:rsidRPr="00B639B3">
              <w:rPr>
                <w:color w:val="000000"/>
                <w:sz w:val="20"/>
                <w:szCs w:val="20"/>
              </w:rPr>
              <w:t xml:space="preserve"> </w:t>
            </w:r>
            <w:r w:rsidRPr="00B639B3">
              <w:rPr>
                <w:sz w:val="20"/>
                <w:szCs w:val="20"/>
              </w:rPr>
              <w:t>±0.</w:t>
            </w:r>
            <w:r>
              <w:rPr>
                <w:sz w:val="20"/>
                <w:szCs w:val="20"/>
              </w:rPr>
              <w:t>3</w:t>
            </w:r>
            <w:r w:rsidRPr="00B639B3">
              <w:rPr>
                <w:sz w:val="20"/>
                <w:szCs w:val="20"/>
              </w:rPr>
              <w:t>7</w:t>
            </w:r>
            <w:r w:rsidRPr="00B639B3">
              <w:rPr>
                <w:sz w:val="20"/>
                <w:szCs w:val="20"/>
                <w:vertAlign w:val="superscript"/>
              </w:rPr>
              <w:t xml:space="preserve"> </w:t>
            </w:r>
            <w:proofErr w:type="spellStart"/>
            <w:r w:rsidRPr="00B639B3">
              <w:rPr>
                <w:sz w:val="20"/>
                <w:szCs w:val="20"/>
                <w:vertAlign w:val="superscript"/>
              </w:rPr>
              <w:t>bA</w:t>
            </w:r>
            <w:proofErr w:type="spellEnd"/>
          </w:p>
        </w:tc>
        <w:tc>
          <w:tcPr>
            <w:tcW w:w="1701" w:type="dxa"/>
            <w:shd w:val="clear" w:color="auto" w:fill="auto"/>
            <w:noWrap/>
          </w:tcPr>
          <w:p w:rsidR="008B6F6A" w:rsidRPr="00B639B3" w:rsidRDefault="008B6F6A" w:rsidP="002A6EB7">
            <w:pPr>
              <w:jc w:val="center"/>
              <w:rPr>
                <w:color w:val="000000"/>
                <w:sz w:val="20"/>
                <w:szCs w:val="20"/>
              </w:rPr>
            </w:pPr>
            <w:r w:rsidRPr="00B639B3">
              <w:rPr>
                <w:color w:val="000000"/>
                <w:sz w:val="20"/>
                <w:szCs w:val="20"/>
              </w:rPr>
              <w:t>7.</w:t>
            </w:r>
            <w:r>
              <w:rPr>
                <w:color w:val="000000"/>
                <w:sz w:val="20"/>
                <w:szCs w:val="20"/>
              </w:rPr>
              <w:t>36</w:t>
            </w:r>
            <w:r w:rsidRPr="00B639B3">
              <w:rPr>
                <w:sz w:val="20"/>
                <w:szCs w:val="20"/>
              </w:rPr>
              <w:t>±0.</w:t>
            </w:r>
            <w:r>
              <w:rPr>
                <w:sz w:val="20"/>
                <w:szCs w:val="20"/>
              </w:rPr>
              <w:t>53</w:t>
            </w:r>
            <w:r w:rsidRPr="00B639B3">
              <w:rPr>
                <w:sz w:val="20"/>
                <w:szCs w:val="20"/>
                <w:vertAlign w:val="superscript"/>
              </w:rPr>
              <w:t xml:space="preserve"> </w:t>
            </w:r>
            <w:proofErr w:type="spellStart"/>
            <w:r>
              <w:rPr>
                <w:sz w:val="20"/>
                <w:szCs w:val="20"/>
                <w:vertAlign w:val="superscript"/>
              </w:rPr>
              <w:t>a</w:t>
            </w:r>
            <w:r w:rsidRPr="00B639B3">
              <w:rPr>
                <w:sz w:val="20"/>
                <w:szCs w:val="20"/>
                <w:vertAlign w:val="superscript"/>
              </w:rPr>
              <w:t>bA</w:t>
            </w:r>
            <w:proofErr w:type="spellEnd"/>
          </w:p>
        </w:tc>
        <w:tc>
          <w:tcPr>
            <w:tcW w:w="1785" w:type="dxa"/>
            <w:shd w:val="clear" w:color="auto" w:fill="auto"/>
            <w:noWrap/>
          </w:tcPr>
          <w:p w:rsidR="008B6F6A" w:rsidRPr="00FF2AD8" w:rsidRDefault="008B6F6A" w:rsidP="002A6EB7">
            <w:pPr>
              <w:jc w:val="center"/>
              <w:rPr>
                <w:color w:val="000000"/>
                <w:sz w:val="20"/>
                <w:szCs w:val="20"/>
                <w:lang w:val="en-GB"/>
              </w:rPr>
            </w:pPr>
            <w:r w:rsidRPr="00B639B3">
              <w:rPr>
                <w:color w:val="000000"/>
                <w:sz w:val="20"/>
                <w:szCs w:val="20"/>
              </w:rPr>
              <w:t>7.</w:t>
            </w:r>
            <w:r>
              <w:rPr>
                <w:color w:val="000000"/>
                <w:sz w:val="20"/>
                <w:szCs w:val="20"/>
              </w:rPr>
              <w:t>39</w:t>
            </w:r>
            <w:r w:rsidRPr="00B639B3">
              <w:rPr>
                <w:sz w:val="20"/>
                <w:szCs w:val="20"/>
              </w:rPr>
              <w:t>±0.</w:t>
            </w:r>
            <w:r>
              <w:rPr>
                <w:sz w:val="20"/>
                <w:szCs w:val="20"/>
                <w:lang w:val="en-GB"/>
              </w:rPr>
              <w:t>27</w:t>
            </w:r>
            <w:r w:rsidRPr="00FF2AD8">
              <w:rPr>
                <w:sz w:val="20"/>
                <w:szCs w:val="20"/>
                <w:vertAlign w:val="superscript"/>
                <w:lang w:val="en-GB"/>
              </w:rPr>
              <w:t xml:space="preserve"> </w:t>
            </w:r>
            <w:proofErr w:type="spellStart"/>
            <w:r>
              <w:rPr>
                <w:sz w:val="20"/>
                <w:szCs w:val="20"/>
                <w:vertAlign w:val="superscript"/>
                <w:lang w:val="en-GB"/>
              </w:rPr>
              <w:t>aA</w:t>
            </w:r>
            <w:proofErr w:type="spellEnd"/>
          </w:p>
        </w:tc>
      </w:tr>
      <w:tr w:rsidR="008B6F6A" w:rsidRPr="000A1A47" w:rsidTr="002A6EB7">
        <w:trPr>
          <w:trHeight w:val="255"/>
        </w:trPr>
        <w:tc>
          <w:tcPr>
            <w:tcW w:w="1260" w:type="dxa"/>
            <w:vMerge/>
            <w:tcBorders>
              <w:bottom w:val="single" w:sz="4" w:space="0" w:color="auto"/>
            </w:tcBorders>
          </w:tcPr>
          <w:p w:rsidR="008B6F6A" w:rsidRPr="000A1A47" w:rsidRDefault="008B6F6A" w:rsidP="002A6EB7">
            <w:pPr>
              <w:jc w:val="center"/>
              <w:rPr>
                <w:sz w:val="20"/>
                <w:szCs w:val="20"/>
              </w:rPr>
            </w:pPr>
          </w:p>
        </w:tc>
        <w:tc>
          <w:tcPr>
            <w:tcW w:w="1102" w:type="dxa"/>
            <w:shd w:val="clear" w:color="auto" w:fill="auto"/>
            <w:noWrap/>
            <w:vAlign w:val="bottom"/>
          </w:tcPr>
          <w:p w:rsidR="008B6F6A" w:rsidRPr="000A1A47" w:rsidRDefault="008B6F6A" w:rsidP="002A6EB7">
            <w:pPr>
              <w:jc w:val="center"/>
              <w:rPr>
                <w:sz w:val="20"/>
                <w:szCs w:val="20"/>
              </w:rPr>
            </w:pPr>
            <w:r w:rsidRPr="000A1A47">
              <w:rPr>
                <w:sz w:val="20"/>
                <w:szCs w:val="20"/>
              </w:rPr>
              <w:t>21</w:t>
            </w:r>
          </w:p>
        </w:tc>
        <w:tc>
          <w:tcPr>
            <w:tcW w:w="1701" w:type="dxa"/>
            <w:shd w:val="clear" w:color="auto" w:fill="auto"/>
            <w:noWrap/>
          </w:tcPr>
          <w:p w:rsidR="008B6F6A" w:rsidRPr="00FF2AD8" w:rsidRDefault="008B6F6A" w:rsidP="002A6EB7">
            <w:pPr>
              <w:jc w:val="center"/>
              <w:rPr>
                <w:color w:val="000000"/>
                <w:sz w:val="20"/>
                <w:szCs w:val="20"/>
                <w:lang w:val="en-GB"/>
              </w:rPr>
            </w:pPr>
            <w:r>
              <w:rPr>
                <w:color w:val="000000"/>
                <w:sz w:val="20"/>
                <w:szCs w:val="20"/>
                <w:lang w:val="en-GB"/>
              </w:rPr>
              <w:t>7.47</w:t>
            </w:r>
            <w:r w:rsidRPr="00FF2AD8">
              <w:rPr>
                <w:color w:val="000000"/>
                <w:sz w:val="20"/>
                <w:szCs w:val="20"/>
                <w:lang w:val="en-GB"/>
              </w:rPr>
              <w:t xml:space="preserve"> </w:t>
            </w:r>
            <w:r w:rsidRPr="00FF2AD8">
              <w:rPr>
                <w:sz w:val="20"/>
                <w:szCs w:val="20"/>
                <w:lang w:val="en-GB"/>
              </w:rPr>
              <w:t>± 0.</w:t>
            </w:r>
            <w:r>
              <w:rPr>
                <w:sz w:val="20"/>
                <w:szCs w:val="20"/>
                <w:lang w:val="en-GB"/>
              </w:rPr>
              <w:t>77</w:t>
            </w:r>
            <w:r>
              <w:rPr>
                <w:sz w:val="20"/>
                <w:szCs w:val="20"/>
                <w:vertAlign w:val="superscript"/>
                <w:lang w:val="en-GB"/>
              </w:rPr>
              <w:t>aA</w:t>
            </w:r>
          </w:p>
        </w:tc>
        <w:tc>
          <w:tcPr>
            <w:tcW w:w="1701" w:type="dxa"/>
            <w:shd w:val="clear" w:color="auto" w:fill="auto"/>
            <w:noWrap/>
          </w:tcPr>
          <w:p w:rsidR="008B6F6A" w:rsidRPr="00FF2AD8" w:rsidRDefault="008B6F6A" w:rsidP="002A6EB7">
            <w:pPr>
              <w:jc w:val="center"/>
              <w:rPr>
                <w:color w:val="000000"/>
                <w:sz w:val="20"/>
                <w:szCs w:val="20"/>
                <w:lang w:val="en-GB"/>
              </w:rPr>
            </w:pPr>
            <w:r w:rsidRPr="00FF2AD8">
              <w:rPr>
                <w:color w:val="000000"/>
                <w:sz w:val="20"/>
                <w:szCs w:val="20"/>
                <w:lang w:val="en-GB"/>
              </w:rPr>
              <w:t>7.</w:t>
            </w:r>
            <w:r>
              <w:rPr>
                <w:color w:val="000000"/>
                <w:sz w:val="20"/>
                <w:szCs w:val="20"/>
                <w:lang w:val="en-GB"/>
              </w:rPr>
              <w:t>49</w:t>
            </w:r>
            <w:r w:rsidRPr="00FF2AD8">
              <w:rPr>
                <w:color w:val="000000"/>
                <w:sz w:val="20"/>
                <w:szCs w:val="20"/>
                <w:lang w:val="en-GB"/>
              </w:rPr>
              <w:t xml:space="preserve"> </w:t>
            </w:r>
            <w:r w:rsidRPr="00FF2AD8">
              <w:rPr>
                <w:sz w:val="20"/>
                <w:szCs w:val="20"/>
                <w:lang w:val="en-GB"/>
              </w:rPr>
              <w:t>±0.</w:t>
            </w:r>
            <w:r>
              <w:rPr>
                <w:sz w:val="20"/>
                <w:szCs w:val="20"/>
                <w:lang w:val="en-GB"/>
              </w:rPr>
              <w:t>90</w:t>
            </w:r>
            <w:r w:rsidRPr="00FF2AD8">
              <w:rPr>
                <w:sz w:val="20"/>
                <w:szCs w:val="20"/>
                <w:vertAlign w:val="superscript"/>
                <w:lang w:val="en-GB"/>
              </w:rPr>
              <w:t xml:space="preserve"> </w:t>
            </w:r>
            <w:proofErr w:type="spellStart"/>
            <w:r>
              <w:rPr>
                <w:sz w:val="20"/>
                <w:szCs w:val="20"/>
                <w:vertAlign w:val="superscript"/>
                <w:lang w:val="en-GB"/>
              </w:rPr>
              <w:t>bA</w:t>
            </w:r>
            <w:proofErr w:type="spellEnd"/>
          </w:p>
        </w:tc>
        <w:tc>
          <w:tcPr>
            <w:tcW w:w="1701" w:type="dxa"/>
            <w:shd w:val="clear" w:color="auto" w:fill="auto"/>
            <w:noWrap/>
          </w:tcPr>
          <w:p w:rsidR="008B6F6A" w:rsidRPr="00FF2AD8" w:rsidRDefault="008B6F6A" w:rsidP="002A6EB7">
            <w:pPr>
              <w:jc w:val="center"/>
              <w:rPr>
                <w:color w:val="000000"/>
                <w:sz w:val="20"/>
                <w:szCs w:val="20"/>
                <w:lang w:val="en-GB"/>
              </w:rPr>
            </w:pPr>
            <w:r>
              <w:rPr>
                <w:color w:val="000000"/>
                <w:sz w:val="20"/>
                <w:szCs w:val="20"/>
                <w:lang w:val="en-GB"/>
              </w:rPr>
              <w:t>7.58</w:t>
            </w:r>
            <w:r w:rsidRPr="00FF2AD8">
              <w:rPr>
                <w:sz w:val="20"/>
                <w:szCs w:val="20"/>
                <w:lang w:val="en-GB"/>
              </w:rPr>
              <w:t>±0.</w:t>
            </w:r>
            <w:r>
              <w:rPr>
                <w:sz w:val="20"/>
                <w:szCs w:val="20"/>
                <w:lang w:val="en-GB"/>
              </w:rPr>
              <w:t>59</w:t>
            </w:r>
            <w:r w:rsidRPr="00FF2AD8">
              <w:rPr>
                <w:sz w:val="20"/>
                <w:szCs w:val="20"/>
                <w:vertAlign w:val="superscript"/>
                <w:lang w:val="en-GB"/>
              </w:rPr>
              <w:t xml:space="preserve"> </w:t>
            </w:r>
            <w:proofErr w:type="spellStart"/>
            <w:r>
              <w:rPr>
                <w:sz w:val="20"/>
                <w:szCs w:val="20"/>
                <w:vertAlign w:val="superscript"/>
                <w:lang w:val="en-GB"/>
              </w:rPr>
              <w:t>a</w:t>
            </w:r>
            <w:r w:rsidRPr="00FF2AD8">
              <w:rPr>
                <w:sz w:val="20"/>
                <w:szCs w:val="20"/>
                <w:vertAlign w:val="superscript"/>
                <w:lang w:val="en-GB"/>
              </w:rPr>
              <w:t>b</w:t>
            </w:r>
            <w:r>
              <w:rPr>
                <w:sz w:val="20"/>
                <w:szCs w:val="20"/>
                <w:vertAlign w:val="superscript"/>
                <w:lang w:val="en-GB"/>
              </w:rPr>
              <w:t>A</w:t>
            </w:r>
            <w:proofErr w:type="spellEnd"/>
          </w:p>
        </w:tc>
        <w:tc>
          <w:tcPr>
            <w:tcW w:w="1785" w:type="dxa"/>
            <w:shd w:val="clear" w:color="auto" w:fill="auto"/>
            <w:noWrap/>
          </w:tcPr>
          <w:p w:rsidR="008B6F6A" w:rsidRPr="00FF2AD8" w:rsidRDefault="008B6F6A" w:rsidP="002A6EB7">
            <w:pPr>
              <w:jc w:val="center"/>
              <w:rPr>
                <w:color w:val="000000"/>
                <w:sz w:val="20"/>
                <w:szCs w:val="20"/>
                <w:lang w:val="en-GB"/>
              </w:rPr>
            </w:pPr>
            <w:r w:rsidRPr="00FF2AD8">
              <w:rPr>
                <w:color w:val="000000"/>
                <w:sz w:val="20"/>
                <w:szCs w:val="20"/>
                <w:lang w:val="en-GB"/>
              </w:rPr>
              <w:t>7.</w:t>
            </w:r>
            <w:r>
              <w:rPr>
                <w:color w:val="000000"/>
                <w:sz w:val="20"/>
                <w:szCs w:val="20"/>
                <w:lang w:val="en-GB"/>
              </w:rPr>
              <w:t>40</w:t>
            </w:r>
            <w:r w:rsidRPr="00FF2AD8">
              <w:rPr>
                <w:sz w:val="20"/>
                <w:szCs w:val="20"/>
                <w:lang w:val="en-GB"/>
              </w:rPr>
              <w:t>±0.</w:t>
            </w:r>
            <w:r>
              <w:rPr>
                <w:sz w:val="20"/>
                <w:szCs w:val="20"/>
                <w:lang w:val="en-GB"/>
              </w:rPr>
              <w:t>45</w:t>
            </w:r>
            <w:r w:rsidRPr="00FF2AD8">
              <w:rPr>
                <w:sz w:val="20"/>
                <w:szCs w:val="20"/>
                <w:vertAlign w:val="superscript"/>
                <w:lang w:val="en-GB"/>
              </w:rPr>
              <w:t xml:space="preserve"> </w:t>
            </w:r>
            <w:proofErr w:type="spellStart"/>
            <w:r w:rsidRPr="00FF2AD8">
              <w:rPr>
                <w:sz w:val="20"/>
                <w:szCs w:val="20"/>
                <w:vertAlign w:val="superscript"/>
                <w:lang w:val="en-GB"/>
              </w:rPr>
              <w:t>a</w:t>
            </w:r>
            <w:r>
              <w:rPr>
                <w:sz w:val="20"/>
                <w:szCs w:val="20"/>
                <w:vertAlign w:val="superscript"/>
                <w:lang w:val="en-GB"/>
              </w:rPr>
              <w:t>A</w:t>
            </w:r>
            <w:proofErr w:type="spellEnd"/>
          </w:p>
        </w:tc>
      </w:tr>
      <w:tr w:rsidR="008B6F6A" w:rsidRPr="00E57613" w:rsidTr="002A6EB7">
        <w:trPr>
          <w:trHeight w:val="255"/>
        </w:trPr>
        <w:tc>
          <w:tcPr>
            <w:tcW w:w="1260" w:type="dxa"/>
            <w:vMerge/>
          </w:tcPr>
          <w:p w:rsidR="008B6F6A" w:rsidRPr="000A1A47" w:rsidRDefault="008B6F6A" w:rsidP="002A6EB7">
            <w:pPr>
              <w:jc w:val="center"/>
              <w:rPr>
                <w:sz w:val="20"/>
                <w:szCs w:val="20"/>
              </w:rPr>
            </w:pPr>
          </w:p>
        </w:tc>
        <w:tc>
          <w:tcPr>
            <w:tcW w:w="1102" w:type="dxa"/>
            <w:shd w:val="clear" w:color="auto" w:fill="auto"/>
            <w:noWrap/>
            <w:vAlign w:val="bottom"/>
          </w:tcPr>
          <w:p w:rsidR="008B6F6A" w:rsidRPr="000A1A47" w:rsidRDefault="008B6F6A" w:rsidP="002A6EB7">
            <w:pPr>
              <w:jc w:val="center"/>
              <w:rPr>
                <w:sz w:val="20"/>
                <w:szCs w:val="20"/>
              </w:rPr>
            </w:pPr>
            <w:r w:rsidRPr="000A1A47">
              <w:rPr>
                <w:sz w:val="20"/>
                <w:szCs w:val="20"/>
              </w:rPr>
              <w:t>28</w:t>
            </w:r>
          </w:p>
        </w:tc>
        <w:tc>
          <w:tcPr>
            <w:tcW w:w="1701" w:type="dxa"/>
            <w:shd w:val="clear" w:color="auto" w:fill="auto"/>
            <w:noWrap/>
          </w:tcPr>
          <w:p w:rsidR="008B6F6A" w:rsidRPr="00E57613" w:rsidRDefault="008B6F6A" w:rsidP="002A6EB7">
            <w:pPr>
              <w:jc w:val="center"/>
              <w:rPr>
                <w:color w:val="000000"/>
                <w:sz w:val="20"/>
                <w:szCs w:val="20"/>
                <w:lang w:val="en-GB"/>
              </w:rPr>
            </w:pPr>
            <w:r>
              <w:rPr>
                <w:color w:val="000000"/>
                <w:sz w:val="20"/>
                <w:szCs w:val="20"/>
                <w:lang w:val="en-GB"/>
              </w:rPr>
              <w:t>7.55</w:t>
            </w:r>
            <w:r w:rsidRPr="00E57613">
              <w:rPr>
                <w:color w:val="000000"/>
                <w:sz w:val="20"/>
                <w:szCs w:val="20"/>
                <w:lang w:val="en-GB"/>
              </w:rPr>
              <w:t xml:space="preserve"> </w:t>
            </w:r>
            <w:r w:rsidRPr="00E57613">
              <w:rPr>
                <w:sz w:val="20"/>
                <w:szCs w:val="20"/>
                <w:lang w:val="en-GB"/>
              </w:rPr>
              <w:t>± 0.</w:t>
            </w:r>
            <w:r>
              <w:rPr>
                <w:sz w:val="20"/>
                <w:szCs w:val="20"/>
                <w:lang w:val="en-GB"/>
              </w:rPr>
              <w:t>72</w:t>
            </w:r>
            <w:r w:rsidRPr="00E57613">
              <w:rPr>
                <w:sz w:val="20"/>
                <w:szCs w:val="20"/>
                <w:vertAlign w:val="superscript"/>
                <w:lang w:val="en-GB"/>
              </w:rPr>
              <w:t xml:space="preserve"> </w:t>
            </w:r>
            <w:proofErr w:type="spellStart"/>
            <w:r>
              <w:rPr>
                <w:sz w:val="20"/>
                <w:szCs w:val="20"/>
                <w:vertAlign w:val="superscript"/>
                <w:lang w:val="en-GB"/>
              </w:rPr>
              <w:t>aA</w:t>
            </w:r>
            <w:proofErr w:type="spellEnd"/>
          </w:p>
        </w:tc>
        <w:tc>
          <w:tcPr>
            <w:tcW w:w="1701" w:type="dxa"/>
            <w:shd w:val="clear" w:color="auto" w:fill="auto"/>
            <w:noWrap/>
          </w:tcPr>
          <w:p w:rsidR="008B6F6A" w:rsidRPr="00E57613" w:rsidRDefault="008B6F6A" w:rsidP="002A6EB7">
            <w:pPr>
              <w:jc w:val="center"/>
              <w:rPr>
                <w:color w:val="000000"/>
                <w:sz w:val="20"/>
                <w:szCs w:val="20"/>
                <w:lang w:val="en-GB"/>
              </w:rPr>
            </w:pPr>
            <w:r>
              <w:rPr>
                <w:color w:val="000000"/>
                <w:sz w:val="20"/>
                <w:szCs w:val="20"/>
                <w:lang w:val="en-GB"/>
              </w:rPr>
              <w:t>7.59</w:t>
            </w:r>
            <w:r w:rsidRPr="00E57613">
              <w:rPr>
                <w:sz w:val="20"/>
                <w:szCs w:val="20"/>
                <w:lang w:val="en-GB"/>
              </w:rPr>
              <w:t>±0.</w:t>
            </w:r>
            <w:r>
              <w:rPr>
                <w:sz w:val="20"/>
                <w:szCs w:val="20"/>
                <w:lang w:val="en-GB"/>
              </w:rPr>
              <w:t>74</w:t>
            </w:r>
            <w:r w:rsidRPr="00E57613">
              <w:rPr>
                <w:sz w:val="20"/>
                <w:szCs w:val="20"/>
                <w:vertAlign w:val="superscript"/>
                <w:lang w:val="en-GB"/>
              </w:rPr>
              <w:t xml:space="preserve"> </w:t>
            </w:r>
            <w:proofErr w:type="spellStart"/>
            <w:r>
              <w:rPr>
                <w:sz w:val="20"/>
                <w:szCs w:val="20"/>
                <w:vertAlign w:val="superscript"/>
                <w:lang w:val="en-GB"/>
              </w:rPr>
              <w:t>bA</w:t>
            </w:r>
            <w:proofErr w:type="spellEnd"/>
          </w:p>
        </w:tc>
        <w:tc>
          <w:tcPr>
            <w:tcW w:w="1701" w:type="dxa"/>
            <w:shd w:val="clear" w:color="auto" w:fill="auto"/>
            <w:noWrap/>
          </w:tcPr>
          <w:p w:rsidR="008B6F6A" w:rsidRPr="00E57613" w:rsidRDefault="008B6F6A" w:rsidP="002A6EB7">
            <w:pPr>
              <w:jc w:val="center"/>
              <w:rPr>
                <w:color w:val="000000"/>
                <w:sz w:val="20"/>
                <w:szCs w:val="20"/>
                <w:lang w:val="en-GB"/>
              </w:rPr>
            </w:pPr>
            <w:r w:rsidRPr="00E57613">
              <w:rPr>
                <w:color w:val="000000"/>
                <w:sz w:val="20"/>
                <w:szCs w:val="20"/>
                <w:lang w:val="en-GB"/>
              </w:rPr>
              <w:t>7.</w:t>
            </w:r>
            <w:r>
              <w:rPr>
                <w:color w:val="000000"/>
                <w:sz w:val="20"/>
                <w:szCs w:val="20"/>
                <w:lang w:val="en-GB"/>
              </w:rPr>
              <w:t>81</w:t>
            </w:r>
            <w:r w:rsidRPr="00E57613">
              <w:rPr>
                <w:sz w:val="20"/>
                <w:szCs w:val="20"/>
                <w:lang w:val="en-GB"/>
              </w:rPr>
              <w:t>±0.</w:t>
            </w:r>
            <w:r>
              <w:rPr>
                <w:sz w:val="20"/>
                <w:szCs w:val="20"/>
                <w:lang w:val="en-GB"/>
              </w:rPr>
              <w:t>46</w:t>
            </w:r>
            <w:r w:rsidRPr="00E57613">
              <w:rPr>
                <w:sz w:val="20"/>
                <w:szCs w:val="20"/>
                <w:vertAlign w:val="superscript"/>
                <w:lang w:val="en-GB"/>
              </w:rPr>
              <w:t xml:space="preserve"> </w:t>
            </w:r>
            <w:proofErr w:type="spellStart"/>
            <w:r>
              <w:rPr>
                <w:sz w:val="20"/>
                <w:szCs w:val="20"/>
                <w:vertAlign w:val="superscript"/>
                <w:lang w:val="en-GB"/>
              </w:rPr>
              <w:t>bA</w:t>
            </w:r>
            <w:proofErr w:type="spellEnd"/>
          </w:p>
        </w:tc>
        <w:tc>
          <w:tcPr>
            <w:tcW w:w="1785" w:type="dxa"/>
            <w:shd w:val="clear" w:color="auto" w:fill="auto"/>
            <w:noWrap/>
          </w:tcPr>
          <w:p w:rsidR="008B6F6A" w:rsidRPr="00E57613" w:rsidRDefault="008B6F6A" w:rsidP="002A6EB7">
            <w:pPr>
              <w:jc w:val="center"/>
              <w:rPr>
                <w:color w:val="000000"/>
                <w:sz w:val="20"/>
                <w:szCs w:val="20"/>
                <w:lang w:val="en-GB"/>
              </w:rPr>
            </w:pPr>
            <w:r>
              <w:rPr>
                <w:color w:val="000000"/>
                <w:sz w:val="20"/>
                <w:szCs w:val="20"/>
                <w:lang w:val="en-GB"/>
              </w:rPr>
              <w:t>7.48</w:t>
            </w:r>
            <w:r w:rsidRPr="00E57613">
              <w:rPr>
                <w:sz w:val="20"/>
                <w:szCs w:val="20"/>
                <w:lang w:val="en-GB"/>
              </w:rPr>
              <w:t>±0.</w:t>
            </w:r>
            <w:r>
              <w:rPr>
                <w:sz w:val="20"/>
                <w:szCs w:val="20"/>
                <w:lang w:val="en-GB"/>
              </w:rPr>
              <w:t>47</w:t>
            </w:r>
            <w:r w:rsidRPr="00E57613">
              <w:rPr>
                <w:sz w:val="20"/>
                <w:szCs w:val="20"/>
                <w:vertAlign w:val="superscript"/>
                <w:lang w:val="en-GB"/>
              </w:rPr>
              <w:t xml:space="preserve"> </w:t>
            </w:r>
            <w:proofErr w:type="spellStart"/>
            <w:r>
              <w:rPr>
                <w:sz w:val="20"/>
                <w:szCs w:val="20"/>
                <w:vertAlign w:val="superscript"/>
                <w:lang w:val="en-GB"/>
              </w:rPr>
              <w:t>aA</w:t>
            </w:r>
            <w:proofErr w:type="spellEnd"/>
          </w:p>
        </w:tc>
      </w:tr>
    </w:tbl>
    <w:bookmarkEnd w:id="2"/>
    <w:p w:rsidR="008B6F6A" w:rsidRPr="009C5A1B" w:rsidRDefault="008B6F6A" w:rsidP="008B6F6A">
      <w:pPr>
        <w:ind w:left="708"/>
        <w:jc w:val="both"/>
        <w:rPr>
          <w:sz w:val="20"/>
          <w:szCs w:val="20"/>
          <w:lang w:val="en-GB"/>
        </w:rPr>
      </w:pPr>
      <w:r>
        <w:rPr>
          <w:sz w:val="16"/>
          <w:szCs w:val="16"/>
          <w:lang w:val="en-GB"/>
        </w:rPr>
        <w:t xml:space="preserve">* </w:t>
      </w:r>
      <w:r w:rsidRPr="009C5A1B">
        <w:rPr>
          <w:sz w:val="20"/>
          <w:szCs w:val="20"/>
          <w:lang w:val="en-GB"/>
        </w:rPr>
        <w:t>Results were calculated as the mean Log count for</w:t>
      </w:r>
      <w:r>
        <w:rPr>
          <w:sz w:val="20"/>
          <w:szCs w:val="20"/>
          <w:lang w:val="en-GB"/>
        </w:rPr>
        <w:t xml:space="preserve"> the</w:t>
      </w:r>
      <w:r w:rsidRPr="009C5A1B">
        <w:rPr>
          <w:sz w:val="20"/>
          <w:szCs w:val="20"/>
          <w:lang w:val="en-GB"/>
        </w:rPr>
        <w:t xml:space="preserve"> three </w:t>
      </w:r>
      <w:r>
        <w:rPr>
          <w:sz w:val="20"/>
          <w:szCs w:val="20"/>
          <w:lang w:val="en-GB"/>
        </w:rPr>
        <w:t>replicates</w:t>
      </w:r>
      <w:r w:rsidRPr="009C5A1B">
        <w:rPr>
          <w:sz w:val="20"/>
          <w:szCs w:val="20"/>
          <w:lang w:val="en-GB"/>
        </w:rPr>
        <w:t xml:space="preserve">. The plate counts were expressed as </w:t>
      </w:r>
      <w:r>
        <w:rPr>
          <w:sz w:val="20"/>
          <w:szCs w:val="20"/>
          <w:lang w:val="en-GB"/>
        </w:rPr>
        <w:t xml:space="preserve">the </w:t>
      </w:r>
      <w:r w:rsidRPr="009C5A1B">
        <w:rPr>
          <w:sz w:val="20"/>
          <w:szCs w:val="20"/>
          <w:lang w:val="en-GB"/>
        </w:rPr>
        <w:t xml:space="preserve">mean of the three </w:t>
      </w:r>
      <w:r>
        <w:rPr>
          <w:sz w:val="20"/>
          <w:szCs w:val="20"/>
          <w:lang w:val="en-GB"/>
        </w:rPr>
        <w:t>replicates</w:t>
      </w:r>
      <w:r w:rsidRPr="009C5A1B">
        <w:rPr>
          <w:sz w:val="20"/>
          <w:szCs w:val="20"/>
          <w:lang w:val="en-GB"/>
        </w:rPr>
        <w:t>.</w:t>
      </w:r>
      <w:r>
        <w:rPr>
          <w:sz w:val="20"/>
          <w:szCs w:val="20"/>
          <w:lang w:val="en-GB"/>
        </w:rPr>
        <w:t xml:space="preserve"> V</w:t>
      </w:r>
      <w:r w:rsidRPr="009C5A1B">
        <w:rPr>
          <w:sz w:val="20"/>
          <w:szCs w:val="20"/>
          <w:lang w:val="en-GB"/>
        </w:rPr>
        <w:t>alues with different superscripts (lowercase</w:t>
      </w:r>
      <w:r>
        <w:rPr>
          <w:sz w:val="20"/>
          <w:szCs w:val="20"/>
          <w:lang w:val="en-GB"/>
        </w:rPr>
        <w:t xml:space="preserve"> letters</w:t>
      </w:r>
      <w:r w:rsidRPr="009C5A1B">
        <w:rPr>
          <w:sz w:val="20"/>
          <w:szCs w:val="20"/>
          <w:lang w:val="en-GB"/>
        </w:rPr>
        <w:t>)</w:t>
      </w:r>
      <w:r>
        <w:rPr>
          <w:sz w:val="20"/>
          <w:szCs w:val="20"/>
          <w:lang w:val="en-GB"/>
        </w:rPr>
        <w:t xml:space="preserve"> </w:t>
      </w:r>
      <w:r w:rsidRPr="009C5A1B">
        <w:rPr>
          <w:sz w:val="20"/>
          <w:szCs w:val="20"/>
          <w:lang w:val="en-GB"/>
        </w:rPr>
        <w:t>in the same column differ signi</w:t>
      </w:r>
      <w:r>
        <w:rPr>
          <w:sz w:val="20"/>
          <w:szCs w:val="20"/>
          <w:lang w:val="en-GB"/>
        </w:rPr>
        <w:t>ficantly (P&lt;0.05</w:t>
      </w:r>
      <w:r w:rsidRPr="009C5A1B">
        <w:rPr>
          <w:sz w:val="20"/>
          <w:szCs w:val="20"/>
          <w:lang w:val="en-GB"/>
        </w:rPr>
        <w:t>).</w:t>
      </w:r>
      <w:r>
        <w:rPr>
          <w:sz w:val="20"/>
          <w:szCs w:val="20"/>
          <w:lang w:val="en-GB"/>
        </w:rPr>
        <w:t>V</w:t>
      </w:r>
      <w:r w:rsidRPr="009C5A1B">
        <w:rPr>
          <w:sz w:val="20"/>
          <w:szCs w:val="20"/>
          <w:lang w:val="en-GB"/>
        </w:rPr>
        <w:t>alues with different superscripts (</w:t>
      </w:r>
      <w:r>
        <w:rPr>
          <w:sz w:val="20"/>
          <w:szCs w:val="20"/>
          <w:lang w:val="en-GB"/>
        </w:rPr>
        <w:t>uppercase letters</w:t>
      </w:r>
      <w:r w:rsidRPr="009C5A1B">
        <w:rPr>
          <w:sz w:val="20"/>
          <w:szCs w:val="20"/>
          <w:lang w:val="en-GB"/>
        </w:rPr>
        <w:t xml:space="preserve">) in the same </w:t>
      </w:r>
      <w:r>
        <w:rPr>
          <w:sz w:val="20"/>
          <w:szCs w:val="20"/>
          <w:lang w:val="en-GB"/>
        </w:rPr>
        <w:t>row differ significantly (P&lt;0.05</w:t>
      </w:r>
      <w:r w:rsidRPr="009C5A1B">
        <w:rPr>
          <w:sz w:val="20"/>
          <w:szCs w:val="20"/>
          <w:lang w:val="en-GB"/>
        </w:rPr>
        <w:t>).</w:t>
      </w:r>
    </w:p>
    <w:p w:rsidR="008B6F6A" w:rsidRPr="006947DB" w:rsidRDefault="008B6F6A" w:rsidP="008B6F6A">
      <w:pPr>
        <w:rPr>
          <w:lang w:val="en-GB"/>
        </w:rPr>
      </w:pPr>
    </w:p>
    <w:p w:rsidR="008B6F6A" w:rsidRDefault="008B6F6A" w:rsidP="008B6F6A">
      <w:pPr>
        <w:rPr>
          <w:b/>
          <w:sz w:val="20"/>
          <w:szCs w:val="20"/>
          <w:lang w:val="en-GB"/>
        </w:rPr>
      </w:pPr>
      <w:r w:rsidRPr="003452F8">
        <w:rPr>
          <w:b/>
          <w:sz w:val="20"/>
          <w:szCs w:val="20"/>
          <w:lang w:val="en-GB"/>
        </w:rPr>
        <w:t xml:space="preserve">Table </w:t>
      </w:r>
      <w:r>
        <w:rPr>
          <w:b/>
          <w:sz w:val="20"/>
          <w:szCs w:val="20"/>
          <w:lang w:val="en-GB"/>
        </w:rPr>
        <w:t xml:space="preserve">4 </w:t>
      </w:r>
    </w:p>
    <w:p w:rsidR="008B6F6A" w:rsidRDefault="008B6F6A" w:rsidP="008B6F6A">
      <w:pPr>
        <w:rPr>
          <w:sz w:val="20"/>
          <w:szCs w:val="20"/>
          <w:lang w:val="en-GB"/>
        </w:rPr>
      </w:pPr>
      <w:r w:rsidRPr="003452F8">
        <w:rPr>
          <w:sz w:val="20"/>
          <w:szCs w:val="20"/>
          <w:lang w:val="en-GB"/>
        </w:rPr>
        <w:t xml:space="preserve">Total </w:t>
      </w:r>
      <w:r>
        <w:rPr>
          <w:sz w:val="20"/>
          <w:szCs w:val="20"/>
          <w:lang w:val="en-GB"/>
        </w:rPr>
        <w:t xml:space="preserve">microbial activity (FDA) in infested and control substrate samples following incubation in </w:t>
      </w:r>
      <w:proofErr w:type="spellStart"/>
      <w:r>
        <w:rPr>
          <w:sz w:val="20"/>
          <w:szCs w:val="20"/>
          <w:lang w:val="en-GB"/>
        </w:rPr>
        <w:t>phytotrons</w:t>
      </w:r>
      <w:proofErr w:type="spellEnd"/>
      <w:r>
        <w:rPr>
          <w:sz w:val="20"/>
          <w:szCs w:val="20"/>
          <w:lang w:val="en-GB"/>
        </w:rPr>
        <w:t xml:space="preserve"> </w:t>
      </w:r>
      <w:r w:rsidRPr="003452F8">
        <w:rPr>
          <w:sz w:val="20"/>
          <w:szCs w:val="20"/>
          <w:lang w:val="en-GB"/>
        </w:rPr>
        <w:t>for 28 days.</w:t>
      </w:r>
    </w:p>
    <w:p w:rsidR="008B6F6A" w:rsidRPr="008722DA" w:rsidRDefault="008B6F6A" w:rsidP="008B6F6A">
      <w:pPr>
        <w:rPr>
          <w:lang w:val="en-GB"/>
        </w:rPr>
      </w:pPr>
    </w:p>
    <w:tbl>
      <w:tblPr>
        <w:tblpPr w:leftFromText="141" w:rightFromText="141" w:vertAnchor="page" w:horzAnchor="margin" w:tblpY="8090"/>
        <w:tblW w:w="9508" w:type="dxa"/>
        <w:tblLayout w:type="fixed"/>
        <w:tblCellMar>
          <w:left w:w="70" w:type="dxa"/>
          <w:right w:w="70" w:type="dxa"/>
        </w:tblCellMar>
        <w:tblLook w:val="0000"/>
      </w:tblPr>
      <w:tblGrid>
        <w:gridCol w:w="1192"/>
        <w:gridCol w:w="1156"/>
        <w:gridCol w:w="1790"/>
        <w:gridCol w:w="1790"/>
        <w:gridCol w:w="1790"/>
        <w:gridCol w:w="1712"/>
        <w:gridCol w:w="78"/>
      </w:tblGrid>
      <w:tr w:rsidR="008B6F6A" w:rsidRPr="0029088C" w:rsidTr="008B6F6A">
        <w:trPr>
          <w:gridAfter w:val="1"/>
          <w:wAfter w:w="78" w:type="dxa"/>
          <w:trHeight w:val="360"/>
        </w:trPr>
        <w:tc>
          <w:tcPr>
            <w:tcW w:w="1192" w:type="dxa"/>
            <w:tcBorders>
              <w:bottom w:val="single" w:sz="4" w:space="0" w:color="auto"/>
            </w:tcBorders>
            <w:vAlign w:val="center"/>
          </w:tcPr>
          <w:p w:rsidR="008B6F6A" w:rsidRPr="0029088C" w:rsidRDefault="008B6F6A" w:rsidP="008B6F6A">
            <w:pPr>
              <w:jc w:val="center"/>
              <w:rPr>
                <w:rFonts w:ascii="Arial" w:hAnsi="Arial" w:cs="Arial"/>
                <w:sz w:val="20"/>
                <w:szCs w:val="20"/>
                <w:lang w:val="en-GB"/>
              </w:rPr>
            </w:pPr>
            <w:bookmarkStart w:id="3" w:name="OLE_LINK3"/>
          </w:p>
        </w:tc>
        <w:tc>
          <w:tcPr>
            <w:tcW w:w="1156" w:type="dxa"/>
            <w:tcBorders>
              <w:bottom w:val="single" w:sz="4" w:space="0" w:color="auto"/>
            </w:tcBorders>
            <w:shd w:val="clear" w:color="auto" w:fill="auto"/>
            <w:noWrap/>
            <w:vAlign w:val="center"/>
          </w:tcPr>
          <w:p w:rsidR="008B6F6A" w:rsidRPr="0029088C" w:rsidRDefault="008B6F6A" w:rsidP="008B6F6A">
            <w:pPr>
              <w:jc w:val="center"/>
              <w:rPr>
                <w:rFonts w:ascii="Arial" w:hAnsi="Arial" w:cs="Arial"/>
                <w:sz w:val="20"/>
                <w:szCs w:val="20"/>
                <w:lang w:val="en-GB"/>
              </w:rPr>
            </w:pPr>
          </w:p>
        </w:tc>
        <w:tc>
          <w:tcPr>
            <w:tcW w:w="7082" w:type="dxa"/>
            <w:gridSpan w:val="4"/>
            <w:tcBorders>
              <w:top w:val="single" w:sz="4" w:space="0" w:color="auto"/>
              <w:bottom w:val="single" w:sz="4" w:space="0" w:color="auto"/>
            </w:tcBorders>
            <w:shd w:val="clear" w:color="auto" w:fill="auto"/>
            <w:noWrap/>
            <w:vAlign w:val="center"/>
          </w:tcPr>
          <w:p w:rsidR="008B6F6A" w:rsidRPr="0029088C" w:rsidRDefault="008B6F6A" w:rsidP="008B6F6A">
            <w:pPr>
              <w:jc w:val="center"/>
              <w:rPr>
                <w:rFonts w:ascii="Arial" w:hAnsi="Arial" w:cs="Arial"/>
                <w:sz w:val="20"/>
                <w:szCs w:val="20"/>
                <w:lang w:val="en-GB"/>
              </w:rPr>
            </w:pPr>
            <w:proofErr w:type="spellStart"/>
            <w:r w:rsidRPr="008C78DC">
              <w:rPr>
                <w:rFonts w:ascii="Arial" w:hAnsi="Arial" w:cs="Arial"/>
                <w:sz w:val="20"/>
                <w:szCs w:val="20"/>
                <w:vertAlign w:val="superscript"/>
                <w:lang w:val="en-GB"/>
              </w:rPr>
              <w:t>b</w:t>
            </w:r>
            <w:r>
              <w:rPr>
                <w:rFonts w:ascii="Arial" w:hAnsi="Arial" w:cs="Arial"/>
                <w:sz w:val="20"/>
                <w:szCs w:val="20"/>
                <w:lang w:val="en-GB"/>
              </w:rPr>
              <w:t>µg</w:t>
            </w:r>
            <w:proofErr w:type="spellEnd"/>
            <w:r>
              <w:rPr>
                <w:rFonts w:ascii="Arial" w:hAnsi="Arial" w:cs="Arial"/>
                <w:sz w:val="20"/>
                <w:szCs w:val="20"/>
                <w:lang w:val="en-GB"/>
              </w:rPr>
              <w:t xml:space="preserve"> FDA h</w:t>
            </w:r>
            <w:r w:rsidRPr="008C7E30">
              <w:rPr>
                <w:rFonts w:ascii="Arial" w:hAnsi="Arial" w:cs="Arial"/>
                <w:sz w:val="20"/>
                <w:szCs w:val="20"/>
                <w:vertAlign w:val="superscript"/>
                <w:lang w:val="en-GB"/>
              </w:rPr>
              <w:t>-1</w:t>
            </w:r>
            <w:r>
              <w:rPr>
                <w:rFonts w:ascii="Arial" w:hAnsi="Arial" w:cs="Arial"/>
                <w:sz w:val="20"/>
                <w:szCs w:val="20"/>
                <w:lang w:val="en-GB"/>
              </w:rPr>
              <w:t xml:space="preserve"> g</w:t>
            </w:r>
            <w:r w:rsidRPr="008C7E30">
              <w:rPr>
                <w:rFonts w:ascii="Arial" w:hAnsi="Arial" w:cs="Arial"/>
                <w:sz w:val="20"/>
                <w:szCs w:val="20"/>
                <w:vertAlign w:val="superscript"/>
                <w:lang w:val="en-GB"/>
              </w:rPr>
              <w:t>-1</w:t>
            </w:r>
          </w:p>
        </w:tc>
      </w:tr>
      <w:tr w:rsidR="008B6F6A" w:rsidTr="008B6F6A">
        <w:trPr>
          <w:trHeight w:val="270"/>
        </w:trPr>
        <w:tc>
          <w:tcPr>
            <w:tcW w:w="1192" w:type="dxa"/>
            <w:tcBorders>
              <w:top w:val="single" w:sz="4" w:space="0" w:color="auto"/>
              <w:bottom w:val="single" w:sz="4" w:space="0" w:color="auto"/>
            </w:tcBorders>
            <w:vAlign w:val="center"/>
          </w:tcPr>
          <w:p w:rsidR="008B6F6A" w:rsidRPr="0029088C" w:rsidRDefault="008B6F6A" w:rsidP="008B6F6A">
            <w:pPr>
              <w:jc w:val="center"/>
              <w:rPr>
                <w:rFonts w:ascii="Arial" w:hAnsi="Arial" w:cs="Arial"/>
                <w:sz w:val="20"/>
                <w:szCs w:val="20"/>
                <w:lang w:val="en-GB"/>
              </w:rPr>
            </w:pPr>
          </w:p>
        </w:tc>
        <w:tc>
          <w:tcPr>
            <w:tcW w:w="1156" w:type="dxa"/>
            <w:tcBorders>
              <w:top w:val="single" w:sz="4" w:space="0" w:color="auto"/>
              <w:bottom w:val="single" w:sz="4" w:space="0" w:color="auto"/>
            </w:tcBorders>
            <w:shd w:val="clear" w:color="auto" w:fill="auto"/>
            <w:noWrap/>
            <w:vAlign w:val="center"/>
          </w:tcPr>
          <w:p w:rsidR="008B6F6A" w:rsidRPr="003E0521" w:rsidRDefault="008B6F6A" w:rsidP="008B6F6A">
            <w:pPr>
              <w:jc w:val="center"/>
              <w:rPr>
                <w:sz w:val="20"/>
                <w:szCs w:val="20"/>
              </w:rPr>
            </w:pPr>
            <w:r>
              <w:rPr>
                <w:rFonts w:ascii="Arial" w:hAnsi="Arial" w:cs="Arial"/>
                <w:sz w:val="20"/>
                <w:szCs w:val="20"/>
              </w:rPr>
              <w:t xml:space="preserve"> </w:t>
            </w:r>
            <w:r>
              <w:rPr>
                <w:sz w:val="20"/>
                <w:szCs w:val="20"/>
              </w:rPr>
              <w:t>Sampling day</w:t>
            </w:r>
          </w:p>
        </w:tc>
        <w:tc>
          <w:tcPr>
            <w:tcW w:w="1790" w:type="dxa"/>
            <w:tcBorders>
              <w:top w:val="single" w:sz="4" w:space="0" w:color="auto"/>
              <w:bottom w:val="single" w:sz="4" w:space="0" w:color="auto"/>
            </w:tcBorders>
            <w:shd w:val="clear" w:color="auto" w:fill="auto"/>
            <w:noWrap/>
            <w:vAlign w:val="center"/>
          </w:tcPr>
          <w:p w:rsidR="008B6F6A" w:rsidRPr="000A1A47" w:rsidRDefault="008B6F6A" w:rsidP="008B6F6A">
            <w:pPr>
              <w:jc w:val="center"/>
              <w:rPr>
                <w:sz w:val="20"/>
                <w:szCs w:val="20"/>
              </w:rPr>
            </w:pPr>
            <w:r>
              <w:rPr>
                <w:sz w:val="20"/>
                <w:szCs w:val="20"/>
              </w:rPr>
              <w:t>1</w:t>
            </w:r>
          </w:p>
          <w:p w:rsidR="008B6F6A" w:rsidRPr="000A1A47" w:rsidRDefault="008B6F6A" w:rsidP="008B6F6A">
            <w:pPr>
              <w:jc w:val="center"/>
              <w:rPr>
                <w:sz w:val="20"/>
                <w:szCs w:val="20"/>
              </w:rPr>
            </w:pPr>
            <w:r w:rsidRPr="000A1A47">
              <w:rPr>
                <w:sz w:val="20"/>
                <w:szCs w:val="20"/>
              </w:rPr>
              <w:t>(</w:t>
            </w:r>
            <w:r w:rsidRPr="000A1A47">
              <w:rPr>
                <w:bCs/>
                <w:sz w:val="20"/>
                <w:szCs w:val="20"/>
                <w:lang w:val="en-GB"/>
              </w:rPr>
              <w:t>800</w:t>
            </w:r>
            <w:r>
              <w:rPr>
                <w:bCs/>
                <w:sz w:val="20"/>
                <w:szCs w:val="20"/>
                <w:lang w:val="en-GB"/>
              </w:rPr>
              <w:t xml:space="preserve"> </w:t>
            </w:r>
            <w:proofErr w:type="spellStart"/>
            <w:r w:rsidRPr="000A1A47">
              <w:rPr>
                <w:bCs/>
                <w:sz w:val="20"/>
                <w:szCs w:val="20"/>
                <w:lang w:val="en-GB"/>
              </w:rPr>
              <w:t>ppm</w:t>
            </w:r>
            <w:proofErr w:type="spellEnd"/>
            <w:r w:rsidRPr="000A1A47">
              <w:rPr>
                <w:bCs/>
                <w:sz w:val="20"/>
                <w:szCs w:val="20"/>
                <w:lang w:val="en-GB"/>
              </w:rPr>
              <w:t xml:space="preserve"> CO</w:t>
            </w:r>
            <w:r w:rsidRPr="000A1A47">
              <w:rPr>
                <w:bCs/>
                <w:sz w:val="20"/>
                <w:szCs w:val="20"/>
                <w:vertAlign w:val="subscript"/>
                <w:lang w:val="en-GB"/>
              </w:rPr>
              <w:t>2</w:t>
            </w:r>
            <w:r w:rsidRPr="000A1A47">
              <w:rPr>
                <w:bCs/>
                <w:sz w:val="20"/>
                <w:szCs w:val="20"/>
                <w:lang w:val="en-GB"/>
              </w:rPr>
              <w:t xml:space="preserve"> 22-26°C)</w:t>
            </w:r>
          </w:p>
        </w:tc>
        <w:tc>
          <w:tcPr>
            <w:tcW w:w="1790" w:type="dxa"/>
            <w:tcBorders>
              <w:top w:val="single" w:sz="4" w:space="0" w:color="auto"/>
              <w:bottom w:val="single" w:sz="4" w:space="0" w:color="auto"/>
            </w:tcBorders>
            <w:shd w:val="clear" w:color="auto" w:fill="auto"/>
            <w:noWrap/>
            <w:vAlign w:val="center"/>
          </w:tcPr>
          <w:p w:rsidR="008B6F6A" w:rsidRPr="000A1A47" w:rsidRDefault="008B6F6A" w:rsidP="008B6F6A">
            <w:pPr>
              <w:jc w:val="center"/>
              <w:rPr>
                <w:sz w:val="20"/>
                <w:szCs w:val="20"/>
              </w:rPr>
            </w:pPr>
            <w:r>
              <w:rPr>
                <w:sz w:val="20"/>
                <w:szCs w:val="20"/>
              </w:rPr>
              <w:t>2</w:t>
            </w:r>
          </w:p>
          <w:p w:rsidR="008B6F6A" w:rsidRPr="000A1A47" w:rsidRDefault="008B6F6A" w:rsidP="008B6F6A">
            <w:pPr>
              <w:jc w:val="center"/>
              <w:rPr>
                <w:sz w:val="20"/>
                <w:szCs w:val="20"/>
              </w:rPr>
            </w:pPr>
            <w:r w:rsidRPr="000A1A47">
              <w:rPr>
                <w:sz w:val="20"/>
                <w:szCs w:val="20"/>
              </w:rPr>
              <w:t>(</w:t>
            </w:r>
            <w:r w:rsidRPr="000A1A47">
              <w:rPr>
                <w:bCs/>
                <w:sz w:val="20"/>
                <w:szCs w:val="20"/>
                <w:lang w:val="en-GB"/>
              </w:rPr>
              <w:t>800</w:t>
            </w:r>
            <w:r>
              <w:rPr>
                <w:bCs/>
                <w:sz w:val="20"/>
                <w:szCs w:val="20"/>
                <w:lang w:val="en-GB"/>
              </w:rPr>
              <w:t xml:space="preserve"> </w:t>
            </w:r>
            <w:proofErr w:type="spellStart"/>
            <w:r w:rsidRPr="000A1A47">
              <w:rPr>
                <w:bCs/>
                <w:sz w:val="20"/>
                <w:szCs w:val="20"/>
                <w:lang w:val="en-GB"/>
              </w:rPr>
              <w:t>ppm</w:t>
            </w:r>
            <w:proofErr w:type="spellEnd"/>
            <w:r w:rsidRPr="000A1A47">
              <w:rPr>
                <w:bCs/>
                <w:sz w:val="20"/>
                <w:szCs w:val="20"/>
                <w:lang w:val="en-GB"/>
              </w:rPr>
              <w:t xml:space="preserve"> CO</w:t>
            </w:r>
            <w:r w:rsidRPr="000A1A47">
              <w:rPr>
                <w:bCs/>
                <w:sz w:val="20"/>
                <w:szCs w:val="20"/>
                <w:vertAlign w:val="subscript"/>
                <w:lang w:val="en-GB"/>
              </w:rPr>
              <w:t xml:space="preserve">2 </w:t>
            </w:r>
            <w:r w:rsidRPr="000A1A47">
              <w:rPr>
                <w:bCs/>
                <w:sz w:val="20"/>
                <w:szCs w:val="20"/>
                <w:lang w:val="en-GB"/>
              </w:rPr>
              <w:t>18-22°C)</w:t>
            </w:r>
          </w:p>
        </w:tc>
        <w:tc>
          <w:tcPr>
            <w:tcW w:w="1790" w:type="dxa"/>
            <w:tcBorders>
              <w:top w:val="single" w:sz="4" w:space="0" w:color="auto"/>
              <w:bottom w:val="single" w:sz="4" w:space="0" w:color="auto"/>
            </w:tcBorders>
            <w:shd w:val="clear" w:color="auto" w:fill="auto"/>
            <w:noWrap/>
            <w:vAlign w:val="center"/>
          </w:tcPr>
          <w:p w:rsidR="008B6F6A" w:rsidRPr="000A1A47" w:rsidRDefault="008B6F6A" w:rsidP="008B6F6A">
            <w:pPr>
              <w:jc w:val="center"/>
              <w:rPr>
                <w:sz w:val="20"/>
                <w:szCs w:val="20"/>
              </w:rPr>
            </w:pPr>
            <w:r>
              <w:rPr>
                <w:sz w:val="20"/>
                <w:szCs w:val="20"/>
              </w:rPr>
              <w:t>3</w:t>
            </w:r>
          </w:p>
          <w:p w:rsidR="008B6F6A" w:rsidRPr="000A1A47" w:rsidRDefault="008B6F6A" w:rsidP="008B6F6A">
            <w:pPr>
              <w:jc w:val="center"/>
              <w:rPr>
                <w:sz w:val="20"/>
                <w:szCs w:val="20"/>
              </w:rPr>
            </w:pPr>
            <w:r w:rsidRPr="000A1A47">
              <w:rPr>
                <w:sz w:val="20"/>
                <w:szCs w:val="20"/>
              </w:rPr>
              <w:t>(</w:t>
            </w:r>
            <w:r w:rsidRPr="000A1A47">
              <w:rPr>
                <w:bCs/>
                <w:sz w:val="20"/>
                <w:szCs w:val="20"/>
                <w:lang w:val="en-GB"/>
              </w:rPr>
              <w:t>400</w:t>
            </w:r>
            <w:r>
              <w:rPr>
                <w:bCs/>
                <w:sz w:val="20"/>
                <w:szCs w:val="20"/>
                <w:lang w:val="en-GB"/>
              </w:rPr>
              <w:t xml:space="preserve"> </w:t>
            </w:r>
            <w:proofErr w:type="spellStart"/>
            <w:r w:rsidRPr="000A1A47">
              <w:rPr>
                <w:bCs/>
                <w:sz w:val="20"/>
                <w:szCs w:val="20"/>
                <w:lang w:val="en-GB"/>
              </w:rPr>
              <w:t>ppm</w:t>
            </w:r>
            <w:proofErr w:type="spellEnd"/>
            <w:r w:rsidRPr="000A1A47">
              <w:rPr>
                <w:bCs/>
                <w:sz w:val="20"/>
                <w:szCs w:val="20"/>
                <w:lang w:val="en-GB"/>
              </w:rPr>
              <w:t xml:space="preserve"> CO</w:t>
            </w:r>
            <w:r w:rsidRPr="000A1A47">
              <w:rPr>
                <w:bCs/>
                <w:sz w:val="20"/>
                <w:szCs w:val="20"/>
                <w:vertAlign w:val="subscript"/>
                <w:lang w:val="en-GB"/>
              </w:rPr>
              <w:t xml:space="preserve">2 </w:t>
            </w:r>
            <w:r w:rsidRPr="000A1A47">
              <w:rPr>
                <w:bCs/>
                <w:sz w:val="20"/>
                <w:szCs w:val="20"/>
                <w:lang w:val="en-GB"/>
              </w:rPr>
              <w:t xml:space="preserve"> 22-26°C)</w:t>
            </w:r>
          </w:p>
        </w:tc>
        <w:tc>
          <w:tcPr>
            <w:tcW w:w="1790" w:type="dxa"/>
            <w:gridSpan w:val="2"/>
            <w:tcBorders>
              <w:top w:val="single" w:sz="4" w:space="0" w:color="auto"/>
              <w:bottom w:val="single" w:sz="4" w:space="0" w:color="auto"/>
            </w:tcBorders>
            <w:shd w:val="clear" w:color="auto" w:fill="auto"/>
            <w:noWrap/>
            <w:vAlign w:val="center"/>
          </w:tcPr>
          <w:p w:rsidR="008B6F6A" w:rsidRPr="000A1A47" w:rsidRDefault="008B6F6A" w:rsidP="008B6F6A">
            <w:pPr>
              <w:jc w:val="center"/>
              <w:rPr>
                <w:sz w:val="20"/>
                <w:szCs w:val="20"/>
              </w:rPr>
            </w:pPr>
            <w:r>
              <w:rPr>
                <w:sz w:val="20"/>
                <w:szCs w:val="20"/>
              </w:rPr>
              <w:t>4</w:t>
            </w:r>
          </w:p>
          <w:p w:rsidR="008B6F6A" w:rsidRPr="000A1A47" w:rsidRDefault="008B6F6A" w:rsidP="008B6F6A">
            <w:pPr>
              <w:jc w:val="center"/>
              <w:rPr>
                <w:sz w:val="20"/>
                <w:szCs w:val="20"/>
              </w:rPr>
            </w:pPr>
            <w:r w:rsidRPr="000A1A47">
              <w:rPr>
                <w:sz w:val="20"/>
                <w:szCs w:val="20"/>
              </w:rPr>
              <w:t>(</w:t>
            </w:r>
            <w:r w:rsidRPr="000A1A47">
              <w:rPr>
                <w:bCs/>
                <w:sz w:val="20"/>
                <w:szCs w:val="20"/>
                <w:lang w:val="en-GB"/>
              </w:rPr>
              <w:t>400</w:t>
            </w:r>
            <w:r>
              <w:rPr>
                <w:bCs/>
                <w:sz w:val="20"/>
                <w:szCs w:val="20"/>
                <w:lang w:val="en-GB"/>
              </w:rPr>
              <w:t xml:space="preserve"> </w:t>
            </w:r>
            <w:proofErr w:type="spellStart"/>
            <w:r w:rsidRPr="000A1A47">
              <w:rPr>
                <w:bCs/>
                <w:sz w:val="20"/>
                <w:szCs w:val="20"/>
                <w:lang w:val="en-GB"/>
              </w:rPr>
              <w:t>ppm</w:t>
            </w:r>
            <w:proofErr w:type="spellEnd"/>
            <w:r w:rsidRPr="000A1A47">
              <w:rPr>
                <w:bCs/>
                <w:sz w:val="20"/>
                <w:szCs w:val="20"/>
                <w:lang w:val="en-GB"/>
              </w:rPr>
              <w:t xml:space="preserve"> CO</w:t>
            </w:r>
            <w:r w:rsidRPr="000A1A47">
              <w:rPr>
                <w:bCs/>
                <w:sz w:val="20"/>
                <w:szCs w:val="20"/>
                <w:vertAlign w:val="subscript"/>
                <w:lang w:val="en-GB"/>
              </w:rPr>
              <w:t xml:space="preserve">2 </w:t>
            </w:r>
            <w:r w:rsidRPr="000A1A47">
              <w:rPr>
                <w:bCs/>
                <w:sz w:val="20"/>
                <w:szCs w:val="20"/>
                <w:lang w:val="en-GB"/>
              </w:rPr>
              <w:t xml:space="preserve"> 18-22°C)</w:t>
            </w:r>
          </w:p>
        </w:tc>
      </w:tr>
      <w:tr w:rsidR="008B6F6A" w:rsidTr="008B6F6A">
        <w:trPr>
          <w:trHeight w:val="270"/>
        </w:trPr>
        <w:tc>
          <w:tcPr>
            <w:tcW w:w="1192" w:type="dxa"/>
            <w:vMerge w:val="restart"/>
            <w:tcBorders>
              <w:top w:val="single" w:sz="4" w:space="0" w:color="auto"/>
            </w:tcBorders>
            <w:vAlign w:val="center"/>
          </w:tcPr>
          <w:p w:rsidR="008B6F6A" w:rsidRDefault="008B6F6A" w:rsidP="008B6F6A">
            <w:pPr>
              <w:jc w:val="center"/>
              <w:rPr>
                <w:rFonts w:ascii="Arial" w:hAnsi="Arial" w:cs="Arial"/>
                <w:sz w:val="20"/>
                <w:szCs w:val="20"/>
              </w:rPr>
            </w:pPr>
            <w:r>
              <w:rPr>
                <w:lang w:val="en-GB"/>
              </w:rPr>
              <w:t xml:space="preserve">Infested </w:t>
            </w:r>
            <w:r w:rsidRPr="000A1A47">
              <w:t>sample</w:t>
            </w:r>
            <w:r>
              <w:t>s</w:t>
            </w:r>
          </w:p>
        </w:tc>
        <w:tc>
          <w:tcPr>
            <w:tcW w:w="1156" w:type="dxa"/>
            <w:tcBorders>
              <w:top w:val="single" w:sz="4" w:space="0" w:color="auto"/>
            </w:tcBorders>
            <w:shd w:val="clear" w:color="auto" w:fill="auto"/>
            <w:noWrap/>
            <w:vAlign w:val="center"/>
          </w:tcPr>
          <w:p w:rsidR="008B6F6A" w:rsidRDefault="008B6F6A" w:rsidP="008B6F6A">
            <w:pPr>
              <w:jc w:val="center"/>
              <w:rPr>
                <w:rFonts w:ascii="Arial" w:hAnsi="Arial" w:cs="Arial"/>
                <w:sz w:val="20"/>
                <w:szCs w:val="20"/>
              </w:rPr>
            </w:pPr>
            <w:r>
              <w:rPr>
                <w:rFonts w:ascii="Arial" w:hAnsi="Arial" w:cs="Arial"/>
                <w:sz w:val="20"/>
                <w:szCs w:val="20"/>
              </w:rPr>
              <w:t>7</w:t>
            </w:r>
          </w:p>
        </w:tc>
        <w:tc>
          <w:tcPr>
            <w:tcW w:w="1790" w:type="dxa"/>
            <w:tcBorders>
              <w:top w:val="single" w:sz="4" w:space="0" w:color="auto"/>
            </w:tcBorders>
            <w:shd w:val="clear" w:color="auto" w:fill="auto"/>
            <w:noWrap/>
            <w:vAlign w:val="center"/>
          </w:tcPr>
          <w:p w:rsidR="008B6F6A" w:rsidRPr="00664372" w:rsidRDefault="008B6F6A" w:rsidP="008B6F6A">
            <w:pPr>
              <w:jc w:val="center"/>
              <w:rPr>
                <w:color w:val="000000"/>
                <w:sz w:val="20"/>
                <w:szCs w:val="20"/>
              </w:rPr>
            </w:pPr>
            <w:r>
              <w:rPr>
                <w:color w:val="000000"/>
                <w:sz w:val="20"/>
                <w:szCs w:val="20"/>
              </w:rPr>
              <w:t>9.31</w:t>
            </w:r>
            <w:r w:rsidRPr="00664372">
              <w:rPr>
                <w:color w:val="000000"/>
                <w:sz w:val="20"/>
                <w:szCs w:val="20"/>
              </w:rPr>
              <w:t xml:space="preserve"> ± </w:t>
            </w:r>
            <w:r w:rsidRPr="00664372">
              <w:rPr>
                <w:sz w:val="20"/>
                <w:szCs w:val="20"/>
              </w:rPr>
              <w:t>3</w:t>
            </w:r>
            <w:r>
              <w:rPr>
                <w:sz w:val="20"/>
                <w:szCs w:val="20"/>
              </w:rPr>
              <w:t>.</w:t>
            </w:r>
            <w:r w:rsidRPr="00664372">
              <w:rPr>
                <w:sz w:val="20"/>
                <w:szCs w:val="20"/>
              </w:rPr>
              <w:t>44</w:t>
            </w:r>
            <w:r w:rsidRPr="00664372">
              <w:rPr>
                <w:sz w:val="20"/>
                <w:szCs w:val="20"/>
                <w:vertAlign w:val="superscript"/>
              </w:rPr>
              <w:t xml:space="preserve"> </w:t>
            </w:r>
            <w:proofErr w:type="spellStart"/>
            <w:r>
              <w:rPr>
                <w:sz w:val="20"/>
                <w:szCs w:val="20"/>
                <w:vertAlign w:val="superscript"/>
              </w:rPr>
              <w:t>a</w:t>
            </w:r>
            <w:r w:rsidRPr="00664372">
              <w:rPr>
                <w:sz w:val="20"/>
                <w:szCs w:val="20"/>
                <w:vertAlign w:val="superscript"/>
              </w:rPr>
              <w:t>A</w:t>
            </w:r>
            <w:proofErr w:type="spellEnd"/>
          </w:p>
        </w:tc>
        <w:tc>
          <w:tcPr>
            <w:tcW w:w="1790" w:type="dxa"/>
            <w:tcBorders>
              <w:top w:val="single" w:sz="4" w:space="0" w:color="auto"/>
            </w:tcBorders>
            <w:shd w:val="clear" w:color="auto" w:fill="auto"/>
            <w:noWrap/>
            <w:vAlign w:val="center"/>
          </w:tcPr>
          <w:p w:rsidR="008B6F6A" w:rsidRPr="00664372" w:rsidRDefault="008B6F6A" w:rsidP="008B6F6A">
            <w:pPr>
              <w:jc w:val="center"/>
              <w:rPr>
                <w:sz w:val="20"/>
                <w:szCs w:val="20"/>
              </w:rPr>
            </w:pPr>
            <w:r>
              <w:rPr>
                <w:sz w:val="20"/>
                <w:szCs w:val="20"/>
              </w:rPr>
              <w:t>7.42</w:t>
            </w:r>
            <w:r w:rsidRPr="00664372">
              <w:rPr>
                <w:sz w:val="20"/>
                <w:szCs w:val="20"/>
              </w:rPr>
              <w:t xml:space="preserve"> </w:t>
            </w:r>
            <w:r w:rsidRPr="00664372">
              <w:rPr>
                <w:color w:val="000000"/>
                <w:sz w:val="20"/>
                <w:szCs w:val="20"/>
              </w:rPr>
              <w:t xml:space="preserve">± </w:t>
            </w:r>
            <w:r w:rsidRPr="00664372">
              <w:rPr>
                <w:sz w:val="20"/>
                <w:szCs w:val="20"/>
              </w:rPr>
              <w:t>0</w:t>
            </w:r>
            <w:r>
              <w:rPr>
                <w:sz w:val="20"/>
                <w:szCs w:val="20"/>
              </w:rPr>
              <w:t>.</w:t>
            </w:r>
            <w:r w:rsidRPr="00664372">
              <w:rPr>
                <w:sz w:val="20"/>
                <w:szCs w:val="20"/>
              </w:rPr>
              <w:t>00</w:t>
            </w:r>
            <w:r w:rsidRPr="003E7DEE">
              <w:rPr>
                <w:sz w:val="20"/>
                <w:szCs w:val="20"/>
                <w:vertAlign w:val="superscript"/>
              </w:rPr>
              <w:t>a</w:t>
            </w:r>
            <w:r w:rsidRPr="00664372">
              <w:rPr>
                <w:sz w:val="20"/>
                <w:szCs w:val="20"/>
                <w:vertAlign w:val="superscript"/>
              </w:rPr>
              <w:t xml:space="preserve"> A</w:t>
            </w:r>
          </w:p>
        </w:tc>
        <w:tc>
          <w:tcPr>
            <w:tcW w:w="1790" w:type="dxa"/>
            <w:tcBorders>
              <w:top w:val="single" w:sz="4" w:space="0" w:color="auto"/>
            </w:tcBorders>
            <w:shd w:val="clear" w:color="auto" w:fill="auto"/>
            <w:noWrap/>
            <w:vAlign w:val="center"/>
          </w:tcPr>
          <w:p w:rsidR="008B6F6A" w:rsidRPr="00664372" w:rsidRDefault="008B6F6A" w:rsidP="008B6F6A">
            <w:pPr>
              <w:jc w:val="center"/>
              <w:rPr>
                <w:color w:val="000000"/>
                <w:sz w:val="20"/>
                <w:szCs w:val="20"/>
              </w:rPr>
            </w:pPr>
            <w:r>
              <w:rPr>
                <w:color w:val="000000"/>
                <w:sz w:val="20"/>
                <w:szCs w:val="20"/>
              </w:rPr>
              <w:t>10.67</w:t>
            </w:r>
            <w:r w:rsidRPr="00664372">
              <w:rPr>
                <w:color w:val="000000"/>
                <w:sz w:val="20"/>
                <w:szCs w:val="20"/>
              </w:rPr>
              <w:t xml:space="preserve"> ± </w:t>
            </w:r>
            <w:r w:rsidRPr="00664372">
              <w:rPr>
                <w:sz w:val="20"/>
                <w:szCs w:val="20"/>
              </w:rPr>
              <w:t>1</w:t>
            </w:r>
            <w:r>
              <w:rPr>
                <w:sz w:val="20"/>
                <w:szCs w:val="20"/>
              </w:rPr>
              <w:t>.</w:t>
            </w:r>
            <w:r w:rsidRPr="00664372">
              <w:rPr>
                <w:sz w:val="20"/>
                <w:szCs w:val="20"/>
              </w:rPr>
              <w:t>23</w:t>
            </w:r>
            <w:r w:rsidRPr="003E7DEE">
              <w:rPr>
                <w:sz w:val="20"/>
                <w:szCs w:val="20"/>
                <w:vertAlign w:val="superscript"/>
              </w:rPr>
              <w:t>a</w:t>
            </w:r>
            <w:r>
              <w:rPr>
                <w:sz w:val="20"/>
                <w:szCs w:val="20"/>
                <w:vertAlign w:val="superscript"/>
              </w:rPr>
              <w:t>A</w:t>
            </w:r>
          </w:p>
        </w:tc>
        <w:tc>
          <w:tcPr>
            <w:tcW w:w="1790" w:type="dxa"/>
            <w:gridSpan w:val="2"/>
            <w:tcBorders>
              <w:top w:val="single" w:sz="4" w:space="0" w:color="auto"/>
            </w:tcBorders>
            <w:shd w:val="clear" w:color="auto" w:fill="auto"/>
            <w:noWrap/>
            <w:vAlign w:val="center"/>
          </w:tcPr>
          <w:p w:rsidR="008B6F6A" w:rsidRPr="00664372" w:rsidRDefault="008B6F6A" w:rsidP="008B6F6A">
            <w:pPr>
              <w:jc w:val="center"/>
              <w:rPr>
                <w:color w:val="000000"/>
                <w:sz w:val="20"/>
                <w:szCs w:val="20"/>
              </w:rPr>
            </w:pPr>
            <w:r>
              <w:rPr>
                <w:color w:val="000000"/>
                <w:sz w:val="20"/>
                <w:szCs w:val="20"/>
              </w:rPr>
              <w:t>13.59</w:t>
            </w:r>
            <w:r w:rsidRPr="00664372">
              <w:rPr>
                <w:color w:val="000000"/>
                <w:sz w:val="20"/>
                <w:szCs w:val="20"/>
              </w:rPr>
              <w:t xml:space="preserve">± </w:t>
            </w:r>
            <w:r w:rsidRPr="00664372">
              <w:rPr>
                <w:sz w:val="20"/>
                <w:szCs w:val="20"/>
              </w:rPr>
              <w:t>0</w:t>
            </w:r>
            <w:r>
              <w:rPr>
                <w:sz w:val="20"/>
                <w:szCs w:val="20"/>
              </w:rPr>
              <w:t>.</w:t>
            </w:r>
            <w:r w:rsidRPr="00664372">
              <w:rPr>
                <w:sz w:val="20"/>
                <w:szCs w:val="20"/>
              </w:rPr>
              <w:t>67</w:t>
            </w:r>
            <w:r w:rsidRPr="00664372">
              <w:rPr>
                <w:sz w:val="20"/>
                <w:szCs w:val="20"/>
                <w:vertAlign w:val="superscript"/>
              </w:rPr>
              <w:t xml:space="preserve"> </w:t>
            </w:r>
            <w:proofErr w:type="spellStart"/>
            <w:r>
              <w:rPr>
                <w:sz w:val="20"/>
                <w:szCs w:val="20"/>
                <w:vertAlign w:val="superscript"/>
              </w:rPr>
              <w:t>aB</w:t>
            </w:r>
            <w:proofErr w:type="spellEnd"/>
          </w:p>
        </w:tc>
      </w:tr>
      <w:tr w:rsidR="008B6F6A" w:rsidTr="008B6F6A">
        <w:trPr>
          <w:trHeight w:val="255"/>
        </w:trPr>
        <w:tc>
          <w:tcPr>
            <w:tcW w:w="1192" w:type="dxa"/>
            <w:vMerge/>
            <w:vAlign w:val="center"/>
          </w:tcPr>
          <w:p w:rsidR="008B6F6A" w:rsidRDefault="008B6F6A" w:rsidP="008B6F6A">
            <w:pPr>
              <w:jc w:val="center"/>
              <w:rPr>
                <w:rFonts w:ascii="Arial" w:hAnsi="Arial" w:cs="Arial"/>
                <w:sz w:val="20"/>
                <w:szCs w:val="20"/>
              </w:rPr>
            </w:pPr>
          </w:p>
        </w:tc>
        <w:tc>
          <w:tcPr>
            <w:tcW w:w="1156" w:type="dxa"/>
            <w:shd w:val="clear" w:color="auto" w:fill="auto"/>
            <w:noWrap/>
            <w:vAlign w:val="center"/>
          </w:tcPr>
          <w:p w:rsidR="008B6F6A" w:rsidRDefault="008B6F6A" w:rsidP="008B6F6A">
            <w:pPr>
              <w:jc w:val="center"/>
              <w:rPr>
                <w:rFonts w:ascii="Arial" w:hAnsi="Arial" w:cs="Arial"/>
                <w:sz w:val="20"/>
                <w:szCs w:val="20"/>
              </w:rPr>
            </w:pPr>
            <w:r>
              <w:rPr>
                <w:rFonts w:ascii="Arial" w:hAnsi="Arial" w:cs="Arial"/>
                <w:sz w:val="20"/>
                <w:szCs w:val="20"/>
              </w:rPr>
              <w:t>14</w:t>
            </w:r>
          </w:p>
        </w:tc>
        <w:tc>
          <w:tcPr>
            <w:tcW w:w="1790" w:type="dxa"/>
            <w:shd w:val="clear" w:color="auto" w:fill="auto"/>
            <w:noWrap/>
            <w:vAlign w:val="center"/>
          </w:tcPr>
          <w:p w:rsidR="008B6F6A" w:rsidRPr="00664372" w:rsidRDefault="008B6F6A" w:rsidP="008B6F6A">
            <w:pPr>
              <w:jc w:val="center"/>
              <w:rPr>
                <w:color w:val="000000"/>
                <w:sz w:val="20"/>
                <w:szCs w:val="20"/>
              </w:rPr>
            </w:pPr>
            <w:r>
              <w:rPr>
                <w:color w:val="000000"/>
                <w:sz w:val="20"/>
                <w:szCs w:val="20"/>
              </w:rPr>
              <w:t>4.13</w:t>
            </w:r>
            <w:r w:rsidRPr="00664372">
              <w:rPr>
                <w:color w:val="000000"/>
                <w:sz w:val="20"/>
                <w:szCs w:val="20"/>
              </w:rPr>
              <w:t xml:space="preserve"> ± </w:t>
            </w:r>
            <w:r w:rsidRPr="00664372">
              <w:rPr>
                <w:sz w:val="20"/>
                <w:szCs w:val="20"/>
              </w:rPr>
              <w:t>0</w:t>
            </w:r>
            <w:r>
              <w:rPr>
                <w:sz w:val="20"/>
                <w:szCs w:val="20"/>
              </w:rPr>
              <w:t>.</w:t>
            </w:r>
            <w:r w:rsidRPr="00664372">
              <w:rPr>
                <w:sz w:val="20"/>
                <w:szCs w:val="20"/>
              </w:rPr>
              <w:t>56</w:t>
            </w:r>
            <w:r w:rsidRPr="00664372">
              <w:rPr>
                <w:sz w:val="20"/>
                <w:szCs w:val="20"/>
                <w:vertAlign w:val="superscript"/>
              </w:rPr>
              <w:t xml:space="preserve"> </w:t>
            </w:r>
            <w:proofErr w:type="spellStart"/>
            <w:r>
              <w:rPr>
                <w:sz w:val="20"/>
                <w:szCs w:val="20"/>
                <w:vertAlign w:val="superscript"/>
              </w:rPr>
              <w:t>a</w:t>
            </w:r>
            <w:r w:rsidRPr="00664372">
              <w:rPr>
                <w:sz w:val="20"/>
                <w:szCs w:val="20"/>
                <w:vertAlign w:val="superscript"/>
              </w:rPr>
              <w:t>A</w:t>
            </w:r>
            <w:proofErr w:type="spellEnd"/>
          </w:p>
        </w:tc>
        <w:tc>
          <w:tcPr>
            <w:tcW w:w="1790" w:type="dxa"/>
            <w:shd w:val="clear" w:color="auto" w:fill="auto"/>
            <w:noWrap/>
            <w:vAlign w:val="center"/>
          </w:tcPr>
          <w:p w:rsidR="008B6F6A" w:rsidRPr="00664372" w:rsidRDefault="008B6F6A" w:rsidP="008B6F6A">
            <w:pPr>
              <w:jc w:val="center"/>
              <w:rPr>
                <w:sz w:val="20"/>
                <w:szCs w:val="20"/>
              </w:rPr>
            </w:pPr>
            <w:r w:rsidRPr="00664372">
              <w:rPr>
                <w:sz w:val="20"/>
                <w:szCs w:val="20"/>
              </w:rPr>
              <w:t>1</w:t>
            </w:r>
            <w:r>
              <w:rPr>
                <w:sz w:val="20"/>
                <w:szCs w:val="20"/>
              </w:rPr>
              <w:t>3.79</w:t>
            </w:r>
            <w:r w:rsidRPr="00664372">
              <w:rPr>
                <w:sz w:val="20"/>
                <w:szCs w:val="20"/>
              </w:rPr>
              <w:t xml:space="preserve"> </w:t>
            </w:r>
            <w:r w:rsidRPr="00664372">
              <w:rPr>
                <w:color w:val="000000"/>
                <w:sz w:val="20"/>
                <w:szCs w:val="20"/>
              </w:rPr>
              <w:t xml:space="preserve">± </w:t>
            </w:r>
            <w:r w:rsidRPr="00664372">
              <w:rPr>
                <w:sz w:val="20"/>
                <w:szCs w:val="20"/>
              </w:rPr>
              <w:t>0</w:t>
            </w:r>
            <w:r>
              <w:rPr>
                <w:sz w:val="20"/>
                <w:szCs w:val="20"/>
              </w:rPr>
              <w:t>.</w:t>
            </w:r>
            <w:r w:rsidRPr="00664372">
              <w:rPr>
                <w:sz w:val="20"/>
                <w:szCs w:val="20"/>
              </w:rPr>
              <w:t>78</w:t>
            </w:r>
            <w:r w:rsidRPr="003E7DEE">
              <w:rPr>
                <w:sz w:val="20"/>
                <w:szCs w:val="20"/>
                <w:vertAlign w:val="superscript"/>
              </w:rPr>
              <w:t>a</w:t>
            </w:r>
            <w:r w:rsidRPr="00664372">
              <w:rPr>
                <w:sz w:val="20"/>
                <w:szCs w:val="20"/>
                <w:vertAlign w:val="superscript"/>
              </w:rPr>
              <w:t>A</w:t>
            </w:r>
            <w:r>
              <w:rPr>
                <w:sz w:val="20"/>
                <w:szCs w:val="20"/>
                <w:vertAlign w:val="superscript"/>
              </w:rPr>
              <w:t>B</w:t>
            </w:r>
          </w:p>
        </w:tc>
        <w:tc>
          <w:tcPr>
            <w:tcW w:w="1790" w:type="dxa"/>
            <w:shd w:val="clear" w:color="auto" w:fill="auto"/>
            <w:noWrap/>
            <w:vAlign w:val="center"/>
          </w:tcPr>
          <w:p w:rsidR="008B6F6A" w:rsidRPr="00664372" w:rsidRDefault="008B6F6A" w:rsidP="008B6F6A">
            <w:pPr>
              <w:jc w:val="center"/>
              <w:rPr>
                <w:sz w:val="20"/>
                <w:szCs w:val="20"/>
              </w:rPr>
            </w:pPr>
            <w:r>
              <w:rPr>
                <w:sz w:val="20"/>
                <w:szCs w:val="20"/>
              </w:rPr>
              <w:t>25.72</w:t>
            </w:r>
            <w:r w:rsidRPr="00664372">
              <w:rPr>
                <w:sz w:val="20"/>
                <w:szCs w:val="20"/>
              </w:rPr>
              <w:t xml:space="preserve"> </w:t>
            </w:r>
            <w:r w:rsidRPr="00664372">
              <w:rPr>
                <w:color w:val="000000"/>
                <w:sz w:val="20"/>
                <w:szCs w:val="20"/>
              </w:rPr>
              <w:t xml:space="preserve">± </w:t>
            </w:r>
            <w:r w:rsidRPr="00664372">
              <w:rPr>
                <w:sz w:val="20"/>
                <w:szCs w:val="20"/>
              </w:rPr>
              <w:t>0</w:t>
            </w:r>
            <w:r>
              <w:rPr>
                <w:sz w:val="20"/>
                <w:szCs w:val="20"/>
              </w:rPr>
              <w:t>.</w:t>
            </w:r>
            <w:r w:rsidRPr="00664372">
              <w:rPr>
                <w:sz w:val="20"/>
                <w:szCs w:val="20"/>
              </w:rPr>
              <w:t>06</w:t>
            </w:r>
            <w:r>
              <w:rPr>
                <w:sz w:val="20"/>
                <w:szCs w:val="20"/>
                <w:vertAlign w:val="superscript"/>
              </w:rPr>
              <w:t>bB</w:t>
            </w:r>
          </w:p>
        </w:tc>
        <w:tc>
          <w:tcPr>
            <w:tcW w:w="1790" w:type="dxa"/>
            <w:gridSpan w:val="2"/>
            <w:shd w:val="clear" w:color="auto" w:fill="auto"/>
            <w:noWrap/>
            <w:vAlign w:val="center"/>
          </w:tcPr>
          <w:p w:rsidR="008B6F6A" w:rsidRPr="00664372" w:rsidRDefault="008B6F6A" w:rsidP="008B6F6A">
            <w:pPr>
              <w:jc w:val="center"/>
              <w:rPr>
                <w:sz w:val="20"/>
                <w:szCs w:val="20"/>
              </w:rPr>
            </w:pPr>
            <w:r>
              <w:rPr>
                <w:sz w:val="20"/>
                <w:szCs w:val="20"/>
              </w:rPr>
              <w:t>26.75</w:t>
            </w:r>
            <w:r w:rsidRPr="00664372">
              <w:rPr>
                <w:sz w:val="20"/>
                <w:szCs w:val="20"/>
              </w:rPr>
              <w:t xml:space="preserve"> </w:t>
            </w:r>
            <w:r w:rsidRPr="00664372">
              <w:rPr>
                <w:color w:val="000000"/>
                <w:sz w:val="20"/>
                <w:szCs w:val="20"/>
              </w:rPr>
              <w:t xml:space="preserve">± </w:t>
            </w:r>
            <w:r w:rsidRPr="00664372">
              <w:rPr>
                <w:sz w:val="20"/>
                <w:szCs w:val="20"/>
              </w:rPr>
              <w:t>3</w:t>
            </w:r>
            <w:r>
              <w:rPr>
                <w:sz w:val="20"/>
                <w:szCs w:val="20"/>
              </w:rPr>
              <w:t>.</w:t>
            </w:r>
            <w:r w:rsidRPr="00664372">
              <w:rPr>
                <w:sz w:val="20"/>
                <w:szCs w:val="20"/>
              </w:rPr>
              <w:t>28</w:t>
            </w:r>
            <w:r w:rsidRPr="00664372">
              <w:rPr>
                <w:sz w:val="20"/>
                <w:szCs w:val="20"/>
                <w:vertAlign w:val="superscript"/>
              </w:rPr>
              <w:t xml:space="preserve"> </w:t>
            </w:r>
            <w:proofErr w:type="spellStart"/>
            <w:r>
              <w:rPr>
                <w:sz w:val="20"/>
                <w:szCs w:val="20"/>
                <w:vertAlign w:val="superscript"/>
              </w:rPr>
              <w:t>bB</w:t>
            </w:r>
            <w:proofErr w:type="spellEnd"/>
          </w:p>
        </w:tc>
      </w:tr>
      <w:tr w:rsidR="008B6F6A" w:rsidRPr="003E7DEE" w:rsidTr="008B6F6A">
        <w:trPr>
          <w:trHeight w:val="255"/>
        </w:trPr>
        <w:tc>
          <w:tcPr>
            <w:tcW w:w="1192" w:type="dxa"/>
            <w:vMerge/>
            <w:vAlign w:val="center"/>
          </w:tcPr>
          <w:p w:rsidR="008B6F6A" w:rsidRDefault="008B6F6A" w:rsidP="008B6F6A">
            <w:pPr>
              <w:jc w:val="center"/>
              <w:rPr>
                <w:rFonts w:ascii="Arial" w:hAnsi="Arial" w:cs="Arial"/>
                <w:sz w:val="20"/>
                <w:szCs w:val="20"/>
              </w:rPr>
            </w:pPr>
          </w:p>
        </w:tc>
        <w:tc>
          <w:tcPr>
            <w:tcW w:w="1156" w:type="dxa"/>
            <w:shd w:val="clear" w:color="auto" w:fill="auto"/>
            <w:noWrap/>
            <w:vAlign w:val="center"/>
          </w:tcPr>
          <w:p w:rsidR="008B6F6A" w:rsidRDefault="008B6F6A" w:rsidP="008B6F6A">
            <w:pPr>
              <w:jc w:val="center"/>
              <w:rPr>
                <w:rFonts w:ascii="Arial" w:hAnsi="Arial" w:cs="Arial"/>
                <w:sz w:val="20"/>
                <w:szCs w:val="20"/>
              </w:rPr>
            </w:pPr>
            <w:r>
              <w:rPr>
                <w:rFonts w:ascii="Arial" w:hAnsi="Arial" w:cs="Arial"/>
                <w:sz w:val="20"/>
                <w:szCs w:val="20"/>
              </w:rPr>
              <w:t>21</w:t>
            </w:r>
          </w:p>
        </w:tc>
        <w:tc>
          <w:tcPr>
            <w:tcW w:w="1790" w:type="dxa"/>
            <w:shd w:val="clear" w:color="auto" w:fill="auto"/>
            <w:noWrap/>
            <w:vAlign w:val="center"/>
          </w:tcPr>
          <w:p w:rsidR="008B6F6A" w:rsidRPr="003E7DEE" w:rsidRDefault="008B6F6A" w:rsidP="008B6F6A">
            <w:pPr>
              <w:jc w:val="center"/>
              <w:rPr>
                <w:color w:val="000000"/>
                <w:sz w:val="20"/>
                <w:szCs w:val="20"/>
                <w:lang w:val="en-GB"/>
              </w:rPr>
            </w:pPr>
            <w:r>
              <w:rPr>
                <w:color w:val="000000"/>
                <w:sz w:val="20"/>
                <w:szCs w:val="20"/>
                <w:lang w:val="en-GB"/>
              </w:rPr>
              <w:t>5.12</w:t>
            </w:r>
            <w:r w:rsidRPr="003E7DEE">
              <w:rPr>
                <w:color w:val="000000"/>
                <w:sz w:val="20"/>
                <w:szCs w:val="20"/>
                <w:lang w:val="en-GB"/>
              </w:rPr>
              <w:t xml:space="preserve"> ± </w:t>
            </w:r>
            <w:r w:rsidRPr="003E7DEE">
              <w:rPr>
                <w:sz w:val="20"/>
                <w:szCs w:val="20"/>
                <w:lang w:val="en-GB"/>
              </w:rPr>
              <w:t>7.56</w:t>
            </w:r>
            <w:r w:rsidRPr="003E7DEE">
              <w:rPr>
                <w:sz w:val="20"/>
                <w:szCs w:val="20"/>
                <w:vertAlign w:val="superscript"/>
                <w:lang w:val="en-GB"/>
              </w:rPr>
              <w:t xml:space="preserve">  </w:t>
            </w:r>
            <w:proofErr w:type="spellStart"/>
            <w:r>
              <w:rPr>
                <w:sz w:val="20"/>
                <w:szCs w:val="20"/>
                <w:vertAlign w:val="superscript"/>
                <w:lang w:val="en-GB"/>
              </w:rPr>
              <w:t>a</w:t>
            </w:r>
            <w:r w:rsidRPr="003E7DEE">
              <w:rPr>
                <w:sz w:val="20"/>
                <w:szCs w:val="20"/>
                <w:vertAlign w:val="superscript"/>
                <w:lang w:val="en-GB"/>
              </w:rPr>
              <w:t>A</w:t>
            </w:r>
            <w:proofErr w:type="spellEnd"/>
          </w:p>
        </w:tc>
        <w:tc>
          <w:tcPr>
            <w:tcW w:w="1790" w:type="dxa"/>
            <w:shd w:val="clear" w:color="auto" w:fill="auto"/>
            <w:noWrap/>
            <w:vAlign w:val="center"/>
          </w:tcPr>
          <w:p w:rsidR="008B6F6A" w:rsidRPr="003E7DEE" w:rsidRDefault="008B6F6A" w:rsidP="008B6F6A">
            <w:pPr>
              <w:jc w:val="center"/>
              <w:rPr>
                <w:color w:val="000000"/>
                <w:sz w:val="20"/>
                <w:szCs w:val="20"/>
                <w:lang w:val="en-GB"/>
              </w:rPr>
            </w:pPr>
            <w:r>
              <w:rPr>
                <w:color w:val="000000"/>
                <w:sz w:val="20"/>
                <w:szCs w:val="20"/>
                <w:lang w:val="en-GB"/>
              </w:rPr>
              <w:t>22.53</w:t>
            </w:r>
            <w:r w:rsidRPr="003E7DEE">
              <w:rPr>
                <w:color w:val="000000"/>
                <w:sz w:val="20"/>
                <w:szCs w:val="20"/>
                <w:lang w:val="en-GB"/>
              </w:rPr>
              <w:t xml:space="preserve"> ± </w:t>
            </w:r>
            <w:r w:rsidRPr="003E7DEE">
              <w:rPr>
                <w:sz w:val="20"/>
                <w:szCs w:val="20"/>
                <w:lang w:val="en-GB"/>
              </w:rPr>
              <w:t>0.56</w:t>
            </w:r>
            <w:r>
              <w:rPr>
                <w:sz w:val="20"/>
                <w:szCs w:val="20"/>
                <w:vertAlign w:val="superscript"/>
                <w:lang w:val="en-GB"/>
              </w:rPr>
              <w:t>bAB</w:t>
            </w:r>
          </w:p>
        </w:tc>
        <w:tc>
          <w:tcPr>
            <w:tcW w:w="1790" w:type="dxa"/>
            <w:shd w:val="clear" w:color="auto" w:fill="auto"/>
            <w:noWrap/>
            <w:vAlign w:val="center"/>
          </w:tcPr>
          <w:p w:rsidR="008B6F6A" w:rsidRPr="003E7DEE" w:rsidRDefault="008B6F6A" w:rsidP="008B6F6A">
            <w:pPr>
              <w:jc w:val="center"/>
              <w:rPr>
                <w:sz w:val="20"/>
                <w:szCs w:val="20"/>
                <w:lang w:val="en-GB"/>
              </w:rPr>
            </w:pPr>
            <w:r>
              <w:rPr>
                <w:sz w:val="20"/>
                <w:szCs w:val="20"/>
                <w:lang w:val="en-GB"/>
              </w:rPr>
              <w:t>34.10</w:t>
            </w:r>
            <w:r w:rsidRPr="003E7DEE">
              <w:rPr>
                <w:sz w:val="20"/>
                <w:szCs w:val="20"/>
                <w:lang w:val="en-GB"/>
              </w:rPr>
              <w:t xml:space="preserve"> </w:t>
            </w:r>
            <w:r w:rsidRPr="003E7DEE">
              <w:rPr>
                <w:color w:val="000000"/>
                <w:sz w:val="20"/>
                <w:szCs w:val="20"/>
                <w:lang w:val="en-GB"/>
              </w:rPr>
              <w:t xml:space="preserve">± </w:t>
            </w:r>
            <w:r w:rsidRPr="003E7DEE">
              <w:rPr>
                <w:sz w:val="20"/>
                <w:szCs w:val="20"/>
                <w:lang w:val="en-GB"/>
              </w:rPr>
              <w:t>4.56</w:t>
            </w:r>
            <w:r w:rsidRPr="003E7DEE">
              <w:rPr>
                <w:sz w:val="20"/>
                <w:szCs w:val="20"/>
                <w:vertAlign w:val="superscript"/>
                <w:lang w:val="en-GB"/>
              </w:rPr>
              <w:t xml:space="preserve"> </w:t>
            </w:r>
            <w:proofErr w:type="spellStart"/>
            <w:r>
              <w:rPr>
                <w:sz w:val="20"/>
                <w:szCs w:val="20"/>
                <w:vertAlign w:val="superscript"/>
                <w:lang w:val="en-GB"/>
              </w:rPr>
              <w:t>bB</w:t>
            </w:r>
            <w:proofErr w:type="spellEnd"/>
          </w:p>
        </w:tc>
        <w:tc>
          <w:tcPr>
            <w:tcW w:w="1790" w:type="dxa"/>
            <w:gridSpan w:val="2"/>
            <w:shd w:val="clear" w:color="auto" w:fill="auto"/>
            <w:noWrap/>
            <w:vAlign w:val="center"/>
          </w:tcPr>
          <w:p w:rsidR="008B6F6A" w:rsidRPr="003E7DEE" w:rsidRDefault="008B6F6A" w:rsidP="008B6F6A">
            <w:pPr>
              <w:jc w:val="center"/>
              <w:rPr>
                <w:sz w:val="20"/>
                <w:szCs w:val="20"/>
                <w:lang w:val="en-GB"/>
              </w:rPr>
            </w:pPr>
            <w:r>
              <w:rPr>
                <w:sz w:val="20"/>
                <w:szCs w:val="20"/>
                <w:lang w:val="en-GB"/>
              </w:rPr>
              <w:t>17.70</w:t>
            </w:r>
            <w:r w:rsidRPr="003E7DEE">
              <w:rPr>
                <w:sz w:val="20"/>
                <w:szCs w:val="20"/>
                <w:lang w:val="en-GB"/>
              </w:rPr>
              <w:t xml:space="preserve"> </w:t>
            </w:r>
            <w:r w:rsidRPr="003E7DEE">
              <w:rPr>
                <w:color w:val="000000"/>
                <w:sz w:val="20"/>
                <w:szCs w:val="20"/>
                <w:lang w:val="en-GB"/>
              </w:rPr>
              <w:t xml:space="preserve">± </w:t>
            </w:r>
            <w:r w:rsidRPr="003E7DEE">
              <w:rPr>
                <w:sz w:val="20"/>
                <w:szCs w:val="20"/>
                <w:lang w:val="en-GB"/>
              </w:rPr>
              <w:t>0.78</w:t>
            </w:r>
            <w:r w:rsidRPr="003E7DEE">
              <w:rPr>
                <w:sz w:val="20"/>
                <w:szCs w:val="20"/>
                <w:vertAlign w:val="superscript"/>
                <w:lang w:val="en-GB"/>
              </w:rPr>
              <w:t xml:space="preserve"> </w:t>
            </w:r>
            <w:proofErr w:type="spellStart"/>
            <w:r>
              <w:rPr>
                <w:sz w:val="20"/>
                <w:szCs w:val="20"/>
                <w:vertAlign w:val="superscript"/>
                <w:lang w:val="en-GB"/>
              </w:rPr>
              <w:t>aAB</w:t>
            </w:r>
            <w:proofErr w:type="spellEnd"/>
          </w:p>
        </w:tc>
      </w:tr>
      <w:tr w:rsidR="008B6F6A" w:rsidRPr="003E7DEE" w:rsidTr="008B6F6A">
        <w:trPr>
          <w:trHeight w:val="260"/>
        </w:trPr>
        <w:tc>
          <w:tcPr>
            <w:tcW w:w="1192" w:type="dxa"/>
            <w:vMerge/>
            <w:vAlign w:val="center"/>
          </w:tcPr>
          <w:p w:rsidR="008B6F6A" w:rsidRPr="003E7DEE" w:rsidRDefault="008B6F6A" w:rsidP="008B6F6A">
            <w:pPr>
              <w:jc w:val="center"/>
              <w:rPr>
                <w:rFonts w:ascii="Arial" w:hAnsi="Arial" w:cs="Arial"/>
                <w:sz w:val="20"/>
                <w:szCs w:val="20"/>
                <w:lang w:val="en-GB"/>
              </w:rPr>
            </w:pPr>
          </w:p>
        </w:tc>
        <w:tc>
          <w:tcPr>
            <w:tcW w:w="1156" w:type="dxa"/>
            <w:shd w:val="clear" w:color="auto" w:fill="auto"/>
            <w:noWrap/>
            <w:vAlign w:val="center"/>
          </w:tcPr>
          <w:p w:rsidR="008B6F6A" w:rsidRPr="003E7DEE" w:rsidRDefault="008B6F6A" w:rsidP="008B6F6A">
            <w:pPr>
              <w:jc w:val="center"/>
              <w:rPr>
                <w:rFonts w:ascii="Arial" w:hAnsi="Arial" w:cs="Arial"/>
                <w:sz w:val="20"/>
                <w:szCs w:val="20"/>
                <w:lang w:val="en-GB"/>
              </w:rPr>
            </w:pPr>
            <w:r w:rsidRPr="003E7DEE">
              <w:rPr>
                <w:rFonts w:ascii="Arial" w:hAnsi="Arial" w:cs="Arial"/>
                <w:sz w:val="20"/>
                <w:szCs w:val="20"/>
                <w:lang w:val="en-GB"/>
              </w:rPr>
              <w:t>28</w:t>
            </w:r>
          </w:p>
        </w:tc>
        <w:tc>
          <w:tcPr>
            <w:tcW w:w="1790" w:type="dxa"/>
            <w:shd w:val="clear" w:color="auto" w:fill="auto"/>
            <w:noWrap/>
            <w:vAlign w:val="center"/>
          </w:tcPr>
          <w:p w:rsidR="008B6F6A" w:rsidRPr="003E7DEE" w:rsidRDefault="008B6F6A" w:rsidP="008B6F6A">
            <w:pPr>
              <w:jc w:val="center"/>
              <w:rPr>
                <w:color w:val="000000"/>
                <w:sz w:val="20"/>
                <w:szCs w:val="20"/>
                <w:lang w:val="en-GB"/>
              </w:rPr>
            </w:pPr>
            <w:r>
              <w:rPr>
                <w:color w:val="000000"/>
                <w:sz w:val="20"/>
                <w:szCs w:val="20"/>
                <w:lang w:val="en-GB"/>
              </w:rPr>
              <w:t>6.14</w:t>
            </w:r>
            <w:r w:rsidRPr="003E7DEE">
              <w:rPr>
                <w:color w:val="000000"/>
                <w:sz w:val="20"/>
                <w:szCs w:val="20"/>
                <w:lang w:val="en-GB"/>
              </w:rPr>
              <w:t xml:space="preserve"> ± </w:t>
            </w:r>
            <w:r w:rsidRPr="003E7DEE">
              <w:rPr>
                <w:sz w:val="20"/>
                <w:szCs w:val="20"/>
                <w:lang w:val="en-GB"/>
              </w:rPr>
              <w:t>3.17</w:t>
            </w:r>
            <w:r w:rsidRPr="003E7DEE">
              <w:rPr>
                <w:sz w:val="20"/>
                <w:szCs w:val="20"/>
                <w:vertAlign w:val="superscript"/>
                <w:lang w:val="en-GB"/>
              </w:rPr>
              <w:t xml:space="preserve"> </w:t>
            </w:r>
            <w:proofErr w:type="spellStart"/>
            <w:r>
              <w:rPr>
                <w:sz w:val="20"/>
                <w:szCs w:val="20"/>
                <w:vertAlign w:val="superscript"/>
                <w:lang w:val="en-GB"/>
              </w:rPr>
              <w:t>a</w:t>
            </w:r>
            <w:r w:rsidRPr="003E7DEE">
              <w:rPr>
                <w:sz w:val="20"/>
                <w:szCs w:val="20"/>
                <w:vertAlign w:val="superscript"/>
                <w:lang w:val="en-GB"/>
              </w:rPr>
              <w:t>A</w:t>
            </w:r>
            <w:proofErr w:type="spellEnd"/>
          </w:p>
        </w:tc>
        <w:tc>
          <w:tcPr>
            <w:tcW w:w="1790" w:type="dxa"/>
            <w:shd w:val="clear" w:color="auto" w:fill="auto"/>
            <w:noWrap/>
            <w:vAlign w:val="center"/>
          </w:tcPr>
          <w:p w:rsidR="008B6F6A" w:rsidRPr="003E7DEE" w:rsidRDefault="008B6F6A" w:rsidP="008B6F6A">
            <w:pPr>
              <w:jc w:val="center"/>
              <w:rPr>
                <w:sz w:val="20"/>
                <w:szCs w:val="20"/>
                <w:lang w:val="en-GB"/>
              </w:rPr>
            </w:pPr>
            <w:r>
              <w:rPr>
                <w:sz w:val="20"/>
                <w:szCs w:val="20"/>
                <w:lang w:val="en-GB"/>
              </w:rPr>
              <w:t>20.87</w:t>
            </w:r>
            <w:r w:rsidRPr="003E7DEE">
              <w:rPr>
                <w:sz w:val="20"/>
                <w:szCs w:val="20"/>
                <w:lang w:val="en-GB"/>
              </w:rPr>
              <w:t xml:space="preserve"> </w:t>
            </w:r>
            <w:r w:rsidRPr="003E7DEE">
              <w:rPr>
                <w:color w:val="000000"/>
                <w:sz w:val="20"/>
                <w:szCs w:val="20"/>
                <w:lang w:val="en-GB"/>
              </w:rPr>
              <w:t xml:space="preserve">± </w:t>
            </w:r>
            <w:r w:rsidRPr="003E7DEE">
              <w:rPr>
                <w:sz w:val="20"/>
                <w:szCs w:val="20"/>
                <w:lang w:val="en-GB"/>
              </w:rPr>
              <w:t>4.39</w:t>
            </w:r>
            <w:r w:rsidRPr="003E7DEE">
              <w:rPr>
                <w:sz w:val="20"/>
                <w:szCs w:val="20"/>
                <w:vertAlign w:val="superscript"/>
                <w:lang w:val="en-GB"/>
              </w:rPr>
              <w:t xml:space="preserve"> </w:t>
            </w:r>
            <w:proofErr w:type="spellStart"/>
            <w:r>
              <w:rPr>
                <w:sz w:val="20"/>
                <w:szCs w:val="20"/>
                <w:vertAlign w:val="superscript"/>
                <w:lang w:val="en-GB"/>
              </w:rPr>
              <w:t>b</w:t>
            </w:r>
            <w:r w:rsidRPr="003E7DEE">
              <w:rPr>
                <w:sz w:val="20"/>
                <w:szCs w:val="20"/>
                <w:vertAlign w:val="superscript"/>
                <w:lang w:val="en-GB"/>
              </w:rPr>
              <w:t>A</w:t>
            </w:r>
            <w:r>
              <w:rPr>
                <w:sz w:val="20"/>
                <w:szCs w:val="20"/>
                <w:vertAlign w:val="superscript"/>
                <w:lang w:val="en-GB"/>
              </w:rPr>
              <w:t>B</w:t>
            </w:r>
            <w:proofErr w:type="spellEnd"/>
          </w:p>
        </w:tc>
        <w:tc>
          <w:tcPr>
            <w:tcW w:w="1790" w:type="dxa"/>
            <w:shd w:val="clear" w:color="auto" w:fill="auto"/>
            <w:noWrap/>
            <w:vAlign w:val="center"/>
          </w:tcPr>
          <w:p w:rsidR="008B6F6A" w:rsidRPr="003E7DEE" w:rsidRDefault="008B6F6A" w:rsidP="008B6F6A">
            <w:pPr>
              <w:jc w:val="center"/>
              <w:rPr>
                <w:color w:val="000000"/>
                <w:sz w:val="20"/>
                <w:szCs w:val="20"/>
                <w:lang w:val="en-GB"/>
              </w:rPr>
            </w:pPr>
            <w:r>
              <w:rPr>
                <w:color w:val="000000"/>
                <w:sz w:val="20"/>
                <w:szCs w:val="20"/>
                <w:lang w:val="en-GB"/>
              </w:rPr>
              <w:t>56.03</w:t>
            </w:r>
            <w:r w:rsidRPr="003E7DEE">
              <w:rPr>
                <w:color w:val="000000"/>
                <w:sz w:val="20"/>
                <w:szCs w:val="20"/>
                <w:lang w:val="en-GB"/>
              </w:rPr>
              <w:t xml:space="preserve"> ± </w:t>
            </w:r>
            <w:r w:rsidRPr="003E7DEE">
              <w:rPr>
                <w:sz w:val="20"/>
                <w:szCs w:val="20"/>
                <w:lang w:val="en-GB"/>
              </w:rPr>
              <w:t>0.44</w:t>
            </w:r>
            <w:r>
              <w:rPr>
                <w:sz w:val="20"/>
                <w:szCs w:val="20"/>
                <w:vertAlign w:val="superscript"/>
                <w:lang w:val="en-GB"/>
              </w:rPr>
              <w:t>cC</w:t>
            </w:r>
          </w:p>
        </w:tc>
        <w:tc>
          <w:tcPr>
            <w:tcW w:w="1790" w:type="dxa"/>
            <w:gridSpan w:val="2"/>
            <w:shd w:val="clear" w:color="auto" w:fill="auto"/>
            <w:noWrap/>
            <w:vAlign w:val="center"/>
          </w:tcPr>
          <w:p w:rsidR="008B6F6A" w:rsidRPr="003E7DEE" w:rsidRDefault="008B6F6A" w:rsidP="008B6F6A">
            <w:pPr>
              <w:jc w:val="center"/>
              <w:rPr>
                <w:color w:val="000000"/>
                <w:sz w:val="20"/>
                <w:szCs w:val="20"/>
                <w:lang w:val="en-GB"/>
              </w:rPr>
            </w:pPr>
            <w:r>
              <w:rPr>
                <w:color w:val="000000"/>
                <w:sz w:val="20"/>
                <w:szCs w:val="20"/>
                <w:lang w:val="en-GB"/>
              </w:rPr>
              <w:t>56.20</w:t>
            </w:r>
            <w:r w:rsidRPr="003E7DEE">
              <w:rPr>
                <w:color w:val="000000"/>
                <w:sz w:val="20"/>
                <w:szCs w:val="20"/>
                <w:lang w:val="en-GB"/>
              </w:rPr>
              <w:t xml:space="preserve"> ± </w:t>
            </w:r>
            <w:r w:rsidRPr="003E7DEE">
              <w:rPr>
                <w:sz w:val="20"/>
                <w:szCs w:val="20"/>
                <w:lang w:val="en-GB"/>
              </w:rPr>
              <w:t>5.00</w:t>
            </w:r>
            <w:r w:rsidRPr="003E7DEE">
              <w:rPr>
                <w:sz w:val="20"/>
                <w:szCs w:val="20"/>
                <w:vertAlign w:val="superscript"/>
                <w:lang w:val="en-GB"/>
              </w:rPr>
              <w:t xml:space="preserve"> </w:t>
            </w:r>
            <w:proofErr w:type="spellStart"/>
            <w:r>
              <w:rPr>
                <w:sz w:val="20"/>
                <w:szCs w:val="20"/>
                <w:vertAlign w:val="superscript"/>
                <w:lang w:val="en-GB"/>
              </w:rPr>
              <w:t>cC</w:t>
            </w:r>
            <w:proofErr w:type="spellEnd"/>
          </w:p>
        </w:tc>
      </w:tr>
      <w:tr w:rsidR="008B6F6A" w:rsidRPr="003E7DEE" w:rsidTr="008B6F6A">
        <w:trPr>
          <w:trHeight w:val="181"/>
        </w:trPr>
        <w:tc>
          <w:tcPr>
            <w:tcW w:w="1192" w:type="dxa"/>
            <w:vAlign w:val="center"/>
          </w:tcPr>
          <w:p w:rsidR="008B6F6A" w:rsidRPr="003E7DEE" w:rsidRDefault="008B6F6A" w:rsidP="008B6F6A">
            <w:pPr>
              <w:jc w:val="center"/>
              <w:rPr>
                <w:rFonts w:ascii="Arial" w:hAnsi="Arial" w:cs="Arial"/>
                <w:sz w:val="20"/>
                <w:szCs w:val="20"/>
                <w:lang w:val="en-GB"/>
              </w:rPr>
            </w:pPr>
          </w:p>
        </w:tc>
        <w:tc>
          <w:tcPr>
            <w:tcW w:w="1156" w:type="dxa"/>
            <w:shd w:val="clear" w:color="auto" w:fill="auto"/>
            <w:noWrap/>
            <w:vAlign w:val="center"/>
          </w:tcPr>
          <w:p w:rsidR="008B6F6A" w:rsidRPr="003E7DEE" w:rsidRDefault="008B6F6A" w:rsidP="008B6F6A">
            <w:pPr>
              <w:jc w:val="center"/>
              <w:rPr>
                <w:rFonts w:ascii="Arial" w:hAnsi="Arial" w:cs="Arial"/>
                <w:sz w:val="20"/>
                <w:szCs w:val="20"/>
                <w:lang w:val="en-GB"/>
              </w:rPr>
            </w:pPr>
          </w:p>
        </w:tc>
        <w:tc>
          <w:tcPr>
            <w:tcW w:w="1790" w:type="dxa"/>
            <w:shd w:val="clear" w:color="auto" w:fill="auto"/>
            <w:noWrap/>
            <w:vAlign w:val="center"/>
          </w:tcPr>
          <w:p w:rsidR="008B6F6A" w:rsidRPr="003E7DEE" w:rsidRDefault="008B6F6A" w:rsidP="008B6F6A">
            <w:pPr>
              <w:jc w:val="center"/>
              <w:rPr>
                <w:color w:val="000000"/>
                <w:sz w:val="20"/>
                <w:szCs w:val="20"/>
                <w:lang w:val="en-GB"/>
              </w:rPr>
            </w:pPr>
          </w:p>
        </w:tc>
        <w:tc>
          <w:tcPr>
            <w:tcW w:w="1790" w:type="dxa"/>
            <w:shd w:val="clear" w:color="auto" w:fill="auto"/>
            <w:noWrap/>
            <w:vAlign w:val="center"/>
          </w:tcPr>
          <w:p w:rsidR="008B6F6A" w:rsidRPr="003E7DEE" w:rsidRDefault="008B6F6A" w:rsidP="008B6F6A">
            <w:pPr>
              <w:jc w:val="center"/>
              <w:rPr>
                <w:sz w:val="20"/>
                <w:szCs w:val="20"/>
                <w:lang w:val="en-GB"/>
              </w:rPr>
            </w:pPr>
          </w:p>
        </w:tc>
        <w:tc>
          <w:tcPr>
            <w:tcW w:w="1790" w:type="dxa"/>
            <w:shd w:val="clear" w:color="auto" w:fill="auto"/>
            <w:noWrap/>
            <w:vAlign w:val="center"/>
          </w:tcPr>
          <w:p w:rsidR="008B6F6A" w:rsidRPr="003E7DEE" w:rsidRDefault="008B6F6A" w:rsidP="008B6F6A">
            <w:pPr>
              <w:jc w:val="center"/>
              <w:rPr>
                <w:color w:val="000000"/>
                <w:sz w:val="20"/>
                <w:szCs w:val="20"/>
                <w:lang w:val="en-GB"/>
              </w:rPr>
            </w:pPr>
          </w:p>
        </w:tc>
        <w:tc>
          <w:tcPr>
            <w:tcW w:w="1790" w:type="dxa"/>
            <w:gridSpan w:val="2"/>
            <w:shd w:val="clear" w:color="auto" w:fill="auto"/>
            <w:noWrap/>
            <w:vAlign w:val="center"/>
          </w:tcPr>
          <w:p w:rsidR="008B6F6A" w:rsidRPr="003E7DEE" w:rsidRDefault="008B6F6A" w:rsidP="008B6F6A">
            <w:pPr>
              <w:jc w:val="center"/>
              <w:rPr>
                <w:color w:val="000000"/>
                <w:sz w:val="20"/>
                <w:szCs w:val="20"/>
                <w:lang w:val="en-GB"/>
              </w:rPr>
            </w:pPr>
          </w:p>
        </w:tc>
      </w:tr>
      <w:tr w:rsidR="008B6F6A" w:rsidTr="008B6F6A">
        <w:trPr>
          <w:trHeight w:val="255"/>
        </w:trPr>
        <w:tc>
          <w:tcPr>
            <w:tcW w:w="1192" w:type="dxa"/>
            <w:vMerge w:val="restart"/>
            <w:tcBorders>
              <w:bottom w:val="single" w:sz="4" w:space="0" w:color="auto"/>
            </w:tcBorders>
            <w:vAlign w:val="center"/>
          </w:tcPr>
          <w:p w:rsidR="008B6F6A" w:rsidRPr="00D93CDC" w:rsidRDefault="008B6F6A" w:rsidP="008B6F6A">
            <w:pPr>
              <w:jc w:val="center"/>
              <w:rPr>
                <w:rFonts w:ascii="Arial" w:hAnsi="Arial" w:cs="Arial"/>
                <w:sz w:val="20"/>
                <w:szCs w:val="20"/>
                <w:lang w:val="en-GB"/>
              </w:rPr>
            </w:pPr>
            <w:r w:rsidRPr="00D93CDC">
              <w:rPr>
                <w:lang w:val="en-GB"/>
              </w:rPr>
              <w:t>Control</w:t>
            </w:r>
          </w:p>
        </w:tc>
        <w:tc>
          <w:tcPr>
            <w:tcW w:w="1156" w:type="dxa"/>
            <w:shd w:val="clear" w:color="auto" w:fill="auto"/>
            <w:noWrap/>
            <w:vAlign w:val="center"/>
          </w:tcPr>
          <w:p w:rsidR="008B6F6A" w:rsidRPr="00D93CDC" w:rsidRDefault="008B6F6A" w:rsidP="008B6F6A">
            <w:pPr>
              <w:jc w:val="center"/>
              <w:rPr>
                <w:rFonts w:ascii="Arial" w:hAnsi="Arial" w:cs="Arial"/>
                <w:sz w:val="20"/>
                <w:szCs w:val="20"/>
                <w:lang w:val="en-GB"/>
              </w:rPr>
            </w:pPr>
            <w:r w:rsidRPr="00D93CDC">
              <w:rPr>
                <w:rFonts w:ascii="Arial" w:hAnsi="Arial" w:cs="Arial"/>
                <w:sz w:val="20"/>
                <w:szCs w:val="20"/>
                <w:lang w:val="en-GB"/>
              </w:rPr>
              <w:t>7</w:t>
            </w:r>
          </w:p>
        </w:tc>
        <w:tc>
          <w:tcPr>
            <w:tcW w:w="1790" w:type="dxa"/>
            <w:shd w:val="clear" w:color="auto" w:fill="auto"/>
            <w:noWrap/>
            <w:vAlign w:val="center"/>
          </w:tcPr>
          <w:p w:rsidR="008B6F6A" w:rsidRPr="00D93CDC" w:rsidRDefault="008B6F6A" w:rsidP="008B6F6A">
            <w:pPr>
              <w:jc w:val="center"/>
              <w:rPr>
                <w:color w:val="000000"/>
                <w:sz w:val="20"/>
                <w:szCs w:val="20"/>
              </w:rPr>
            </w:pPr>
            <w:r>
              <w:rPr>
                <w:color w:val="000000"/>
                <w:sz w:val="20"/>
                <w:szCs w:val="20"/>
                <w:lang w:val="en-GB"/>
              </w:rPr>
              <w:t>12.44</w:t>
            </w:r>
            <w:r w:rsidRPr="00D93CDC">
              <w:rPr>
                <w:color w:val="000000"/>
                <w:sz w:val="20"/>
                <w:szCs w:val="20"/>
              </w:rPr>
              <w:t xml:space="preserve"> ± </w:t>
            </w:r>
            <w:r w:rsidRPr="00D93CDC">
              <w:rPr>
                <w:sz w:val="20"/>
                <w:szCs w:val="20"/>
              </w:rPr>
              <w:t>0.13</w:t>
            </w:r>
            <w:r w:rsidRPr="00D93CDC">
              <w:rPr>
                <w:sz w:val="20"/>
                <w:szCs w:val="20"/>
                <w:vertAlign w:val="superscript"/>
              </w:rPr>
              <w:t xml:space="preserve"> </w:t>
            </w:r>
            <w:proofErr w:type="spellStart"/>
            <w:r>
              <w:rPr>
                <w:sz w:val="20"/>
                <w:szCs w:val="20"/>
                <w:vertAlign w:val="superscript"/>
              </w:rPr>
              <w:t>bA</w:t>
            </w:r>
            <w:proofErr w:type="spellEnd"/>
          </w:p>
        </w:tc>
        <w:tc>
          <w:tcPr>
            <w:tcW w:w="1790" w:type="dxa"/>
            <w:shd w:val="clear" w:color="auto" w:fill="auto"/>
            <w:noWrap/>
            <w:vAlign w:val="center"/>
          </w:tcPr>
          <w:p w:rsidR="008B6F6A" w:rsidRPr="00D93CDC" w:rsidRDefault="008B6F6A" w:rsidP="008B6F6A">
            <w:pPr>
              <w:jc w:val="center"/>
              <w:rPr>
                <w:sz w:val="20"/>
                <w:szCs w:val="20"/>
              </w:rPr>
            </w:pPr>
            <w:r>
              <w:rPr>
                <w:sz w:val="20"/>
                <w:szCs w:val="20"/>
              </w:rPr>
              <w:t>14.89</w:t>
            </w:r>
            <w:r w:rsidRPr="00D93CDC">
              <w:rPr>
                <w:sz w:val="20"/>
                <w:szCs w:val="20"/>
              </w:rPr>
              <w:t xml:space="preserve"> </w:t>
            </w:r>
            <w:r w:rsidRPr="00D93CDC">
              <w:rPr>
                <w:color w:val="000000"/>
                <w:sz w:val="20"/>
                <w:szCs w:val="20"/>
              </w:rPr>
              <w:t xml:space="preserve">± </w:t>
            </w:r>
            <w:r w:rsidRPr="00D93CDC">
              <w:rPr>
                <w:sz w:val="20"/>
                <w:szCs w:val="20"/>
              </w:rPr>
              <w:t>0.00</w:t>
            </w:r>
            <w:r w:rsidRPr="00D93CDC">
              <w:rPr>
                <w:sz w:val="20"/>
                <w:szCs w:val="20"/>
                <w:vertAlign w:val="superscript"/>
              </w:rPr>
              <w:t xml:space="preserve"> </w:t>
            </w:r>
            <w:proofErr w:type="spellStart"/>
            <w:r w:rsidRPr="00D93CDC">
              <w:rPr>
                <w:sz w:val="20"/>
                <w:szCs w:val="20"/>
                <w:vertAlign w:val="superscript"/>
              </w:rPr>
              <w:t>a</w:t>
            </w:r>
            <w:r>
              <w:rPr>
                <w:sz w:val="20"/>
                <w:szCs w:val="20"/>
                <w:vertAlign w:val="superscript"/>
              </w:rPr>
              <w:t>bA</w:t>
            </w:r>
            <w:proofErr w:type="spellEnd"/>
          </w:p>
        </w:tc>
        <w:tc>
          <w:tcPr>
            <w:tcW w:w="1790" w:type="dxa"/>
            <w:shd w:val="clear" w:color="auto" w:fill="auto"/>
            <w:noWrap/>
            <w:vAlign w:val="center"/>
          </w:tcPr>
          <w:p w:rsidR="008B6F6A" w:rsidRPr="00D93CDC" w:rsidRDefault="008B6F6A" w:rsidP="008B6F6A">
            <w:pPr>
              <w:jc w:val="center"/>
              <w:rPr>
                <w:color w:val="000000"/>
                <w:sz w:val="20"/>
                <w:szCs w:val="20"/>
              </w:rPr>
            </w:pPr>
            <w:r>
              <w:rPr>
                <w:color w:val="000000"/>
                <w:sz w:val="20"/>
                <w:szCs w:val="20"/>
              </w:rPr>
              <w:t>15.13</w:t>
            </w:r>
            <w:r w:rsidRPr="00D93CDC">
              <w:rPr>
                <w:color w:val="000000"/>
                <w:sz w:val="20"/>
                <w:szCs w:val="20"/>
              </w:rPr>
              <w:t xml:space="preserve"> ± </w:t>
            </w:r>
            <w:r w:rsidRPr="00D93CDC">
              <w:rPr>
                <w:sz w:val="20"/>
                <w:szCs w:val="20"/>
              </w:rPr>
              <w:t>2.65</w:t>
            </w:r>
            <w:r w:rsidRPr="00D93CDC">
              <w:rPr>
                <w:sz w:val="20"/>
                <w:szCs w:val="20"/>
                <w:vertAlign w:val="superscript"/>
              </w:rPr>
              <w:t xml:space="preserve"> </w:t>
            </w:r>
            <w:proofErr w:type="spellStart"/>
            <w:r w:rsidRPr="00D93CDC">
              <w:rPr>
                <w:sz w:val="20"/>
                <w:szCs w:val="20"/>
                <w:vertAlign w:val="superscript"/>
              </w:rPr>
              <w:t>a</w:t>
            </w:r>
            <w:r>
              <w:rPr>
                <w:sz w:val="20"/>
                <w:szCs w:val="20"/>
                <w:vertAlign w:val="superscript"/>
              </w:rPr>
              <w:t>A</w:t>
            </w:r>
            <w:proofErr w:type="spellEnd"/>
          </w:p>
        </w:tc>
        <w:tc>
          <w:tcPr>
            <w:tcW w:w="1790" w:type="dxa"/>
            <w:gridSpan w:val="2"/>
            <w:shd w:val="clear" w:color="auto" w:fill="auto"/>
            <w:noWrap/>
            <w:vAlign w:val="center"/>
          </w:tcPr>
          <w:p w:rsidR="008B6F6A" w:rsidRPr="00D93CDC" w:rsidRDefault="008B6F6A" w:rsidP="008B6F6A">
            <w:pPr>
              <w:jc w:val="center"/>
              <w:rPr>
                <w:color w:val="000000"/>
                <w:sz w:val="20"/>
                <w:szCs w:val="20"/>
              </w:rPr>
            </w:pPr>
            <w:r>
              <w:rPr>
                <w:color w:val="000000"/>
                <w:sz w:val="20"/>
                <w:szCs w:val="20"/>
              </w:rPr>
              <w:t>23.13</w:t>
            </w:r>
            <w:r w:rsidRPr="00D93CDC">
              <w:rPr>
                <w:color w:val="000000"/>
                <w:sz w:val="20"/>
                <w:szCs w:val="20"/>
              </w:rPr>
              <w:t xml:space="preserve"> ± </w:t>
            </w:r>
            <w:r w:rsidRPr="00D93CDC">
              <w:rPr>
                <w:sz w:val="20"/>
                <w:szCs w:val="20"/>
              </w:rPr>
              <w:t>0.22</w:t>
            </w:r>
            <w:r w:rsidRPr="00D93CDC">
              <w:rPr>
                <w:sz w:val="20"/>
                <w:szCs w:val="20"/>
                <w:vertAlign w:val="superscript"/>
              </w:rPr>
              <w:t xml:space="preserve"> </w:t>
            </w:r>
            <w:proofErr w:type="spellStart"/>
            <w:r>
              <w:rPr>
                <w:sz w:val="20"/>
                <w:szCs w:val="20"/>
                <w:vertAlign w:val="superscript"/>
              </w:rPr>
              <w:t>aAB</w:t>
            </w:r>
            <w:proofErr w:type="spellEnd"/>
          </w:p>
        </w:tc>
      </w:tr>
      <w:tr w:rsidR="008B6F6A" w:rsidTr="008B6F6A">
        <w:trPr>
          <w:trHeight w:val="255"/>
        </w:trPr>
        <w:tc>
          <w:tcPr>
            <w:tcW w:w="1192" w:type="dxa"/>
            <w:vMerge/>
            <w:tcBorders>
              <w:bottom w:val="single" w:sz="4" w:space="0" w:color="auto"/>
            </w:tcBorders>
            <w:vAlign w:val="center"/>
          </w:tcPr>
          <w:p w:rsidR="008B6F6A" w:rsidRPr="00D93CDC" w:rsidRDefault="008B6F6A" w:rsidP="008B6F6A">
            <w:pPr>
              <w:jc w:val="center"/>
              <w:rPr>
                <w:rFonts w:ascii="Arial" w:hAnsi="Arial" w:cs="Arial"/>
                <w:sz w:val="20"/>
                <w:szCs w:val="20"/>
              </w:rPr>
            </w:pPr>
          </w:p>
        </w:tc>
        <w:tc>
          <w:tcPr>
            <w:tcW w:w="1156" w:type="dxa"/>
            <w:shd w:val="clear" w:color="auto" w:fill="auto"/>
            <w:noWrap/>
            <w:vAlign w:val="center"/>
          </w:tcPr>
          <w:p w:rsidR="008B6F6A" w:rsidRPr="00D93CDC" w:rsidRDefault="008B6F6A" w:rsidP="008B6F6A">
            <w:pPr>
              <w:jc w:val="center"/>
              <w:rPr>
                <w:rFonts w:ascii="Arial" w:hAnsi="Arial" w:cs="Arial"/>
                <w:sz w:val="20"/>
                <w:szCs w:val="20"/>
              </w:rPr>
            </w:pPr>
            <w:r w:rsidRPr="00D93CDC">
              <w:rPr>
                <w:rFonts w:ascii="Arial" w:hAnsi="Arial" w:cs="Arial"/>
                <w:sz w:val="20"/>
                <w:szCs w:val="20"/>
              </w:rPr>
              <w:t>14</w:t>
            </w:r>
          </w:p>
        </w:tc>
        <w:tc>
          <w:tcPr>
            <w:tcW w:w="1790" w:type="dxa"/>
            <w:shd w:val="clear" w:color="auto" w:fill="auto"/>
            <w:noWrap/>
            <w:vAlign w:val="center"/>
          </w:tcPr>
          <w:p w:rsidR="008B6F6A" w:rsidRPr="00D93CDC" w:rsidRDefault="008B6F6A" w:rsidP="008B6F6A">
            <w:pPr>
              <w:jc w:val="center"/>
              <w:rPr>
                <w:color w:val="000000"/>
                <w:sz w:val="20"/>
                <w:szCs w:val="20"/>
              </w:rPr>
            </w:pPr>
            <w:r>
              <w:rPr>
                <w:color w:val="000000"/>
                <w:sz w:val="20"/>
                <w:szCs w:val="20"/>
              </w:rPr>
              <w:t>3.27</w:t>
            </w:r>
            <w:r w:rsidRPr="00D93CDC">
              <w:rPr>
                <w:color w:val="000000"/>
                <w:sz w:val="20"/>
                <w:szCs w:val="20"/>
              </w:rPr>
              <w:t xml:space="preserve"> ± </w:t>
            </w:r>
            <w:r w:rsidRPr="00D93CDC">
              <w:rPr>
                <w:sz w:val="20"/>
                <w:szCs w:val="20"/>
              </w:rPr>
              <w:t>7.83</w:t>
            </w:r>
            <w:r w:rsidRPr="00D93CDC">
              <w:rPr>
                <w:sz w:val="20"/>
                <w:szCs w:val="20"/>
                <w:vertAlign w:val="superscript"/>
              </w:rPr>
              <w:t xml:space="preserve"> </w:t>
            </w:r>
            <w:proofErr w:type="spellStart"/>
            <w:r w:rsidRPr="00D93CDC">
              <w:rPr>
                <w:sz w:val="20"/>
                <w:szCs w:val="20"/>
                <w:vertAlign w:val="superscript"/>
              </w:rPr>
              <w:t>a</w:t>
            </w:r>
            <w:r>
              <w:rPr>
                <w:sz w:val="20"/>
                <w:szCs w:val="20"/>
                <w:vertAlign w:val="superscript"/>
              </w:rPr>
              <w:t>A</w:t>
            </w:r>
            <w:proofErr w:type="spellEnd"/>
          </w:p>
        </w:tc>
        <w:tc>
          <w:tcPr>
            <w:tcW w:w="1790" w:type="dxa"/>
            <w:shd w:val="clear" w:color="auto" w:fill="auto"/>
            <w:noWrap/>
            <w:vAlign w:val="center"/>
          </w:tcPr>
          <w:p w:rsidR="008B6F6A" w:rsidRPr="00D93CDC" w:rsidRDefault="008B6F6A" w:rsidP="008B6F6A">
            <w:pPr>
              <w:jc w:val="center"/>
              <w:rPr>
                <w:sz w:val="20"/>
                <w:szCs w:val="20"/>
              </w:rPr>
            </w:pPr>
            <w:r>
              <w:rPr>
                <w:sz w:val="20"/>
                <w:szCs w:val="20"/>
              </w:rPr>
              <w:t>23.46</w:t>
            </w:r>
            <w:r w:rsidRPr="00D93CDC">
              <w:rPr>
                <w:sz w:val="20"/>
                <w:szCs w:val="20"/>
              </w:rPr>
              <w:t xml:space="preserve"> </w:t>
            </w:r>
            <w:r w:rsidRPr="00D93CDC">
              <w:rPr>
                <w:color w:val="000000"/>
                <w:sz w:val="20"/>
                <w:szCs w:val="20"/>
              </w:rPr>
              <w:t xml:space="preserve">± </w:t>
            </w:r>
            <w:r w:rsidRPr="00D93CDC">
              <w:rPr>
                <w:sz w:val="20"/>
                <w:szCs w:val="20"/>
              </w:rPr>
              <w:t>0.61</w:t>
            </w:r>
            <w:r w:rsidRPr="00D93CDC">
              <w:rPr>
                <w:sz w:val="20"/>
                <w:szCs w:val="20"/>
                <w:vertAlign w:val="superscript"/>
              </w:rPr>
              <w:t xml:space="preserve"> </w:t>
            </w:r>
            <w:proofErr w:type="spellStart"/>
            <w:r w:rsidRPr="00D93CDC">
              <w:rPr>
                <w:sz w:val="20"/>
                <w:szCs w:val="20"/>
                <w:vertAlign w:val="superscript"/>
              </w:rPr>
              <w:t>b</w:t>
            </w:r>
            <w:r>
              <w:rPr>
                <w:sz w:val="20"/>
                <w:szCs w:val="20"/>
                <w:vertAlign w:val="superscript"/>
              </w:rPr>
              <w:t>B</w:t>
            </w:r>
            <w:proofErr w:type="spellEnd"/>
          </w:p>
        </w:tc>
        <w:tc>
          <w:tcPr>
            <w:tcW w:w="1790" w:type="dxa"/>
            <w:shd w:val="clear" w:color="auto" w:fill="auto"/>
            <w:noWrap/>
            <w:vAlign w:val="center"/>
          </w:tcPr>
          <w:p w:rsidR="008B6F6A" w:rsidRPr="00D93CDC" w:rsidRDefault="008B6F6A" w:rsidP="008B6F6A">
            <w:pPr>
              <w:jc w:val="center"/>
              <w:rPr>
                <w:color w:val="000000"/>
                <w:sz w:val="20"/>
                <w:szCs w:val="20"/>
              </w:rPr>
            </w:pPr>
            <w:r>
              <w:rPr>
                <w:color w:val="000000"/>
                <w:sz w:val="20"/>
                <w:szCs w:val="20"/>
              </w:rPr>
              <w:t>18.65</w:t>
            </w:r>
            <w:r w:rsidRPr="00D93CDC">
              <w:rPr>
                <w:color w:val="000000"/>
                <w:sz w:val="20"/>
                <w:szCs w:val="20"/>
              </w:rPr>
              <w:t xml:space="preserve"> ± </w:t>
            </w:r>
            <w:r w:rsidRPr="00D93CDC">
              <w:rPr>
                <w:sz w:val="20"/>
                <w:szCs w:val="20"/>
              </w:rPr>
              <w:t>4.11</w:t>
            </w:r>
            <w:r w:rsidRPr="00D93CDC">
              <w:rPr>
                <w:sz w:val="20"/>
                <w:szCs w:val="20"/>
                <w:vertAlign w:val="superscript"/>
              </w:rPr>
              <w:t xml:space="preserve"> </w:t>
            </w:r>
            <w:proofErr w:type="spellStart"/>
            <w:r>
              <w:rPr>
                <w:sz w:val="20"/>
                <w:szCs w:val="20"/>
                <w:vertAlign w:val="superscript"/>
              </w:rPr>
              <w:t>aAB</w:t>
            </w:r>
            <w:proofErr w:type="spellEnd"/>
          </w:p>
        </w:tc>
        <w:tc>
          <w:tcPr>
            <w:tcW w:w="1790" w:type="dxa"/>
            <w:gridSpan w:val="2"/>
            <w:shd w:val="clear" w:color="auto" w:fill="auto"/>
            <w:noWrap/>
            <w:vAlign w:val="center"/>
          </w:tcPr>
          <w:p w:rsidR="008B6F6A" w:rsidRPr="00D93CDC" w:rsidRDefault="008B6F6A" w:rsidP="008B6F6A">
            <w:pPr>
              <w:jc w:val="center"/>
              <w:rPr>
                <w:color w:val="000000"/>
                <w:sz w:val="20"/>
                <w:szCs w:val="20"/>
              </w:rPr>
            </w:pPr>
            <w:r>
              <w:rPr>
                <w:color w:val="000000"/>
                <w:sz w:val="20"/>
                <w:szCs w:val="20"/>
              </w:rPr>
              <w:t>23.74</w:t>
            </w:r>
            <w:r w:rsidRPr="00D93CDC">
              <w:rPr>
                <w:color w:val="000000"/>
                <w:sz w:val="20"/>
                <w:szCs w:val="20"/>
              </w:rPr>
              <w:t xml:space="preserve"> ± </w:t>
            </w:r>
            <w:r w:rsidRPr="00D93CDC">
              <w:rPr>
                <w:sz w:val="20"/>
                <w:szCs w:val="20"/>
              </w:rPr>
              <w:t>0.17</w:t>
            </w:r>
            <w:r w:rsidRPr="00D93CDC">
              <w:rPr>
                <w:sz w:val="20"/>
                <w:szCs w:val="20"/>
                <w:vertAlign w:val="superscript"/>
              </w:rPr>
              <w:t xml:space="preserve"> </w:t>
            </w:r>
            <w:proofErr w:type="spellStart"/>
            <w:r w:rsidRPr="00D93CDC">
              <w:rPr>
                <w:sz w:val="20"/>
                <w:szCs w:val="20"/>
                <w:vertAlign w:val="superscript"/>
              </w:rPr>
              <w:t>a</w:t>
            </w:r>
            <w:r>
              <w:rPr>
                <w:sz w:val="20"/>
                <w:szCs w:val="20"/>
                <w:vertAlign w:val="superscript"/>
              </w:rPr>
              <w:t>B</w:t>
            </w:r>
            <w:proofErr w:type="spellEnd"/>
          </w:p>
        </w:tc>
      </w:tr>
      <w:tr w:rsidR="008B6F6A" w:rsidTr="008B6F6A">
        <w:trPr>
          <w:trHeight w:val="270"/>
        </w:trPr>
        <w:tc>
          <w:tcPr>
            <w:tcW w:w="1192" w:type="dxa"/>
            <w:vMerge/>
            <w:tcBorders>
              <w:bottom w:val="single" w:sz="4" w:space="0" w:color="auto"/>
            </w:tcBorders>
            <w:vAlign w:val="center"/>
          </w:tcPr>
          <w:p w:rsidR="008B6F6A" w:rsidRPr="00D93CDC" w:rsidRDefault="008B6F6A" w:rsidP="008B6F6A">
            <w:pPr>
              <w:jc w:val="center"/>
              <w:rPr>
                <w:rFonts w:ascii="Arial" w:hAnsi="Arial" w:cs="Arial"/>
                <w:sz w:val="20"/>
                <w:szCs w:val="20"/>
              </w:rPr>
            </w:pPr>
          </w:p>
        </w:tc>
        <w:tc>
          <w:tcPr>
            <w:tcW w:w="1156" w:type="dxa"/>
            <w:shd w:val="clear" w:color="auto" w:fill="auto"/>
            <w:noWrap/>
            <w:vAlign w:val="center"/>
          </w:tcPr>
          <w:p w:rsidR="008B6F6A" w:rsidRPr="00D93CDC" w:rsidRDefault="008B6F6A" w:rsidP="008B6F6A">
            <w:pPr>
              <w:jc w:val="center"/>
              <w:rPr>
                <w:rFonts w:ascii="Arial" w:hAnsi="Arial" w:cs="Arial"/>
                <w:sz w:val="20"/>
                <w:szCs w:val="20"/>
              </w:rPr>
            </w:pPr>
            <w:r w:rsidRPr="00D93CDC">
              <w:rPr>
                <w:rFonts w:ascii="Arial" w:hAnsi="Arial" w:cs="Arial"/>
                <w:sz w:val="20"/>
                <w:szCs w:val="20"/>
              </w:rPr>
              <w:t>21</w:t>
            </w:r>
          </w:p>
        </w:tc>
        <w:tc>
          <w:tcPr>
            <w:tcW w:w="1790" w:type="dxa"/>
            <w:shd w:val="clear" w:color="auto" w:fill="auto"/>
            <w:noWrap/>
            <w:vAlign w:val="center"/>
          </w:tcPr>
          <w:p w:rsidR="008B6F6A" w:rsidRPr="00D93CDC" w:rsidRDefault="008B6F6A" w:rsidP="008B6F6A">
            <w:pPr>
              <w:jc w:val="center"/>
              <w:rPr>
                <w:color w:val="000000"/>
                <w:sz w:val="20"/>
                <w:szCs w:val="20"/>
              </w:rPr>
            </w:pPr>
            <w:r>
              <w:rPr>
                <w:color w:val="000000"/>
                <w:sz w:val="20"/>
                <w:szCs w:val="20"/>
              </w:rPr>
              <w:t>4.11</w:t>
            </w:r>
            <w:r w:rsidRPr="00D93CDC">
              <w:rPr>
                <w:color w:val="000000"/>
                <w:sz w:val="20"/>
                <w:szCs w:val="20"/>
              </w:rPr>
              <w:t xml:space="preserve"> ± </w:t>
            </w:r>
            <w:r w:rsidRPr="00D93CDC">
              <w:rPr>
                <w:sz w:val="20"/>
                <w:szCs w:val="20"/>
              </w:rPr>
              <w:t>4.56</w:t>
            </w:r>
            <w:r w:rsidRPr="00D93CDC">
              <w:rPr>
                <w:sz w:val="20"/>
                <w:szCs w:val="20"/>
                <w:vertAlign w:val="superscript"/>
              </w:rPr>
              <w:t xml:space="preserve"> </w:t>
            </w:r>
            <w:proofErr w:type="spellStart"/>
            <w:r w:rsidRPr="00D93CDC">
              <w:rPr>
                <w:sz w:val="20"/>
                <w:szCs w:val="20"/>
                <w:vertAlign w:val="superscript"/>
              </w:rPr>
              <w:t>a</w:t>
            </w:r>
            <w:r>
              <w:rPr>
                <w:sz w:val="20"/>
                <w:szCs w:val="20"/>
                <w:vertAlign w:val="superscript"/>
              </w:rPr>
              <w:t>A</w:t>
            </w:r>
            <w:proofErr w:type="spellEnd"/>
          </w:p>
        </w:tc>
        <w:tc>
          <w:tcPr>
            <w:tcW w:w="1790" w:type="dxa"/>
            <w:shd w:val="clear" w:color="auto" w:fill="auto"/>
            <w:noWrap/>
            <w:vAlign w:val="center"/>
          </w:tcPr>
          <w:p w:rsidR="008B6F6A" w:rsidRPr="00D93CDC" w:rsidRDefault="008B6F6A" w:rsidP="008B6F6A">
            <w:pPr>
              <w:jc w:val="center"/>
              <w:rPr>
                <w:color w:val="000000"/>
                <w:sz w:val="20"/>
                <w:szCs w:val="20"/>
              </w:rPr>
            </w:pPr>
            <w:r>
              <w:rPr>
                <w:color w:val="000000"/>
                <w:sz w:val="20"/>
                <w:szCs w:val="20"/>
              </w:rPr>
              <w:t>6.64</w:t>
            </w:r>
            <w:r w:rsidRPr="00D93CDC">
              <w:rPr>
                <w:color w:val="000000"/>
                <w:sz w:val="20"/>
                <w:szCs w:val="20"/>
              </w:rPr>
              <w:t xml:space="preserve"> ± </w:t>
            </w:r>
            <w:r w:rsidRPr="00D93CDC">
              <w:rPr>
                <w:sz w:val="20"/>
                <w:szCs w:val="20"/>
              </w:rPr>
              <w:t>2.83</w:t>
            </w:r>
            <w:r w:rsidRPr="00D93CDC">
              <w:rPr>
                <w:sz w:val="20"/>
                <w:szCs w:val="20"/>
                <w:vertAlign w:val="superscript"/>
              </w:rPr>
              <w:t xml:space="preserve"> </w:t>
            </w:r>
            <w:proofErr w:type="spellStart"/>
            <w:r>
              <w:rPr>
                <w:sz w:val="20"/>
                <w:szCs w:val="20"/>
                <w:vertAlign w:val="superscript"/>
              </w:rPr>
              <w:t>aA</w:t>
            </w:r>
            <w:proofErr w:type="spellEnd"/>
          </w:p>
        </w:tc>
        <w:tc>
          <w:tcPr>
            <w:tcW w:w="1790" w:type="dxa"/>
            <w:shd w:val="clear" w:color="auto" w:fill="auto"/>
            <w:noWrap/>
            <w:vAlign w:val="center"/>
          </w:tcPr>
          <w:p w:rsidR="008B6F6A" w:rsidRPr="00D93CDC" w:rsidRDefault="008B6F6A" w:rsidP="008B6F6A">
            <w:pPr>
              <w:jc w:val="center"/>
              <w:rPr>
                <w:sz w:val="20"/>
                <w:szCs w:val="20"/>
              </w:rPr>
            </w:pPr>
            <w:r>
              <w:rPr>
                <w:sz w:val="20"/>
                <w:szCs w:val="20"/>
              </w:rPr>
              <w:t>18.45</w:t>
            </w:r>
            <w:r w:rsidRPr="00D93CDC">
              <w:rPr>
                <w:sz w:val="20"/>
                <w:szCs w:val="20"/>
              </w:rPr>
              <w:t xml:space="preserve"> </w:t>
            </w:r>
            <w:r w:rsidRPr="00D93CDC">
              <w:rPr>
                <w:color w:val="000000"/>
                <w:sz w:val="20"/>
                <w:szCs w:val="20"/>
              </w:rPr>
              <w:t xml:space="preserve">± </w:t>
            </w:r>
            <w:r w:rsidRPr="00D93CDC">
              <w:rPr>
                <w:sz w:val="20"/>
                <w:szCs w:val="20"/>
              </w:rPr>
              <w:t>4.11</w:t>
            </w:r>
            <w:r w:rsidRPr="00D93CDC">
              <w:rPr>
                <w:sz w:val="20"/>
                <w:szCs w:val="20"/>
                <w:vertAlign w:val="superscript"/>
              </w:rPr>
              <w:t xml:space="preserve"> </w:t>
            </w:r>
            <w:proofErr w:type="spellStart"/>
            <w:r w:rsidRPr="00D93CDC">
              <w:rPr>
                <w:sz w:val="20"/>
                <w:szCs w:val="20"/>
                <w:vertAlign w:val="superscript"/>
              </w:rPr>
              <w:t>a</w:t>
            </w:r>
            <w:r>
              <w:rPr>
                <w:sz w:val="20"/>
                <w:szCs w:val="20"/>
                <w:vertAlign w:val="superscript"/>
              </w:rPr>
              <w:t>AB</w:t>
            </w:r>
            <w:proofErr w:type="spellEnd"/>
          </w:p>
        </w:tc>
        <w:tc>
          <w:tcPr>
            <w:tcW w:w="1790" w:type="dxa"/>
            <w:gridSpan w:val="2"/>
            <w:shd w:val="clear" w:color="auto" w:fill="auto"/>
            <w:noWrap/>
            <w:vAlign w:val="center"/>
          </w:tcPr>
          <w:p w:rsidR="008B6F6A" w:rsidRPr="00D93CDC" w:rsidRDefault="008B6F6A" w:rsidP="008B6F6A">
            <w:pPr>
              <w:jc w:val="center"/>
              <w:rPr>
                <w:color w:val="000000"/>
                <w:sz w:val="20"/>
                <w:szCs w:val="20"/>
              </w:rPr>
            </w:pPr>
            <w:r>
              <w:rPr>
                <w:color w:val="000000"/>
                <w:sz w:val="20"/>
                <w:szCs w:val="20"/>
              </w:rPr>
              <w:t>24.45</w:t>
            </w:r>
            <w:r w:rsidRPr="00D93CDC">
              <w:rPr>
                <w:color w:val="000000"/>
                <w:sz w:val="20"/>
                <w:szCs w:val="20"/>
              </w:rPr>
              <w:t xml:space="preserve"> ± </w:t>
            </w:r>
            <w:r w:rsidRPr="00D93CDC">
              <w:rPr>
                <w:sz w:val="20"/>
                <w:szCs w:val="20"/>
              </w:rPr>
              <w:t>6.44</w:t>
            </w:r>
            <w:r w:rsidRPr="00D93CDC">
              <w:rPr>
                <w:sz w:val="20"/>
                <w:szCs w:val="20"/>
                <w:vertAlign w:val="superscript"/>
              </w:rPr>
              <w:t xml:space="preserve"> </w:t>
            </w:r>
            <w:proofErr w:type="spellStart"/>
            <w:r>
              <w:rPr>
                <w:sz w:val="20"/>
                <w:szCs w:val="20"/>
                <w:vertAlign w:val="superscript"/>
              </w:rPr>
              <w:t>aB</w:t>
            </w:r>
            <w:proofErr w:type="spellEnd"/>
          </w:p>
        </w:tc>
      </w:tr>
      <w:tr w:rsidR="008B6F6A" w:rsidTr="008B6F6A">
        <w:trPr>
          <w:trHeight w:val="315"/>
        </w:trPr>
        <w:tc>
          <w:tcPr>
            <w:tcW w:w="1192" w:type="dxa"/>
            <w:vMerge/>
            <w:tcBorders>
              <w:bottom w:val="single" w:sz="4" w:space="0" w:color="auto"/>
            </w:tcBorders>
            <w:vAlign w:val="center"/>
          </w:tcPr>
          <w:p w:rsidR="008B6F6A" w:rsidRPr="00D93CDC" w:rsidRDefault="008B6F6A" w:rsidP="008B6F6A">
            <w:pPr>
              <w:jc w:val="center"/>
              <w:rPr>
                <w:rFonts w:ascii="Arial" w:hAnsi="Arial" w:cs="Arial"/>
                <w:sz w:val="20"/>
                <w:szCs w:val="20"/>
              </w:rPr>
            </w:pPr>
          </w:p>
        </w:tc>
        <w:tc>
          <w:tcPr>
            <w:tcW w:w="1156" w:type="dxa"/>
            <w:tcBorders>
              <w:bottom w:val="single" w:sz="4" w:space="0" w:color="auto"/>
            </w:tcBorders>
            <w:shd w:val="clear" w:color="auto" w:fill="auto"/>
            <w:noWrap/>
            <w:vAlign w:val="center"/>
          </w:tcPr>
          <w:p w:rsidR="008B6F6A" w:rsidRPr="00D93CDC" w:rsidRDefault="008B6F6A" w:rsidP="008B6F6A">
            <w:pPr>
              <w:jc w:val="center"/>
              <w:rPr>
                <w:rFonts w:ascii="Arial" w:hAnsi="Arial" w:cs="Arial"/>
                <w:sz w:val="20"/>
                <w:szCs w:val="20"/>
              </w:rPr>
            </w:pPr>
            <w:r w:rsidRPr="00D93CDC">
              <w:rPr>
                <w:rFonts w:ascii="Arial" w:hAnsi="Arial" w:cs="Arial"/>
                <w:sz w:val="20"/>
                <w:szCs w:val="20"/>
              </w:rPr>
              <w:t>28</w:t>
            </w:r>
          </w:p>
        </w:tc>
        <w:tc>
          <w:tcPr>
            <w:tcW w:w="1790" w:type="dxa"/>
            <w:tcBorders>
              <w:bottom w:val="single" w:sz="4" w:space="0" w:color="auto"/>
            </w:tcBorders>
            <w:shd w:val="clear" w:color="auto" w:fill="auto"/>
            <w:noWrap/>
            <w:vAlign w:val="center"/>
          </w:tcPr>
          <w:p w:rsidR="008B6F6A" w:rsidRPr="00D93CDC" w:rsidRDefault="008B6F6A" w:rsidP="008B6F6A">
            <w:pPr>
              <w:jc w:val="center"/>
              <w:rPr>
                <w:color w:val="000000"/>
                <w:sz w:val="20"/>
                <w:szCs w:val="20"/>
              </w:rPr>
            </w:pPr>
            <w:r w:rsidRPr="00D93CDC">
              <w:rPr>
                <w:color w:val="000000"/>
                <w:sz w:val="20"/>
                <w:szCs w:val="20"/>
              </w:rPr>
              <w:t>1.3</w:t>
            </w:r>
            <w:r>
              <w:rPr>
                <w:color w:val="000000"/>
                <w:sz w:val="20"/>
                <w:szCs w:val="20"/>
              </w:rPr>
              <w:t>9</w:t>
            </w:r>
            <w:r w:rsidRPr="00D93CDC">
              <w:rPr>
                <w:color w:val="000000"/>
                <w:sz w:val="20"/>
                <w:szCs w:val="20"/>
              </w:rPr>
              <w:t xml:space="preserve"> ± </w:t>
            </w:r>
            <w:r w:rsidRPr="00D93CDC">
              <w:rPr>
                <w:sz w:val="20"/>
                <w:szCs w:val="20"/>
              </w:rPr>
              <w:t>3.06</w:t>
            </w:r>
            <w:r w:rsidRPr="00D93CDC">
              <w:rPr>
                <w:sz w:val="20"/>
                <w:szCs w:val="20"/>
                <w:vertAlign w:val="superscript"/>
              </w:rPr>
              <w:t xml:space="preserve"> </w:t>
            </w:r>
            <w:proofErr w:type="spellStart"/>
            <w:r w:rsidRPr="00D93CDC">
              <w:rPr>
                <w:sz w:val="20"/>
                <w:szCs w:val="20"/>
                <w:vertAlign w:val="superscript"/>
              </w:rPr>
              <w:t>a</w:t>
            </w:r>
            <w:r>
              <w:rPr>
                <w:sz w:val="20"/>
                <w:szCs w:val="20"/>
                <w:vertAlign w:val="superscript"/>
              </w:rPr>
              <w:t>A</w:t>
            </w:r>
            <w:proofErr w:type="spellEnd"/>
          </w:p>
        </w:tc>
        <w:tc>
          <w:tcPr>
            <w:tcW w:w="1790" w:type="dxa"/>
            <w:tcBorders>
              <w:bottom w:val="single" w:sz="4" w:space="0" w:color="auto"/>
            </w:tcBorders>
            <w:shd w:val="clear" w:color="auto" w:fill="auto"/>
            <w:noWrap/>
            <w:vAlign w:val="center"/>
          </w:tcPr>
          <w:p w:rsidR="008B6F6A" w:rsidRPr="00D93CDC" w:rsidRDefault="008B6F6A" w:rsidP="008B6F6A">
            <w:pPr>
              <w:jc w:val="center"/>
              <w:rPr>
                <w:sz w:val="20"/>
                <w:szCs w:val="20"/>
              </w:rPr>
            </w:pPr>
            <w:r>
              <w:rPr>
                <w:sz w:val="20"/>
                <w:szCs w:val="20"/>
              </w:rPr>
              <w:t>6.93</w:t>
            </w:r>
            <w:r w:rsidRPr="00D93CDC">
              <w:rPr>
                <w:sz w:val="20"/>
                <w:szCs w:val="20"/>
              </w:rPr>
              <w:t xml:space="preserve"> </w:t>
            </w:r>
            <w:r w:rsidRPr="00D93CDC">
              <w:rPr>
                <w:color w:val="000000"/>
                <w:sz w:val="20"/>
                <w:szCs w:val="20"/>
              </w:rPr>
              <w:t xml:space="preserve">± </w:t>
            </w:r>
            <w:r w:rsidRPr="00D93CDC">
              <w:rPr>
                <w:sz w:val="20"/>
                <w:szCs w:val="20"/>
              </w:rPr>
              <w:t>0.28</w:t>
            </w:r>
            <w:r w:rsidRPr="00D93CDC">
              <w:rPr>
                <w:sz w:val="20"/>
                <w:szCs w:val="20"/>
                <w:vertAlign w:val="superscript"/>
              </w:rPr>
              <w:t xml:space="preserve"> </w:t>
            </w:r>
            <w:proofErr w:type="spellStart"/>
            <w:r w:rsidRPr="00D93CDC">
              <w:rPr>
                <w:sz w:val="20"/>
                <w:szCs w:val="20"/>
                <w:vertAlign w:val="superscript"/>
              </w:rPr>
              <w:t>a</w:t>
            </w:r>
            <w:r>
              <w:rPr>
                <w:sz w:val="20"/>
                <w:szCs w:val="20"/>
                <w:vertAlign w:val="superscript"/>
              </w:rPr>
              <w:t>AB</w:t>
            </w:r>
            <w:proofErr w:type="spellEnd"/>
          </w:p>
        </w:tc>
        <w:tc>
          <w:tcPr>
            <w:tcW w:w="1790" w:type="dxa"/>
            <w:tcBorders>
              <w:bottom w:val="single" w:sz="4" w:space="0" w:color="auto"/>
            </w:tcBorders>
            <w:shd w:val="clear" w:color="auto" w:fill="auto"/>
            <w:noWrap/>
            <w:vAlign w:val="center"/>
          </w:tcPr>
          <w:p w:rsidR="008B6F6A" w:rsidRPr="00D93CDC" w:rsidRDefault="008B6F6A" w:rsidP="008B6F6A">
            <w:pPr>
              <w:jc w:val="center"/>
              <w:rPr>
                <w:color w:val="000000"/>
                <w:sz w:val="20"/>
                <w:szCs w:val="20"/>
              </w:rPr>
            </w:pPr>
            <w:r>
              <w:rPr>
                <w:color w:val="000000"/>
                <w:sz w:val="20"/>
                <w:szCs w:val="20"/>
              </w:rPr>
              <w:t>19.33</w:t>
            </w:r>
            <w:r w:rsidRPr="00D93CDC">
              <w:rPr>
                <w:color w:val="000000"/>
                <w:sz w:val="20"/>
                <w:szCs w:val="20"/>
              </w:rPr>
              <w:t xml:space="preserve"> ± </w:t>
            </w:r>
            <w:r w:rsidRPr="00D93CDC">
              <w:rPr>
                <w:sz w:val="20"/>
                <w:szCs w:val="20"/>
              </w:rPr>
              <w:t>10.11</w:t>
            </w:r>
            <w:r>
              <w:rPr>
                <w:sz w:val="20"/>
                <w:szCs w:val="20"/>
                <w:vertAlign w:val="superscript"/>
              </w:rPr>
              <w:t>aC</w:t>
            </w:r>
          </w:p>
        </w:tc>
        <w:tc>
          <w:tcPr>
            <w:tcW w:w="1790" w:type="dxa"/>
            <w:gridSpan w:val="2"/>
            <w:tcBorders>
              <w:bottom w:val="single" w:sz="4" w:space="0" w:color="auto"/>
            </w:tcBorders>
            <w:shd w:val="clear" w:color="auto" w:fill="auto"/>
            <w:noWrap/>
            <w:vAlign w:val="center"/>
          </w:tcPr>
          <w:p w:rsidR="008B6F6A" w:rsidRPr="00D93CDC" w:rsidRDefault="008B6F6A" w:rsidP="008B6F6A">
            <w:pPr>
              <w:jc w:val="center"/>
              <w:rPr>
                <w:color w:val="000000"/>
                <w:sz w:val="20"/>
                <w:szCs w:val="20"/>
              </w:rPr>
            </w:pPr>
            <w:r>
              <w:rPr>
                <w:color w:val="000000"/>
                <w:sz w:val="20"/>
                <w:szCs w:val="20"/>
              </w:rPr>
              <w:t>16.49</w:t>
            </w:r>
            <w:r w:rsidRPr="00D93CDC">
              <w:rPr>
                <w:color w:val="000000"/>
                <w:sz w:val="20"/>
                <w:szCs w:val="20"/>
              </w:rPr>
              <w:t xml:space="preserve"> ± </w:t>
            </w:r>
            <w:r w:rsidRPr="00D93CDC">
              <w:rPr>
                <w:sz w:val="20"/>
                <w:szCs w:val="20"/>
              </w:rPr>
              <w:t>0.78</w:t>
            </w:r>
            <w:r w:rsidRPr="00D93CDC">
              <w:rPr>
                <w:sz w:val="20"/>
                <w:szCs w:val="20"/>
                <w:vertAlign w:val="superscript"/>
              </w:rPr>
              <w:t xml:space="preserve"> </w:t>
            </w:r>
            <w:proofErr w:type="spellStart"/>
            <w:r>
              <w:rPr>
                <w:sz w:val="20"/>
                <w:szCs w:val="20"/>
                <w:vertAlign w:val="superscript"/>
              </w:rPr>
              <w:t>aC</w:t>
            </w:r>
            <w:proofErr w:type="spellEnd"/>
          </w:p>
        </w:tc>
      </w:tr>
      <w:bookmarkEnd w:id="3"/>
    </w:tbl>
    <w:p w:rsidR="008B6F6A" w:rsidRPr="008722DA" w:rsidRDefault="008B6F6A" w:rsidP="008B6F6A">
      <w:pPr>
        <w:rPr>
          <w:lang w:val="en-GB"/>
        </w:rPr>
      </w:pPr>
    </w:p>
    <w:p w:rsidR="008B6F6A" w:rsidRPr="003452F8" w:rsidRDefault="008B6F6A" w:rsidP="008B6F6A">
      <w:pPr>
        <w:rPr>
          <w:sz w:val="20"/>
          <w:szCs w:val="20"/>
          <w:lang w:val="en-GB"/>
        </w:rPr>
      </w:pPr>
      <w:r>
        <w:rPr>
          <w:b/>
          <w:sz w:val="20"/>
          <w:szCs w:val="20"/>
          <w:lang w:val="en-GB"/>
        </w:rPr>
        <w:t xml:space="preserve">                              </w:t>
      </w:r>
    </w:p>
    <w:p w:rsidR="008B6F6A" w:rsidRPr="009C5A1B" w:rsidRDefault="008B6F6A" w:rsidP="008B6F6A">
      <w:pPr>
        <w:ind w:left="708"/>
        <w:jc w:val="both"/>
        <w:rPr>
          <w:sz w:val="20"/>
          <w:szCs w:val="20"/>
          <w:lang w:val="en-GB"/>
        </w:rPr>
      </w:pPr>
      <w:r>
        <w:rPr>
          <w:sz w:val="16"/>
          <w:szCs w:val="16"/>
          <w:lang w:val="en-GB"/>
        </w:rPr>
        <w:t xml:space="preserve"> </w:t>
      </w:r>
      <w:proofErr w:type="spellStart"/>
      <w:r w:rsidRPr="008C78DC">
        <w:rPr>
          <w:rFonts w:ascii="Arial" w:hAnsi="Arial" w:cs="Arial"/>
          <w:sz w:val="20"/>
          <w:szCs w:val="20"/>
          <w:vertAlign w:val="superscript"/>
          <w:lang w:val="en-GB"/>
        </w:rPr>
        <w:t>b</w:t>
      </w:r>
      <w:r w:rsidRPr="009C5A1B">
        <w:rPr>
          <w:sz w:val="20"/>
          <w:szCs w:val="20"/>
          <w:lang w:val="en-GB"/>
        </w:rPr>
        <w:t>Results</w:t>
      </w:r>
      <w:proofErr w:type="spellEnd"/>
      <w:r w:rsidRPr="009C5A1B">
        <w:rPr>
          <w:sz w:val="20"/>
          <w:szCs w:val="20"/>
          <w:lang w:val="en-GB"/>
        </w:rPr>
        <w:t xml:space="preserve"> were calculated as the mean Log count for three </w:t>
      </w:r>
      <w:r>
        <w:rPr>
          <w:sz w:val="20"/>
          <w:szCs w:val="20"/>
          <w:lang w:val="en-GB"/>
        </w:rPr>
        <w:t>replicates</w:t>
      </w:r>
      <w:r w:rsidRPr="009C5A1B">
        <w:rPr>
          <w:sz w:val="20"/>
          <w:szCs w:val="20"/>
          <w:lang w:val="en-GB"/>
        </w:rPr>
        <w:t xml:space="preserve">. </w:t>
      </w:r>
      <w:r>
        <w:rPr>
          <w:sz w:val="20"/>
          <w:szCs w:val="20"/>
          <w:lang w:val="en-GB"/>
        </w:rPr>
        <w:t>V</w:t>
      </w:r>
      <w:r w:rsidRPr="009C5A1B">
        <w:rPr>
          <w:sz w:val="20"/>
          <w:szCs w:val="20"/>
          <w:lang w:val="en-GB"/>
        </w:rPr>
        <w:t>alues  with different superscripts (lowercase</w:t>
      </w:r>
      <w:r>
        <w:rPr>
          <w:sz w:val="20"/>
          <w:szCs w:val="20"/>
          <w:lang w:val="en-GB"/>
        </w:rPr>
        <w:t xml:space="preserve"> letters</w:t>
      </w:r>
      <w:r w:rsidRPr="009C5A1B">
        <w:rPr>
          <w:sz w:val="20"/>
          <w:szCs w:val="20"/>
          <w:lang w:val="en-GB"/>
        </w:rPr>
        <w:t>)</w:t>
      </w:r>
      <w:r>
        <w:rPr>
          <w:sz w:val="20"/>
          <w:szCs w:val="20"/>
          <w:lang w:val="en-GB"/>
        </w:rPr>
        <w:t xml:space="preserve"> </w:t>
      </w:r>
      <w:r w:rsidRPr="009C5A1B">
        <w:rPr>
          <w:sz w:val="20"/>
          <w:szCs w:val="20"/>
          <w:lang w:val="en-GB"/>
        </w:rPr>
        <w:t>in the same c</w:t>
      </w:r>
      <w:r>
        <w:rPr>
          <w:sz w:val="20"/>
          <w:szCs w:val="20"/>
          <w:lang w:val="en-GB"/>
        </w:rPr>
        <w:t>olumn differ significantly (P&lt;0.05</w:t>
      </w:r>
      <w:r w:rsidRPr="009C5A1B">
        <w:rPr>
          <w:sz w:val="20"/>
          <w:szCs w:val="20"/>
          <w:lang w:val="en-GB"/>
        </w:rPr>
        <w:t>).</w:t>
      </w:r>
      <w:r>
        <w:rPr>
          <w:sz w:val="20"/>
          <w:szCs w:val="20"/>
          <w:lang w:val="en-GB"/>
        </w:rPr>
        <w:t>V</w:t>
      </w:r>
      <w:r w:rsidRPr="009C5A1B">
        <w:rPr>
          <w:sz w:val="20"/>
          <w:szCs w:val="20"/>
          <w:lang w:val="en-GB"/>
        </w:rPr>
        <w:t>alues  with different superscripts (</w:t>
      </w:r>
      <w:r>
        <w:rPr>
          <w:sz w:val="20"/>
          <w:szCs w:val="20"/>
          <w:lang w:val="en-GB"/>
        </w:rPr>
        <w:t>uppercase letters</w:t>
      </w:r>
      <w:r w:rsidRPr="009C5A1B">
        <w:rPr>
          <w:sz w:val="20"/>
          <w:szCs w:val="20"/>
          <w:lang w:val="en-GB"/>
        </w:rPr>
        <w:t>)</w:t>
      </w:r>
      <w:r>
        <w:rPr>
          <w:sz w:val="20"/>
          <w:szCs w:val="20"/>
          <w:lang w:val="en-GB"/>
        </w:rPr>
        <w:t xml:space="preserve"> </w:t>
      </w:r>
      <w:r w:rsidRPr="009C5A1B">
        <w:rPr>
          <w:sz w:val="20"/>
          <w:szCs w:val="20"/>
          <w:lang w:val="en-GB"/>
        </w:rPr>
        <w:t xml:space="preserve">in the same </w:t>
      </w:r>
      <w:r>
        <w:rPr>
          <w:sz w:val="20"/>
          <w:szCs w:val="20"/>
          <w:lang w:val="en-GB"/>
        </w:rPr>
        <w:t>row differ significantly (P&lt;0.05</w:t>
      </w:r>
      <w:r w:rsidRPr="009C5A1B">
        <w:rPr>
          <w:sz w:val="20"/>
          <w:szCs w:val="20"/>
          <w:lang w:val="en-GB"/>
        </w:rPr>
        <w:t>).</w:t>
      </w:r>
    </w:p>
    <w:p w:rsidR="008B6F6A" w:rsidRPr="00581EDB" w:rsidRDefault="008B6F6A" w:rsidP="008B6F6A">
      <w:pPr>
        <w:rPr>
          <w:lang w:val="en-GB"/>
        </w:rPr>
      </w:pPr>
    </w:p>
    <w:p w:rsidR="008B6F6A" w:rsidRDefault="008B6F6A">
      <w:pPr>
        <w:rPr>
          <w:lang w:val="en-GB"/>
        </w:rPr>
      </w:pPr>
    </w:p>
    <w:p w:rsidR="008B6F6A" w:rsidRDefault="008B6F6A">
      <w:pPr>
        <w:rPr>
          <w:lang w:val="en-GB"/>
        </w:rPr>
      </w:pPr>
    </w:p>
    <w:p w:rsidR="008B6F6A" w:rsidRDefault="008B6F6A">
      <w:pPr>
        <w:rPr>
          <w:lang w:val="en-GB"/>
        </w:rPr>
      </w:pPr>
    </w:p>
    <w:p w:rsidR="008B6F6A" w:rsidRDefault="008B6F6A">
      <w:pPr>
        <w:rPr>
          <w:lang w:val="en-GB"/>
        </w:rPr>
      </w:pPr>
    </w:p>
    <w:p w:rsidR="008B6F6A" w:rsidRDefault="008B6F6A">
      <w:pPr>
        <w:rPr>
          <w:lang w:val="en-GB"/>
        </w:rPr>
      </w:pPr>
    </w:p>
    <w:p w:rsidR="008B6F6A" w:rsidRDefault="008B6F6A">
      <w:pPr>
        <w:rPr>
          <w:lang w:val="en-GB"/>
        </w:rPr>
      </w:pPr>
    </w:p>
    <w:p w:rsidR="008B6F6A" w:rsidRDefault="008B6F6A">
      <w:pPr>
        <w:rPr>
          <w:lang w:val="en-GB"/>
        </w:rPr>
      </w:pPr>
    </w:p>
    <w:p w:rsidR="008B6F6A" w:rsidRDefault="008B6F6A">
      <w:pPr>
        <w:rPr>
          <w:lang w:val="en-GB"/>
        </w:rPr>
      </w:pPr>
    </w:p>
    <w:p w:rsidR="008B6F6A" w:rsidRDefault="008B6F6A">
      <w:pPr>
        <w:rPr>
          <w:lang w:val="en-GB"/>
        </w:rPr>
      </w:pPr>
    </w:p>
    <w:p w:rsidR="008B6F6A" w:rsidRDefault="008B6F6A">
      <w:pPr>
        <w:rPr>
          <w:lang w:val="en-GB"/>
        </w:rPr>
      </w:pPr>
    </w:p>
    <w:p w:rsidR="008B6F6A" w:rsidRDefault="008B6F6A">
      <w:pPr>
        <w:rPr>
          <w:lang w:val="en-GB"/>
        </w:rPr>
      </w:pPr>
    </w:p>
    <w:p w:rsidR="008B6F6A" w:rsidRPr="00F6200F" w:rsidRDefault="008B6F6A" w:rsidP="008B6F6A">
      <w:pPr>
        <w:rPr>
          <w:lang w:val="en-GB"/>
        </w:rPr>
      </w:pPr>
    </w:p>
    <w:p w:rsidR="008B6F6A" w:rsidRDefault="008B6F6A" w:rsidP="008B6F6A">
      <w:pPr>
        <w:rPr>
          <w:b/>
          <w:sz w:val="20"/>
          <w:szCs w:val="20"/>
          <w:lang w:val="en-GB"/>
        </w:rPr>
      </w:pPr>
      <w:r w:rsidRPr="003452F8">
        <w:rPr>
          <w:b/>
          <w:sz w:val="20"/>
          <w:szCs w:val="20"/>
          <w:lang w:val="en-GB"/>
        </w:rPr>
        <w:t xml:space="preserve">Table </w:t>
      </w:r>
      <w:r>
        <w:rPr>
          <w:b/>
          <w:sz w:val="20"/>
          <w:szCs w:val="20"/>
          <w:lang w:val="en-GB"/>
        </w:rPr>
        <w:t xml:space="preserve">5 </w:t>
      </w:r>
    </w:p>
    <w:p w:rsidR="008B6F6A" w:rsidRDefault="008B6F6A" w:rsidP="008B6F6A">
      <w:pPr>
        <w:rPr>
          <w:sz w:val="20"/>
          <w:szCs w:val="20"/>
          <w:lang w:val="en-GB"/>
        </w:rPr>
      </w:pPr>
      <w:r w:rsidRPr="002732CA">
        <w:rPr>
          <w:sz w:val="20"/>
          <w:szCs w:val="20"/>
          <w:lang w:val="en-GB"/>
        </w:rPr>
        <w:t>β-</w:t>
      </w:r>
      <w:proofErr w:type="spellStart"/>
      <w:r w:rsidRPr="002732CA">
        <w:rPr>
          <w:sz w:val="20"/>
          <w:szCs w:val="20"/>
          <w:lang w:val="en-GB"/>
        </w:rPr>
        <w:t>Glucosidase</w:t>
      </w:r>
      <w:proofErr w:type="spellEnd"/>
      <w:r>
        <w:rPr>
          <w:b/>
          <w:sz w:val="20"/>
          <w:szCs w:val="20"/>
          <w:lang w:val="en-GB"/>
        </w:rPr>
        <w:t xml:space="preserve"> </w:t>
      </w:r>
      <w:r>
        <w:rPr>
          <w:sz w:val="20"/>
          <w:szCs w:val="20"/>
          <w:lang w:val="en-GB"/>
        </w:rPr>
        <w:t>activity (</w:t>
      </w:r>
      <w:proofErr w:type="spellStart"/>
      <w:r>
        <w:rPr>
          <w:sz w:val="20"/>
          <w:szCs w:val="20"/>
          <w:lang w:val="en-GB"/>
        </w:rPr>
        <w:t>βGA</w:t>
      </w:r>
      <w:proofErr w:type="spellEnd"/>
      <w:r>
        <w:rPr>
          <w:sz w:val="20"/>
          <w:szCs w:val="20"/>
          <w:lang w:val="en-GB"/>
        </w:rPr>
        <w:t xml:space="preserve">) in infested and control substrate samples following incubation in </w:t>
      </w:r>
      <w:proofErr w:type="spellStart"/>
      <w:r>
        <w:rPr>
          <w:sz w:val="20"/>
          <w:szCs w:val="20"/>
          <w:lang w:val="en-GB"/>
        </w:rPr>
        <w:t>phytotrons</w:t>
      </w:r>
      <w:proofErr w:type="spellEnd"/>
      <w:r w:rsidRPr="003452F8">
        <w:rPr>
          <w:sz w:val="20"/>
          <w:szCs w:val="20"/>
          <w:lang w:val="en-GB"/>
        </w:rPr>
        <w:t xml:space="preserve"> for 28 days. </w:t>
      </w:r>
    </w:p>
    <w:p w:rsidR="008B6F6A" w:rsidRDefault="008B6F6A" w:rsidP="008B6F6A">
      <w:pPr>
        <w:rPr>
          <w:lang w:val="en-GB"/>
        </w:rPr>
      </w:pPr>
    </w:p>
    <w:tbl>
      <w:tblPr>
        <w:tblpPr w:leftFromText="141" w:rightFromText="141" w:vertAnchor="text" w:horzAnchor="margin" w:tblpY="189"/>
        <w:tblW w:w="9091" w:type="dxa"/>
        <w:tblCellMar>
          <w:left w:w="70" w:type="dxa"/>
          <w:right w:w="70" w:type="dxa"/>
        </w:tblCellMar>
        <w:tblLook w:val="0000"/>
      </w:tblPr>
      <w:tblGrid>
        <w:gridCol w:w="1153"/>
        <w:gridCol w:w="1134"/>
        <w:gridCol w:w="1701"/>
        <w:gridCol w:w="1701"/>
        <w:gridCol w:w="1701"/>
        <w:gridCol w:w="1701"/>
      </w:tblGrid>
      <w:tr w:rsidR="008B6F6A" w:rsidRPr="00581EDB" w:rsidTr="002A6EB7">
        <w:trPr>
          <w:trHeight w:val="255"/>
        </w:trPr>
        <w:tc>
          <w:tcPr>
            <w:tcW w:w="1153" w:type="dxa"/>
          </w:tcPr>
          <w:p w:rsidR="008B6F6A" w:rsidRPr="00581EDB" w:rsidRDefault="008B6F6A" w:rsidP="002A6EB7">
            <w:pPr>
              <w:rPr>
                <w:sz w:val="20"/>
                <w:szCs w:val="20"/>
                <w:lang w:val="en-GB"/>
              </w:rPr>
            </w:pPr>
            <w:bookmarkStart w:id="4" w:name="OLE_LINK4"/>
          </w:p>
        </w:tc>
        <w:tc>
          <w:tcPr>
            <w:tcW w:w="1134" w:type="dxa"/>
            <w:shd w:val="clear" w:color="auto" w:fill="auto"/>
            <w:noWrap/>
            <w:vAlign w:val="bottom"/>
          </w:tcPr>
          <w:p w:rsidR="008B6F6A" w:rsidRPr="00581EDB" w:rsidRDefault="008B6F6A" w:rsidP="002A6EB7">
            <w:pPr>
              <w:rPr>
                <w:sz w:val="20"/>
                <w:szCs w:val="20"/>
                <w:lang w:val="en-GB"/>
              </w:rPr>
            </w:pPr>
          </w:p>
        </w:tc>
        <w:tc>
          <w:tcPr>
            <w:tcW w:w="6804" w:type="dxa"/>
            <w:gridSpan w:val="4"/>
            <w:tcBorders>
              <w:top w:val="single" w:sz="4" w:space="0" w:color="auto"/>
              <w:bottom w:val="single" w:sz="4" w:space="0" w:color="auto"/>
            </w:tcBorders>
            <w:shd w:val="clear" w:color="auto" w:fill="auto"/>
            <w:noWrap/>
            <w:vAlign w:val="bottom"/>
          </w:tcPr>
          <w:p w:rsidR="008B6F6A" w:rsidRPr="00581EDB" w:rsidRDefault="008B6F6A" w:rsidP="002A6EB7">
            <w:pPr>
              <w:jc w:val="center"/>
              <w:rPr>
                <w:sz w:val="20"/>
                <w:szCs w:val="20"/>
              </w:rPr>
            </w:pPr>
            <w:proofErr w:type="spellStart"/>
            <w:r w:rsidRPr="00581EDB">
              <w:rPr>
                <w:sz w:val="20"/>
                <w:szCs w:val="20"/>
                <w:vertAlign w:val="superscript"/>
                <w:lang w:val="en-GB"/>
              </w:rPr>
              <w:t>c</w:t>
            </w:r>
            <w:r w:rsidRPr="00581EDB">
              <w:rPr>
                <w:sz w:val="20"/>
                <w:szCs w:val="20"/>
                <w:lang w:val="en-GB"/>
              </w:rPr>
              <w:t>µg</w:t>
            </w:r>
            <w:proofErr w:type="spellEnd"/>
            <w:r w:rsidRPr="00581EDB">
              <w:rPr>
                <w:sz w:val="20"/>
                <w:szCs w:val="20"/>
                <w:lang w:val="en-GB"/>
              </w:rPr>
              <w:t xml:space="preserve"> p-</w:t>
            </w:r>
            <w:proofErr w:type="spellStart"/>
            <w:r w:rsidRPr="00581EDB">
              <w:rPr>
                <w:sz w:val="20"/>
                <w:szCs w:val="20"/>
                <w:lang w:val="en-GB"/>
              </w:rPr>
              <w:t>nitrophenol</w:t>
            </w:r>
            <w:proofErr w:type="spellEnd"/>
            <w:r w:rsidRPr="00581EDB">
              <w:rPr>
                <w:sz w:val="20"/>
                <w:szCs w:val="20"/>
                <w:lang w:val="en-GB"/>
              </w:rPr>
              <w:t xml:space="preserve"> h</w:t>
            </w:r>
            <w:r w:rsidRPr="00581EDB">
              <w:rPr>
                <w:sz w:val="20"/>
                <w:szCs w:val="20"/>
                <w:vertAlign w:val="superscript"/>
                <w:lang w:val="en-GB"/>
              </w:rPr>
              <w:t>-1</w:t>
            </w:r>
            <w:r w:rsidRPr="00581EDB">
              <w:rPr>
                <w:sz w:val="20"/>
                <w:szCs w:val="20"/>
                <w:lang w:val="en-GB"/>
              </w:rPr>
              <w:t xml:space="preserve"> g</w:t>
            </w:r>
            <w:r w:rsidRPr="00581EDB">
              <w:rPr>
                <w:sz w:val="20"/>
                <w:szCs w:val="20"/>
                <w:vertAlign w:val="superscript"/>
                <w:lang w:val="en-GB"/>
              </w:rPr>
              <w:t>-1</w:t>
            </w:r>
          </w:p>
        </w:tc>
      </w:tr>
      <w:tr w:rsidR="008B6F6A" w:rsidRPr="00581EDB" w:rsidTr="002A6EB7">
        <w:trPr>
          <w:trHeight w:val="255"/>
        </w:trPr>
        <w:tc>
          <w:tcPr>
            <w:tcW w:w="1153" w:type="dxa"/>
            <w:tcBorders>
              <w:bottom w:val="single" w:sz="4" w:space="0" w:color="auto"/>
            </w:tcBorders>
          </w:tcPr>
          <w:p w:rsidR="008B6F6A" w:rsidRPr="00581EDB" w:rsidRDefault="008B6F6A" w:rsidP="002A6EB7">
            <w:pPr>
              <w:jc w:val="center"/>
              <w:rPr>
                <w:sz w:val="20"/>
                <w:szCs w:val="20"/>
              </w:rPr>
            </w:pPr>
          </w:p>
        </w:tc>
        <w:tc>
          <w:tcPr>
            <w:tcW w:w="1134" w:type="dxa"/>
            <w:tcBorders>
              <w:bottom w:val="single" w:sz="4" w:space="0" w:color="auto"/>
            </w:tcBorders>
            <w:shd w:val="clear" w:color="auto" w:fill="auto"/>
            <w:noWrap/>
            <w:vAlign w:val="bottom"/>
          </w:tcPr>
          <w:p w:rsidR="008B6F6A" w:rsidRPr="00581EDB" w:rsidRDefault="008B6F6A" w:rsidP="002A6EB7">
            <w:pPr>
              <w:jc w:val="center"/>
              <w:rPr>
                <w:sz w:val="20"/>
                <w:szCs w:val="20"/>
              </w:rPr>
            </w:pPr>
            <w:r w:rsidRPr="00581EDB">
              <w:rPr>
                <w:sz w:val="20"/>
                <w:szCs w:val="20"/>
              </w:rPr>
              <w:t xml:space="preserve"> Days</w:t>
            </w:r>
            <w:r>
              <w:rPr>
                <w:sz w:val="20"/>
                <w:szCs w:val="20"/>
              </w:rPr>
              <w:t xml:space="preserve"> of sampling</w:t>
            </w:r>
          </w:p>
        </w:tc>
        <w:tc>
          <w:tcPr>
            <w:tcW w:w="1701" w:type="dxa"/>
            <w:tcBorders>
              <w:top w:val="single" w:sz="4" w:space="0" w:color="auto"/>
              <w:bottom w:val="single" w:sz="4" w:space="0" w:color="auto"/>
            </w:tcBorders>
            <w:shd w:val="clear" w:color="auto" w:fill="auto"/>
            <w:noWrap/>
            <w:vAlign w:val="center"/>
          </w:tcPr>
          <w:p w:rsidR="008B6F6A" w:rsidRPr="00581EDB" w:rsidRDefault="008B6F6A" w:rsidP="002A6EB7">
            <w:pPr>
              <w:jc w:val="center"/>
              <w:rPr>
                <w:sz w:val="20"/>
                <w:szCs w:val="20"/>
              </w:rPr>
            </w:pPr>
            <w:r>
              <w:rPr>
                <w:sz w:val="20"/>
                <w:szCs w:val="20"/>
              </w:rPr>
              <w:t>1</w:t>
            </w:r>
          </w:p>
          <w:p w:rsidR="008B6F6A" w:rsidRPr="00581EDB" w:rsidRDefault="008B6F6A" w:rsidP="002A6EB7">
            <w:pPr>
              <w:jc w:val="center"/>
              <w:rPr>
                <w:sz w:val="20"/>
                <w:szCs w:val="20"/>
              </w:rPr>
            </w:pPr>
            <w:r w:rsidRPr="00581EDB">
              <w:rPr>
                <w:sz w:val="20"/>
                <w:szCs w:val="20"/>
              </w:rPr>
              <w:t>(</w:t>
            </w:r>
            <w:r w:rsidRPr="00581EDB">
              <w:rPr>
                <w:bCs/>
                <w:sz w:val="20"/>
                <w:szCs w:val="20"/>
                <w:lang w:val="en-GB"/>
              </w:rPr>
              <w:t>800</w:t>
            </w:r>
            <w:r>
              <w:rPr>
                <w:bCs/>
                <w:sz w:val="20"/>
                <w:szCs w:val="20"/>
                <w:lang w:val="en-GB"/>
              </w:rPr>
              <w:t xml:space="preserve"> </w:t>
            </w:r>
            <w:proofErr w:type="spellStart"/>
            <w:r w:rsidRPr="00581EDB">
              <w:rPr>
                <w:bCs/>
                <w:sz w:val="20"/>
                <w:szCs w:val="20"/>
                <w:lang w:val="en-GB"/>
              </w:rPr>
              <w:t>ppm</w:t>
            </w:r>
            <w:proofErr w:type="spellEnd"/>
            <w:r w:rsidRPr="00581EDB">
              <w:rPr>
                <w:bCs/>
                <w:sz w:val="20"/>
                <w:szCs w:val="20"/>
                <w:lang w:val="en-GB"/>
              </w:rPr>
              <w:t xml:space="preserve"> CO</w:t>
            </w:r>
            <w:r w:rsidRPr="00581EDB">
              <w:rPr>
                <w:bCs/>
                <w:sz w:val="20"/>
                <w:szCs w:val="20"/>
                <w:vertAlign w:val="subscript"/>
                <w:lang w:val="en-GB"/>
              </w:rPr>
              <w:t>2</w:t>
            </w:r>
            <w:r w:rsidRPr="00581EDB">
              <w:rPr>
                <w:bCs/>
                <w:sz w:val="20"/>
                <w:szCs w:val="20"/>
                <w:lang w:val="en-GB"/>
              </w:rPr>
              <w:t xml:space="preserve"> 22-26°C)</w:t>
            </w:r>
          </w:p>
        </w:tc>
        <w:tc>
          <w:tcPr>
            <w:tcW w:w="1701" w:type="dxa"/>
            <w:tcBorders>
              <w:top w:val="single" w:sz="4" w:space="0" w:color="auto"/>
              <w:bottom w:val="single" w:sz="4" w:space="0" w:color="auto"/>
            </w:tcBorders>
            <w:shd w:val="clear" w:color="auto" w:fill="auto"/>
            <w:noWrap/>
            <w:vAlign w:val="center"/>
          </w:tcPr>
          <w:p w:rsidR="008B6F6A" w:rsidRPr="00581EDB" w:rsidRDefault="008B6F6A" w:rsidP="002A6EB7">
            <w:pPr>
              <w:jc w:val="center"/>
              <w:rPr>
                <w:sz w:val="20"/>
                <w:szCs w:val="20"/>
              </w:rPr>
            </w:pPr>
            <w:r>
              <w:rPr>
                <w:sz w:val="20"/>
                <w:szCs w:val="20"/>
              </w:rPr>
              <w:t>2</w:t>
            </w:r>
          </w:p>
          <w:p w:rsidR="008B6F6A" w:rsidRPr="00581EDB" w:rsidRDefault="008B6F6A" w:rsidP="002A6EB7">
            <w:pPr>
              <w:jc w:val="center"/>
              <w:rPr>
                <w:sz w:val="20"/>
                <w:szCs w:val="20"/>
              </w:rPr>
            </w:pPr>
            <w:r w:rsidRPr="00581EDB">
              <w:rPr>
                <w:sz w:val="20"/>
                <w:szCs w:val="20"/>
              </w:rPr>
              <w:t>(</w:t>
            </w:r>
            <w:r w:rsidRPr="00581EDB">
              <w:rPr>
                <w:bCs/>
                <w:sz w:val="20"/>
                <w:szCs w:val="20"/>
                <w:lang w:val="en-GB"/>
              </w:rPr>
              <w:t>800</w:t>
            </w:r>
            <w:r>
              <w:rPr>
                <w:bCs/>
                <w:sz w:val="20"/>
                <w:szCs w:val="20"/>
                <w:lang w:val="en-GB"/>
              </w:rPr>
              <w:t xml:space="preserve"> </w:t>
            </w:r>
            <w:proofErr w:type="spellStart"/>
            <w:r w:rsidRPr="00581EDB">
              <w:rPr>
                <w:bCs/>
                <w:sz w:val="20"/>
                <w:szCs w:val="20"/>
                <w:lang w:val="en-GB"/>
              </w:rPr>
              <w:t>ppm</w:t>
            </w:r>
            <w:proofErr w:type="spellEnd"/>
            <w:r w:rsidRPr="00581EDB">
              <w:rPr>
                <w:bCs/>
                <w:sz w:val="20"/>
                <w:szCs w:val="20"/>
                <w:lang w:val="en-GB"/>
              </w:rPr>
              <w:t xml:space="preserve"> CO</w:t>
            </w:r>
            <w:r w:rsidRPr="00581EDB">
              <w:rPr>
                <w:bCs/>
                <w:sz w:val="20"/>
                <w:szCs w:val="20"/>
                <w:vertAlign w:val="subscript"/>
                <w:lang w:val="en-GB"/>
              </w:rPr>
              <w:t xml:space="preserve">2 </w:t>
            </w:r>
            <w:r w:rsidRPr="00581EDB">
              <w:rPr>
                <w:bCs/>
                <w:sz w:val="20"/>
                <w:szCs w:val="20"/>
                <w:lang w:val="en-GB"/>
              </w:rPr>
              <w:t>18-22°C)</w:t>
            </w:r>
          </w:p>
        </w:tc>
        <w:tc>
          <w:tcPr>
            <w:tcW w:w="1701" w:type="dxa"/>
            <w:tcBorders>
              <w:top w:val="single" w:sz="4" w:space="0" w:color="auto"/>
              <w:bottom w:val="single" w:sz="4" w:space="0" w:color="auto"/>
            </w:tcBorders>
            <w:shd w:val="clear" w:color="auto" w:fill="auto"/>
            <w:noWrap/>
            <w:vAlign w:val="center"/>
          </w:tcPr>
          <w:p w:rsidR="008B6F6A" w:rsidRPr="00581EDB" w:rsidRDefault="008B6F6A" w:rsidP="002A6EB7">
            <w:pPr>
              <w:jc w:val="center"/>
              <w:rPr>
                <w:sz w:val="20"/>
                <w:szCs w:val="20"/>
              </w:rPr>
            </w:pPr>
            <w:r>
              <w:rPr>
                <w:sz w:val="20"/>
                <w:szCs w:val="20"/>
              </w:rPr>
              <w:t>3</w:t>
            </w:r>
          </w:p>
          <w:p w:rsidR="008B6F6A" w:rsidRPr="00581EDB" w:rsidRDefault="008B6F6A" w:rsidP="002A6EB7">
            <w:pPr>
              <w:jc w:val="center"/>
              <w:rPr>
                <w:sz w:val="20"/>
                <w:szCs w:val="20"/>
              </w:rPr>
            </w:pPr>
            <w:r w:rsidRPr="00581EDB">
              <w:rPr>
                <w:sz w:val="20"/>
                <w:szCs w:val="20"/>
              </w:rPr>
              <w:t>(</w:t>
            </w:r>
            <w:r w:rsidRPr="00581EDB">
              <w:rPr>
                <w:bCs/>
                <w:sz w:val="20"/>
                <w:szCs w:val="20"/>
                <w:lang w:val="en-GB"/>
              </w:rPr>
              <w:t>400</w:t>
            </w:r>
            <w:r>
              <w:rPr>
                <w:bCs/>
                <w:sz w:val="20"/>
                <w:szCs w:val="20"/>
                <w:lang w:val="en-GB"/>
              </w:rPr>
              <w:t xml:space="preserve"> </w:t>
            </w:r>
            <w:proofErr w:type="spellStart"/>
            <w:r w:rsidRPr="00581EDB">
              <w:rPr>
                <w:bCs/>
                <w:sz w:val="20"/>
                <w:szCs w:val="20"/>
                <w:lang w:val="en-GB"/>
              </w:rPr>
              <w:t>ppm</w:t>
            </w:r>
            <w:proofErr w:type="spellEnd"/>
            <w:r w:rsidRPr="00581EDB">
              <w:rPr>
                <w:bCs/>
                <w:sz w:val="20"/>
                <w:szCs w:val="20"/>
                <w:lang w:val="en-GB"/>
              </w:rPr>
              <w:t xml:space="preserve"> CO</w:t>
            </w:r>
            <w:r w:rsidRPr="00581EDB">
              <w:rPr>
                <w:bCs/>
                <w:sz w:val="20"/>
                <w:szCs w:val="20"/>
                <w:vertAlign w:val="subscript"/>
                <w:lang w:val="en-GB"/>
              </w:rPr>
              <w:t xml:space="preserve">2 </w:t>
            </w:r>
            <w:r w:rsidRPr="00581EDB">
              <w:rPr>
                <w:bCs/>
                <w:sz w:val="20"/>
                <w:szCs w:val="20"/>
                <w:lang w:val="en-GB"/>
              </w:rPr>
              <w:t xml:space="preserve"> 22-26°C)</w:t>
            </w:r>
          </w:p>
        </w:tc>
        <w:tc>
          <w:tcPr>
            <w:tcW w:w="1701" w:type="dxa"/>
            <w:tcBorders>
              <w:top w:val="single" w:sz="4" w:space="0" w:color="auto"/>
              <w:bottom w:val="single" w:sz="4" w:space="0" w:color="auto"/>
            </w:tcBorders>
            <w:shd w:val="clear" w:color="auto" w:fill="auto"/>
            <w:noWrap/>
            <w:vAlign w:val="center"/>
          </w:tcPr>
          <w:p w:rsidR="008B6F6A" w:rsidRPr="00581EDB" w:rsidRDefault="008B6F6A" w:rsidP="002A6EB7">
            <w:pPr>
              <w:jc w:val="center"/>
              <w:rPr>
                <w:sz w:val="20"/>
                <w:szCs w:val="20"/>
              </w:rPr>
            </w:pPr>
            <w:r>
              <w:rPr>
                <w:sz w:val="20"/>
                <w:szCs w:val="20"/>
              </w:rPr>
              <w:t>4</w:t>
            </w:r>
          </w:p>
          <w:p w:rsidR="008B6F6A" w:rsidRPr="00581EDB" w:rsidRDefault="008B6F6A" w:rsidP="002A6EB7">
            <w:pPr>
              <w:jc w:val="center"/>
              <w:rPr>
                <w:sz w:val="20"/>
                <w:szCs w:val="20"/>
              </w:rPr>
            </w:pPr>
            <w:r w:rsidRPr="00581EDB">
              <w:rPr>
                <w:sz w:val="20"/>
                <w:szCs w:val="20"/>
              </w:rPr>
              <w:t>(</w:t>
            </w:r>
            <w:r w:rsidRPr="00581EDB">
              <w:rPr>
                <w:bCs/>
                <w:sz w:val="20"/>
                <w:szCs w:val="20"/>
                <w:lang w:val="en-GB"/>
              </w:rPr>
              <w:t>400</w:t>
            </w:r>
            <w:r>
              <w:rPr>
                <w:bCs/>
                <w:sz w:val="20"/>
                <w:szCs w:val="20"/>
                <w:lang w:val="en-GB"/>
              </w:rPr>
              <w:t xml:space="preserve"> </w:t>
            </w:r>
            <w:proofErr w:type="spellStart"/>
            <w:r w:rsidRPr="00581EDB">
              <w:rPr>
                <w:bCs/>
                <w:sz w:val="20"/>
                <w:szCs w:val="20"/>
                <w:lang w:val="en-GB"/>
              </w:rPr>
              <w:t>ppm</w:t>
            </w:r>
            <w:proofErr w:type="spellEnd"/>
            <w:r w:rsidRPr="00581EDB">
              <w:rPr>
                <w:bCs/>
                <w:sz w:val="20"/>
                <w:szCs w:val="20"/>
                <w:lang w:val="en-GB"/>
              </w:rPr>
              <w:t xml:space="preserve"> CO</w:t>
            </w:r>
            <w:r w:rsidRPr="00581EDB">
              <w:rPr>
                <w:bCs/>
                <w:sz w:val="20"/>
                <w:szCs w:val="20"/>
                <w:vertAlign w:val="subscript"/>
                <w:lang w:val="en-GB"/>
              </w:rPr>
              <w:t xml:space="preserve">2 </w:t>
            </w:r>
            <w:r w:rsidRPr="00581EDB">
              <w:rPr>
                <w:bCs/>
                <w:sz w:val="20"/>
                <w:szCs w:val="20"/>
                <w:lang w:val="en-GB"/>
              </w:rPr>
              <w:t xml:space="preserve"> 18-22°C)</w:t>
            </w:r>
          </w:p>
        </w:tc>
      </w:tr>
      <w:tr w:rsidR="008B6F6A" w:rsidRPr="00581EDB" w:rsidTr="002A6EB7">
        <w:trPr>
          <w:trHeight w:val="255"/>
        </w:trPr>
        <w:tc>
          <w:tcPr>
            <w:tcW w:w="1153" w:type="dxa"/>
            <w:vMerge w:val="restart"/>
            <w:tcBorders>
              <w:top w:val="single" w:sz="4" w:space="0" w:color="auto"/>
            </w:tcBorders>
            <w:vAlign w:val="center"/>
          </w:tcPr>
          <w:p w:rsidR="008B6F6A" w:rsidRPr="00581EDB" w:rsidRDefault="008B6F6A" w:rsidP="002A6EB7">
            <w:pPr>
              <w:jc w:val="center"/>
              <w:rPr>
                <w:sz w:val="20"/>
                <w:szCs w:val="20"/>
              </w:rPr>
            </w:pPr>
            <w:r>
              <w:rPr>
                <w:lang w:val="en-GB"/>
              </w:rPr>
              <w:t xml:space="preserve">Infested </w:t>
            </w:r>
            <w:r w:rsidRPr="00581EDB">
              <w:t>sample</w:t>
            </w:r>
            <w:r>
              <w:t>s</w:t>
            </w:r>
          </w:p>
        </w:tc>
        <w:tc>
          <w:tcPr>
            <w:tcW w:w="1134" w:type="dxa"/>
            <w:tcBorders>
              <w:top w:val="single" w:sz="4" w:space="0" w:color="auto"/>
            </w:tcBorders>
            <w:shd w:val="clear" w:color="auto" w:fill="auto"/>
            <w:noWrap/>
            <w:vAlign w:val="bottom"/>
          </w:tcPr>
          <w:p w:rsidR="008B6F6A" w:rsidRPr="00581EDB" w:rsidRDefault="008B6F6A" w:rsidP="002A6EB7">
            <w:pPr>
              <w:jc w:val="center"/>
              <w:rPr>
                <w:sz w:val="20"/>
                <w:szCs w:val="20"/>
              </w:rPr>
            </w:pPr>
            <w:r w:rsidRPr="00581EDB">
              <w:rPr>
                <w:sz w:val="20"/>
                <w:szCs w:val="20"/>
              </w:rPr>
              <w:t>7</w:t>
            </w:r>
          </w:p>
        </w:tc>
        <w:tc>
          <w:tcPr>
            <w:tcW w:w="1701" w:type="dxa"/>
            <w:tcBorders>
              <w:top w:val="single" w:sz="4" w:space="0" w:color="auto"/>
            </w:tcBorders>
            <w:shd w:val="clear" w:color="auto" w:fill="auto"/>
            <w:noWrap/>
            <w:vAlign w:val="center"/>
          </w:tcPr>
          <w:p w:rsidR="008B6F6A" w:rsidRPr="00581EDB" w:rsidRDefault="008B6F6A" w:rsidP="002A6EB7">
            <w:pPr>
              <w:jc w:val="center"/>
              <w:rPr>
                <w:color w:val="000000"/>
                <w:sz w:val="20"/>
                <w:szCs w:val="20"/>
              </w:rPr>
            </w:pPr>
            <w:r>
              <w:rPr>
                <w:color w:val="000000"/>
                <w:sz w:val="20"/>
                <w:szCs w:val="20"/>
              </w:rPr>
              <w:t>32.10</w:t>
            </w:r>
            <w:r w:rsidRPr="00581EDB">
              <w:rPr>
                <w:color w:val="000000"/>
                <w:sz w:val="20"/>
                <w:szCs w:val="20"/>
              </w:rPr>
              <w:t>±</w:t>
            </w:r>
            <w:r>
              <w:rPr>
                <w:color w:val="000000"/>
                <w:sz w:val="20"/>
                <w:szCs w:val="20"/>
              </w:rPr>
              <w:t>3.77</w:t>
            </w:r>
            <w:r w:rsidRPr="00581EDB">
              <w:rPr>
                <w:sz w:val="20"/>
                <w:szCs w:val="20"/>
                <w:vertAlign w:val="superscript"/>
              </w:rPr>
              <w:t xml:space="preserve"> </w:t>
            </w:r>
            <w:proofErr w:type="spellStart"/>
            <w:r w:rsidRPr="00581EDB">
              <w:rPr>
                <w:sz w:val="20"/>
                <w:szCs w:val="20"/>
                <w:vertAlign w:val="superscript"/>
              </w:rPr>
              <w:t>a</w:t>
            </w:r>
            <w:r>
              <w:rPr>
                <w:sz w:val="20"/>
                <w:szCs w:val="20"/>
                <w:vertAlign w:val="superscript"/>
              </w:rPr>
              <w:t>bA</w:t>
            </w:r>
            <w:proofErr w:type="spellEnd"/>
          </w:p>
        </w:tc>
        <w:tc>
          <w:tcPr>
            <w:tcW w:w="1701" w:type="dxa"/>
            <w:tcBorders>
              <w:top w:val="single" w:sz="4" w:space="0" w:color="auto"/>
            </w:tcBorders>
            <w:shd w:val="clear" w:color="auto" w:fill="auto"/>
            <w:noWrap/>
            <w:vAlign w:val="center"/>
          </w:tcPr>
          <w:p w:rsidR="008B6F6A" w:rsidRPr="00581EDB" w:rsidRDefault="008B6F6A" w:rsidP="002A6EB7">
            <w:pPr>
              <w:jc w:val="center"/>
              <w:rPr>
                <w:color w:val="000000"/>
                <w:sz w:val="20"/>
                <w:szCs w:val="20"/>
              </w:rPr>
            </w:pPr>
            <w:r>
              <w:rPr>
                <w:color w:val="000000"/>
                <w:sz w:val="20"/>
                <w:szCs w:val="20"/>
              </w:rPr>
              <w:t>30.58</w:t>
            </w:r>
            <w:r w:rsidRPr="00581EDB">
              <w:rPr>
                <w:color w:val="000000"/>
                <w:sz w:val="20"/>
                <w:szCs w:val="20"/>
              </w:rPr>
              <w:t>±</w:t>
            </w:r>
            <w:r>
              <w:rPr>
                <w:color w:val="000000"/>
                <w:sz w:val="20"/>
                <w:szCs w:val="20"/>
              </w:rPr>
              <w:t>12.68</w:t>
            </w:r>
            <w:r w:rsidRPr="00581EDB">
              <w:rPr>
                <w:sz w:val="20"/>
                <w:szCs w:val="20"/>
                <w:vertAlign w:val="superscript"/>
              </w:rPr>
              <w:t xml:space="preserve"> </w:t>
            </w:r>
            <w:proofErr w:type="spellStart"/>
            <w:r w:rsidRPr="00581EDB">
              <w:rPr>
                <w:sz w:val="20"/>
                <w:szCs w:val="20"/>
                <w:vertAlign w:val="superscript"/>
              </w:rPr>
              <w:t>a</w:t>
            </w:r>
            <w:r>
              <w:rPr>
                <w:sz w:val="20"/>
                <w:szCs w:val="20"/>
                <w:vertAlign w:val="superscript"/>
              </w:rPr>
              <w:t>bA</w:t>
            </w:r>
            <w:proofErr w:type="spellEnd"/>
          </w:p>
        </w:tc>
        <w:tc>
          <w:tcPr>
            <w:tcW w:w="1701" w:type="dxa"/>
            <w:tcBorders>
              <w:top w:val="single" w:sz="4" w:space="0" w:color="auto"/>
            </w:tcBorders>
            <w:shd w:val="clear" w:color="auto" w:fill="auto"/>
            <w:noWrap/>
            <w:vAlign w:val="center"/>
          </w:tcPr>
          <w:p w:rsidR="008B6F6A" w:rsidRPr="00581EDB" w:rsidRDefault="008B6F6A" w:rsidP="002A6EB7">
            <w:pPr>
              <w:jc w:val="center"/>
              <w:rPr>
                <w:color w:val="000000"/>
                <w:sz w:val="20"/>
                <w:szCs w:val="20"/>
              </w:rPr>
            </w:pPr>
            <w:r>
              <w:rPr>
                <w:color w:val="000000"/>
                <w:sz w:val="20"/>
                <w:szCs w:val="20"/>
              </w:rPr>
              <w:t>45.89</w:t>
            </w:r>
            <w:r w:rsidRPr="00581EDB">
              <w:rPr>
                <w:color w:val="000000"/>
                <w:sz w:val="20"/>
                <w:szCs w:val="20"/>
              </w:rPr>
              <w:t>±</w:t>
            </w:r>
            <w:r>
              <w:rPr>
                <w:color w:val="000000"/>
                <w:sz w:val="20"/>
                <w:szCs w:val="20"/>
              </w:rPr>
              <w:t>5.01</w:t>
            </w:r>
            <w:r w:rsidRPr="00581EDB">
              <w:rPr>
                <w:sz w:val="20"/>
                <w:szCs w:val="20"/>
                <w:vertAlign w:val="superscript"/>
              </w:rPr>
              <w:t xml:space="preserve"> </w:t>
            </w:r>
            <w:proofErr w:type="spellStart"/>
            <w:r>
              <w:rPr>
                <w:sz w:val="20"/>
                <w:szCs w:val="20"/>
                <w:vertAlign w:val="superscript"/>
              </w:rPr>
              <w:t>bAB</w:t>
            </w:r>
            <w:proofErr w:type="spellEnd"/>
          </w:p>
        </w:tc>
        <w:tc>
          <w:tcPr>
            <w:tcW w:w="1701" w:type="dxa"/>
            <w:tcBorders>
              <w:top w:val="single" w:sz="4" w:space="0" w:color="auto"/>
            </w:tcBorders>
            <w:shd w:val="clear" w:color="auto" w:fill="auto"/>
            <w:noWrap/>
            <w:vAlign w:val="center"/>
          </w:tcPr>
          <w:p w:rsidR="008B6F6A" w:rsidRPr="00581EDB" w:rsidRDefault="008B6F6A" w:rsidP="002A6EB7">
            <w:pPr>
              <w:jc w:val="center"/>
              <w:rPr>
                <w:color w:val="000000"/>
                <w:sz w:val="20"/>
                <w:szCs w:val="20"/>
              </w:rPr>
            </w:pPr>
            <w:r>
              <w:rPr>
                <w:color w:val="000000"/>
                <w:sz w:val="20"/>
                <w:szCs w:val="20"/>
              </w:rPr>
              <w:t>50.98</w:t>
            </w:r>
            <w:r w:rsidRPr="00581EDB">
              <w:rPr>
                <w:color w:val="000000"/>
                <w:sz w:val="20"/>
                <w:szCs w:val="20"/>
              </w:rPr>
              <w:t>±</w:t>
            </w:r>
            <w:r>
              <w:rPr>
                <w:sz w:val="20"/>
                <w:szCs w:val="20"/>
              </w:rPr>
              <w:t>6.30</w:t>
            </w:r>
            <w:r>
              <w:rPr>
                <w:sz w:val="20"/>
                <w:szCs w:val="20"/>
                <w:vertAlign w:val="superscript"/>
              </w:rPr>
              <w:t>bAB</w:t>
            </w:r>
          </w:p>
        </w:tc>
      </w:tr>
      <w:tr w:rsidR="008B6F6A" w:rsidRPr="00581EDB" w:rsidTr="002A6EB7">
        <w:trPr>
          <w:trHeight w:val="255"/>
        </w:trPr>
        <w:tc>
          <w:tcPr>
            <w:tcW w:w="1153" w:type="dxa"/>
            <w:vMerge/>
          </w:tcPr>
          <w:p w:rsidR="008B6F6A" w:rsidRPr="00581EDB" w:rsidRDefault="008B6F6A" w:rsidP="002A6EB7">
            <w:pPr>
              <w:jc w:val="center"/>
              <w:rPr>
                <w:sz w:val="20"/>
                <w:szCs w:val="20"/>
              </w:rPr>
            </w:pPr>
          </w:p>
        </w:tc>
        <w:tc>
          <w:tcPr>
            <w:tcW w:w="1134" w:type="dxa"/>
            <w:shd w:val="clear" w:color="auto" w:fill="auto"/>
            <w:noWrap/>
            <w:vAlign w:val="bottom"/>
          </w:tcPr>
          <w:p w:rsidR="008B6F6A" w:rsidRPr="00581EDB" w:rsidRDefault="008B6F6A" w:rsidP="002A6EB7">
            <w:pPr>
              <w:jc w:val="center"/>
              <w:rPr>
                <w:sz w:val="20"/>
                <w:szCs w:val="20"/>
              </w:rPr>
            </w:pPr>
            <w:r w:rsidRPr="00581EDB">
              <w:rPr>
                <w:sz w:val="20"/>
                <w:szCs w:val="20"/>
              </w:rPr>
              <w:t>14</w:t>
            </w:r>
          </w:p>
        </w:tc>
        <w:tc>
          <w:tcPr>
            <w:tcW w:w="1701" w:type="dxa"/>
            <w:shd w:val="clear" w:color="auto" w:fill="auto"/>
            <w:noWrap/>
            <w:vAlign w:val="center"/>
          </w:tcPr>
          <w:p w:rsidR="008B6F6A" w:rsidRPr="00581EDB" w:rsidRDefault="008B6F6A" w:rsidP="002A6EB7">
            <w:pPr>
              <w:jc w:val="center"/>
              <w:rPr>
                <w:color w:val="000000"/>
                <w:sz w:val="20"/>
                <w:szCs w:val="20"/>
              </w:rPr>
            </w:pPr>
            <w:r>
              <w:rPr>
                <w:color w:val="000000"/>
                <w:sz w:val="20"/>
                <w:szCs w:val="20"/>
              </w:rPr>
              <w:t>53.67</w:t>
            </w:r>
            <w:r w:rsidRPr="00581EDB">
              <w:rPr>
                <w:color w:val="000000"/>
                <w:sz w:val="20"/>
                <w:szCs w:val="20"/>
              </w:rPr>
              <w:t>±</w:t>
            </w:r>
            <w:r>
              <w:rPr>
                <w:sz w:val="20"/>
                <w:szCs w:val="20"/>
              </w:rPr>
              <w:t>3</w:t>
            </w:r>
            <w:r w:rsidRPr="00581EDB">
              <w:rPr>
                <w:sz w:val="20"/>
                <w:szCs w:val="20"/>
              </w:rPr>
              <w:t>.</w:t>
            </w:r>
            <w:r>
              <w:rPr>
                <w:sz w:val="20"/>
                <w:szCs w:val="20"/>
              </w:rPr>
              <w:t>01</w:t>
            </w:r>
            <w:r w:rsidRPr="00581EDB">
              <w:rPr>
                <w:sz w:val="20"/>
                <w:szCs w:val="20"/>
                <w:vertAlign w:val="superscript"/>
              </w:rPr>
              <w:t xml:space="preserve"> </w:t>
            </w:r>
            <w:proofErr w:type="spellStart"/>
            <w:r>
              <w:rPr>
                <w:sz w:val="20"/>
                <w:szCs w:val="20"/>
                <w:vertAlign w:val="superscript"/>
              </w:rPr>
              <w:t>cA</w:t>
            </w:r>
            <w:proofErr w:type="spellEnd"/>
          </w:p>
        </w:tc>
        <w:tc>
          <w:tcPr>
            <w:tcW w:w="1701" w:type="dxa"/>
            <w:shd w:val="clear" w:color="auto" w:fill="auto"/>
            <w:noWrap/>
            <w:vAlign w:val="center"/>
          </w:tcPr>
          <w:p w:rsidR="008B6F6A" w:rsidRPr="00581EDB" w:rsidRDefault="008B6F6A" w:rsidP="002A6EB7">
            <w:pPr>
              <w:jc w:val="center"/>
              <w:rPr>
                <w:color w:val="000000"/>
                <w:sz w:val="20"/>
                <w:szCs w:val="20"/>
              </w:rPr>
            </w:pPr>
            <w:r>
              <w:rPr>
                <w:color w:val="000000"/>
                <w:sz w:val="20"/>
                <w:szCs w:val="20"/>
              </w:rPr>
              <w:t>55.21</w:t>
            </w:r>
            <w:r w:rsidRPr="00581EDB">
              <w:rPr>
                <w:color w:val="000000"/>
                <w:sz w:val="20"/>
                <w:szCs w:val="20"/>
              </w:rPr>
              <w:t>±</w:t>
            </w:r>
            <w:r w:rsidRPr="00581EDB">
              <w:rPr>
                <w:sz w:val="20"/>
                <w:szCs w:val="20"/>
              </w:rPr>
              <w:t>0.</w:t>
            </w:r>
            <w:r>
              <w:rPr>
                <w:sz w:val="20"/>
                <w:szCs w:val="20"/>
              </w:rPr>
              <w:t>63</w:t>
            </w:r>
            <w:r w:rsidRPr="00581EDB">
              <w:rPr>
                <w:sz w:val="20"/>
                <w:szCs w:val="20"/>
                <w:vertAlign w:val="superscript"/>
              </w:rPr>
              <w:t xml:space="preserve"> </w:t>
            </w:r>
            <w:proofErr w:type="spellStart"/>
            <w:r>
              <w:rPr>
                <w:sz w:val="20"/>
                <w:szCs w:val="20"/>
                <w:vertAlign w:val="superscript"/>
              </w:rPr>
              <w:t>cA</w:t>
            </w:r>
            <w:proofErr w:type="spellEnd"/>
          </w:p>
        </w:tc>
        <w:tc>
          <w:tcPr>
            <w:tcW w:w="1701" w:type="dxa"/>
            <w:shd w:val="clear" w:color="auto" w:fill="auto"/>
            <w:noWrap/>
            <w:vAlign w:val="center"/>
          </w:tcPr>
          <w:p w:rsidR="008B6F6A" w:rsidRPr="00581EDB" w:rsidRDefault="008B6F6A" w:rsidP="002A6EB7">
            <w:pPr>
              <w:jc w:val="center"/>
              <w:rPr>
                <w:color w:val="000000"/>
                <w:sz w:val="20"/>
                <w:szCs w:val="20"/>
              </w:rPr>
            </w:pPr>
            <w:r>
              <w:rPr>
                <w:color w:val="000000"/>
                <w:sz w:val="20"/>
                <w:szCs w:val="20"/>
              </w:rPr>
              <w:t>100.28</w:t>
            </w:r>
            <w:r w:rsidRPr="00581EDB">
              <w:rPr>
                <w:color w:val="000000"/>
                <w:sz w:val="20"/>
                <w:szCs w:val="20"/>
              </w:rPr>
              <w:t>±</w:t>
            </w:r>
            <w:r>
              <w:rPr>
                <w:sz w:val="20"/>
                <w:szCs w:val="20"/>
              </w:rPr>
              <w:t>0.09</w:t>
            </w:r>
            <w:r w:rsidRPr="00581EDB">
              <w:rPr>
                <w:sz w:val="20"/>
                <w:szCs w:val="20"/>
                <w:vertAlign w:val="superscript"/>
              </w:rPr>
              <w:t xml:space="preserve"> </w:t>
            </w:r>
            <w:proofErr w:type="spellStart"/>
            <w:r>
              <w:rPr>
                <w:sz w:val="20"/>
                <w:szCs w:val="20"/>
                <w:vertAlign w:val="superscript"/>
              </w:rPr>
              <w:t>cC</w:t>
            </w:r>
            <w:proofErr w:type="spellEnd"/>
          </w:p>
        </w:tc>
        <w:tc>
          <w:tcPr>
            <w:tcW w:w="1701" w:type="dxa"/>
            <w:shd w:val="clear" w:color="auto" w:fill="auto"/>
            <w:noWrap/>
            <w:vAlign w:val="center"/>
          </w:tcPr>
          <w:p w:rsidR="008B6F6A" w:rsidRPr="00581EDB" w:rsidRDefault="008B6F6A" w:rsidP="002A6EB7">
            <w:pPr>
              <w:jc w:val="center"/>
              <w:rPr>
                <w:color w:val="000000"/>
                <w:sz w:val="20"/>
                <w:szCs w:val="20"/>
              </w:rPr>
            </w:pPr>
            <w:r>
              <w:rPr>
                <w:color w:val="000000"/>
                <w:sz w:val="20"/>
                <w:szCs w:val="20"/>
              </w:rPr>
              <w:t>87.21</w:t>
            </w:r>
            <w:r w:rsidRPr="00581EDB">
              <w:rPr>
                <w:color w:val="000000"/>
                <w:sz w:val="20"/>
                <w:szCs w:val="20"/>
              </w:rPr>
              <w:t>±</w:t>
            </w:r>
            <w:r>
              <w:rPr>
                <w:sz w:val="20"/>
                <w:szCs w:val="20"/>
              </w:rPr>
              <w:t>5.89</w:t>
            </w:r>
            <w:r w:rsidRPr="00581EDB">
              <w:rPr>
                <w:sz w:val="20"/>
                <w:szCs w:val="20"/>
                <w:vertAlign w:val="superscript"/>
              </w:rPr>
              <w:t xml:space="preserve"> </w:t>
            </w:r>
            <w:proofErr w:type="spellStart"/>
            <w:r>
              <w:rPr>
                <w:sz w:val="20"/>
                <w:szCs w:val="20"/>
                <w:vertAlign w:val="superscript"/>
              </w:rPr>
              <w:t>cAB</w:t>
            </w:r>
            <w:proofErr w:type="spellEnd"/>
          </w:p>
        </w:tc>
      </w:tr>
      <w:tr w:rsidR="008B6F6A" w:rsidRPr="00581EDB" w:rsidTr="002A6EB7">
        <w:trPr>
          <w:trHeight w:val="255"/>
        </w:trPr>
        <w:tc>
          <w:tcPr>
            <w:tcW w:w="1153" w:type="dxa"/>
            <w:vMerge/>
          </w:tcPr>
          <w:p w:rsidR="008B6F6A" w:rsidRPr="00581EDB" w:rsidRDefault="008B6F6A" w:rsidP="002A6EB7">
            <w:pPr>
              <w:jc w:val="center"/>
              <w:rPr>
                <w:sz w:val="20"/>
                <w:szCs w:val="20"/>
              </w:rPr>
            </w:pPr>
          </w:p>
        </w:tc>
        <w:tc>
          <w:tcPr>
            <w:tcW w:w="1134" w:type="dxa"/>
            <w:shd w:val="clear" w:color="auto" w:fill="auto"/>
            <w:noWrap/>
            <w:vAlign w:val="bottom"/>
          </w:tcPr>
          <w:p w:rsidR="008B6F6A" w:rsidRPr="00CA2CA4" w:rsidRDefault="008B6F6A" w:rsidP="002A6EB7">
            <w:pPr>
              <w:jc w:val="center"/>
              <w:rPr>
                <w:sz w:val="20"/>
                <w:szCs w:val="20"/>
              </w:rPr>
            </w:pPr>
            <w:r w:rsidRPr="00CA2CA4">
              <w:rPr>
                <w:sz w:val="20"/>
                <w:szCs w:val="20"/>
              </w:rPr>
              <w:t>21</w:t>
            </w:r>
          </w:p>
        </w:tc>
        <w:tc>
          <w:tcPr>
            <w:tcW w:w="1701" w:type="dxa"/>
            <w:shd w:val="clear" w:color="auto" w:fill="auto"/>
            <w:noWrap/>
            <w:vAlign w:val="center"/>
          </w:tcPr>
          <w:p w:rsidR="008B6F6A" w:rsidRPr="00CA2CA4" w:rsidRDefault="008B6F6A" w:rsidP="002A6EB7">
            <w:pPr>
              <w:jc w:val="center"/>
              <w:rPr>
                <w:color w:val="000000"/>
                <w:sz w:val="20"/>
                <w:szCs w:val="20"/>
              </w:rPr>
            </w:pPr>
            <w:r>
              <w:rPr>
                <w:color w:val="000000"/>
                <w:sz w:val="20"/>
                <w:szCs w:val="20"/>
              </w:rPr>
              <w:t>31.99</w:t>
            </w:r>
            <w:r w:rsidRPr="00CA2CA4">
              <w:rPr>
                <w:color w:val="000000"/>
                <w:sz w:val="20"/>
                <w:szCs w:val="20"/>
              </w:rPr>
              <w:t>±</w:t>
            </w:r>
            <w:r>
              <w:rPr>
                <w:sz w:val="20"/>
                <w:szCs w:val="20"/>
              </w:rPr>
              <w:t>9.11</w:t>
            </w:r>
            <w:r w:rsidRPr="00CA2CA4">
              <w:rPr>
                <w:sz w:val="20"/>
                <w:szCs w:val="20"/>
                <w:vertAlign w:val="superscript"/>
              </w:rPr>
              <w:t xml:space="preserve"> </w:t>
            </w:r>
            <w:proofErr w:type="spellStart"/>
            <w:r w:rsidRPr="00CA2CA4">
              <w:rPr>
                <w:sz w:val="20"/>
                <w:szCs w:val="20"/>
                <w:vertAlign w:val="superscript"/>
              </w:rPr>
              <w:t>a</w:t>
            </w:r>
            <w:r>
              <w:rPr>
                <w:sz w:val="20"/>
                <w:szCs w:val="20"/>
                <w:vertAlign w:val="superscript"/>
              </w:rPr>
              <w:t>bA</w:t>
            </w:r>
            <w:proofErr w:type="spellEnd"/>
          </w:p>
        </w:tc>
        <w:tc>
          <w:tcPr>
            <w:tcW w:w="1701" w:type="dxa"/>
            <w:shd w:val="clear" w:color="auto" w:fill="auto"/>
            <w:noWrap/>
            <w:vAlign w:val="center"/>
          </w:tcPr>
          <w:p w:rsidR="008B6F6A" w:rsidRPr="00CA2CA4" w:rsidRDefault="008B6F6A" w:rsidP="002A6EB7">
            <w:pPr>
              <w:jc w:val="center"/>
              <w:rPr>
                <w:color w:val="000000"/>
                <w:sz w:val="20"/>
                <w:szCs w:val="20"/>
              </w:rPr>
            </w:pPr>
            <w:r>
              <w:rPr>
                <w:color w:val="000000"/>
                <w:sz w:val="20"/>
                <w:szCs w:val="20"/>
              </w:rPr>
              <w:t>43.80</w:t>
            </w:r>
            <w:r w:rsidRPr="00CA2CA4">
              <w:rPr>
                <w:color w:val="000000"/>
                <w:sz w:val="20"/>
                <w:szCs w:val="20"/>
              </w:rPr>
              <w:t>±</w:t>
            </w:r>
            <w:r>
              <w:rPr>
                <w:sz w:val="20"/>
                <w:szCs w:val="20"/>
              </w:rPr>
              <w:t>3.40</w:t>
            </w:r>
            <w:r w:rsidRPr="00CA2CA4">
              <w:rPr>
                <w:sz w:val="20"/>
                <w:szCs w:val="20"/>
                <w:vertAlign w:val="superscript"/>
              </w:rPr>
              <w:t xml:space="preserve"> </w:t>
            </w:r>
            <w:proofErr w:type="spellStart"/>
            <w:r>
              <w:rPr>
                <w:sz w:val="20"/>
                <w:szCs w:val="20"/>
                <w:vertAlign w:val="superscript"/>
              </w:rPr>
              <w:t>bcA</w:t>
            </w:r>
            <w:proofErr w:type="spellEnd"/>
          </w:p>
        </w:tc>
        <w:tc>
          <w:tcPr>
            <w:tcW w:w="1701" w:type="dxa"/>
            <w:shd w:val="clear" w:color="auto" w:fill="auto"/>
            <w:noWrap/>
            <w:vAlign w:val="center"/>
          </w:tcPr>
          <w:p w:rsidR="008B6F6A" w:rsidRPr="00CA2CA4" w:rsidRDefault="008B6F6A" w:rsidP="002A6EB7">
            <w:pPr>
              <w:jc w:val="center"/>
              <w:rPr>
                <w:color w:val="000000"/>
                <w:sz w:val="20"/>
                <w:szCs w:val="20"/>
              </w:rPr>
            </w:pPr>
            <w:r>
              <w:rPr>
                <w:color w:val="000000"/>
                <w:sz w:val="20"/>
                <w:szCs w:val="20"/>
              </w:rPr>
              <w:t>43.95</w:t>
            </w:r>
            <w:r w:rsidRPr="00CA2CA4">
              <w:rPr>
                <w:color w:val="000000"/>
                <w:sz w:val="20"/>
                <w:szCs w:val="20"/>
              </w:rPr>
              <w:t>±</w:t>
            </w:r>
            <w:r>
              <w:rPr>
                <w:sz w:val="20"/>
                <w:szCs w:val="20"/>
              </w:rPr>
              <w:t>8.83</w:t>
            </w:r>
            <w:r>
              <w:rPr>
                <w:sz w:val="20"/>
                <w:szCs w:val="20"/>
                <w:vertAlign w:val="superscript"/>
              </w:rPr>
              <w:t>bA</w:t>
            </w:r>
          </w:p>
        </w:tc>
        <w:tc>
          <w:tcPr>
            <w:tcW w:w="1701" w:type="dxa"/>
            <w:shd w:val="clear" w:color="auto" w:fill="auto"/>
            <w:noWrap/>
            <w:vAlign w:val="center"/>
          </w:tcPr>
          <w:p w:rsidR="008B6F6A" w:rsidRPr="00CA2CA4" w:rsidRDefault="008B6F6A" w:rsidP="002A6EB7">
            <w:pPr>
              <w:jc w:val="center"/>
              <w:rPr>
                <w:color w:val="000000"/>
                <w:sz w:val="20"/>
                <w:szCs w:val="20"/>
              </w:rPr>
            </w:pPr>
            <w:r>
              <w:rPr>
                <w:color w:val="000000"/>
                <w:sz w:val="20"/>
                <w:szCs w:val="20"/>
              </w:rPr>
              <w:t>47.27</w:t>
            </w:r>
            <w:r w:rsidRPr="00CA2CA4">
              <w:rPr>
                <w:color w:val="000000"/>
                <w:sz w:val="20"/>
                <w:szCs w:val="20"/>
              </w:rPr>
              <w:t>±</w:t>
            </w:r>
            <w:r>
              <w:rPr>
                <w:sz w:val="20"/>
                <w:szCs w:val="20"/>
              </w:rPr>
              <w:t>8.84</w:t>
            </w:r>
            <w:r w:rsidRPr="00CA2CA4">
              <w:rPr>
                <w:sz w:val="20"/>
                <w:szCs w:val="20"/>
                <w:vertAlign w:val="superscript"/>
              </w:rPr>
              <w:t xml:space="preserve"> </w:t>
            </w:r>
            <w:proofErr w:type="spellStart"/>
            <w:r>
              <w:rPr>
                <w:sz w:val="20"/>
                <w:szCs w:val="20"/>
                <w:vertAlign w:val="superscript"/>
              </w:rPr>
              <w:t>bA</w:t>
            </w:r>
            <w:proofErr w:type="spellEnd"/>
          </w:p>
        </w:tc>
      </w:tr>
      <w:tr w:rsidR="008B6F6A" w:rsidRPr="00981B8A" w:rsidTr="002A6EB7">
        <w:trPr>
          <w:trHeight w:val="255"/>
        </w:trPr>
        <w:tc>
          <w:tcPr>
            <w:tcW w:w="1153" w:type="dxa"/>
            <w:vMerge/>
          </w:tcPr>
          <w:p w:rsidR="008B6F6A" w:rsidRPr="00581EDB" w:rsidRDefault="008B6F6A" w:rsidP="002A6EB7">
            <w:pPr>
              <w:jc w:val="center"/>
              <w:rPr>
                <w:sz w:val="20"/>
                <w:szCs w:val="20"/>
              </w:rPr>
            </w:pPr>
          </w:p>
        </w:tc>
        <w:tc>
          <w:tcPr>
            <w:tcW w:w="1134" w:type="dxa"/>
            <w:shd w:val="clear" w:color="auto" w:fill="auto"/>
            <w:noWrap/>
            <w:vAlign w:val="bottom"/>
          </w:tcPr>
          <w:p w:rsidR="008B6F6A" w:rsidRPr="00CA2CA4" w:rsidRDefault="008B6F6A" w:rsidP="002A6EB7">
            <w:pPr>
              <w:jc w:val="center"/>
              <w:rPr>
                <w:sz w:val="20"/>
                <w:szCs w:val="20"/>
              </w:rPr>
            </w:pPr>
            <w:r w:rsidRPr="00CA2CA4">
              <w:rPr>
                <w:sz w:val="20"/>
                <w:szCs w:val="20"/>
              </w:rPr>
              <w:t>28</w:t>
            </w:r>
          </w:p>
        </w:tc>
        <w:tc>
          <w:tcPr>
            <w:tcW w:w="1701" w:type="dxa"/>
            <w:shd w:val="clear" w:color="auto" w:fill="auto"/>
            <w:noWrap/>
            <w:vAlign w:val="center"/>
          </w:tcPr>
          <w:p w:rsidR="008B6F6A" w:rsidRPr="00CA2CA4" w:rsidRDefault="008B6F6A" w:rsidP="002A6EB7">
            <w:pPr>
              <w:jc w:val="center"/>
              <w:rPr>
                <w:color w:val="000000"/>
                <w:sz w:val="20"/>
                <w:szCs w:val="20"/>
              </w:rPr>
            </w:pPr>
            <w:r>
              <w:rPr>
                <w:color w:val="000000"/>
                <w:sz w:val="20"/>
                <w:szCs w:val="20"/>
              </w:rPr>
              <w:t>5.18</w:t>
            </w:r>
            <w:r w:rsidRPr="00CA2CA4">
              <w:rPr>
                <w:color w:val="000000"/>
                <w:sz w:val="20"/>
                <w:szCs w:val="20"/>
              </w:rPr>
              <w:t>±</w:t>
            </w:r>
            <w:r>
              <w:rPr>
                <w:sz w:val="20"/>
                <w:szCs w:val="20"/>
              </w:rPr>
              <w:t>1.93</w:t>
            </w:r>
            <w:r w:rsidRPr="00CA2CA4">
              <w:rPr>
                <w:sz w:val="20"/>
                <w:szCs w:val="20"/>
                <w:vertAlign w:val="superscript"/>
              </w:rPr>
              <w:t xml:space="preserve"> </w:t>
            </w:r>
            <w:proofErr w:type="spellStart"/>
            <w:r w:rsidRPr="00CA2CA4">
              <w:rPr>
                <w:sz w:val="20"/>
                <w:szCs w:val="20"/>
                <w:vertAlign w:val="superscript"/>
              </w:rPr>
              <w:t>a</w:t>
            </w:r>
            <w:r>
              <w:rPr>
                <w:sz w:val="20"/>
                <w:szCs w:val="20"/>
                <w:vertAlign w:val="superscript"/>
              </w:rPr>
              <w:t>A</w:t>
            </w:r>
            <w:proofErr w:type="spellEnd"/>
          </w:p>
        </w:tc>
        <w:tc>
          <w:tcPr>
            <w:tcW w:w="1701" w:type="dxa"/>
            <w:shd w:val="clear" w:color="auto" w:fill="auto"/>
            <w:noWrap/>
            <w:vAlign w:val="center"/>
          </w:tcPr>
          <w:p w:rsidR="008B6F6A" w:rsidRPr="00CA2CA4" w:rsidRDefault="008B6F6A" w:rsidP="002A6EB7">
            <w:pPr>
              <w:jc w:val="center"/>
              <w:rPr>
                <w:color w:val="000000"/>
                <w:sz w:val="20"/>
                <w:szCs w:val="20"/>
              </w:rPr>
            </w:pPr>
            <w:r>
              <w:rPr>
                <w:color w:val="000000"/>
                <w:sz w:val="20"/>
                <w:szCs w:val="20"/>
              </w:rPr>
              <w:t>13.11</w:t>
            </w:r>
            <w:r w:rsidRPr="00CA2CA4">
              <w:rPr>
                <w:color w:val="000000"/>
                <w:sz w:val="20"/>
                <w:szCs w:val="20"/>
              </w:rPr>
              <w:t>±</w:t>
            </w:r>
            <w:r w:rsidRPr="00CA2CA4">
              <w:rPr>
                <w:sz w:val="20"/>
                <w:szCs w:val="20"/>
              </w:rPr>
              <w:t>0.</w:t>
            </w:r>
            <w:r>
              <w:rPr>
                <w:sz w:val="20"/>
                <w:szCs w:val="20"/>
              </w:rPr>
              <w:t>13</w:t>
            </w:r>
            <w:r w:rsidRPr="00CA2CA4">
              <w:rPr>
                <w:sz w:val="20"/>
                <w:szCs w:val="20"/>
                <w:vertAlign w:val="superscript"/>
              </w:rPr>
              <w:t xml:space="preserve"> </w:t>
            </w:r>
            <w:proofErr w:type="spellStart"/>
            <w:r w:rsidRPr="00CA2CA4">
              <w:rPr>
                <w:sz w:val="20"/>
                <w:szCs w:val="20"/>
                <w:vertAlign w:val="superscript"/>
              </w:rPr>
              <w:t>a</w:t>
            </w:r>
            <w:r>
              <w:rPr>
                <w:sz w:val="20"/>
                <w:szCs w:val="20"/>
                <w:vertAlign w:val="superscript"/>
              </w:rPr>
              <w:t>B</w:t>
            </w:r>
            <w:proofErr w:type="spellEnd"/>
          </w:p>
        </w:tc>
        <w:tc>
          <w:tcPr>
            <w:tcW w:w="1701" w:type="dxa"/>
            <w:shd w:val="clear" w:color="auto" w:fill="auto"/>
            <w:noWrap/>
            <w:vAlign w:val="center"/>
          </w:tcPr>
          <w:p w:rsidR="008B6F6A" w:rsidRPr="00CA2CA4" w:rsidRDefault="008B6F6A" w:rsidP="002A6EB7">
            <w:pPr>
              <w:jc w:val="center"/>
              <w:rPr>
                <w:color w:val="000000"/>
                <w:sz w:val="20"/>
                <w:szCs w:val="20"/>
              </w:rPr>
            </w:pPr>
            <w:r>
              <w:rPr>
                <w:color w:val="000000"/>
                <w:sz w:val="20"/>
                <w:szCs w:val="20"/>
              </w:rPr>
              <w:t>1.77</w:t>
            </w:r>
            <w:r w:rsidRPr="00CA2CA4">
              <w:rPr>
                <w:color w:val="000000"/>
                <w:sz w:val="20"/>
                <w:szCs w:val="20"/>
              </w:rPr>
              <w:t>±</w:t>
            </w:r>
            <w:r>
              <w:rPr>
                <w:sz w:val="20"/>
                <w:szCs w:val="20"/>
              </w:rPr>
              <w:t>1.04</w:t>
            </w:r>
            <w:r w:rsidRPr="00CA2CA4">
              <w:rPr>
                <w:sz w:val="20"/>
                <w:szCs w:val="20"/>
                <w:vertAlign w:val="superscript"/>
              </w:rPr>
              <w:t xml:space="preserve"> </w:t>
            </w:r>
            <w:proofErr w:type="spellStart"/>
            <w:r w:rsidRPr="00CA2CA4">
              <w:rPr>
                <w:sz w:val="20"/>
                <w:szCs w:val="20"/>
                <w:vertAlign w:val="superscript"/>
              </w:rPr>
              <w:t>a</w:t>
            </w:r>
            <w:r>
              <w:rPr>
                <w:sz w:val="20"/>
                <w:szCs w:val="20"/>
                <w:vertAlign w:val="superscript"/>
              </w:rPr>
              <w:t>A</w:t>
            </w:r>
            <w:proofErr w:type="spellEnd"/>
          </w:p>
        </w:tc>
        <w:tc>
          <w:tcPr>
            <w:tcW w:w="1701" w:type="dxa"/>
            <w:shd w:val="clear" w:color="auto" w:fill="auto"/>
            <w:noWrap/>
            <w:vAlign w:val="center"/>
          </w:tcPr>
          <w:p w:rsidR="008B6F6A" w:rsidRPr="00981B8A" w:rsidRDefault="008B6F6A" w:rsidP="002A6EB7">
            <w:pPr>
              <w:jc w:val="center"/>
              <w:rPr>
                <w:color w:val="000000"/>
                <w:sz w:val="20"/>
                <w:szCs w:val="20"/>
                <w:lang w:val="en-GB"/>
              </w:rPr>
            </w:pPr>
            <w:r w:rsidRPr="00981B8A">
              <w:rPr>
                <w:color w:val="000000"/>
                <w:sz w:val="20"/>
                <w:szCs w:val="20"/>
                <w:lang w:val="en-GB"/>
              </w:rPr>
              <w:t>11.</w:t>
            </w:r>
            <w:r>
              <w:rPr>
                <w:color w:val="000000"/>
                <w:sz w:val="20"/>
                <w:szCs w:val="20"/>
                <w:lang w:val="en-GB"/>
              </w:rPr>
              <w:t>04</w:t>
            </w:r>
            <w:r w:rsidRPr="00981B8A">
              <w:rPr>
                <w:color w:val="000000"/>
                <w:sz w:val="20"/>
                <w:szCs w:val="20"/>
                <w:lang w:val="en-GB"/>
              </w:rPr>
              <w:t>±</w:t>
            </w:r>
            <w:r w:rsidRPr="00981B8A">
              <w:rPr>
                <w:sz w:val="20"/>
                <w:szCs w:val="20"/>
                <w:lang w:val="en-GB"/>
              </w:rPr>
              <w:t>0.32</w:t>
            </w:r>
            <w:r w:rsidRPr="00981B8A">
              <w:rPr>
                <w:sz w:val="20"/>
                <w:szCs w:val="20"/>
                <w:vertAlign w:val="superscript"/>
                <w:lang w:val="en-GB"/>
              </w:rPr>
              <w:t xml:space="preserve"> </w:t>
            </w:r>
            <w:proofErr w:type="spellStart"/>
            <w:r w:rsidRPr="00981B8A">
              <w:rPr>
                <w:sz w:val="20"/>
                <w:szCs w:val="20"/>
                <w:vertAlign w:val="superscript"/>
                <w:lang w:val="en-GB"/>
              </w:rPr>
              <w:t>a</w:t>
            </w:r>
            <w:r>
              <w:rPr>
                <w:sz w:val="20"/>
                <w:szCs w:val="20"/>
                <w:vertAlign w:val="superscript"/>
                <w:lang w:val="en-GB"/>
              </w:rPr>
              <w:t>B</w:t>
            </w:r>
            <w:proofErr w:type="spellEnd"/>
          </w:p>
        </w:tc>
      </w:tr>
      <w:tr w:rsidR="008B6F6A" w:rsidRPr="00981B8A" w:rsidTr="002A6EB7">
        <w:trPr>
          <w:trHeight w:val="133"/>
        </w:trPr>
        <w:tc>
          <w:tcPr>
            <w:tcW w:w="1153" w:type="dxa"/>
          </w:tcPr>
          <w:p w:rsidR="008B6F6A" w:rsidRPr="00981B8A" w:rsidRDefault="008B6F6A" w:rsidP="002A6EB7">
            <w:pPr>
              <w:rPr>
                <w:sz w:val="20"/>
                <w:szCs w:val="20"/>
                <w:lang w:val="en-GB"/>
              </w:rPr>
            </w:pPr>
          </w:p>
        </w:tc>
        <w:tc>
          <w:tcPr>
            <w:tcW w:w="1134" w:type="dxa"/>
            <w:shd w:val="clear" w:color="auto" w:fill="auto"/>
            <w:noWrap/>
            <w:vAlign w:val="bottom"/>
          </w:tcPr>
          <w:p w:rsidR="008B6F6A" w:rsidRPr="00981B8A" w:rsidRDefault="008B6F6A" w:rsidP="002A6EB7">
            <w:pPr>
              <w:rPr>
                <w:sz w:val="20"/>
                <w:szCs w:val="20"/>
                <w:lang w:val="en-GB"/>
              </w:rPr>
            </w:pPr>
          </w:p>
        </w:tc>
        <w:tc>
          <w:tcPr>
            <w:tcW w:w="1701" w:type="dxa"/>
            <w:shd w:val="clear" w:color="auto" w:fill="auto"/>
            <w:noWrap/>
            <w:vAlign w:val="center"/>
          </w:tcPr>
          <w:p w:rsidR="008B6F6A" w:rsidRPr="00981B8A" w:rsidRDefault="008B6F6A" w:rsidP="002A6EB7">
            <w:pPr>
              <w:jc w:val="center"/>
              <w:rPr>
                <w:sz w:val="20"/>
                <w:szCs w:val="20"/>
                <w:lang w:val="en-GB"/>
              </w:rPr>
            </w:pPr>
          </w:p>
        </w:tc>
        <w:tc>
          <w:tcPr>
            <w:tcW w:w="1701" w:type="dxa"/>
            <w:shd w:val="clear" w:color="auto" w:fill="auto"/>
            <w:noWrap/>
            <w:vAlign w:val="center"/>
          </w:tcPr>
          <w:p w:rsidR="008B6F6A" w:rsidRPr="00981B8A" w:rsidRDefault="008B6F6A" w:rsidP="002A6EB7">
            <w:pPr>
              <w:jc w:val="center"/>
              <w:rPr>
                <w:sz w:val="20"/>
                <w:szCs w:val="20"/>
                <w:lang w:val="en-GB"/>
              </w:rPr>
            </w:pPr>
          </w:p>
        </w:tc>
        <w:tc>
          <w:tcPr>
            <w:tcW w:w="1701" w:type="dxa"/>
            <w:shd w:val="clear" w:color="auto" w:fill="auto"/>
            <w:noWrap/>
            <w:vAlign w:val="center"/>
          </w:tcPr>
          <w:p w:rsidR="008B6F6A" w:rsidRPr="00981B8A" w:rsidRDefault="008B6F6A" w:rsidP="002A6EB7">
            <w:pPr>
              <w:jc w:val="center"/>
              <w:rPr>
                <w:sz w:val="20"/>
                <w:szCs w:val="20"/>
                <w:lang w:val="en-GB"/>
              </w:rPr>
            </w:pPr>
          </w:p>
        </w:tc>
        <w:tc>
          <w:tcPr>
            <w:tcW w:w="1701" w:type="dxa"/>
            <w:shd w:val="clear" w:color="auto" w:fill="auto"/>
            <w:noWrap/>
            <w:vAlign w:val="center"/>
          </w:tcPr>
          <w:p w:rsidR="008B6F6A" w:rsidRPr="00981B8A" w:rsidRDefault="008B6F6A" w:rsidP="002A6EB7">
            <w:pPr>
              <w:jc w:val="center"/>
              <w:rPr>
                <w:sz w:val="20"/>
                <w:szCs w:val="20"/>
                <w:lang w:val="en-GB"/>
              </w:rPr>
            </w:pPr>
          </w:p>
        </w:tc>
      </w:tr>
      <w:tr w:rsidR="008B6F6A" w:rsidRPr="00CA2CA4" w:rsidTr="002A6EB7">
        <w:trPr>
          <w:trHeight w:val="270"/>
        </w:trPr>
        <w:tc>
          <w:tcPr>
            <w:tcW w:w="1153" w:type="dxa"/>
            <w:vMerge w:val="restart"/>
            <w:tcBorders>
              <w:bottom w:val="single" w:sz="4" w:space="0" w:color="auto"/>
            </w:tcBorders>
            <w:vAlign w:val="center"/>
          </w:tcPr>
          <w:p w:rsidR="008B6F6A" w:rsidRPr="00981B8A" w:rsidRDefault="008B6F6A" w:rsidP="002A6EB7">
            <w:pPr>
              <w:jc w:val="center"/>
              <w:rPr>
                <w:sz w:val="20"/>
                <w:szCs w:val="20"/>
                <w:lang w:val="en-GB"/>
              </w:rPr>
            </w:pPr>
            <w:r w:rsidRPr="00981B8A">
              <w:rPr>
                <w:lang w:val="en-GB"/>
              </w:rPr>
              <w:t>Control</w:t>
            </w:r>
          </w:p>
        </w:tc>
        <w:tc>
          <w:tcPr>
            <w:tcW w:w="1134" w:type="dxa"/>
            <w:shd w:val="clear" w:color="auto" w:fill="auto"/>
            <w:noWrap/>
            <w:vAlign w:val="bottom"/>
          </w:tcPr>
          <w:p w:rsidR="008B6F6A" w:rsidRPr="00981B8A" w:rsidRDefault="008B6F6A" w:rsidP="002A6EB7">
            <w:pPr>
              <w:jc w:val="center"/>
              <w:rPr>
                <w:sz w:val="20"/>
                <w:szCs w:val="20"/>
                <w:lang w:val="en-GB"/>
              </w:rPr>
            </w:pPr>
            <w:r w:rsidRPr="00981B8A">
              <w:rPr>
                <w:sz w:val="20"/>
                <w:szCs w:val="20"/>
                <w:lang w:val="en-GB"/>
              </w:rPr>
              <w:t>7</w:t>
            </w:r>
          </w:p>
        </w:tc>
        <w:tc>
          <w:tcPr>
            <w:tcW w:w="1701" w:type="dxa"/>
            <w:shd w:val="clear" w:color="auto" w:fill="auto"/>
            <w:noWrap/>
            <w:vAlign w:val="center"/>
          </w:tcPr>
          <w:p w:rsidR="008B6F6A" w:rsidRPr="00CA2CA4" w:rsidRDefault="008B6F6A" w:rsidP="002A6EB7">
            <w:pPr>
              <w:jc w:val="center"/>
              <w:rPr>
                <w:color w:val="000000"/>
                <w:sz w:val="20"/>
                <w:szCs w:val="20"/>
                <w:lang w:val="en-GB"/>
              </w:rPr>
            </w:pPr>
            <w:r>
              <w:rPr>
                <w:color w:val="000000"/>
                <w:sz w:val="20"/>
                <w:szCs w:val="20"/>
                <w:lang w:val="en-GB"/>
              </w:rPr>
              <w:t>39.80</w:t>
            </w:r>
            <w:r w:rsidRPr="00CA2CA4">
              <w:rPr>
                <w:color w:val="000000"/>
                <w:sz w:val="20"/>
                <w:szCs w:val="20"/>
                <w:lang w:val="en-GB"/>
              </w:rPr>
              <w:t>±5.37</w:t>
            </w:r>
            <w:r w:rsidRPr="00CA2CA4">
              <w:rPr>
                <w:sz w:val="20"/>
                <w:szCs w:val="20"/>
                <w:vertAlign w:val="superscript"/>
                <w:lang w:val="en-GB"/>
              </w:rPr>
              <w:t xml:space="preserve"> </w:t>
            </w:r>
            <w:proofErr w:type="spellStart"/>
            <w:r>
              <w:rPr>
                <w:sz w:val="20"/>
                <w:szCs w:val="20"/>
                <w:vertAlign w:val="superscript"/>
                <w:lang w:val="en-GB"/>
              </w:rPr>
              <w:t>bcA</w:t>
            </w:r>
            <w:proofErr w:type="spellEnd"/>
          </w:p>
        </w:tc>
        <w:tc>
          <w:tcPr>
            <w:tcW w:w="1701" w:type="dxa"/>
            <w:shd w:val="clear" w:color="auto" w:fill="auto"/>
            <w:noWrap/>
            <w:vAlign w:val="center"/>
          </w:tcPr>
          <w:p w:rsidR="008B6F6A" w:rsidRPr="00CA2CA4" w:rsidRDefault="008B6F6A" w:rsidP="002A6EB7">
            <w:pPr>
              <w:jc w:val="center"/>
              <w:rPr>
                <w:color w:val="000000"/>
                <w:sz w:val="20"/>
                <w:szCs w:val="20"/>
                <w:lang w:val="en-GB"/>
              </w:rPr>
            </w:pPr>
            <w:r w:rsidRPr="00CA2CA4">
              <w:rPr>
                <w:color w:val="000000"/>
                <w:sz w:val="20"/>
                <w:szCs w:val="20"/>
                <w:lang w:val="en-GB"/>
              </w:rPr>
              <w:t>58.</w:t>
            </w:r>
            <w:r>
              <w:rPr>
                <w:color w:val="000000"/>
                <w:sz w:val="20"/>
                <w:szCs w:val="20"/>
                <w:lang w:val="en-GB"/>
              </w:rPr>
              <w:t>57</w:t>
            </w:r>
            <w:r w:rsidRPr="00CA2CA4">
              <w:rPr>
                <w:color w:val="000000"/>
                <w:sz w:val="20"/>
                <w:szCs w:val="20"/>
                <w:lang w:val="en-GB"/>
              </w:rPr>
              <w:t>±16.69</w:t>
            </w:r>
            <w:r w:rsidRPr="00CA2CA4">
              <w:rPr>
                <w:sz w:val="20"/>
                <w:szCs w:val="20"/>
                <w:vertAlign w:val="superscript"/>
                <w:lang w:val="en-GB"/>
              </w:rPr>
              <w:t xml:space="preserve"> </w:t>
            </w:r>
            <w:proofErr w:type="spellStart"/>
            <w:r>
              <w:rPr>
                <w:sz w:val="20"/>
                <w:szCs w:val="20"/>
                <w:vertAlign w:val="superscript"/>
                <w:lang w:val="en-GB"/>
              </w:rPr>
              <w:t>cAB</w:t>
            </w:r>
            <w:proofErr w:type="spellEnd"/>
          </w:p>
        </w:tc>
        <w:tc>
          <w:tcPr>
            <w:tcW w:w="1701" w:type="dxa"/>
            <w:shd w:val="clear" w:color="auto" w:fill="auto"/>
            <w:noWrap/>
            <w:vAlign w:val="center"/>
          </w:tcPr>
          <w:p w:rsidR="008B6F6A" w:rsidRPr="00CA2CA4" w:rsidRDefault="008B6F6A" w:rsidP="002A6EB7">
            <w:pPr>
              <w:jc w:val="center"/>
              <w:rPr>
                <w:color w:val="000000"/>
                <w:sz w:val="20"/>
                <w:szCs w:val="20"/>
                <w:lang w:val="en-GB"/>
              </w:rPr>
            </w:pPr>
            <w:r>
              <w:rPr>
                <w:color w:val="000000"/>
                <w:sz w:val="20"/>
                <w:szCs w:val="20"/>
                <w:lang w:val="en-GB"/>
              </w:rPr>
              <w:t>43.99</w:t>
            </w:r>
            <w:r w:rsidRPr="00CA2CA4">
              <w:rPr>
                <w:color w:val="000000"/>
                <w:sz w:val="20"/>
                <w:szCs w:val="20"/>
                <w:lang w:val="en-GB"/>
              </w:rPr>
              <w:t>±</w:t>
            </w:r>
            <w:r w:rsidRPr="00CA2CA4">
              <w:rPr>
                <w:sz w:val="20"/>
                <w:szCs w:val="20"/>
                <w:lang w:val="en-GB"/>
              </w:rPr>
              <w:t>17.69</w:t>
            </w:r>
            <w:r w:rsidRPr="00CA2CA4">
              <w:rPr>
                <w:sz w:val="20"/>
                <w:szCs w:val="20"/>
                <w:vertAlign w:val="superscript"/>
                <w:lang w:val="en-GB"/>
              </w:rPr>
              <w:t xml:space="preserve"> </w:t>
            </w:r>
            <w:proofErr w:type="spellStart"/>
            <w:r>
              <w:rPr>
                <w:sz w:val="20"/>
                <w:szCs w:val="20"/>
                <w:vertAlign w:val="superscript"/>
                <w:lang w:val="en-GB"/>
              </w:rPr>
              <w:t>bAB</w:t>
            </w:r>
            <w:proofErr w:type="spellEnd"/>
          </w:p>
        </w:tc>
        <w:tc>
          <w:tcPr>
            <w:tcW w:w="1701" w:type="dxa"/>
            <w:shd w:val="clear" w:color="auto" w:fill="auto"/>
            <w:noWrap/>
            <w:vAlign w:val="center"/>
          </w:tcPr>
          <w:p w:rsidR="008B6F6A" w:rsidRPr="00CA2CA4" w:rsidRDefault="008B6F6A" w:rsidP="002A6EB7">
            <w:pPr>
              <w:jc w:val="center"/>
              <w:rPr>
                <w:color w:val="000000"/>
                <w:sz w:val="20"/>
                <w:szCs w:val="20"/>
                <w:lang w:val="en-GB"/>
              </w:rPr>
            </w:pPr>
            <w:r>
              <w:rPr>
                <w:color w:val="000000"/>
                <w:sz w:val="20"/>
                <w:szCs w:val="20"/>
                <w:lang w:val="en-GB"/>
              </w:rPr>
              <w:t>65.33</w:t>
            </w:r>
            <w:r w:rsidRPr="00CA2CA4">
              <w:rPr>
                <w:color w:val="000000"/>
                <w:sz w:val="20"/>
                <w:szCs w:val="20"/>
                <w:lang w:val="en-GB"/>
              </w:rPr>
              <w:t>±4.47</w:t>
            </w:r>
            <w:r w:rsidRPr="00CA2CA4">
              <w:rPr>
                <w:sz w:val="20"/>
                <w:szCs w:val="20"/>
                <w:vertAlign w:val="superscript"/>
                <w:lang w:val="en-GB"/>
              </w:rPr>
              <w:t xml:space="preserve"> </w:t>
            </w:r>
            <w:proofErr w:type="spellStart"/>
            <w:r>
              <w:rPr>
                <w:sz w:val="20"/>
                <w:szCs w:val="20"/>
                <w:vertAlign w:val="superscript"/>
                <w:lang w:val="en-GB"/>
              </w:rPr>
              <w:t>cB</w:t>
            </w:r>
            <w:proofErr w:type="spellEnd"/>
          </w:p>
        </w:tc>
      </w:tr>
      <w:tr w:rsidR="008B6F6A" w:rsidRPr="0085520D" w:rsidTr="002A6EB7">
        <w:trPr>
          <w:trHeight w:val="270"/>
        </w:trPr>
        <w:tc>
          <w:tcPr>
            <w:tcW w:w="1153" w:type="dxa"/>
            <w:vMerge/>
            <w:tcBorders>
              <w:bottom w:val="single" w:sz="4" w:space="0" w:color="auto"/>
            </w:tcBorders>
          </w:tcPr>
          <w:p w:rsidR="008B6F6A" w:rsidRPr="00CA2CA4" w:rsidRDefault="008B6F6A" w:rsidP="002A6EB7">
            <w:pPr>
              <w:jc w:val="center"/>
              <w:rPr>
                <w:sz w:val="20"/>
                <w:szCs w:val="20"/>
                <w:lang w:val="en-GB"/>
              </w:rPr>
            </w:pPr>
          </w:p>
        </w:tc>
        <w:tc>
          <w:tcPr>
            <w:tcW w:w="1134" w:type="dxa"/>
            <w:shd w:val="clear" w:color="auto" w:fill="auto"/>
            <w:noWrap/>
            <w:vAlign w:val="bottom"/>
          </w:tcPr>
          <w:p w:rsidR="008B6F6A" w:rsidRPr="00CA2CA4" w:rsidRDefault="008B6F6A" w:rsidP="002A6EB7">
            <w:pPr>
              <w:jc w:val="center"/>
              <w:rPr>
                <w:sz w:val="20"/>
                <w:szCs w:val="20"/>
                <w:lang w:val="en-GB"/>
              </w:rPr>
            </w:pPr>
            <w:r w:rsidRPr="00CA2CA4">
              <w:rPr>
                <w:sz w:val="20"/>
                <w:szCs w:val="20"/>
                <w:lang w:val="en-GB"/>
              </w:rPr>
              <w:t>14</w:t>
            </w:r>
          </w:p>
        </w:tc>
        <w:tc>
          <w:tcPr>
            <w:tcW w:w="1701" w:type="dxa"/>
            <w:shd w:val="clear" w:color="auto" w:fill="auto"/>
            <w:noWrap/>
            <w:vAlign w:val="center"/>
          </w:tcPr>
          <w:p w:rsidR="008B6F6A" w:rsidRPr="00CA2CA4" w:rsidRDefault="008B6F6A" w:rsidP="002A6EB7">
            <w:pPr>
              <w:jc w:val="center"/>
              <w:rPr>
                <w:color w:val="000000"/>
                <w:sz w:val="20"/>
                <w:szCs w:val="20"/>
                <w:lang w:val="en-GB"/>
              </w:rPr>
            </w:pPr>
            <w:r>
              <w:rPr>
                <w:color w:val="000000"/>
                <w:sz w:val="20"/>
                <w:szCs w:val="20"/>
                <w:lang w:val="en-GB"/>
              </w:rPr>
              <w:t>47.57</w:t>
            </w:r>
            <w:r w:rsidRPr="00CA2CA4">
              <w:rPr>
                <w:color w:val="000000"/>
                <w:sz w:val="20"/>
                <w:szCs w:val="20"/>
                <w:lang w:val="en-GB"/>
              </w:rPr>
              <w:t>±0.38</w:t>
            </w:r>
            <w:r w:rsidRPr="00CA2CA4">
              <w:rPr>
                <w:sz w:val="20"/>
                <w:szCs w:val="20"/>
                <w:vertAlign w:val="superscript"/>
                <w:lang w:val="en-GB"/>
              </w:rPr>
              <w:t xml:space="preserve"> </w:t>
            </w:r>
            <w:proofErr w:type="spellStart"/>
            <w:r>
              <w:rPr>
                <w:sz w:val="20"/>
                <w:szCs w:val="20"/>
                <w:vertAlign w:val="superscript"/>
                <w:lang w:val="en-GB"/>
              </w:rPr>
              <w:t>cA</w:t>
            </w:r>
            <w:proofErr w:type="spellEnd"/>
          </w:p>
        </w:tc>
        <w:tc>
          <w:tcPr>
            <w:tcW w:w="1701" w:type="dxa"/>
            <w:shd w:val="clear" w:color="auto" w:fill="auto"/>
            <w:noWrap/>
            <w:vAlign w:val="center"/>
          </w:tcPr>
          <w:p w:rsidR="008B6F6A" w:rsidRPr="00581EDB" w:rsidRDefault="008B6F6A" w:rsidP="002A6EB7">
            <w:pPr>
              <w:jc w:val="center"/>
              <w:rPr>
                <w:color w:val="000000"/>
                <w:sz w:val="20"/>
                <w:szCs w:val="20"/>
              </w:rPr>
            </w:pPr>
            <w:r>
              <w:rPr>
                <w:color w:val="000000"/>
                <w:sz w:val="20"/>
                <w:szCs w:val="20"/>
                <w:lang w:val="en-GB"/>
              </w:rPr>
              <w:t>48.65</w:t>
            </w:r>
            <w:r w:rsidRPr="00CA2CA4">
              <w:rPr>
                <w:color w:val="000000"/>
                <w:sz w:val="20"/>
                <w:szCs w:val="20"/>
                <w:lang w:val="en-GB"/>
              </w:rPr>
              <w:t>±</w:t>
            </w:r>
            <w:r w:rsidRPr="00CA2CA4">
              <w:rPr>
                <w:sz w:val="20"/>
                <w:szCs w:val="20"/>
                <w:lang w:val="en-GB"/>
              </w:rPr>
              <w:t>3.71</w:t>
            </w:r>
            <w:r w:rsidRPr="00CA2CA4">
              <w:rPr>
                <w:sz w:val="20"/>
                <w:szCs w:val="20"/>
                <w:vertAlign w:val="superscript"/>
                <w:lang w:val="en-GB"/>
              </w:rPr>
              <w:t xml:space="preserve"> </w:t>
            </w:r>
            <w:proofErr w:type="spellStart"/>
            <w:r>
              <w:rPr>
                <w:sz w:val="20"/>
                <w:szCs w:val="20"/>
                <w:vertAlign w:val="superscript"/>
              </w:rPr>
              <w:t>cA</w:t>
            </w:r>
            <w:proofErr w:type="spellEnd"/>
          </w:p>
        </w:tc>
        <w:tc>
          <w:tcPr>
            <w:tcW w:w="1701" w:type="dxa"/>
            <w:shd w:val="clear" w:color="auto" w:fill="auto"/>
            <w:noWrap/>
            <w:vAlign w:val="center"/>
          </w:tcPr>
          <w:p w:rsidR="008B6F6A" w:rsidRPr="0085520D" w:rsidRDefault="008B6F6A" w:rsidP="002A6EB7">
            <w:pPr>
              <w:jc w:val="center"/>
              <w:rPr>
                <w:color w:val="000000"/>
                <w:sz w:val="20"/>
                <w:szCs w:val="20"/>
                <w:lang w:val="en-GB"/>
              </w:rPr>
            </w:pPr>
            <w:r w:rsidRPr="0085520D">
              <w:rPr>
                <w:color w:val="000000"/>
                <w:sz w:val="20"/>
                <w:szCs w:val="20"/>
                <w:lang w:val="en-GB"/>
              </w:rPr>
              <w:t>68.</w:t>
            </w:r>
            <w:r>
              <w:rPr>
                <w:color w:val="000000"/>
                <w:sz w:val="20"/>
                <w:szCs w:val="20"/>
                <w:lang w:val="en-GB"/>
              </w:rPr>
              <w:t>25</w:t>
            </w:r>
            <w:r w:rsidRPr="0085520D">
              <w:rPr>
                <w:color w:val="000000"/>
                <w:sz w:val="20"/>
                <w:szCs w:val="20"/>
                <w:lang w:val="en-GB"/>
              </w:rPr>
              <w:t>±</w:t>
            </w:r>
            <w:r w:rsidRPr="0085520D">
              <w:rPr>
                <w:sz w:val="20"/>
                <w:szCs w:val="20"/>
                <w:lang w:val="en-GB"/>
              </w:rPr>
              <w:t>4.18</w:t>
            </w:r>
            <w:r w:rsidRPr="0085520D">
              <w:rPr>
                <w:sz w:val="20"/>
                <w:szCs w:val="20"/>
                <w:vertAlign w:val="superscript"/>
                <w:lang w:val="en-GB"/>
              </w:rPr>
              <w:t xml:space="preserve"> </w:t>
            </w:r>
            <w:proofErr w:type="spellStart"/>
            <w:r>
              <w:rPr>
                <w:sz w:val="20"/>
                <w:szCs w:val="20"/>
                <w:vertAlign w:val="superscript"/>
                <w:lang w:val="en-GB"/>
              </w:rPr>
              <w:t>cB</w:t>
            </w:r>
            <w:proofErr w:type="spellEnd"/>
          </w:p>
        </w:tc>
        <w:tc>
          <w:tcPr>
            <w:tcW w:w="1701" w:type="dxa"/>
            <w:shd w:val="clear" w:color="auto" w:fill="auto"/>
            <w:noWrap/>
            <w:vAlign w:val="center"/>
          </w:tcPr>
          <w:p w:rsidR="008B6F6A" w:rsidRPr="0085520D" w:rsidRDefault="008B6F6A" w:rsidP="002A6EB7">
            <w:pPr>
              <w:jc w:val="center"/>
              <w:rPr>
                <w:color w:val="000000"/>
                <w:sz w:val="20"/>
                <w:szCs w:val="20"/>
                <w:lang w:val="en-GB"/>
              </w:rPr>
            </w:pPr>
            <w:r>
              <w:rPr>
                <w:color w:val="000000"/>
                <w:sz w:val="20"/>
                <w:szCs w:val="20"/>
                <w:lang w:val="en-GB"/>
              </w:rPr>
              <w:t>60.14</w:t>
            </w:r>
            <w:r w:rsidRPr="0085520D">
              <w:rPr>
                <w:color w:val="000000"/>
                <w:sz w:val="20"/>
                <w:szCs w:val="20"/>
                <w:lang w:val="en-GB"/>
              </w:rPr>
              <w:t>±</w:t>
            </w:r>
            <w:r w:rsidRPr="0085520D">
              <w:rPr>
                <w:sz w:val="20"/>
                <w:szCs w:val="20"/>
                <w:lang w:val="en-GB"/>
              </w:rPr>
              <w:t>2.34</w:t>
            </w:r>
            <w:r w:rsidRPr="0085520D">
              <w:rPr>
                <w:sz w:val="20"/>
                <w:szCs w:val="20"/>
                <w:vertAlign w:val="superscript"/>
                <w:lang w:val="en-GB"/>
              </w:rPr>
              <w:t xml:space="preserve"> </w:t>
            </w:r>
            <w:proofErr w:type="spellStart"/>
            <w:r>
              <w:rPr>
                <w:sz w:val="20"/>
                <w:szCs w:val="20"/>
                <w:vertAlign w:val="superscript"/>
                <w:lang w:val="en-GB"/>
              </w:rPr>
              <w:t>cAB</w:t>
            </w:r>
            <w:proofErr w:type="spellEnd"/>
          </w:p>
        </w:tc>
      </w:tr>
      <w:tr w:rsidR="008B6F6A" w:rsidRPr="0085520D" w:rsidTr="002A6EB7">
        <w:trPr>
          <w:trHeight w:val="255"/>
        </w:trPr>
        <w:tc>
          <w:tcPr>
            <w:tcW w:w="1153" w:type="dxa"/>
            <w:vMerge/>
            <w:tcBorders>
              <w:bottom w:val="single" w:sz="4" w:space="0" w:color="auto"/>
            </w:tcBorders>
          </w:tcPr>
          <w:p w:rsidR="008B6F6A" w:rsidRPr="0085520D" w:rsidRDefault="008B6F6A" w:rsidP="002A6EB7">
            <w:pPr>
              <w:jc w:val="center"/>
              <w:rPr>
                <w:sz w:val="20"/>
                <w:szCs w:val="20"/>
                <w:lang w:val="en-GB"/>
              </w:rPr>
            </w:pPr>
          </w:p>
        </w:tc>
        <w:tc>
          <w:tcPr>
            <w:tcW w:w="1134" w:type="dxa"/>
            <w:shd w:val="clear" w:color="auto" w:fill="auto"/>
            <w:noWrap/>
            <w:vAlign w:val="bottom"/>
          </w:tcPr>
          <w:p w:rsidR="008B6F6A" w:rsidRPr="0085520D" w:rsidRDefault="008B6F6A" w:rsidP="002A6EB7">
            <w:pPr>
              <w:jc w:val="center"/>
              <w:rPr>
                <w:sz w:val="20"/>
                <w:szCs w:val="20"/>
                <w:lang w:val="en-GB"/>
              </w:rPr>
            </w:pPr>
            <w:r w:rsidRPr="0085520D">
              <w:rPr>
                <w:sz w:val="20"/>
                <w:szCs w:val="20"/>
                <w:lang w:val="en-GB"/>
              </w:rPr>
              <w:t>21</w:t>
            </w:r>
          </w:p>
        </w:tc>
        <w:tc>
          <w:tcPr>
            <w:tcW w:w="1701" w:type="dxa"/>
            <w:shd w:val="clear" w:color="auto" w:fill="auto"/>
            <w:noWrap/>
            <w:vAlign w:val="center"/>
          </w:tcPr>
          <w:p w:rsidR="008B6F6A" w:rsidRPr="0085520D" w:rsidRDefault="008B6F6A" w:rsidP="002A6EB7">
            <w:pPr>
              <w:jc w:val="center"/>
              <w:rPr>
                <w:sz w:val="20"/>
                <w:szCs w:val="20"/>
                <w:lang w:val="en-GB"/>
              </w:rPr>
            </w:pPr>
            <w:r>
              <w:rPr>
                <w:sz w:val="20"/>
                <w:szCs w:val="20"/>
                <w:lang w:val="en-GB"/>
              </w:rPr>
              <w:t>34.40</w:t>
            </w:r>
            <w:r w:rsidRPr="0085520D">
              <w:rPr>
                <w:color w:val="000000"/>
                <w:sz w:val="20"/>
                <w:szCs w:val="20"/>
                <w:lang w:val="en-GB"/>
              </w:rPr>
              <w:t>±</w:t>
            </w:r>
            <w:r w:rsidRPr="0085520D">
              <w:rPr>
                <w:sz w:val="20"/>
                <w:szCs w:val="20"/>
                <w:lang w:val="en-GB"/>
              </w:rPr>
              <w:t>4.26</w:t>
            </w:r>
            <w:r w:rsidRPr="0085520D">
              <w:rPr>
                <w:sz w:val="20"/>
                <w:szCs w:val="20"/>
                <w:vertAlign w:val="superscript"/>
                <w:lang w:val="en-GB"/>
              </w:rPr>
              <w:t xml:space="preserve"> </w:t>
            </w:r>
            <w:proofErr w:type="spellStart"/>
            <w:r>
              <w:rPr>
                <w:sz w:val="20"/>
                <w:szCs w:val="20"/>
                <w:vertAlign w:val="superscript"/>
                <w:lang w:val="en-GB"/>
              </w:rPr>
              <w:t>bB</w:t>
            </w:r>
            <w:proofErr w:type="spellEnd"/>
          </w:p>
        </w:tc>
        <w:tc>
          <w:tcPr>
            <w:tcW w:w="1701" w:type="dxa"/>
            <w:shd w:val="clear" w:color="auto" w:fill="auto"/>
            <w:noWrap/>
            <w:vAlign w:val="center"/>
          </w:tcPr>
          <w:p w:rsidR="008B6F6A" w:rsidRPr="0085520D" w:rsidRDefault="008B6F6A" w:rsidP="002A6EB7">
            <w:pPr>
              <w:jc w:val="center"/>
              <w:rPr>
                <w:color w:val="000000"/>
                <w:sz w:val="20"/>
                <w:szCs w:val="20"/>
                <w:lang w:val="en-GB"/>
              </w:rPr>
            </w:pPr>
            <w:r>
              <w:rPr>
                <w:color w:val="000000"/>
                <w:sz w:val="20"/>
                <w:szCs w:val="20"/>
                <w:lang w:val="en-GB"/>
              </w:rPr>
              <w:t>14</w:t>
            </w:r>
            <w:r w:rsidRPr="0085520D">
              <w:rPr>
                <w:color w:val="000000"/>
                <w:sz w:val="20"/>
                <w:szCs w:val="20"/>
                <w:lang w:val="en-GB"/>
              </w:rPr>
              <w:t>.16±</w:t>
            </w:r>
            <w:r w:rsidRPr="0085520D">
              <w:rPr>
                <w:sz w:val="20"/>
                <w:szCs w:val="20"/>
                <w:lang w:val="en-GB"/>
              </w:rPr>
              <w:t>2.53</w:t>
            </w:r>
            <w:r w:rsidRPr="0085520D">
              <w:rPr>
                <w:sz w:val="20"/>
                <w:szCs w:val="20"/>
                <w:vertAlign w:val="superscript"/>
                <w:lang w:val="en-GB"/>
              </w:rPr>
              <w:t xml:space="preserve"> </w:t>
            </w:r>
            <w:proofErr w:type="spellStart"/>
            <w:r w:rsidRPr="0085520D">
              <w:rPr>
                <w:sz w:val="20"/>
                <w:szCs w:val="20"/>
                <w:vertAlign w:val="superscript"/>
                <w:lang w:val="en-GB"/>
              </w:rPr>
              <w:t>b</w:t>
            </w:r>
            <w:r>
              <w:rPr>
                <w:sz w:val="20"/>
                <w:szCs w:val="20"/>
                <w:vertAlign w:val="superscript"/>
                <w:lang w:val="en-GB"/>
              </w:rPr>
              <w:t>A</w:t>
            </w:r>
            <w:proofErr w:type="spellEnd"/>
          </w:p>
        </w:tc>
        <w:tc>
          <w:tcPr>
            <w:tcW w:w="1701" w:type="dxa"/>
            <w:shd w:val="clear" w:color="auto" w:fill="auto"/>
            <w:noWrap/>
            <w:vAlign w:val="center"/>
          </w:tcPr>
          <w:p w:rsidR="008B6F6A" w:rsidRPr="0085520D" w:rsidRDefault="008B6F6A" w:rsidP="002A6EB7">
            <w:pPr>
              <w:jc w:val="center"/>
              <w:rPr>
                <w:sz w:val="20"/>
                <w:szCs w:val="20"/>
                <w:lang w:val="en-GB"/>
              </w:rPr>
            </w:pPr>
            <w:r>
              <w:rPr>
                <w:sz w:val="20"/>
                <w:szCs w:val="20"/>
                <w:lang w:val="en-GB"/>
              </w:rPr>
              <w:t>28.21</w:t>
            </w:r>
            <w:r w:rsidRPr="0085520D">
              <w:rPr>
                <w:color w:val="000000"/>
                <w:sz w:val="20"/>
                <w:szCs w:val="20"/>
                <w:lang w:val="en-GB"/>
              </w:rPr>
              <w:t>±</w:t>
            </w:r>
            <w:r w:rsidRPr="0085520D">
              <w:rPr>
                <w:sz w:val="20"/>
                <w:szCs w:val="20"/>
                <w:lang w:val="en-GB"/>
              </w:rPr>
              <w:t>1.04</w:t>
            </w:r>
            <w:r w:rsidRPr="0085520D">
              <w:rPr>
                <w:sz w:val="20"/>
                <w:szCs w:val="20"/>
                <w:vertAlign w:val="superscript"/>
                <w:lang w:val="en-GB"/>
              </w:rPr>
              <w:t xml:space="preserve"> </w:t>
            </w:r>
            <w:proofErr w:type="spellStart"/>
            <w:r w:rsidRPr="0085520D">
              <w:rPr>
                <w:sz w:val="20"/>
                <w:szCs w:val="20"/>
                <w:vertAlign w:val="superscript"/>
                <w:lang w:val="en-GB"/>
              </w:rPr>
              <w:t>a</w:t>
            </w:r>
            <w:r>
              <w:rPr>
                <w:sz w:val="20"/>
                <w:szCs w:val="20"/>
                <w:vertAlign w:val="superscript"/>
                <w:lang w:val="en-GB"/>
              </w:rPr>
              <w:t>bB</w:t>
            </w:r>
            <w:proofErr w:type="spellEnd"/>
          </w:p>
        </w:tc>
        <w:tc>
          <w:tcPr>
            <w:tcW w:w="1701" w:type="dxa"/>
            <w:shd w:val="clear" w:color="auto" w:fill="auto"/>
            <w:noWrap/>
            <w:vAlign w:val="center"/>
          </w:tcPr>
          <w:p w:rsidR="008B6F6A" w:rsidRPr="0085520D" w:rsidRDefault="008B6F6A" w:rsidP="002A6EB7">
            <w:pPr>
              <w:jc w:val="center"/>
              <w:rPr>
                <w:color w:val="000000"/>
                <w:sz w:val="20"/>
                <w:szCs w:val="20"/>
                <w:lang w:val="en-GB"/>
              </w:rPr>
            </w:pPr>
            <w:r>
              <w:rPr>
                <w:color w:val="000000"/>
                <w:sz w:val="20"/>
                <w:szCs w:val="20"/>
                <w:lang w:val="en-GB"/>
              </w:rPr>
              <w:t>10.82</w:t>
            </w:r>
            <w:r w:rsidRPr="0085520D">
              <w:rPr>
                <w:color w:val="000000"/>
                <w:sz w:val="20"/>
                <w:szCs w:val="20"/>
                <w:lang w:val="en-GB"/>
              </w:rPr>
              <w:t>±</w:t>
            </w:r>
            <w:r w:rsidRPr="0085520D">
              <w:rPr>
                <w:sz w:val="20"/>
                <w:szCs w:val="20"/>
                <w:lang w:val="en-GB"/>
              </w:rPr>
              <w:t>5.09</w:t>
            </w:r>
            <w:r w:rsidRPr="0085520D">
              <w:rPr>
                <w:sz w:val="20"/>
                <w:szCs w:val="20"/>
                <w:vertAlign w:val="superscript"/>
                <w:lang w:val="en-GB"/>
              </w:rPr>
              <w:t xml:space="preserve"> </w:t>
            </w:r>
            <w:proofErr w:type="spellStart"/>
            <w:r>
              <w:rPr>
                <w:sz w:val="20"/>
                <w:szCs w:val="20"/>
                <w:vertAlign w:val="superscript"/>
                <w:lang w:val="en-GB"/>
              </w:rPr>
              <w:t>bA</w:t>
            </w:r>
            <w:proofErr w:type="spellEnd"/>
          </w:p>
        </w:tc>
      </w:tr>
      <w:tr w:rsidR="008B6F6A" w:rsidRPr="0085520D" w:rsidTr="002A6EB7">
        <w:trPr>
          <w:trHeight w:val="255"/>
        </w:trPr>
        <w:tc>
          <w:tcPr>
            <w:tcW w:w="1153" w:type="dxa"/>
            <w:vMerge/>
            <w:tcBorders>
              <w:bottom w:val="single" w:sz="4" w:space="0" w:color="auto"/>
            </w:tcBorders>
          </w:tcPr>
          <w:p w:rsidR="008B6F6A" w:rsidRPr="0085520D" w:rsidRDefault="008B6F6A" w:rsidP="002A6EB7">
            <w:pPr>
              <w:jc w:val="center"/>
              <w:rPr>
                <w:sz w:val="20"/>
                <w:szCs w:val="20"/>
                <w:lang w:val="en-GB"/>
              </w:rPr>
            </w:pPr>
          </w:p>
        </w:tc>
        <w:tc>
          <w:tcPr>
            <w:tcW w:w="1134" w:type="dxa"/>
            <w:tcBorders>
              <w:bottom w:val="single" w:sz="4" w:space="0" w:color="auto"/>
            </w:tcBorders>
            <w:shd w:val="clear" w:color="auto" w:fill="auto"/>
            <w:noWrap/>
            <w:vAlign w:val="bottom"/>
          </w:tcPr>
          <w:p w:rsidR="008B6F6A" w:rsidRPr="0085520D" w:rsidRDefault="008B6F6A" w:rsidP="002A6EB7">
            <w:pPr>
              <w:jc w:val="center"/>
              <w:rPr>
                <w:sz w:val="20"/>
                <w:szCs w:val="20"/>
                <w:lang w:val="en-GB"/>
              </w:rPr>
            </w:pPr>
            <w:r w:rsidRPr="0085520D">
              <w:rPr>
                <w:sz w:val="20"/>
                <w:szCs w:val="20"/>
                <w:lang w:val="en-GB"/>
              </w:rPr>
              <w:t>28</w:t>
            </w:r>
          </w:p>
        </w:tc>
        <w:tc>
          <w:tcPr>
            <w:tcW w:w="1701" w:type="dxa"/>
            <w:tcBorders>
              <w:bottom w:val="single" w:sz="4" w:space="0" w:color="auto"/>
            </w:tcBorders>
            <w:shd w:val="clear" w:color="auto" w:fill="auto"/>
            <w:noWrap/>
            <w:vAlign w:val="center"/>
          </w:tcPr>
          <w:p w:rsidR="008B6F6A" w:rsidRPr="0085520D" w:rsidRDefault="008B6F6A" w:rsidP="002A6EB7">
            <w:pPr>
              <w:jc w:val="center"/>
              <w:rPr>
                <w:sz w:val="20"/>
                <w:szCs w:val="20"/>
                <w:lang w:val="en-GB"/>
              </w:rPr>
            </w:pPr>
            <w:r>
              <w:rPr>
                <w:sz w:val="20"/>
                <w:szCs w:val="20"/>
                <w:lang w:val="en-GB"/>
              </w:rPr>
              <w:t>3.92</w:t>
            </w:r>
            <w:r w:rsidRPr="0085520D">
              <w:rPr>
                <w:color w:val="000000"/>
                <w:sz w:val="20"/>
                <w:szCs w:val="20"/>
                <w:lang w:val="en-GB"/>
              </w:rPr>
              <w:t>±</w:t>
            </w:r>
            <w:r w:rsidRPr="0085520D">
              <w:rPr>
                <w:sz w:val="20"/>
                <w:szCs w:val="20"/>
                <w:lang w:val="en-GB"/>
              </w:rPr>
              <w:t>0.54</w:t>
            </w:r>
            <w:r w:rsidRPr="0085520D">
              <w:rPr>
                <w:sz w:val="20"/>
                <w:szCs w:val="20"/>
                <w:vertAlign w:val="superscript"/>
                <w:lang w:val="en-GB"/>
              </w:rPr>
              <w:t xml:space="preserve"> </w:t>
            </w:r>
            <w:proofErr w:type="spellStart"/>
            <w:r w:rsidRPr="0085520D">
              <w:rPr>
                <w:sz w:val="20"/>
                <w:szCs w:val="20"/>
                <w:vertAlign w:val="superscript"/>
                <w:lang w:val="en-GB"/>
              </w:rPr>
              <w:t>a</w:t>
            </w:r>
            <w:r>
              <w:rPr>
                <w:sz w:val="20"/>
                <w:szCs w:val="20"/>
                <w:vertAlign w:val="superscript"/>
                <w:lang w:val="en-GB"/>
              </w:rPr>
              <w:t>A</w:t>
            </w:r>
            <w:proofErr w:type="spellEnd"/>
          </w:p>
        </w:tc>
        <w:tc>
          <w:tcPr>
            <w:tcW w:w="1701" w:type="dxa"/>
            <w:tcBorders>
              <w:bottom w:val="single" w:sz="4" w:space="0" w:color="auto"/>
            </w:tcBorders>
            <w:shd w:val="clear" w:color="auto" w:fill="auto"/>
            <w:noWrap/>
            <w:vAlign w:val="center"/>
          </w:tcPr>
          <w:p w:rsidR="008B6F6A" w:rsidRPr="0085520D" w:rsidRDefault="008B6F6A" w:rsidP="002A6EB7">
            <w:pPr>
              <w:jc w:val="center"/>
              <w:rPr>
                <w:sz w:val="20"/>
                <w:szCs w:val="20"/>
                <w:lang w:val="en-GB"/>
              </w:rPr>
            </w:pPr>
            <w:r>
              <w:rPr>
                <w:sz w:val="20"/>
                <w:szCs w:val="20"/>
                <w:lang w:val="en-GB"/>
              </w:rPr>
              <w:t>2.72</w:t>
            </w:r>
            <w:r w:rsidRPr="0085520D">
              <w:rPr>
                <w:color w:val="000000"/>
                <w:sz w:val="20"/>
                <w:szCs w:val="20"/>
                <w:lang w:val="en-GB"/>
              </w:rPr>
              <w:t>±</w:t>
            </w:r>
            <w:r w:rsidRPr="0085520D">
              <w:rPr>
                <w:sz w:val="20"/>
                <w:szCs w:val="20"/>
                <w:lang w:val="en-GB"/>
              </w:rPr>
              <w:t>1.36</w:t>
            </w:r>
            <w:r w:rsidRPr="0085520D">
              <w:rPr>
                <w:sz w:val="20"/>
                <w:szCs w:val="20"/>
                <w:vertAlign w:val="superscript"/>
                <w:lang w:val="en-GB"/>
              </w:rPr>
              <w:t xml:space="preserve"> </w:t>
            </w:r>
            <w:proofErr w:type="spellStart"/>
            <w:r>
              <w:rPr>
                <w:sz w:val="20"/>
                <w:szCs w:val="20"/>
                <w:vertAlign w:val="superscript"/>
                <w:lang w:val="en-GB"/>
              </w:rPr>
              <w:t>aA</w:t>
            </w:r>
            <w:proofErr w:type="spellEnd"/>
          </w:p>
        </w:tc>
        <w:tc>
          <w:tcPr>
            <w:tcW w:w="1701" w:type="dxa"/>
            <w:tcBorders>
              <w:bottom w:val="single" w:sz="4" w:space="0" w:color="auto"/>
            </w:tcBorders>
            <w:shd w:val="clear" w:color="auto" w:fill="auto"/>
            <w:noWrap/>
            <w:vAlign w:val="center"/>
          </w:tcPr>
          <w:p w:rsidR="008B6F6A" w:rsidRPr="0085520D" w:rsidRDefault="008B6F6A" w:rsidP="002A6EB7">
            <w:pPr>
              <w:jc w:val="center"/>
              <w:rPr>
                <w:color w:val="000000"/>
                <w:sz w:val="20"/>
                <w:szCs w:val="20"/>
                <w:lang w:val="en-GB"/>
              </w:rPr>
            </w:pPr>
            <w:r>
              <w:rPr>
                <w:color w:val="000000"/>
                <w:sz w:val="20"/>
                <w:szCs w:val="20"/>
                <w:lang w:val="en-GB"/>
              </w:rPr>
              <w:t>18.85</w:t>
            </w:r>
            <w:r w:rsidRPr="0085520D">
              <w:rPr>
                <w:color w:val="000000"/>
                <w:sz w:val="20"/>
                <w:szCs w:val="20"/>
                <w:lang w:val="en-GB"/>
              </w:rPr>
              <w:t>±</w:t>
            </w:r>
            <w:r w:rsidRPr="0085520D">
              <w:rPr>
                <w:sz w:val="20"/>
                <w:szCs w:val="20"/>
                <w:lang w:val="en-GB"/>
              </w:rPr>
              <w:t>0.38</w:t>
            </w:r>
            <w:r w:rsidRPr="0085520D">
              <w:rPr>
                <w:sz w:val="20"/>
                <w:szCs w:val="20"/>
                <w:vertAlign w:val="superscript"/>
                <w:lang w:val="en-GB"/>
              </w:rPr>
              <w:t xml:space="preserve"> </w:t>
            </w:r>
            <w:proofErr w:type="spellStart"/>
            <w:r>
              <w:rPr>
                <w:sz w:val="20"/>
                <w:szCs w:val="20"/>
                <w:vertAlign w:val="superscript"/>
                <w:lang w:val="en-GB"/>
              </w:rPr>
              <w:t>aB</w:t>
            </w:r>
            <w:proofErr w:type="spellEnd"/>
          </w:p>
        </w:tc>
        <w:tc>
          <w:tcPr>
            <w:tcW w:w="1701" w:type="dxa"/>
            <w:tcBorders>
              <w:bottom w:val="single" w:sz="4" w:space="0" w:color="auto"/>
            </w:tcBorders>
            <w:shd w:val="clear" w:color="auto" w:fill="auto"/>
            <w:noWrap/>
            <w:vAlign w:val="center"/>
          </w:tcPr>
          <w:p w:rsidR="008B6F6A" w:rsidRPr="0085520D" w:rsidRDefault="008B6F6A" w:rsidP="002A6EB7">
            <w:pPr>
              <w:jc w:val="center"/>
              <w:rPr>
                <w:color w:val="000000"/>
                <w:sz w:val="20"/>
                <w:szCs w:val="20"/>
                <w:lang w:val="en-GB"/>
              </w:rPr>
            </w:pPr>
            <w:r>
              <w:rPr>
                <w:color w:val="000000"/>
                <w:sz w:val="20"/>
                <w:szCs w:val="20"/>
                <w:lang w:val="en-GB"/>
              </w:rPr>
              <w:t>6.67</w:t>
            </w:r>
            <w:r w:rsidRPr="0085520D">
              <w:rPr>
                <w:color w:val="000000"/>
                <w:sz w:val="20"/>
                <w:szCs w:val="20"/>
                <w:lang w:val="en-GB"/>
              </w:rPr>
              <w:t>±</w:t>
            </w:r>
            <w:r w:rsidRPr="0085520D">
              <w:rPr>
                <w:sz w:val="20"/>
                <w:szCs w:val="20"/>
                <w:lang w:val="en-GB"/>
              </w:rPr>
              <w:t>0.16</w:t>
            </w:r>
            <w:r w:rsidRPr="0085520D">
              <w:rPr>
                <w:sz w:val="20"/>
                <w:szCs w:val="20"/>
                <w:vertAlign w:val="superscript"/>
                <w:lang w:val="en-GB"/>
              </w:rPr>
              <w:t xml:space="preserve"> </w:t>
            </w:r>
            <w:proofErr w:type="spellStart"/>
            <w:r>
              <w:rPr>
                <w:sz w:val="20"/>
                <w:szCs w:val="20"/>
                <w:vertAlign w:val="superscript"/>
                <w:lang w:val="en-GB"/>
              </w:rPr>
              <w:t>aA</w:t>
            </w:r>
            <w:proofErr w:type="spellEnd"/>
          </w:p>
        </w:tc>
      </w:tr>
      <w:bookmarkEnd w:id="4"/>
    </w:tbl>
    <w:p w:rsidR="008B6F6A" w:rsidRDefault="008B6F6A" w:rsidP="008B6F6A">
      <w:pPr>
        <w:rPr>
          <w:lang w:val="en-GB"/>
        </w:rPr>
      </w:pPr>
    </w:p>
    <w:p w:rsidR="008B6F6A" w:rsidRDefault="008B6F6A" w:rsidP="008B6F6A">
      <w:pPr>
        <w:rPr>
          <w:lang w:val="en-GB"/>
        </w:rPr>
      </w:pPr>
    </w:p>
    <w:p w:rsidR="008B6F6A" w:rsidRDefault="008B6F6A" w:rsidP="008B6F6A">
      <w:pPr>
        <w:rPr>
          <w:lang w:val="en-GB"/>
        </w:rPr>
      </w:pPr>
    </w:p>
    <w:p w:rsidR="008B6F6A" w:rsidRDefault="008B6F6A" w:rsidP="008B6F6A">
      <w:pPr>
        <w:rPr>
          <w:lang w:val="en-GB"/>
        </w:rPr>
      </w:pPr>
    </w:p>
    <w:p w:rsidR="008B6F6A" w:rsidRDefault="008B6F6A" w:rsidP="008B6F6A">
      <w:pPr>
        <w:rPr>
          <w:lang w:val="en-GB"/>
        </w:rPr>
      </w:pPr>
    </w:p>
    <w:p w:rsidR="008B6F6A" w:rsidRDefault="008B6F6A" w:rsidP="008B6F6A">
      <w:pPr>
        <w:rPr>
          <w:lang w:val="en-GB"/>
        </w:rPr>
      </w:pPr>
    </w:p>
    <w:p w:rsidR="008B6F6A" w:rsidRDefault="008B6F6A" w:rsidP="008B6F6A">
      <w:pPr>
        <w:rPr>
          <w:lang w:val="en-GB"/>
        </w:rPr>
      </w:pPr>
    </w:p>
    <w:p w:rsidR="008B6F6A" w:rsidRDefault="008B6F6A" w:rsidP="008B6F6A">
      <w:pPr>
        <w:rPr>
          <w:lang w:val="en-GB"/>
        </w:rPr>
      </w:pPr>
    </w:p>
    <w:p w:rsidR="008B6F6A" w:rsidRDefault="008B6F6A" w:rsidP="008B6F6A">
      <w:pPr>
        <w:rPr>
          <w:lang w:val="en-GB"/>
        </w:rPr>
      </w:pPr>
    </w:p>
    <w:p w:rsidR="008B6F6A" w:rsidRDefault="008B6F6A" w:rsidP="008B6F6A">
      <w:pPr>
        <w:rPr>
          <w:lang w:val="en-GB"/>
        </w:rPr>
      </w:pPr>
    </w:p>
    <w:p w:rsidR="008B6F6A" w:rsidRDefault="008B6F6A" w:rsidP="008B6F6A">
      <w:pPr>
        <w:rPr>
          <w:lang w:val="en-GB"/>
        </w:rPr>
      </w:pPr>
    </w:p>
    <w:p w:rsidR="008B6F6A" w:rsidRDefault="008B6F6A" w:rsidP="008B6F6A">
      <w:pPr>
        <w:rPr>
          <w:lang w:val="en-GB"/>
        </w:rPr>
      </w:pPr>
    </w:p>
    <w:p w:rsidR="008B6F6A" w:rsidRPr="00581EDB" w:rsidRDefault="008B6F6A" w:rsidP="008B6F6A">
      <w:pPr>
        <w:rPr>
          <w:lang w:val="en-GB"/>
        </w:rPr>
      </w:pPr>
    </w:p>
    <w:p w:rsidR="008B6F6A" w:rsidRPr="009C5A1B" w:rsidRDefault="008B6F6A" w:rsidP="008B6F6A">
      <w:pPr>
        <w:ind w:left="708"/>
        <w:jc w:val="both"/>
        <w:rPr>
          <w:sz w:val="20"/>
          <w:szCs w:val="20"/>
          <w:lang w:val="en-GB"/>
        </w:rPr>
      </w:pPr>
      <w:proofErr w:type="spellStart"/>
      <w:r w:rsidRPr="008C78DC">
        <w:rPr>
          <w:rFonts w:ascii="Arial" w:hAnsi="Arial" w:cs="Arial"/>
          <w:sz w:val="20"/>
          <w:szCs w:val="20"/>
          <w:vertAlign w:val="superscript"/>
          <w:lang w:val="en-GB"/>
        </w:rPr>
        <w:t>b</w:t>
      </w:r>
      <w:r w:rsidRPr="009C5A1B">
        <w:rPr>
          <w:sz w:val="20"/>
          <w:szCs w:val="20"/>
          <w:lang w:val="en-GB"/>
        </w:rPr>
        <w:t>Results</w:t>
      </w:r>
      <w:proofErr w:type="spellEnd"/>
      <w:r w:rsidRPr="009C5A1B">
        <w:rPr>
          <w:sz w:val="20"/>
          <w:szCs w:val="20"/>
          <w:lang w:val="en-GB"/>
        </w:rPr>
        <w:t xml:space="preserve"> were calculated as the mean Log count for three </w:t>
      </w:r>
      <w:r>
        <w:rPr>
          <w:sz w:val="20"/>
          <w:szCs w:val="20"/>
          <w:lang w:val="en-GB"/>
        </w:rPr>
        <w:t>replicates</w:t>
      </w:r>
      <w:r w:rsidRPr="009C5A1B">
        <w:rPr>
          <w:sz w:val="20"/>
          <w:szCs w:val="20"/>
          <w:lang w:val="en-GB"/>
        </w:rPr>
        <w:t xml:space="preserve">. </w:t>
      </w:r>
      <w:r>
        <w:rPr>
          <w:sz w:val="20"/>
          <w:szCs w:val="20"/>
          <w:lang w:val="en-GB"/>
        </w:rPr>
        <w:t>V</w:t>
      </w:r>
      <w:r w:rsidRPr="009C5A1B">
        <w:rPr>
          <w:sz w:val="20"/>
          <w:szCs w:val="20"/>
          <w:lang w:val="en-GB"/>
        </w:rPr>
        <w:t>alues with different superscripts (lowercase</w:t>
      </w:r>
      <w:r>
        <w:rPr>
          <w:sz w:val="20"/>
          <w:szCs w:val="20"/>
          <w:lang w:val="en-GB"/>
        </w:rPr>
        <w:t xml:space="preserve"> letters</w:t>
      </w:r>
      <w:r w:rsidRPr="009C5A1B">
        <w:rPr>
          <w:sz w:val="20"/>
          <w:szCs w:val="20"/>
          <w:lang w:val="en-GB"/>
        </w:rPr>
        <w:t>) in the same c</w:t>
      </w:r>
      <w:r>
        <w:rPr>
          <w:sz w:val="20"/>
          <w:szCs w:val="20"/>
          <w:lang w:val="en-GB"/>
        </w:rPr>
        <w:t>olumn differ significantly (P&lt;0.05</w:t>
      </w:r>
      <w:r w:rsidRPr="009C5A1B">
        <w:rPr>
          <w:sz w:val="20"/>
          <w:szCs w:val="20"/>
          <w:lang w:val="en-GB"/>
        </w:rPr>
        <w:t>).</w:t>
      </w:r>
      <w:r>
        <w:rPr>
          <w:sz w:val="20"/>
          <w:szCs w:val="20"/>
          <w:lang w:val="en-GB"/>
        </w:rPr>
        <w:t xml:space="preserve"> V</w:t>
      </w:r>
      <w:r w:rsidRPr="009C5A1B">
        <w:rPr>
          <w:sz w:val="20"/>
          <w:szCs w:val="20"/>
          <w:lang w:val="en-GB"/>
        </w:rPr>
        <w:t>alues with different superscripts (</w:t>
      </w:r>
      <w:r>
        <w:rPr>
          <w:sz w:val="20"/>
          <w:szCs w:val="20"/>
          <w:lang w:val="en-GB"/>
        </w:rPr>
        <w:t>uppercase letters</w:t>
      </w:r>
      <w:r w:rsidRPr="009C5A1B">
        <w:rPr>
          <w:sz w:val="20"/>
          <w:szCs w:val="20"/>
          <w:lang w:val="en-GB"/>
        </w:rPr>
        <w:t xml:space="preserve">) in the same </w:t>
      </w:r>
      <w:r>
        <w:rPr>
          <w:sz w:val="20"/>
          <w:szCs w:val="20"/>
          <w:lang w:val="en-GB"/>
        </w:rPr>
        <w:t>row differ significantly (</w:t>
      </w:r>
      <w:r w:rsidRPr="00944D95">
        <w:rPr>
          <w:sz w:val="20"/>
          <w:szCs w:val="20"/>
          <w:lang w:val="en-GB"/>
        </w:rPr>
        <w:t>P&lt;0.05</w:t>
      </w:r>
      <w:r w:rsidRPr="009C5A1B">
        <w:rPr>
          <w:sz w:val="20"/>
          <w:szCs w:val="20"/>
          <w:lang w:val="en-GB"/>
        </w:rPr>
        <w:t>).</w:t>
      </w:r>
    </w:p>
    <w:p w:rsidR="008B6F6A" w:rsidRPr="00581EDB" w:rsidRDefault="008B6F6A" w:rsidP="008B6F6A">
      <w:pPr>
        <w:rPr>
          <w:lang w:val="en-GB"/>
        </w:rPr>
      </w:pPr>
    </w:p>
    <w:p w:rsidR="008B6F6A" w:rsidRPr="00AD70F9" w:rsidRDefault="008B6F6A" w:rsidP="008B6F6A">
      <w:pPr>
        <w:rPr>
          <w:lang w:val="en-GB"/>
        </w:rPr>
      </w:pPr>
    </w:p>
    <w:p w:rsidR="008B6F6A" w:rsidRDefault="008B6F6A" w:rsidP="008B6F6A">
      <w:pPr>
        <w:keepNext/>
        <w:ind w:left="1134" w:right="816" w:hanging="11"/>
        <w:jc w:val="both"/>
        <w:outlineLvl w:val="2"/>
      </w:pPr>
      <w:r>
        <w:rPr>
          <w:b/>
        </w:rPr>
        <w:t xml:space="preserve">Table 6 </w:t>
      </w:r>
      <w:r>
        <w:t xml:space="preserve">– Fungal species identification following sequencing of </w:t>
      </w:r>
      <w:r w:rsidRPr="00283344">
        <w:rPr>
          <w:lang w:val="en-GB"/>
        </w:rPr>
        <w:t xml:space="preserve">18S-ITS genes </w:t>
      </w:r>
      <w:r>
        <w:t xml:space="preserve">purified from PCR-DGGE profiles of </w:t>
      </w:r>
      <w:r>
        <w:rPr>
          <w:lang w:val="en-GB"/>
        </w:rPr>
        <w:t>i</w:t>
      </w:r>
      <w:r w:rsidRPr="00E24A14">
        <w:rPr>
          <w:lang w:val="en-GB"/>
        </w:rPr>
        <w:t xml:space="preserve">nfested </w:t>
      </w:r>
      <w:r>
        <w:t>soil samples.</w:t>
      </w:r>
    </w:p>
    <w:tbl>
      <w:tblPr>
        <w:tblW w:w="5735" w:type="dxa"/>
        <w:jc w:val="center"/>
        <w:tblInd w:w="-1518" w:type="dxa"/>
        <w:tblCellMar>
          <w:left w:w="70" w:type="dxa"/>
          <w:right w:w="70" w:type="dxa"/>
        </w:tblCellMar>
        <w:tblLook w:val="0000"/>
      </w:tblPr>
      <w:tblGrid>
        <w:gridCol w:w="623"/>
        <w:gridCol w:w="2935"/>
        <w:gridCol w:w="763"/>
        <w:gridCol w:w="1414"/>
      </w:tblGrid>
      <w:tr w:rsidR="008B6F6A" w:rsidTr="002A6EB7">
        <w:trPr>
          <w:trHeight w:val="364"/>
          <w:jc w:val="center"/>
        </w:trPr>
        <w:tc>
          <w:tcPr>
            <w:tcW w:w="623" w:type="dxa"/>
            <w:tcBorders>
              <w:top w:val="single" w:sz="4" w:space="0" w:color="auto"/>
              <w:bottom w:val="single" w:sz="4" w:space="0" w:color="auto"/>
            </w:tcBorders>
          </w:tcPr>
          <w:p w:rsidR="008B6F6A" w:rsidRDefault="008B6F6A" w:rsidP="002A6EB7">
            <w:pPr>
              <w:keepNext/>
              <w:jc w:val="both"/>
              <w:outlineLvl w:val="0"/>
              <w:rPr>
                <w:sz w:val="20"/>
                <w:vertAlign w:val="superscript"/>
              </w:rPr>
            </w:pPr>
            <w:r>
              <w:rPr>
                <w:sz w:val="20"/>
              </w:rPr>
              <w:t>Band</w:t>
            </w:r>
            <w:r>
              <w:rPr>
                <w:sz w:val="20"/>
                <w:vertAlign w:val="superscript"/>
              </w:rPr>
              <w:t>a</w:t>
            </w:r>
          </w:p>
        </w:tc>
        <w:tc>
          <w:tcPr>
            <w:tcW w:w="3006" w:type="dxa"/>
            <w:tcBorders>
              <w:top w:val="single" w:sz="4" w:space="0" w:color="auto"/>
              <w:bottom w:val="single" w:sz="4" w:space="0" w:color="auto"/>
            </w:tcBorders>
          </w:tcPr>
          <w:p w:rsidR="008B6F6A" w:rsidRDefault="008B6F6A" w:rsidP="002A6EB7">
            <w:pPr>
              <w:keepNext/>
              <w:jc w:val="both"/>
              <w:outlineLvl w:val="0"/>
              <w:rPr>
                <w:sz w:val="20"/>
              </w:rPr>
            </w:pPr>
            <w:r>
              <w:rPr>
                <w:sz w:val="20"/>
              </w:rPr>
              <w:t>Closest relative</w:t>
            </w:r>
          </w:p>
        </w:tc>
        <w:tc>
          <w:tcPr>
            <w:tcW w:w="679" w:type="dxa"/>
            <w:tcBorders>
              <w:top w:val="single" w:sz="4" w:space="0" w:color="auto"/>
              <w:bottom w:val="single" w:sz="4" w:space="0" w:color="auto"/>
            </w:tcBorders>
          </w:tcPr>
          <w:p w:rsidR="008B6F6A" w:rsidRDefault="008B6F6A" w:rsidP="002A6EB7">
            <w:pPr>
              <w:jc w:val="center"/>
              <w:rPr>
                <w:sz w:val="20"/>
              </w:rPr>
            </w:pPr>
            <w:r>
              <w:rPr>
                <w:sz w:val="20"/>
              </w:rPr>
              <w:t>Identity (%)</w:t>
            </w:r>
          </w:p>
        </w:tc>
        <w:tc>
          <w:tcPr>
            <w:tcW w:w="1427" w:type="dxa"/>
            <w:tcBorders>
              <w:top w:val="single" w:sz="4" w:space="0" w:color="auto"/>
              <w:bottom w:val="single" w:sz="4" w:space="0" w:color="auto"/>
            </w:tcBorders>
          </w:tcPr>
          <w:p w:rsidR="008B6F6A" w:rsidRDefault="008B6F6A" w:rsidP="002A6EB7">
            <w:pPr>
              <w:jc w:val="both"/>
              <w:rPr>
                <w:sz w:val="20"/>
              </w:rPr>
            </w:pPr>
            <w:r>
              <w:rPr>
                <w:sz w:val="20"/>
              </w:rPr>
              <w:t>Closest relative Accession No.</w:t>
            </w:r>
          </w:p>
        </w:tc>
      </w:tr>
      <w:tr w:rsidR="008B6F6A" w:rsidTr="002A6EB7">
        <w:trPr>
          <w:trHeight w:val="270"/>
          <w:jc w:val="center"/>
        </w:trPr>
        <w:tc>
          <w:tcPr>
            <w:tcW w:w="623" w:type="dxa"/>
          </w:tcPr>
          <w:p w:rsidR="008B6F6A" w:rsidRDefault="008B6F6A" w:rsidP="002A6EB7">
            <w:pPr>
              <w:jc w:val="both"/>
              <w:rPr>
                <w:sz w:val="20"/>
              </w:rPr>
            </w:pPr>
            <w:r>
              <w:rPr>
                <w:sz w:val="20"/>
              </w:rPr>
              <w:t>1</w:t>
            </w:r>
          </w:p>
        </w:tc>
        <w:tc>
          <w:tcPr>
            <w:tcW w:w="3006" w:type="dxa"/>
          </w:tcPr>
          <w:p w:rsidR="008B6F6A" w:rsidRPr="007435C7" w:rsidRDefault="008B6F6A" w:rsidP="002A6EB7">
            <w:pPr>
              <w:jc w:val="center"/>
              <w:rPr>
                <w:rFonts w:eastAsia="Times"/>
                <w:i/>
              </w:rPr>
            </w:pPr>
            <w:proofErr w:type="spellStart"/>
            <w:r w:rsidRPr="007435C7">
              <w:rPr>
                <w:rFonts w:eastAsia="Times"/>
                <w:i/>
              </w:rPr>
              <w:t>Trichoderma</w:t>
            </w:r>
            <w:proofErr w:type="spellEnd"/>
            <w:r w:rsidRPr="007435C7">
              <w:rPr>
                <w:rFonts w:eastAsia="Times"/>
                <w:i/>
              </w:rPr>
              <w:t xml:space="preserve"> </w:t>
            </w:r>
            <w:proofErr w:type="spellStart"/>
            <w:r w:rsidRPr="007435C7">
              <w:rPr>
                <w:rFonts w:eastAsia="Times"/>
                <w:i/>
              </w:rPr>
              <w:t>asperellum</w:t>
            </w:r>
            <w:proofErr w:type="spellEnd"/>
          </w:p>
        </w:tc>
        <w:tc>
          <w:tcPr>
            <w:tcW w:w="679" w:type="dxa"/>
          </w:tcPr>
          <w:p w:rsidR="008B6F6A" w:rsidRPr="007435C7" w:rsidRDefault="008B6F6A" w:rsidP="002A6EB7">
            <w:pPr>
              <w:jc w:val="center"/>
              <w:rPr>
                <w:rFonts w:eastAsia="Times"/>
              </w:rPr>
            </w:pPr>
            <w:r w:rsidRPr="007435C7">
              <w:rPr>
                <w:rFonts w:eastAsia="Times"/>
              </w:rPr>
              <w:t>98</w:t>
            </w:r>
          </w:p>
        </w:tc>
        <w:tc>
          <w:tcPr>
            <w:tcW w:w="1427" w:type="dxa"/>
          </w:tcPr>
          <w:p w:rsidR="008B6F6A" w:rsidRPr="00301DE4" w:rsidRDefault="008B6F6A" w:rsidP="002A6EB7">
            <w:pPr>
              <w:jc w:val="center"/>
              <w:rPr>
                <w:rFonts w:eastAsia="Times"/>
              </w:rPr>
            </w:pPr>
            <w:r w:rsidRPr="00301DE4">
              <w:rPr>
                <w:rFonts w:eastAsia="Times"/>
              </w:rPr>
              <w:t>FJ797513</w:t>
            </w:r>
          </w:p>
        </w:tc>
      </w:tr>
      <w:tr w:rsidR="008B6F6A" w:rsidTr="002A6EB7">
        <w:trPr>
          <w:trHeight w:val="270"/>
          <w:jc w:val="center"/>
        </w:trPr>
        <w:tc>
          <w:tcPr>
            <w:tcW w:w="623" w:type="dxa"/>
          </w:tcPr>
          <w:p w:rsidR="008B6F6A" w:rsidRDefault="008B6F6A" w:rsidP="002A6EB7">
            <w:pPr>
              <w:jc w:val="both"/>
              <w:rPr>
                <w:sz w:val="20"/>
              </w:rPr>
            </w:pPr>
            <w:r>
              <w:rPr>
                <w:sz w:val="20"/>
              </w:rPr>
              <w:t>2</w:t>
            </w:r>
          </w:p>
        </w:tc>
        <w:tc>
          <w:tcPr>
            <w:tcW w:w="3006" w:type="dxa"/>
          </w:tcPr>
          <w:p w:rsidR="008B6F6A" w:rsidRPr="007435C7" w:rsidRDefault="008B6F6A" w:rsidP="002A6EB7">
            <w:pPr>
              <w:jc w:val="center"/>
              <w:rPr>
                <w:rFonts w:eastAsia="Times"/>
                <w:i/>
              </w:rPr>
            </w:pPr>
            <w:proofErr w:type="spellStart"/>
            <w:r w:rsidRPr="007435C7">
              <w:rPr>
                <w:rFonts w:eastAsia="Times"/>
                <w:i/>
              </w:rPr>
              <w:t>Preussia</w:t>
            </w:r>
            <w:proofErr w:type="spellEnd"/>
            <w:r w:rsidRPr="007435C7">
              <w:rPr>
                <w:rFonts w:eastAsia="Times"/>
                <w:i/>
              </w:rPr>
              <w:t xml:space="preserve"> </w:t>
            </w:r>
            <w:r w:rsidRPr="007435C7">
              <w:rPr>
                <w:rFonts w:eastAsia="Times"/>
              </w:rPr>
              <w:t>sp</w:t>
            </w:r>
            <w:r w:rsidRPr="007435C7">
              <w:rPr>
                <w:rFonts w:eastAsia="Times"/>
                <w:i/>
              </w:rPr>
              <w:t>.</w:t>
            </w:r>
          </w:p>
        </w:tc>
        <w:tc>
          <w:tcPr>
            <w:tcW w:w="679" w:type="dxa"/>
          </w:tcPr>
          <w:p w:rsidR="008B6F6A" w:rsidRPr="007435C7" w:rsidRDefault="008B6F6A" w:rsidP="002A6EB7">
            <w:pPr>
              <w:jc w:val="center"/>
              <w:rPr>
                <w:rFonts w:eastAsia="Times"/>
              </w:rPr>
            </w:pPr>
            <w:r w:rsidRPr="007435C7">
              <w:rPr>
                <w:rFonts w:eastAsia="Times"/>
              </w:rPr>
              <w:t>99</w:t>
            </w:r>
          </w:p>
        </w:tc>
        <w:tc>
          <w:tcPr>
            <w:tcW w:w="1427" w:type="dxa"/>
          </w:tcPr>
          <w:p w:rsidR="008B6F6A" w:rsidRPr="00301DE4" w:rsidRDefault="008B6F6A" w:rsidP="002A6EB7">
            <w:pPr>
              <w:jc w:val="center"/>
              <w:rPr>
                <w:rFonts w:eastAsia="Times"/>
              </w:rPr>
            </w:pPr>
            <w:r w:rsidRPr="00301DE4">
              <w:rPr>
                <w:rFonts w:eastAsia="Times"/>
              </w:rPr>
              <w:t>FJ210518</w:t>
            </w:r>
          </w:p>
        </w:tc>
      </w:tr>
      <w:tr w:rsidR="008B6F6A" w:rsidTr="002A6EB7">
        <w:trPr>
          <w:trHeight w:val="270"/>
          <w:jc w:val="center"/>
        </w:trPr>
        <w:tc>
          <w:tcPr>
            <w:tcW w:w="623" w:type="dxa"/>
          </w:tcPr>
          <w:p w:rsidR="008B6F6A" w:rsidRDefault="008B6F6A" w:rsidP="002A6EB7">
            <w:pPr>
              <w:jc w:val="both"/>
              <w:rPr>
                <w:sz w:val="20"/>
              </w:rPr>
            </w:pPr>
            <w:r>
              <w:rPr>
                <w:sz w:val="20"/>
              </w:rPr>
              <w:t>3</w:t>
            </w:r>
          </w:p>
        </w:tc>
        <w:tc>
          <w:tcPr>
            <w:tcW w:w="3006" w:type="dxa"/>
          </w:tcPr>
          <w:p w:rsidR="008B6F6A" w:rsidRPr="007435C7" w:rsidRDefault="008B6F6A" w:rsidP="002A6EB7">
            <w:pPr>
              <w:jc w:val="center"/>
              <w:rPr>
                <w:rFonts w:eastAsia="Times"/>
                <w:i/>
              </w:rPr>
            </w:pPr>
            <w:proofErr w:type="spellStart"/>
            <w:r w:rsidRPr="007435C7">
              <w:rPr>
                <w:rFonts w:eastAsia="Times"/>
                <w:i/>
              </w:rPr>
              <w:t>Fusarium</w:t>
            </w:r>
            <w:proofErr w:type="spellEnd"/>
            <w:r w:rsidRPr="007435C7">
              <w:rPr>
                <w:rFonts w:eastAsia="Times"/>
                <w:i/>
              </w:rPr>
              <w:t xml:space="preserve"> </w:t>
            </w:r>
            <w:proofErr w:type="spellStart"/>
            <w:r w:rsidRPr="007435C7">
              <w:rPr>
                <w:rFonts w:eastAsia="Times"/>
                <w:i/>
              </w:rPr>
              <w:t>oxysporum</w:t>
            </w:r>
            <w:proofErr w:type="spellEnd"/>
          </w:p>
        </w:tc>
        <w:tc>
          <w:tcPr>
            <w:tcW w:w="679" w:type="dxa"/>
          </w:tcPr>
          <w:p w:rsidR="008B6F6A" w:rsidRPr="007435C7" w:rsidRDefault="008B6F6A" w:rsidP="002A6EB7">
            <w:pPr>
              <w:jc w:val="center"/>
              <w:rPr>
                <w:rFonts w:eastAsia="Times"/>
              </w:rPr>
            </w:pPr>
            <w:r w:rsidRPr="007435C7">
              <w:rPr>
                <w:rFonts w:eastAsia="Times"/>
              </w:rPr>
              <w:t>98</w:t>
            </w:r>
          </w:p>
        </w:tc>
        <w:tc>
          <w:tcPr>
            <w:tcW w:w="1427" w:type="dxa"/>
          </w:tcPr>
          <w:p w:rsidR="008B6F6A" w:rsidRPr="00301DE4" w:rsidRDefault="008B6F6A" w:rsidP="002A6EB7">
            <w:pPr>
              <w:jc w:val="center"/>
              <w:rPr>
                <w:rFonts w:eastAsia="Times"/>
              </w:rPr>
            </w:pPr>
            <w:r w:rsidRPr="00301DE4">
              <w:rPr>
                <w:rFonts w:eastAsia="Times"/>
              </w:rPr>
              <w:t>JF439472</w:t>
            </w:r>
          </w:p>
        </w:tc>
      </w:tr>
      <w:tr w:rsidR="008B6F6A" w:rsidTr="002A6EB7">
        <w:trPr>
          <w:trHeight w:val="270"/>
          <w:jc w:val="center"/>
        </w:trPr>
        <w:tc>
          <w:tcPr>
            <w:tcW w:w="623" w:type="dxa"/>
          </w:tcPr>
          <w:p w:rsidR="008B6F6A" w:rsidRDefault="008B6F6A" w:rsidP="002A6EB7">
            <w:pPr>
              <w:jc w:val="both"/>
              <w:rPr>
                <w:sz w:val="20"/>
              </w:rPr>
            </w:pPr>
            <w:r>
              <w:rPr>
                <w:sz w:val="20"/>
              </w:rPr>
              <w:t>4</w:t>
            </w:r>
          </w:p>
        </w:tc>
        <w:tc>
          <w:tcPr>
            <w:tcW w:w="3006" w:type="dxa"/>
          </w:tcPr>
          <w:p w:rsidR="008B6F6A" w:rsidRPr="007435C7" w:rsidRDefault="008B6F6A" w:rsidP="002A6EB7">
            <w:pPr>
              <w:jc w:val="center"/>
              <w:rPr>
                <w:rFonts w:eastAsia="Times"/>
                <w:i/>
              </w:rPr>
            </w:pPr>
            <w:proofErr w:type="spellStart"/>
            <w:r w:rsidRPr="007435C7">
              <w:rPr>
                <w:rFonts w:eastAsia="Times"/>
                <w:i/>
              </w:rPr>
              <w:t>Myriococcum</w:t>
            </w:r>
            <w:proofErr w:type="spellEnd"/>
            <w:r w:rsidRPr="007435C7">
              <w:rPr>
                <w:rFonts w:eastAsia="Times"/>
                <w:i/>
              </w:rPr>
              <w:t xml:space="preserve"> </w:t>
            </w:r>
            <w:proofErr w:type="spellStart"/>
            <w:r w:rsidRPr="007435C7">
              <w:rPr>
                <w:rFonts w:eastAsia="Times"/>
                <w:i/>
              </w:rPr>
              <w:t>thermophilum</w:t>
            </w:r>
            <w:proofErr w:type="spellEnd"/>
          </w:p>
        </w:tc>
        <w:tc>
          <w:tcPr>
            <w:tcW w:w="679" w:type="dxa"/>
          </w:tcPr>
          <w:p w:rsidR="008B6F6A" w:rsidRPr="007435C7" w:rsidRDefault="008B6F6A" w:rsidP="002A6EB7">
            <w:pPr>
              <w:jc w:val="center"/>
              <w:rPr>
                <w:rFonts w:eastAsia="Times"/>
              </w:rPr>
            </w:pPr>
            <w:r w:rsidRPr="007435C7">
              <w:rPr>
                <w:rFonts w:eastAsia="Times"/>
              </w:rPr>
              <w:t>99</w:t>
            </w:r>
          </w:p>
        </w:tc>
        <w:tc>
          <w:tcPr>
            <w:tcW w:w="1427" w:type="dxa"/>
          </w:tcPr>
          <w:p w:rsidR="008B6F6A" w:rsidRPr="00301DE4" w:rsidRDefault="008B6F6A" w:rsidP="002A6EB7">
            <w:pPr>
              <w:jc w:val="center"/>
              <w:rPr>
                <w:rFonts w:eastAsia="Times"/>
              </w:rPr>
            </w:pPr>
            <w:r w:rsidRPr="00301DE4">
              <w:rPr>
                <w:rFonts w:eastAsia="Times"/>
              </w:rPr>
              <w:t>JF412008</w:t>
            </w:r>
          </w:p>
        </w:tc>
      </w:tr>
      <w:tr w:rsidR="008B6F6A" w:rsidTr="002A6EB7">
        <w:trPr>
          <w:trHeight w:val="270"/>
          <w:jc w:val="center"/>
        </w:trPr>
        <w:tc>
          <w:tcPr>
            <w:tcW w:w="623" w:type="dxa"/>
          </w:tcPr>
          <w:p w:rsidR="008B6F6A" w:rsidRDefault="008B6F6A" w:rsidP="002A6EB7">
            <w:pPr>
              <w:jc w:val="both"/>
              <w:rPr>
                <w:sz w:val="20"/>
              </w:rPr>
            </w:pPr>
            <w:r>
              <w:rPr>
                <w:sz w:val="20"/>
              </w:rPr>
              <w:t>5</w:t>
            </w:r>
          </w:p>
        </w:tc>
        <w:tc>
          <w:tcPr>
            <w:tcW w:w="3006" w:type="dxa"/>
          </w:tcPr>
          <w:p w:rsidR="008B6F6A" w:rsidRPr="007435C7" w:rsidRDefault="008B6F6A" w:rsidP="002A6EB7">
            <w:pPr>
              <w:jc w:val="center"/>
              <w:rPr>
                <w:rFonts w:eastAsia="Times"/>
                <w:i/>
              </w:rPr>
            </w:pPr>
            <w:proofErr w:type="spellStart"/>
            <w:r w:rsidRPr="007435C7">
              <w:rPr>
                <w:rFonts w:eastAsia="Times"/>
                <w:i/>
              </w:rPr>
              <w:t>Pseudallescheria</w:t>
            </w:r>
            <w:proofErr w:type="spellEnd"/>
            <w:r w:rsidRPr="007435C7">
              <w:rPr>
                <w:rFonts w:eastAsia="Times"/>
                <w:i/>
              </w:rPr>
              <w:t xml:space="preserve"> </w:t>
            </w:r>
            <w:proofErr w:type="spellStart"/>
            <w:r w:rsidRPr="007435C7">
              <w:rPr>
                <w:rFonts w:eastAsia="Times"/>
                <w:i/>
              </w:rPr>
              <w:t>fimeti</w:t>
            </w:r>
            <w:proofErr w:type="spellEnd"/>
          </w:p>
        </w:tc>
        <w:tc>
          <w:tcPr>
            <w:tcW w:w="679" w:type="dxa"/>
          </w:tcPr>
          <w:p w:rsidR="008B6F6A" w:rsidRPr="007435C7" w:rsidRDefault="008B6F6A" w:rsidP="002A6EB7">
            <w:pPr>
              <w:jc w:val="center"/>
              <w:rPr>
                <w:rFonts w:eastAsia="Times"/>
              </w:rPr>
            </w:pPr>
            <w:r w:rsidRPr="007435C7">
              <w:rPr>
                <w:rFonts w:eastAsia="Times"/>
              </w:rPr>
              <w:t>97</w:t>
            </w:r>
          </w:p>
        </w:tc>
        <w:tc>
          <w:tcPr>
            <w:tcW w:w="1427" w:type="dxa"/>
          </w:tcPr>
          <w:p w:rsidR="008B6F6A" w:rsidRPr="00301DE4" w:rsidRDefault="008B6F6A" w:rsidP="002A6EB7">
            <w:pPr>
              <w:jc w:val="center"/>
              <w:rPr>
                <w:rFonts w:eastAsia="Times"/>
              </w:rPr>
            </w:pPr>
            <w:r w:rsidRPr="00301DE4">
              <w:rPr>
                <w:rFonts w:eastAsia="Times"/>
              </w:rPr>
              <w:t>AY879799</w:t>
            </w:r>
          </w:p>
        </w:tc>
      </w:tr>
      <w:tr w:rsidR="008B6F6A" w:rsidTr="002A6EB7">
        <w:trPr>
          <w:trHeight w:val="270"/>
          <w:jc w:val="center"/>
        </w:trPr>
        <w:tc>
          <w:tcPr>
            <w:tcW w:w="623" w:type="dxa"/>
          </w:tcPr>
          <w:p w:rsidR="008B6F6A" w:rsidRDefault="008B6F6A" w:rsidP="002A6EB7">
            <w:pPr>
              <w:jc w:val="both"/>
              <w:rPr>
                <w:sz w:val="20"/>
              </w:rPr>
            </w:pPr>
            <w:r>
              <w:rPr>
                <w:sz w:val="20"/>
              </w:rPr>
              <w:t>6</w:t>
            </w:r>
          </w:p>
        </w:tc>
        <w:tc>
          <w:tcPr>
            <w:tcW w:w="3006" w:type="dxa"/>
          </w:tcPr>
          <w:p w:rsidR="008B6F6A" w:rsidRPr="007435C7" w:rsidRDefault="008B6F6A" w:rsidP="002A6EB7">
            <w:pPr>
              <w:jc w:val="center"/>
              <w:rPr>
                <w:i/>
              </w:rPr>
            </w:pPr>
            <w:proofErr w:type="spellStart"/>
            <w:r w:rsidRPr="007435C7">
              <w:rPr>
                <w:i/>
              </w:rPr>
              <w:t>Peziza</w:t>
            </w:r>
            <w:proofErr w:type="spellEnd"/>
            <w:r w:rsidRPr="007435C7">
              <w:rPr>
                <w:i/>
              </w:rPr>
              <w:t xml:space="preserve"> </w:t>
            </w:r>
            <w:proofErr w:type="spellStart"/>
            <w:r w:rsidRPr="007435C7">
              <w:rPr>
                <w:i/>
              </w:rPr>
              <w:t>ostracoderma</w:t>
            </w:r>
            <w:proofErr w:type="spellEnd"/>
          </w:p>
        </w:tc>
        <w:tc>
          <w:tcPr>
            <w:tcW w:w="679" w:type="dxa"/>
          </w:tcPr>
          <w:p w:rsidR="008B6F6A" w:rsidRPr="007435C7" w:rsidRDefault="008B6F6A" w:rsidP="002A6EB7">
            <w:pPr>
              <w:jc w:val="center"/>
              <w:rPr>
                <w:rFonts w:eastAsia="Times"/>
              </w:rPr>
            </w:pPr>
            <w:r w:rsidRPr="007435C7">
              <w:rPr>
                <w:rFonts w:eastAsia="Times"/>
              </w:rPr>
              <w:t>97</w:t>
            </w:r>
          </w:p>
        </w:tc>
        <w:tc>
          <w:tcPr>
            <w:tcW w:w="1427" w:type="dxa"/>
          </w:tcPr>
          <w:p w:rsidR="008B6F6A" w:rsidRPr="00301DE4" w:rsidRDefault="008B6F6A" w:rsidP="002A6EB7">
            <w:pPr>
              <w:jc w:val="center"/>
            </w:pPr>
            <w:r w:rsidRPr="00301DE4">
              <w:t>U40472</w:t>
            </w:r>
          </w:p>
        </w:tc>
      </w:tr>
      <w:tr w:rsidR="008B6F6A" w:rsidTr="002A6EB7">
        <w:trPr>
          <w:trHeight w:val="270"/>
          <w:jc w:val="center"/>
        </w:trPr>
        <w:tc>
          <w:tcPr>
            <w:tcW w:w="623" w:type="dxa"/>
          </w:tcPr>
          <w:p w:rsidR="008B6F6A" w:rsidRDefault="008B6F6A" w:rsidP="002A6EB7">
            <w:pPr>
              <w:jc w:val="both"/>
              <w:rPr>
                <w:sz w:val="20"/>
              </w:rPr>
            </w:pPr>
            <w:r>
              <w:rPr>
                <w:sz w:val="20"/>
              </w:rPr>
              <w:t>7</w:t>
            </w:r>
          </w:p>
        </w:tc>
        <w:tc>
          <w:tcPr>
            <w:tcW w:w="3006" w:type="dxa"/>
          </w:tcPr>
          <w:p w:rsidR="008B6F6A" w:rsidRPr="00184220" w:rsidRDefault="008B6F6A" w:rsidP="002A6EB7">
            <w:pPr>
              <w:jc w:val="center"/>
            </w:pPr>
            <w:r w:rsidRPr="00184220">
              <w:t>Uncultured fungus</w:t>
            </w:r>
          </w:p>
        </w:tc>
        <w:tc>
          <w:tcPr>
            <w:tcW w:w="679" w:type="dxa"/>
          </w:tcPr>
          <w:p w:rsidR="008B6F6A" w:rsidRPr="007435C7" w:rsidRDefault="008B6F6A" w:rsidP="002A6EB7">
            <w:pPr>
              <w:jc w:val="center"/>
              <w:rPr>
                <w:rFonts w:eastAsia="Times"/>
              </w:rPr>
            </w:pPr>
            <w:r w:rsidRPr="007435C7">
              <w:rPr>
                <w:rFonts w:eastAsia="Times"/>
              </w:rPr>
              <w:t>100</w:t>
            </w:r>
          </w:p>
        </w:tc>
        <w:tc>
          <w:tcPr>
            <w:tcW w:w="1427" w:type="dxa"/>
          </w:tcPr>
          <w:p w:rsidR="008B6F6A" w:rsidRPr="00301DE4" w:rsidRDefault="008B6F6A" w:rsidP="002A6EB7">
            <w:pPr>
              <w:jc w:val="center"/>
            </w:pPr>
            <w:r w:rsidRPr="00301DE4">
              <w:t>HQ215860</w:t>
            </w:r>
          </w:p>
        </w:tc>
      </w:tr>
      <w:tr w:rsidR="008B6F6A" w:rsidTr="002A6EB7">
        <w:trPr>
          <w:trHeight w:val="270"/>
          <w:jc w:val="center"/>
        </w:trPr>
        <w:tc>
          <w:tcPr>
            <w:tcW w:w="623" w:type="dxa"/>
            <w:tcBorders>
              <w:bottom w:val="single" w:sz="6" w:space="0" w:color="auto"/>
            </w:tcBorders>
          </w:tcPr>
          <w:p w:rsidR="008B6F6A" w:rsidRDefault="008B6F6A" w:rsidP="002A6EB7">
            <w:pPr>
              <w:jc w:val="both"/>
              <w:rPr>
                <w:sz w:val="20"/>
              </w:rPr>
            </w:pPr>
            <w:r>
              <w:rPr>
                <w:sz w:val="20"/>
              </w:rPr>
              <w:t>8</w:t>
            </w:r>
          </w:p>
        </w:tc>
        <w:tc>
          <w:tcPr>
            <w:tcW w:w="3006" w:type="dxa"/>
            <w:tcBorders>
              <w:bottom w:val="single" w:sz="6" w:space="0" w:color="auto"/>
            </w:tcBorders>
          </w:tcPr>
          <w:p w:rsidR="008B6F6A" w:rsidRPr="007435C7" w:rsidRDefault="008B6F6A" w:rsidP="002A6EB7">
            <w:pPr>
              <w:jc w:val="center"/>
              <w:rPr>
                <w:i/>
              </w:rPr>
            </w:pPr>
            <w:proofErr w:type="spellStart"/>
            <w:r w:rsidRPr="007435C7">
              <w:rPr>
                <w:i/>
              </w:rPr>
              <w:t>Hypocreales</w:t>
            </w:r>
            <w:proofErr w:type="spellEnd"/>
            <w:r w:rsidRPr="007435C7">
              <w:rPr>
                <w:i/>
              </w:rPr>
              <w:t xml:space="preserve"> </w:t>
            </w:r>
            <w:r w:rsidRPr="007435C7">
              <w:t>sp.</w:t>
            </w:r>
          </w:p>
        </w:tc>
        <w:tc>
          <w:tcPr>
            <w:tcW w:w="679" w:type="dxa"/>
            <w:tcBorders>
              <w:bottom w:val="single" w:sz="6" w:space="0" w:color="auto"/>
            </w:tcBorders>
          </w:tcPr>
          <w:p w:rsidR="008B6F6A" w:rsidRPr="007435C7" w:rsidRDefault="008B6F6A" w:rsidP="002A6EB7">
            <w:pPr>
              <w:jc w:val="center"/>
              <w:rPr>
                <w:rFonts w:eastAsia="Times"/>
              </w:rPr>
            </w:pPr>
            <w:r w:rsidRPr="007435C7">
              <w:rPr>
                <w:rFonts w:eastAsia="Times"/>
              </w:rPr>
              <w:t>99</w:t>
            </w:r>
          </w:p>
        </w:tc>
        <w:tc>
          <w:tcPr>
            <w:tcW w:w="1427" w:type="dxa"/>
            <w:tcBorders>
              <w:bottom w:val="single" w:sz="6" w:space="0" w:color="auto"/>
            </w:tcBorders>
          </w:tcPr>
          <w:p w:rsidR="008B6F6A" w:rsidRPr="00301DE4" w:rsidRDefault="008B6F6A" w:rsidP="002A6EB7">
            <w:pPr>
              <w:jc w:val="center"/>
            </w:pPr>
            <w:r w:rsidRPr="00301DE4">
              <w:t>EF060712</w:t>
            </w:r>
          </w:p>
        </w:tc>
      </w:tr>
    </w:tbl>
    <w:p w:rsidR="008B6F6A" w:rsidRDefault="008B6F6A" w:rsidP="008B6F6A">
      <w:pPr>
        <w:ind w:left="1134" w:right="799"/>
        <w:jc w:val="both"/>
        <w:rPr>
          <w:sz w:val="20"/>
        </w:rPr>
      </w:pPr>
      <w:r>
        <w:rPr>
          <w:sz w:val="20"/>
          <w:vertAlign w:val="superscript"/>
        </w:rPr>
        <w:t>a</w:t>
      </w:r>
      <w:r>
        <w:rPr>
          <w:sz w:val="20"/>
        </w:rPr>
        <w:t xml:space="preserve"> bands 1 to 8 are indicated in Figure 1.</w:t>
      </w:r>
    </w:p>
    <w:p w:rsidR="008B6F6A" w:rsidRPr="00BF148D" w:rsidRDefault="008B6F6A" w:rsidP="008B6F6A"/>
    <w:p w:rsidR="008B6F6A" w:rsidRPr="008B6F6A" w:rsidRDefault="008B6F6A"/>
    <w:sectPr w:rsidR="008B6F6A" w:rsidRPr="008B6F6A" w:rsidSect="008238E2">
      <w:footerReference w:type="even" r:id="rId11"/>
      <w:footerReference w:type="default" r:id="rId12"/>
      <w:pgSz w:w="11906" w:h="16838"/>
      <w:pgMar w:top="1418" w:right="1134" w:bottom="1134" w:left="1134" w:header="720" w:footer="709"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424" w:rsidRDefault="00E94424" w:rsidP="002F09FD">
      <w:r>
        <w:separator/>
      </w:r>
    </w:p>
  </w:endnote>
  <w:endnote w:type="continuationSeparator" w:id="0">
    <w:p w:rsidR="00E94424" w:rsidRDefault="00E94424" w:rsidP="002F0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dvPSSAB-R">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dvOT863180fb">
    <w:panose1 w:val="00000000000000000000"/>
    <w:charset w:val="00"/>
    <w:family w:val="auto"/>
    <w:notTrueType/>
    <w:pitch w:val="default"/>
    <w:sig w:usb0="00000003" w:usb1="00000000" w:usb2="00000000" w:usb3="00000000" w:csb0="00000001" w:csb1="00000000"/>
  </w:font>
  <w:font w:name="Times-Roman">
    <w:altName w:val="Times New Roman"/>
    <w:charset w:val="00"/>
    <w:family w:val="roman"/>
    <w:pitch w:val="variable"/>
    <w:sig w:usb0="00000000" w:usb1="00000000" w:usb2="00000000" w:usb3="00000000" w:csb0="00000000" w:csb1="00000000"/>
  </w:font>
  <w:font w:name="GulliverRM">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FD" w:rsidRDefault="00077135">
    <w:pPr>
      <w:pStyle w:val="Pidipagina"/>
      <w:ind w:right="360"/>
    </w:pPr>
    <w:r>
      <w:fldChar w:fldCharType="begin"/>
    </w:r>
    <w:r w:rsidR="002F09FD">
      <w:instrText xml:space="preserve"> PAGE </w:instrText>
    </w:r>
    <w:r>
      <w:fldChar w:fldCharType="separate"/>
    </w:r>
    <w:r w:rsidR="008238E2">
      <w:rPr>
        <w:noProof/>
      </w:rPr>
      <w:t>20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FD" w:rsidRDefault="00077135">
    <w:pPr>
      <w:pStyle w:val="Pidipagina"/>
    </w:pPr>
    <w:r>
      <w:fldChar w:fldCharType="begin"/>
    </w:r>
    <w:r w:rsidR="002F09FD">
      <w:instrText xml:space="preserve"> PAGE </w:instrText>
    </w:r>
    <w:r>
      <w:fldChar w:fldCharType="separate"/>
    </w:r>
    <w:r w:rsidR="008238E2">
      <w:rPr>
        <w:noProof/>
      </w:rPr>
      <w:t>1</w:t>
    </w:r>
    <w:r>
      <w:fldChar w:fldCharType="end"/>
    </w:r>
  </w:p>
  <w:p w:rsidR="002F09FD" w:rsidRDefault="002F09F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424" w:rsidRDefault="00E94424" w:rsidP="002F09FD">
      <w:r>
        <w:separator/>
      </w:r>
    </w:p>
  </w:footnote>
  <w:footnote w:type="continuationSeparator" w:id="0">
    <w:p w:rsidR="00E94424" w:rsidRDefault="00E94424" w:rsidP="002F0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283"/>
  <w:defaultTableStyle w:val="Normale"/>
  <w:evenAndOddHeaders/>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068F6"/>
    <w:rsid w:val="00077135"/>
    <w:rsid w:val="0009664B"/>
    <w:rsid w:val="000C7B64"/>
    <w:rsid w:val="00112C80"/>
    <w:rsid w:val="00185E52"/>
    <w:rsid w:val="002070D7"/>
    <w:rsid w:val="00221F17"/>
    <w:rsid w:val="00223480"/>
    <w:rsid w:val="00243CE4"/>
    <w:rsid w:val="00252A62"/>
    <w:rsid w:val="002859BC"/>
    <w:rsid w:val="002940DE"/>
    <w:rsid w:val="002C61F2"/>
    <w:rsid w:val="002D0369"/>
    <w:rsid w:val="002F09FD"/>
    <w:rsid w:val="00315115"/>
    <w:rsid w:val="00332013"/>
    <w:rsid w:val="00386DDE"/>
    <w:rsid w:val="003B6169"/>
    <w:rsid w:val="003C0EDF"/>
    <w:rsid w:val="003D008C"/>
    <w:rsid w:val="003D6D84"/>
    <w:rsid w:val="003E5216"/>
    <w:rsid w:val="00410159"/>
    <w:rsid w:val="00421B8F"/>
    <w:rsid w:val="004448C9"/>
    <w:rsid w:val="00456421"/>
    <w:rsid w:val="00475A2B"/>
    <w:rsid w:val="004C45F0"/>
    <w:rsid w:val="004F557B"/>
    <w:rsid w:val="00511763"/>
    <w:rsid w:val="005871C5"/>
    <w:rsid w:val="005E3644"/>
    <w:rsid w:val="005E7DEB"/>
    <w:rsid w:val="006068F6"/>
    <w:rsid w:val="00636506"/>
    <w:rsid w:val="006428A7"/>
    <w:rsid w:val="00657B95"/>
    <w:rsid w:val="00677497"/>
    <w:rsid w:val="0068143E"/>
    <w:rsid w:val="006F39CD"/>
    <w:rsid w:val="007035BD"/>
    <w:rsid w:val="0073620C"/>
    <w:rsid w:val="008238E2"/>
    <w:rsid w:val="00826AD4"/>
    <w:rsid w:val="00884373"/>
    <w:rsid w:val="008B6F6A"/>
    <w:rsid w:val="008C2D89"/>
    <w:rsid w:val="008C3C10"/>
    <w:rsid w:val="008C4533"/>
    <w:rsid w:val="008C7D71"/>
    <w:rsid w:val="00973DC4"/>
    <w:rsid w:val="009B7B44"/>
    <w:rsid w:val="00A16732"/>
    <w:rsid w:val="00A348CE"/>
    <w:rsid w:val="00A51E35"/>
    <w:rsid w:val="00A923D2"/>
    <w:rsid w:val="00AC6E31"/>
    <w:rsid w:val="00AF5022"/>
    <w:rsid w:val="00B05285"/>
    <w:rsid w:val="00B27D32"/>
    <w:rsid w:val="00B56CE8"/>
    <w:rsid w:val="00B60B97"/>
    <w:rsid w:val="00B704B2"/>
    <w:rsid w:val="00B765ED"/>
    <w:rsid w:val="00B83E05"/>
    <w:rsid w:val="00B871D6"/>
    <w:rsid w:val="00BA1376"/>
    <w:rsid w:val="00BD1EDB"/>
    <w:rsid w:val="00C468AC"/>
    <w:rsid w:val="00C60241"/>
    <w:rsid w:val="00C665E4"/>
    <w:rsid w:val="00C965B4"/>
    <w:rsid w:val="00CC5FA7"/>
    <w:rsid w:val="00D226A8"/>
    <w:rsid w:val="00D45E2F"/>
    <w:rsid w:val="00D73368"/>
    <w:rsid w:val="00D9180B"/>
    <w:rsid w:val="00DF0A2B"/>
    <w:rsid w:val="00E555C1"/>
    <w:rsid w:val="00E94424"/>
    <w:rsid w:val="00E95470"/>
    <w:rsid w:val="00EC08FA"/>
    <w:rsid w:val="00F41016"/>
    <w:rsid w:val="00F50AA2"/>
    <w:rsid w:val="00F65219"/>
    <w:rsid w:val="00F96A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39CD"/>
    <w:pPr>
      <w:suppressAutoHyphens/>
    </w:pPr>
    <w:rPr>
      <w:rFonts w:eastAsia="SimSun"/>
      <w:kern w:val="1"/>
      <w:sz w:val="24"/>
      <w:szCs w:val="24"/>
      <w:lang w:val="en-US" w:eastAsia="ar-SA"/>
    </w:rPr>
  </w:style>
  <w:style w:type="paragraph" w:styleId="Titolo1">
    <w:name w:val="heading 1"/>
    <w:basedOn w:val="Normale"/>
    <w:next w:val="Corpodeltesto"/>
    <w:qFormat/>
    <w:rsid w:val="006F39CD"/>
    <w:pPr>
      <w:keepNext/>
      <w:spacing w:line="480" w:lineRule="auto"/>
      <w:jc w:val="both"/>
      <w:outlineLvl w:val="0"/>
    </w:pPr>
    <w:rPr>
      <w:rFonts w:ascii="Times" w:eastAsia="Times New Roman" w:hAnsi="Times" w:cs="Times"/>
      <w:i/>
      <w:szCs w:val="20"/>
    </w:rPr>
  </w:style>
  <w:style w:type="paragraph" w:styleId="Titolo2">
    <w:name w:val="heading 2"/>
    <w:basedOn w:val="Normale"/>
    <w:next w:val="Corpodeltesto"/>
    <w:qFormat/>
    <w:rsid w:val="006F39C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Corpodeltesto"/>
    <w:qFormat/>
    <w:rsid w:val="006F39CD"/>
    <w:pPr>
      <w:keepNext/>
      <w:numPr>
        <w:ilvl w:val="2"/>
        <w:numId w:val="1"/>
      </w:numPr>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F39CD"/>
  </w:style>
  <w:style w:type="character" w:customStyle="1" w:styleId="Titolo1Carattere">
    <w:name w:val="Titolo 1 Carattere"/>
    <w:basedOn w:val="Carpredefinitoparagrafo1"/>
    <w:rsid w:val="006F39CD"/>
    <w:rPr>
      <w:rFonts w:ascii="Times" w:hAnsi="Times" w:cs="Times New Roman"/>
      <w:i/>
      <w:sz w:val="20"/>
      <w:szCs w:val="20"/>
    </w:rPr>
  </w:style>
  <w:style w:type="character" w:customStyle="1" w:styleId="Titolo2Carattere">
    <w:name w:val="Titolo 2 Carattere"/>
    <w:basedOn w:val="Carpredefinitoparagrafo1"/>
    <w:rsid w:val="006F39CD"/>
    <w:rPr>
      <w:rFonts w:ascii="Arial" w:eastAsia="SimSun" w:hAnsi="Arial" w:cs="Arial"/>
      <w:b/>
      <w:bCs/>
      <w:i/>
      <w:iCs/>
      <w:sz w:val="28"/>
      <w:szCs w:val="28"/>
    </w:rPr>
  </w:style>
  <w:style w:type="character" w:customStyle="1" w:styleId="Titolo3Carattere">
    <w:name w:val="Titolo 3 Carattere"/>
    <w:basedOn w:val="Carpredefinitoparagrafo1"/>
    <w:rsid w:val="006F39CD"/>
    <w:rPr>
      <w:rFonts w:ascii="Arial" w:eastAsia="SimSun" w:hAnsi="Arial" w:cs="Arial"/>
      <w:b/>
      <w:bCs/>
      <w:sz w:val="26"/>
      <w:szCs w:val="26"/>
    </w:rPr>
  </w:style>
  <w:style w:type="character" w:customStyle="1" w:styleId="Corpodeltesto2Carattere">
    <w:name w:val="Corpo del testo 2 Carattere"/>
    <w:basedOn w:val="Carpredefinitoparagrafo1"/>
    <w:rsid w:val="006F39CD"/>
    <w:rPr>
      <w:rFonts w:ascii="Times New Roman" w:hAnsi="Times New Roman" w:cs="Times New Roman"/>
      <w:sz w:val="20"/>
      <w:szCs w:val="20"/>
    </w:rPr>
  </w:style>
  <w:style w:type="character" w:styleId="Collegamentoipertestuale">
    <w:name w:val="Hyperlink"/>
    <w:basedOn w:val="Carpredefinitoparagrafo1"/>
    <w:rsid w:val="006F39CD"/>
    <w:rPr>
      <w:rFonts w:cs="Times New Roman"/>
      <w:color w:val="0000FF"/>
      <w:u w:val="single"/>
    </w:rPr>
  </w:style>
  <w:style w:type="character" w:customStyle="1" w:styleId="hps">
    <w:name w:val="hps"/>
    <w:basedOn w:val="Carpredefinitoparagrafo1"/>
    <w:rsid w:val="006F39CD"/>
    <w:rPr>
      <w:rFonts w:cs="Times New Roman"/>
    </w:rPr>
  </w:style>
  <w:style w:type="character" w:customStyle="1" w:styleId="Rimandocommento1">
    <w:name w:val="Rimando commento1"/>
    <w:basedOn w:val="Carpredefinitoparagrafo1"/>
    <w:rsid w:val="006F39CD"/>
    <w:rPr>
      <w:rFonts w:cs="Times New Roman"/>
      <w:sz w:val="16"/>
      <w:szCs w:val="16"/>
    </w:rPr>
  </w:style>
  <w:style w:type="character" w:customStyle="1" w:styleId="TestocommentoCarattere">
    <w:name w:val="Testo commento Carattere"/>
    <w:basedOn w:val="Carpredefinitoparagrafo1"/>
    <w:rsid w:val="006F39CD"/>
    <w:rPr>
      <w:rFonts w:ascii="Times New Roman" w:eastAsia="SimSun" w:hAnsi="Times New Roman" w:cs="Times New Roman"/>
      <w:sz w:val="20"/>
      <w:szCs w:val="20"/>
    </w:rPr>
  </w:style>
  <w:style w:type="character" w:customStyle="1" w:styleId="SoggettocommentoCarattere">
    <w:name w:val="Soggetto commento Carattere"/>
    <w:basedOn w:val="TestocommentoCarattere"/>
    <w:rsid w:val="006F39CD"/>
    <w:rPr>
      <w:rFonts w:ascii="Times New Roman" w:eastAsia="SimSun" w:hAnsi="Times New Roman" w:cs="Times New Roman"/>
      <w:b/>
      <w:bCs/>
      <w:sz w:val="20"/>
      <w:szCs w:val="20"/>
    </w:rPr>
  </w:style>
  <w:style w:type="character" w:customStyle="1" w:styleId="TestofumettoCarattere">
    <w:name w:val="Testo fumetto Carattere"/>
    <w:basedOn w:val="Carpredefinitoparagrafo1"/>
    <w:rsid w:val="006F39CD"/>
    <w:rPr>
      <w:rFonts w:ascii="Tahoma" w:eastAsia="SimSun" w:hAnsi="Tahoma" w:cs="Tahoma"/>
      <w:sz w:val="16"/>
      <w:szCs w:val="16"/>
    </w:rPr>
  </w:style>
  <w:style w:type="character" w:customStyle="1" w:styleId="Numeroriga1">
    <w:name w:val="Numero riga1"/>
    <w:basedOn w:val="Carpredefinitoparagrafo1"/>
    <w:rsid w:val="006F39CD"/>
    <w:rPr>
      <w:rFonts w:cs="Times New Roman"/>
    </w:rPr>
  </w:style>
  <w:style w:type="character" w:styleId="Enfasicorsivo">
    <w:name w:val="Emphasis"/>
    <w:basedOn w:val="Carpredefinitoparagrafo1"/>
    <w:qFormat/>
    <w:rsid w:val="006F39CD"/>
    <w:rPr>
      <w:rFonts w:cs="Times New Roman"/>
      <w:i/>
      <w:iCs/>
    </w:rPr>
  </w:style>
  <w:style w:type="character" w:customStyle="1" w:styleId="PidipaginaCarattere">
    <w:name w:val="Piè di pagina Carattere"/>
    <w:basedOn w:val="Carpredefinitoparagrafo1"/>
    <w:rsid w:val="006F39CD"/>
    <w:rPr>
      <w:rFonts w:ascii="Times New Roman" w:eastAsia="SimSun" w:hAnsi="Times New Roman" w:cs="Times New Roman"/>
      <w:sz w:val="24"/>
      <w:szCs w:val="24"/>
    </w:rPr>
  </w:style>
  <w:style w:type="character" w:customStyle="1" w:styleId="Numeropagina1">
    <w:name w:val="Numero pagina1"/>
    <w:basedOn w:val="Carpredefinitoparagrafo1"/>
    <w:rsid w:val="006F39CD"/>
    <w:rPr>
      <w:rFonts w:cs="Times New Roman"/>
    </w:rPr>
  </w:style>
  <w:style w:type="character" w:customStyle="1" w:styleId="ListLabel1">
    <w:name w:val="ListLabel 1"/>
    <w:rsid w:val="006F39CD"/>
    <w:rPr>
      <w:rFonts w:eastAsia="SimSun"/>
    </w:rPr>
  </w:style>
  <w:style w:type="character" w:styleId="Numeroriga">
    <w:name w:val="line number"/>
    <w:rsid w:val="006F39CD"/>
  </w:style>
  <w:style w:type="paragraph" w:customStyle="1" w:styleId="Intestazione1">
    <w:name w:val="Intestazione1"/>
    <w:basedOn w:val="Normale"/>
    <w:next w:val="Corpodeltesto"/>
    <w:rsid w:val="006F39CD"/>
    <w:pPr>
      <w:keepNext/>
      <w:spacing w:before="240" w:after="120"/>
    </w:pPr>
    <w:rPr>
      <w:rFonts w:ascii="Arial" w:eastAsia="Lucida Sans Unicode" w:hAnsi="Arial" w:cs="Mangal"/>
      <w:sz w:val="28"/>
      <w:szCs w:val="28"/>
    </w:rPr>
  </w:style>
  <w:style w:type="paragraph" w:styleId="Corpodeltesto">
    <w:name w:val="Body Text"/>
    <w:basedOn w:val="Normale"/>
    <w:rsid w:val="006F39CD"/>
    <w:pPr>
      <w:spacing w:after="120"/>
    </w:pPr>
  </w:style>
  <w:style w:type="paragraph" w:styleId="Elenco">
    <w:name w:val="List"/>
    <w:basedOn w:val="Corpodeltesto"/>
    <w:rsid w:val="006F39CD"/>
    <w:rPr>
      <w:rFonts w:cs="Mangal"/>
    </w:rPr>
  </w:style>
  <w:style w:type="paragraph" w:customStyle="1" w:styleId="Didascalia1">
    <w:name w:val="Didascalia1"/>
    <w:basedOn w:val="Normale"/>
    <w:rsid w:val="006F39CD"/>
    <w:pPr>
      <w:suppressLineNumbers/>
      <w:spacing w:before="120" w:after="120"/>
    </w:pPr>
    <w:rPr>
      <w:rFonts w:cs="Mangal"/>
      <w:i/>
      <w:iCs/>
    </w:rPr>
  </w:style>
  <w:style w:type="paragraph" w:customStyle="1" w:styleId="Indice">
    <w:name w:val="Indice"/>
    <w:basedOn w:val="Normale"/>
    <w:rsid w:val="006F39CD"/>
    <w:pPr>
      <w:suppressLineNumbers/>
    </w:pPr>
    <w:rPr>
      <w:rFonts w:cs="Mangal"/>
    </w:rPr>
  </w:style>
  <w:style w:type="paragraph" w:customStyle="1" w:styleId="Corpodeltesto21">
    <w:name w:val="Corpo del testo 21"/>
    <w:basedOn w:val="Normale"/>
    <w:rsid w:val="006F39CD"/>
    <w:pPr>
      <w:spacing w:line="480" w:lineRule="auto"/>
      <w:jc w:val="both"/>
    </w:pPr>
    <w:rPr>
      <w:rFonts w:eastAsia="Calibri"/>
      <w:szCs w:val="20"/>
    </w:rPr>
  </w:style>
  <w:style w:type="paragraph" w:customStyle="1" w:styleId="Testocommento1">
    <w:name w:val="Testo commento1"/>
    <w:basedOn w:val="Normale"/>
    <w:rsid w:val="006F39CD"/>
    <w:rPr>
      <w:sz w:val="20"/>
      <w:szCs w:val="20"/>
    </w:rPr>
  </w:style>
  <w:style w:type="paragraph" w:customStyle="1" w:styleId="Soggettocommento1">
    <w:name w:val="Soggetto commento1"/>
    <w:basedOn w:val="Testocommento1"/>
    <w:rsid w:val="006F39CD"/>
    <w:rPr>
      <w:b/>
      <w:bCs/>
    </w:rPr>
  </w:style>
  <w:style w:type="paragraph" w:customStyle="1" w:styleId="Testofumetto1">
    <w:name w:val="Testo fumetto1"/>
    <w:basedOn w:val="Normale"/>
    <w:rsid w:val="006F39CD"/>
    <w:rPr>
      <w:rFonts w:ascii="Tahoma" w:hAnsi="Tahoma" w:cs="Tahoma"/>
      <w:sz w:val="16"/>
      <w:szCs w:val="16"/>
    </w:rPr>
  </w:style>
  <w:style w:type="paragraph" w:styleId="Pidipagina">
    <w:name w:val="footer"/>
    <w:basedOn w:val="Normale"/>
    <w:rsid w:val="006F39CD"/>
    <w:pPr>
      <w:suppressLineNumbers/>
      <w:tabs>
        <w:tab w:val="center" w:pos="4819"/>
        <w:tab w:val="right" w:pos="9638"/>
      </w:tabs>
    </w:pPr>
  </w:style>
  <w:style w:type="paragraph" w:styleId="Intestazione">
    <w:name w:val="header"/>
    <w:basedOn w:val="Normale"/>
    <w:rsid w:val="006F39CD"/>
    <w:pPr>
      <w:suppressLineNumbers/>
      <w:tabs>
        <w:tab w:val="center" w:pos="4819"/>
        <w:tab w:val="right" w:pos="9638"/>
      </w:tabs>
    </w:pPr>
  </w:style>
  <w:style w:type="paragraph" w:styleId="Testofumetto">
    <w:name w:val="Balloon Text"/>
    <w:basedOn w:val="Normale"/>
    <w:link w:val="TestofumettoCarattere1"/>
    <w:uiPriority w:val="99"/>
    <w:semiHidden/>
    <w:unhideWhenUsed/>
    <w:rsid w:val="00386DDE"/>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386DDE"/>
    <w:rPr>
      <w:rFonts w:ascii="Tahoma" w:eastAsia="SimSun" w:hAnsi="Tahoma" w:cs="Tahoma"/>
      <w:kern w:val="1"/>
      <w:sz w:val="16"/>
      <w:szCs w:val="16"/>
      <w:lang w:val="en-US" w:eastAsia="ar-SA"/>
    </w:rPr>
  </w:style>
  <w:style w:type="character" w:styleId="Rimandocommento">
    <w:name w:val="annotation reference"/>
    <w:basedOn w:val="Carpredefinitoparagrafo"/>
    <w:uiPriority w:val="99"/>
    <w:semiHidden/>
    <w:unhideWhenUsed/>
    <w:rsid w:val="003C0EDF"/>
    <w:rPr>
      <w:sz w:val="16"/>
      <w:szCs w:val="16"/>
    </w:rPr>
  </w:style>
  <w:style w:type="paragraph" w:styleId="Testocommento">
    <w:name w:val="annotation text"/>
    <w:basedOn w:val="Normale"/>
    <w:link w:val="TestocommentoCarattere1"/>
    <w:uiPriority w:val="99"/>
    <w:semiHidden/>
    <w:unhideWhenUsed/>
    <w:rsid w:val="003C0EDF"/>
    <w:rPr>
      <w:sz w:val="20"/>
      <w:szCs w:val="20"/>
    </w:rPr>
  </w:style>
  <w:style w:type="character" w:customStyle="1" w:styleId="TestocommentoCarattere1">
    <w:name w:val="Testo commento Carattere1"/>
    <w:basedOn w:val="Carpredefinitoparagrafo"/>
    <w:link w:val="Testocommento"/>
    <w:uiPriority w:val="99"/>
    <w:semiHidden/>
    <w:rsid w:val="003C0EDF"/>
    <w:rPr>
      <w:rFonts w:eastAsia="SimSun"/>
      <w:kern w:val="1"/>
      <w:lang w:val="en-US" w:eastAsia="ar-SA"/>
    </w:rPr>
  </w:style>
  <w:style w:type="paragraph" w:styleId="Soggettocommento">
    <w:name w:val="annotation subject"/>
    <w:basedOn w:val="Testocommento"/>
    <w:next w:val="Testocommento"/>
    <w:link w:val="SoggettocommentoCarattere1"/>
    <w:uiPriority w:val="99"/>
    <w:semiHidden/>
    <w:unhideWhenUsed/>
    <w:rsid w:val="003C0EDF"/>
    <w:rPr>
      <w:b/>
      <w:bCs/>
    </w:rPr>
  </w:style>
  <w:style w:type="character" w:customStyle="1" w:styleId="SoggettocommentoCarattere1">
    <w:name w:val="Soggetto commento Carattere1"/>
    <w:basedOn w:val="TestocommentoCarattere1"/>
    <w:link w:val="Soggettocommento"/>
    <w:uiPriority w:val="99"/>
    <w:semiHidden/>
    <w:rsid w:val="003C0EDF"/>
    <w:rPr>
      <w:rFonts w:eastAsia="SimSun"/>
      <w:b/>
      <w:bCs/>
      <w:kern w:val="1"/>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48DC3-AC26-4AE0-B556-7F0BABE7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5341</Words>
  <Characters>30447</Characters>
  <Application>Microsoft Office Word</Application>
  <DocSecurity>0</DocSecurity>
  <Lines>253</Lines>
  <Paragraphs>71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Ferrocino</dc:creator>
  <cp:lastModifiedBy>Massimo Pugliese</cp:lastModifiedBy>
  <cp:revision>3</cp:revision>
  <cp:lastPrinted>1900-12-31T22:00:00Z</cp:lastPrinted>
  <dcterms:created xsi:type="dcterms:W3CDTF">2015-11-26T10:29:00Z</dcterms:created>
  <dcterms:modified xsi:type="dcterms:W3CDTF">2015-11-30T14:35:00Z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