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BE9" w:rsidRDefault="00A91BE9">
      <w:pPr>
        <w:rPr>
          <w:b/>
          <w:bCs/>
          <w:sz w:val="28"/>
        </w:rPr>
      </w:pPr>
      <w:bookmarkStart w:id="0" w:name="_GoBack"/>
      <w:bookmarkEnd w:id="0"/>
    </w:p>
    <w:p w:rsidR="00A91BE9" w:rsidRPr="00A91BE9" w:rsidRDefault="00A91BE9" w:rsidP="00A91BE9">
      <w:pPr>
        <w:spacing w:after="200" w:line="276" w:lineRule="auto"/>
        <w:rPr>
          <w:rFonts w:ascii="Calibri" w:eastAsia="Calibri" w:hAnsi="Calibri"/>
          <w:sz w:val="22"/>
          <w:szCs w:val="22"/>
          <w:lang w:val="it-IT" w:eastAsia="en-US"/>
        </w:rPr>
      </w:pPr>
      <w:r>
        <w:rPr>
          <w:rFonts w:ascii="Calibri" w:eastAsia="Calibri" w:hAnsi="Calibri"/>
          <w:noProof/>
          <w:sz w:val="22"/>
          <w:szCs w:val="22"/>
          <w:lang w:val="it-IT"/>
        </w:rPr>
        <w:drawing>
          <wp:inline distT="0" distB="0" distL="0" distR="0">
            <wp:extent cx="6115050" cy="2286000"/>
            <wp:effectExtent l="0" t="0" r="0" b="0"/>
            <wp:docPr id="1" name="Picture 1" descr="image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image_galler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5050" cy="2286000"/>
                    </a:xfrm>
                    <a:prstGeom prst="rect">
                      <a:avLst/>
                    </a:prstGeom>
                    <a:noFill/>
                    <a:ln>
                      <a:noFill/>
                    </a:ln>
                  </pic:spPr>
                </pic:pic>
              </a:graphicData>
            </a:graphic>
          </wp:inline>
        </w:drawing>
      </w:r>
    </w:p>
    <w:p w:rsidR="00A91BE9" w:rsidRPr="00A91BE9" w:rsidRDefault="00A91BE9" w:rsidP="00A91BE9">
      <w:pPr>
        <w:spacing w:after="200" w:line="276" w:lineRule="auto"/>
        <w:rPr>
          <w:rFonts w:ascii="Calibri" w:eastAsia="Calibri" w:hAnsi="Calibri"/>
          <w:sz w:val="22"/>
          <w:szCs w:val="22"/>
          <w:lang w:val="it-IT" w:eastAsia="en-US"/>
        </w:rPr>
      </w:pPr>
    </w:p>
    <w:p w:rsidR="00A91BE9" w:rsidRPr="00A91BE9" w:rsidRDefault="00A91BE9" w:rsidP="00A91BE9">
      <w:pPr>
        <w:spacing w:after="200" w:line="276" w:lineRule="auto"/>
        <w:rPr>
          <w:rFonts w:ascii="Calibri" w:eastAsia="Calibri" w:hAnsi="Calibri"/>
          <w:sz w:val="22"/>
          <w:szCs w:val="22"/>
          <w:lang w:val="it-IT" w:eastAsia="en-US"/>
        </w:rPr>
      </w:pPr>
    </w:p>
    <w:p w:rsidR="00A91BE9" w:rsidRPr="00A91BE9" w:rsidRDefault="00A91BE9" w:rsidP="00A91BE9">
      <w:pPr>
        <w:spacing w:after="200" w:line="276" w:lineRule="auto"/>
        <w:rPr>
          <w:rFonts w:ascii="Calibri" w:eastAsia="Calibri" w:hAnsi="Calibri"/>
          <w:sz w:val="22"/>
          <w:szCs w:val="22"/>
          <w:lang w:val="it-IT" w:eastAsia="en-US"/>
        </w:rPr>
      </w:pPr>
    </w:p>
    <w:p w:rsidR="00A91BE9" w:rsidRPr="00A91BE9" w:rsidRDefault="00A91BE9" w:rsidP="00A91BE9">
      <w:pPr>
        <w:spacing w:after="200" w:line="276" w:lineRule="auto"/>
        <w:jc w:val="center"/>
        <w:rPr>
          <w:rFonts w:ascii="Calibri" w:eastAsia="Calibri" w:hAnsi="Calibri"/>
          <w:i/>
          <w:iCs/>
          <w:sz w:val="28"/>
          <w:szCs w:val="28"/>
          <w:lang w:val="en-US" w:eastAsia="en-US"/>
        </w:rPr>
      </w:pPr>
      <w:r w:rsidRPr="00A91BE9">
        <w:rPr>
          <w:rFonts w:ascii="Calibri" w:eastAsia="Calibri" w:hAnsi="Calibri"/>
          <w:b/>
          <w:i/>
          <w:iCs/>
          <w:sz w:val="28"/>
          <w:szCs w:val="28"/>
          <w:lang w:val="en-US" w:eastAsia="en-US"/>
        </w:rPr>
        <w:t>This is an author version of the contribution published on</w:t>
      </w:r>
      <w:proofErr w:type="gramStart"/>
      <w:r w:rsidRPr="00A91BE9">
        <w:rPr>
          <w:rFonts w:ascii="Calibri" w:eastAsia="Calibri" w:hAnsi="Calibri"/>
          <w:i/>
          <w:iCs/>
          <w:sz w:val="28"/>
          <w:szCs w:val="28"/>
          <w:lang w:val="en-US" w:eastAsia="en-US"/>
        </w:rPr>
        <w:t>:</w:t>
      </w:r>
      <w:proofErr w:type="gramEnd"/>
      <w:r w:rsidRPr="00A91BE9">
        <w:rPr>
          <w:rFonts w:ascii="Calibri" w:eastAsia="Calibri" w:hAnsi="Calibri"/>
          <w:i/>
          <w:iCs/>
          <w:sz w:val="28"/>
          <w:szCs w:val="28"/>
          <w:lang w:val="en-US" w:eastAsia="en-US"/>
        </w:rPr>
        <w:br/>
        <w:t xml:space="preserve">Questa è la </w:t>
      </w:r>
      <w:proofErr w:type="spellStart"/>
      <w:r w:rsidRPr="00A91BE9">
        <w:rPr>
          <w:rFonts w:ascii="Calibri" w:eastAsia="Calibri" w:hAnsi="Calibri"/>
          <w:i/>
          <w:iCs/>
          <w:sz w:val="28"/>
          <w:szCs w:val="28"/>
          <w:lang w:val="en-US" w:eastAsia="en-US"/>
        </w:rPr>
        <w:t>versione</w:t>
      </w:r>
      <w:proofErr w:type="spellEnd"/>
      <w:r w:rsidRPr="00A91BE9">
        <w:rPr>
          <w:rFonts w:ascii="Calibri" w:eastAsia="Calibri" w:hAnsi="Calibri"/>
          <w:i/>
          <w:iCs/>
          <w:sz w:val="28"/>
          <w:szCs w:val="28"/>
          <w:lang w:val="en-US" w:eastAsia="en-US"/>
        </w:rPr>
        <w:t xml:space="preserve"> </w:t>
      </w:r>
      <w:proofErr w:type="spellStart"/>
      <w:r w:rsidRPr="00A91BE9">
        <w:rPr>
          <w:rFonts w:ascii="Calibri" w:eastAsia="Calibri" w:hAnsi="Calibri"/>
          <w:i/>
          <w:iCs/>
          <w:sz w:val="28"/>
          <w:szCs w:val="28"/>
          <w:lang w:val="en-US" w:eastAsia="en-US"/>
        </w:rPr>
        <w:t>dell’autore</w:t>
      </w:r>
      <w:proofErr w:type="spellEnd"/>
      <w:r w:rsidRPr="00A91BE9">
        <w:rPr>
          <w:rFonts w:ascii="Calibri" w:eastAsia="Calibri" w:hAnsi="Calibri"/>
          <w:i/>
          <w:iCs/>
          <w:sz w:val="28"/>
          <w:szCs w:val="28"/>
          <w:lang w:val="en-US" w:eastAsia="en-US"/>
        </w:rPr>
        <w:t xml:space="preserve"> </w:t>
      </w:r>
      <w:proofErr w:type="spellStart"/>
      <w:r w:rsidRPr="00A91BE9">
        <w:rPr>
          <w:rFonts w:ascii="Calibri" w:eastAsia="Calibri" w:hAnsi="Calibri"/>
          <w:i/>
          <w:iCs/>
          <w:sz w:val="28"/>
          <w:szCs w:val="28"/>
          <w:lang w:val="en-US" w:eastAsia="en-US"/>
        </w:rPr>
        <w:t>dell’opera</w:t>
      </w:r>
      <w:proofErr w:type="spellEnd"/>
      <w:r w:rsidRPr="00A91BE9">
        <w:rPr>
          <w:rFonts w:ascii="Calibri" w:eastAsia="Calibri" w:hAnsi="Calibri"/>
          <w:i/>
          <w:iCs/>
          <w:sz w:val="28"/>
          <w:szCs w:val="28"/>
          <w:lang w:val="en-US" w:eastAsia="en-US"/>
        </w:rPr>
        <w:t>:</w:t>
      </w:r>
      <w:r w:rsidRPr="00A91BE9">
        <w:rPr>
          <w:rFonts w:ascii="Calibri" w:eastAsia="Calibri" w:hAnsi="Calibri"/>
          <w:i/>
          <w:iCs/>
          <w:sz w:val="28"/>
          <w:szCs w:val="28"/>
          <w:lang w:val="en-US" w:eastAsia="en-US"/>
        </w:rPr>
        <w:br/>
        <w:t xml:space="preserve"> [</w:t>
      </w:r>
      <w:r w:rsidRPr="00986870">
        <w:rPr>
          <w:rFonts w:ascii="Calibri" w:eastAsia="Calibri" w:hAnsi="Calibri"/>
          <w:i/>
          <w:iCs/>
          <w:sz w:val="28"/>
          <w:szCs w:val="28"/>
          <w:lang w:val="en-US" w:eastAsia="en-US"/>
        </w:rPr>
        <w:t>European Journal of Pharmaceutical Sciences</w:t>
      </w:r>
      <w:r w:rsidRPr="00986870">
        <w:rPr>
          <w:rFonts w:ascii="Calibri" w:eastAsia="Calibri" w:hAnsi="Calibri"/>
          <w:i/>
          <w:iCs/>
          <w:sz w:val="28"/>
          <w:szCs w:val="28"/>
          <w:lang w:val="en-US" w:eastAsia="en-US"/>
        </w:rPr>
        <w:t xml:space="preserve"> 2013, </w:t>
      </w:r>
      <w:r w:rsidRPr="00986870">
        <w:rPr>
          <w:rFonts w:ascii="Calibri" w:eastAsia="Calibri" w:hAnsi="Calibri"/>
          <w:i/>
          <w:iCs/>
          <w:sz w:val="28"/>
          <w:szCs w:val="28"/>
          <w:lang w:val="en-US" w:eastAsia="en-US"/>
        </w:rPr>
        <w:t>50, 56–68</w:t>
      </w:r>
      <w:r w:rsidRPr="00A91BE9">
        <w:rPr>
          <w:rFonts w:ascii="Calibri" w:eastAsia="Calibri" w:hAnsi="Calibri"/>
          <w:i/>
          <w:iCs/>
          <w:sz w:val="28"/>
          <w:szCs w:val="28"/>
          <w:lang w:val="en-US" w:eastAsia="en-US"/>
        </w:rPr>
        <w:t>, DOI</w:t>
      </w:r>
      <w:r w:rsidRPr="00986870">
        <w:rPr>
          <w:rFonts w:ascii="Calibri" w:eastAsia="Calibri" w:hAnsi="Calibri"/>
          <w:i/>
          <w:iCs/>
          <w:sz w:val="28"/>
          <w:szCs w:val="28"/>
          <w:lang w:val="en-US" w:eastAsia="en-US"/>
        </w:rPr>
        <w:t xml:space="preserve">: </w:t>
      </w:r>
      <w:r w:rsidR="00986870" w:rsidRPr="00986870">
        <w:rPr>
          <w:rFonts w:ascii="Calibri" w:eastAsia="Calibri" w:hAnsi="Calibri"/>
          <w:i/>
          <w:iCs/>
          <w:sz w:val="28"/>
          <w:szCs w:val="28"/>
          <w:lang w:val="en-US" w:eastAsia="en-US"/>
        </w:rPr>
        <w:t>10.1016/j.ejps.2013.03.003</w:t>
      </w:r>
      <w:r w:rsidRPr="00A91BE9">
        <w:rPr>
          <w:rFonts w:ascii="Calibri" w:eastAsia="Calibri" w:hAnsi="Calibri"/>
          <w:i/>
          <w:iCs/>
          <w:sz w:val="28"/>
          <w:szCs w:val="28"/>
          <w:lang w:val="en-US" w:eastAsia="en-US"/>
        </w:rPr>
        <w:t>]</w:t>
      </w:r>
    </w:p>
    <w:p w:rsidR="00A91BE9" w:rsidRPr="00A91BE9" w:rsidRDefault="00A91BE9" w:rsidP="00A91BE9">
      <w:pPr>
        <w:spacing w:after="200" w:line="276" w:lineRule="auto"/>
        <w:jc w:val="center"/>
        <w:rPr>
          <w:rFonts w:ascii="Calibri" w:eastAsia="Calibri" w:hAnsi="Calibri"/>
          <w:i/>
          <w:sz w:val="28"/>
          <w:szCs w:val="28"/>
          <w:lang w:val="it-IT" w:eastAsia="en-US"/>
        </w:rPr>
      </w:pPr>
      <w:r w:rsidRPr="00A91BE9">
        <w:rPr>
          <w:rFonts w:ascii="Calibri" w:eastAsia="Calibri" w:hAnsi="Calibri"/>
          <w:b/>
          <w:i/>
          <w:sz w:val="28"/>
          <w:szCs w:val="28"/>
          <w:lang w:val="it-IT" w:eastAsia="en-US"/>
        </w:rPr>
        <w:t>The definitive version is available at:</w:t>
      </w:r>
      <w:r w:rsidRPr="00A91BE9">
        <w:rPr>
          <w:rFonts w:ascii="Calibri" w:eastAsia="Calibri" w:hAnsi="Calibri"/>
          <w:i/>
          <w:sz w:val="28"/>
          <w:szCs w:val="28"/>
          <w:lang w:val="it-IT" w:eastAsia="en-US"/>
        </w:rPr>
        <w:br/>
        <w:t>La versione definitiva è disponibile alla URL:</w:t>
      </w:r>
      <w:r w:rsidRPr="00A91BE9">
        <w:rPr>
          <w:rFonts w:ascii="Calibri" w:eastAsia="Calibri" w:hAnsi="Calibri"/>
          <w:i/>
          <w:sz w:val="28"/>
          <w:szCs w:val="28"/>
          <w:lang w:val="it-IT" w:eastAsia="en-US"/>
        </w:rPr>
        <w:br/>
        <w:t>[</w:t>
      </w:r>
      <w:r w:rsidR="00986870" w:rsidRPr="00986870">
        <w:rPr>
          <w:rFonts w:ascii="Calibri" w:eastAsia="Calibri" w:hAnsi="Calibri"/>
          <w:i/>
          <w:sz w:val="28"/>
          <w:szCs w:val="28"/>
          <w:lang w:val="it-IT" w:eastAsia="en-US"/>
        </w:rPr>
        <w:t>http://www.sciencedirect.com/science/article/pii/S0928098713000985</w:t>
      </w:r>
      <w:r w:rsidRPr="00A91BE9">
        <w:rPr>
          <w:rFonts w:ascii="Calibri" w:eastAsia="Calibri" w:hAnsi="Calibri"/>
          <w:i/>
          <w:sz w:val="28"/>
          <w:szCs w:val="28"/>
          <w:lang w:val="it-IT" w:eastAsia="en-US"/>
        </w:rPr>
        <w:t>]</w:t>
      </w:r>
    </w:p>
    <w:p w:rsidR="00986870" w:rsidRDefault="00986870">
      <w:pPr>
        <w:rPr>
          <w:rFonts w:ascii="Calibri" w:eastAsia="Calibri" w:hAnsi="Calibri"/>
          <w:sz w:val="22"/>
          <w:szCs w:val="22"/>
          <w:lang w:val="it-IT" w:eastAsia="en-US"/>
        </w:rPr>
      </w:pPr>
      <w:r>
        <w:rPr>
          <w:rFonts w:ascii="Calibri" w:eastAsia="Calibri" w:hAnsi="Calibri"/>
          <w:sz w:val="22"/>
          <w:szCs w:val="22"/>
          <w:lang w:val="it-IT" w:eastAsia="en-US"/>
        </w:rPr>
        <w:br w:type="page"/>
      </w:r>
    </w:p>
    <w:p w:rsidR="00102140" w:rsidRPr="00C26146" w:rsidRDefault="001830FD" w:rsidP="00BA4E3C">
      <w:pPr>
        <w:spacing w:line="480" w:lineRule="auto"/>
        <w:jc w:val="both"/>
        <w:rPr>
          <w:b/>
          <w:bCs/>
          <w:sz w:val="28"/>
        </w:rPr>
      </w:pPr>
      <w:proofErr w:type="spellStart"/>
      <w:r w:rsidRPr="00C26146">
        <w:rPr>
          <w:b/>
          <w:bCs/>
          <w:sz w:val="28"/>
        </w:rPr>
        <w:lastRenderedPageBreak/>
        <w:t>Mechanochemical</w:t>
      </w:r>
      <w:proofErr w:type="spellEnd"/>
      <w:r w:rsidRPr="00C26146">
        <w:rPr>
          <w:b/>
          <w:bCs/>
          <w:sz w:val="28"/>
        </w:rPr>
        <w:t xml:space="preserve"> activation of </w:t>
      </w:r>
      <w:proofErr w:type="spellStart"/>
      <w:r w:rsidRPr="00C26146">
        <w:rPr>
          <w:b/>
          <w:bCs/>
          <w:sz w:val="28"/>
        </w:rPr>
        <w:t>vincamine</w:t>
      </w:r>
      <w:proofErr w:type="spellEnd"/>
      <w:r w:rsidRPr="00C26146">
        <w:rPr>
          <w:b/>
          <w:bCs/>
          <w:sz w:val="28"/>
        </w:rPr>
        <w:t xml:space="preserve"> mediated by linear polymers</w:t>
      </w:r>
      <w:r w:rsidR="00BA4E3C" w:rsidRPr="00C26146">
        <w:rPr>
          <w:b/>
          <w:bCs/>
          <w:sz w:val="28"/>
        </w:rPr>
        <w:t>: assessment of some</w:t>
      </w:r>
      <w:r w:rsidR="00CB56BB" w:rsidRPr="00C26146">
        <w:rPr>
          <w:b/>
          <w:bCs/>
          <w:sz w:val="28"/>
        </w:rPr>
        <w:t xml:space="preserve"> “critical” steps </w:t>
      </w:r>
    </w:p>
    <w:p w:rsidR="00BA4E3C" w:rsidRPr="00C26146" w:rsidRDefault="00BA4E3C" w:rsidP="00077641">
      <w:pPr>
        <w:spacing w:line="480" w:lineRule="auto"/>
        <w:rPr>
          <w:b/>
          <w:bCs/>
        </w:rPr>
      </w:pPr>
    </w:p>
    <w:p w:rsidR="00096A8C" w:rsidRPr="00C26146" w:rsidRDefault="00096A8C" w:rsidP="00077641">
      <w:pPr>
        <w:spacing w:line="480" w:lineRule="auto"/>
        <w:rPr>
          <w:bCs/>
          <w:sz w:val="26"/>
          <w:szCs w:val="26"/>
          <w:lang w:val="it-IT"/>
        </w:rPr>
      </w:pPr>
      <w:r w:rsidRPr="00C26146">
        <w:rPr>
          <w:bCs/>
          <w:sz w:val="26"/>
          <w:szCs w:val="26"/>
          <w:lang w:val="it-IT"/>
        </w:rPr>
        <w:t>Dritan Hasa</w:t>
      </w:r>
      <w:r w:rsidR="003854CA" w:rsidRPr="00C26146">
        <w:rPr>
          <w:bCs/>
          <w:sz w:val="26"/>
          <w:szCs w:val="26"/>
          <w:vertAlign w:val="superscript"/>
          <w:lang w:val="it-IT"/>
        </w:rPr>
        <w:t>a</w:t>
      </w:r>
      <w:r w:rsidR="0097156A" w:rsidRPr="00C26146">
        <w:rPr>
          <w:bCs/>
          <w:sz w:val="26"/>
          <w:szCs w:val="26"/>
          <w:lang w:val="it-IT"/>
        </w:rPr>
        <w:t>,</w:t>
      </w:r>
      <w:r w:rsidR="008E0368" w:rsidRPr="00C26146">
        <w:rPr>
          <w:bCs/>
          <w:sz w:val="26"/>
          <w:szCs w:val="26"/>
          <w:lang w:val="it-IT"/>
        </w:rPr>
        <w:t xml:space="preserve"> </w:t>
      </w:r>
      <w:r w:rsidR="00387823" w:rsidRPr="00C26146">
        <w:rPr>
          <w:bCs/>
          <w:sz w:val="26"/>
          <w:szCs w:val="26"/>
          <w:lang w:val="it-IT"/>
        </w:rPr>
        <w:t>Beatrice Perissutti</w:t>
      </w:r>
      <w:r w:rsidR="00387823" w:rsidRPr="00C26146">
        <w:rPr>
          <w:bCs/>
          <w:sz w:val="26"/>
          <w:szCs w:val="26"/>
          <w:vertAlign w:val="superscript"/>
          <w:lang w:val="it-IT"/>
        </w:rPr>
        <w:t>a</w:t>
      </w:r>
      <w:r w:rsidR="00387823" w:rsidRPr="00C26146">
        <w:rPr>
          <w:bCs/>
          <w:sz w:val="26"/>
          <w:szCs w:val="26"/>
          <w:lang w:val="it-IT"/>
        </w:rPr>
        <w:t xml:space="preserve">, </w:t>
      </w:r>
      <w:r w:rsidR="00EB391C" w:rsidRPr="00C26146">
        <w:rPr>
          <w:bCs/>
          <w:sz w:val="26"/>
          <w:szCs w:val="26"/>
          <w:lang w:val="it-IT"/>
        </w:rPr>
        <w:t>Mario Grassi</w:t>
      </w:r>
      <w:r w:rsidR="00EB391C" w:rsidRPr="00C26146">
        <w:rPr>
          <w:bCs/>
          <w:sz w:val="26"/>
          <w:szCs w:val="26"/>
          <w:vertAlign w:val="superscript"/>
          <w:lang w:val="it-IT"/>
        </w:rPr>
        <w:t>b</w:t>
      </w:r>
      <w:r w:rsidR="00EB391C" w:rsidRPr="00C26146">
        <w:rPr>
          <w:bCs/>
          <w:sz w:val="26"/>
          <w:szCs w:val="26"/>
          <w:lang w:val="it-IT"/>
        </w:rPr>
        <w:t>,</w:t>
      </w:r>
      <w:r w:rsidR="00387823" w:rsidRPr="00C26146">
        <w:rPr>
          <w:bCs/>
          <w:sz w:val="26"/>
          <w:szCs w:val="26"/>
          <w:lang w:val="it-IT"/>
        </w:rPr>
        <w:t xml:space="preserve"> </w:t>
      </w:r>
      <w:r w:rsidRPr="00C26146">
        <w:rPr>
          <w:bCs/>
          <w:sz w:val="26"/>
          <w:szCs w:val="26"/>
          <w:lang w:val="it-IT"/>
        </w:rPr>
        <w:t xml:space="preserve">Michele </w:t>
      </w:r>
      <w:r w:rsidR="00874BD8" w:rsidRPr="00C26146">
        <w:rPr>
          <w:bCs/>
          <w:sz w:val="26"/>
          <w:szCs w:val="26"/>
          <w:lang w:val="it-IT"/>
        </w:rPr>
        <w:t xml:space="preserve">R. </w:t>
      </w:r>
      <w:r w:rsidRPr="00C26146">
        <w:rPr>
          <w:bCs/>
          <w:sz w:val="26"/>
          <w:szCs w:val="26"/>
          <w:lang w:val="it-IT"/>
        </w:rPr>
        <w:t>Chierotti</w:t>
      </w:r>
      <w:r w:rsidR="00EB391C" w:rsidRPr="00C26146">
        <w:rPr>
          <w:bCs/>
          <w:sz w:val="26"/>
          <w:szCs w:val="26"/>
          <w:vertAlign w:val="superscript"/>
          <w:lang w:val="it-IT"/>
        </w:rPr>
        <w:t>c</w:t>
      </w:r>
      <w:r w:rsidR="00FA567E" w:rsidRPr="00C26146">
        <w:rPr>
          <w:bCs/>
          <w:sz w:val="26"/>
          <w:szCs w:val="26"/>
          <w:lang w:val="it-IT"/>
        </w:rPr>
        <w:t xml:space="preserve">, </w:t>
      </w:r>
      <w:r w:rsidRPr="00C26146">
        <w:rPr>
          <w:bCs/>
          <w:sz w:val="26"/>
          <w:szCs w:val="26"/>
          <w:lang w:val="it-IT"/>
        </w:rPr>
        <w:t>Roberto Gobetto</w:t>
      </w:r>
      <w:r w:rsidR="00EB391C" w:rsidRPr="00C26146">
        <w:rPr>
          <w:bCs/>
          <w:sz w:val="26"/>
          <w:szCs w:val="26"/>
          <w:vertAlign w:val="superscript"/>
          <w:lang w:val="it-IT"/>
        </w:rPr>
        <w:t>c</w:t>
      </w:r>
      <w:r w:rsidR="001830FD" w:rsidRPr="00C26146">
        <w:rPr>
          <w:bCs/>
          <w:sz w:val="26"/>
          <w:szCs w:val="26"/>
          <w:lang w:val="it-IT"/>
        </w:rPr>
        <w:t>,</w:t>
      </w:r>
      <w:r w:rsidR="00E347D3" w:rsidRPr="00C26146">
        <w:rPr>
          <w:bCs/>
          <w:sz w:val="26"/>
          <w:szCs w:val="26"/>
          <w:lang w:val="it-IT"/>
        </w:rPr>
        <w:t xml:space="preserve"> Valerio Ferrario</w:t>
      </w:r>
      <w:r w:rsidR="00E347D3" w:rsidRPr="00C26146">
        <w:rPr>
          <w:bCs/>
          <w:sz w:val="26"/>
          <w:szCs w:val="26"/>
          <w:vertAlign w:val="superscript"/>
          <w:lang w:val="it-IT"/>
        </w:rPr>
        <w:t>a</w:t>
      </w:r>
      <w:r w:rsidR="00E347D3" w:rsidRPr="00C26146">
        <w:rPr>
          <w:bCs/>
          <w:sz w:val="26"/>
          <w:szCs w:val="26"/>
          <w:lang w:val="it-IT"/>
        </w:rPr>
        <w:t>,</w:t>
      </w:r>
      <w:r w:rsidR="001830FD" w:rsidRPr="00C26146">
        <w:rPr>
          <w:bCs/>
          <w:sz w:val="26"/>
          <w:szCs w:val="26"/>
          <w:lang w:val="it-IT"/>
        </w:rPr>
        <w:t xml:space="preserve"> Davide Lenaz</w:t>
      </w:r>
      <w:r w:rsidR="001830FD" w:rsidRPr="00C26146">
        <w:rPr>
          <w:bCs/>
          <w:sz w:val="26"/>
          <w:szCs w:val="26"/>
          <w:vertAlign w:val="superscript"/>
          <w:lang w:val="it-IT"/>
        </w:rPr>
        <w:t>d</w:t>
      </w:r>
      <w:r w:rsidR="001830FD" w:rsidRPr="00C26146">
        <w:rPr>
          <w:bCs/>
          <w:sz w:val="26"/>
          <w:szCs w:val="26"/>
          <w:lang w:val="it-IT"/>
        </w:rPr>
        <w:t xml:space="preserve">, </w:t>
      </w:r>
      <w:r w:rsidRPr="00C26146">
        <w:rPr>
          <w:bCs/>
          <w:sz w:val="26"/>
          <w:szCs w:val="26"/>
          <w:lang w:val="it-IT"/>
        </w:rPr>
        <w:t>Dario Voinovich</w:t>
      </w:r>
      <w:r w:rsidR="003854CA" w:rsidRPr="00C26146">
        <w:rPr>
          <w:bCs/>
          <w:sz w:val="26"/>
          <w:szCs w:val="26"/>
          <w:vertAlign w:val="superscript"/>
          <w:lang w:val="it-IT"/>
        </w:rPr>
        <w:t>a</w:t>
      </w:r>
      <w:r w:rsidRPr="00C26146">
        <w:rPr>
          <w:bCs/>
          <w:sz w:val="26"/>
          <w:szCs w:val="26"/>
          <w:vertAlign w:val="superscript"/>
          <w:lang w:val="it-IT"/>
        </w:rPr>
        <w:t>*</w:t>
      </w:r>
    </w:p>
    <w:p w:rsidR="00096A8C" w:rsidRPr="00C26146" w:rsidRDefault="00096A8C" w:rsidP="00077641">
      <w:pPr>
        <w:spacing w:line="480" w:lineRule="auto"/>
        <w:rPr>
          <w:vertAlign w:val="superscript"/>
          <w:lang w:val="it-IT"/>
        </w:rPr>
      </w:pPr>
    </w:p>
    <w:p w:rsidR="00096A8C" w:rsidRPr="00C26146" w:rsidRDefault="00096A8C" w:rsidP="00077641">
      <w:pPr>
        <w:spacing w:line="480" w:lineRule="auto"/>
        <w:rPr>
          <w:vertAlign w:val="superscript"/>
          <w:lang w:val="it-IT"/>
        </w:rPr>
      </w:pPr>
    </w:p>
    <w:p w:rsidR="00096A8C" w:rsidRPr="00C26146" w:rsidRDefault="003854CA" w:rsidP="00077641">
      <w:pPr>
        <w:spacing w:line="480" w:lineRule="auto"/>
      </w:pPr>
      <w:r w:rsidRPr="00C26146">
        <w:rPr>
          <w:vertAlign w:val="superscript"/>
        </w:rPr>
        <w:t xml:space="preserve">a </w:t>
      </w:r>
      <w:r w:rsidR="00096A8C" w:rsidRPr="00C26146">
        <w:t>Department of Chemical and Pharmaceutical Sciences, University of Trieste, P. le Europa 1, I-34127 Trieste, Italy</w:t>
      </w:r>
    </w:p>
    <w:p w:rsidR="00096A8C" w:rsidRPr="00C26146" w:rsidRDefault="00EB391C" w:rsidP="00077641">
      <w:pPr>
        <w:spacing w:line="480" w:lineRule="auto"/>
        <w:rPr>
          <w:iCs/>
        </w:rPr>
      </w:pPr>
      <w:proofErr w:type="gramStart"/>
      <w:r w:rsidRPr="00C26146">
        <w:rPr>
          <w:vertAlign w:val="superscript"/>
        </w:rPr>
        <w:t>b</w:t>
      </w:r>
      <w:proofErr w:type="gramEnd"/>
      <w:r w:rsidR="003854CA" w:rsidRPr="00C26146">
        <w:rPr>
          <w:vertAlign w:val="superscript"/>
        </w:rPr>
        <w:t xml:space="preserve"> </w:t>
      </w:r>
      <w:r w:rsidRPr="00C26146">
        <w:rPr>
          <w:iCs/>
        </w:rPr>
        <w:t xml:space="preserve">Department of Industrial Engineering and Information Technology, Via Valerio 6/A, I-34127, </w:t>
      </w:r>
      <w:smartTag w:uri="urn:schemas-microsoft-com:office:smarttags" w:element="place">
        <w:smartTag w:uri="urn:schemas-microsoft-com:office:smarttags" w:element="City">
          <w:r w:rsidRPr="00C26146">
            <w:rPr>
              <w:iCs/>
            </w:rPr>
            <w:t>Trieste</w:t>
          </w:r>
        </w:smartTag>
        <w:r w:rsidRPr="00C26146">
          <w:rPr>
            <w:iCs/>
          </w:rPr>
          <w:t xml:space="preserve">, </w:t>
        </w:r>
        <w:smartTag w:uri="urn:schemas-microsoft-com:office:smarttags" w:element="country-region">
          <w:r w:rsidRPr="00C26146">
            <w:rPr>
              <w:iCs/>
            </w:rPr>
            <w:t>Italy</w:t>
          </w:r>
        </w:smartTag>
      </w:smartTag>
    </w:p>
    <w:p w:rsidR="00EB391C" w:rsidRPr="00C26146" w:rsidRDefault="00EB391C" w:rsidP="00077641">
      <w:pPr>
        <w:spacing w:line="480" w:lineRule="auto"/>
      </w:pPr>
      <w:r w:rsidRPr="00C26146">
        <w:rPr>
          <w:vertAlign w:val="superscript"/>
        </w:rPr>
        <w:t xml:space="preserve">c </w:t>
      </w:r>
      <w:r w:rsidRPr="00C26146">
        <w:t xml:space="preserve">Department of Chemistry, University of Torino, Laboratory of NMR Spectroscopy, Via P. </w:t>
      </w:r>
      <w:proofErr w:type="spellStart"/>
      <w:r w:rsidRPr="00C26146">
        <w:t>Giuria</w:t>
      </w:r>
      <w:proofErr w:type="spellEnd"/>
      <w:r w:rsidRPr="00C26146">
        <w:t xml:space="preserve"> 7, I-10125 Torino, Italy</w:t>
      </w:r>
    </w:p>
    <w:p w:rsidR="00EB391C" w:rsidRPr="00C26146" w:rsidRDefault="001830FD" w:rsidP="00077641">
      <w:pPr>
        <w:spacing w:line="480" w:lineRule="auto"/>
        <w:rPr>
          <w:szCs w:val="13"/>
        </w:rPr>
      </w:pPr>
      <w:proofErr w:type="gramStart"/>
      <w:r w:rsidRPr="00C26146">
        <w:rPr>
          <w:vertAlign w:val="superscript"/>
        </w:rPr>
        <w:t>d</w:t>
      </w:r>
      <w:proofErr w:type="gramEnd"/>
      <w:r w:rsidRPr="00C26146">
        <w:rPr>
          <w:vertAlign w:val="superscript"/>
        </w:rPr>
        <w:t xml:space="preserve"> </w:t>
      </w:r>
      <w:r w:rsidR="00EB391C" w:rsidRPr="00C26146">
        <w:rPr>
          <w:szCs w:val="13"/>
        </w:rPr>
        <w:t xml:space="preserve">Department of Geosciences, </w:t>
      </w:r>
      <w:smartTag w:uri="urn:schemas-microsoft-com:office:smarttags" w:element="PlaceType">
        <w:r w:rsidR="00EB391C" w:rsidRPr="00C26146">
          <w:rPr>
            <w:szCs w:val="13"/>
          </w:rPr>
          <w:t>University</w:t>
        </w:r>
      </w:smartTag>
      <w:r w:rsidR="00EB391C" w:rsidRPr="00C26146">
        <w:rPr>
          <w:szCs w:val="13"/>
        </w:rPr>
        <w:t xml:space="preserve"> of </w:t>
      </w:r>
      <w:smartTag w:uri="urn:schemas-microsoft-com:office:smarttags" w:element="PlaceName">
        <w:r w:rsidR="00EB391C" w:rsidRPr="00C26146">
          <w:rPr>
            <w:szCs w:val="13"/>
          </w:rPr>
          <w:t>Trieste</w:t>
        </w:r>
      </w:smartTag>
      <w:r w:rsidR="00EB391C" w:rsidRPr="00C26146">
        <w:rPr>
          <w:szCs w:val="13"/>
        </w:rPr>
        <w:t xml:space="preserve">, Via Weiss 8, I- 34127 </w:t>
      </w:r>
      <w:smartTag w:uri="urn:schemas-microsoft-com:office:smarttags" w:element="place">
        <w:smartTag w:uri="urn:schemas-microsoft-com:office:smarttags" w:element="City">
          <w:r w:rsidR="00EB391C" w:rsidRPr="00C26146">
            <w:rPr>
              <w:szCs w:val="13"/>
            </w:rPr>
            <w:t>Trieste</w:t>
          </w:r>
        </w:smartTag>
        <w:r w:rsidR="00EB391C" w:rsidRPr="00C26146">
          <w:rPr>
            <w:szCs w:val="13"/>
          </w:rPr>
          <w:t xml:space="preserve">, </w:t>
        </w:r>
        <w:smartTag w:uri="urn:schemas-microsoft-com:office:smarttags" w:element="country-region">
          <w:r w:rsidR="00EB391C" w:rsidRPr="00C26146">
            <w:rPr>
              <w:szCs w:val="13"/>
            </w:rPr>
            <w:t>Italy</w:t>
          </w:r>
        </w:smartTag>
      </w:smartTag>
    </w:p>
    <w:p w:rsidR="00096A8C" w:rsidRPr="00C26146" w:rsidRDefault="00096A8C" w:rsidP="00077641">
      <w:pPr>
        <w:spacing w:line="480" w:lineRule="auto"/>
        <w:rPr>
          <w:rFonts w:eastAsia="Batang"/>
          <w:iCs/>
        </w:rPr>
      </w:pPr>
    </w:p>
    <w:p w:rsidR="00EB391C" w:rsidRPr="00C26146" w:rsidRDefault="00EB391C" w:rsidP="00077641">
      <w:pPr>
        <w:spacing w:line="480" w:lineRule="auto"/>
        <w:rPr>
          <w:rFonts w:eastAsia="Batang"/>
          <w:iCs/>
        </w:rPr>
      </w:pPr>
    </w:p>
    <w:p w:rsidR="00EB391C" w:rsidRPr="00C26146" w:rsidRDefault="00EB391C" w:rsidP="00077641">
      <w:pPr>
        <w:spacing w:line="480" w:lineRule="auto"/>
        <w:rPr>
          <w:rFonts w:eastAsia="Batang"/>
          <w:iCs/>
        </w:rPr>
      </w:pPr>
    </w:p>
    <w:p w:rsidR="00EB391C" w:rsidRPr="00C26146" w:rsidRDefault="00EB391C" w:rsidP="00077641">
      <w:pPr>
        <w:spacing w:line="480" w:lineRule="auto"/>
        <w:rPr>
          <w:rFonts w:eastAsia="Batang"/>
          <w:iCs/>
        </w:rPr>
      </w:pPr>
    </w:p>
    <w:p w:rsidR="00EB391C" w:rsidRPr="00C26146" w:rsidRDefault="00EB391C" w:rsidP="00077641">
      <w:pPr>
        <w:spacing w:line="480" w:lineRule="auto"/>
        <w:rPr>
          <w:rFonts w:eastAsia="Batang"/>
          <w:iCs/>
        </w:rPr>
      </w:pPr>
    </w:p>
    <w:p w:rsidR="00EB391C" w:rsidRPr="00C26146" w:rsidRDefault="00EB391C" w:rsidP="00077641">
      <w:pPr>
        <w:spacing w:line="480" w:lineRule="auto"/>
        <w:rPr>
          <w:rFonts w:eastAsia="Batang"/>
          <w:iCs/>
        </w:rPr>
      </w:pPr>
    </w:p>
    <w:p w:rsidR="00EB391C" w:rsidRPr="00C26146" w:rsidRDefault="00EB391C" w:rsidP="00077641">
      <w:pPr>
        <w:spacing w:line="480" w:lineRule="auto"/>
        <w:rPr>
          <w:rFonts w:eastAsia="Batang"/>
          <w:iCs/>
        </w:rPr>
      </w:pPr>
    </w:p>
    <w:p w:rsidR="00096A8C" w:rsidRPr="00C26146" w:rsidRDefault="00FA567E" w:rsidP="00077641">
      <w:pPr>
        <w:autoSpaceDE w:val="0"/>
        <w:autoSpaceDN w:val="0"/>
        <w:adjustRightInd w:val="0"/>
        <w:ind w:right="-26"/>
      </w:pPr>
      <w:r w:rsidRPr="00C26146">
        <w:t>*Corresponding author</w:t>
      </w:r>
      <w:r w:rsidR="00096A8C" w:rsidRPr="00C26146">
        <w:t>:</w:t>
      </w:r>
    </w:p>
    <w:p w:rsidR="00096A8C" w:rsidRPr="00C26146" w:rsidRDefault="00096A8C" w:rsidP="00FA567E">
      <w:pPr>
        <w:autoSpaceDE w:val="0"/>
        <w:autoSpaceDN w:val="0"/>
        <w:adjustRightInd w:val="0"/>
        <w:ind w:right="-26"/>
      </w:pPr>
      <w:r w:rsidRPr="00C26146">
        <w:t xml:space="preserve">Prof. Dario Voinovich, </w:t>
      </w:r>
    </w:p>
    <w:p w:rsidR="00096A8C" w:rsidRPr="00C26146" w:rsidRDefault="00096A8C" w:rsidP="00FA567E">
      <w:pPr>
        <w:autoSpaceDE w:val="0"/>
        <w:autoSpaceDN w:val="0"/>
        <w:adjustRightInd w:val="0"/>
        <w:ind w:right="-26"/>
      </w:pPr>
      <w:r w:rsidRPr="00C26146">
        <w:t xml:space="preserve">Dept. Chemical and Pharmaceutical Sciences, </w:t>
      </w:r>
    </w:p>
    <w:p w:rsidR="00096A8C" w:rsidRPr="00C26146" w:rsidRDefault="00096A8C" w:rsidP="00FA567E">
      <w:pPr>
        <w:autoSpaceDE w:val="0"/>
        <w:autoSpaceDN w:val="0"/>
        <w:adjustRightInd w:val="0"/>
        <w:ind w:right="-26"/>
        <w:rPr>
          <w:lang w:val="it-IT"/>
        </w:rPr>
      </w:pPr>
      <w:r w:rsidRPr="00C26146">
        <w:rPr>
          <w:lang w:val="it-IT"/>
        </w:rPr>
        <w:t>University of Trieste</w:t>
      </w:r>
    </w:p>
    <w:p w:rsidR="00096A8C" w:rsidRPr="00C26146" w:rsidRDefault="00096A8C" w:rsidP="00FA567E">
      <w:pPr>
        <w:autoSpaceDE w:val="0"/>
        <w:autoSpaceDN w:val="0"/>
        <w:adjustRightInd w:val="0"/>
        <w:ind w:right="-26"/>
        <w:rPr>
          <w:lang w:val="it-IT"/>
        </w:rPr>
      </w:pPr>
      <w:r w:rsidRPr="00C26146">
        <w:rPr>
          <w:lang w:val="it-IT"/>
        </w:rPr>
        <w:t>Piazzale Europa 1, 34127, Trieste, Italy</w:t>
      </w:r>
    </w:p>
    <w:p w:rsidR="00096A8C" w:rsidRPr="00C26146" w:rsidRDefault="00096A8C" w:rsidP="00FA567E">
      <w:pPr>
        <w:autoSpaceDE w:val="0"/>
        <w:autoSpaceDN w:val="0"/>
        <w:adjustRightInd w:val="0"/>
        <w:ind w:right="-26"/>
        <w:rPr>
          <w:lang w:val="it-IT"/>
        </w:rPr>
      </w:pPr>
      <w:r w:rsidRPr="00C26146">
        <w:rPr>
          <w:lang w:val="it-IT"/>
        </w:rPr>
        <w:t>E-MAIL: vojnovic@units.it</w:t>
      </w:r>
    </w:p>
    <w:p w:rsidR="00096A8C" w:rsidRPr="00C26146" w:rsidRDefault="00096A8C" w:rsidP="00FA567E">
      <w:pPr>
        <w:autoSpaceDE w:val="0"/>
        <w:autoSpaceDN w:val="0"/>
        <w:adjustRightInd w:val="0"/>
        <w:ind w:right="-26"/>
        <w:rPr>
          <w:lang w:val="it-IT"/>
        </w:rPr>
      </w:pPr>
      <w:r w:rsidRPr="00C26146">
        <w:rPr>
          <w:lang w:val="it-IT"/>
        </w:rPr>
        <w:t>TEL : 0039 - 040 - 5583106</w:t>
      </w:r>
    </w:p>
    <w:p w:rsidR="00E23C13" w:rsidRPr="00C26146" w:rsidRDefault="00096A8C" w:rsidP="00F97657">
      <w:pPr>
        <w:autoSpaceDE w:val="0"/>
        <w:autoSpaceDN w:val="0"/>
        <w:adjustRightInd w:val="0"/>
        <w:ind w:right="-26"/>
      </w:pPr>
      <w:proofErr w:type="gramStart"/>
      <w:r w:rsidRPr="00C26146">
        <w:t>FAX :</w:t>
      </w:r>
      <w:proofErr w:type="gramEnd"/>
      <w:r w:rsidRPr="00C26146">
        <w:t xml:space="preserve"> 0039 - 040 - 52572</w:t>
      </w:r>
    </w:p>
    <w:p w:rsidR="00096A8C" w:rsidRPr="00C26146" w:rsidRDefault="00096A8C" w:rsidP="00643677">
      <w:pPr>
        <w:spacing w:line="480" w:lineRule="auto"/>
        <w:rPr>
          <w:szCs w:val="26"/>
        </w:rPr>
      </w:pPr>
      <w:r w:rsidRPr="00C26146">
        <w:rPr>
          <w:b/>
          <w:bCs/>
          <w:caps/>
          <w:szCs w:val="26"/>
        </w:rPr>
        <w:lastRenderedPageBreak/>
        <w:t>A</w:t>
      </w:r>
      <w:r w:rsidR="00FB6004" w:rsidRPr="00C26146">
        <w:rPr>
          <w:b/>
          <w:bCs/>
          <w:szCs w:val="26"/>
        </w:rPr>
        <w:t>bstract</w:t>
      </w:r>
    </w:p>
    <w:p w:rsidR="00485C6E" w:rsidRPr="00C26146" w:rsidRDefault="00F72564" w:rsidP="00485C6E">
      <w:pPr>
        <w:tabs>
          <w:tab w:val="left" w:pos="1719"/>
        </w:tabs>
        <w:spacing w:line="480" w:lineRule="auto"/>
      </w:pPr>
      <w:r w:rsidRPr="00C26146">
        <w:t xml:space="preserve">The aim of the research was to investigate three “critical steps” that deserve particular attention during the mechanochemical activation of vincamine. </w:t>
      </w:r>
      <w:r w:rsidR="00485C6E" w:rsidRPr="00C26146">
        <w:t xml:space="preserve">The first step consisted in the selection of the best polymeric carrier/most affine stabiliser between linear PVP and NaCMC by using the GRID and the GRID based AutoDock software packages which permit to calculate their surface features and interactions. Moreover, the calculation of the partial and total solubility parameters supported the results obtained by GRID and AutoDock software. </w:t>
      </w:r>
    </w:p>
    <w:p w:rsidR="00096A8C" w:rsidRPr="00C26146" w:rsidRDefault="00F72564" w:rsidP="00643677">
      <w:pPr>
        <w:tabs>
          <w:tab w:val="left" w:pos="1719"/>
        </w:tabs>
        <w:spacing w:line="480" w:lineRule="auto"/>
      </w:pPr>
      <w:r w:rsidRPr="00C26146">
        <w:t xml:space="preserve">Then, </w:t>
      </w:r>
      <w:r w:rsidR="006456FD" w:rsidRPr="00C26146">
        <w:t>after the selection of</w:t>
      </w:r>
      <w:r w:rsidRPr="00C26146">
        <w:t xml:space="preserve"> linear PVP-K30 </w:t>
      </w:r>
      <w:r w:rsidR="006456FD" w:rsidRPr="00C26146">
        <w:t>as the suitable carrier</w:t>
      </w:r>
      <w:r w:rsidRPr="00C26146">
        <w:t>, the influence of process and formulation variables on the amorphi</w:t>
      </w:r>
      <w:r w:rsidR="006456FD" w:rsidRPr="00C26146">
        <w:t>z</w:t>
      </w:r>
      <w:r w:rsidRPr="00C26146">
        <w:t>ation degree and solubility enhancement was studied, to select the most suitable process conditions and formulation parameters. Subsequently, the best performing samples were widely characteri</w:t>
      </w:r>
      <w:r w:rsidR="006456FD" w:rsidRPr="00C26146">
        <w:t>z</w:t>
      </w:r>
      <w:r w:rsidRPr="00C26146">
        <w:t>ed using XRPD, TEM and SSNMR (including the proton relaxation (</w:t>
      </w:r>
      <w:r w:rsidRPr="00C26146">
        <w:rPr>
          <w:vertAlign w:val="superscript"/>
        </w:rPr>
        <w:t>1</w:t>
      </w:r>
      <w:r w:rsidRPr="00C26146">
        <w:t>H T</w:t>
      </w:r>
      <w:r w:rsidRPr="00C26146">
        <w:rPr>
          <w:vertAlign w:val="subscript"/>
        </w:rPr>
        <w:t>1</w:t>
      </w:r>
      <w:r w:rsidRPr="00C26146">
        <w:t xml:space="preserve"> NMR) time) techniques. These studies highlighted that all the coground samples were nanocrystalline solid dispersions indicating a dramatic difference between the amorph</w:t>
      </w:r>
      <w:r w:rsidR="00674D9A" w:rsidRPr="00C26146">
        <w:t>i</w:t>
      </w:r>
      <w:r w:rsidR="002A321F" w:rsidRPr="00C26146">
        <w:t>z</w:t>
      </w:r>
      <w:r w:rsidRPr="00C26146">
        <w:t>ation capacities of linear PVP-K30 and cross</w:t>
      </w:r>
      <w:r w:rsidR="002A321F" w:rsidRPr="00C26146">
        <w:t>-</w:t>
      </w:r>
      <w:r w:rsidRPr="00C26146">
        <w:t>linked PVP, used in previous analogo</w:t>
      </w:r>
      <w:r w:rsidR="002A321F" w:rsidRPr="00C26146">
        <w:t xml:space="preserve">us experiences. In particular, </w:t>
      </w:r>
      <w:smartTag w:uri="urn:schemas-microsoft-com:office:smarttags" w:element="metricconverter">
        <w:smartTagPr>
          <w:attr w:name="ProductID" w:val="13C"/>
        </w:smartTagPr>
        <w:r w:rsidRPr="00C26146">
          <w:rPr>
            <w:vertAlign w:val="superscript"/>
          </w:rPr>
          <w:t>13</w:t>
        </w:r>
        <w:r w:rsidRPr="00C26146">
          <w:t>C</w:t>
        </w:r>
      </w:smartTag>
      <w:r w:rsidRPr="00C26146">
        <w:t xml:space="preserve">, </w:t>
      </w:r>
      <w:r w:rsidRPr="00C26146">
        <w:rPr>
          <w:vertAlign w:val="superscript"/>
        </w:rPr>
        <w:t>15</w:t>
      </w:r>
      <w:r w:rsidRPr="00C26146">
        <w:t xml:space="preserve">N and </w:t>
      </w:r>
      <w:r w:rsidRPr="00C26146">
        <w:rPr>
          <w:vertAlign w:val="superscript"/>
        </w:rPr>
        <w:t>1</w:t>
      </w:r>
      <w:r w:rsidRPr="00C26146">
        <w:t>H T</w:t>
      </w:r>
      <w:r w:rsidRPr="00C26146">
        <w:rPr>
          <w:vertAlign w:val="subscript"/>
        </w:rPr>
        <w:t>1</w:t>
      </w:r>
      <w:r w:rsidRPr="00C26146">
        <w:t xml:space="preserve"> NMR data point to a description of the system as a dispersion of nanocrystals in the polymer. In these dispersions vincamine is in a disordered crystalline state due to extensive interact</w:t>
      </w:r>
      <w:r w:rsidR="002A321F" w:rsidRPr="00C26146">
        <w:t xml:space="preserve">ions and contacts with PVP-K30 </w:t>
      </w:r>
      <w:r w:rsidRPr="00C26146">
        <w:t>but the main hydrogen bonding motif characteri</w:t>
      </w:r>
      <w:r w:rsidR="0097156A" w:rsidRPr="00C26146">
        <w:t>z</w:t>
      </w:r>
      <w:r w:rsidRPr="00C26146">
        <w:t xml:space="preserve">ing its packing remains. Again, differently from cross-linked PVP, dissolution studies revealed that linear PVP-K30 was able to promote a complete </w:t>
      </w:r>
      <w:r w:rsidRPr="00C26146">
        <w:rPr>
          <w:i/>
        </w:rPr>
        <w:t>in vitro</w:t>
      </w:r>
      <w:r w:rsidRPr="00C26146">
        <w:t xml:space="preserve"> solubilisation of vincamine in some coground samples. What is more important, by using a linear polymer, drug-to-polymer and milling time variables appeared less influent on the solid state and </w:t>
      </w:r>
      <w:r w:rsidRPr="00C26146">
        <w:rPr>
          <w:i/>
        </w:rPr>
        <w:t>in vitro</w:t>
      </w:r>
      <w:r w:rsidRPr="00C26146">
        <w:t xml:space="preserve"> properties of the composites. Finally, stability studies conducted for a period of 1 </w:t>
      </w:r>
      <w:r w:rsidR="0097156A" w:rsidRPr="00C26146">
        <w:t>year</w:t>
      </w:r>
      <w:r w:rsidRPr="00C26146">
        <w:t xml:space="preserve"> highlighted the high physical sta</w:t>
      </w:r>
      <w:r w:rsidR="0097156A" w:rsidRPr="00C26146">
        <w:t>bility of the selected samples.</w:t>
      </w:r>
    </w:p>
    <w:p w:rsidR="00207087" w:rsidRPr="00C26146" w:rsidRDefault="00207087" w:rsidP="00643677">
      <w:pPr>
        <w:spacing w:line="480" w:lineRule="auto"/>
        <w:rPr>
          <w:b/>
          <w:bCs/>
          <w:iCs/>
        </w:rPr>
      </w:pPr>
    </w:p>
    <w:p w:rsidR="00452288" w:rsidRPr="00C26146" w:rsidRDefault="00096A8C" w:rsidP="00643677">
      <w:pPr>
        <w:spacing w:line="480" w:lineRule="auto"/>
      </w:pPr>
      <w:r w:rsidRPr="00C26146">
        <w:rPr>
          <w:b/>
          <w:bCs/>
          <w:iCs/>
        </w:rPr>
        <w:t>Keywords:</w:t>
      </w:r>
      <w:r w:rsidRPr="00C26146">
        <w:rPr>
          <w:i/>
        </w:rPr>
        <w:t xml:space="preserve"> </w:t>
      </w:r>
      <w:r w:rsidR="002E2938" w:rsidRPr="00C26146">
        <w:t>Vincamine, m</w:t>
      </w:r>
      <w:r w:rsidRPr="00C26146">
        <w:t xml:space="preserve">echanochemical activation, </w:t>
      </w:r>
      <w:r w:rsidR="00D11ED9" w:rsidRPr="00C26146">
        <w:t>linear</w:t>
      </w:r>
      <w:r w:rsidRPr="00C26146">
        <w:t xml:space="preserve"> polymers, </w:t>
      </w:r>
      <w:r w:rsidR="00B97F19" w:rsidRPr="00C26146">
        <w:t>solubility parameters</w:t>
      </w:r>
      <w:r w:rsidRPr="00C26146">
        <w:t>,</w:t>
      </w:r>
      <w:r w:rsidR="00D11ED9" w:rsidRPr="00C26146">
        <w:t xml:space="preserve"> </w:t>
      </w:r>
      <w:r w:rsidR="005923D9" w:rsidRPr="00C26146">
        <w:t>solid dispersion</w:t>
      </w:r>
      <w:r w:rsidR="00D11ED9" w:rsidRPr="00C26146">
        <w:t>,</w:t>
      </w:r>
      <w:r w:rsidRPr="00C26146">
        <w:t xml:space="preserve"> phy</w:t>
      </w:r>
      <w:r w:rsidR="006E7E07" w:rsidRPr="00C26146">
        <w:t>sical stability</w:t>
      </w:r>
      <w:r w:rsidRPr="00C26146">
        <w:t>.</w:t>
      </w:r>
    </w:p>
    <w:p w:rsidR="00096A8C" w:rsidRPr="00C26146" w:rsidRDefault="00E91D0B" w:rsidP="00643677">
      <w:pPr>
        <w:spacing w:line="480" w:lineRule="auto"/>
        <w:rPr>
          <w:b/>
          <w:bCs/>
          <w:szCs w:val="26"/>
        </w:rPr>
      </w:pPr>
      <w:r w:rsidRPr="00C26146">
        <w:rPr>
          <w:b/>
          <w:bCs/>
          <w:caps/>
          <w:szCs w:val="26"/>
        </w:rPr>
        <w:lastRenderedPageBreak/>
        <w:t xml:space="preserve">1. </w:t>
      </w:r>
      <w:r w:rsidR="00096A8C" w:rsidRPr="00C26146">
        <w:rPr>
          <w:b/>
          <w:bCs/>
          <w:caps/>
          <w:szCs w:val="26"/>
        </w:rPr>
        <w:t>I</w:t>
      </w:r>
      <w:r w:rsidRPr="00C26146">
        <w:rPr>
          <w:b/>
          <w:bCs/>
          <w:szCs w:val="26"/>
        </w:rPr>
        <w:t>ntroduction</w:t>
      </w:r>
    </w:p>
    <w:p w:rsidR="000C3F38" w:rsidRPr="00C26146" w:rsidRDefault="000C3F38" w:rsidP="000C3F38">
      <w:pPr>
        <w:autoSpaceDE w:val="0"/>
        <w:autoSpaceDN w:val="0"/>
        <w:adjustRightInd w:val="0"/>
        <w:spacing w:line="480" w:lineRule="auto"/>
      </w:pPr>
      <w:r w:rsidRPr="00C26146">
        <w:t>Vincamine, a cerebral vasodilator and nootropic drug, possesses interesting properties for use in neurodegenerative conditions (Karpati et al., 2002; Vas and Gulyas, 2005; Vereczkey, 1985). However, pure vincamine has limited solubility (nearly 40 mg/L at pH 7.4 (Hasa et al., 2012a)) due to its complex crystalline structure and lipophilic nature (Mazak et al., 2003)</w:t>
      </w:r>
      <w:r w:rsidR="00674D9A" w:rsidRPr="00C26146">
        <w:t>.</w:t>
      </w:r>
      <w:r w:rsidR="0097156A" w:rsidRPr="00C26146">
        <w:t xml:space="preserve"> </w:t>
      </w:r>
      <w:r w:rsidR="00674D9A" w:rsidRPr="00C26146">
        <w:t>Hence, vincamine shows poor oral bioavailability</w:t>
      </w:r>
      <w:r w:rsidRPr="00C26146">
        <w:t xml:space="preserve"> (Maincent et al., 1986). It is therefore necessary to induce modifications in the physico-chemical properties of vincamine in order to improve its solubility turning vincamine suitable for patient administration. </w:t>
      </w:r>
    </w:p>
    <w:p w:rsidR="000C3F38" w:rsidRPr="00C26146" w:rsidRDefault="000C3F38" w:rsidP="000C3F38">
      <w:pPr>
        <w:autoSpaceDE w:val="0"/>
        <w:autoSpaceDN w:val="0"/>
        <w:adjustRightInd w:val="0"/>
        <w:spacing w:line="480" w:lineRule="auto"/>
      </w:pPr>
      <w:r w:rsidRPr="00C26146">
        <w:t>Among different possible alternatives, the strategy of crystal lattice disruption represents one of the most common approaches for solubility improvement. In fact, the solubilisation phenomenon can be described as the sum of different energetic contributions, one of the most important being represented by the energy necessary to disrupt the crystalline pa</w:t>
      </w:r>
      <w:r w:rsidR="0097156A" w:rsidRPr="00C26146">
        <w:t>cking (Lipinski et al., 1997).</w:t>
      </w:r>
    </w:p>
    <w:p w:rsidR="000C3F38" w:rsidRPr="00C26146" w:rsidRDefault="000C3F38" w:rsidP="000C3F38">
      <w:pPr>
        <w:autoSpaceDE w:val="0"/>
        <w:autoSpaceDN w:val="0"/>
        <w:adjustRightInd w:val="0"/>
        <w:spacing w:line="480" w:lineRule="auto"/>
      </w:pPr>
      <w:r w:rsidRPr="00C26146">
        <w:t xml:space="preserve">Mechanochemical activation (MA) is a solvent-free process capable to alter physico-chemical properties of a substance. High amounts of mechanical energy are usually produced in ball mills and are transferred to the loaded crystalline substance. The energy absorbed leads into crystal defects and, subsequently into the formation of nanocrystalline and amorphous phases </w:t>
      </w:r>
      <w:r w:rsidRPr="00C26146">
        <w:rPr>
          <w:i/>
        </w:rPr>
        <w:t>via</w:t>
      </w:r>
      <w:r w:rsidRPr="00C26146">
        <w:t xml:space="preserve"> a complex interplay of several factors (Colombo et al, 2009). Both nanocrystalline and amorphous structures are more prone to dissolution than the crystalline state, due to their higher free energy.</w:t>
      </w:r>
    </w:p>
    <w:p w:rsidR="000C3F38" w:rsidRPr="00C26146" w:rsidRDefault="000C3F38" w:rsidP="000C3F38">
      <w:pPr>
        <w:autoSpaceDE w:val="0"/>
        <w:autoSpaceDN w:val="0"/>
        <w:adjustRightInd w:val="0"/>
        <w:spacing w:line="480" w:lineRule="auto"/>
      </w:pPr>
      <w:r w:rsidRPr="00C26146">
        <w:t xml:space="preserve">However, the above highly soluble status </w:t>
      </w:r>
      <w:r w:rsidR="002A321F" w:rsidRPr="00C26146">
        <w:t>is</w:t>
      </w:r>
      <w:r w:rsidRPr="00C26146">
        <w:t xml:space="preserve"> metastable, thus likely subjected to re-crystallisation phenomenon. For this reason, MA of a drug is usually performed in presence (cogrinding) of a suitable stabilising agent (carrier), usually a cross-linked polymer, giving origin to nanocrystalline and/or amorphous solid dispersions. Drug/carrier composites offer additional advantages with respect to the pure drug, such as physico-chemical and biopharmaceutical properties, likely to be an interesting drug delivery system for patient’s administration (Colombo et al., 2009; Hsia et al., 1977; Shakhtshneider and Boldyrev, 1999). Moreover, MA is a solvent-free process that is less harmful for the patient health and the environment, and cost-effective for the industry. Nevertheless, </w:t>
      </w:r>
      <w:r w:rsidRPr="00C26146">
        <w:lastRenderedPageBreak/>
        <w:t xml:space="preserve">despite the aforementioned advantages, the number of patents and therefore the number of commercial products prepared </w:t>
      </w:r>
      <w:r w:rsidRPr="00C26146">
        <w:rPr>
          <w:i/>
        </w:rPr>
        <w:t>via</w:t>
      </w:r>
      <w:r w:rsidR="0097156A" w:rsidRPr="00C26146">
        <w:t xml:space="preserve"> MA process remains</w:t>
      </w:r>
      <w:r w:rsidRPr="00C26146">
        <w:t xml:space="preserve"> low and slowing down in the la</w:t>
      </w:r>
      <w:r w:rsidR="0097156A" w:rsidRPr="00C26146">
        <w:t xml:space="preserve">st years (James et al., 2012). </w:t>
      </w:r>
      <w:r w:rsidRPr="00C26146">
        <w:t>This can be attributed to the scarce knowledge of mechanisms involved in MA process, to the low number of studies in the drug/carrier compatibility direction and to the small number of characterisation techniques used in order to understand the nature of drug/carrier interaction and stabilisation.</w:t>
      </w:r>
    </w:p>
    <w:p w:rsidR="001F0CEC" w:rsidRPr="00C26146" w:rsidRDefault="000C3F38" w:rsidP="00F97657">
      <w:pPr>
        <w:autoSpaceDE w:val="0"/>
        <w:autoSpaceDN w:val="0"/>
        <w:adjustRightInd w:val="0"/>
        <w:spacing w:line="480" w:lineRule="auto"/>
      </w:pPr>
      <w:r w:rsidRPr="00C26146">
        <w:t xml:space="preserve">The “route” from the initial crystalline drug to a final solid dispersion prepared </w:t>
      </w:r>
      <w:r w:rsidRPr="00C26146">
        <w:rPr>
          <w:i/>
        </w:rPr>
        <w:t>via</w:t>
      </w:r>
      <w:r w:rsidRPr="00C26146">
        <w:t xml:space="preserve"> MA process, possessing adequate physico-chemical and biopharmaceutical properties, can be sketched as a complex pathway wit</w:t>
      </w:r>
      <w:r w:rsidR="00F95124" w:rsidRPr="00C26146">
        <w:t>h some “critical steps”</w:t>
      </w:r>
      <w:r w:rsidRPr="00C26146">
        <w:t xml:space="preserve">. The first “critical” step consists in the selection of the optimal carrier on the basis of drug/carrier affinity, since the latter must act as a stabiliser of the former. Therefore, the potential of the carrier to form stable solid dispersions must be proved. It is difficult to find predictive models or techniques for this purpose and the state of the art is still evolving. </w:t>
      </w:r>
    </w:p>
    <w:p w:rsidR="000C3F38" w:rsidRPr="00C26146" w:rsidRDefault="000C3F38" w:rsidP="000C3F38">
      <w:pPr>
        <w:autoSpaceDE w:val="0"/>
        <w:autoSpaceDN w:val="0"/>
        <w:adjustRightInd w:val="0"/>
        <w:spacing w:line="480" w:lineRule="auto"/>
      </w:pPr>
      <w:r w:rsidRPr="00C26146">
        <w:t>The second “critical” step is represented by the MA process itself: studies on process (milling time, bowl loading</w:t>
      </w:r>
      <w:r w:rsidR="0097156A" w:rsidRPr="00C26146">
        <w:t xml:space="preserve"> etc.</w:t>
      </w:r>
      <w:r w:rsidRPr="00C26146">
        <w:t xml:space="preserve">) and formulation variables influencing the quality of the solid dispersions are always necessary. Pharmaceutical companies are putting a lot of effort to overcome these hurdles in order to design a fully controllable process.   </w:t>
      </w:r>
    </w:p>
    <w:p w:rsidR="000C3F38" w:rsidRPr="00C26146" w:rsidRDefault="000C3F38" w:rsidP="000C3F38">
      <w:pPr>
        <w:autoSpaceDE w:val="0"/>
        <w:autoSpaceDN w:val="0"/>
        <w:adjustRightInd w:val="0"/>
        <w:spacing w:line="480" w:lineRule="auto"/>
      </w:pPr>
      <w:r w:rsidRPr="00C26146">
        <w:t>Another “critical” point is the characterisation of the solid dispersions to select the product with the best physico-chemical and biopharmaceutical properties. Full characterisation is a crucial step for understanding the properties of the composites. The</w:t>
      </w:r>
      <w:r w:rsidR="002A321F" w:rsidRPr="00C26146">
        <w:t>refore, investigating the afore-</w:t>
      </w:r>
      <w:r w:rsidRPr="00C26146">
        <w:t xml:space="preserve">mentioned “critical” steps is </w:t>
      </w:r>
      <w:r w:rsidR="0097156A" w:rsidRPr="00C26146">
        <w:t>of crucial importance</w:t>
      </w:r>
      <w:r w:rsidRPr="00C26146">
        <w:t>.</w:t>
      </w:r>
    </w:p>
    <w:p w:rsidR="000C3F38" w:rsidRPr="00C26146" w:rsidRDefault="000C3F38" w:rsidP="000C3F38">
      <w:pPr>
        <w:autoSpaceDE w:val="0"/>
        <w:autoSpaceDN w:val="0"/>
        <w:adjustRightInd w:val="0"/>
        <w:spacing w:line="480" w:lineRule="auto"/>
      </w:pPr>
      <w:r w:rsidRPr="00C26146">
        <w:t>In the present research, MA of vincamine was performed in presence of linear polymers, and the</w:t>
      </w:r>
      <w:r w:rsidRPr="00C26146">
        <w:rPr>
          <w:rStyle w:val="hps"/>
        </w:rPr>
        <w:t xml:space="preserve"> </w:t>
      </w:r>
      <w:r w:rsidRPr="00C26146">
        <w:t>above mentioned “</w:t>
      </w:r>
      <w:r w:rsidRPr="00C26146">
        <w:rPr>
          <w:rStyle w:val="hps"/>
        </w:rPr>
        <w:t>critical steps” were</w:t>
      </w:r>
      <w:r w:rsidRPr="00C26146">
        <w:t xml:space="preserve"> </w:t>
      </w:r>
      <w:r w:rsidRPr="00C26146">
        <w:rPr>
          <w:rStyle w:val="hps"/>
        </w:rPr>
        <w:t>considered</w:t>
      </w:r>
      <w:r w:rsidRPr="00C26146">
        <w:t>. Whilst in our previous experience two cross-linked polymers were selected as vincamine carriers in virtue of their different physico-chemical properties (Hasa et al., 2012a), in this study</w:t>
      </w:r>
      <w:r w:rsidR="0097156A" w:rsidRPr="00C26146">
        <w:t>, polivinilpyrrolidone</w:t>
      </w:r>
      <w:r w:rsidRPr="00C26146">
        <w:t xml:space="preserve"> (PVP-K30) and sodium </w:t>
      </w:r>
      <w:r w:rsidRPr="00C26146">
        <w:lastRenderedPageBreak/>
        <w:t xml:space="preserve">carboxymethyl cellulose, (NaCMC) were considered as carriers and potential stabilisers of the nanocrystalline and amorphous structures of the drug, expected from the MA process. </w:t>
      </w:r>
    </w:p>
    <w:p w:rsidR="0044498C" w:rsidRPr="00C26146" w:rsidRDefault="000C3F38" w:rsidP="000C3F38">
      <w:pPr>
        <w:autoSpaceDE w:val="0"/>
        <w:autoSpaceDN w:val="0"/>
        <w:adjustRightInd w:val="0"/>
        <w:spacing w:line="480" w:lineRule="auto"/>
      </w:pPr>
      <w:r w:rsidRPr="00C26146">
        <w:t xml:space="preserve">During the first phase of the study, the chemical affinity between vincamine and the two carriers was investigated. To this purpose, the </w:t>
      </w:r>
      <w:r w:rsidR="0097156A" w:rsidRPr="00C26146">
        <w:t xml:space="preserve">GRID software, AutoDock GRID based software and the </w:t>
      </w:r>
      <w:r w:rsidRPr="00C26146">
        <w:t>solubility parameters and were used in order to evaluate the similarity between vincamine and the linear polymers and to select the adequate carrier capable to induce the formation of a higher degree of structure disorder and to stabilise it for a long period of time. Subsequently, the second critical step was studied by a detailed evaluation of the effects of the process and formulation variables (milling time, drug-to-carrier weight ratio) on both crystalline lattice disruption and solubility enhancement. Then, an in depth examination of the selected coground samples by different solid-state techniques such as transmission electron microscopy (TEM), X-Ray Powder Diffraction (XRPD) and Solid-State NMR Spectroscopy (SSNMR) was carried out. Finally, one year long physical stability studies of the selected composites were carried out.</w:t>
      </w:r>
      <w:r w:rsidR="007E5790" w:rsidRPr="00C26146">
        <w:t xml:space="preserve"> </w:t>
      </w:r>
    </w:p>
    <w:p w:rsidR="000C3F38" w:rsidRPr="00C26146" w:rsidRDefault="000C3F38" w:rsidP="000C3F38">
      <w:pPr>
        <w:autoSpaceDE w:val="0"/>
        <w:autoSpaceDN w:val="0"/>
        <w:adjustRightInd w:val="0"/>
        <w:spacing w:line="480" w:lineRule="auto"/>
      </w:pPr>
    </w:p>
    <w:p w:rsidR="00096A8C" w:rsidRPr="00C26146" w:rsidRDefault="00096A8C" w:rsidP="00643677">
      <w:pPr>
        <w:spacing w:line="480" w:lineRule="auto"/>
        <w:rPr>
          <w:b/>
          <w:caps/>
        </w:rPr>
      </w:pPr>
      <w:r w:rsidRPr="00C26146">
        <w:rPr>
          <w:b/>
          <w:caps/>
        </w:rPr>
        <w:t>2. M</w:t>
      </w:r>
      <w:r w:rsidRPr="00C26146">
        <w:rPr>
          <w:b/>
        </w:rPr>
        <w:t>aterials</w:t>
      </w:r>
      <w:r w:rsidRPr="00C26146">
        <w:rPr>
          <w:b/>
          <w:caps/>
        </w:rPr>
        <w:t xml:space="preserve"> </w:t>
      </w:r>
      <w:r w:rsidRPr="00C26146">
        <w:rPr>
          <w:b/>
        </w:rPr>
        <w:t>and methods</w:t>
      </w:r>
    </w:p>
    <w:p w:rsidR="00E91D0B" w:rsidRPr="00C26146" w:rsidRDefault="00096A8C" w:rsidP="00643677">
      <w:pPr>
        <w:spacing w:line="480" w:lineRule="auto"/>
      </w:pPr>
      <w:r w:rsidRPr="00C26146">
        <w:t>2.1</w:t>
      </w:r>
      <w:r w:rsidR="00F97657" w:rsidRPr="00C26146">
        <w:t>.</w:t>
      </w:r>
      <w:r w:rsidRPr="00C26146">
        <w:t xml:space="preserve"> Materials</w:t>
      </w:r>
    </w:p>
    <w:p w:rsidR="000C3F38" w:rsidRPr="00C26146" w:rsidRDefault="000C3F38" w:rsidP="000C3F38">
      <w:pPr>
        <w:spacing w:line="480" w:lineRule="auto"/>
      </w:pPr>
      <w:r w:rsidRPr="00C26146">
        <w:t xml:space="preserve">Pure vincamine was kindly provided from Linnea SA (Riazzino-Locarno, CH). Polyvinylpyrrolidone K30 (PVP-K30) and Sodium carboxymethyl cellulose (NaCMC) were purchased from BASF (Ludwigshafen, Germany) and Shilling (Milan, Italy) respectively. The other chemicals and solvents of HPLC grade were purchased by Carlo Erba (Milan, Italy). </w:t>
      </w:r>
    </w:p>
    <w:p w:rsidR="00E91D0B" w:rsidRPr="00C26146" w:rsidRDefault="00E91D0B" w:rsidP="00F95935">
      <w:pPr>
        <w:spacing w:line="480" w:lineRule="auto"/>
      </w:pPr>
    </w:p>
    <w:p w:rsidR="00096A8C" w:rsidRPr="00C26146" w:rsidRDefault="00096A8C" w:rsidP="00F95935">
      <w:pPr>
        <w:spacing w:line="480" w:lineRule="auto"/>
      </w:pPr>
      <w:r w:rsidRPr="00C26146">
        <w:t>2.2</w:t>
      </w:r>
      <w:r w:rsidR="00F97657" w:rsidRPr="00C26146">
        <w:t>.</w:t>
      </w:r>
      <w:r w:rsidRPr="00C26146">
        <w:t xml:space="preserve"> Methods</w:t>
      </w:r>
    </w:p>
    <w:p w:rsidR="00155C51" w:rsidRPr="00C26146" w:rsidRDefault="00155C51" w:rsidP="00155C51">
      <w:pPr>
        <w:spacing w:line="480" w:lineRule="auto"/>
      </w:pPr>
      <w:r w:rsidRPr="00C26146">
        <w:t>2.2.1</w:t>
      </w:r>
      <w:r w:rsidR="00F97657" w:rsidRPr="00C26146">
        <w:t>.</w:t>
      </w:r>
      <w:r w:rsidRPr="00C26146">
        <w:t xml:space="preserve"> Preparation of physical mixtures (PM)</w:t>
      </w:r>
    </w:p>
    <w:p w:rsidR="00155C51" w:rsidRPr="00C26146" w:rsidRDefault="00F11FE1" w:rsidP="00155C51">
      <w:pPr>
        <w:spacing w:line="480" w:lineRule="auto"/>
        <w:rPr>
          <w:bCs/>
        </w:rPr>
      </w:pPr>
      <w:r w:rsidRPr="00C26146">
        <w:rPr>
          <w:rFonts w:ascii="AdvTT020c6f89" w:hAnsi="AdvTT020c6f89" w:cs="AdvTT020c6f89"/>
        </w:rPr>
        <w:t>The vincamine</w:t>
      </w:r>
      <w:proofErr w:type="gramStart"/>
      <w:r w:rsidRPr="00C26146">
        <w:rPr>
          <w:rFonts w:ascii="AdvTT020c6f89" w:hAnsi="AdvTT020c6f89" w:cs="AdvTT020c6f89"/>
        </w:rPr>
        <w:t>:NaCMC</w:t>
      </w:r>
      <w:proofErr w:type="gramEnd"/>
      <w:r w:rsidRPr="00C26146">
        <w:rPr>
          <w:rFonts w:ascii="AdvTT020c6f89" w:hAnsi="AdvTT020c6f89" w:cs="AdvTT020c6f89"/>
        </w:rPr>
        <w:t xml:space="preserve"> physical mixture (PM) was prepared in a batch of </w:t>
      </w:r>
      <w:smartTag w:uri="urn:schemas-microsoft-com:office:smarttags" w:element="metricconverter">
        <w:smartTagPr>
          <w:attr w:name="ProductID" w:val="10 g"/>
        </w:smartTagPr>
        <w:r w:rsidRPr="00C26146">
          <w:rPr>
            <w:rFonts w:ascii="AdvTT020c6f89" w:hAnsi="AdvTT020c6f89" w:cs="AdvTT020c6f89"/>
          </w:rPr>
          <w:t>10 g</w:t>
        </w:r>
      </w:smartTag>
      <w:r w:rsidRPr="00C26146">
        <w:rPr>
          <w:rFonts w:ascii="AdvTT020c6f89" w:hAnsi="AdvTT020c6f89" w:cs="AdvTT020c6f89"/>
        </w:rPr>
        <w:t xml:space="preserve"> by manually mixing drug and polymer with a stainless steel spatula for the standardised time of 8 min. Then, </w:t>
      </w:r>
      <w:smartTag w:uri="urn:schemas-microsoft-com:office:smarttags" w:element="metricconverter">
        <w:smartTagPr>
          <w:attr w:name="ProductID" w:val="4.9 g"/>
        </w:smartTagPr>
        <w:r w:rsidRPr="00C26146">
          <w:rPr>
            <w:rFonts w:ascii="AdvTT020c6f89" w:hAnsi="AdvTT020c6f89" w:cs="AdvTT020c6f89"/>
          </w:rPr>
          <w:t>4.9 g</w:t>
        </w:r>
      </w:smartTag>
      <w:r w:rsidRPr="00C26146">
        <w:rPr>
          <w:rFonts w:ascii="AdvTT020c6f89" w:hAnsi="AdvTT020c6f89" w:cs="AdvTT020c6f89"/>
        </w:rPr>
        <w:t xml:space="preserve"> were coground in the planetary mill and the rest was used for comparison purposes. </w:t>
      </w:r>
      <w:r w:rsidR="002A321F" w:rsidRPr="00C26146">
        <w:rPr>
          <w:rFonts w:ascii="AdvTT020c6f89" w:hAnsi="AdvTT020c6f89" w:cs="AdvTT020c6f89"/>
        </w:rPr>
        <w:t xml:space="preserve">While, the </w:t>
      </w:r>
      <w:r w:rsidRPr="00C26146">
        <w:rPr>
          <w:rFonts w:ascii="AdvTT020c6f89" w:hAnsi="AdvTT020c6f89" w:cs="AdvTT020c6f89"/>
        </w:rPr>
        <w:lastRenderedPageBreak/>
        <w:t>vincamine</w:t>
      </w:r>
      <w:proofErr w:type="gramStart"/>
      <w:r w:rsidRPr="00C26146">
        <w:rPr>
          <w:rFonts w:ascii="AdvTT020c6f89" w:hAnsi="AdvTT020c6f89" w:cs="AdvTT020c6f89"/>
        </w:rPr>
        <w:t>:PVP</w:t>
      </w:r>
      <w:proofErr w:type="gramEnd"/>
      <w:r w:rsidRPr="00C26146">
        <w:rPr>
          <w:rFonts w:ascii="AdvTT020c6f89" w:hAnsi="AdvTT020c6f89" w:cs="AdvTT020c6f89"/>
        </w:rPr>
        <w:t xml:space="preserve">-K30 </w:t>
      </w:r>
      <w:r w:rsidR="002A321F" w:rsidRPr="00C26146">
        <w:rPr>
          <w:rFonts w:ascii="AdvTT020c6f89" w:hAnsi="AdvTT020c6f89" w:cs="AdvTT020c6f89"/>
        </w:rPr>
        <w:t xml:space="preserve">physical mixtures </w:t>
      </w:r>
      <w:r w:rsidRPr="00C26146">
        <w:rPr>
          <w:rFonts w:ascii="AdvTT020c6f89" w:hAnsi="AdvTT020c6f89" w:cs="AdvTT020c6f89"/>
        </w:rPr>
        <w:t xml:space="preserve">were prepared in batches of </w:t>
      </w:r>
      <w:smartTag w:uri="urn:schemas-microsoft-com:office:smarttags" w:element="metricconverter">
        <w:smartTagPr>
          <w:attr w:name="ProductID" w:val="25 g"/>
        </w:smartTagPr>
        <w:r w:rsidRPr="00C26146">
          <w:rPr>
            <w:rFonts w:ascii="AdvTT020c6f89" w:hAnsi="AdvTT020c6f89" w:cs="AdvTT020c6f89"/>
          </w:rPr>
          <w:t>25 g</w:t>
        </w:r>
      </w:smartTag>
      <w:r w:rsidRPr="00C26146">
        <w:rPr>
          <w:rFonts w:ascii="AdvTT020c6f89" w:hAnsi="AdvTT020c6f89" w:cs="AdvTT020c6f89"/>
        </w:rPr>
        <w:t xml:space="preserve">. The component weight proportions were the following: </w:t>
      </w:r>
      <w:r w:rsidRPr="00C26146">
        <w:t>1:2, 1:4 and 1:7 w/w</w:t>
      </w:r>
      <w:r w:rsidRPr="00C26146">
        <w:rPr>
          <w:rFonts w:ascii="AdvTT020c6f89" w:hAnsi="AdvTT020c6f89" w:cs="AdvTT020c6f89"/>
        </w:rPr>
        <w:t xml:space="preserve"> which were manually mixed with a stainless steel spatula for the standardised time of 8 min. Subsequently, the mixtures were divided in 5 quotes. Of those, </w:t>
      </w:r>
      <w:r w:rsidRPr="00C26146">
        <w:rPr>
          <w:bCs/>
        </w:rPr>
        <w:t>one part was used as PM for comparison purposes, and the other 4 parts were singularly subjected to mechanochemical treatment for different periods of time (45, 90, 120 and 180 min) using the operating conditions reported in the following paragraph.</w:t>
      </w:r>
    </w:p>
    <w:p w:rsidR="00F11FE1" w:rsidRPr="00C26146" w:rsidRDefault="00F11FE1" w:rsidP="00155C51">
      <w:pPr>
        <w:spacing w:line="480" w:lineRule="auto"/>
      </w:pPr>
    </w:p>
    <w:p w:rsidR="00E91D0B" w:rsidRPr="00C26146" w:rsidRDefault="00096A8C" w:rsidP="00F95935">
      <w:pPr>
        <w:spacing w:line="480" w:lineRule="auto"/>
      </w:pPr>
      <w:r w:rsidRPr="00C26146">
        <w:t>2.2.</w:t>
      </w:r>
      <w:r w:rsidR="00155C51" w:rsidRPr="00C26146">
        <w:t>2</w:t>
      </w:r>
      <w:r w:rsidR="00F97657" w:rsidRPr="00C26146">
        <w:t>.</w:t>
      </w:r>
      <w:r w:rsidR="00F11FE1" w:rsidRPr="00C26146">
        <w:t xml:space="preserve"> </w:t>
      </w:r>
      <w:r w:rsidRPr="00C26146">
        <w:t>Preparation of coground mixtures (Cog)</w:t>
      </w:r>
    </w:p>
    <w:p w:rsidR="00F11FE1" w:rsidRPr="00C26146" w:rsidRDefault="00F11FE1" w:rsidP="00F11FE1">
      <w:pPr>
        <w:autoSpaceDE w:val="0"/>
        <w:autoSpaceDN w:val="0"/>
        <w:adjustRightInd w:val="0"/>
        <w:spacing w:line="480" w:lineRule="auto"/>
      </w:pPr>
      <w:r w:rsidRPr="00C26146">
        <w:t>During the first step of the study two binary systems consisting of vincamine:PVP-K30 and vincamine:NaCMC were prepared in a 1:7 weight ratio (wt ratio) and coground for 180 min based of the previous experience (Hasa et al., 2012a). After the selection of PVP-K30 as optimal polymer, three vincamine</w:t>
      </w:r>
      <w:proofErr w:type="gramStart"/>
      <w:r w:rsidRPr="00C26146">
        <w:t>:PVP</w:t>
      </w:r>
      <w:proofErr w:type="gramEnd"/>
      <w:r w:rsidRPr="00C26146">
        <w:t>-K30 weight ratios were considered: 1:2, 1:4 and 1:7, and, as milling times: 45, 90, 120 and 180 min. Thus, 12 different composites and 3 physical mixtures were prepared. The grinding process was performed in a planetary mill Fritsch P5 (Pulverisette, Contardi Fritsch s.r.l., Milan, Italy) which was equipped by 4 agate cylindrical grinding chambers (internal height H</w:t>
      </w:r>
      <w:r w:rsidRPr="00C26146">
        <w:rPr>
          <w:vertAlign w:val="subscript"/>
        </w:rPr>
        <w:t>v</w:t>
      </w:r>
      <w:r w:rsidRPr="00C26146">
        <w:t xml:space="preserve">=2.6 cm, internal radius </w:t>
      </w:r>
      <w:proofErr w:type="gramStart"/>
      <w:r w:rsidRPr="00C26146">
        <w:t>R</w:t>
      </w:r>
      <w:r w:rsidRPr="00C26146">
        <w:rPr>
          <w:vertAlign w:val="subscript"/>
        </w:rPr>
        <w:t>v</w:t>
      </w:r>
      <w:r w:rsidRPr="00C26146">
        <w:t>=</w:t>
      </w:r>
      <w:proofErr w:type="gramEnd"/>
      <w:r w:rsidRPr="00C26146">
        <w:t>3.2 cm, internal volume = 27.5 cm</w:t>
      </w:r>
      <w:r w:rsidRPr="00C26146">
        <w:rPr>
          <w:vertAlign w:val="superscript"/>
        </w:rPr>
        <w:t>3</w:t>
      </w:r>
      <w:r w:rsidRPr="00C26146">
        <w:t xml:space="preserve">). As grinding media, agate balls having a </w:t>
      </w:r>
      <w:smartTag w:uri="urn:schemas-microsoft-com:office:smarttags" w:element="metricconverter">
        <w:smartTagPr>
          <w:attr w:name="ProductID" w:val="2.2 cm"/>
        </w:smartTagPr>
        <w:r w:rsidRPr="00C26146">
          <w:t>2.2 cm</w:t>
        </w:r>
      </w:smartTag>
      <w:r w:rsidRPr="00C26146">
        <w:t xml:space="preserve"> diameter were adopted. </w:t>
      </w:r>
    </w:p>
    <w:p w:rsidR="00096A8C" w:rsidRPr="00C26146" w:rsidRDefault="00F11FE1" w:rsidP="00643677">
      <w:pPr>
        <w:autoSpaceDE w:val="0"/>
        <w:autoSpaceDN w:val="0"/>
        <w:adjustRightInd w:val="0"/>
        <w:spacing w:line="480" w:lineRule="auto"/>
      </w:pPr>
      <w:r w:rsidRPr="00C26146">
        <w:t xml:space="preserve"> In order to maximize the energy transfer from the mill to the loaded powder, </w:t>
      </w:r>
      <w:r w:rsidRPr="00C26146">
        <w:rPr>
          <w:i/>
        </w:rPr>
        <w:t>via</w:t>
      </w:r>
      <w:r w:rsidRPr="00C26146">
        <w:t xml:space="preserve"> the grinding media, the grinding process was optimised according to a previously published mathematical model (Voinovich et al., 2009a). A </w:t>
      </w:r>
      <w:r w:rsidRPr="00C26146">
        <w:rPr>
          <w:rFonts w:ascii="NewCenturySchlbk-Roman" w:hAnsi="NewCenturySchlbk-Roman" w:cs="NewCenturySchlbk-Roman"/>
        </w:rPr>
        <w:t xml:space="preserve">mean weight of </w:t>
      </w:r>
      <w:smartTag w:uri="urn:schemas-microsoft-com:office:smarttags" w:element="metricconverter">
        <w:smartTagPr>
          <w:attr w:name="ProductID" w:val="4.5 g"/>
        </w:smartTagPr>
        <w:r w:rsidRPr="00C26146">
          <w:rPr>
            <w:rFonts w:ascii="NewCenturySchlbk-Roman" w:hAnsi="NewCenturySchlbk-Roman" w:cs="NewCenturySchlbk-Roman"/>
          </w:rPr>
          <w:t>4.5 g</w:t>
        </w:r>
      </w:smartTag>
      <w:r w:rsidRPr="00C26146">
        <w:rPr>
          <w:rFonts w:ascii="NewCenturySchlbk-Roman" w:hAnsi="NewCenturySchlbk-Roman" w:cs="NewCenturySchlbk-Roman"/>
        </w:rPr>
        <w:t xml:space="preserve"> and </w:t>
      </w:r>
      <w:smartTag w:uri="urn:schemas-microsoft-com:office:smarttags" w:element="metricconverter">
        <w:smartTagPr>
          <w:attr w:name="ProductID" w:val="4.9 g"/>
        </w:smartTagPr>
        <w:r w:rsidRPr="00C26146">
          <w:rPr>
            <w:rFonts w:ascii="NewCenturySchlbk-Roman" w:hAnsi="NewCenturySchlbk-Roman" w:cs="NewCenturySchlbk-Roman"/>
          </w:rPr>
          <w:t>4.9 g</w:t>
        </w:r>
      </w:smartTag>
      <w:r w:rsidRPr="00C26146">
        <w:rPr>
          <w:rFonts w:ascii="NewCenturySchlbk-Roman" w:hAnsi="NewCenturySchlbk-Roman" w:cs="NewCenturySchlbk-Roman"/>
        </w:rPr>
        <w:t xml:space="preserve"> for the </w:t>
      </w:r>
      <w:r w:rsidRPr="00C26146">
        <w:t>vincamine</w:t>
      </w:r>
      <w:proofErr w:type="gramStart"/>
      <w:r w:rsidRPr="00C26146">
        <w:t>:PVP</w:t>
      </w:r>
      <w:proofErr w:type="gramEnd"/>
      <w:r w:rsidRPr="00C26146">
        <w:t>-K30 or vincamine:NaCMC</w:t>
      </w:r>
      <w:r w:rsidRPr="00C26146">
        <w:rPr>
          <w:vertAlign w:val="superscript"/>
        </w:rPr>
        <w:t xml:space="preserve"> </w:t>
      </w:r>
      <w:r w:rsidRPr="00C26146">
        <w:t>systems respectively w</w:t>
      </w:r>
      <w:r w:rsidR="002A321F" w:rsidRPr="00C26146">
        <w:t>ere</w:t>
      </w:r>
      <w:r w:rsidRPr="00C26146">
        <w:t xml:space="preserve"> used</w:t>
      </w:r>
      <w:r w:rsidRPr="00C26146">
        <w:rPr>
          <w:rFonts w:ascii="NewCenturySchlbk-Roman" w:hAnsi="NewCenturySchlbk-Roman" w:cs="NewCenturySchlbk-Roman"/>
        </w:rPr>
        <w:t>.</w:t>
      </w:r>
      <w:r w:rsidRPr="00C26146">
        <w:t xml:space="preserve"> The grinding process was stopped every 15 min for the purpose of homogeneously mixing the mass with a stainless steel spatula (Voinovich et al., 2009a, 2009b, Hasa et al., 2012a). </w:t>
      </w:r>
      <w:r w:rsidR="00096A8C" w:rsidRPr="00C26146">
        <w:t xml:space="preserve"> </w:t>
      </w:r>
    </w:p>
    <w:p w:rsidR="00155C51" w:rsidRPr="00C26146" w:rsidRDefault="00155C51" w:rsidP="00643677">
      <w:pPr>
        <w:autoSpaceDE w:val="0"/>
        <w:autoSpaceDN w:val="0"/>
        <w:adjustRightInd w:val="0"/>
        <w:spacing w:line="480" w:lineRule="auto"/>
        <w:rPr>
          <w:rFonts w:ascii="AdvTT020c6f89" w:hAnsi="AdvTT020c6f89" w:cs="AdvTT020c6f89"/>
        </w:rPr>
      </w:pPr>
    </w:p>
    <w:p w:rsidR="005522C5" w:rsidRPr="00C26146" w:rsidRDefault="005522C5" w:rsidP="00643677">
      <w:pPr>
        <w:autoSpaceDE w:val="0"/>
        <w:autoSpaceDN w:val="0"/>
        <w:adjustRightInd w:val="0"/>
        <w:spacing w:line="480" w:lineRule="auto"/>
        <w:rPr>
          <w:rFonts w:ascii="AdvTT020c6f89" w:hAnsi="AdvTT020c6f89" w:cs="AdvTT020c6f89"/>
        </w:rPr>
      </w:pPr>
      <w:r w:rsidRPr="00C26146">
        <w:rPr>
          <w:rFonts w:ascii="AdvTT020c6f89" w:hAnsi="AdvTT020c6f89" w:cs="AdvTT020c6f89"/>
        </w:rPr>
        <w:t>2.2.3</w:t>
      </w:r>
      <w:r w:rsidR="00F97657" w:rsidRPr="00C26146">
        <w:rPr>
          <w:rFonts w:ascii="AdvTT020c6f89" w:hAnsi="AdvTT020c6f89" w:cs="AdvTT020c6f89"/>
        </w:rPr>
        <w:t>.</w:t>
      </w:r>
      <w:r w:rsidRPr="00C26146">
        <w:rPr>
          <w:rFonts w:ascii="AdvTT020c6f89" w:hAnsi="AdvTT020c6f89" w:cs="AdvTT020c6f89"/>
        </w:rPr>
        <w:t xml:space="preserve"> Calculation of </w:t>
      </w:r>
      <w:r w:rsidR="00B24D9A" w:rsidRPr="00C26146">
        <w:rPr>
          <w:rFonts w:ascii="AdvTT020c6f89" w:hAnsi="AdvTT020c6f89" w:cs="AdvTT020c6f89"/>
        </w:rPr>
        <w:t xml:space="preserve">three-dimensional </w:t>
      </w:r>
      <w:r w:rsidRPr="00C26146">
        <w:rPr>
          <w:rFonts w:ascii="AdvTT020c6f89" w:hAnsi="AdvTT020c6f89" w:cs="AdvTT020c6f89"/>
        </w:rPr>
        <w:t>solubility parameters</w:t>
      </w:r>
    </w:p>
    <w:p w:rsidR="0099298D" w:rsidRPr="00C26146" w:rsidRDefault="0099298D" w:rsidP="0099298D">
      <w:pPr>
        <w:autoSpaceDE w:val="0"/>
        <w:autoSpaceDN w:val="0"/>
        <w:adjustRightInd w:val="0"/>
        <w:spacing w:line="480" w:lineRule="auto"/>
        <w:rPr>
          <w:rFonts w:ascii="AdvTT020c6f89" w:hAnsi="AdvTT020c6f89" w:cs="AdvTT020c6f89"/>
        </w:rPr>
      </w:pPr>
      <w:r w:rsidRPr="00C26146">
        <w:lastRenderedPageBreak/>
        <w:t xml:space="preserve">Solubility parameters </w:t>
      </w:r>
      <w:r w:rsidR="00703044" w:rsidRPr="00C26146">
        <w:t>are</w:t>
      </w:r>
      <w:r w:rsidRPr="00C26146">
        <w:t xml:space="preserve"> calculated on the basis of the cohesive energy density that is the energy necessary to separate the molecules of a solid or a liquid in a sufficient distance to eliminate all the interaction between molecules. Cohesive energy density is then transformed in solubility parameters </w:t>
      </w:r>
      <w:r w:rsidRPr="00C26146">
        <w:rPr>
          <w:i/>
        </w:rPr>
        <w:t>via</w:t>
      </w:r>
      <w:r w:rsidRPr="00C26146">
        <w:t xml:space="preserve"> a series of assumptions and calculations (Hancock et al., 1997). Different authors have proposed different approaches to calculate the solubility parameters. The most used method is a combination between Fedors and Hoftyzer/Van Krevelen methods (Van Krevelen and Hoftyzer, 1990). Moreover, Hansen extended the application of solubility parameters to polar systems permitting a sub-division of the total solubility parameter into three partial parameters: dispersion component (</w:t>
      </w:r>
      <w:r w:rsidRPr="00C26146">
        <w:sym w:font="Symbol" w:char="F064"/>
      </w:r>
      <w:r w:rsidRPr="00C26146">
        <w:rPr>
          <w:vertAlign w:val="subscript"/>
        </w:rPr>
        <w:t>d</w:t>
      </w:r>
      <w:r w:rsidRPr="00C26146">
        <w:t>), polar component (</w:t>
      </w:r>
      <w:r w:rsidRPr="00C26146">
        <w:sym w:font="Symbol" w:char="F064"/>
      </w:r>
      <w:r w:rsidRPr="00C26146">
        <w:rPr>
          <w:vertAlign w:val="subscript"/>
        </w:rPr>
        <w:t>p</w:t>
      </w:r>
      <w:r w:rsidRPr="00C26146">
        <w:t>) and hydrogen bonding component (</w:t>
      </w:r>
      <w:r w:rsidRPr="00C26146">
        <w:sym w:font="Symbol" w:char="F064"/>
      </w:r>
      <w:r w:rsidRPr="00C26146">
        <w:rPr>
          <w:vertAlign w:val="subscript"/>
        </w:rPr>
        <w:t>h</w:t>
      </w:r>
      <w:r w:rsidRPr="00C26146">
        <w:t>, Hansen, 1969). In this work, t</w:t>
      </w:r>
      <w:r w:rsidRPr="00C26146">
        <w:rPr>
          <w:rFonts w:ascii="AdvTT020c6f89" w:hAnsi="AdvTT020c6f89" w:cs="AdvTT020c6f89"/>
        </w:rPr>
        <w:t>he three-dimensional solubility parameters for vincamine, PVP-K30 and NaCMC were calculated according to Hansen’s approach using the computer programme SPWin version 2.1 (Breitkreutz, 1998).</w:t>
      </w:r>
    </w:p>
    <w:p w:rsidR="00E91D0B" w:rsidRPr="00C26146" w:rsidRDefault="00E91D0B" w:rsidP="00643677">
      <w:pPr>
        <w:autoSpaceDE w:val="0"/>
        <w:autoSpaceDN w:val="0"/>
        <w:adjustRightInd w:val="0"/>
        <w:spacing w:line="480" w:lineRule="auto"/>
        <w:rPr>
          <w:b/>
        </w:rPr>
      </w:pPr>
    </w:p>
    <w:p w:rsidR="00E91D0B" w:rsidRPr="00C26146" w:rsidRDefault="00643677" w:rsidP="00643677">
      <w:pPr>
        <w:spacing w:line="480" w:lineRule="auto"/>
      </w:pPr>
      <w:r w:rsidRPr="00C26146">
        <w:t>2.2.</w:t>
      </w:r>
      <w:r w:rsidR="00D90DFC" w:rsidRPr="00C26146">
        <w:t>4</w:t>
      </w:r>
      <w:r w:rsidR="00F97657" w:rsidRPr="00C26146">
        <w:t>.</w:t>
      </w:r>
      <w:r w:rsidR="00096A8C" w:rsidRPr="00C26146">
        <w:t xml:space="preserve"> X-ray Powder Diffraction Studies (XRPD)</w:t>
      </w:r>
    </w:p>
    <w:p w:rsidR="00E91D0B" w:rsidRPr="00C26146" w:rsidRDefault="00F11FE1" w:rsidP="00643677">
      <w:pPr>
        <w:shd w:val="clear" w:color="auto" w:fill="FFFFFF"/>
        <w:spacing w:line="480" w:lineRule="auto"/>
      </w:pPr>
      <w:r w:rsidRPr="00C26146">
        <w:t xml:space="preserve">XRPD analyses were performed using </w:t>
      </w:r>
      <w:r w:rsidR="002A321F" w:rsidRPr="00C26146">
        <w:t>the</w:t>
      </w:r>
      <w:r w:rsidRPr="00C26146">
        <w:t xml:space="preserve"> D500 (Siemens, Munich, Germany) diffractometer with </w:t>
      </w:r>
      <w:r w:rsidR="002A321F" w:rsidRPr="00C26146">
        <w:t xml:space="preserve">a mono-chromate </w:t>
      </w:r>
      <w:r w:rsidRPr="00C26146">
        <w:t>Cu-K</w:t>
      </w:r>
      <w:r w:rsidRPr="00C26146">
        <w:sym w:font="Symbol" w:char="F061"/>
      </w:r>
      <w:r w:rsidRPr="00C26146">
        <w:rPr>
          <w:vertAlign w:val="subscript"/>
        </w:rPr>
        <w:t xml:space="preserve"> </w:t>
      </w:r>
      <w:r w:rsidRPr="00C26146">
        <w:t>radiation (1.5418 Å</w:t>
      </w:r>
      <w:r w:rsidR="002A321F" w:rsidRPr="00C26146">
        <w:t>)</w:t>
      </w:r>
      <w:r w:rsidRPr="00C26146">
        <w:t xml:space="preserve"> </w:t>
      </w:r>
      <w:r w:rsidR="002A321F" w:rsidRPr="00C26146">
        <w:t>generated using</w:t>
      </w:r>
      <w:r w:rsidRPr="00C26146">
        <w:t xml:space="preserve"> a secondary flat graphite crystal. Each sample was analysed in duplicate using a current at 20 mA and the voltage was set at 40 kV. The considered 2</w:t>
      </w:r>
      <w:r w:rsidRPr="00C26146">
        <w:sym w:font="Symbol" w:char="F071"/>
      </w:r>
      <w:r w:rsidRPr="00C26146">
        <w:t xml:space="preserve"> angle ranged from 5 to 35° using a step wise of 0.05° and the counting time was 5 sec/step.</w:t>
      </w:r>
    </w:p>
    <w:p w:rsidR="00F11FE1" w:rsidRPr="00C26146" w:rsidRDefault="00F11FE1" w:rsidP="00643677">
      <w:pPr>
        <w:shd w:val="clear" w:color="auto" w:fill="FFFFFF"/>
        <w:spacing w:line="480" w:lineRule="auto"/>
      </w:pPr>
    </w:p>
    <w:p w:rsidR="00096A8C" w:rsidRPr="00C26146" w:rsidRDefault="00643677" w:rsidP="00643677">
      <w:pPr>
        <w:shd w:val="clear" w:color="auto" w:fill="FFFFFF"/>
        <w:autoSpaceDE w:val="0"/>
        <w:autoSpaceDN w:val="0"/>
        <w:adjustRightInd w:val="0"/>
        <w:spacing w:line="480" w:lineRule="auto"/>
      </w:pPr>
      <w:r w:rsidRPr="00C26146">
        <w:t>2.2.</w:t>
      </w:r>
      <w:r w:rsidR="00D90DFC" w:rsidRPr="00C26146">
        <w:t>5</w:t>
      </w:r>
      <w:r w:rsidR="00F97657" w:rsidRPr="00C26146">
        <w:t>.</w:t>
      </w:r>
      <w:r w:rsidR="00096A8C" w:rsidRPr="00C26146">
        <w:t xml:space="preserve"> </w:t>
      </w:r>
      <w:r w:rsidR="00FD7653" w:rsidRPr="00C26146">
        <w:t>Quantitative analysis by</w:t>
      </w:r>
      <w:r w:rsidR="00096A8C" w:rsidRPr="00C26146">
        <w:t xml:space="preserve"> </w:t>
      </w:r>
      <w:r w:rsidR="00FD7653" w:rsidRPr="00C26146">
        <w:t>X-Ray Powder Diffraction (QXRPD)</w:t>
      </w:r>
    </w:p>
    <w:p w:rsidR="003F0795" w:rsidRPr="00C26146" w:rsidRDefault="00F11FE1" w:rsidP="00643677">
      <w:pPr>
        <w:shd w:val="clear" w:color="auto" w:fill="FFFFFF"/>
        <w:spacing w:line="480" w:lineRule="auto"/>
      </w:pPr>
      <w:r w:rsidRPr="00C26146">
        <w:t xml:space="preserve">QXRPD analyses were performed in order to quantify the amorphous fraction in the Cog samples prepared. The QXRPD analyses were performed according to a previously published method (Bergese et al., 2002). This method was demonstrated to be suitable for systems formed by a drug dispersed into an amorphous polymer (considering the structured halo in which the crystalline drug </w:t>
      </w:r>
      <w:r w:rsidRPr="00C26146">
        <w:lastRenderedPageBreak/>
        <w:t>peaks are visible). Moreover, it can give reliable information in complex systems formed by crystalline and amorphous drug (Bergese et al., 2004).</w:t>
      </w:r>
    </w:p>
    <w:p w:rsidR="003F0795" w:rsidRPr="00C26146" w:rsidRDefault="003F0795" w:rsidP="00643677">
      <w:pPr>
        <w:shd w:val="clear" w:color="auto" w:fill="FFFFFF"/>
        <w:spacing w:line="480" w:lineRule="auto"/>
      </w:pPr>
    </w:p>
    <w:p w:rsidR="00096A8C" w:rsidRPr="00C26146" w:rsidRDefault="00096A8C" w:rsidP="00643677">
      <w:pPr>
        <w:shd w:val="clear" w:color="auto" w:fill="FFFFFF"/>
        <w:spacing w:line="480" w:lineRule="auto"/>
      </w:pPr>
      <w:r w:rsidRPr="00C26146">
        <w:t>2.2.</w:t>
      </w:r>
      <w:r w:rsidR="00D90DFC" w:rsidRPr="00C26146">
        <w:t>6</w:t>
      </w:r>
      <w:r w:rsidR="00F97657" w:rsidRPr="00C26146">
        <w:t>.</w:t>
      </w:r>
      <w:r w:rsidRPr="00C26146">
        <w:t xml:space="preserve"> Solid-state Nuclear Magnetic Resonance (SSNMR) spectroscopy</w:t>
      </w:r>
      <w:r w:rsidR="00AC4B24" w:rsidRPr="00C26146">
        <w:t xml:space="preserve"> </w:t>
      </w:r>
    </w:p>
    <w:p w:rsidR="00F11FE1" w:rsidRPr="00C26146" w:rsidRDefault="00F11FE1" w:rsidP="00F11FE1">
      <w:pPr>
        <w:spacing w:line="480" w:lineRule="auto"/>
        <w:rPr>
          <w:bCs/>
        </w:rPr>
      </w:pPr>
      <w:r w:rsidRPr="00C26146">
        <w:rPr>
          <w:bCs/>
        </w:rPr>
        <w:t xml:space="preserve">SSNMR measurements were run on a Bruker AVANCE II 400 instrument operating at 400.23, 100.65 and 40.56 MHz for </w:t>
      </w:r>
      <w:r w:rsidRPr="00C26146">
        <w:rPr>
          <w:bCs/>
          <w:vertAlign w:val="superscript"/>
        </w:rPr>
        <w:t>1</w:t>
      </w:r>
      <w:r w:rsidRPr="00C26146">
        <w:rPr>
          <w:bCs/>
        </w:rPr>
        <w:t xml:space="preserve">H, </w:t>
      </w:r>
      <w:smartTag w:uri="urn:schemas-microsoft-com:office:smarttags" w:element="metricconverter">
        <w:smartTagPr>
          <w:attr w:name="ProductID" w:val="13C"/>
        </w:smartTagPr>
        <w:r w:rsidRPr="00C26146">
          <w:rPr>
            <w:bCs/>
            <w:vertAlign w:val="superscript"/>
          </w:rPr>
          <w:t>13</w:t>
        </w:r>
        <w:r w:rsidRPr="00C26146">
          <w:rPr>
            <w:bCs/>
          </w:rPr>
          <w:t>C</w:t>
        </w:r>
      </w:smartTag>
      <w:r w:rsidRPr="00C26146">
        <w:rPr>
          <w:bCs/>
        </w:rPr>
        <w:t xml:space="preserve"> and </w:t>
      </w:r>
      <w:r w:rsidRPr="00C26146">
        <w:rPr>
          <w:bCs/>
          <w:vertAlign w:val="superscript"/>
        </w:rPr>
        <w:t>15</w:t>
      </w:r>
      <w:r w:rsidRPr="00C26146">
        <w:rPr>
          <w:bCs/>
        </w:rPr>
        <w:t xml:space="preserve">N, respectively. </w:t>
      </w:r>
      <w:smartTag w:uri="urn:schemas-microsoft-com:office:smarttags" w:element="metricconverter">
        <w:smartTagPr>
          <w:attr w:name="ProductID" w:val="13C"/>
        </w:smartTagPr>
        <w:r w:rsidRPr="00C26146">
          <w:rPr>
            <w:bCs/>
            <w:vertAlign w:val="superscript"/>
          </w:rPr>
          <w:t>13</w:t>
        </w:r>
        <w:r w:rsidRPr="00C26146">
          <w:rPr>
            <w:bCs/>
          </w:rPr>
          <w:t>C</w:t>
        </w:r>
      </w:smartTag>
      <w:r w:rsidRPr="00C26146">
        <w:rPr>
          <w:bCs/>
        </w:rPr>
        <w:t xml:space="preserve"> and </w:t>
      </w:r>
      <w:r w:rsidRPr="00C26146">
        <w:rPr>
          <w:bCs/>
          <w:vertAlign w:val="superscript"/>
        </w:rPr>
        <w:t>15</w:t>
      </w:r>
      <w:r w:rsidRPr="00C26146">
        <w:rPr>
          <w:bCs/>
        </w:rPr>
        <w:t>N CPMAS spectra were recorded at room temperature at the spinning speed of 12 and 9 kHz, respectively. Cylindrical 4mm o.d. zirconia rotors with sample volume of 80 µL were employed. A ramp cross-polarization pulse sequence was used with contact times of 3 (</w:t>
      </w:r>
      <w:smartTag w:uri="urn:schemas-microsoft-com:office:smarttags" w:element="metricconverter">
        <w:smartTagPr>
          <w:attr w:name="ProductID" w:val="13C"/>
        </w:smartTagPr>
        <w:r w:rsidRPr="00C26146">
          <w:rPr>
            <w:bCs/>
            <w:vertAlign w:val="superscript"/>
          </w:rPr>
          <w:t>13</w:t>
        </w:r>
        <w:r w:rsidRPr="00C26146">
          <w:rPr>
            <w:bCs/>
          </w:rPr>
          <w:t>C</w:t>
        </w:r>
      </w:smartTag>
      <w:r w:rsidRPr="00C26146">
        <w:rPr>
          <w:bCs/>
        </w:rPr>
        <w:t>) or 4 (</w:t>
      </w:r>
      <w:r w:rsidRPr="00C26146">
        <w:rPr>
          <w:bCs/>
          <w:vertAlign w:val="superscript"/>
        </w:rPr>
        <w:t>15</w:t>
      </w:r>
      <w:r w:rsidRPr="00C26146">
        <w:rPr>
          <w:bCs/>
        </w:rPr>
        <w:t xml:space="preserve">N) ms, a </w:t>
      </w:r>
      <w:r w:rsidRPr="00C26146">
        <w:rPr>
          <w:bCs/>
          <w:vertAlign w:val="superscript"/>
        </w:rPr>
        <w:t>1</w:t>
      </w:r>
      <w:r w:rsidRPr="00C26146">
        <w:rPr>
          <w:bCs/>
        </w:rPr>
        <w:t>H 90° pulse of 3.30 µs, recycle delays of 8 s, and 1024 (</w:t>
      </w:r>
      <w:smartTag w:uri="urn:schemas-microsoft-com:office:smarttags" w:element="metricconverter">
        <w:smartTagPr>
          <w:attr w:name="ProductID" w:val="13C"/>
        </w:smartTagPr>
        <w:r w:rsidRPr="00C26146">
          <w:rPr>
            <w:bCs/>
            <w:vertAlign w:val="superscript"/>
          </w:rPr>
          <w:t>13</w:t>
        </w:r>
        <w:r w:rsidRPr="00C26146">
          <w:rPr>
            <w:bCs/>
          </w:rPr>
          <w:t>C</w:t>
        </w:r>
      </w:smartTag>
      <w:r w:rsidRPr="00C26146">
        <w:rPr>
          <w:bCs/>
        </w:rPr>
        <w:t>) or 2048-14000 (</w:t>
      </w:r>
      <w:r w:rsidRPr="00C26146">
        <w:rPr>
          <w:bCs/>
          <w:vertAlign w:val="superscript"/>
        </w:rPr>
        <w:t>15</w:t>
      </w:r>
      <w:r w:rsidRPr="00C26146">
        <w:rPr>
          <w:bCs/>
        </w:rPr>
        <w:t>N) transients. The two pulse phase modulation (TPPM) decoupling scheme was used with a frequency field of 75 kHz.</w:t>
      </w:r>
    </w:p>
    <w:p w:rsidR="00F11FE1" w:rsidRPr="00C26146" w:rsidRDefault="00F11FE1" w:rsidP="00F11FE1">
      <w:pPr>
        <w:spacing w:line="480" w:lineRule="auto"/>
        <w:rPr>
          <w:bCs/>
        </w:rPr>
      </w:pPr>
      <w:smartTag w:uri="urn:schemas-microsoft-com:office:smarttags" w:element="metricconverter">
        <w:smartTagPr>
          <w:attr w:name="ProductID" w:val="13C"/>
        </w:smartTagPr>
        <w:r w:rsidRPr="00C26146">
          <w:rPr>
            <w:bCs/>
            <w:vertAlign w:val="superscript"/>
          </w:rPr>
          <w:t>13</w:t>
        </w:r>
        <w:r w:rsidRPr="00C26146">
          <w:rPr>
            <w:bCs/>
          </w:rPr>
          <w:t>C</w:t>
        </w:r>
      </w:smartTag>
      <w:r w:rsidRPr="00C26146">
        <w:rPr>
          <w:bCs/>
        </w:rPr>
        <w:t xml:space="preserve"> and </w:t>
      </w:r>
      <w:r w:rsidRPr="00C26146">
        <w:rPr>
          <w:bCs/>
          <w:vertAlign w:val="superscript"/>
        </w:rPr>
        <w:t>15</w:t>
      </w:r>
      <w:r w:rsidRPr="00C26146">
        <w:rPr>
          <w:bCs/>
        </w:rPr>
        <w:t>N scales were calibrated with glycine (</w:t>
      </w:r>
      <w:smartTag w:uri="urn:schemas-microsoft-com:office:smarttags" w:element="metricconverter">
        <w:smartTagPr>
          <w:attr w:name="ProductID" w:val="13C"/>
        </w:smartTagPr>
        <w:r w:rsidRPr="00C26146">
          <w:rPr>
            <w:bCs/>
            <w:vertAlign w:val="superscript"/>
          </w:rPr>
          <w:t>13</w:t>
        </w:r>
        <w:r w:rsidRPr="00C26146">
          <w:rPr>
            <w:bCs/>
          </w:rPr>
          <w:t>C</w:t>
        </w:r>
      </w:smartTag>
      <w:r w:rsidRPr="00C26146">
        <w:rPr>
          <w:bCs/>
        </w:rPr>
        <w:t xml:space="preserve"> methylene signal at 43.86 ppm) and (NH</w:t>
      </w:r>
      <w:r w:rsidRPr="00C26146">
        <w:rPr>
          <w:bCs/>
          <w:vertAlign w:val="subscript"/>
        </w:rPr>
        <w:t>4</w:t>
      </w:r>
      <w:r w:rsidRPr="00C26146">
        <w:rPr>
          <w:bCs/>
        </w:rPr>
        <w:t>)</w:t>
      </w:r>
      <w:r w:rsidRPr="00C26146">
        <w:rPr>
          <w:bCs/>
          <w:vertAlign w:val="subscript"/>
        </w:rPr>
        <w:t>2</w:t>
      </w:r>
      <w:r w:rsidRPr="00C26146">
        <w:rPr>
          <w:bCs/>
        </w:rPr>
        <w:t>SO</w:t>
      </w:r>
      <w:r w:rsidRPr="00C26146">
        <w:rPr>
          <w:bCs/>
          <w:vertAlign w:val="subscript"/>
        </w:rPr>
        <w:t>4</w:t>
      </w:r>
      <w:r w:rsidRPr="00C26146">
        <w:rPr>
          <w:bCs/>
        </w:rPr>
        <w:t xml:space="preserve"> (</w:t>
      </w:r>
      <w:r w:rsidRPr="00C26146">
        <w:rPr>
          <w:bCs/>
          <w:vertAlign w:val="superscript"/>
        </w:rPr>
        <w:t>15</w:t>
      </w:r>
      <w:r w:rsidRPr="00C26146">
        <w:rPr>
          <w:bCs/>
        </w:rPr>
        <w:t>N signal at δ=355.8 ppm with respect to CH</w:t>
      </w:r>
      <w:r w:rsidRPr="00C26146">
        <w:rPr>
          <w:bCs/>
          <w:vertAlign w:val="subscript"/>
        </w:rPr>
        <w:t>3</w:t>
      </w:r>
      <w:r w:rsidRPr="00C26146">
        <w:rPr>
          <w:bCs/>
        </w:rPr>
        <w:t>NO</w:t>
      </w:r>
      <w:r w:rsidRPr="00C26146">
        <w:rPr>
          <w:bCs/>
          <w:vertAlign w:val="subscript"/>
        </w:rPr>
        <w:t>2</w:t>
      </w:r>
      <w:r w:rsidRPr="00C26146">
        <w:rPr>
          <w:bCs/>
        </w:rPr>
        <w:t xml:space="preserve">) as external standards. Proton spin-lattice relaxation times, </w:t>
      </w:r>
      <w:r w:rsidRPr="00C26146">
        <w:rPr>
          <w:bCs/>
          <w:vertAlign w:val="superscript"/>
        </w:rPr>
        <w:t>1</w:t>
      </w:r>
      <w:r w:rsidRPr="00C26146">
        <w:rPr>
          <w:bCs/>
        </w:rPr>
        <w:t>H T</w:t>
      </w:r>
      <w:r w:rsidRPr="00C26146">
        <w:rPr>
          <w:bCs/>
          <w:vertAlign w:val="subscript"/>
        </w:rPr>
        <w:t>1</w:t>
      </w:r>
      <w:r w:rsidRPr="00C26146">
        <w:rPr>
          <w:bCs/>
        </w:rPr>
        <w:t xml:space="preserve">, were obtained by the </w:t>
      </w:r>
      <w:r w:rsidRPr="00C26146">
        <w:rPr>
          <w:bCs/>
          <w:vertAlign w:val="superscript"/>
        </w:rPr>
        <w:t>13</w:t>
      </w:r>
      <w:r w:rsidRPr="00C26146">
        <w:rPr>
          <w:bCs/>
        </w:rPr>
        <w:t xml:space="preserve">C-detected Inversion Recovery Cross Polarization technique, where one measures the </w:t>
      </w:r>
      <w:smartTag w:uri="urn:schemas-microsoft-com:office:smarttags" w:element="metricconverter">
        <w:smartTagPr>
          <w:attr w:name="ProductID" w:val="13C"/>
        </w:smartTagPr>
        <w:r w:rsidRPr="00C26146">
          <w:rPr>
            <w:bCs/>
            <w:vertAlign w:val="superscript"/>
          </w:rPr>
          <w:t>13</w:t>
        </w:r>
        <w:r w:rsidRPr="00C26146">
          <w:rPr>
            <w:bCs/>
          </w:rPr>
          <w:t>C</w:t>
        </w:r>
      </w:smartTag>
      <w:r w:rsidRPr="00C26146">
        <w:rPr>
          <w:bCs/>
        </w:rPr>
        <w:t xml:space="preserve"> magnetization that appears through the CP process after relaxation of the </w:t>
      </w:r>
      <w:r w:rsidRPr="00C26146">
        <w:rPr>
          <w:bCs/>
          <w:vertAlign w:val="superscript"/>
        </w:rPr>
        <w:t>1</w:t>
      </w:r>
      <w:r w:rsidRPr="00C26146">
        <w:rPr>
          <w:bCs/>
        </w:rPr>
        <w:t xml:space="preserve">H magnetization during the time </w:t>
      </w:r>
      <w:r w:rsidRPr="00C26146">
        <w:rPr>
          <w:bCs/>
        </w:rPr>
        <w:sym w:font="Symbol" w:char="F074"/>
      </w:r>
      <w:r w:rsidRPr="00C26146">
        <w:rPr>
          <w:bCs/>
        </w:rPr>
        <w:t>.</w:t>
      </w:r>
    </w:p>
    <w:p w:rsidR="00E91D0B" w:rsidRPr="00C26146" w:rsidRDefault="00E91D0B" w:rsidP="00643677">
      <w:pPr>
        <w:spacing w:line="480" w:lineRule="auto"/>
        <w:rPr>
          <w:bCs/>
        </w:rPr>
      </w:pPr>
    </w:p>
    <w:p w:rsidR="00F95935" w:rsidRPr="00C26146" w:rsidRDefault="00643677" w:rsidP="00F11FE1">
      <w:pPr>
        <w:spacing w:line="480" w:lineRule="auto"/>
      </w:pPr>
      <w:r w:rsidRPr="00C26146">
        <w:t>2.2.</w:t>
      </w:r>
      <w:r w:rsidR="00D90DFC" w:rsidRPr="00C26146">
        <w:t>7</w:t>
      </w:r>
      <w:r w:rsidR="00F97657" w:rsidRPr="00C26146">
        <w:t>.</w:t>
      </w:r>
      <w:r w:rsidR="00096A8C" w:rsidRPr="00C26146">
        <w:t xml:space="preserve"> Dissolution kinetic tests (DKT) </w:t>
      </w:r>
    </w:p>
    <w:p w:rsidR="00A86CA2" w:rsidRPr="00C26146" w:rsidRDefault="00A86CA2" w:rsidP="00A86CA2">
      <w:pPr>
        <w:pStyle w:val="NoSpacing1"/>
        <w:spacing w:line="480" w:lineRule="auto"/>
        <w:rPr>
          <w:rFonts w:ascii="Times New Roman" w:hAnsi="Times New Roman"/>
          <w:sz w:val="24"/>
          <w:szCs w:val="24"/>
          <w:lang w:val="en-GB"/>
        </w:rPr>
      </w:pPr>
      <w:r w:rsidRPr="00C26146">
        <w:rPr>
          <w:rFonts w:ascii="Times New Roman" w:hAnsi="Times New Roman"/>
          <w:sz w:val="24"/>
          <w:szCs w:val="24"/>
          <w:lang w:val="en-GB"/>
        </w:rPr>
        <w:t>For the DKT, 150 cm</w:t>
      </w:r>
      <w:r w:rsidRPr="00C26146">
        <w:rPr>
          <w:rFonts w:ascii="Times New Roman" w:hAnsi="Times New Roman"/>
          <w:sz w:val="24"/>
          <w:szCs w:val="24"/>
          <w:vertAlign w:val="superscript"/>
          <w:lang w:val="en-GB"/>
        </w:rPr>
        <w:t>3</w:t>
      </w:r>
      <w:r w:rsidRPr="00C26146">
        <w:rPr>
          <w:rFonts w:ascii="Times New Roman" w:hAnsi="Times New Roman"/>
          <w:sz w:val="24"/>
          <w:szCs w:val="24"/>
          <w:lang w:val="en-GB"/>
        </w:rPr>
        <w:t xml:space="preserve"> of a pH 7.4 buffer (</w:t>
      </w:r>
      <w:smartTag w:uri="urn:schemas-microsoft-com:office:smarttags" w:element="metricconverter">
        <w:smartTagPr>
          <w:attr w:name="ProductID" w:val="0.2 M"/>
        </w:smartTagPr>
        <w:r w:rsidRPr="00C26146">
          <w:rPr>
            <w:rFonts w:ascii="Times New Roman" w:hAnsi="Times New Roman"/>
            <w:sz w:val="24"/>
            <w:szCs w:val="24"/>
            <w:lang w:val="en-GB"/>
          </w:rPr>
          <w:t>0.2 M</w:t>
        </w:r>
      </w:smartTag>
      <w:r w:rsidR="00B624B7" w:rsidRPr="00C26146">
        <w:rPr>
          <w:rFonts w:ascii="Times New Roman" w:hAnsi="Times New Roman"/>
          <w:sz w:val="24"/>
          <w:szCs w:val="24"/>
          <w:lang w:val="en-GB"/>
        </w:rPr>
        <w:t xml:space="preserve"> </w:t>
      </w:r>
      <w:r w:rsidRPr="00C26146">
        <w:rPr>
          <w:rFonts w:ascii="Times New Roman" w:eastAsia="Calibri" w:hAnsi="Times New Roman"/>
          <w:sz w:val="24"/>
          <w:szCs w:val="24"/>
          <w:lang w:val="en-GB"/>
        </w:rPr>
        <w:t>KH</w:t>
      </w:r>
      <w:r w:rsidRPr="00C26146">
        <w:rPr>
          <w:rFonts w:ascii="Times New Roman" w:eastAsia="Calibri" w:hAnsi="Times New Roman"/>
          <w:sz w:val="24"/>
          <w:szCs w:val="24"/>
          <w:vertAlign w:val="subscript"/>
          <w:lang w:val="en-GB"/>
        </w:rPr>
        <w:t>2</w:t>
      </w:r>
      <w:r w:rsidRPr="00C26146">
        <w:rPr>
          <w:rFonts w:ascii="Times New Roman" w:eastAsia="Calibri" w:hAnsi="Times New Roman"/>
          <w:sz w:val="24"/>
          <w:szCs w:val="24"/>
          <w:lang w:val="en-GB"/>
        </w:rPr>
        <w:t>PO</w:t>
      </w:r>
      <w:r w:rsidRPr="00C26146">
        <w:rPr>
          <w:rFonts w:ascii="Times New Roman" w:eastAsia="Calibri" w:hAnsi="Times New Roman"/>
          <w:sz w:val="24"/>
          <w:szCs w:val="24"/>
          <w:vertAlign w:val="subscript"/>
          <w:lang w:val="en-GB"/>
        </w:rPr>
        <w:t>4</w:t>
      </w:r>
      <w:r w:rsidRPr="00C26146">
        <w:rPr>
          <w:rFonts w:ascii="Times New Roman" w:eastAsia="Calibri" w:hAnsi="Times New Roman"/>
          <w:sz w:val="24"/>
          <w:szCs w:val="24"/>
          <w:lang w:val="en-GB"/>
        </w:rPr>
        <w:t>/0.2 M NaOH</w:t>
      </w:r>
      <w:r w:rsidRPr="00C26146">
        <w:rPr>
          <w:rFonts w:ascii="Times New Roman" w:hAnsi="Times New Roman"/>
          <w:sz w:val="24"/>
          <w:szCs w:val="24"/>
          <w:lang w:val="en-GB"/>
        </w:rPr>
        <w:t xml:space="preserve">) was used at </w:t>
      </w:r>
      <w:smartTag w:uri="urn:schemas-microsoft-com:office:smarttags" w:element="metricconverter">
        <w:smartTagPr>
          <w:attr w:name="ProductID" w:val="37ﾰC"/>
        </w:smartTagPr>
        <w:r w:rsidRPr="00C26146">
          <w:rPr>
            <w:rFonts w:ascii="Times New Roman" w:hAnsi="Times New Roman"/>
            <w:sz w:val="24"/>
            <w:szCs w:val="24"/>
            <w:lang w:val="en-GB"/>
          </w:rPr>
          <w:t>37°C</w:t>
        </w:r>
      </w:smartTag>
      <w:r w:rsidRPr="00C26146">
        <w:rPr>
          <w:rFonts w:ascii="Times New Roman" w:hAnsi="Times New Roman"/>
          <w:sz w:val="24"/>
          <w:szCs w:val="24"/>
          <w:lang w:val="en-GB"/>
        </w:rPr>
        <w:t xml:space="preserve">. In this dissolution medium, the solubility at equilibrium of pure vincamine was 41.6 mg/L as previously reported </w:t>
      </w:r>
      <w:r w:rsidRPr="00C26146">
        <w:rPr>
          <w:rFonts w:ascii="Times New Roman" w:eastAsia="Calibri" w:hAnsi="Times New Roman"/>
          <w:sz w:val="24"/>
          <w:szCs w:val="24"/>
          <w:lang w:val="en-GB"/>
        </w:rPr>
        <w:t>(Hasa et al., 2012a</w:t>
      </w:r>
      <w:r w:rsidRPr="00C26146">
        <w:rPr>
          <w:rFonts w:ascii="Times New Roman" w:hAnsi="Times New Roman"/>
          <w:sz w:val="24"/>
          <w:szCs w:val="24"/>
          <w:lang w:val="en-GB"/>
        </w:rPr>
        <w:t xml:space="preserve">). In the present study, the </w:t>
      </w:r>
      <w:r w:rsidRPr="00C26146">
        <w:rPr>
          <w:rFonts w:ascii="Times New Roman" w:hAnsi="Times New Roman"/>
          <w:i/>
          <w:sz w:val="24"/>
          <w:szCs w:val="24"/>
          <w:lang w:val="en-GB"/>
        </w:rPr>
        <w:t>in vitro</w:t>
      </w:r>
      <w:r w:rsidRPr="00C26146">
        <w:rPr>
          <w:rFonts w:ascii="Times New Roman" w:hAnsi="Times New Roman"/>
          <w:sz w:val="24"/>
          <w:szCs w:val="24"/>
          <w:lang w:val="en-GB"/>
        </w:rPr>
        <w:t xml:space="preserve"> dissolution tests were used as a prediction of the </w:t>
      </w:r>
      <w:r w:rsidRPr="00C26146">
        <w:rPr>
          <w:rFonts w:ascii="Times New Roman" w:hAnsi="Times New Roman"/>
          <w:i/>
          <w:sz w:val="24"/>
          <w:szCs w:val="24"/>
          <w:lang w:val="en-GB"/>
        </w:rPr>
        <w:t>in vivo</w:t>
      </w:r>
      <w:r w:rsidRPr="00C26146">
        <w:rPr>
          <w:rFonts w:ascii="Times New Roman" w:hAnsi="Times New Roman"/>
          <w:sz w:val="24"/>
          <w:szCs w:val="24"/>
          <w:lang w:val="en-GB"/>
        </w:rPr>
        <w:t xml:space="preserve"> performance of each product. Therefore, sink conditions were not maintained during dissolution tests in order to build up the super</w:t>
      </w:r>
      <w:r w:rsidR="002A321F" w:rsidRPr="00C26146">
        <w:rPr>
          <w:rFonts w:ascii="Times New Roman" w:hAnsi="Times New Roman"/>
          <w:sz w:val="24"/>
          <w:szCs w:val="24"/>
          <w:lang w:val="en-GB"/>
        </w:rPr>
        <w:t>-</w:t>
      </w:r>
      <w:r w:rsidRPr="00C26146">
        <w:rPr>
          <w:rFonts w:ascii="Times New Roman" w:hAnsi="Times New Roman"/>
          <w:sz w:val="24"/>
          <w:szCs w:val="24"/>
          <w:lang w:val="en-GB"/>
        </w:rPr>
        <w:t>saturation, to mimic conditions in the gastro-intestinal tract and to allow possible events such as nucleation, crystallization and precipitation (Sun et al., 2012).</w:t>
      </w:r>
      <w:r w:rsidRPr="00C26146">
        <w:rPr>
          <w:rFonts w:ascii="Times New Roman" w:hAnsi="Times New Roman"/>
          <w:sz w:val="24"/>
          <w:szCs w:val="24"/>
          <w:vertAlign w:val="superscript"/>
          <w:lang w:val="en-GB"/>
        </w:rPr>
        <w:t xml:space="preserve"> </w:t>
      </w:r>
      <w:r w:rsidRPr="00C26146">
        <w:rPr>
          <w:rFonts w:ascii="Times New Roman" w:hAnsi="Times New Roman"/>
          <w:sz w:val="24"/>
          <w:szCs w:val="24"/>
          <w:lang w:val="en-GB"/>
        </w:rPr>
        <w:t xml:space="preserve">Hence, at time zero, a suitable amount of sample (as a pure vincamine, PM or coground sample) to give 12.6 mg of vincamine was added to the dissolution </w:t>
      </w:r>
      <w:r w:rsidRPr="00C26146">
        <w:rPr>
          <w:rFonts w:ascii="Times New Roman" w:hAnsi="Times New Roman"/>
          <w:sz w:val="24"/>
          <w:szCs w:val="24"/>
          <w:lang w:val="en-GB"/>
        </w:rPr>
        <w:lastRenderedPageBreak/>
        <w:t xml:space="preserve">medium and each DKT lasted 180 min. In these tests, uniformity conditions were ensured by using an impeller (rotational speed 200 rpm). Instead, </w:t>
      </w:r>
      <w:r w:rsidRPr="00C26146">
        <w:rPr>
          <w:rFonts w:ascii="Times New Roman" w:eastAsia="Calibri" w:hAnsi="Times New Roman"/>
          <w:sz w:val="24"/>
          <w:szCs w:val="24"/>
          <w:lang w:val="en-GB"/>
        </w:rPr>
        <w:t xml:space="preserve">the </w:t>
      </w:r>
      <w:r w:rsidRPr="00C26146">
        <w:rPr>
          <w:rFonts w:ascii="Times New Roman" w:hAnsi="Times New Roman"/>
          <w:sz w:val="24"/>
          <w:szCs w:val="24"/>
          <w:lang w:val="en-GB"/>
        </w:rPr>
        <w:t>determination of vincamine concentration was performed by using a fib</w:t>
      </w:r>
      <w:r w:rsidR="002A321F" w:rsidRPr="00C26146">
        <w:rPr>
          <w:rFonts w:ascii="Times New Roman" w:hAnsi="Times New Roman"/>
          <w:sz w:val="24"/>
          <w:szCs w:val="24"/>
          <w:lang w:val="en-GB"/>
        </w:rPr>
        <w:t>re</w:t>
      </w:r>
      <w:r w:rsidRPr="00C26146">
        <w:rPr>
          <w:rFonts w:ascii="Times New Roman" w:hAnsi="Times New Roman"/>
          <w:sz w:val="24"/>
          <w:szCs w:val="24"/>
          <w:lang w:val="en-GB"/>
        </w:rPr>
        <w:t>-</w:t>
      </w:r>
      <w:r w:rsidRPr="00C26146">
        <w:rPr>
          <w:rFonts w:ascii="Times New Roman" w:eastAsia="Calibri" w:hAnsi="Times New Roman"/>
          <w:sz w:val="24"/>
          <w:szCs w:val="24"/>
          <w:lang w:val="en-GB"/>
        </w:rPr>
        <w:t xml:space="preserve">optic apparatus (HELLMA, Milano, Italy), </w:t>
      </w:r>
      <w:r w:rsidRPr="00C26146">
        <w:rPr>
          <w:rFonts w:ascii="Times New Roman" w:hAnsi="Times New Roman"/>
          <w:sz w:val="24"/>
          <w:szCs w:val="24"/>
          <w:lang w:val="en-GB"/>
        </w:rPr>
        <w:t xml:space="preserve">which was </w:t>
      </w:r>
      <w:r w:rsidRPr="00C26146">
        <w:rPr>
          <w:rFonts w:ascii="Times New Roman" w:eastAsia="Calibri" w:hAnsi="Times New Roman"/>
          <w:sz w:val="24"/>
          <w:szCs w:val="24"/>
          <w:lang w:val="en-GB"/>
        </w:rPr>
        <w:t>connected to a spectrophotometer (ZEISS</w:t>
      </w:r>
      <w:r w:rsidRPr="00C26146">
        <w:rPr>
          <w:rFonts w:ascii="Times New Roman" w:hAnsi="Times New Roman"/>
          <w:sz w:val="24"/>
          <w:szCs w:val="24"/>
          <w:lang w:val="en-GB"/>
        </w:rPr>
        <w:t>, Germany, wavelength 268.49 nm). This technique, also used in our previous studies (Hasa et al., 2011, Hasa et al., 2012a),</w:t>
      </w:r>
      <w:r w:rsidRPr="00C26146">
        <w:rPr>
          <w:rFonts w:ascii="Times New Roman" w:eastAsia="Calibri" w:hAnsi="Times New Roman"/>
          <w:sz w:val="24"/>
          <w:szCs w:val="24"/>
          <w:lang w:val="en-GB"/>
        </w:rPr>
        <w:t xml:space="preserve"> allow</w:t>
      </w:r>
      <w:r w:rsidRPr="00C26146">
        <w:rPr>
          <w:rFonts w:ascii="Times New Roman" w:hAnsi="Times New Roman"/>
          <w:sz w:val="24"/>
          <w:szCs w:val="24"/>
          <w:lang w:val="en-GB"/>
        </w:rPr>
        <w:t>s</w:t>
      </w:r>
      <w:r w:rsidRPr="00C26146">
        <w:rPr>
          <w:rFonts w:ascii="Times New Roman" w:eastAsia="Calibri" w:hAnsi="Times New Roman"/>
          <w:sz w:val="24"/>
          <w:szCs w:val="24"/>
          <w:lang w:val="en-GB"/>
        </w:rPr>
        <w:t xml:space="preserve"> an </w:t>
      </w:r>
      <w:r w:rsidRPr="00C26146">
        <w:rPr>
          <w:rFonts w:ascii="Times New Roman" w:hAnsi="Times New Roman"/>
          <w:i/>
          <w:sz w:val="24"/>
          <w:szCs w:val="24"/>
          <w:lang w:val="en-GB"/>
        </w:rPr>
        <w:t>in situ</w:t>
      </w:r>
      <w:r w:rsidRPr="00C26146">
        <w:rPr>
          <w:rFonts w:ascii="Times New Roman" w:eastAsia="Calibri" w:hAnsi="Times New Roman"/>
          <w:sz w:val="24"/>
          <w:szCs w:val="24"/>
          <w:lang w:val="en-GB"/>
        </w:rPr>
        <w:t xml:space="preserve"> determination of concentration</w:t>
      </w:r>
      <w:r w:rsidRPr="00C26146">
        <w:rPr>
          <w:rFonts w:ascii="Times New Roman" w:hAnsi="Times New Roman"/>
          <w:sz w:val="24"/>
          <w:szCs w:val="24"/>
          <w:lang w:val="en-GB"/>
        </w:rPr>
        <w:t xml:space="preserve"> of a substance </w:t>
      </w:r>
      <w:r w:rsidRPr="00C26146">
        <w:rPr>
          <w:rFonts w:ascii="Times New Roman" w:eastAsia="Calibri" w:hAnsi="Times New Roman"/>
          <w:sz w:val="24"/>
          <w:szCs w:val="24"/>
          <w:lang w:val="en-GB"/>
        </w:rPr>
        <w:t>without perturb</w:t>
      </w:r>
      <w:r w:rsidRPr="00C26146">
        <w:rPr>
          <w:rFonts w:ascii="Times New Roman" w:hAnsi="Times New Roman"/>
          <w:sz w:val="24"/>
          <w:szCs w:val="24"/>
          <w:lang w:val="en-GB"/>
        </w:rPr>
        <w:t xml:space="preserve">ing the dissolution environment and often overcomes the problem connected to drug concentration measurements in the presence of generated solid particles. However, in this study linear polymers were used as vincamine carriers. Consequently, monitoring drug concentrations by using an </w:t>
      </w:r>
      <w:r w:rsidRPr="00C26146">
        <w:rPr>
          <w:rFonts w:ascii="Times New Roman" w:hAnsi="Times New Roman"/>
          <w:i/>
          <w:sz w:val="24"/>
          <w:szCs w:val="24"/>
          <w:lang w:val="en-GB"/>
        </w:rPr>
        <w:t>in-situ</w:t>
      </w:r>
      <w:r w:rsidRPr="00C26146">
        <w:rPr>
          <w:rFonts w:ascii="Times New Roman" w:hAnsi="Times New Roman"/>
          <w:sz w:val="24"/>
          <w:szCs w:val="24"/>
          <w:lang w:val="en-GB"/>
        </w:rPr>
        <w:t xml:space="preserve"> fib</w:t>
      </w:r>
      <w:r w:rsidR="002A321F" w:rsidRPr="00C26146">
        <w:rPr>
          <w:rFonts w:ascii="Times New Roman" w:hAnsi="Times New Roman"/>
          <w:sz w:val="24"/>
          <w:szCs w:val="24"/>
          <w:lang w:val="en-GB"/>
        </w:rPr>
        <w:t>re</w:t>
      </w:r>
      <w:r w:rsidRPr="00C26146">
        <w:rPr>
          <w:rFonts w:ascii="Times New Roman" w:hAnsi="Times New Roman"/>
          <w:sz w:val="24"/>
          <w:szCs w:val="24"/>
          <w:lang w:val="en-GB"/>
        </w:rPr>
        <w:t>-optic probe without proper precautions may lead to an overestimation of drug concentration due to several causes including Tyndall effect (</w:t>
      </w:r>
      <w:r w:rsidRPr="00C26146">
        <w:rPr>
          <w:rFonts w:ascii="Times New Roman" w:hAnsi="Times New Roman"/>
          <w:lang w:val="en-GB"/>
        </w:rPr>
        <w:t>Van Eerdenbrugh</w:t>
      </w:r>
      <w:r w:rsidRPr="00C26146">
        <w:rPr>
          <w:rFonts w:ascii="Times New Roman" w:hAnsi="Times New Roman"/>
          <w:sz w:val="24"/>
          <w:szCs w:val="24"/>
          <w:lang w:val="en-GB"/>
        </w:rPr>
        <w:t xml:space="preserve"> et al., 2011). Accordingly, in the present research the scattering effect due to super</w:t>
      </w:r>
      <w:r w:rsidR="002A321F" w:rsidRPr="00C26146">
        <w:rPr>
          <w:rFonts w:ascii="Times New Roman" w:hAnsi="Times New Roman"/>
          <w:sz w:val="24"/>
          <w:szCs w:val="24"/>
          <w:lang w:val="en-GB"/>
        </w:rPr>
        <w:t>-</w:t>
      </w:r>
      <w:r w:rsidRPr="00C26146">
        <w:rPr>
          <w:rFonts w:ascii="Times New Roman" w:hAnsi="Times New Roman"/>
          <w:sz w:val="24"/>
          <w:szCs w:val="24"/>
          <w:lang w:val="en-GB"/>
        </w:rPr>
        <w:t>saturation phenomenon, occurring at every wavelength, was eliminated by a difference between the absorbance measured at 270.19 nm (which is vincamine maximum absorption) and that measured at 400.49 nm where vincamine did not absorb. Moreover, a further subtraction from the resulting absorbance was performed to take into account the Tyndall effect: preliminary DKT of the two polymers (PVP-K30 and NaCMC) were performed by recording absorbance values at the same time intervals as those performed for the selected composites. The absorbance value observed at each time interval of DKT of pure polymers was then subtracted to that obtained during DKT of the coground samples. The samples were tested in triplicate and the results were expressed as mean ± S.D.</w:t>
      </w:r>
    </w:p>
    <w:p w:rsidR="002F4EF0" w:rsidRPr="00C26146" w:rsidRDefault="002F4EF0" w:rsidP="00A86CA2">
      <w:pPr>
        <w:pStyle w:val="NoSpacing1"/>
        <w:spacing w:line="480" w:lineRule="auto"/>
        <w:rPr>
          <w:rFonts w:ascii="Times New Roman" w:hAnsi="Times New Roman"/>
          <w:sz w:val="24"/>
          <w:szCs w:val="24"/>
          <w:lang w:val="en-GB"/>
        </w:rPr>
      </w:pPr>
    </w:p>
    <w:p w:rsidR="002F4EF0" w:rsidRPr="00C26146" w:rsidRDefault="002F4EF0" w:rsidP="002F4EF0">
      <w:pPr>
        <w:autoSpaceDE w:val="0"/>
        <w:autoSpaceDN w:val="0"/>
        <w:adjustRightInd w:val="0"/>
        <w:spacing w:line="480" w:lineRule="auto"/>
      </w:pPr>
      <w:r w:rsidRPr="00C26146">
        <w:t xml:space="preserve">2.2.8. Screening of </w:t>
      </w:r>
      <w:r w:rsidRPr="00C26146">
        <w:rPr>
          <w:i/>
        </w:rPr>
        <w:t>in vitro</w:t>
      </w:r>
      <w:r w:rsidRPr="00C26146">
        <w:t xml:space="preserve"> equivalent composites using the FDA bioequivalence limits. </w:t>
      </w:r>
    </w:p>
    <w:p w:rsidR="002F4EF0" w:rsidRPr="00C26146" w:rsidRDefault="002F4EF0" w:rsidP="002F4EF0">
      <w:pPr>
        <w:spacing w:line="480" w:lineRule="auto"/>
      </w:pPr>
      <w:r w:rsidRPr="00C26146">
        <w:t xml:space="preserve">In order to make a comparison among the Cog samples, the FDA bioequivalence limits </w:t>
      </w:r>
      <w:r w:rsidR="00703044" w:rsidRPr="00C26146">
        <w:t>(FDA</w:t>
      </w:r>
      <w:r w:rsidRPr="00C26146">
        <w:t xml:space="preserve">, 2003) were adopted and used for the </w:t>
      </w:r>
      <w:r w:rsidRPr="00C26146">
        <w:rPr>
          <w:i/>
        </w:rPr>
        <w:t>in vitro</w:t>
      </w:r>
      <w:r w:rsidRPr="00C26146">
        <w:t xml:space="preserve"> solubilisation experiments. Firstly, the area under the curve of solubilised concentration vs</w:t>
      </w:r>
      <w:r w:rsidR="00B624B7" w:rsidRPr="00C26146">
        <w:t>.</w:t>
      </w:r>
      <w:r w:rsidRPr="00C26146">
        <w:t xml:space="preserve"> time from t=0 min to th</w:t>
      </w:r>
      <w:r w:rsidR="00703044" w:rsidRPr="00C26146">
        <w:t xml:space="preserve">e last measuring point (180 min, </w:t>
      </w:r>
      <w:r w:rsidRPr="00C26146">
        <w:lastRenderedPageBreak/>
        <w:t>AUC</w:t>
      </w:r>
      <w:r w:rsidRPr="00C26146">
        <w:rPr>
          <w:vertAlign w:val="subscript"/>
        </w:rPr>
        <w:t>0-180</w:t>
      </w:r>
      <w:r w:rsidR="00703044" w:rsidRPr="00C26146">
        <w:t>)</w:t>
      </w:r>
      <w:r w:rsidRPr="00C26146">
        <w:t xml:space="preserve"> was calculated and used as a parameter to evaluate the degree of activation of the samples. The results are listed in Table 3 (as AUC</w:t>
      </w:r>
      <w:r w:rsidRPr="00C26146">
        <w:rPr>
          <w:vertAlign w:val="subscript"/>
        </w:rPr>
        <w:t xml:space="preserve">0-180 </w:t>
      </w:r>
      <w:r w:rsidRPr="00C26146">
        <w:t xml:space="preserve">± S.D.; </w:t>
      </w:r>
      <w:r w:rsidRPr="00C26146">
        <w:rPr>
          <w:i/>
        </w:rPr>
        <w:t>n</w:t>
      </w:r>
      <w:r w:rsidRPr="00C26146">
        <w:t>=3) for all the Cog samples and PM.</w:t>
      </w:r>
    </w:p>
    <w:p w:rsidR="002F4EF0" w:rsidRPr="00C26146" w:rsidRDefault="002F4EF0" w:rsidP="002F4EF0">
      <w:pPr>
        <w:spacing w:line="480" w:lineRule="auto"/>
      </w:pPr>
      <w:r w:rsidRPr="00C26146">
        <w:t>Subsequently, in all the samples prepared, the higher AUC value was recognised and indicated as AUC</w:t>
      </w:r>
      <w:r w:rsidRPr="00C26146">
        <w:rPr>
          <w:vertAlign w:val="subscript"/>
        </w:rPr>
        <w:t>max</w:t>
      </w:r>
      <w:r w:rsidRPr="00C26146">
        <w:t>. Further, the ratio (indicated as</w:t>
      </w:r>
      <w:r w:rsidRPr="00C26146">
        <w:rPr>
          <w:i/>
        </w:rPr>
        <w:t xml:space="preserve"> </w:t>
      </w:r>
      <w:r w:rsidRPr="00C26146">
        <w:t>Z) between the AUC of each formulation and AUC</w:t>
      </w:r>
      <w:r w:rsidRPr="00C26146">
        <w:rPr>
          <w:vertAlign w:val="subscript"/>
        </w:rPr>
        <w:t>max</w:t>
      </w:r>
      <w:r w:rsidRPr="00C26146">
        <w:t xml:space="preserve"> was calculated as following:</w:t>
      </w:r>
    </w:p>
    <w:p w:rsidR="002F4EF0" w:rsidRPr="00C26146" w:rsidRDefault="002F4EF0" w:rsidP="002F4EF0">
      <w:pPr>
        <w:spacing w:line="480" w:lineRule="auto"/>
      </w:pPr>
      <w:r w:rsidRPr="00C26146">
        <w:rPr>
          <w:noProof/>
          <w:lang w:val="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3.75pt;margin-top:20.8pt;width:128pt;height:48pt;z-index:251657728">
            <v:imagedata r:id="rId10" o:title=""/>
          </v:shape>
          <o:OLEObject Type="Embed" ProgID="Equation.3" ShapeID="_x0000_s1032" DrawAspect="Content" ObjectID="_1538202045" r:id="rId11"/>
        </w:pict>
      </w:r>
    </w:p>
    <w:p w:rsidR="002F4EF0" w:rsidRPr="00C26146" w:rsidRDefault="002F4EF0" w:rsidP="002F4EF0">
      <w:pPr>
        <w:spacing w:line="480" w:lineRule="auto"/>
      </w:pPr>
      <w:r w:rsidRPr="00C26146">
        <w:t xml:space="preserve">                                                                                                                     (1)</w:t>
      </w:r>
    </w:p>
    <w:p w:rsidR="002F4EF0" w:rsidRPr="00C26146" w:rsidRDefault="002F4EF0" w:rsidP="002F4EF0">
      <w:pPr>
        <w:spacing w:line="480" w:lineRule="auto"/>
      </w:pPr>
    </w:p>
    <w:p w:rsidR="002F4EF0" w:rsidRPr="00C26146" w:rsidRDefault="002F4EF0" w:rsidP="002F4EF0">
      <w:pPr>
        <w:spacing w:line="480" w:lineRule="auto"/>
      </w:pPr>
      <w:r w:rsidRPr="00C26146">
        <w:t>For all the Z ratios, the associated uncertainty (indicated as dz</w:t>
      </w:r>
      <w:r w:rsidRPr="00C26146">
        <w:rPr>
          <w:i/>
        </w:rPr>
        <w:t>)</w:t>
      </w:r>
      <w:r w:rsidRPr="00C26146">
        <w:t xml:space="preserve"> was calculated with the classical formula of the relative error of a ratio (Taylor, 1997):</w:t>
      </w:r>
    </w:p>
    <w:p w:rsidR="002F4EF0" w:rsidRPr="00C26146" w:rsidRDefault="002F4EF0" w:rsidP="002F4EF0">
      <w:pPr>
        <w:spacing w:line="480" w:lineRule="auto"/>
      </w:pPr>
    </w:p>
    <w:p w:rsidR="002F4EF0" w:rsidRPr="00C26146" w:rsidRDefault="002F4EF0" w:rsidP="002F4EF0">
      <w:pPr>
        <w:spacing w:line="480" w:lineRule="auto"/>
      </w:pPr>
      <w:r w:rsidRPr="00C26146">
        <w:rPr>
          <w:position w:val="-30"/>
        </w:rPr>
        <w:object w:dxaOrig="6120" w:dyaOrig="800">
          <v:shape id="_x0000_i1025" type="#_x0000_t75" style="width:391.5pt;height:52.5pt" o:ole="">
            <v:imagedata r:id="rId12" o:title=""/>
          </v:shape>
          <o:OLEObject Type="Embed" ProgID="Equation.3" ShapeID="_x0000_i1025" DrawAspect="Content" ObjectID="_1538202044" r:id="rId13"/>
        </w:object>
      </w:r>
      <w:r w:rsidRPr="00C26146">
        <w:t xml:space="preserve">                (2)</w:t>
      </w:r>
    </w:p>
    <w:p w:rsidR="002F4EF0" w:rsidRPr="00C26146" w:rsidRDefault="002F4EF0" w:rsidP="002F4EF0">
      <w:pPr>
        <w:spacing w:line="480" w:lineRule="auto"/>
      </w:pPr>
    </w:p>
    <w:p w:rsidR="002F4EF0" w:rsidRPr="00C26146" w:rsidRDefault="002F4EF0" w:rsidP="002F4EF0">
      <w:pPr>
        <w:spacing w:line="480" w:lineRule="auto"/>
      </w:pPr>
      <w:proofErr w:type="gramStart"/>
      <w:r w:rsidRPr="00C26146">
        <w:t>where</w:t>
      </w:r>
      <w:proofErr w:type="gramEnd"/>
      <w:r w:rsidRPr="00C26146">
        <w:t xml:space="preserve"> dAUC</w:t>
      </w:r>
      <w:r w:rsidRPr="00C26146">
        <w:rPr>
          <w:vertAlign w:val="subscript"/>
        </w:rPr>
        <w:t>formulation</w:t>
      </w:r>
      <w:r w:rsidRPr="00C26146">
        <w:t xml:space="preserve"> and dAUC</w:t>
      </w:r>
      <w:r w:rsidRPr="00C26146">
        <w:rPr>
          <w:vertAlign w:val="subscript"/>
        </w:rPr>
        <w:t>max</w:t>
      </w:r>
      <w:r w:rsidRPr="00C26146">
        <w:t xml:space="preserve"> signify the S.D. of the AUC</w:t>
      </w:r>
      <w:r w:rsidRPr="00C26146">
        <w:rPr>
          <w:vertAlign w:val="subscript"/>
        </w:rPr>
        <w:t>formulation</w:t>
      </w:r>
      <w:r w:rsidRPr="00C26146">
        <w:t xml:space="preserve"> and AUC</w:t>
      </w:r>
      <w:r w:rsidRPr="00C26146">
        <w:rPr>
          <w:vertAlign w:val="subscript"/>
        </w:rPr>
        <w:t>max</w:t>
      </w:r>
      <w:r w:rsidRPr="00C26146">
        <w:t xml:space="preserve"> values, respectively.</w:t>
      </w:r>
    </w:p>
    <w:p w:rsidR="00E91D0B" w:rsidRPr="00C26146" w:rsidRDefault="00E91D0B" w:rsidP="00643677">
      <w:pPr>
        <w:autoSpaceDE w:val="0"/>
        <w:autoSpaceDN w:val="0"/>
        <w:adjustRightInd w:val="0"/>
        <w:spacing w:line="480" w:lineRule="auto"/>
      </w:pPr>
    </w:p>
    <w:p w:rsidR="00096A8C" w:rsidRPr="00C26146" w:rsidRDefault="00096A8C" w:rsidP="00643677">
      <w:pPr>
        <w:autoSpaceDE w:val="0"/>
        <w:autoSpaceDN w:val="0"/>
        <w:adjustRightInd w:val="0"/>
        <w:spacing w:line="480" w:lineRule="auto"/>
      </w:pPr>
      <w:r w:rsidRPr="00C26146">
        <w:t>2.2.</w:t>
      </w:r>
      <w:r w:rsidR="002F4EF0" w:rsidRPr="00C26146">
        <w:t>9</w:t>
      </w:r>
      <w:r w:rsidR="00F97657" w:rsidRPr="00C26146">
        <w:t>.</w:t>
      </w:r>
      <w:r w:rsidRPr="00C26146">
        <w:t xml:space="preserve"> Transmission Electron Microscopy (TEM) </w:t>
      </w:r>
    </w:p>
    <w:p w:rsidR="00E91D0B" w:rsidRPr="00C26146" w:rsidRDefault="00A86CA2" w:rsidP="00643677">
      <w:pPr>
        <w:spacing w:line="480" w:lineRule="auto"/>
      </w:pPr>
      <w:r w:rsidRPr="00C26146">
        <w:t xml:space="preserve">Prior to analysis the selected samples were fixed in 1 % osmium tetroxide for 12 hour at </w:t>
      </w:r>
      <w:smartTag w:uri="urn:schemas-microsoft-com:office:smarttags" w:element="metricconverter">
        <w:smartTagPr>
          <w:attr w:name="ProductID" w:val="4ﾰC"/>
        </w:smartTagPr>
        <w:r w:rsidRPr="00C26146">
          <w:t>4°C</w:t>
        </w:r>
      </w:smartTag>
      <w:r w:rsidRPr="00C26146">
        <w:t xml:space="preserve"> and embedded in Dow Epoxy Resin (DER 332). Subsequently, ultrathin sections were cut by an ultratome Leica Ultracut UCT8 (Leica, Mikrosysteme Aktiengesellschaft, Wirn, Austria), double stained with uranyl acetate and lead citrate and examined with a Philips EM 208 transmission electron microscope (Philips, Eindhoven, the Netherlands) with an accelerating voltage of 100 kV. Images were acquired using an Olympus Morada CCD camera.</w:t>
      </w:r>
    </w:p>
    <w:p w:rsidR="00F279D0" w:rsidRPr="00C26146" w:rsidRDefault="00F279D0" w:rsidP="00643677">
      <w:pPr>
        <w:spacing w:line="480" w:lineRule="auto"/>
      </w:pPr>
    </w:p>
    <w:p w:rsidR="00096A8C" w:rsidRPr="00C26146" w:rsidRDefault="00096A8C" w:rsidP="00643677">
      <w:pPr>
        <w:spacing w:line="480" w:lineRule="auto"/>
      </w:pPr>
      <w:r w:rsidRPr="00C26146">
        <w:rPr>
          <w:bCs/>
          <w:caps/>
        </w:rPr>
        <w:lastRenderedPageBreak/>
        <w:t>2.2.</w:t>
      </w:r>
      <w:r w:rsidR="002F4EF0" w:rsidRPr="00C26146">
        <w:rPr>
          <w:bCs/>
          <w:caps/>
        </w:rPr>
        <w:t>10</w:t>
      </w:r>
      <w:r w:rsidR="00F97657" w:rsidRPr="00C26146">
        <w:rPr>
          <w:bCs/>
          <w:caps/>
        </w:rPr>
        <w:t>.</w:t>
      </w:r>
      <w:r w:rsidRPr="00C26146">
        <w:rPr>
          <w:bCs/>
          <w:caps/>
        </w:rPr>
        <w:t xml:space="preserve"> A</w:t>
      </w:r>
      <w:r w:rsidRPr="00C26146">
        <w:rPr>
          <w:bCs/>
        </w:rPr>
        <w:t>ging Studies</w:t>
      </w:r>
    </w:p>
    <w:p w:rsidR="00A86CA2" w:rsidRPr="00C26146" w:rsidRDefault="00A86CA2" w:rsidP="00A86CA2">
      <w:pPr>
        <w:spacing w:line="480" w:lineRule="auto"/>
      </w:pPr>
      <w:r w:rsidRPr="00C26146">
        <w:rPr>
          <w:bCs/>
        </w:rPr>
        <w:t>The XRPD and DKT analyses of the best performing composites were repeated every 4 months for a period of 12 months in order to check possible re</w:t>
      </w:r>
      <w:r w:rsidR="002A321F" w:rsidRPr="00C26146">
        <w:rPr>
          <w:bCs/>
        </w:rPr>
        <w:t>-</w:t>
      </w:r>
      <w:r w:rsidRPr="00C26146">
        <w:rPr>
          <w:bCs/>
        </w:rPr>
        <w:t>crystallization and/or crystal growth phenomena. Throughout the study</w:t>
      </w:r>
      <w:r w:rsidRPr="00C26146">
        <w:rPr>
          <w:bCs/>
          <w:caps/>
        </w:rPr>
        <w:t xml:space="preserve"> </w:t>
      </w:r>
      <w:r w:rsidRPr="00C26146">
        <w:rPr>
          <w:bCs/>
        </w:rPr>
        <w:t xml:space="preserve">the samples were reserved at </w:t>
      </w:r>
      <w:smartTag w:uri="urn:schemas-microsoft-com:office:smarttags" w:element="metricconverter">
        <w:smartTagPr>
          <w:attr w:name="ProductID" w:val="25ﾰC"/>
        </w:smartTagPr>
        <w:r w:rsidRPr="00C26146">
          <w:rPr>
            <w:bCs/>
          </w:rPr>
          <w:t>25°C</w:t>
        </w:r>
      </w:smartTag>
      <w:r w:rsidRPr="00C26146">
        <w:rPr>
          <w:bCs/>
        </w:rPr>
        <w:t xml:space="preserve"> in desiccator</w:t>
      </w:r>
      <w:r w:rsidR="002A321F" w:rsidRPr="00C26146">
        <w:rPr>
          <w:bCs/>
        </w:rPr>
        <w:t>s</w:t>
      </w:r>
      <w:r w:rsidRPr="00C26146">
        <w:rPr>
          <w:bCs/>
        </w:rPr>
        <w:t xml:space="preserve">. </w:t>
      </w:r>
    </w:p>
    <w:p w:rsidR="001B6BD4" w:rsidRPr="00C26146" w:rsidRDefault="001B6BD4" w:rsidP="00643677">
      <w:pPr>
        <w:spacing w:line="480" w:lineRule="auto"/>
        <w:rPr>
          <w:b/>
          <w:bCs/>
          <w:caps/>
        </w:rPr>
      </w:pPr>
    </w:p>
    <w:p w:rsidR="00096A8C" w:rsidRPr="00C26146" w:rsidRDefault="00096A8C" w:rsidP="00643677">
      <w:pPr>
        <w:spacing w:line="480" w:lineRule="auto"/>
      </w:pPr>
      <w:r w:rsidRPr="00C26146">
        <w:rPr>
          <w:b/>
          <w:bCs/>
          <w:caps/>
        </w:rPr>
        <w:t xml:space="preserve">3. </w:t>
      </w:r>
      <w:r w:rsidRPr="00C26146">
        <w:rPr>
          <w:b/>
          <w:bCs/>
        </w:rPr>
        <w:t>Results and Discussion</w:t>
      </w:r>
    </w:p>
    <w:p w:rsidR="00096A8C" w:rsidRPr="00C26146" w:rsidRDefault="00096A8C" w:rsidP="00643677">
      <w:pPr>
        <w:autoSpaceDE w:val="0"/>
        <w:autoSpaceDN w:val="0"/>
        <w:adjustRightInd w:val="0"/>
        <w:spacing w:line="480" w:lineRule="auto"/>
        <w:rPr>
          <w:b/>
        </w:rPr>
      </w:pPr>
      <w:r w:rsidRPr="00C26146">
        <w:rPr>
          <w:b/>
        </w:rPr>
        <w:t>3.1</w:t>
      </w:r>
      <w:r w:rsidR="00F97657" w:rsidRPr="00C26146">
        <w:rPr>
          <w:b/>
        </w:rPr>
        <w:t>.</w:t>
      </w:r>
      <w:r w:rsidRPr="00C26146">
        <w:rPr>
          <w:b/>
        </w:rPr>
        <w:t xml:space="preserve"> </w:t>
      </w:r>
      <w:r w:rsidR="00BA4E3C" w:rsidRPr="00C26146">
        <w:rPr>
          <w:b/>
        </w:rPr>
        <w:t>Selection of carrier</w:t>
      </w:r>
      <w:r w:rsidR="00E70DBC" w:rsidRPr="00C26146">
        <w:rPr>
          <w:b/>
        </w:rPr>
        <w:t xml:space="preserve"> </w:t>
      </w:r>
    </w:p>
    <w:p w:rsidR="002D417C" w:rsidRPr="00C26146" w:rsidRDefault="00A86CA2" w:rsidP="00160EE2">
      <w:pPr>
        <w:autoSpaceDE w:val="0"/>
        <w:autoSpaceDN w:val="0"/>
        <w:adjustRightInd w:val="0"/>
        <w:spacing w:line="480" w:lineRule="auto"/>
      </w:pPr>
      <w:r w:rsidRPr="00C26146">
        <w:t xml:space="preserve">As previously mentioned, solid dispersions represent potential drug delivery systems to improve dissolution rate of poorly soluble drugs such as vincamine (Hasa et al., 2012a). Moreover, when the solid dispersion is produced </w:t>
      </w:r>
      <w:r w:rsidRPr="00C26146">
        <w:rPr>
          <w:i/>
        </w:rPr>
        <w:t>via</w:t>
      </w:r>
      <w:r w:rsidRPr="00C26146">
        <w:t xml:space="preserve"> a solvent-free and cost-effective process such as MA, it becomes attractive to pharmaceutical companies i.e. for </w:t>
      </w:r>
      <w:r w:rsidR="00D56123" w:rsidRPr="00C26146">
        <w:t>marketing</w:t>
      </w:r>
      <w:r w:rsidRPr="00C26146">
        <w:t xml:space="preserve">. However, due to some limitations (e.g. physical instability and drug/carrier incompatibility), the number of marketed solid dispersions produced </w:t>
      </w:r>
      <w:r w:rsidRPr="00C26146">
        <w:rPr>
          <w:i/>
        </w:rPr>
        <w:t>via</w:t>
      </w:r>
      <w:r w:rsidRPr="00C26146">
        <w:t xml:space="preserve"> MA is very small (James et al., 2012). Therefore, studies in this direction set themselves apart by their importance.</w:t>
      </w:r>
    </w:p>
    <w:p w:rsidR="00A86CA2" w:rsidRPr="00C26146" w:rsidRDefault="00A86CA2" w:rsidP="00A86CA2">
      <w:pPr>
        <w:autoSpaceDE w:val="0"/>
        <w:autoSpaceDN w:val="0"/>
        <w:adjustRightInd w:val="0"/>
        <w:spacing w:line="480" w:lineRule="auto"/>
      </w:pPr>
      <w:r w:rsidRPr="00C26146">
        <w:t>In the present study, in order to evaluate vincamine</w:t>
      </w:r>
      <w:proofErr w:type="gramStart"/>
      <w:r w:rsidRPr="00C26146">
        <w:t>:PVP</w:t>
      </w:r>
      <w:proofErr w:type="gramEnd"/>
      <w:r w:rsidRPr="00C26146">
        <w:t xml:space="preserve">-K30 and vincamine:NaCMC compatibility/affinity some analyses were carried out.  </w:t>
      </w:r>
    </w:p>
    <w:p w:rsidR="00A86CA2" w:rsidRPr="00C26146" w:rsidRDefault="00A86CA2" w:rsidP="00A86CA2">
      <w:pPr>
        <w:autoSpaceDE w:val="0"/>
        <w:autoSpaceDN w:val="0"/>
        <w:adjustRightInd w:val="0"/>
        <w:spacing w:line="480" w:lineRule="auto"/>
      </w:pPr>
      <w:r w:rsidRPr="00C26146">
        <w:t xml:space="preserve">Firstly, the three-dimensional contour surfaces of vincamine, PVP-K30 and NaCMC (monomer units) were generated using </w:t>
      </w:r>
      <w:r w:rsidR="00E5291E" w:rsidRPr="00C26146">
        <w:t xml:space="preserve">a </w:t>
      </w:r>
      <w:r w:rsidRPr="00C26146">
        <w:t xml:space="preserve">GRID </w:t>
      </w:r>
      <w:r w:rsidR="00E5291E" w:rsidRPr="00C26146">
        <w:t>mapping (Goodford, 1985)</w:t>
      </w:r>
      <w:r w:rsidRPr="00C26146">
        <w:t>.</w:t>
      </w:r>
    </w:p>
    <w:p w:rsidR="00856CC7" w:rsidRPr="00C26146" w:rsidRDefault="00E5291E" w:rsidP="00643677">
      <w:pPr>
        <w:autoSpaceDE w:val="0"/>
        <w:autoSpaceDN w:val="0"/>
        <w:adjustRightInd w:val="0"/>
        <w:spacing w:line="480" w:lineRule="auto"/>
      </w:pPr>
      <w:r w:rsidRPr="00C26146">
        <w:t xml:space="preserve">In this study GRID was used to pinpoint hydrophilic and hydrophobic three-dimensional zones in the molecules and monomers under study. This was made possible by using two different probes: WATER that calculates the molecule regions where it is possible to position a water molecule including also proton acceptor and/or donor sites (Goodford, 1985), and DRY to locate the apolar molecular regions. The results, reported in Fig. </w:t>
      </w:r>
      <w:r w:rsidR="00F95124" w:rsidRPr="00C26146">
        <w:t>1</w:t>
      </w:r>
      <w:r w:rsidRPr="00C26146">
        <w:t xml:space="preserve">, clearly indicate that VIC and PVP-K30 possess </w:t>
      </w:r>
      <w:r w:rsidR="00D56123" w:rsidRPr="00C26146">
        <w:t xml:space="preserve">mainly </w:t>
      </w:r>
      <w:r w:rsidRPr="00C26146">
        <w:t>hydrophobic regions, whereas only small portions are water zones. On the contrary, NaCMC possesses wide hydrophilic regions.</w:t>
      </w:r>
    </w:p>
    <w:p w:rsidR="002B4EAA" w:rsidRPr="00C26146" w:rsidRDefault="002B4EAA" w:rsidP="002B4EAA">
      <w:pPr>
        <w:autoSpaceDE w:val="0"/>
        <w:autoSpaceDN w:val="0"/>
        <w:adjustRightInd w:val="0"/>
        <w:spacing w:line="480" w:lineRule="auto"/>
      </w:pPr>
      <w:r w:rsidRPr="00C26146">
        <w:t>We speculate that similarity among three dimensional zones favours drug/carrier interaction.</w:t>
      </w:r>
    </w:p>
    <w:p w:rsidR="002B4EAA" w:rsidRPr="00C26146" w:rsidRDefault="002B4EAA" w:rsidP="002B4EAA">
      <w:pPr>
        <w:autoSpaceDE w:val="0"/>
        <w:autoSpaceDN w:val="0"/>
        <w:adjustRightInd w:val="0"/>
        <w:spacing w:line="480" w:lineRule="auto"/>
      </w:pPr>
      <w:r w:rsidRPr="00C26146">
        <w:lastRenderedPageBreak/>
        <w:t xml:space="preserve"> If we assume that during MA, in presence of a carrier, each vincamine molecule “detached” from the crystalline lattice is in contact with a carrier monomer unit, then must establish week intermolecular interactions with the carrier and the contact zone between drug molecules and the monomer must be energetically favourable in order to form a stable system. This statement may be also valid in case of vincamine molecules at the nanocrystal surface. Hence, the similarity of molecular zones becomes crucial since it indicates an interaction site with favourable energy and, consequently a higher probability that vincamine molecules will establish intermolecular interactions. A higher similarity between vincamine and PVP-K30 will suggests a higher possibility of interaction/stabilisation of the two materials. </w:t>
      </w:r>
    </w:p>
    <w:p w:rsidR="002B4EAA" w:rsidRPr="00C26146" w:rsidRDefault="002B4EAA" w:rsidP="00643677">
      <w:pPr>
        <w:autoSpaceDE w:val="0"/>
        <w:autoSpaceDN w:val="0"/>
        <w:adjustRightInd w:val="0"/>
        <w:spacing w:line="480" w:lineRule="auto"/>
      </w:pPr>
      <w:r w:rsidRPr="00C26146">
        <w:t>In the case of vincamine/NaCMC, the three-dimensional similar regions are only a minor part of the overall structure. Thus the interactions between these two molecules will be possible only in limited three-dimensional positions.</w:t>
      </w:r>
    </w:p>
    <w:p w:rsidR="002B4EAA" w:rsidRPr="00C26146" w:rsidRDefault="002B4EAA" w:rsidP="002B4EAA">
      <w:pPr>
        <w:spacing w:line="480" w:lineRule="auto"/>
        <w:jc w:val="both"/>
      </w:pPr>
      <w:r w:rsidRPr="00C26146">
        <w:t>Moreover, the interaction between the drug and the monomer of each polymer was estimated by performing molecular docking simulation.</w:t>
      </w:r>
    </w:p>
    <w:p w:rsidR="002B4EAA" w:rsidRPr="00C26146" w:rsidRDefault="002B4EAA" w:rsidP="002B4EAA">
      <w:pPr>
        <w:spacing w:line="480" w:lineRule="auto"/>
      </w:pPr>
      <w:r w:rsidRPr="00C26146">
        <w:t xml:space="preserve">The docking simulation estimates the interaction energy between two molecules </w:t>
      </w:r>
      <w:r w:rsidR="00B624B7" w:rsidRPr="00C26146">
        <w:t>(drug and polymer in this case);</w:t>
      </w:r>
      <w:r w:rsidRPr="00C26146">
        <w:t xml:space="preserve"> in order to evaluate which preparation (drug and polymer) has the best affinity.</w:t>
      </w:r>
    </w:p>
    <w:p w:rsidR="002B4EAA" w:rsidRPr="00C26146" w:rsidRDefault="002B4EAA" w:rsidP="002B4EAA">
      <w:pPr>
        <w:spacing w:line="480" w:lineRule="auto"/>
      </w:pPr>
      <w:r w:rsidRPr="00C26146">
        <w:t xml:space="preserve">As docking algorithm AutoDock version 4 was used (Morris et al., 2009). The algorithm is a grid-based docking methodology. This means that the physical chemical features (i.e. hydrophobicity, hydratability, H-bond capabilities, etc.) of each molecule were previously calculated by performing a grid mapping (Goodford, 1985) and the molecules were approached each other by considering the grid mapping previously performed (Fig. </w:t>
      </w:r>
      <w:r w:rsidR="00485C6E" w:rsidRPr="00C26146">
        <w:t>1</w:t>
      </w:r>
      <w:r w:rsidRPr="00C26146">
        <w:t>).</w:t>
      </w:r>
    </w:p>
    <w:p w:rsidR="002B4EAA" w:rsidRPr="00C26146" w:rsidRDefault="002B4EAA" w:rsidP="002B4EAA">
      <w:pPr>
        <w:spacing w:line="480" w:lineRule="auto"/>
      </w:pPr>
      <w:r w:rsidRPr="00C26146">
        <w:t>During the docking procedure all the molecule flexibilit</w:t>
      </w:r>
      <w:r w:rsidR="00674D9A" w:rsidRPr="00C26146">
        <w:t>ies</w:t>
      </w:r>
      <w:r w:rsidRPr="00C26146">
        <w:t xml:space="preserve"> were taken into account, so that, no conformational possibility restriction </w:t>
      </w:r>
      <w:r w:rsidR="00674D9A" w:rsidRPr="00C26146">
        <w:t>was</w:t>
      </w:r>
      <w:r w:rsidRPr="00C26146">
        <w:t xml:space="preserve"> applied. The docking procedure was performed using the Lamarckian genetic algorithm (Morris et al., 1998) by generating 250,000 different energy evaluation</w:t>
      </w:r>
      <w:r w:rsidR="00674D9A" w:rsidRPr="00C26146">
        <w:t>s</w:t>
      </w:r>
      <w:r w:rsidRPr="00C26146">
        <w:t xml:space="preserve"> for each generation of the genetic algorithm. The number of generation was set to 100 for each docking calculation. The best 10 poses for each docking experiment were selected and </w:t>
      </w:r>
      <w:r w:rsidRPr="00C26146">
        <w:lastRenderedPageBreak/>
        <w:t xml:space="preserve">scored by means of a semi-empirical free energy force field based (Huey et al., 2007). Moreover, the interaction energy of each docking pose was calculated. The best pose for each docking experiment is always shown in Fig. </w:t>
      </w:r>
      <w:r w:rsidR="00485C6E" w:rsidRPr="00C26146">
        <w:t>1</w:t>
      </w:r>
      <w:r w:rsidRPr="00C26146">
        <w:t>.</w:t>
      </w:r>
    </w:p>
    <w:p w:rsidR="002B4EAA" w:rsidRPr="00C26146" w:rsidRDefault="002B4EAA" w:rsidP="002B4EAA">
      <w:pPr>
        <w:spacing w:line="480" w:lineRule="auto"/>
      </w:pPr>
      <w:r w:rsidRPr="00C26146">
        <w:t>Although the best poses of each polymer were similar, the interaction energy calculated for the best pose of the binary system vincamine</w:t>
      </w:r>
      <w:proofErr w:type="gramStart"/>
      <w:r w:rsidRPr="00C26146">
        <w:t>:PVP:K30</w:t>
      </w:r>
      <w:proofErr w:type="gramEnd"/>
      <w:r w:rsidRPr="00C26146">
        <w:t xml:space="preserve"> is -1.83 kcal/mol and -0.58 kcal/mol for the vincamine:NaCMC system. </w:t>
      </w:r>
    </w:p>
    <w:p w:rsidR="002B4EAA" w:rsidRPr="00C26146" w:rsidRDefault="002B4EAA" w:rsidP="002B4EAA">
      <w:pPr>
        <w:spacing w:line="480" w:lineRule="auto"/>
      </w:pPr>
      <w:r w:rsidRPr="00C26146">
        <w:t>This result clearly indicates that the drug will interact significantly better with PVP-K30. The reason of this difference in terms of interaction energy is clearly due to the hydrophobic nature of the drug: PVP-K30 is more hydrophobic than NaCMC. Therefore, PVP-K30 is able to establish more favourable interactions with the drug molecule.</w:t>
      </w:r>
    </w:p>
    <w:p w:rsidR="00BA4318" w:rsidRPr="00C26146" w:rsidRDefault="00BA4318" w:rsidP="002B4EAA">
      <w:pPr>
        <w:spacing w:line="480" w:lineRule="auto"/>
      </w:pPr>
    </w:p>
    <w:p w:rsidR="00BA4318" w:rsidRPr="00C26146" w:rsidRDefault="00BA4318" w:rsidP="00BA4318">
      <w:pPr>
        <w:spacing w:line="480" w:lineRule="auto"/>
        <w:jc w:val="center"/>
        <w:rPr>
          <w:i/>
        </w:rPr>
      </w:pPr>
      <w:r w:rsidRPr="00C26146">
        <w:rPr>
          <w:i/>
        </w:rPr>
        <w:t>Please insert Fig.</w:t>
      </w:r>
      <w:r w:rsidR="00485C6E" w:rsidRPr="00C26146">
        <w:rPr>
          <w:i/>
        </w:rPr>
        <w:t>1</w:t>
      </w:r>
      <w:r w:rsidRPr="00C26146">
        <w:rPr>
          <w:i/>
        </w:rPr>
        <w:t>.</w:t>
      </w:r>
    </w:p>
    <w:p w:rsidR="00BA4318" w:rsidRPr="00C26146" w:rsidRDefault="00BA4318" w:rsidP="002B4EAA">
      <w:pPr>
        <w:spacing w:line="480" w:lineRule="auto"/>
      </w:pPr>
    </w:p>
    <w:p w:rsidR="00BA4318" w:rsidRPr="00C26146" w:rsidRDefault="00BA4318" w:rsidP="00BA4318">
      <w:pPr>
        <w:autoSpaceDE w:val="0"/>
        <w:autoSpaceDN w:val="0"/>
        <w:adjustRightInd w:val="0"/>
        <w:spacing w:line="480" w:lineRule="auto"/>
      </w:pPr>
      <w:r w:rsidRPr="00C26146">
        <w:t xml:space="preserve">Another approach to study and reasonably predict drug/carrier affinity or incompatibility between vincamine and the linear carriers consists in using the solubility parameters. This represents an interesting way to predict miscibility between two substances including low molecular weight materials and polymers. Solubility parameters have been successfully used in the pharmaceutical field to predict miscibility and stability of solid dispersions (Hancock et al., 1997). Generally, solubility parameters have been used to predict miscibility and stability of amorphous solid dispersions prepared </w:t>
      </w:r>
      <w:r w:rsidRPr="00C26146">
        <w:rPr>
          <w:i/>
        </w:rPr>
        <w:t>via</w:t>
      </w:r>
      <w:r w:rsidRPr="00C26146">
        <w:t xml:space="preserve"> processes that eliminate the drug crystalline variable e.g. melt extrusion process (Forster et al., 2001). In the present study, we proposed to extend the use of the solubility parameters also in the case of solid dispersions prepared </w:t>
      </w:r>
      <w:r w:rsidRPr="00C26146">
        <w:rPr>
          <w:i/>
        </w:rPr>
        <w:t>via</w:t>
      </w:r>
      <w:r w:rsidRPr="00C26146">
        <w:t xml:space="preserve"> the MA process. It must however be pointed out that, in this case, the presence of the initial crystalline structure of vincamine does not allow to predict whether a completely amorphous solid dispersion can be formed or not; solubility parameters can be instead useful to predict the stability and the occurrence of a massive crystal disruption. </w:t>
      </w:r>
    </w:p>
    <w:p w:rsidR="004D7942" w:rsidRPr="00C26146" w:rsidRDefault="00BA4318" w:rsidP="00BA4318">
      <w:pPr>
        <w:autoSpaceDE w:val="0"/>
        <w:autoSpaceDN w:val="0"/>
        <w:adjustRightInd w:val="0"/>
        <w:spacing w:line="480" w:lineRule="auto"/>
      </w:pPr>
      <w:r w:rsidRPr="00C26146">
        <w:rPr>
          <w:rFonts w:ascii="AdvTT020c6f89" w:hAnsi="AdvTT020c6f89" w:cs="AdvTT020c6f89"/>
        </w:rPr>
        <w:lastRenderedPageBreak/>
        <w:t xml:space="preserve">Three-dimensional solubility parameters of vincamine, PVP-K30 and NaCMC were calculated according to Hansen’s approach using the group contribution method by the computer program SPWin version 2.1 (Breitkreutz, 1998). Hence, for convenience, the molecular structures of vincamine and monomeric units of PVP-K30 and NaCMC are reported in Fig. </w:t>
      </w:r>
      <w:r w:rsidR="00485C6E" w:rsidRPr="00C26146">
        <w:rPr>
          <w:rFonts w:ascii="AdvTT020c6f89" w:hAnsi="AdvTT020c6f89" w:cs="AdvTT020c6f89"/>
        </w:rPr>
        <w:t>2</w:t>
      </w:r>
      <w:r w:rsidRPr="00C26146">
        <w:rPr>
          <w:rFonts w:ascii="AdvTT020c6f89" w:hAnsi="AdvTT020c6f89" w:cs="AdvTT020c6f89"/>
        </w:rPr>
        <w:t xml:space="preserve">. </w:t>
      </w:r>
      <w:r w:rsidRPr="00C26146">
        <w:t>The solubility parameters are listed in Table 1.</w:t>
      </w:r>
    </w:p>
    <w:p w:rsidR="00DE4E37" w:rsidRPr="00C26146" w:rsidRDefault="00DE4E37" w:rsidP="00643677">
      <w:pPr>
        <w:autoSpaceDE w:val="0"/>
        <w:autoSpaceDN w:val="0"/>
        <w:adjustRightInd w:val="0"/>
        <w:spacing w:line="480" w:lineRule="auto"/>
        <w:rPr>
          <w:rFonts w:ascii="AdvTT020c6f89" w:hAnsi="AdvTT020c6f89" w:cs="AdvTT020c6f89"/>
        </w:rPr>
      </w:pPr>
    </w:p>
    <w:p w:rsidR="00246088" w:rsidRPr="00C26146" w:rsidRDefault="00BA4318" w:rsidP="00570A68">
      <w:pPr>
        <w:autoSpaceDE w:val="0"/>
        <w:autoSpaceDN w:val="0"/>
        <w:adjustRightInd w:val="0"/>
        <w:spacing w:line="480" w:lineRule="auto"/>
        <w:jc w:val="center"/>
        <w:rPr>
          <w:rFonts w:ascii="AdvTT020c6f89" w:hAnsi="AdvTT020c6f89" w:cs="AdvTT020c6f89"/>
          <w:i/>
        </w:rPr>
      </w:pPr>
      <w:r w:rsidRPr="00C26146">
        <w:rPr>
          <w:rFonts w:ascii="AdvTT020c6f89" w:hAnsi="AdvTT020c6f89" w:cs="AdvTT020c6f89"/>
          <w:i/>
        </w:rPr>
        <w:t xml:space="preserve">Please insert </w:t>
      </w:r>
      <w:r w:rsidR="00570A68" w:rsidRPr="00C26146">
        <w:rPr>
          <w:rFonts w:ascii="AdvTT020c6f89" w:hAnsi="AdvTT020c6f89" w:cs="AdvTT020c6f89"/>
          <w:i/>
        </w:rPr>
        <w:t xml:space="preserve">Fig </w:t>
      </w:r>
      <w:r w:rsidR="00485C6E" w:rsidRPr="00C26146">
        <w:rPr>
          <w:rFonts w:ascii="AdvTT020c6f89" w:hAnsi="AdvTT020c6f89" w:cs="AdvTT020c6f89"/>
          <w:i/>
        </w:rPr>
        <w:t>2</w:t>
      </w:r>
    </w:p>
    <w:p w:rsidR="00570A68" w:rsidRPr="00C26146" w:rsidRDefault="00570A68" w:rsidP="00643677">
      <w:pPr>
        <w:autoSpaceDE w:val="0"/>
        <w:autoSpaceDN w:val="0"/>
        <w:adjustRightInd w:val="0"/>
        <w:spacing w:line="480" w:lineRule="auto"/>
        <w:rPr>
          <w:rFonts w:ascii="AdvTT020c6f89" w:hAnsi="AdvTT020c6f89" w:cs="AdvTT020c6f89"/>
          <w:b/>
        </w:rPr>
      </w:pPr>
    </w:p>
    <w:p w:rsidR="000E541A" w:rsidRPr="00C26146" w:rsidRDefault="00570A68" w:rsidP="00570A68">
      <w:pPr>
        <w:autoSpaceDE w:val="0"/>
        <w:autoSpaceDN w:val="0"/>
        <w:adjustRightInd w:val="0"/>
        <w:spacing w:line="480" w:lineRule="auto"/>
        <w:jc w:val="center"/>
        <w:rPr>
          <w:i/>
        </w:rPr>
      </w:pPr>
      <w:r w:rsidRPr="00C26146">
        <w:rPr>
          <w:i/>
        </w:rPr>
        <w:t>Please insert Table 1</w:t>
      </w:r>
    </w:p>
    <w:p w:rsidR="000E541A" w:rsidRPr="00C26146" w:rsidRDefault="000E541A" w:rsidP="00570A68">
      <w:pPr>
        <w:autoSpaceDE w:val="0"/>
        <w:autoSpaceDN w:val="0"/>
        <w:adjustRightInd w:val="0"/>
        <w:spacing w:line="480" w:lineRule="auto"/>
      </w:pPr>
    </w:p>
    <w:p w:rsidR="00570A68" w:rsidRPr="00C26146" w:rsidRDefault="00570A68" w:rsidP="00570A68">
      <w:pPr>
        <w:autoSpaceDE w:val="0"/>
        <w:autoSpaceDN w:val="0"/>
        <w:adjustRightInd w:val="0"/>
        <w:spacing w:line="480" w:lineRule="auto"/>
      </w:pPr>
      <w:r w:rsidRPr="00C26146">
        <w:t>From Table 1 it is evident that</w:t>
      </w:r>
      <w:r w:rsidR="007E5790" w:rsidRPr="00C26146">
        <w:t xml:space="preserve"> the</w:t>
      </w:r>
      <w:r w:rsidRPr="00C26146">
        <w:t xml:space="preserve"> </w:t>
      </w:r>
      <w:r w:rsidR="007E5790" w:rsidRPr="00C26146">
        <w:sym w:font="Symbol" w:char="F064"/>
      </w:r>
      <w:r w:rsidR="007E5790" w:rsidRPr="00C26146">
        <w:rPr>
          <w:vertAlign w:val="subscript"/>
        </w:rPr>
        <w:t xml:space="preserve">d </w:t>
      </w:r>
      <w:r w:rsidR="007E5790" w:rsidRPr="00C26146">
        <w:t xml:space="preserve">values are similar in magnitude in </w:t>
      </w:r>
      <w:r w:rsidRPr="00C26146">
        <w:t>all t</w:t>
      </w:r>
      <w:r w:rsidR="007E5790" w:rsidRPr="00C26146">
        <w:t xml:space="preserve">hree materials. While concerning </w:t>
      </w:r>
      <w:r w:rsidRPr="00C26146">
        <w:sym w:font="Symbol" w:char="F064"/>
      </w:r>
      <w:r w:rsidRPr="00C26146">
        <w:rPr>
          <w:vertAlign w:val="subscript"/>
        </w:rPr>
        <w:t>p</w:t>
      </w:r>
      <w:r w:rsidRPr="00C26146">
        <w:t>, Vincamine possesses a valu</w:t>
      </w:r>
      <w:r w:rsidR="00B624B7" w:rsidRPr="00C26146">
        <w:t>e only similar to that of NaCMC</w:t>
      </w:r>
      <w:r w:rsidRPr="00C26146">
        <w:t>. This is quite reasonable considering the fact that the unit of PVP-K30 is quite small (molar volume=81.20 cm</w:t>
      </w:r>
      <w:r w:rsidRPr="00C26146">
        <w:rPr>
          <w:vertAlign w:val="superscript"/>
        </w:rPr>
        <w:t>3</w:t>
      </w:r>
      <w:r w:rsidRPr="00C26146">
        <w:t xml:space="preserve">/mol) thus the polarity of the C=O group becomes more relevant (Fig. </w:t>
      </w:r>
      <w:r w:rsidR="00485C6E" w:rsidRPr="00C26146">
        <w:t>2</w:t>
      </w:r>
      <w:r w:rsidRPr="00C26146">
        <w:t xml:space="preserve">). On the other hand, while vincamine and PVP-K30 possess a very similar </w:t>
      </w:r>
      <w:r w:rsidRPr="00C26146">
        <w:sym w:font="Symbol" w:char="F064"/>
      </w:r>
      <w:r w:rsidRPr="00C26146">
        <w:rPr>
          <w:vertAlign w:val="subscript"/>
        </w:rPr>
        <w:t>h.</w:t>
      </w:r>
      <w:r w:rsidRPr="00C26146">
        <w:t xml:space="preserve"> this para</w:t>
      </w:r>
      <w:r w:rsidR="00674D9A" w:rsidRPr="00C26146">
        <w:t xml:space="preserve">meter is drastically different </w:t>
      </w:r>
      <w:r w:rsidRPr="00C26146">
        <w:t xml:space="preserve">in the case of NaCMC. In fact, NaCMC possesses many OH groups in its chemical structure (Fig. </w:t>
      </w:r>
      <w:r w:rsidR="00485C6E" w:rsidRPr="00C26146">
        <w:t>2</w:t>
      </w:r>
      <w:r w:rsidRPr="00C26146">
        <w:t xml:space="preserve">) that can explain its very high value of </w:t>
      </w:r>
      <w:r w:rsidRPr="00C26146">
        <w:sym w:font="Symbol" w:char="F064"/>
      </w:r>
      <w:r w:rsidRPr="00C26146">
        <w:rPr>
          <w:vertAlign w:val="subscript"/>
        </w:rPr>
        <w:t>h</w:t>
      </w:r>
      <w:r w:rsidRPr="00C26146">
        <w:t xml:space="preserve">. What is more important, the </w:t>
      </w:r>
      <w:r w:rsidRPr="00C26146">
        <w:sym w:font="Symbol" w:char="F064"/>
      </w:r>
      <w:r w:rsidRPr="00C26146">
        <w:rPr>
          <w:vertAlign w:val="subscript"/>
        </w:rPr>
        <w:t>tot</w:t>
      </w:r>
      <w:r w:rsidRPr="00C26146">
        <w:t xml:space="preserve"> of vincamine and PVP-K30 is almost identical (the difference is about 1.22 (J/cm</w:t>
      </w:r>
      <w:r w:rsidRPr="00C26146">
        <w:rPr>
          <w:vertAlign w:val="superscript"/>
        </w:rPr>
        <w:t>3</w:t>
      </w:r>
      <w:r w:rsidRPr="00C26146">
        <w:t>)</w:t>
      </w:r>
      <w:r w:rsidRPr="00C26146">
        <w:rPr>
          <w:vertAlign w:val="superscript"/>
        </w:rPr>
        <w:t>1/2</w:t>
      </w:r>
      <w:r w:rsidRPr="00C26146">
        <w:t>), while vincamine and NaCMC posses a different (about 8.13 (J/cm</w:t>
      </w:r>
      <w:r w:rsidRPr="00C26146">
        <w:rPr>
          <w:vertAlign w:val="superscript"/>
        </w:rPr>
        <w:t>3</w:t>
      </w:r>
      <w:r w:rsidRPr="00C26146">
        <w:t>)</w:t>
      </w:r>
      <w:r w:rsidRPr="00C26146">
        <w:rPr>
          <w:vertAlign w:val="superscript"/>
        </w:rPr>
        <w:t>1/2</w:t>
      </w:r>
      <w:r w:rsidRPr="00C26146">
        <w:t>) total solubility parameter. In a very interesting study (Greenhalgh et al., 1999), it was stated that binary systems having a total solubility parameter difference less than 7 units are likely to form a eutectic mixture. Conversely, when the difference is greater than 15 units the two materials are completely immiscible. The range between 7-15 units represent grey zone. Thus, from Ta</w:t>
      </w:r>
      <w:r w:rsidR="00B624B7" w:rsidRPr="00C26146">
        <w:t xml:space="preserve">ble 1 parameters’ differences, </w:t>
      </w:r>
      <w:r w:rsidRPr="00C26146">
        <w:t xml:space="preserve">vincamine is likely to be more affine to PVP-K30 than NaCMC. These results are in agreement with those obtained using GRID </w:t>
      </w:r>
      <w:r w:rsidR="005745FF" w:rsidRPr="00C26146">
        <w:t>and docking analyses</w:t>
      </w:r>
      <w:r w:rsidRPr="00C26146">
        <w:t>.</w:t>
      </w:r>
    </w:p>
    <w:p w:rsidR="003815B0" w:rsidRPr="00C26146" w:rsidRDefault="00570A68" w:rsidP="00570A68">
      <w:pPr>
        <w:autoSpaceDE w:val="0"/>
        <w:autoSpaceDN w:val="0"/>
        <w:adjustRightInd w:val="0"/>
        <w:spacing w:line="480" w:lineRule="auto"/>
      </w:pPr>
      <w:r w:rsidRPr="00C26146">
        <w:t xml:space="preserve">Subsequently, in order to demonstrate the validity of the theoretical studies performed, some preliminary cogrinding tests were performed. Vincamine was processed for 180 min in presence of </w:t>
      </w:r>
      <w:r w:rsidRPr="00C26146">
        <w:lastRenderedPageBreak/>
        <w:t>PVP-K30 and then NaCMC in a 1:7 wt ratio. The milling times and the wt ratio values were selected on the basis of the previous experience carried out with cross-linked polymers (Hasa et al., 2012a). These conditions corresponded to the highest activation/ maximum crystal lattice disruption of the samples. After the preparation, the two Cog samples were analysed by XRPD in terms of stability and in terms of amorphi</w:t>
      </w:r>
      <w:r w:rsidR="00674D9A" w:rsidRPr="00C26146">
        <w:t>z</w:t>
      </w:r>
      <w:r w:rsidRPr="00C26146">
        <w:t xml:space="preserve">ation degree. </w:t>
      </w:r>
    </w:p>
    <w:p w:rsidR="00570A68" w:rsidRPr="00C26146" w:rsidRDefault="00570A68" w:rsidP="00570A68">
      <w:pPr>
        <w:autoSpaceDE w:val="0"/>
        <w:autoSpaceDN w:val="0"/>
        <w:adjustRightInd w:val="0"/>
        <w:spacing w:line="480" w:lineRule="auto"/>
      </w:pPr>
    </w:p>
    <w:p w:rsidR="00570A68" w:rsidRPr="00C26146" w:rsidRDefault="00570A68" w:rsidP="00570A68">
      <w:pPr>
        <w:autoSpaceDE w:val="0"/>
        <w:autoSpaceDN w:val="0"/>
        <w:adjustRightInd w:val="0"/>
        <w:spacing w:line="480" w:lineRule="auto"/>
        <w:jc w:val="center"/>
        <w:rPr>
          <w:i/>
        </w:rPr>
      </w:pPr>
      <w:r w:rsidRPr="00C26146">
        <w:rPr>
          <w:i/>
        </w:rPr>
        <w:t xml:space="preserve">Please insert Fig </w:t>
      </w:r>
      <w:r w:rsidR="00485C6E" w:rsidRPr="00C26146">
        <w:rPr>
          <w:i/>
        </w:rPr>
        <w:t>3</w:t>
      </w:r>
      <w:r w:rsidRPr="00C26146">
        <w:rPr>
          <w:i/>
        </w:rPr>
        <w:t>.</w:t>
      </w:r>
    </w:p>
    <w:p w:rsidR="00236BA6" w:rsidRPr="00C26146" w:rsidRDefault="00236BA6" w:rsidP="00643677">
      <w:pPr>
        <w:autoSpaceDE w:val="0"/>
        <w:autoSpaceDN w:val="0"/>
        <w:adjustRightInd w:val="0"/>
        <w:spacing w:line="480" w:lineRule="auto"/>
      </w:pPr>
    </w:p>
    <w:p w:rsidR="00570A68" w:rsidRPr="00C26146" w:rsidRDefault="00570A68" w:rsidP="00570A68">
      <w:pPr>
        <w:autoSpaceDE w:val="0"/>
        <w:autoSpaceDN w:val="0"/>
        <w:adjustRightInd w:val="0"/>
        <w:spacing w:line="480" w:lineRule="auto"/>
      </w:pPr>
      <w:r w:rsidRPr="00C26146">
        <w:t xml:space="preserve">From the preliminary results reported in Fig. </w:t>
      </w:r>
      <w:r w:rsidR="00485C6E" w:rsidRPr="00C26146">
        <w:t>3</w:t>
      </w:r>
      <w:r w:rsidRPr="00C26146">
        <w:t>, a greater affinity of vincamine with PVP-K30 than NaCMC can be noted. In fact, in the XRPD pattern of freshly prepared Cog sample vincamine</w:t>
      </w:r>
      <w:proofErr w:type="gramStart"/>
      <w:r w:rsidRPr="00C26146">
        <w:t>:PVP</w:t>
      </w:r>
      <w:proofErr w:type="gramEnd"/>
      <w:r w:rsidRPr="00C26146">
        <w:t xml:space="preserve">-K30 the diffraction peaks appeared broad with a dramatic intensity reduction indicating a large degree of crystal defects in the structure of vincamine. The activated structures appeared completely stable after two months (Fig. </w:t>
      </w:r>
      <w:r w:rsidR="00485C6E" w:rsidRPr="00C26146">
        <w:t>3</w:t>
      </w:r>
      <w:r w:rsidRPr="00C26146">
        <w:t>, right). Conversely, in the pattern of the freshly prepared vincamine</w:t>
      </w:r>
      <w:proofErr w:type="gramStart"/>
      <w:r w:rsidRPr="00C26146">
        <w:t>:NaCMC</w:t>
      </w:r>
      <w:proofErr w:type="gramEnd"/>
      <w:r w:rsidRPr="00C26146">
        <w:t xml:space="preserve"> Cog sample the diffraction peaks were more intense and persistent despite the presence of a small part of vincamine in amorphous form. However, after two months of storage, the diffraction peaks in the vincamine-NaCMC Cog peaks increased in intensity and became similar to those in the PM, indicating a low stability of the sample and, once again, the lower affinity between these two materials.</w:t>
      </w:r>
    </w:p>
    <w:p w:rsidR="00570A68" w:rsidRPr="00C26146" w:rsidRDefault="00570A68" w:rsidP="00570A68">
      <w:pPr>
        <w:autoSpaceDE w:val="0"/>
        <w:autoSpaceDN w:val="0"/>
        <w:adjustRightInd w:val="0"/>
        <w:spacing w:line="480" w:lineRule="auto"/>
      </w:pPr>
      <w:r w:rsidRPr="00C26146">
        <w:t xml:space="preserve">These analyses confirmed previous theoretical assumptions and permitted a reliable selection of the optimal polymeric carrier to be used for the formation and stabilization of highly activated vincamine structures </w:t>
      </w:r>
      <w:r w:rsidRPr="00C26146">
        <w:rPr>
          <w:i/>
        </w:rPr>
        <w:t>via</w:t>
      </w:r>
      <w:r w:rsidRPr="00C26146">
        <w:t xml:space="preserve"> MA. The next step was to examine the MA process and to study the influence of formulation and process variables on the solid state and dissolution performances of the formed solid dispersions.</w:t>
      </w:r>
    </w:p>
    <w:p w:rsidR="00950431" w:rsidRPr="00C26146" w:rsidRDefault="00950431" w:rsidP="00643677">
      <w:pPr>
        <w:autoSpaceDE w:val="0"/>
        <w:autoSpaceDN w:val="0"/>
        <w:adjustRightInd w:val="0"/>
        <w:spacing w:line="480" w:lineRule="auto"/>
      </w:pPr>
    </w:p>
    <w:p w:rsidR="00950431" w:rsidRPr="00C26146" w:rsidRDefault="00950431" w:rsidP="00643677">
      <w:pPr>
        <w:autoSpaceDE w:val="0"/>
        <w:autoSpaceDN w:val="0"/>
        <w:adjustRightInd w:val="0"/>
        <w:spacing w:line="480" w:lineRule="auto"/>
        <w:rPr>
          <w:b/>
        </w:rPr>
      </w:pPr>
      <w:r w:rsidRPr="00C26146">
        <w:rPr>
          <w:b/>
        </w:rPr>
        <w:t xml:space="preserve">3.2. </w:t>
      </w:r>
      <w:r w:rsidR="00E23C13" w:rsidRPr="00C26146">
        <w:rPr>
          <w:b/>
        </w:rPr>
        <w:t xml:space="preserve">Screening </w:t>
      </w:r>
      <w:r w:rsidR="00BA4E3C" w:rsidRPr="00C26146">
        <w:rPr>
          <w:b/>
        </w:rPr>
        <w:t>of variables</w:t>
      </w:r>
      <w:r w:rsidR="00BA7738" w:rsidRPr="00C26146">
        <w:rPr>
          <w:b/>
        </w:rPr>
        <w:t xml:space="preserve"> </w:t>
      </w:r>
    </w:p>
    <w:p w:rsidR="005745FF" w:rsidRPr="00C26146" w:rsidRDefault="005745FF" w:rsidP="005745FF">
      <w:pPr>
        <w:autoSpaceDE w:val="0"/>
        <w:autoSpaceDN w:val="0"/>
        <w:adjustRightInd w:val="0"/>
        <w:spacing w:line="480" w:lineRule="auto"/>
      </w:pPr>
      <w:r w:rsidRPr="00C26146">
        <w:lastRenderedPageBreak/>
        <w:t xml:space="preserve">After the selection of PVP-K30 as a suitable carrier, vincamine was coground in presence of the polymer at three drug-to-polymer wt ratios and four different milling times, selected on the basis of the preliminary trials and the previous experience (Hasa et al., 2012a). Thus, twelve different composites were prepared. Drug-to-polymer wt ratio and milling time are often the most important variables that influence the solid-state features and the dissolution properties of solid dispersions prepared </w:t>
      </w:r>
      <w:r w:rsidRPr="00C26146">
        <w:rPr>
          <w:i/>
        </w:rPr>
        <w:t>via</w:t>
      </w:r>
      <w:r w:rsidRPr="00C26146">
        <w:t xml:space="preserve"> MA (Hasa et al., 2012a, Hasa et al., 2011). Hence, in order to evaluate their influence on the solid-state features of the 12 composites prepared, the crystallinity degree was calculated according to a previously published method (Bergese et al., 2002) and the results are reported in Table 2.</w:t>
      </w:r>
    </w:p>
    <w:p w:rsidR="00695AA3" w:rsidRPr="00C26146" w:rsidRDefault="00695AA3" w:rsidP="00643677">
      <w:pPr>
        <w:autoSpaceDE w:val="0"/>
        <w:autoSpaceDN w:val="0"/>
        <w:adjustRightInd w:val="0"/>
        <w:spacing w:line="480" w:lineRule="auto"/>
      </w:pPr>
    </w:p>
    <w:p w:rsidR="00B025FD" w:rsidRPr="00C26146" w:rsidRDefault="005745FF" w:rsidP="005745FF">
      <w:pPr>
        <w:autoSpaceDE w:val="0"/>
        <w:autoSpaceDN w:val="0"/>
        <w:adjustRightInd w:val="0"/>
        <w:spacing w:line="480" w:lineRule="auto"/>
        <w:jc w:val="center"/>
        <w:rPr>
          <w:i/>
        </w:rPr>
      </w:pPr>
      <w:r w:rsidRPr="00C26146">
        <w:rPr>
          <w:i/>
        </w:rPr>
        <w:t>Please insert Table 2.</w:t>
      </w:r>
    </w:p>
    <w:p w:rsidR="00D33950" w:rsidRPr="00C26146" w:rsidRDefault="00D33950" w:rsidP="00643677">
      <w:pPr>
        <w:autoSpaceDE w:val="0"/>
        <w:autoSpaceDN w:val="0"/>
        <w:adjustRightInd w:val="0"/>
        <w:spacing w:line="480" w:lineRule="auto"/>
      </w:pPr>
    </w:p>
    <w:p w:rsidR="005745FF" w:rsidRPr="00C26146" w:rsidRDefault="005745FF" w:rsidP="005745FF">
      <w:pPr>
        <w:autoSpaceDE w:val="0"/>
        <w:autoSpaceDN w:val="0"/>
        <w:adjustRightInd w:val="0"/>
        <w:spacing w:line="480" w:lineRule="auto"/>
      </w:pPr>
      <w:r w:rsidRPr="00C26146">
        <w:t>From Table 2 it can be observed that the amorphous degree slightly increased as the milling time increased. Drug-to-polymer weight ratio did not markedly influence the formation of amorphous arrangements. In fact, the Cog samples vincamine</w:t>
      </w:r>
      <w:proofErr w:type="gramStart"/>
      <w:r w:rsidRPr="00C26146">
        <w:t>:PVP</w:t>
      </w:r>
      <w:proofErr w:type="gramEnd"/>
      <w:r w:rsidRPr="00C26146">
        <w:t>-K30 1:2 wt</w:t>
      </w:r>
      <w:r w:rsidR="00B624B7" w:rsidRPr="00C26146">
        <w:t xml:space="preserve"> ratio</w:t>
      </w:r>
      <w:r w:rsidRPr="00C26146">
        <w:t xml:space="preserve"> and vincamine:PVP-K30 1:7 wt ratio treated for 180 min have the same amorphous percent content. These results are different from those obtained when cross-linked PVP was used. In that case, using the longest milling time and a high amount of polymer, a complete crystal lattice disruption and a whole X-ray amorphous product was obtained (Hasa et al., 2012a). </w:t>
      </w:r>
    </w:p>
    <w:p w:rsidR="002F4EF0" w:rsidRPr="00C26146" w:rsidRDefault="002F4EF0" w:rsidP="002F4EF0">
      <w:pPr>
        <w:spacing w:line="480" w:lineRule="auto"/>
      </w:pPr>
      <w:r w:rsidRPr="00C26146">
        <w:t xml:space="preserve">Subsequently, in order to observe how the solid state features influence the </w:t>
      </w:r>
      <w:r w:rsidRPr="00C26146">
        <w:rPr>
          <w:i/>
        </w:rPr>
        <w:t>in vitro</w:t>
      </w:r>
      <w:r w:rsidRPr="00C26146">
        <w:t xml:space="preserve"> behaviour, all the Cog samples were subjected to DKT. </w:t>
      </w:r>
    </w:p>
    <w:p w:rsidR="002F4EF0" w:rsidRPr="00C26146" w:rsidRDefault="002F4EF0" w:rsidP="002F4EF0">
      <w:pPr>
        <w:spacing w:line="480" w:lineRule="auto"/>
      </w:pPr>
      <w:r w:rsidRPr="00C26146">
        <w:t xml:space="preserve">In order to make a comparison among the Cog samples, the FDA bioequivalence limits were adopted. FDA guidance suggests that two compounds/formulations can be considered bioequivalent if the ratio of their AUCs is included in the 0.80 – 1.25 interval (FDA, 2003). This evaluation parameter is proposed for </w:t>
      </w:r>
      <w:r w:rsidRPr="00C26146">
        <w:rPr>
          <w:i/>
        </w:rPr>
        <w:t>in vivo</w:t>
      </w:r>
      <w:r w:rsidRPr="00C26146">
        <w:t xml:space="preserve"> studies; however we demonstrated that it can be successfully used also for </w:t>
      </w:r>
      <w:r w:rsidRPr="00C26146">
        <w:rPr>
          <w:i/>
        </w:rPr>
        <w:t>in vitro</w:t>
      </w:r>
      <w:r w:rsidRPr="00C26146">
        <w:t xml:space="preserve"> experiments. Indeed, in the previous study we observed that the </w:t>
      </w:r>
      <w:r w:rsidRPr="00C26146">
        <w:rPr>
          <w:i/>
        </w:rPr>
        <w:t>in vitro</w:t>
      </w:r>
      <w:r w:rsidRPr="00C26146">
        <w:t xml:space="preserve"> equivalent </w:t>
      </w:r>
      <w:r w:rsidRPr="00C26146">
        <w:lastRenderedPageBreak/>
        <w:t xml:space="preserve">composites were also bioequivalent (Hasa et al. 2012a). Hence, using this evaluation parameter it is possible to select from the </w:t>
      </w:r>
      <w:r w:rsidRPr="00C26146">
        <w:rPr>
          <w:i/>
        </w:rPr>
        <w:t xml:space="preserve">in vitro </w:t>
      </w:r>
      <w:r w:rsidRPr="00C26146">
        <w:t xml:space="preserve">studies the composites likely to be bioequivalent. The calculation procedure is reported in the </w:t>
      </w:r>
      <w:r w:rsidR="00703044" w:rsidRPr="00C26146">
        <w:t>“</w:t>
      </w:r>
      <w:r w:rsidRPr="00C26146">
        <w:t>methods</w:t>
      </w:r>
      <w:r w:rsidR="00703044" w:rsidRPr="00C26146">
        <w:t>”</w:t>
      </w:r>
      <w:r w:rsidRPr="00C26146">
        <w:t xml:space="preserve"> section (paragraph 2.2.8.). </w:t>
      </w:r>
    </w:p>
    <w:p w:rsidR="002F4EF0" w:rsidRPr="00C26146" w:rsidRDefault="002F4EF0" w:rsidP="002F4EF0">
      <w:pPr>
        <w:spacing w:line="480" w:lineRule="auto"/>
      </w:pPr>
      <w:r w:rsidRPr="00C26146">
        <w:t xml:space="preserve">All the Z ± dz values are listed in Table 3 and represented graphically in Fig. </w:t>
      </w:r>
      <w:smartTag w:uri="urn:schemas-microsoft-com:office:smarttags" w:element="metricconverter">
        <w:smartTagPr>
          <w:attr w:name="ProductID" w:val="5. In"/>
        </w:smartTagPr>
        <w:r w:rsidRPr="00C26146">
          <w:t>5. In</w:t>
        </w:r>
      </w:smartTag>
      <w:r w:rsidRPr="00C26146">
        <w:t xml:space="preserve"> order to have a more restrictive selection only the coground formulations having a </w:t>
      </w:r>
      <w:r w:rsidRPr="00C26146">
        <w:rPr>
          <w:i/>
        </w:rPr>
        <w:t xml:space="preserve">Z </w:t>
      </w:r>
      <w:r w:rsidRPr="00C26146">
        <w:t>value higher than 0.85 (instead of 0.80) were considered for further examinations.</w:t>
      </w:r>
    </w:p>
    <w:p w:rsidR="002F4EF0" w:rsidRPr="00C26146" w:rsidRDefault="002F4EF0" w:rsidP="002F4EF0">
      <w:pPr>
        <w:spacing w:line="480" w:lineRule="auto"/>
      </w:pPr>
    </w:p>
    <w:p w:rsidR="00795FE8" w:rsidRPr="00C26146" w:rsidRDefault="002F4EF0" w:rsidP="002F4EF0">
      <w:pPr>
        <w:spacing w:line="480" w:lineRule="auto"/>
        <w:jc w:val="center"/>
        <w:rPr>
          <w:i/>
          <w:lang w:val="en-US"/>
        </w:rPr>
      </w:pPr>
      <w:r w:rsidRPr="00C26146">
        <w:rPr>
          <w:i/>
          <w:lang w:val="en-US"/>
        </w:rPr>
        <w:t>Please insert Table 3.</w:t>
      </w:r>
    </w:p>
    <w:p w:rsidR="002F4EF0" w:rsidRPr="00C26146" w:rsidRDefault="002F4EF0" w:rsidP="002F4EF0">
      <w:pPr>
        <w:spacing w:line="480" w:lineRule="auto"/>
        <w:jc w:val="center"/>
      </w:pPr>
    </w:p>
    <w:p w:rsidR="00236BA6" w:rsidRPr="00C26146" w:rsidRDefault="00795FE8" w:rsidP="00236BA6">
      <w:pPr>
        <w:spacing w:line="480" w:lineRule="auto"/>
        <w:jc w:val="center"/>
        <w:rPr>
          <w:i/>
        </w:rPr>
      </w:pPr>
      <w:r w:rsidRPr="00C26146">
        <w:rPr>
          <w:i/>
        </w:rPr>
        <w:t xml:space="preserve">Please insert Fig. </w:t>
      </w:r>
      <w:r w:rsidR="00485C6E" w:rsidRPr="00C26146">
        <w:rPr>
          <w:i/>
        </w:rPr>
        <w:t>4</w:t>
      </w:r>
      <w:r w:rsidRPr="00C26146">
        <w:rPr>
          <w:i/>
        </w:rPr>
        <w:t>.</w:t>
      </w:r>
    </w:p>
    <w:p w:rsidR="00236BA6" w:rsidRPr="00C26146" w:rsidRDefault="00236BA6" w:rsidP="00BE32CB">
      <w:pPr>
        <w:spacing w:line="480" w:lineRule="auto"/>
      </w:pPr>
    </w:p>
    <w:p w:rsidR="00795FE8" w:rsidRPr="00C26146" w:rsidRDefault="00795FE8" w:rsidP="00795FE8">
      <w:pPr>
        <w:spacing w:line="480" w:lineRule="auto"/>
      </w:pPr>
      <w:r w:rsidRPr="00C26146">
        <w:t>Looking at Table 3, the sample vincamine</w:t>
      </w:r>
      <w:proofErr w:type="gramStart"/>
      <w:r w:rsidRPr="00C26146">
        <w:t>:PVP</w:t>
      </w:r>
      <w:proofErr w:type="gramEnd"/>
      <w:r w:rsidRPr="00C26146">
        <w:t>-K30 1:7 wt ratio coground for 180 min (formulation 15) showed the maximum AUC value (AUC</w:t>
      </w:r>
      <w:r w:rsidRPr="00C26146">
        <w:rPr>
          <w:vertAlign w:val="subscript"/>
        </w:rPr>
        <w:t>max</w:t>
      </w:r>
      <w:r w:rsidRPr="00C26146">
        <w:t>). Other two samples resulted to be equivalent to this formulation: vincamine</w:t>
      </w:r>
      <w:proofErr w:type="gramStart"/>
      <w:r w:rsidRPr="00C26146">
        <w:t>:PVP</w:t>
      </w:r>
      <w:proofErr w:type="gramEnd"/>
      <w:r w:rsidRPr="00C26146">
        <w:t xml:space="preserve">-K30 1:7 wt ratio coground for 120 min and vincamine:PVP-K30 1:4 wt ratio coground for 180 min (formulations number 14 and 10 respectively, Fig. </w:t>
      </w:r>
      <w:r w:rsidR="00485C6E" w:rsidRPr="00C26146">
        <w:t>4</w:t>
      </w:r>
      <w:r w:rsidRPr="00C26146">
        <w:t>). Instead, the Cog sample vincamine</w:t>
      </w:r>
      <w:proofErr w:type="gramStart"/>
      <w:r w:rsidRPr="00C26146">
        <w:t>:PVP</w:t>
      </w:r>
      <w:proofErr w:type="gramEnd"/>
      <w:r w:rsidRPr="00C26146">
        <w:t xml:space="preserve">-K30 1:7 wt ratio treated for 90 min (formulation number 13, Fig. </w:t>
      </w:r>
      <w:r w:rsidR="00485C6E" w:rsidRPr="00C26146">
        <w:t>4</w:t>
      </w:r>
      <w:r w:rsidRPr="00C26146">
        <w:t xml:space="preserve">) resulted borderline. The equivalent Cog samples had similar vincamine percentages in amorphous form (see Table 3) especially formulations number 10 and 15. </w:t>
      </w:r>
    </w:p>
    <w:p w:rsidR="00795FE8" w:rsidRPr="00C26146" w:rsidRDefault="00795FE8" w:rsidP="00795FE8">
      <w:pPr>
        <w:spacing w:line="480" w:lineRule="auto"/>
      </w:pPr>
      <w:r w:rsidRPr="00C26146">
        <w:t xml:space="preserve">Interestingly, the Cog sample vincamine:PVP-K30 in a 1:2 wt ratio treated for 180 min (formulation number 5, Table 3 and Fig. </w:t>
      </w:r>
      <w:r w:rsidR="00485C6E" w:rsidRPr="00C26146">
        <w:t>4</w:t>
      </w:r>
      <w:r w:rsidRPr="00C26146">
        <w:t xml:space="preserve">) having the same content of vincamine in amorphous form (Table 3) did not result equivalent </w:t>
      </w:r>
      <w:r w:rsidRPr="00C26146">
        <w:rPr>
          <w:i/>
        </w:rPr>
        <w:t>in vitro</w:t>
      </w:r>
      <w:r w:rsidRPr="00C26146">
        <w:t xml:space="preserve">. This anomalous </w:t>
      </w:r>
      <w:r w:rsidRPr="00C26146">
        <w:rPr>
          <w:i/>
        </w:rPr>
        <w:t>in vitro</w:t>
      </w:r>
      <w:r w:rsidRPr="00C26146">
        <w:t xml:space="preserve"> dissolution behaviour can be ascribed to the different polymer concentrations in these two Cog samples: being PVP-K30 a water soluble polymer, its presence in higher concentrations may improve vincamine wettability for example by increasing the contact surface between dissolution media and drug. A further possibility of relevance is also the presence of vincamine in different solid-state packing: although the percentages of amorphous vincamine in the two samples are the same, the crystalline fraction (that </w:t>
      </w:r>
      <w:r w:rsidRPr="00C26146">
        <w:lastRenderedPageBreak/>
        <w:t xml:space="preserve">probably exists as a nanocrystalline form) may differ in terms of crystal dimension. In this study we do not posses sufficient information to </w:t>
      </w:r>
      <w:r w:rsidRPr="00C26146">
        <w:rPr>
          <w:i/>
        </w:rPr>
        <w:t>in depth</w:t>
      </w:r>
      <w:r w:rsidRPr="00C26146">
        <w:t xml:space="preserve"> investigate in this direction.  </w:t>
      </w:r>
    </w:p>
    <w:p w:rsidR="00C84CB3" w:rsidRPr="00C26146" w:rsidRDefault="00795FE8" w:rsidP="00BE32CB">
      <w:pPr>
        <w:autoSpaceDE w:val="0"/>
        <w:autoSpaceDN w:val="0"/>
        <w:adjustRightInd w:val="0"/>
        <w:spacing w:line="480" w:lineRule="auto"/>
      </w:pPr>
      <w:r w:rsidRPr="00C26146">
        <w:t>Therefore, from the screening analysis, the systems that presented the optimal combination between the formation of high amounts of amorphous vincamine and high solubilisation performance were considered for further considerations. The following four Cog samples meet these requirements: vincamine</w:t>
      </w:r>
      <w:proofErr w:type="gramStart"/>
      <w:r w:rsidRPr="00C26146">
        <w:t>:PVP</w:t>
      </w:r>
      <w:proofErr w:type="gramEnd"/>
      <w:r w:rsidRPr="00C26146">
        <w:t xml:space="preserve">-K30 1:7 wt ratio coground for 90, 120 and 180 min and vincamine:PVP-K30 1:4 wt ratio coground for 180 min. For the sake of brevity, here below these samples are named Cog formulations 13, 14, 15 and 10 respectively according to Table 3 and Fig. </w:t>
      </w:r>
      <w:r w:rsidR="00485C6E" w:rsidRPr="00C26146">
        <w:t>4</w:t>
      </w:r>
      <w:r w:rsidRPr="00C26146">
        <w:t>.</w:t>
      </w:r>
    </w:p>
    <w:p w:rsidR="00BD0D01" w:rsidRPr="00C26146" w:rsidRDefault="00BD0D01" w:rsidP="00BE32CB">
      <w:pPr>
        <w:autoSpaceDE w:val="0"/>
        <w:autoSpaceDN w:val="0"/>
        <w:adjustRightInd w:val="0"/>
        <w:spacing w:line="480" w:lineRule="auto"/>
      </w:pPr>
    </w:p>
    <w:p w:rsidR="00BD0D01" w:rsidRPr="00C26146" w:rsidRDefault="008040AF" w:rsidP="00BE32CB">
      <w:pPr>
        <w:autoSpaceDE w:val="0"/>
        <w:autoSpaceDN w:val="0"/>
        <w:adjustRightInd w:val="0"/>
        <w:spacing w:line="480" w:lineRule="auto"/>
        <w:rPr>
          <w:b/>
        </w:rPr>
      </w:pPr>
      <w:r w:rsidRPr="00C26146">
        <w:rPr>
          <w:b/>
        </w:rPr>
        <w:t xml:space="preserve">3.3. </w:t>
      </w:r>
      <w:r w:rsidR="006C6F06" w:rsidRPr="00C26146">
        <w:rPr>
          <w:b/>
        </w:rPr>
        <w:t>Characterisation</w:t>
      </w:r>
      <w:r w:rsidR="00BA7738" w:rsidRPr="00C26146">
        <w:rPr>
          <w:b/>
        </w:rPr>
        <w:t xml:space="preserve"> </w:t>
      </w:r>
      <w:r w:rsidR="00D56123" w:rsidRPr="00C26146">
        <w:rPr>
          <w:b/>
        </w:rPr>
        <w:t>of coground samples</w:t>
      </w:r>
    </w:p>
    <w:p w:rsidR="008502BF" w:rsidRPr="00C26146" w:rsidRDefault="008040AF" w:rsidP="00BE32CB">
      <w:pPr>
        <w:autoSpaceDE w:val="0"/>
        <w:autoSpaceDN w:val="0"/>
        <w:adjustRightInd w:val="0"/>
        <w:spacing w:line="480" w:lineRule="auto"/>
      </w:pPr>
      <w:r w:rsidRPr="00C26146">
        <w:t>3.3.1. Solubilisation kinetics and TEM analysis of the selected samples</w:t>
      </w:r>
    </w:p>
    <w:p w:rsidR="00795FE8" w:rsidRPr="00C26146" w:rsidRDefault="00795FE8" w:rsidP="00795FE8">
      <w:pPr>
        <w:autoSpaceDE w:val="0"/>
        <w:autoSpaceDN w:val="0"/>
        <w:adjustRightInd w:val="0"/>
        <w:spacing w:line="480" w:lineRule="auto"/>
      </w:pPr>
      <w:r w:rsidRPr="00C26146">
        <w:t xml:space="preserve">Mean solubilisation profiles of pure vincamine, PM and selected composites are reported in Fig. </w:t>
      </w:r>
      <w:r w:rsidR="00485C6E" w:rsidRPr="00C26146">
        <w:t>5</w:t>
      </w:r>
      <w:r w:rsidRPr="00C26146">
        <w:t xml:space="preserve">. In the 3h analysis, pure vincamine showed a solubilisation kinetic typical of a poorly soluble drug: the solubilisation rate was slow and the amount of drug solubilised was far below the saturation solubility (Cs) value. In the case of PM, a modest solubilisation improvement could be observed (Fig. </w:t>
      </w:r>
      <w:r w:rsidR="00485C6E" w:rsidRPr="00C26146">
        <w:t>5</w:t>
      </w:r>
      <w:r w:rsidRPr="00C26146">
        <w:t xml:space="preserve">), attributable to an improvement of drug wetting and localized solubilisation by the hydrophilic PVP-K30. </w:t>
      </w:r>
    </w:p>
    <w:p w:rsidR="008040AF" w:rsidRPr="00C26146" w:rsidRDefault="008040AF" w:rsidP="00BE32CB">
      <w:pPr>
        <w:autoSpaceDE w:val="0"/>
        <w:autoSpaceDN w:val="0"/>
        <w:adjustRightInd w:val="0"/>
        <w:spacing w:line="480" w:lineRule="auto"/>
      </w:pPr>
    </w:p>
    <w:p w:rsidR="002F7283" w:rsidRPr="00C26146" w:rsidRDefault="00795FE8" w:rsidP="00795FE8">
      <w:pPr>
        <w:autoSpaceDE w:val="0"/>
        <w:autoSpaceDN w:val="0"/>
        <w:adjustRightInd w:val="0"/>
        <w:spacing w:line="480" w:lineRule="auto"/>
        <w:jc w:val="center"/>
        <w:rPr>
          <w:i/>
        </w:rPr>
      </w:pPr>
      <w:r w:rsidRPr="00C26146">
        <w:rPr>
          <w:i/>
        </w:rPr>
        <w:t xml:space="preserve">Please insert Fig. </w:t>
      </w:r>
      <w:r w:rsidR="00485C6E" w:rsidRPr="00C26146">
        <w:rPr>
          <w:i/>
        </w:rPr>
        <w:t>5</w:t>
      </w:r>
      <w:r w:rsidRPr="00C26146">
        <w:rPr>
          <w:i/>
        </w:rPr>
        <w:t>.</w:t>
      </w:r>
    </w:p>
    <w:p w:rsidR="00253D74" w:rsidRPr="00C26146" w:rsidRDefault="00253D74" w:rsidP="00253D74">
      <w:pPr>
        <w:autoSpaceDE w:val="0"/>
        <w:autoSpaceDN w:val="0"/>
        <w:adjustRightInd w:val="0"/>
        <w:spacing w:line="480" w:lineRule="auto"/>
      </w:pPr>
    </w:p>
    <w:p w:rsidR="00253D74" w:rsidRPr="00C26146" w:rsidRDefault="00253D74" w:rsidP="00253D74">
      <w:pPr>
        <w:autoSpaceDE w:val="0"/>
        <w:autoSpaceDN w:val="0"/>
        <w:adjustRightInd w:val="0"/>
        <w:spacing w:line="480" w:lineRule="auto"/>
      </w:pPr>
      <w:r w:rsidRPr="00C26146">
        <w:t>On the other hand, the four selected Cog samples showed similar dissolution behavio</w:t>
      </w:r>
      <w:r w:rsidR="00674D9A" w:rsidRPr="00C26146">
        <w:t>u</w:t>
      </w:r>
      <w:r w:rsidRPr="00C26146">
        <w:t xml:space="preserve">r: rapid solubilisation followed by a plateau that was maintained for all the period of analysis (Fig. </w:t>
      </w:r>
      <w:r w:rsidR="00485C6E" w:rsidRPr="00C26146">
        <w:t>5</w:t>
      </w:r>
      <w:r w:rsidRPr="00C26146">
        <w:t xml:space="preserve">). The plateau concentration value in the case of Cog formulations 10 and 15 corresponds to a </w:t>
      </w:r>
      <w:r w:rsidRPr="00C26146">
        <w:rPr>
          <w:i/>
        </w:rPr>
        <w:t xml:space="preserve">quasi </w:t>
      </w:r>
      <w:r w:rsidRPr="00C26146">
        <w:t>total vincamine solubilisation (the maximum concentration achievable is 84 mg/L). In the Cog formulation 13 and 14 the plateau value approximately corresponds to 80% and 88% of solubilised vincamine. The dissolution behavio</w:t>
      </w:r>
      <w:r w:rsidR="00674D9A" w:rsidRPr="00C26146">
        <w:t>u</w:t>
      </w:r>
      <w:r w:rsidRPr="00C26146">
        <w:t xml:space="preserve">r of the Cog samples seems to be more compatible with the </w:t>
      </w:r>
      <w:r w:rsidRPr="00C26146">
        <w:lastRenderedPageBreak/>
        <w:t>contemporaneous presence of nanocrystalline and amorphous form. In fact, no super</w:t>
      </w:r>
      <w:r w:rsidR="00674D9A" w:rsidRPr="00C26146">
        <w:t>-</w:t>
      </w:r>
      <w:r w:rsidRPr="00C26146">
        <w:t>saturation phenomenon (an indicator of the presence of large amount of amorphous structures) can be observed. Hence, the dissolution behavio</w:t>
      </w:r>
      <w:r w:rsidR="00674D9A" w:rsidRPr="00C26146">
        <w:t>u</w:t>
      </w:r>
      <w:r w:rsidRPr="00C26146">
        <w:t>r of Cog samples prepared using water soluble PVP resulted remarkably different from those prepared using insoluble cross-linked PVP. In the previous experience, the amorphous solid dispersion containing vincamine deeply penetrated in the cross-li</w:t>
      </w:r>
      <w:r w:rsidR="00674D9A" w:rsidRPr="00C26146">
        <w:t xml:space="preserve">nked PVP network showed </w:t>
      </w:r>
      <w:r w:rsidRPr="00C26146">
        <w:t xml:space="preserve">an </w:t>
      </w:r>
      <w:r w:rsidRPr="00C26146">
        <w:rPr>
          <w:i/>
        </w:rPr>
        <w:t>in vitro</w:t>
      </w:r>
      <w:r w:rsidRPr="00C26146">
        <w:t xml:space="preserve"> solubilisation behaviour characterized by a super</w:t>
      </w:r>
      <w:r w:rsidR="00674D9A" w:rsidRPr="00C26146">
        <w:t>-</w:t>
      </w:r>
      <w:r w:rsidRPr="00C26146">
        <w:t>saturation phenomenon and only a partial solubili</w:t>
      </w:r>
      <w:r w:rsidR="00674D9A" w:rsidRPr="00C26146">
        <w:t>s</w:t>
      </w:r>
      <w:r w:rsidRPr="00C26146">
        <w:t>ation of the drug amount subject to the analysis (Hasa et al.,</w:t>
      </w:r>
      <w:r w:rsidR="00674D9A" w:rsidRPr="00C26146">
        <w:t xml:space="preserve"> </w:t>
      </w:r>
      <w:r w:rsidRPr="00C26146">
        <w:t>2012a).</w:t>
      </w:r>
    </w:p>
    <w:p w:rsidR="000E541A" w:rsidRPr="00C26146" w:rsidRDefault="00253D74" w:rsidP="00253D74">
      <w:pPr>
        <w:autoSpaceDE w:val="0"/>
        <w:autoSpaceDN w:val="0"/>
        <w:adjustRightInd w:val="0"/>
        <w:spacing w:line="480" w:lineRule="auto"/>
      </w:pPr>
      <w:r w:rsidRPr="00C26146">
        <w:t>TEM analysis revealed that the crystalline phase is of nanomet</w:t>
      </w:r>
      <w:r w:rsidR="00674D9A" w:rsidRPr="00C26146">
        <w:t>re</w:t>
      </w:r>
      <w:r w:rsidRPr="00C26146">
        <w:t xml:space="preserve"> scale and similar in all the selected samples (Fig. </w:t>
      </w:r>
      <w:r w:rsidR="00485C6E" w:rsidRPr="00C26146">
        <w:t>6</w:t>
      </w:r>
      <w:r w:rsidRPr="00C26146">
        <w:t xml:space="preserve">). However, in the case of Cog samples 10 and 15 (both coground for 180 min) the nanocrystals appeared slightly smaller than in the other Cog samples and, probably, with a narrower size distribution (data not available). This might explain the total solubilisation of the drug amount in the dissolution medium (Fig. </w:t>
      </w:r>
      <w:r w:rsidR="00485C6E" w:rsidRPr="00C26146">
        <w:t>5</w:t>
      </w:r>
      <w:r w:rsidRPr="00C26146">
        <w:t>).</w:t>
      </w:r>
    </w:p>
    <w:p w:rsidR="00253D74" w:rsidRPr="00C26146" w:rsidRDefault="00253D74" w:rsidP="00253D74">
      <w:pPr>
        <w:autoSpaceDE w:val="0"/>
        <w:autoSpaceDN w:val="0"/>
        <w:adjustRightInd w:val="0"/>
        <w:spacing w:line="480" w:lineRule="auto"/>
      </w:pPr>
    </w:p>
    <w:p w:rsidR="00253D74" w:rsidRPr="00C26146" w:rsidRDefault="00253D74" w:rsidP="00253D74">
      <w:pPr>
        <w:autoSpaceDE w:val="0"/>
        <w:autoSpaceDN w:val="0"/>
        <w:adjustRightInd w:val="0"/>
        <w:spacing w:line="480" w:lineRule="auto"/>
        <w:jc w:val="center"/>
        <w:rPr>
          <w:i/>
        </w:rPr>
      </w:pPr>
      <w:r w:rsidRPr="00C26146">
        <w:rPr>
          <w:i/>
        </w:rPr>
        <w:t xml:space="preserve">Please insert Fig. </w:t>
      </w:r>
      <w:r w:rsidR="00485C6E" w:rsidRPr="00C26146">
        <w:rPr>
          <w:i/>
        </w:rPr>
        <w:t>6</w:t>
      </w:r>
      <w:r w:rsidRPr="00C26146">
        <w:rPr>
          <w:i/>
        </w:rPr>
        <w:t>.</w:t>
      </w:r>
    </w:p>
    <w:p w:rsidR="00253D74" w:rsidRPr="00C26146" w:rsidRDefault="00253D74" w:rsidP="00253D74">
      <w:pPr>
        <w:autoSpaceDE w:val="0"/>
        <w:autoSpaceDN w:val="0"/>
        <w:adjustRightInd w:val="0"/>
        <w:spacing w:line="480" w:lineRule="auto"/>
      </w:pPr>
    </w:p>
    <w:p w:rsidR="00007D74" w:rsidRPr="00C26146" w:rsidRDefault="00E3186C" w:rsidP="00643677">
      <w:pPr>
        <w:autoSpaceDE w:val="0"/>
        <w:autoSpaceDN w:val="0"/>
        <w:adjustRightInd w:val="0"/>
        <w:spacing w:line="480" w:lineRule="auto"/>
      </w:pPr>
      <w:r w:rsidRPr="00C26146">
        <w:t>3.3.2. XR</w:t>
      </w:r>
      <w:r w:rsidR="00FA07BD" w:rsidRPr="00C26146">
        <w:t>P</w:t>
      </w:r>
      <w:r w:rsidRPr="00C26146">
        <w:t>D analysis of the selected samples</w:t>
      </w:r>
    </w:p>
    <w:p w:rsidR="00253D74" w:rsidRPr="00C26146" w:rsidRDefault="00253D74" w:rsidP="00253D74">
      <w:pPr>
        <w:autoSpaceDE w:val="0"/>
        <w:autoSpaceDN w:val="0"/>
        <w:adjustRightInd w:val="0"/>
        <w:spacing w:line="480" w:lineRule="auto"/>
      </w:pPr>
      <w:r w:rsidRPr="00C26146">
        <w:t xml:space="preserve">The XRPD patterns of pure vincamine, pure PVP-K30, PM and selected Cog samples are reported in Fig. </w:t>
      </w:r>
      <w:r w:rsidR="00485C6E" w:rsidRPr="00C26146">
        <w:t>7</w:t>
      </w:r>
      <w:r w:rsidRPr="00C26146">
        <w:t xml:space="preserve">. As expected, in the XRPD pattern of original vincamine different sharp and intense signals (for example at 8.10, 10.50, 12.65, 14.05, 17.60, 23.15° of 2θ) were observed in the range of analysis (Fig. </w:t>
      </w:r>
      <w:r w:rsidR="00485C6E" w:rsidRPr="00C26146">
        <w:t>7</w:t>
      </w:r>
      <w:r w:rsidRPr="00C26146">
        <w:t>a), indicating the highly crystalline and complex structure of vincamine. On the other side, pure PVP-K30 pattern was characterised by a total absence of diffraction signals, and by the presence of two halos at 13° and 21° of 2</w:t>
      </w:r>
      <w:r w:rsidRPr="00C26146">
        <w:rPr>
          <w:rFonts w:ascii="Symbol" w:hAnsi="Symbol"/>
        </w:rPr>
        <w:t></w:t>
      </w:r>
      <w:r w:rsidRPr="00C26146">
        <w:t xml:space="preserve">, typical of amorphous materials (Fig. </w:t>
      </w:r>
      <w:r w:rsidR="00485C6E" w:rsidRPr="00C26146">
        <w:t>7</w:t>
      </w:r>
      <w:r w:rsidRPr="00C26146">
        <w:t>h).</w:t>
      </w:r>
    </w:p>
    <w:p w:rsidR="00E8653F" w:rsidRPr="00C26146" w:rsidRDefault="00253D74" w:rsidP="00253D74">
      <w:pPr>
        <w:autoSpaceDE w:val="0"/>
        <w:autoSpaceDN w:val="0"/>
        <w:adjustRightInd w:val="0"/>
        <w:spacing w:line="480" w:lineRule="auto"/>
      </w:pPr>
      <w:r w:rsidRPr="00C26146">
        <w:t xml:space="preserve">PM patterns were simply the sum of pure vincamine and PVP-K30 patterns and the reduction of peaks intensity with respect to pure vincamine can be attributed to the PVP-K30 dilution effect (Fig. </w:t>
      </w:r>
      <w:r w:rsidR="00485C6E" w:rsidRPr="00C26146">
        <w:t>7</w:t>
      </w:r>
      <w:r w:rsidRPr="00C26146">
        <w:t xml:space="preserve">b and d).  In the patterns of the selected Cog samples, a dramatic reduction of peaks intensity and a </w:t>
      </w:r>
      <w:r w:rsidRPr="00C26146">
        <w:lastRenderedPageBreak/>
        <w:t>general broadening of these reflections were observed. These phenomena are compatible with the presence of highly disordered structures (intensity reduction) and the presence of a huge number of defects in the nanocrystalline structure (peak broadening). Moreover, no peak shifts and no formation of new diffraction peaks can be observed indicating that no polymorphic phases are formed during MA in presence of PVP-K30</w:t>
      </w:r>
      <w:r w:rsidR="000C2B5F" w:rsidRPr="00C26146">
        <w:t xml:space="preserve">. </w:t>
      </w:r>
    </w:p>
    <w:p w:rsidR="00253D74" w:rsidRPr="00C26146" w:rsidRDefault="00253D74" w:rsidP="00253D74">
      <w:pPr>
        <w:autoSpaceDE w:val="0"/>
        <w:autoSpaceDN w:val="0"/>
        <w:adjustRightInd w:val="0"/>
        <w:spacing w:line="480" w:lineRule="auto"/>
      </w:pPr>
    </w:p>
    <w:p w:rsidR="00695AA3" w:rsidRPr="00C26146" w:rsidRDefault="00253D74" w:rsidP="00FD441B">
      <w:pPr>
        <w:autoSpaceDE w:val="0"/>
        <w:autoSpaceDN w:val="0"/>
        <w:adjustRightInd w:val="0"/>
        <w:spacing w:line="480" w:lineRule="auto"/>
        <w:jc w:val="center"/>
        <w:rPr>
          <w:i/>
        </w:rPr>
      </w:pPr>
      <w:r w:rsidRPr="00C26146">
        <w:rPr>
          <w:i/>
        </w:rPr>
        <w:t xml:space="preserve">Please insert Fig. </w:t>
      </w:r>
      <w:r w:rsidR="00485C6E" w:rsidRPr="00C26146">
        <w:rPr>
          <w:i/>
        </w:rPr>
        <w:t>7</w:t>
      </w:r>
      <w:r w:rsidRPr="00C26146">
        <w:rPr>
          <w:i/>
        </w:rPr>
        <w:t>.</w:t>
      </w:r>
    </w:p>
    <w:p w:rsidR="009F3894" w:rsidRPr="00C26146" w:rsidRDefault="009F3894" w:rsidP="00643677">
      <w:pPr>
        <w:autoSpaceDE w:val="0"/>
        <w:autoSpaceDN w:val="0"/>
        <w:adjustRightInd w:val="0"/>
        <w:spacing w:line="480" w:lineRule="auto"/>
        <w:rPr>
          <w:i/>
        </w:rPr>
      </w:pPr>
    </w:p>
    <w:p w:rsidR="00695AA3" w:rsidRPr="00C26146" w:rsidRDefault="00D26C18" w:rsidP="00643677">
      <w:pPr>
        <w:autoSpaceDE w:val="0"/>
        <w:autoSpaceDN w:val="0"/>
        <w:adjustRightInd w:val="0"/>
        <w:spacing w:line="480" w:lineRule="auto"/>
      </w:pPr>
      <w:r w:rsidRPr="00C26146">
        <w:rPr>
          <w:i/>
        </w:rPr>
        <w:t>3.3.</w:t>
      </w:r>
      <w:r w:rsidR="002A1FFA" w:rsidRPr="00C26146">
        <w:rPr>
          <w:i/>
        </w:rPr>
        <w:t>3</w:t>
      </w:r>
      <w:r w:rsidRPr="00C26146">
        <w:rPr>
          <w:i/>
        </w:rPr>
        <w:t>. SSNMR analysis</w:t>
      </w:r>
    </w:p>
    <w:p w:rsidR="00253D74" w:rsidRPr="00C26146" w:rsidRDefault="00253D74" w:rsidP="00253D74">
      <w:pPr>
        <w:autoSpaceDE w:val="0"/>
        <w:autoSpaceDN w:val="0"/>
        <w:adjustRightInd w:val="0"/>
        <w:spacing w:line="480" w:lineRule="auto"/>
      </w:pPr>
      <w:r w:rsidRPr="00C26146">
        <w:t>Owing to a multinuclear (</w:t>
      </w:r>
      <w:smartTag w:uri="urn:schemas-microsoft-com:office:smarttags" w:element="metricconverter">
        <w:smartTagPr>
          <w:attr w:name="ProductID" w:val="13C"/>
        </w:smartTagPr>
        <w:r w:rsidRPr="00C26146">
          <w:rPr>
            <w:vertAlign w:val="superscript"/>
          </w:rPr>
          <w:t>13</w:t>
        </w:r>
        <w:r w:rsidRPr="00C26146">
          <w:t>C</w:t>
        </w:r>
      </w:smartTag>
      <w:r w:rsidRPr="00C26146">
        <w:t xml:space="preserve"> and </w:t>
      </w:r>
      <w:r w:rsidRPr="00C26146">
        <w:rPr>
          <w:vertAlign w:val="superscript"/>
        </w:rPr>
        <w:t>15</w:t>
      </w:r>
      <w:r w:rsidRPr="00C26146">
        <w:t xml:space="preserve">N) and multiparametric (chemical shift, linewidth and </w:t>
      </w:r>
      <w:r w:rsidRPr="00C26146">
        <w:rPr>
          <w:vertAlign w:val="superscript"/>
        </w:rPr>
        <w:t>1</w:t>
      </w:r>
      <w:r w:rsidRPr="00C26146">
        <w:t>H T</w:t>
      </w:r>
      <w:r w:rsidRPr="00C26146">
        <w:rPr>
          <w:vertAlign w:val="subscript"/>
        </w:rPr>
        <w:t>1</w:t>
      </w:r>
      <w:r w:rsidRPr="00C26146">
        <w:t>) approach, SSNMR spectroscopy represents an effective and reliable tool for characterising the interaction degree between components in both homogene</w:t>
      </w:r>
      <w:r w:rsidR="00674D9A" w:rsidRPr="00C26146">
        <w:t>o</w:t>
      </w:r>
      <w:r w:rsidRPr="00C26146">
        <w:t>us and heterogene</w:t>
      </w:r>
      <w:r w:rsidR="00674D9A" w:rsidRPr="00C26146">
        <w:t>o</w:t>
      </w:r>
      <w:r w:rsidRPr="00C26146">
        <w:t>us mixtures. It can easily afford information on weak interactions, such as hydrogen bonding, and on the local environment at each specific site, thus on the crystal packing of a molecule (Braga et al., 2006)</w:t>
      </w:r>
      <w:r w:rsidRPr="00C26146">
        <w:rPr>
          <w:highlight w:val="yellow"/>
        </w:rPr>
        <w:t xml:space="preserve"> </w:t>
      </w:r>
      <w:r w:rsidRPr="00C26146">
        <w:t xml:space="preserve">Furthermore, </w:t>
      </w:r>
      <w:r w:rsidRPr="00C26146">
        <w:rPr>
          <w:vertAlign w:val="superscript"/>
        </w:rPr>
        <w:t>1</w:t>
      </w:r>
      <w:r w:rsidRPr="00C26146">
        <w:t>H T</w:t>
      </w:r>
      <w:r w:rsidRPr="00C26146">
        <w:rPr>
          <w:vertAlign w:val="subscript"/>
        </w:rPr>
        <w:t>1</w:t>
      </w:r>
      <w:r w:rsidRPr="00C26146">
        <w:t xml:space="preserve"> relaxation analysis allows estimating the homogeneity or heterogeneity of a mixture of two or more components over a nanometre scale providing a reliable comparison with TEM image.</w:t>
      </w:r>
    </w:p>
    <w:p w:rsidR="00253D74" w:rsidRPr="00C26146" w:rsidRDefault="00253D74" w:rsidP="00253D74">
      <w:pPr>
        <w:autoSpaceDE w:val="0"/>
        <w:autoSpaceDN w:val="0"/>
        <w:adjustRightInd w:val="0"/>
        <w:spacing w:line="480" w:lineRule="auto"/>
      </w:pPr>
      <w:r w:rsidRPr="00C26146">
        <w:t xml:space="preserve">Concerning </w:t>
      </w:r>
      <w:smartTag w:uri="urn:schemas-microsoft-com:office:smarttags" w:element="metricconverter">
        <w:smartTagPr>
          <w:attr w:name="ProductID" w:val="13C"/>
        </w:smartTagPr>
        <w:r w:rsidRPr="00C26146">
          <w:rPr>
            <w:vertAlign w:val="superscript"/>
          </w:rPr>
          <w:t>13</w:t>
        </w:r>
        <w:r w:rsidRPr="00C26146">
          <w:t>C</w:t>
        </w:r>
      </w:smartTag>
      <w:r w:rsidRPr="00C26146">
        <w:t xml:space="preserve"> and </w:t>
      </w:r>
      <w:r w:rsidRPr="00C26146">
        <w:rPr>
          <w:vertAlign w:val="superscript"/>
        </w:rPr>
        <w:t>15</w:t>
      </w:r>
      <w:r w:rsidRPr="00C26146">
        <w:t xml:space="preserve">N SSNMR we refer to the previously reported (Hasa et al., 2012a) assignment which for clarity is summarized in Table 4. The atom labelling is depicted in Fig. </w:t>
      </w:r>
      <w:r w:rsidR="00485C6E" w:rsidRPr="00C26146">
        <w:t>2</w:t>
      </w:r>
      <w:r w:rsidRPr="00C26146">
        <w:t>.</w:t>
      </w:r>
    </w:p>
    <w:p w:rsidR="00253D74" w:rsidRPr="00C26146" w:rsidRDefault="00253D74" w:rsidP="00253D74">
      <w:pPr>
        <w:autoSpaceDE w:val="0"/>
        <w:autoSpaceDN w:val="0"/>
        <w:adjustRightInd w:val="0"/>
        <w:spacing w:line="480" w:lineRule="auto"/>
      </w:pPr>
      <w:r w:rsidRPr="00C26146">
        <w:t xml:space="preserve">The </w:t>
      </w:r>
      <w:smartTag w:uri="urn:schemas-microsoft-com:office:smarttags" w:element="metricconverter">
        <w:smartTagPr>
          <w:attr w:name="ProductID" w:val="13C"/>
        </w:smartTagPr>
        <w:r w:rsidRPr="00C26146">
          <w:rPr>
            <w:vertAlign w:val="superscript"/>
          </w:rPr>
          <w:t>13</w:t>
        </w:r>
        <w:r w:rsidRPr="00C26146">
          <w:t>C</w:t>
        </w:r>
      </w:smartTag>
      <w:r w:rsidRPr="00C26146">
        <w:t xml:space="preserve"> CPMAS NMR spectra of the selected Cog formulation 10, 13, 14 and 15 compared with those of PM compounds and pure vincamine and PVP-K30 are shown in Fig. </w:t>
      </w:r>
      <w:r w:rsidR="00485C6E" w:rsidRPr="00C26146">
        <w:t>8</w:t>
      </w:r>
      <w:r w:rsidRPr="00C26146">
        <w:t>.</w:t>
      </w:r>
    </w:p>
    <w:p w:rsidR="00246088" w:rsidRPr="00C26146" w:rsidRDefault="00253D74" w:rsidP="00C368AC">
      <w:pPr>
        <w:autoSpaceDE w:val="0"/>
        <w:autoSpaceDN w:val="0"/>
        <w:adjustRightInd w:val="0"/>
        <w:spacing w:line="480" w:lineRule="auto"/>
      </w:pPr>
      <w:r w:rsidRPr="00C26146">
        <w:t xml:space="preserve">The </w:t>
      </w:r>
      <w:smartTag w:uri="urn:schemas-microsoft-com:office:smarttags" w:element="metricconverter">
        <w:smartTagPr>
          <w:attr w:name="ProductID" w:val="13C"/>
        </w:smartTagPr>
        <w:r w:rsidRPr="00C26146">
          <w:rPr>
            <w:vertAlign w:val="superscript"/>
          </w:rPr>
          <w:t>13</w:t>
        </w:r>
        <w:r w:rsidRPr="00C26146">
          <w:t>C</w:t>
        </w:r>
      </w:smartTag>
      <w:r w:rsidRPr="00C26146">
        <w:t xml:space="preserve"> CPMAS spectra of the PM systems (vincamine</w:t>
      </w:r>
      <w:proofErr w:type="gramStart"/>
      <w:r w:rsidRPr="00C26146">
        <w:t>:PVP</w:t>
      </w:r>
      <w:proofErr w:type="gramEnd"/>
      <w:r w:rsidRPr="00C26146">
        <w:t xml:space="preserve">-K30 1:4 and 1:7 wt ratio) are the weighted superimposition of the pure component spectra indicating the lack of drug-carrier interactions. No changes have been observed for the C14 resonance (82.6 ppm) which is the most sensitive to vincamine packing modifications since directly involved in the N···H-O hydrogen bond (Fig. </w:t>
      </w:r>
      <w:r w:rsidR="00485C6E" w:rsidRPr="00C26146">
        <w:t>8</w:t>
      </w:r>
      <w:r w:rsidRPr="00C26146">
        <w:t xml:space="preserve">b and d). Spectra of coground samples, on the other hand, suggest the formation of strong </w:t>
      </w:r>
      <w:r w:rsidRPr="00C26146">
        <w:lastRenderedPageBreak/>
        <w:t>drug-polymer interactions as highlighted by the large broadening of the vincamine signals. This phenomenon has been related to a wide range of isotropic chemical shifts, arising from a distribution of chemical environments for the same carbon belonging to different drug molecules. This can be due either to a reduction of the particle size (which leads to an increase of the surface/volume ratio and thus of the drug-polymer interactions) and/or to the vincamine molecules in an amorphous state.  The presence of dynamic motions, as the origin of the signal broadening, has been ruled out by running spectra at different spinning speeds or decoupling frequencies which did not show any interference phenomena (Long et al., 1994).</w:t>
      </w:r>
    </w:p>
    <w:p w:rsidR="00253D74" w:rsidRPr="00C26146" w:rsidRDefault="00253D74" w:rsidP="00253D74">
      <w:pPr>
        <w:autoSpaceDE w:val="0"/>
        <w:autoSpaceDN w:val="0"/>
        <w:adjustRightInd w:val="0"/>
        <w:spacing w:line="480" w:lineRule="auto"/>
        <w:rPr>
          <w:highlight w:val="green"/>
        </w:rPr>
      </w:pPr>
      <w:r w:rsidRPr="00C26146">
        <w:t>The broadening degree does not seem to be related either to the grinding time (90, 120 and 180 min) or to the reagent ratio (1:4 or 1:7 p/p), that is the largest interaction degree is reached already after 90 min.</w:t>
      </w:r>
    </w:p>
    <w:p w:rsidR="00253D74" w:rsidRPr="00C26146" w:rsidRDefault="00253D74" w:rsidP="00253D74">
      <w:pPr>
        <w:autoSpaceDE w:val="0"/>
        <w:autoSpaceDN w:val="0"/>
        <w:adjustRightInd w:val="0"/>
        <w:spacing w:line="480" w:lineRule="auto"/>
      </w:pPr>
      <w:r w:rsidRPr="00C26146">
        <w:t xml:space="preserve">It is well known that the </w:t>
      </w:r>
      <w:r w:rsidRPr="00C26146">
        <w:rPr>
          <w:vertAlign w:val="superscript"/>
        </w:rPr>
        <w:t>15</w:t>
      </w:r>
      <w:r w:rsidRPr="00C26146">
        <w:t xml:space="preserve">N chemical shift is a reliable probe of the protonation state of nitrogen atoms (Braga et al., 2007). In the case of vincamine the N4 resonance is sensitive to the nitrogen atom environment, </w:t>
      </w:r>
      <w:r w:rsidRPr="00C26146">
        <w:rPr>
          <w:i/>
        </w:rPr>
        <w:t>i.e.</w:t>
      </w:r>
      <w:r w:rsidRPr="00C26146">
        <w:t xml:space="preserve"> deprotonated (</w:t>
      </w:r>
      <w:r w:rsidRPr="00C26146">
        <w:sym w:font="Symbol" w:char="F07E"/>
      </w:r>
      <w:r w:rsidRPr="00C26146">
        <w:t xml:space="preserve"> 4 ppm), involved in hydrogen bond (</w:t>
      </w:r>
      <w:r w:rsidRPr="00C26146">
        <w:sym w:font="Symbol" w:char="F07E"/>
      </w:r>
      <w:r w:rsidRPr="00C26146">
        <w:t xml:space="preserve"> 12 ppm) or protonated (</w:t>
      </w:r>
      <w:r w:rsidRPr="00C26146">
        <w:sym w:font="Symbol" w:char="F07E"/>
      </w:r>
      <w:r w:rsidRPr="00C26146">
        <w:t xml:space="preserve">19 ppm) (Hasa, et al., 2012b). In the samples under study no shifts are observed for the two nitrogen atoms in both coground and PM samples (Fig. </w:t>
      </w:r>
      <w:r w:rsidR="00485C6E" w:rsidRPr="00C26146">
        <w:t>9</w:t>
      </w:r>
      <w:r w:rsidRPr="00C26146">
        <w:t>), indicating that even if disordered or amorphous the N···H-O hydrogen bond interaction is preserved.</w:t>
      </w:r>
    </w:p>
    <w:p w:rsidR="00246088" w:rsidRPr="00C26146" w:rsidRDefault="00246088" w:rsidP="00246088">
      <w:pPr>
        <w:autoSpaceDE w:val="0"/>
        <w:autoSpaceDN w:val="0"/>
        <w:adjustRightInd w:val="0"/>
        <w:spacing w:line="480" w:lineRule="auto"/>
      </w:pPr>
    </w:p>
    <w:p w:rsidR="00253D74" w:rsidRPr="00C26146" w:rsidRDefault="00253D74" w:rsidP="00253D74">
      <w:pPr>
        <w:autoSpaceDE w:val="0"/>
        <w:autoSpaceDN w:val="0"/>
        <w:adjustRightInd w:val="0"/>
        <w:spacing w:line="480" w:lineRule="auto"/>
        <w:jc w:val="center"/>
        <w:rPr>
          <w:i/>
        </w:rPr>
      </w:pPr>
      <w:r w:rsidRPr="00C26146">
        <w:rPr>
          <w:i/>
        </w:rPr>
        <w:t>Please insert Table 4.</w:t>
      </w:r>
    </w:p>
    <w:p w:rsidR="00253D74" w:rsidRPr="00C26146" w:rsidRDefault="00253D74" w:rsidP="00253D74">
      <w:pPr>
        <w:autoSpaceDE w:val="0"/>
        <w:autoSpaceDN w:val="0"/>
        <w:adjustRightInd w:val="0"/>
        <w:spacing w:line="480" w:lineRule="auto"/>
      </w:pPr>
    </w:p>
    <w:p w:rsidR="00246088" w:rsidRPr="00C26146" w:rsidRDefault="00253D74" w:rsidP="00253D74">
      <w:pPr>
        <w:autoSpaceDE w:val="0"/>
        <w:autoSpaceDN w:val="0"/>
        <w:adjustRightInd w:val="0"/>
        <w:spacing w:line="480" w:lineRule="auto"/>
        <w:jc w:val="center"/>
        <w:rPr>
          <w:i/>
        </w:rPr>
      </w:pPr>
      <w:r w:rsidRPr="00C26146">
        <w:rPr>
          <w:i/>
        </w:rPr>
        <w:t xml:space="preserve">Please Insert Fig. </w:t>
      </w:r>
      <w:r w:rsidR="00485C6E" w:rsidRPr="00C26146">
        <w:rPr>
          <w:i/>
        </w:rPr>
        <w:t>8</w:t>
      </w:r>
      <w:r w:rsidRPr="00C26146">
        <w:rPr>
          <w:i/>
        </w:rPr>
        <w:t>.</w:t>
      </w:r>
    </w:p>
    <w:p w:rsidR="00246088" w:rsidRPr="00C26146" w:rsidRDefault="00246088" w:rsidP="00246088">
      <w:pPr>
        <w:autoSpaceDE w:val="0"/>
        <w:autoSpaceDN w:val="0"/>
        <w:adjustRightInd w:val="0"/>
        <w:spacing w:line="480" w:lineRule="auto"/>
        <w:rPr>
          <w:highlight w:val="green"/>
        </w:rPr>
      </w:pPr>
    </w:p>
    <w:p w:rsidR="00246088" w:rsidRPr="00C26146" w:rsidRDefault="00897D88" w:rsidP="004727BD">
      <w:pPr>
        <w:autoSpaceDE w:val="0"/>
        <w:autoSpaceDN w:val="0"/>
        <w:adjustRightInd w:val="0"/>
        <w:spacing w:line="480" w:lineRule="auto"/>
        <w:jc w:val="center"/>
        <w:rPr>
          <w:i/>
        </w:rPr>
      </w:pPr>
      <w:r w:rsidRPr="00C26146">
        <w:rPr>
          <w:i/>
        </w:rPr>
        <w:t xml:space="preserve">Please insert Fig. </w:t>
      </w:r>
      <w:r w:rsidR="00485C6E" w:rsidRPr="00C26146">
        <w:rPr>
          <w:i/>
        </w:rPr>
        <w:t>9</w:t>
      </w:r>
      <w:r w:rsidRPr="00C26146">
        <w:rPr>
          <w:i/>
        </w:rPr>
        <w:t>.</w:t>
      </w:r>
    </w:p>
    <w:p w:rsidR="00246088" w:rsidRPr="00C26146" w:rsidRDefault="00246088" w:rsidP="00246088">
      <w:pPr>
        <w:autoSpaceDE w:val="0"/>
        <w:autoSpaceDN w:val="0"/>
        <w:adjustRightInd w:val="0"/>
        <w:spacing w:line="480" w:lineRule="auto"/>
      </w:pPr>
    </w:p>
    <w:p w:rsidR="00246088" w:rsidRPr="00C26146" w:rsidRDefault="00246088" w:rsidP="00246088">
      <w:pPr>
        <w:autoSpaceDE w:val="0"/>
        <w:autoSpaceDN w:val="0"/>
        <w:adjustRightInd w:val="0"/>
        <w:spacing w:line="480" w:lineRule="auto"/>
        <w:rPr>
          <w:i/>
        </w:rPr>
      </w:pPr>
      <w:r w:rsidRPr="00C26146">
        <w:rPr>
          <w:i/>
          <w:vertAlign w:val="superscript"/>
        </w:rPr>
        <w:t>1</w:t>
      </w:r>
      <w:r w:rsidRPr="00C26146">
        <w:rPr>
          <w:i/>
        </w:rPr>
        <w:t>H T</w:t>
      </w:r>
      <w:r w:rsidRPr="00C26146">
        <w:rPr>
          <w:i/>
          <w:vertAlign w:val="subscript"/>
        </w:rPr>
        <w:t xml:space="preserve">1 </w:t>
      </w:r>
      <w:r w:rsidRPr="00C26146">
        <w:rPr>
          <w:i/>
        </w:rPr>
        <w:t>relaxation times</w:t>
      </w:r>
    </w:p>
    <w:p w:rsidR="00897D88" w:rsidRPr="00C26146" w:rsidRDefault="00897D88" w:rsidP="00897D88">
      <w:pPr>
        <w:autoSpaceDE w:val="0"/>
        <w:autoSpaceDN w:val="0"/>
        <w:adjustRightInd w:val="0"/>
        <w:spacing w:line="480" w:lineRule="auto"/>
      </w:pPr>
      <w:r w:rsidRPr="00C26146">
        <w:lastRenderedPageBreak/>
        <w:t>The degree of mixing between two components can be easily probed through the measurement of proton spin-lattice relaxation times in the laboratory frame (</w:t>
      </w:r>
      <w:r w:rsidRPr="00C26146">
        <w:rPr>
          <w:vertAlign w:val="superscript"/>
        </w:rPr>
        <w:t>1</w:t>
      </w:r>
      <w:r w:rsidRPr="00C26146">
        <w:t>H T</w:t>
      </w:r>
      <w:r w:rsidRPr="00C26146">
        <w:rPr>
          <w:vertAlign w:val="subscript"/>
        </w:rPr>
        <w:t>1</w:t>
      </w:r>
      <w:r w:rsidRPr="00C26146">
        <w:t xml:space="preserve">) under high-resolution experimental conditions. Indeed, in a simplified model, when protons belong to the same phase or to different phases characterised by small domains (average dimensions &lt; 100 Å) they behave as a single integral entity via spin diffusion (i.e. transfer of spin energy among nuclei through homonuclear dipolar couplings faster than the transfer of energy to the lattice). This results in longitudinal relaxation rates of protons within the molecule which all tend to the same value. On the other hand, different relaxation times can be measured for protons belonging to different domains when these domains have average linear dimensions </w:t>
      </w:r>
      <w:r w:rsidR="00674D9A" w:rsidRPr="00C26146">
        <w:t xml:space="preserve">greater than about 100 Å. </w:t>
      </w:r>
      <w:r w:rsidRPr="00C26146">
        <w:t>This approach, although simplified since does not consider all parameters (in particular structure and dynamic) influencing the spin diffusion, is useful for these systems where the mobility of the vincamine molecules could be ruled out (</w:t>
      </w:r>
      <w:r w:rsidRPr="00C26146">
        <w:rPr>
          <w:i/>
        </w:rPr>
        <w:t>see above</w:t>
      </w:r>
      <w:r w:rsidRPr="00C26146">
        <w:t>).</w:t>
      </w:r>
    </w:p>
    <w:p w:rsidR="00897D88" w:rsidRPr="00C26146" w:rsidRDefault="00897D88" w:rsidP="00897D88">
      <w:pPr>
        <w:autoSpaceDE w:val="0"/>
        <w:autoSpaceDN w:val="0"/>
        <w:adjustRightInd w:val="0"/>
        <w:spacing w:line="480" w:lineRule="auto"/>
      </w:pPr>
      <w:r w:rsidRPr="00C26146">
        <w:rPr>
          <w:vertAlign w:val="superscript"/>
        </w:rPr>
        <w:t>1</w:t>
      </w:r>
      <w:r w:rsidRPr="00C26146">
        <w:t>H T</w:t>
      </w:r>
      <w:r w:rsidRPr="00C26146">
        <w:rPr>
          <w:vertAlign w:val="subscript"/>
        </w:rPr>
        <w:t>1</w:t>
      </w:r>
      <w:r w:rsidRPr="00C26146">
        <w:t xml:space="preserve"> relaxation times were measured exploiting the high resolution of the </w:t>
      </w:r>
      <w:smartTag w:uri="urn:schemas-microsoft-com:office:smarttags" w:element="metricconverter">
        <w:smartTagPr>
          <w:attr w:name="ProductID" w:val="13C"/>
        </w:smartTagPr>
        <w:r w:rsidRPr="00C26146">
          <w:rPr>
            <w:vertAlign w:val="superscript"/>
          </w:rPr>
          <w:t>13</w:t>
        </w:r>
        <w:r w:rsidRPr="00C26146">
          <w:t>C</w:t>
        </w:r>
      </w:smartTag>
      <w:r w:rsidRPr="00C26146">
        <w:t xml:space="preserve"> spectra, by means of the Inversion Recovery CPMAS experiment where signals of vincamine and PVP-K30 are clearly observable and distinguishable. The results are reported in Table </w:t>
      </w:r>
      <w:smartTag w:uri="urn:schemas-microsoft-com:office:smarttags" w:element="metricconverter">
        <w:smartTagPr>
          <w:attr w:name="ProductID" w:val="5. In"/>
        </w:smartTagPr>
        <w:r w:rsidRPr="00C26146">
          <w:t>5. In</w:t>
        </w:r>
      </w:smartTag>
      <w:r w:rsidRPr="00C26146">
        <w:t xml:space="preserve"> the experiments performed on the pure components (vincamine and PVP-K30) a single T</w:t>
      </w:r>
      <w:r w:rsidRPr="00C26146">
        <w:rPr>
          <w:vertAlign w:val="subscript"/>
        </w:rPr>
        <w:t>1</w:t>
      </w:r>
      <w:r w:rsidRPr="00C26146">
        <w:t xml:space="preserve"> value was measured for all the protons (5.2 and 1.5 s, respectively), as expected. In PM samples, both with 1:4 and 1:7 wt ratio, two very different </w:t>
      </w:r>
      <w:r w:rsidRPr="00C26146">
        <w:rPr>
          <w:vertAlign w:val="superscript"/>
        </w:rPr>
        <w:t>1</w:t>
      </w:r>
      <w:r w:rsidRPr="00C26146">
        <w:t>H T</w:t>
      </w:r>
      <w:r w:rsidRPr="00C26146">
        <w:rPr>
          <w:vertAlign w:val="subscript"/>
        </w:rPr>
        <w:t>1</w:t>
      </w:r>
      <w:r w:rsidRPr="00C26146">
        <w:t xml:space="preserve"> values (5.4/5.2 s for vincamine and 1.4/1.2s for PVP-K30) have been measured in agreement with the heterogene</w:t>
      </w:r>
      <w:r w:rsidR="00674D9A" w:rsidRPr="00C26146">
        <w:t>o</w:t>
      </w:r>
      <w:r w:rsidRPr="00C26146">
        <w:t>us nature of the mixture. These samples were characterised by only few and weak drug-polymer interactions and the reagents remained still pure preserving their packing. On the other hand, in all the coground samples, a single relaxation time was measured for all the protons both of vincamine and PVP-K30. These results clearly indicate that drug and polymer were intimately mixed in the ground mixtures with domain average dimensions smaller than about 100 Å.</w:t>
      </w:r>
    </w:p>
    <w:p w:rsidR="00246088" w:rsidRPr="00C26146" w:rsidRDefault="00246088" w:rsidP="00246088">
      <w:pPr>
        <w:autoSpaceDE w:val="0"/>
        <w:autoSpaceDN w:val="0"/>
        <w:adjustRightInd w:val="0"/>
        <w:spacing w:line="480" w:lineRule="auto"/>
      </w:pPr>
    </w:p>
    <w:p w:rsidR="00D26C18" w:rsidRPr="00C26146" w:rsidRDefault="00897D88" w:rsidP="00485C6E">
      <w:pPr>
        <w:autoSpaceDE w:val="0"/>
        <w:autoSpaceDN w:val="0"/>
        <w:adjustRightInd w:val="0"/>
        <w:spacing w:line="480" w:lineRule="auto"/>
        <w:jc w:val="center"/>
        <w:rPr>
          <w:i/>
        </w:rPr>
      </w:pPr>
      <w:r w:rsidRPr="00C26146">
        <w:rPr>
          <w:i/>
        </w:rPr>
        <w:t>Please insert Table 5.</w:t>
      </w:r>
    </w:p>
    <w:p w:rsidR="008F2490" w:rsidRPr="00C26146" w:rsidRDefault="00D26C18" w:rsidP="00D26C18">
      <w:pPr>
        <w:autoSpaceDE w:val="0"/>
        <w:autoSpaceDN w:val="0"/>
        <w:adjustRightInd w:val="0"/>
        <w:spacing w:line="480" w:lineRule="auto"/>
      </w:pPr>
      <w:r w:rsidRPr="00C26146">
        <w:lastRenderedPageBreak/>
        <w:t>3.3.</w:t>
      </w:r>
      <w:r w:rsidR="004727BD" w:rsidRPr="00C26146">
        <w:t>4.</w:t>
      </w:r>
      <w:r w:rsidR="00897D88" w:rsidRPr="00C26146">
        <w:t xml:space="preserve"> </w:t>
      </w:r>
      <w:r w:rsidRPr="00C26146">
        <w:t>Physical stability studies</w:t>
      </w:r>
    </w:p>
    <w:p w:rsidR="00897D88" w:rsidRPr="00C26146" w:rsidRDefault="00897D88" w:rsidP="00897D88">
      <w:pPr>
        <w:autoSpaceDE w:val="0"/>
        <w:autoSpaceDN w:val="0"/>
        <w:adjustRightInd w:val="0"/>
        <w:spacing w:line="480" w:lineRule="auto"/>
      </w:pPr>
      <w:r w:rsidRPr="00C26146">
        <w:t xml:space="preserve">The drug physical stability in the selected Cog samples was monitored by repeating the XRPD and DKT analyses every 4 months for a period of 1 year. These two techniques were chosen because of their complementary nature. Moreover, the crystalline (and amorphous) percentage of the 1 year XRPD pattern was calculated according to the previously published method (Bergese et al., 2002).  </w:t>
      </w:r>
    </w:p>
    <w:p w:rsidR="00897D88" w:rsidRPr="00C26146" w:rsidRDefault="00897D88" w:rsidP="00897D88">
      <w:pPr>
        <w:autoSpaceDE w:val="0"/>
        <w:autoSpaceDN w:val="0"/>
        <w:adjustRightInd w:val="0"/>
        <w:spacing w:line="480" w:lineRule="auto"/>
      </w:pPr>
      <w:r w:rsidRPr="00C26146">
        <w:t>The selected Cog samples resulted stable upon 1 year of storage, as it can be seen from the XRD patterns (Fig. 1</w:t>
      </w:r>
      <w:r w:rsidR="00485C6E" w:rsidRPr="00C26146">
        <w:t>0</w:t>
      </w:r>
      <w:r w:rsidRPr="00C26146">
        <w:t>), from the calculated crystalline content (Table 6) and from the dissolution profiles (Fig. 1</w:t>
      </w:r>
      <w:r w:rsidR="00485C6E" w:rsidRPr="00C26146">
        <w:t>0</w:t>
      </w:r>
      <w:r w:rsidR="00674D9A" w:rsidRPr="00C26146">
        <w:t xml:space="preserve">). Only the Cog formulation 10 </w:t>
      </w:r>
      <w:r w:rsidRPr="00C26146">
        <w:t>showed a small increase of the diffraction XRPD peaks intensity (Fig. 1</w:t>
      </w:r>
      <w:r w:rsidR="00485C6E" w:rsidRPr="00C26146">
        <w:t>0</w:t>
      </w:r>
      <w:r w:rsidRPr="00C26146">
        <w:t>a), corresponding to an increase of 1.5% of the crystalline percentage (Table 6). However, DKT of the fresh and 1 year stored Cog 10 samples were superimposable. Since Cog formulation 10 differs from the other three selected samples for its lower polymeric content, this aspect probably plays a role in the solid-state stability of nanocrystalline and/or amorphous vincamine.</w:t>
      </w:r>
    </w:p>
    <w:p w:rsidR="00897D88" w:rsidRPr="00C26146" w:rsidRDefault="00897D88" w:rsidP="00897D88">
      <w:pPr>
        <w:autoSpaceDE w:val="0"/>
        <w:autoSpaceDN w:val="0"/>
        <w:adjustRightInd w:val="0"/>
        <w:spacing w:line="480" w:lineRule="auto"/>
      </w:pPr>
    </w:p>
    <w:p w:rsidR="00D66D80" w:rsidRPr="00C26146" w:rsidRDefault="00897D88" w:rsidP="00D66D80">
      <w:pPr>
        <w:autoSpaceDE w:val="0"/>
        <w:autoSpaceDN w:val="0"/>
        <w:adjustRightInd w:val="0"/>
        <w:spacing w:line="480" w:lineRule="auto"/>
        <w:jc w:val="center"/>
        <w:rPr>
          <w:i/>
        </w:rPr>
      </w:pPr>
      <w:r w:rsidRPr="00C26146">
        <w:rPr>
          <w:i/>
        </w:rPr>
        <w:t>Please insert Fig. 1</w:t>
      </w:r>
      <w:r w:rsidR="00485C6E" w:rsidRPr="00C26146">
        <w:rPr>
          <w:i/>
        </w:rPr>
        <w:t>0</w:t>
      </w:r>
      <w:r w:rsidRPr="00C26146">
        <w:rPr>
          <w:i/>
        </w:rPr>
        <w:t>.</w:t>
      </w:r>
    </w:p>
    <w:p w:rsidR="00897D88" w:rsidRPr="00C26146" w:rsidRDefault="00897D88" w:rsidP="00F97657">
      <w:pPr>
        <w:autoSpaceDE w:val="0"/>
        <w:autoSpaceDN w:val="0"/>
        <w:adjustRightInd w:val="0"/>
        <w:spacing w:line="480" w:lineRule="auto"/>
        <w:rPr>
          <w:b/>
        </w:rPr>
      </w:pPr>
    </w:p>
    <w:p w:rsidR="00F97657" w:rsidRPr="00C26146" w:rsidRDefault="00F97657" w:rsidP="00F97657">
      <w:pPr>
        <w:autoSpaceDE w:val="0"/>
        <w:autoSpaceDN w:val="0"/>
        <w:adjustRightInd w:val="0"/>
        <w:spacing w:line="480" w:lineRule="auto"/>
        <w:jc w:val="center"/>
        <w:rPr>
          <w:i/>
        </w:rPr>
      </w:pPr>
      <w:r w:rsidRPr="00C26146">
        <w:rPr>
          <w:i/>
        </w:rPr>
        <w:t>Please insert Table 6.</w:t>
      </w:r>
    </w:p>
    <w:p w:rsidR="009F3894" w:rsidRPr="00C26146" w:rsidRDefault="009F3894" w:rsidP="00643677">
      <w:pPr>
        <w:spacing w:line="480" w:lineRule="auto"/>
      </w:pPr>
    </w:p>
    <w:p w:rsidR="00D12D09" w:rsidRPr="00C26146" w:rsidRDefault="00096A8C" w:rsidP="00F95935">
      <w:pPr>
        <w:spacing w:line="480" w:lineRule="auto"/>
        <w:rPr>
          <w:b/>
        </w:rPr>
      </w:pPr>
      <w:r w:rsidRPr="00C26146">
        <w:rPr>
          <w:b/>
          <w:caps/>
        </w:rPr>
        <w:t xml:space="preserve">4. </w:t>
      </w:r>
      <w:r w:rsidR="000951E1" w:rsidRPr="00C26146">
        <w:rPr>
          <w:b/>
        </w:rPr>
        <w:t>Conclusions</w:t>
      </w:r>
    </w:p>
    <w:p w:rsidR="00096A8C" w:rsidRPr="00C26146" w:rsidRDefault="00F97657" w:rsidP="00643677">
      <w:pPr>
        <w:spacing w:line="480" w:lineRule="auto"/>
      </w:pPr>
      <w:r w:rsidRPr="00C26146">
        <w:t>This study represents a successful application of mechanochemical activation for preparing stable binary solid dispersions of vincamine in presence of linear polymers with the aim of improving its oral bioavailability. The use of linear polymers instead of classical cross-linked polymers lead to coground samples having dissolution performances and solid state features remarkably different from those obtainable</w:t>
      </w:r>
      <w:r w:rsidRPr="00C26146">
        <w:rPr>
          <w:i/>
        </w:rPr>
        <w:t xml:space="preserve"> via</w:t>
      </w:r>
      <w:r w:rsidRPr="00C26146">
        <w:t xml:space="preserve"> a MA process mediated by cross-linked polymers. The process and formulation variables in this case are of minor relevance on the characteristics of the samples. Despite the above difference from the previous studies, the step-by-step investigation of the </w:t>
      </w:r>
      <w:r w:rsidRPr="00C26146">
        <w:lastRenderedPageBreak/>
        <w:t xml:space="preserve">mechanochemical process permitted to obtain vincamine activated composites also with linear polymers; in particular  this was done paying attention to the selection of the suitable carrier/stabilizer for the drug, to the operating and formulation parameters and, finally, to the characterisation of the coground  samples. The binary vincamine/PVP-K30 composites, consisting of a dispersion of drug nanocrystals in the polymer, were highly </w:t>
      </w:r>
      <w:r w:rsidRPr="00C26146">
        <w:rPr>
          <w:i/>
        </w:rPr>
        <w:t>in vitro</w:t>
      </w:r>
      <w:r w:rsidRPr="00C26146">
        <w:t xml:space="preserve"> bioavailable and physically stable for at least one year. This fact was probably due to extensive interact</w:t>
      </w:r>
      <w:r w:rsidR="00674D9A" w:rsidRPr="00C26146">
        <w:t xml:space="preserve">ions and contacts with PVP-K30 </w:t>
      </w:r>
      <w:r w:rsidRPr="00C26146">
        <w:t xml:space="preserve">and to the maintenance of the </w:t>
      </w:r>
      <w:r w:rsidR="00674D9A" w:rsidRPr="00C26146">
        <w:t xml:space="preserve">main </w:t>
      </w:r>
      <w:r w:rsidRPr="00C26146">
        <w:t>hydrogen bonding motif characterising vincamine packing also in the disordered crystalline state of the composites.</w:t>
      </w:r>
    </w:p>
    <w:p w:rsidR="00F97657" w:rsidRPr="00C26146" w:rsidRDefault="00F97657" w:rsidP="00643677">
      <w:pPr>
        <w:spacing w:line="480" w:lineRule="auto"/>
      </w:pPr>
    </w:p>
    <w:p w:rsidR="00F95935" w:rsidRPr="00C26146" w:rsidRDefault="00096A8C" w:rsidP="00F95935">
      <w:pPr>
        <w:spacing w:line="480" w:lineRule="auto"/>
      </w:pPr>
      <w:r w:rsidRPr="00C26146">
        <w:rPr>
          <w:b/>
        </w:rPr>
        <w:t>Acknowledgements</w:t>
      </w:r>
    </w:p>
    <w:p w:rsidR="00096A8C" w:rsidRPr="00C26146" w:rsidRDefault="00096A8C" w:rsidP="00F95935">
      <w:pPr>
        <w:autoSpaceDE w:val="0"/>
        <w:autoSpaceDN w:val="0"/>
        <w:adjustRightInd w:val="0"/>
        <w:spacing w:line="480" w:lineRule="auto"/>
      </w:pPr>
      <w:r w:rsidRPr="00C26146">
        <w:rPr>
          <w:rFonts w:ascii="AdvTT020c6f89" w:hAnsi="AdvTT020c6f89" w:cs="AdvTT020c6f89"/>
        </w:rPr>
        <w:t>The authors thank Linnea (Locarno, CH) for the kind gift of the active</w:t>
      </w:r>
      <w:r w:rsidR="00AF30CE" w:rsidRPr="00C26146">
        <w:rPr>
          <w:rFonts w:ascii="AdvTT020c6f89" w:hAnsi="AdvTT020c6f89" w:cs="AdvTT020c6f89"/>
        </w:rPr>
        <w:t xml:space="preserve"> ingredient used in this study</w:t>
      </w:r>
      <w:r w:rsidR="00F97657" w:rsidRPr="00C26146">
        <w:rPr>
          <w:rFonts w:ascii="AdvTT020c6f89" w:hAnsi="AdvTT020c6f89" w:cs="AdvTT020c6f89"/>
        </w:rPr>
        <w:t>.</w:t>
      </w:r>
    </w:p>
    <w:p w:rsidR="00096A8C" w:rsidRPr="00C26146" w:rsidRDefault="00096A8C" w:rsidP="00643677">
      <w:pPr>
        <w:autoSpaceDE w:val="0"/>
        <w:autoSpaceDN w:val="0"/>
        <w:adjustRightInd w:val="0"/>
        <w:spacing w:line="480" w:lineRule="auto"/>
      </w:pPr>
    </w:p>
    <w:p w:rsidR="004212A1" w:rsidRPr="00C26146" w:rsidRDefault="00096A8C" w:rsidP="004212A1">
      <w:pPr>
        <w:autoSpaceDE w:val="0"/>
        <w:autoSpaceDN w:val="0"/>
        <w:adjustRightInd w:val="0"/>
        <w:spacing w:line="480" w:lineRule="auto"/>
        <w:rPr>
          <w:lang w:val="it-IT"/>
        </w:rPr>
      </w:pPr>
      <w:r w:rsidRPr="00C26146">
        <w:rPr>
          <w:b/>
          <w:lang w:val="it-IT"/>
        </w:rPr>
        <w:t>References</w:t>
      </w:r>
    </w:p>
    <w:p w:rsidR="004212A1" w:rsidRPr="00C26146" w:rsidRDefault="004212A1" w:rsidP="009458FD">
      <w:pPr>
        <w:spacing w:line="480" w:lineRule="auto"/>
        <w:ind w:left="426" w:hanging="426"/>
        <w:rPr>
          <w:lang w:val="it-IT"/>
        </w:rPr>
      </w:pPr>
      <w:r w:rsidRPr="00C26146">
        <w:rPr>
          <w:lang w:val="it-IT"/>
        </w:rPr>
        <w:t xml:space="preserve">Bergese, P., Colombo, I., Gervasoni, D., Depero, L.E., 2002. </w:t>
      </w:r>
      <w:proofErr w:type="gramStart"/>
      <w:r w:rsidRPr="00C26146">
        <w:rPr>
          <w:lang w:val="en-US"/>
        </w:rPr>
        <w:t>Assessment of the x-ray diffraction-absorption method for quantitative analysis of largely amorphous composites.</w:t>
      </w:r>
      <w:proofErr w:type="gramEnd"/>
      <w:r w:rsidRPr="00C26146">
        <w:rPr>
          <w:lang w:val="en-US"/>
        </w:rPr>
        <w:t xml:space="preserve"> </w:t>
      </w:r>
      <w:r w:rsidRPr="00C26146">
        <w:rPr>
          <w:lang w:val="it-IT"/>
        </w:rPr>
        <w:t>J. Appl. Cryst. 36, 74-79.</w:t>
      </w:r>
    </w:p>
    <w:p w:rsidR="002830F5" w:rsidRPr="00C26146" w:rsidRDefault="00776F38" w:rsidP="009458FD">
      <w:pPr>
        <w:spacing w:line="480" w:lineRule="auto"/>
        <w:ind w:left="426" w:hanging="426"/>
        <w:rPr>
          <w:lang w:val="en-US"/>
        </w:rPr>
      </w:pPr>
      <w:r w:rsidRPr="00C26146">
        <w:rPr>
          <w:lang w:val="it-IT"/>
        </w:rPr>
        <w:t xml:space="preserve">Bergese, P., Colombo, I., </w:t>
      </w:r>
      <w:r w:rsidR="002830F5" w:rsidRPr="00C26146">
        <w:rPr>
          <w:lang w:val="it-IT"/>
        </w:rPr>
        <w:t xml:space="preserve">Gervasoni, D., Depero, L.E., 2004. </w:t>
      </w:r>
      <w:r w:rsidR="002830F5" w:rsidRPr="00C26146">
        <w:rPr>
          <w:lang w:val="en-US"/>
        </w:rPr>
        <w:t>Melting of nanostructured drugs embedded into a polymeric matrix. J. Phys. Chem. B</w:t>
      </w:r>
      <w:r w:rsidR="009A6946" w:rsidRPr="00C26146">
        <w:rPr>
          <w:lang w:val="en-US"/>
        </w:rPr>
        <w:t>.</w:t>
      </w:r>
      <w:r w:rsidR="002830F5" w:rsidRPr="00C26146">
        <w:rPr>
          <w:lang w:val="en-US"/>
        </w:rPr>
        <w:t xml:space="preserve"> </w:t>
      </w:r>
      <w:r w:rsidR="009A6946" w:rsidRPr="00C26146">
        <w:rPr>
          <w:lang w:val="en-US"/>
        </w:rPr>
        <w:t>108</w:t>
      </w:r>
      <w:r w:rsidR="002830F5" w:rsidRPr="00C26146">
        <w:rPr>
          <w:lang w:val="en-US"/>
        </w:rPr>
        <w:t>, 15488-15493.</w:t>
      </w:r>
    </w:p>
    <w:p w:rsidR="00B31DBB" w:rsidRPr="00C26146" w:rsidRDefault="00B31DBB" w:rsidP="009458FD">
      <w:pPr>
        <w:spacing w:line="480" w:lineRule="auto"/>
        <w:ind w:left="426" w:hanging="426"/>
      </w:pPr>
      <w:r w:rsidRPr="00C26146">
        <w:rPr>
          <w:lang w:val="it-IT"/>
        </w:rPr>
        <w:t xml:space="preserve">Braga, D., Grepioni, F., Polito, M., Chierotti, M.R., Ellena, S., Gobetto, R., </w:t>
      </w:r>
      <w:smartTag w:uri="urn:schemas-microsoft-com:office:smarttags" w:element="metricconverter">
        <w:smartTagPr>
          <w:attr w:name="ProductID" w:val="2006. A"/>
        </w:smartTagPr>
        <w:r w:rsidRPr="00C26146">
          <w:rPr>
            <w:lang w:val="it-IT"/>
          </w:rPr>
          <w:t xml:space="preserve">2006. </w:t>
        </w:r>
        <w:r w:rsidRPr="00C26146">
          <w:t>A</w:t>
        </w:r>
      </w:smartTag>
      <w:r w:rsidRPr="00C26146">
        <w:t xml:space="preserve"> solid-gas route to polymorph conversion in crystalline [Fe-</w:t>
      </w:r>
      <w:proofErr w:type="gramStart"/>
      <w:r w:rsidRPr="00C26146">
        <w:t>II(</w:t>
      </w:r>
      <w:proofErr w:type="gramEnd"/>
      <w:r w:rsidRPr="00C26146">
        <w:sym w:font="Symbol" w:char="F068"/>
      </w:r>
      <w:r w:rsidRPr="00C26146">
        <w:rPr>
          <w:vertAlign w:val="superscript"/>
        </w:rPr>
        <w:t>5</w:t>
      </w:r>
      <w:r w:rsidRPr="00C26146">
        <w:t>-C</w:t>
      </w:r>
      <w:r w:rsidRPr="00C26146">
        <w:rPr>
          <w:vertAlign w:val="subscript"/>
        </w:rPr>
        <w:t>5</w:t>
      </w:r>
      <w:r w:rsidRPr="00C26146">
        <w:t>H</w:t>
      </w:r>
      <w:r w:rsidRPr="00C26146">
        <w:rPr>
          <w:vertAlign w:val="subscript"/>
        </w:rPr>
        <w:t>4</w:t>
      </w:r>
      <w:r w:rsidRPr="00C26146">
        <w:t>COOH)</w:t>
      </w:r>
      <w:r w:rsidRPr="00C26146">
        <w:rPr>
          <w:vertAlign w:val="subscript"/>
        </w:rPr>
        <w:t>2</w:t>
      </w:r>
      <w:r w:rsidRPr="00C26146">
        <w:t xml:space="preserve">]. A diffraction and solid-state NMR study. </w:t>
      </w:r>
      <w:proofErr w:type="spellStart"/>
      <w:proofErr w:type="gramStart"/>
      <w:r w:rsidRPr="00C26146">
        <w:t>Organomet</w:t>
      </w:r>
      <w:proofErr w:type="spellEnd"/>
      <w:r w:rsidRPr="00C26146">
        <w:t>.</w:t>
      </w:r>
      <w:proofErr w:type="gramEnd"/>
      <w:r w:rsidRPr="00C26146">
        <w:t xml:space="preserve"> 25, 4627-4633.</w:t>
      </w:r>
    </w:p>
    <w:p w:rsidR="00FF78C3" w:rsidRPr="00C26146" w:rsidRDefault="00FF78C3" w:rsidP="009458FD">
      <w:pPr>
        <w:spacing w:line="480" w:lineRule="auto"/>
        <w:ind w:left="426" w:hanging="426"/>
        <w:rPr>
          <w:lang w:val="en-US"/>
        </w:rPr>
      </w:pPr>
      <w:r w:rsidRPr="00C26146">
        <w:t xml:space="preserve">Braga, D., Maini, L., Fagnano, C., </w:t>
      </w:r>
      <w:proofErr w:type="spellStart"/>
      <w:r w:rsidRPr="00C26146">
        <w:t>Taddei</w:t>
      </w:r>
      <w:proofErr w:type="spellEnd"/>
      <w:r w:rsidRPr="00C26146">
        <w:t xml:space="preserve">, P., </w:t>
      </w:r>
      <w:proofErr w:type="spellStart"/>
      <w:r w:rsidRPr="00C26146">
        <w:t>Chie</w:t>
      </w:r>
      <w:r w:rsidR="006C1C45" w:rsidRPr="00C26146">
        <w:t>rotti</w:t>
      </w:r>
      <w:proofErr w:type="spellEnd"/>
      <w:r w:rsidR="006C1C45" w:rsidRPr="00C26146">
        <w:t xml:space="preserve">, M.R., </w:t>
      </w:r>
      <w:proofErr w:type="spellStart"/>
      <w:r w:rsidR="006C1C45" w:rsidRPr="00C26146">
        <w:t>Gobetto</w:t>
      </w:r>
      <w:proofErr w:type="spellEnd"/>
      <w:r w:rsidR="006C1C45" w:rsidRPr="00C26146">
        <w:t>, R.</w:t>
      </w:r>
      <w:r w:rsidR="0009198C" w:rsidRPr="00C26146">
        <w:t xml:space="preserve">, </w:t>
      </w:r>
      <w:r w:rsidRPr="00C26146">
        <w:t xml:space="preserve">2007. </w:t>
      </w:r>
      <w:proofErr w:type="gramStart"/>
      <w:r w:rsidRPr="00C26146">
        <w:t xml:space="preserve">Polymorphism in crystalline </w:t>
      </w:r>
      <w:proofErr w:type="spellStart"/>
      <w:r w:rsidRPr="00C26146">
        <w:t>cinchomeronic</w:t>
      </w:r>
      <w:proofErr w:type="spellEnd"/>
      <w:r w:rsidRPr="00C26146">
        <w:t xml:space="preserve"> acid.</w:t>
      </w:r>
      <w:proofErr w:type="gramEnd"/>
      <w:r w:rsidRPr="00C26146">
        <w:rPr>
          <w:lang w:val="en-US"/>
        </w:rPr>
        <w:t xml:space="preserve"> Chem. Eur. J. 13, 1222-1230.</w:t>
      </w:r>
    </w:p>
    <w:p w:rsidR="00B24D9A" w:rsidRPr="00C26146" w:rsidRDefault="00B24D9A" w:rsidP="009458FD">
      <w:pPr>
        <w:spacing w:line="480" w:lineRule="auto"/>
        <w:ind w:left="426" w:hanging="426"/>
        <w:rPr>
          <w:bCs/>
        </w:rPr>
      </w:pPr>
      <w:proofErr w:type="spellStart"/>
      <w:r w:rsidRPr="00C26146">
        <w:rPr>
          <w:bCs/>
        </w:rPr>
        <w:t>Breitkreutz</w:t>
      </w:r>
      <w:proofErr w:type="spellEnd"/>
      <w:r w:rsidRPr="00C26146">
        <w:rPr>
          <w:bCs/>
        </w:rPr>
        <w:t xml:space="preserve">, J., 1998. </w:t>
      </w:r>
      <w:proofErr w:type="gramStart"/>
      <w:r w:rsidRPr="00C26146">
        <w:rPr>
          <w:bCs/>
        </w:rPr>
        <w:t>Prediction of intestinal drug absorption properties by three-dimensional solubility parameters.</w:t>
      </w:r>
      <w:proofErr w:type="gramEnd"/>
      <w:r w:rsidRPr="00C26146">
        <w:rPr>
          <w:bCs/>
        </w:rPr>
        <w:t xml:space="preserve"> Pharm. Res. 15 (9), 1370-1375.</w:t>
      </w:r>
    </w:p>
    <w:p w:rsidR="008C3C38" w:rsidRPr="00C26146" w:rsidRDefault="008C3C38" w:rsidP="009458FD">
      <w:pPr>
        <w:spacing w:line="480" w:lineRule="auto"/>
        <w:ind w:left="426" w:hanging="426"/>
      </w:pPr>
      <w:r w:rsidRPr="00C26146">
        <w:rPr>
          <w:lang w:val="it-IT"/>
        </w:rPr>
        <w:lastRenderedPageBreak/>
        <w:t xml:space="preserve">Colombo, I., Grassi, G., Grassi, M., 2009. </w:t>
      </w:r>
      <w:r w:rsidRPr="00C26146">
        <w:t xml:space="preserve">Drug </w:t>
      </w:r>
      <w:proofErr w:type="spellStart"/>
      <w:r w:rsidRPr="00C26146">
        <w:t>Mechanochemical</w:t>
      </w:r>
      <w:proofErr w:type="spellEnd"/>
      <w:r w:rsidRPr="00C26146">
        <w:t xml:space="preserve"> Activation. J. Pharm. Sci. </w:t>
      </w:r>
      <w:proofErr w:type="gramStart"/>
      <w:r w:rsidRPr="00C26146">
        <w:t>98 ,</w:t>
      </w:r>
      <w:proofErr w:type="gramEnd"/>
      <w:r w:rsidRPr="00C26146">
        <w:t xml:space="preserve"> 3961-3986.</w:t>
      </w:r>
    </w:p>
    <w:p w:rsidR="00236BA6" w:rsidRPr="00C26146" w:rsidRDefault="00236BA6" w:rsidP="009458FD">
      <w:pPr>
        <w:spacing w:line="480" w:lineRule="auto"/>
        <w:ind w:left="426" w:hanging="426"/>
      </w:pPr>
      <w:proofErr w:type="gramStart"/>
      <w:r w:rsidRPr="00C26146">
        <w:t>Food and Drug Administration CDER, Revision 1, 2003.</w:t>
      </w:r>
      <w:proofErr w:type="gramEnd"/>
      <w:r w:rsidRPr="00C26146">
        <w:t xml:space="preserve"> Guidance for Industry, Bioavailability and Bioequivalence Studies for Orally Administered Drug Products-General Considerations. </w:t>
      </w:r>
      <w:hyperlink r:id="rId14" w:history="1">
        <w:proofErr w:type="gramStart"/>
        <w:r w:rsidRPr="00C26146">
          <w:rPr>
            <w:rStyle w:val="Hyperlink"/>
            <w:color w:val="auto"/>
            <w:lang w:val="en-US"/>
          </w:rPr>
          <w:t>http://www.fda.gov/downloads/Drugs/GuidanceComplianceRegulatoryInformation/Guidances/UCM070124.pdf</w:t>
        </w:r>
      </w:hyperlink>
      <w:r w:rsidRPr="00C26146">
        <w:rPr>
          <w:lang w:val="en-US"/>
        </w:rPr>
        <w:t xml:space="preserve"> </w:t>
      </w:r>
      <w:r w:rsidRPr="00C26146">
        <w:t>(accessed on March 30, 2012).</w:t>
      </w:r>
      <w:proofErr w:type="gramEnd"/>
    </w:p>
    <w:p w:rsidR="004D7942" w:rsidRPr="00C26146" w:rsidRDefault="004D7942" w:rsidP="009458FD">
      <w:pPr>
        <w:spacing w:line="480" w:lineRule="auto"/>
        <w:ind w:left="426" w:hanging="426"/>
      </w:pPr>
      <w:proofErr w:type="gramStart"/>
      <w:r w:rsidRPr="00C26146">
        <w:t xml:space="preserve">Forster, A., </w:t>
      </w:r>
      <w:proofErr w:type="spellStart"/>
      <w:r w:rsidRPr="00C26146">
        <w:t>Hempenstall</w:t>
      </w:r>
      <w:proofErr w:type="spellEnd"/>
      <w:r w:rsidRPr="00C26146">
        <w:t xml:space="preserve">, J., Tucker, </w:t>
      </w:r>
      <w:smartTag w:uri="urn:schemas-microsoft-com:office:smarttags" w:element="place">
        <w:r w:rsidRPr="00C26146">
          <w:t>I.</w:t>
        </w:r>
      </w:smartTag>
      <w:r w:rsidRPr="00C26146">
        <w:t xml:space="preserve">, </w:t>
      </w:r>
      <w:proofErr w:type="spellStart"/>
      <w:r w:rsidRPr="00C26146">
        <w:t>Rades</w:t>
      </w:r>
      <w:proofErr w:type="spellEnd"/>
      <w:r w:rsidRPr="00C26146">
        <w:t>, T.</w:t>
      </w:r>
      <w:r w:rsidR="0009198C" w:rsidRPr="00C26146">
        <w:t>,</w:t>
      </w:r>
      <w:r w:rsidRPr="00C26146">
        <w:t xml:space="preserve"> 2001.</w:t>
      </w:r>
      <w:proofErr w:type="gramEnd"/>
      <w:r w:rsidRPr="00C26146">
        <w:t xml:space="preserve"> </w:t>
      </w:r>
      <w:proofErr w:type="gramStart"/>
      <w:r w:rsidRPr="00C26146">
        <w:t xml:space="preserve">Selection of </w:t>
      </w:r>
      <w:proofErr w:type="spellStart"/>
      <w:r w:rsidRPr="00C26146">
        <w:t>ecxipients</w:t>
      </w:r>
      <w:proofErr w:type="spellEnd"/>
      <w:r w:rsidRPr="00C26146">
        <w:t xml:space="preserve"> for melt extrusion with two poorly water-soluble drugs by solubility parameter calculation and thermal analysis.</w:t>
      </w:r>
      <w:proofErr w:type="gramEnd"/>
      <w:r w:rsidRPr="00C26146">
        <w:t xml:space="preserve"> Int. J. Phar. 226, 147-161.</w:t>
      </w:r>
    </w:p>
    <w:p w:rsidR="00802B3E" w:rsidRPr="00C26146" w:rsidRDefault="00802B3E" w:rsidP="009458FD">
      <w:pPr>
        <w:spacing w:line="480" w:lineRule="auto"/>
        <w:ind w:left="426" w:hanging="426"/>
        <w:rPr>
          <w:bCs/>
        </w:rPr>
      </w:pPr>
      <w:proofErr w:type="spellStart"/>
      <w:r w:rsidRPr="00C26146">
        <w:t>Goodford</w:t>
      </w:r>
      <w:proofErr w:type="spellEnd"/>
      <w:r w:rsidRPr="00C26146">
        <w:t>, P.</w:t>
      </w:r>
      <w:r w:rsidR="006C1C45" w:rsidRPr="00C26146">
        <w:t>J.</w:t>
      </w:r>
      <w:r w:rsidR="0009198C" w:rsidRPr="00C26146">
        <w:t>,</w:t>
      </w:r>
      <w:r w:rsidR="006C1C45" w:rsidRPr="00C26146">
        <w:t xml:space="preserve"> </w:t>
      </w:r>
      <w:r w:rsidRPr="00C26146">
        <w:t xml:space="preserve">1985. </w:t>
      </w:r>
      <w:proofErr w:type="gramStart"/>
      <w:r w:rsidRPr="00C26146">
        <w:t xml:space="preserve">A computational procedure for determining energetically </w:t>
      </w:r>
      <w:proofErr w:type="spellStart"/>
      <w:r w:rsidRPr="00C26146">
        <w:t>fovorable</w:t>
      </w:r>
      <w:proofErr w:type="spellEnd"/>
      <w:r w:rsidRPr="00C26146">
        <w:t xml:space="preserve"> binding sites on biologically important macromolecules.</w:t>
      </w:r>
      <w:proofErr w:type="gramEnd"/>
      <w:r w:rsidRPr="00C26146">
        <w:t xml:space="preserve"> J. Med. Chem. 28, 849-857.</w:t>
      </w:r>
    </w:p>
    <w:p w:rsidR="00604E8D" w:rsidRPr="00C26146" w:rsidRDefault="00604E8D" w:rsidP="009458FD">
      <w:pPr>
        <w:spacing w:line="480" w:lineRule="auto"/>
        <w:ind w:left="426" w:hanging="426"/>
        <w:rPr>
          <w:rFonts w:eastAsia="ArialUnicodeMS"/>
          <w:bCs/>
        </w:rPr>
      </w:pPr>
      <w:r w:rsidRPr="00C26146">
        <w:rPr>
          <w:rFonts w:eastAsia="ArialUnicodeMS"/>
          <w:bCs/>
        </w:rPr>
        <w:t xml:space="preserve">Hancock, B.C., </w:t>
      </w:r>
      <w:smartTag w:uri="urn:schemas-microsoft-com:office:smarttags" w:element="City">
        <w:smartTag w:uri="urn:schemas-microsoft-com:office:smarttags" w:element="place">
          <w:r w:rsidRPr="00C26146">
            <w:rPr>
              <w:rFonts w:eastAsia="ArialUnicodeMS"/>
              <w:bCs/>
            </w:rPr>
            <w:t>York</w:t>
          </w:r>
        </w:smartTag>
      </w:smartTag>
      <w:r w:rsidRPr="00C26146">
        <w:rPr>
          <w:rFonts w:eastAsia="ArialUnicodeMS"/>
          <w:bCs/>
        </w:rPr>
        <w:t>, P., Rowe, R.C., 1997. The use of solubility parameters in pharmaceutical dosage form design. Int. J. Pharm. 148, 1-21.</w:t>
      </w:r>
    </w:p>
    <w:p w:rsidR="00050A70" w:rsidRPr="00C26146" w:rsidRDefault="00050A70" w:rsidP="009458FD">
      <w:pPr>
        <w:spacing w:line="480" w:lineRule="auto"/>
        <w:ind w:left="426" w:hanging="426"/>
        <w:rPr>
          <w:rFonts w:eastAsia="ArialUnicodeMS"/>
          <w:bCs/>
          <w:lang w:val="it-IT"/>
        </w:rPr>
      </w:pPr>
      <w:r w:rsidRPr="00C26146">
        <w:rPr>
          <w:rFonts w:eastAsia="ArialUnicodeMS"/>
          <w:bCs/>
        </w:rPr>
        <w:t xml:space="preserve">Hansen, C.M., 1969. </w:t>
      </w:r>
      <w:proofErr w:type="gramStart"/>
      <w:r w:rsidRPr="00C26146">
        <w:rPr>
          <w:rFonts w:eastAsia="ArialUnicodeMS"/>
          <w:bCs/>
        </w:rPr>
        <w:t>The universality of the solubility parameter.</w:t>
      </w:r>
      <w:proofErr w:type="gramEnd"/>
      <w:r w:rsidRPr="00C26146">
        <w:rPr>
          <w:rFonts w:eastAsia="ArialUnicodeMS"/>
          <w:bCs/>
        </w:rPr>
        <w:t xml:space="preserve"> Ind. </w:t>
      </w:r>
      <w:smartTag w:uri="urn:schemas-microsoft-com:office:smarttags" w:element="country-region">
        <w:smartTag w:uri="urn:schemas-microsoft-com:office:smarttags" w:element="place">
          <w:r w:rsidRPr="00C26146">
            <w:rPr>
              <w:rFonts w:eastAsia="ArialUnicodeMS"/>
              <w:bCs/>
            </w:rPr>
            <w:t>Eng.</w:t>
          </w:r>
        </w:smartTag>
      </w:smartTag>
      <w:r w:rsidRPr="00C26146">
        <w:rPr>
          <w:rFonts w:eastAsia="ArialUnicodeMS"/>
          <w:bCs/>
        </w:rPr>
        <w:t xml:space="preserve"> </w:t>
      </w:r>
      <w:r w:rsidRPr="00C26146">
        <w:rPr>
          <w:rFonts w:eastAsia="ArialUnicodeMS"/>
          <w:bCs/>
          <w:lang w:val="it-IT"/>
        </w:rPr>
        <w:t>Chem. Res. 8, 2-11.</w:t>
      </w:r>
    </w:p>
    <w:p w:rsidR="009458FD" w:rsidRPr="00C26146" w:rsidRDefault="00E70DBC" w:rsidP="009458FD">
      <w:pPr>
        <w:spacing w:line="480" w:lineRule="auto"/>
        <w:ind w:left="426" w:hanging="426"/>
        <w:rPr>
          <w:lang w:val="en-US"/>
        </w:rPr>
      </w:pPr>
      <w:r w:rsidRPr="00C26146">
        <w:rPr>
          <w:lang w:val="it-IT"/>
        </w:rPr>
        <w:t xml:space="preserve">Hasa, D., Perissutti, B., Chierotti, M.R, Gobetto, R., Grabnar, </w:t>
      </w:r>
      <w:smartTag w:uri="urn:schemas-microsoft-com:office:smarttags" w:element="place">
        <w:r w:rsidRPr="00C26146">
          <w:rPr>
            <w:lang w:val="it-IT"/>
          </w:rPr>
          <w:t>I.</w:t>
        </w:r>
      </w:smartTag>
      <w:r w:rsidRPr="00C26146">
        <w:rPr>
          <w:lang w:val="it-IT"/>
        </w:rPr>
        <w:t>, Bonifacio, A., Dall’Acqua, S., Invernizzi, S., Voinovich, D.</w:t>
      </w:r>
      <w:r w:rsidR="0009198C" w:rsidRPr="00C26146">
        <w:rPr>
          <w:lang w:val="it-IT"/>
        </w:rPr>
        <w:t>,</w:t>
      </w:r>
      <w:r w:rsidRPr="00C26146">
        <w:rPr>
          <w:lang w:val="it-IT"/>
        </w:rPr>
        <w:t xml:space="preserve"> 2012</w:t>
      </w:r>
      <w:r w:rsidR="009458FD" w:rsidRPr="00C26146">
        <w:rPr>
          <w:lang w:val="it-IT"/>
        </w:rPr>
        <w:t>a</w:t>
      </w:r>
      <w:r w:rsidRPr="00C26146">
        <w:rPr>
          <w:lang w:val="it-IT"/>
        </w:rPr>
        <w:t xml:space="preserve">. </w:t>
      </w:r>
      <w:proofErr w:type="spellStart"/>
      <w:proofErr w:type="gramStart"/>
      <w:r w:rsidRPr="00C26146">
        <w:rPr>
          <w:lang w:val="en-US"/>
        </w:rPr>
        <w:t>Mechanochemically</w:t>
      </w:r>
      <w:proofErr w:type="spellEnd"/>
      <w:r w:rsidRPr="00C26146">
        <w:rPr>
          <w:lang w:val="en-US"/>
        </w:rPr>
        <w:t xml:space="preserve"> induced disordered structures of </w:t>
      </w:r>
      <w:proofErr w:type="spellStart"/>
      <w:r w:rsidRPr="00C26146">
        <w:rPr>
          <w:lang w:val="en-US"/>
        </w:rPr>
        <w:t>vincamine</w:t>
      </w:r>
      <w:proofErr w:type="spellEnd"/>
      <w:r w:rsidRPr="00C26146">
        <w:rPr>
          <w:lang w:val="en-US"/>
        </w:rPr>
        <w:t>: the different mediation of two cross-linked polymers.</w:t>
      </w:r>
      <w:proofErr w:type="gramEnd"/>
      <w:r w:rsidRPr="00C26146">
        <w:rPr>
          <w:lang w:val="en-US"/>
        </w:rPr>
        <w:t xml:space="preserve"> Int. J. Pharm. 436, 41-57</w:t>
      </w:r>
      <w:r w:rsidR="00604E8D" w:rsidRPr="00C26146">
        <w:rPr>
          <w:lang w:val="en-US"/>
        </w:rPr>
        <w:t>.</w:t>
      </w:r>
    </w:p>
    <w:p w:rsidR="008C3C38" w:rsidRPr="00C26146" w:rsidRDefault="008C3C38" w:rsidP="009458FD">
      <w:pPr>
        <w:autoSpaceDE w:val="0"/>
        <w:autoSpaceDN w:val="0"/>
        <w:adjustRightInd w:val="0"/>
        <w:spacing w:line="480" w:lineRule="auto"/>
        <w:ind w:left="426" w:hanging="426"/>
        <w:rPr>
          <w:bCs/>
        </w:rPr>
      </w:pPr>
      <w:r w:rsidRPr="00C26146">
        <w:rPr>
          <w:bCs/>
          <w:lang w:val="it-IT"/>
        </w:rPr>
        <w:t xml:space="preserve">Hasa, D., Voinovich, D., Perissutti, B., Bonifacio, A., Grassi, M., Franceschinis, E., Dall’Acqua, S., Speh, M., Plavec, J., Invernizzi, S., 2011. </w:t>
      </w:r>
      <w:proofErr w:type="gramStart"/>
      <w:r w:rsidRPr="00C26146">
        <w:rPr>
          <w:bCs/>
        </w:rPr>
        <w:t xml:space="preserve">Multidisciplinary approach on characterizing a </w:t>
      </w:r>
      <w:proofErr w:type="spellStart"/>
      <w:r w:rsidRPr="00C26146">
        <w:rPr>
          <w:bCs/>
        </w:rPr>
        <w:t>mechanochemically</w:t>
      </w:r>
      <w:proofErr w:type="spellEnd"/>
      <w:r w:rsidRPr="00C26146">
        <w:rPr>
          <w:bCs/>
        </w:rPr>
        <w:t xml:space="preserve"> activated composite of </w:t>
      </w:r>
      <w:proofErr w:type="spellStart"/>
      <w:r w:rsidRPr="00C26146">
        <w:rPr>
          <w:bCs/>
        </w:rPr>
        <w:t>vinpocetine</w:t>
      </w:r>
      <w:proofErr w:type="spellEnd"/>
      <w:r w:rsidRPr="00C26146">
        <w:rPr>
          <w:bCs/>
        </w:rPr>
        <w:t xml:space="preserve"> and </w:t>
      </w:r>
      <w:proofErr w:type="spellStart"/>
      <w:r w:rsidRPr="00C26146">
        <w:rPr>
          <w:bCs/>
        </w:rPr>
        <w:t>crospovidone</w:t>
      </w:r>
      <w:proofErr w:type="spellEnd"/>
      <w:r w:rsidRPr="00C26146">
        <w:rPr>
          <w:bCs/>
        </w:rPr>
        <w:t>.</w:t>
      </w:r>
      <w:proofErr w:type="gramEnd"/>
      <w:r w:rsidRPr="00C26146">
        <w:rPr>
          <w:bCs/>
        </w:rPr>
        <w:t xml:space="preserve"> J. Pharm. Sci. 100, 915-932.</w:t>
      </w:r>
    </w:p>
    <w:p w:rsidR="009458FD" w:rsidRPr="00C26146" w:rsidRDefault="009458FD" w:rsidP="009458FD">
      <w:pPr>
        <w:autoSpaceDE w:val="0"/>
        <w:autoSpaceDN w:val="0"/>
        <w:adjustRightInd w:val="0"/>
        <w:spacing w:line="480" w:lineRule="auto"/>
        <w:ind w:left="426" w:hanging="426"/>
        <w:rPr>
          <w:lang w:val="en-US"/>
        </w:rPr>
      </w:pPr>
      <w:r w:rsidRPr="00C26146">
        <w:rPr>
          <w:lang w:val="it-IT"/>
        </w:rPr>
        <w:t>Hasa, D., Perissutti, B., Dall’Acqua, S., Chierotti, M.R., Gobetto, R., Grabnar, I., Cepek, C., Voinovich, V.</w:t>
      </w:r>
      <w:r w:rsidR="0009198C" w:rsidRPr="00C26146">
        <w:rPr>
          <w:lang w:val="it-IT"/>
        </w:rPr>
        <w:t>,</w:t>
      </w:r>
      <w:r w:rsidRPr="00C26146">
        <w:rPr>
          <w:lang w:val="it-IT"/>
        </w:rPr>
        <w:t xml:space="preserve"> 2012b. </w:t>
      </w:r>
      <w:proofErr w:type="gramStart"/>
      <w:r w:rsidRPr="00C26146">
        <w:rPr>
          <w:lang w:val="en-US"/>
        </w:rPr>
        <w:t xml:space="preserve">Rationale of using </w:t>
      </w:r>
      <w:proofErr w:type="spellStart"/>
      <w:r w:rsidRPr="00C26146">
        <w:rPr>
          <w:lang w:val="en-US"/>
        </w:rPr>
        <w:t>Vinca</w:t>
      </w:r>
      <w:proofErr w:type="spellEnd"/>
      <w:r w:rsidRPr="00C26146">
        <w:rPr>
          <w:lang w:val="en-US"/>
        </w:rPr>
        <w:t xml:space="preserve"> minor </w:t>
      </w:r>
      <w:proofErr w:type="spellStart"/>
      <w:r w:rsidRPr="00C26146">
        <w:rPr>
          <w:lang w:val="en-US"/>
        </w:rPr>
        <w:t>Linne</w:t>
      </w:r>
      <w:proofErr w:type="spellEnd"/>
      <w:r w:rsidRPr="00C26146">
        <w:rPr>
          <w:lang w:val="en-US"/>
        </w:rPr>
        <w:t xml:space="preserve"> dry extract </w:t>
      </w:r>
      <w:proofErr w:type="spellStart"/>
      <w:r w:rsidRPr="00C26146">
        <w:rPr>
          <w:lang w:val="en-US"/>
        </w:rPr>
        <w:t>phytocomplex</w:t>
      </w:r>
      <w:proofErr w:type="spellEnd"/>
      <w:r w:rsidRPr="00C26146">
        <w:rPr>
          <w:lang w:val="en-US"/>
        </w:rPr>
        <w:t xml:space="preserve"> as a </w:t>
      </w:r>
      <w:proofErr w:type="spellStart"/>
      <w:r w:rsidRPr="00C26146">
        <w:rPr>
          <w:lang w:val="en-US"/>
        </w:rPr>
        <w:t>vincamine’s</w:t>
      </w:r>
      <w:proofErr w:type="spellEnd"/>
      <w:r w:rsidRPr="00C26146">
        <w:rPr>
          <w:lang w:val="en-US"/>
        </w:rPr>
        <w:t xml:space="preserve"> oral bioavailability enhancer, Eur. J. Pharm. </w:t>
      </w:r>
      <w:proofErr w:type="spellStart"/>
      <w:r w:rsidRPr="00C26146">
        <w:rPr>
          <w:lang w:val="en-US"/>
        </w:rPr>
        <w:t>Biopharm</w:t>
      </w:r>
      <w:proofErr w:type="spellEnd"/>
      <w:r w:rsidRPr="00C26146">
        <w:rPr>
          <w:lang w:val="en-US"/>
        </w:rPr>
        <w:t>.</w:t>
      </w:r>
      <w:proofErr w:type="gramEnd"/>
      <w:r w:rsidRPr="00C26146">
        <w:rPr>
          <w:lang w:val="en-US"/>
        </w:rPr>
        <w:t xml:space="preserve"> http://dx.doi.org/10.1016/j.ejpb.2012.11.025</w:t>
      </w:r>
    </w:p>
    <w:p w:rsidR="008C3C38" w:rsidRPr="00C26146" w:rsidRDefault="008C3C38" w:rsidP="009458FD">
      <w:pPr>
        <w:spacing w:line="480" w:lineRule="auto"/>
        <w:ind w:left="426" w:hanging="426"/>
      </w:pPr>
      <w:proofErr w:type="gramStart"/>
      <w:r w:rsidRPr="00C26146">
        <w:lastRenderedPageBreak/>
        <w:t xml:space="preserve">Hsia, </w:t>
      </w:r>
      <w:smartTag w:uri="urn:schemas-microsoft-com:office:smarttags" w:element="State">
        <w:r w:rsidRPr="00C26146">
          <w:t>D.C.</w:t>
        </w:r>
      </w:smartTag>
      <w:r w:rsidRPr="00C26146">
        <w:t xml:space="preserve">, Kim, C.K., </w:t>
      </w:r>
      <w:proofErr w:type="spellStart"/>
      <w:r w:rsidRPr="00C26146">
        <w:t>Kildsig</w:t>
      </w:r>
      <w:proofErr w:type="spellEnd"/>
      <w:r w:rsidRPr="00C26146">
        <w:t>, D.O., 1977.</w:t>
      </w:r>
      <w:proofErr w:type="gramEnd"/>
      <w:r w:rsidRPr="00C26146">
        <w:t xml:space="preserve"> Determination of </w:t>
      </w:r>
      <w:r w:rsidR="00DC6DED" w:rsidRPr="00C26146">
        <w:t>e</w:t>
      </w:r>
      <w:r w:rsidRPr="00C26146">
        <w:t>nergy change associated with dissolution of a solid. J. Pharm. Sci. 66, 961-965.</w:t>
      </w:r>
    </w:p>
    <w:p w:rsidR="0009198C" w:rsidRPr="00C26146" w:rsidRDefault="0009198C" w:rsidP="009458FD">
      <w:pPr>
        <w:spacing w:line="480" w:lineRule="auto"/>
        <w:ind w:left="426" w:hanging="426"/>
      </w:pPr>
      <w:proofErr w:type="gramStart"/>
      <w:r w:rsidRPr="00C26146">
        <w:rPr>
          <w:lang w:val="en-US"/>
        </w:rPr>
        <w:t xml:space="preserve">Huey, R., Morris, G.M., Olson, A.J., </w:t>
      </w:r>
      <w:proofErr w:type="spellStart"/>
      <w:r w:rsidRPr="00C26146">
        <w:rPr>
          <w:lang w:val="en-US"/>
        </w:rPr>
        <w:t>Godsell</w:t>
      </w:r>
      <w:proofErr w:type="spellEnd"/>
      <w:r w:rsidRPr="00C26146">
        <w:rPr>
          <w:lang w:val="en-US"/>
        </w:rPr>
        <w:t>, D.S., 2007.</w:t>
      </w:r>
      <w:proofErr w:type="gramEnd"/>
      <w:r w:rsidRPr="00C26146">
        <w:rPr>
          <w:lang w:val="en-US"/>
        </w:rPr>
        <w:t xml:space="preserve"> </w:t>
      </w:r>
      <w:proofErr w:type="gramStart"/>
      <w:r w:rsidRPr="00C26146">
        <w:rPr>
          <w:rFonts w:eastAsia="Calibri"/>
          <w:bCs/>
          <w:lang w:val="en-US"/>
        </w:rPr>
        <w:t xml:space="preserve">A </w:t>
      </w:r>
      <w:proofErr w:type="spellStart"/>
      <w:r w:rsidRPr="00C26146">
        <w:rPr>
          <w:rFonts w:eastAsia="Calibri"/>
          <w:bCs/>
          <w:lang w:val="en-US"/>
        </w:rPr>
        <w:t>semiempirical</w:t>
      </w:r>
      <w:proofErr w:type="spellEnd"/>
      <w:r w:rsidRPr="00C26146">
        <w:rPr>
          <w:rFonts w:eastAsia="Calibri"/>
          <w:bCs/>
          <w:lang w:val="en-US"/>
        </w:rPr>
        <w:t xml:space="preserve"> free energy force field with charge-based </w:t>
      </w:r>
      <w:proofErr w:type="spellStart"/>
      <w:r w:rsidRPr="00C26146">
        <w:rPr>
          <w:rFonts w:eastAsia="Calibri"/>
          <w:bCs/>
          <w:lang w:val="en-US"/>
        </w:rPr>
        <w:t>desolvatio</w:t>
      </w:r>
      <w:r w:rsidRPr="00C26146">
        <w:rPr>
          <w:bCs/>
          <w:lang w:val="en-US"/>
        </w:rPr>
        <w:t>n</w:t>
      </w:r>
      <w:proofErr w:type="spellEnd"/>
      <w:r w:rsidRPr="00C26146">
        <w:rPr>
          <w:bCs/>
          <w:lang w:val="en-US"/>
        </w:rPr>
        <w:t>.</w:t>
      </w:r>
      <w:proofErr w:type="gramEnd"/>
      <w:r w:rsidRPr="00C26146">
        <w:rPr>
          <w:bCs/>
          <w:lang w:val="en-US"/>
        </w:rPr>
        <w:t xml:space="preserve"> </w:t>
      </w:r>
      <w:r w:rsidRPr="00C26146">
        <w:rPr>
          <w:lang w:val="en-US"/>
        </w:rPr>
        <w:t xml:space="preserve">J. </w:t>
      </w:r>
      <w:proofErr w:type="spellStart"/>
      <w:r w:rsidRPr="00C26146">
        <w:rPr>
          <w:lang w:val="en-US"/>
        </w:rPr>
        <w:t>Comput</w:t>
      </w:r>
      <w:proofErr w:type="spellEnd"/>
      <w:r w:rsidRPr="00C26146">
        <w:rPr>
          <w:lang w:val="en-US"/>
        </w:rPr>
        <w:t>. Chem. 28, 1145-1152.</w:t>
      </w:r>
    </w:p>
    <w:p w:rsidR="001452E9" w:rsidRPr="00C26146" w:rsidRDefault="001452E9" w:rsidP="009458FD">
      <w:pPr>
        <w:autoSpaceDE w:val="0"/>
        <w:autoSpaceDN w:val="0"/>
        <w:adjustRightInd w:val="0"/>
        <w:spacing w:line="480" w:lineRule="auto"/>
        <w:ind w:left="426" w:hanging="426"/>
      </w:pPr>
      <w:r w:rsidRPr="00C26146">
        <w:rPr>
          <w:lang w:val="en-US"/>
        </w:rPr>
        <w:t xml:space="preserve">James, S.L., Adams, C.J., </w:t>
      </w:r>
      <w:proofErr w:type="spellStart"/>
      <w:r w:rsidRPr="00C26146">
        <w:rPr>
          <w:lang w:val="en-US"/>
        </w:rPr>
        <w:t>Bolm</w:t>
      </w:r>
      <w:proofErr w:type="spellEnd"/>
      <w:r w:rsidRPr="00C26146">
        <w:rPr>
          <w:lang w:val="en-US"/>
        </w:rPr>
        <w:t xml:space="preserve">, C., Braga, D., Collier, P., </w:t>
      </w:r>
      <w:proofErr w:type="spellStart"/>
      <w:r w:rsidRPr="00C26146">
        <w:rPr>
          <w:lang w:val="en-US"/>
        </w:rPr>
        <w:t>Friscic</w:t>
      </w:r>
      <w:proofErr w:type="spellEnd"/>
      <w:r w:rsidRPr="00C26146">
        <w:rPr>
          <w:lang w:val="en-US"/>
        </w:rPr>
        <w:t xml:space="preserve">, T., </w:t>
      </w:r>
      <w:proofErr w:type="spellStart"/>
      <w:r w:rsidRPr="00C26146">
        <w:rPr>
          <w:lang w:val="en-US"/>
        </w:rPr>
        <w:t>Grepioni</w:t>
      </w:r>
      <w:proofErr w:type="spellEnd"/>
      <w:r w:rsidRPr="00C26146">
        <w:rPr>
          <w:lang w:val="en-US"/>
        </w:rPr>
        <w:t xml:space="preserve">, F., Harris, K.D.M., </w:t>
      </w:r>
      <w:proofErr w:type="spellStart"/>
      <w:r w:rsidRPr="00C26146">
        <w:rPr>
          <w:lang w:val="en-US"/>
        </w:rPr>
        <w:t>Hyett</w:t>
      </w:r>
      <w:proofErr w:type="spellEnd"/>
      <w:r w:rsidRPr="00C26146">
        <w:rPr>
          <w:lang w:val="en-US"/>
        </w:rPr>
        <w:t xml:space="preserve">, G., </w:t>
      </w:r>
      <w:hyperlink r:id="rId15" w:history="1">
        <w:r w:rsidRPr="00C26146">
          <w:rPr>
            <w:lang w:val="en-US"/>
          </w:rPr>
          <w:t>Jones</w:t>
        </w:r>
      </w:hyperlink>
      <w:r w:rsidRPr="00C26146">
        <w:rPr>
          <w:lang w:val="en-US"/>
        </w:rPr>
        <w:t xml:space="preserve">, W., Krebs, A., Mack, J., Maini, L., </w:t>
      </w:r>
      <w:proofErr w:type="spellStart"/>
      <w:r w:rsidRPr="00C26146">
        <w:rPr>
          <w:lang w:val="en-US"/>
        </w:rPr>
        <w:t>Orpen</w:t>
      </w:r>
      <w:proofErr w:type="spellEnd"/>
      <w:r w:rsidRPr="00C26146">
        <w:rPr>
          <w:lang w:val="en-US"/>
        </w:rPr>
        <w:t xml:space="preserve">, A.G., </w:t>
      </w:r>
      <w:proofErr w:type="spellStart"/>
      <w:r w:rsidRPr="00C26146">
        <w:rPr>
          <w:lang w:val="en-US"/>
        </w:rPr>
        <w:t>Parkin</w:t>
      </w:r>
      <w:proofErr w:type="spellEnd"/>
      <w:r w:rsidRPr="00C26146">
        <w:rPr>
          <w:lang w:val="en-US"/>
        </w:rPr>
        <w:t xml:space="preserve">, I.P., </w:t>
      </w:r>
      <w:proofErr w:type="spellStart"/>
      <w:r w:rsidRPr="00C26146">
        <w:rPr>
          <w:lang w:val="en-US"/>
        </w:rPr>
        <w:t>Shearouse</w:t>
      </w:r>
      <w:proofErr w:type="spellEnd"/>
      <w:r w:rsidRPr="00C26146">
        <w:rPr>
          <w:lang w:val="en-US"/>
        </w:rPr>
        <w:t xml:space="preserve">, W.C., Steed, J.W., Waddell, D.C., 2012. </w:t>
      </w:r>
      <w:proofErr w:type="spellStart"/>
      <w:r w:rsidRPr="00C26146">
        <w:rPr>
          <w:lang w:val="en-US"/>
        </w:rPr>
        <w:t>Mechanochemistry</w:t>
      </w:r>
      <w:proofErr w:type="spellEnd"/>
      <w:r w:rsidRPr="00C26146">
        <w:rPr>
          <w:lang w:val="en-US"/>
        </w:rPr>
        <w:t>: opportunities for new and cleaner synthesis. Chem. Soc. Rev</w:t>
      </w:r>
      <w:r w:rsidRPr="00C26146">
        <w:rPr>
          <w:i/>
          <w:lang w:val="en-US"/>
        </w:rPr>
        <w:t>.</w:t>
      </w:r>
      <w:r w:rsidRPr="00C26146">
        <w:rPr>
          <w:lang w:val="en-US"/>
        </w:rPr>
        <w:t xml:space="preserve"> 41, 413-447.</w:t>
      </w:r>
    </w:p>
    <w:p w:rsidR="008C3C38" w:rsidRPr="00C26146" w:rsidRDefault="008C3C38" w:rsidP="009458FD">
      <w:pPr>
        <w:autoSpaceDE w:val="0"/>
        <w:autoSpaceDN w:val="0"/>
        <w:adjustRightInd w:val="0"/>
        <w:spacing w:line="480" w:lineRule="auto"/>
        <w:ind w:left="426" w:hanging="426"/>
      </w:pPr>
      <w:r w:rsidRPr="00C26146">
        <w:rPr>
          <w:lang w:val="it-IT"/>
        </w:rPr>
        <w:t xml:space="preserve">Karpati, E., Biro, K., Kukorelli, T., 2002. </w:t>
      </w:r>
      <w:proofErr w:type="gramStart"/>
      <w:r w:rsidRPr="00C26146">
        <w:t>Investigation of vasoactive agents with indole skeletons at Richter Ltd. Act.</w:t>
      </w:r>
      <w:proofErr w:type="gramEnd"/>
      <w:r w:rsidRPr="00C26146">
        <w:t xml:space="preserve"> Pharm. Hung. 72</w:t>
      </w:r>
      <w:proofErr w:type="gramStart"/>
      <w:r w:rsidRPr="00C26146">
        <w:t>,  25</w:t>
      </w:r>
      <w:proofErr w:type="gramEnd"/>
      <w:r w:rsidRPr="00C26146">
        <w:t>-36.</w:t>
      </w:r>
    </w:p>
    <w:p w:rsidR="00F21212" w:rsidRPr="00C26146" w:rsidRDefault="00F21212" w:rsidP="009458FD">
      <w:pPr>
        <w:autoSpaceDE w:val="0"/>
        <w:autoSpaceDN w:val="0"/>
        <w:adjustRightInd w:val="0"/>
        <w:spacing w:line="480" w:lineRule="auto"/>
        <w:ind w:left="426" w:hanging="426"/>
        <w:rPr>
          <w:bCs/>
        </w:rPr>
      </w:pPr>
      <w:r w:rsidRPr="00C26146">
        <w:rPr>
          <w:bCs/>
          <w:lang w:val="it-IT"/>
        </w:rPr>
        <w:t>Lipinski, C.A., Lombardo, F., Dominy, B.W., Feeney, P.J.</w:t>
      </w:r>
      <w:r w:rsidR="001452E9" w:rsidRPr="00C26146">
        <w:rPr>
          <w:bCs/>
          <w:lang w:val="it-IT"/>
        </w:rPr>
        <w:t>,</w:t>
      </w:r>
      <w:r w:rsidRPr="00C26146">
        <w:rPr>
          <w:bCs/>
          <w:lang w:val="it-IT"/>
        </w:rPr>
        <w:t xml:space="preserve"> </w:t>
      </w:r>
      <w:r w:rsidR="001452E9" w:rsidRPr="00C26146">
        <w:rPr>
          <w:bCs/>
          <w:lang w:val="it-IT"/>
        </w:rPr>
        <w:t xml:space="preserve">1997. </w:t>
      </w:r>
      <w:proofErr w:type="gramStart"/>
      <w:r w:rsidRPr="00C26146">
        <w:rPr>
          <w:bCs/>
        </w:rPr>
        <w:t xml:space="preserve">Experimental </w:t>
      </w:r>
      <w:r w:rsidR="00763A5F" w:rsidRPr="00C26146">
        <w:rPr>
          <w:bCs/>
        </w:rPr>
        <w:t>and computational approaches to estimate solubility and permeability in drug discovery and development settings.</w:t>
      </w:r>
      <w:proofErr w:type="gramEnd"/>
      <w:r w:rsidR="00763A5F" w:rsidRPr="00C26146">
        <w:rPr>
          <w:bCs/>
        </w:rPr>
        <w:t xml:space="preserve"> Adv. Drug Del. Rev. 1, 179-189.</w:t>
      </w:r>
    </w:p>
    <w:p w:rsidR="00FF78C3" w:rsidRPr="00C26146" w:rsidRDefault="00FF78C3" w:rsidP="009458FD">
      <w:pPr>
        <w:autoSpaceDE w:val="0"/>
        <w:autoSpaceDN w:val="0"/>
        <w:adjustRightInd w:val="0"/>
        <w:spacing w:line="480" w:lineRule="auto"/>
        <w:ind w:left="426" w:hanging="426"/>
      </w:pPr>
      <w:proofErr w:type="gramStart"/>
      <w:r w:rsidRPr="00C26146">
        <w:t>Long, J.R., Sun, B.Q., Bowen, A., Griffin, R.G., 1994.</w:t>
      </w:r>
      <w:proofErr w:type="gramEnd"/>
      <w:r w:rsidRPr="00C26146">
        <w:t xml:space="preserve"> Molecular Dynamics and Magic Angle Spinning NMR. J. Am. Chem. Soc. 116, 11950-11956.</w:t>
      </w:r>
    </w:p>
    <w:p w:rsidR="008C3C38" w:rsidRPr="00C26146" w:rsidRDefault="008C3C38" w:rsidP="009458FD">
      <w:pPr>
        <w:autoSpaceDE w:val="0"/>
        <w:autoSpaceDN w:val="0"/>
        <w:adjustRightInd w:val="0"/>
        <w:spacing w:line="480" w:lineRule="auto"/>
        <w:ind w:left="426" w:hanging="426"/>
      </w:pPr>
      <w:r w:rsidRPr="00C26146">
        <w:rPr>
          <w:lang w:val="it-IT"/>
        </w:rPr>
        <w:t xml:space="preserve">Maincent, P., Le Verge, R., Sado, P., Couvreur, P.,  Devissaguet, J.P., 1986. </w:t>
      </w:r>
      <w:r w:rsidRPr="00C26146">
        <w:t xml:space="preserve">Disposition Kinetics and oral bioavailability of </w:t>
      </w:r>
      <w:proofErr w:type="spellStart"/>
      <w:r w:rsidRPr="00C26146">
        <w:t>Vincamine</w:t>
      </w:r>
      <w:proofErr w:type="spellEnd"/>
      <w:r w:rsidRPr="00C26146">
        <w:t xml:space="preserve"> loaded </w:t>
      </w:r>
      <w:proofErr w:type="spellStart"/>
      <w:r w:rsidRPr="00C26146">
        <w:t>polyalkyl</w:t>
      </w:r>
      <w:proofErr w:type="spellEnd"/>
      <w:r w:rsidRPr="00C26146">
        <w:t xml:space="preserve"> </w:t>
      </w:r>
      <w:proofErr w:type="spellStart"/>
      <w:r w:rsidRPr="00C26146">
        <w:t>cyanoacrilate</w:t>
      </w:r>
      <w:proofErr w:type="spellEnd"/>
      <w:r w:rsidRPr="00C26146">
        <w:t xml:space="preserve"> nanoparticles. J. Pharm. Sci. 75, 955-958.</w:t>
      </w:r>
    </w:p>
    <w:p w:rsidR="008C3C38" w:rsidRPr="00C26146" w:rsidRDefault="008C3C38" w:rsidP="009458FD">
      <w:pPr>
        <w:autoSpaceDE w:val="0"/>
        <w:autoSpaceDN w:val="0"/>
        <w:adjustRightInd w:val="0"/>
        <w:spacing w:line="480" w:lineRule="auto"/>
        <w:ind w:left="426" w:hanging="426"/>
        <w:rPr>
          <w:rStyle w:val="Strong"/>
        </w:rPr>
      </w:pPr>
      <w:r w:rsidRPr="00C26146">
        <w:t xml:space="preserve">Mazak, K., </w:t>
      </w:r>
      <w:proofErr w:type="spellStart"/>
      <w:r w:rsidRPr="00C26146">
        <w:t>Vamos</w:t>
      </w:r>
      <w:proofErr w:type="spellEnd"/>
      <w:r w:rsidRPr="00C26146">
        <w:t xml:space="preserve">, J., </w:t>
      </w:r>
      <w:proofErr w:type="spellStart"/>
      <w:r w:rsidRPr="00C26146">
        <w:t>Nemes</w:t>
      </w:r>
      <w:proofErr w:type="spellEnd"/>
      <w:r w:rsidRPr="00C26146">
        <w:t xml:space="preserve">, A., </w:t>
      </w:r>
      <w:proofErr w:type="spellStart"/>
      <w:r w:rsidRPr="00C26146">
        <w:t>Racz</w:t>
      </w:r>
      <w:proofErr w:type="spellEnd"/>
      <w:r w:rsidRPr="00C26146">
        <w:t xml:space="preserve">, A., </w:t>
      </w:r>
      <w:proofErr w:type="spellStart"/>
      <w:r w:rsidRPr="00C26146">
        <w:t>Noszal</w:t>
      </w:r>
      <w:proofErr w:type="spellEnd"/>
      <w:r w:rsidRPr="00C26146">
        <w:t xml:space="preserve">, B., 2003. </w:t>
      </w:r>
      <w:proofErr w:type="gramStart"/>
      <w:r w:rsidRPr="00C26146">
        <w:t xml:space="preserve">Lipophilicity of </w:t>
      </w:r>
      <w:proofErr w:type="spellStart"/>
      <w:r w:rsidRPr="00C26146">
        <w:t>vinpocetine</w:t>
      </w:r>
      <w:proofErr w:type="spellEnd"/>
      <w:r w:rsidRPr="00C26146">
        <w:t xml:space="preserve"> and related compounds characterised by reverse-phase thin-layer chromatography.</w:t>
      </w:r>
      <w:proofErr w:type="gramEnd"/>
      <w:r w:rsidRPr="00C26146">
        <w:t xml:space="preserve"> J. </w:t>
      </w:r>
      <w:proofErr w:type="spellStart"/>
      <w:r w:rsidRPr="00C26146">
        <w:t>Chromat</w:t>
      </w:r>
      <w:proofErr w:type="spellEnd"/>
      <w:r w:rsidRPr="00C26146">
        <w:t>. A 996, 195-203</w:t>
      </w:r>
      <w:r w:rsidRPr="00C26146">
        <w:rPr>
          <w:rStyle w:val="Strong"/>
        </w:rPr>
        <w:t>.</w:t>
      </w:r>
    </w:p>
    <w:p w:rsidR="0009198C" w:rsidRPr="00C26146" w:rsidRDefault="0009198C" w:rsidP="009458FD">
      <w:pPr>
        <w:autoSpaceDE w:val="0"/>
        <w:autoSpaceDN w:val="0"/>
        <w:adjustRightInd w:val="0"/>
        <w:spacing w:line="480" w:lineRule="auto"/>
        <w:ind w:left="426" w:hanging="426"/>
        <w:rPr>
          <w:rStyle w:val="Strong"/>
        </w:rPr>
      </w:pPr>
      <w:r w:rsidRPr="00C26146">
        <w:rPr>
          <w:lang w:val="en-US"/>
        </w:rPr>
        <w:t xml:space="preserve">Morris, G.M., </w:t>
      </w:r>
      <w:proofErr w:type="spellStart"/>
      <w:r w:rsidRPr="00C26146">
        <w:rPr>
          <w:lang w:val="en-US"/>
        </w:rPr>
        <w:t>Godsell</w:t>
      </w:r>
      <w:proofErr w:type="spellEnd"/>
      <w:r w:rsidRPr="00C26146">
        <w:rPr>
          <w:lang w:val="en-US"/>
        </w:rPr>
        <w:t xml:space="preserve">, D.S., Halliday, R.S., Huey, R., Hart, W.E., </w:t>
      </w:r>
      <w:proofErr w:type="spellStart"/>
      <w:r w:rsidRPr="00C26146">
        <w:rPr>
          <w:lang w:val="en-US"/>
        </w:rPr>
        <w:t>Belew</w:t>
      </w:r>
      <w:proofErr w:type="spellEnd"/>
      <w:r w:rsidRPr="00C26146">
        <w:rPr>
          <w:lang w:val="en-US"/>
        </w:rPr>
        <w:t xml:space="preserve">, R.K., Olson, A.J., 1998.  </w:t>
      </w:r>
      <w:proofErr w:type="gramStart"/>
      <w:r w:rsidRPr="00C26146">
        <w:rPr>
          <w:rFonts w:eastAsia="Calibri"/>
          <w:bCs/>
          <w:lang w:val="en-US"/>
        </w:rPr>
        <w:t>Automated docking using a Lamarckian genetic algorithm and an empirical binding free energy function</w:t>
      </w:r>
      <w:r w:rsidRPr="00C26146">
        <w:rPr>
          <w:bCs/>
          <w:lang w:val="en-US"/>
        </w:rPr>
        <w:t>.</w:t>
      </w:r>
      <w:proofErr w:type="gramEnd"/>
      <w:r w:rsidRPr="00C26146">
        <w:rPr>
          <w:bCs/>
          <w:lang w:val="en-US"/>
        </w:rPr>
        <w:t xml:space="preserve"> </w:t>
      </w:r>
      <w:r w:rsidRPr="00C26146">
        <w:rPr>
          <w:lang w:val="en-US"/>
        </w:rPr>
        <w:t xml:space="preserve">J. </w:t>
      </w:r>
      <w:proofErr w:type="spellStart"/>
      <w:r w:rsidRPr="00C26146">
        <w:rPr>
          <w:lang w:val="en-US"/>
        </w:rPr>
        <w:t>Comput</w:t>
      </w:r>
      <w:proofErr w:type="spellEnd"/>
      <w:r w:rsidRPr="00C26146">
        <w:rPr>
          <w:lang w:val="en-US"/>
        </w:rPr>
        <w:t>. Chem. 19, 1639-1662.</w:t>
      </w:r>
    </w:p>
    <w:p w:rsidR="0009198C" w:rsidRPr="00C26146" w:rsidRDefault="0009198C" w:rsidP="0009198C">
      <w:pPr>
        <w:autoSpaceDE w:val="0"/>
        <w:autoSpaceDN w:val="0"/>
        <w:adjustRightInd w:val="0"/>
        <w:spacing w:line="480" w:lineRule="auto"/>
        <w:ind w:left="426" w:hanging="426"/>
        <w:rPr>
          <w:rStyle w:val="Strong"/>
          <w:b w:val="0"/>
          <w:lang w:val="en-US"/>
        </w:rPr>
      </w:pPr>
      <w:r w:rsidRPr="00C26146">
        <w:rPr>
          <w:lang w:val="en-US"/>
        </w:rPr>
        <w:lastRenderedPageBreak/>
        <w:t xml:space="preserve">Morris, G. M., Huey, R., Lindstrom, W., </w:t>
      </w:r>
      <w:proofErr w:type="spellStart"/>
      <w:r w:rsidRPr="00C26146">
        <w:rPr>
          <w:lang w:val="en-US"/>
        </w:rPr>
        <w:t>Sanner</w:t>
      </w:r>
      <w:proofErr w:type="spellEnd"/>
      <w:r w:rsidRPr="00C26146">
        <w:rPr>
          <w:lang w:val="en-US"/>
        </w:rPr>
        <w:t xml:space="preserve">, M. F., </w:t>
      </w:r>
      <w:proofErr w:type="spellStart"/>
      <w:r w:rsidRPr="00C26146">
        <w:rPr>
          <w:lang w:val="en-US"/>
        </w:rPr>
        <w:t>Belew</w:t>
      </w:r>
      <w:proofErr w:type="spellEnd"/>
      <w:r w:rsidRPr="00C26146">
        <w:rPr>
          <w:lang w:val="en-US"/>
        </w:rPr>
        <w:t xml:space="preserve">, R. K., </w:t>
      </w:r>
      <w:proofErr w:type="spellStart"/>
      <w:r w:rsidRPr="00C26146">
        <w:rPr>
          <w:lang w:val="en-US"/>
        </w:rPr>
        <w:t>Godsell</w:t>
      </w:r>
      <w:proofErr w:type="spellEnd"/>
      <w:r w:rsidRPr="00C26146">
        <w:rPr>
          <w:lang w:val="en-US"/>
        </w:rPr>
        <w:t xml:space="preserve">, D. S., Olson, A. J., 2009. </w:t>
      </w:r>
      <w:r w:rsidRPr="00C26146">
        <w:rPr>
          <w:rFonts w:eastAsia="Calibri"/>
          <w:bCs/>
          <w:lang w:val="en-US"/>
        </w:rPr>
        <w:t>AutoDock4 and AutoDockTools4: Automated docking with selective receptor flexibility</w:t>
      </w:r>
      <w:r w:rsidRPr="00C26146">
        <w:rPr>
          <w:bCs/>
          <w:lang w:val="en-US"/>
        </w:rPr>
        <w:t xml:space="preserve">. J. </w:t>
      </w:r>
      <w:proofErr w:type="spellStart"/>
      <w:r w:rsidRPr="00C26146">
        <w:rPr>
          <w:bCs/>
          <w:lang w:val="en-US"/>
        </w:rPr>
        <w:t>Comput</w:t>
      </w:r>
      <w:proofErr w:type="spellEnd"/>
      <w:r w:rsidRPr="00C26146">
        <w:rPr>
          <w:bCs/>
          <w:lang w:val="en-US"/>
        </w:rPr>
        <w:t xml:space="preserve">. </w:t>
      </w:r>
      <w:proofErr w:type="gramStart"/>
      <w:r w:rsidRPr="00C26146">
        <w:rPr>
          <w:bCs/>
          <w:lang w:val="en-US"/>
        </w:rPr>
        <w:t>Chem. 16, 2785-2791.</w:t>
      </w:r>
      <w:proofErr w:type="gramEnd"/>
    </w:p>
    <w:p w:rsidR="007A2B8A" w:rsidRPr="00C26146" w:rsidRDefault="00E36180" w:rsidP="009458FD">
      <w:pPr>
        <w:spacing w:line="480" w:lineRule="auto"/>
        <w:ind w:left="426" w:hanging="426"/>
      </w:pPr>
      <w:proofErr w:type="spellStart"/>
      <w:proofErr w:type="gramStart"/>
      <w:r w:rsidRPr="00C26146">
        <w:t>Nogami</w:t>
      </w:r>
      <w:proofErr w:type="spellEnd"/>
      <w:r w:rsidR="00626910" w:rsidRPr="00C26146">
        <w:t>,</w:t>
      </w:r>
      <w:r w:rsidRPr="00C26146">
        <w:t xml:space="preserve"> H</w:t>
      </w:r>
      <w:r w:rsidR="00626910" w:rsidRPr="00C26146">
        <w:t>.</w:t>
      </w:r>
      <w:r w:rsidRPr="00C26146">
        <w:t>, Nagai</w:t>
      </w:r>
      <w:r w:rsidR="00626910" w:rsidRPr="00C26146">
        <w:t>,</w:t>
      </w:r>
      <w:r w:rsidRPr="00C26146">
        <w:t xml:space="preserve"> T</w:t>
      </w:r>
      <w:r w:rsidR="00626910" w:rsidRPr="00C26146">
        <w:t>.</w:t>
      </w:r>
      <w:r w:rsidRPr="00C26146">
        <w:t xml:space="preserve">, </w:t>
      </w:r>
      <w:proofErr w:type="spellStart"/>
      <w:r w:rsidRPr="00C26146">
        <w:t>Youtsuyanagi</w:t>
      </w:r>
      <w:proofErr w:type="spellEnd"/>
      <w:r w:rsidR="00626910" w:rsidRPr="00C26146">
        <w:t>.</w:t>
      </w:r>
      <w:proofErr w:type="gramEnd"/>
      <w:r w:rsidRPr="00C26146">
        <w:t xml:space="preserve"> </w:t>
      </w:r>
      <w:proofErr w:type="gramStart"/>
      <w:r w:rsidRPr="00C26146">
        <w:t>T.</w:t>
      </w:r>
      <w:r w:rsidR="00626910" w:rsidRPr="00C26146">
        <w:t>,</w:t>
      </w:r>
      <w:r w:rsidRPr="00C26146">
        <w:t xml:space="preserve"> 1969.</w:t>
      </w:r>
      <w:proofErr w:type="gramEnd"/>
      <w:r w:rsidRPr="00C26146">
        <w:t xml:space="preserve"> </w:t>
      </w:r>
      <w:proofErr w:type="gramStart"/>
      <w:r w:rsidRPr="00C26146">
        <w:t xml:space="preserve">Dissolution phenomena of organic </w:t>
      </w:r>
      <w:proofErr w:type="spellStart"/>
      <w:r w:rsidRPr="00C26146">
        <w:t>medicinals</w:t>
      </w:r>
      <w:proofErr w:type="spellEnd"/>
      <w:r w:rsidRPr="00C26146">
        <w:t xml:space="preserve"> involving simultaneous phase changes.</w:t>
      </w:r>
      <w:proofErr w:type="gramEnd"/>
      <w:r w:rsidRPr="00C26146">
        <w:t xml:space="preserve"> Chem</w:t>
      </w:r>
      <w:r w:rsidR="00626910" w:rsidRPr="00C26146">
        <w:t>.</w:t>
      </w:r>
      <w:r w:rsidRPr="00C26146">
        <w:t xml:space="preserve"> Pharm</w:t>
      </w:r>
      <w:r w:rsidR="00626910" w:rsidRPr="00C26146">
        <w:t>.</w:t>
      </w:r>
      <w:r w:rsidRPr="00C26146">
        <w:t xml:space="preserve"> Bull</w:t>
      </w:r>
      <w:r w:rsidR="00626910" w:rsidRPr="00C26146">
        <w:t>.</w:t>
      </w:r>
      <w:r w:rsidRPr="00C26146">
        <w:t xml:space="preserve"> 17</w:t>
      </w:r>
      <w:r w:rsidR="00626910" w:rsidRPr="00C26146">
        <w:t>,</w:t>
      </w:r>
      <w:r w:rsidRPr="00C26146">
        <w:t xml:space="preserve"> 499–509.</w:t>
      </w:r>
    </w:p>
    <w:p w:rsidR="008C3C38" w:rsidRPr="00C26146" w:rsidRDefault="008C3C38" w:rsidP="009458FD">
      <w:pPr>
        <w:spacing w:line="480" w:lineRule="auto"/>
        <w:ind w:left="426" w:hanging="426"/>
      </w:pPr>
      <w:proofErr w:type="spellStart"/>
      <w:r w:rsidRPr="00C26146">
        <w:t>Shakhtshneider</w:t>
      </w:r>
      <w:proofErr w:type="spellEnd"/>
      <w:r w:rsidRPr="00C26146">
        <w:t xml:space="preserve">, T.P., </w:t>
      </w:r>
      <w:proofErr w:type="spellStart"/>
      <w:r w:rsidRPr="00C26146">
        <w:t>Boldyrev</w:t>
      </w:r>
      <w:proofErr w:type="spellEnd"/>
      <w:r w:rsidRPr="00C26146">
        <w:t xml:space="preserve">, V.V., 1999. Mechanochemical synthesis and mechanical activation of drugs, in: </w:t>
      </w:r>
      <w:proofErr w:type="spellStart"/>
      <w:r w:rsidRPr="00C26146">
        <w:t>Boldyreva</w:t>
      </w:r>
      <w:proofErr w:type="spellEnd"/>
      <w:r w:rsidRPr="00C26146">
        <w:t xml:space="preserve">, E., </w:t>
      </w:r>
      <w:proofErr w:type="spellStart"/>
      <w:r w:rsidRPr="00C26146">
        <w:t>Boldyrev</w:t>
      </w:r>
      <w:proofErr w:type="spellEnd"/>
      <w:r w:rsidRPr="00C26146">
        <w:t xml:space="preserve"> V., (Eds.), Reactivity of molecular solids, Wiley, </w:t>
      </w:r>
      <w:smartTag w:uri="urn:schemas-microsoft-com:office:smarttags" w:element="place">
        <w:r w:rsidRPr="00C26146">
          <w:rPr>
            <w:rStyle w:val="ft"/>
          </w:rPr>
          <w:t>Chichester</w:t>
        </w:r>
      </w:smartTag>
      <w:r w:rsidRPr="00C26146">
        <w:rPr>
          <w:rStyle w:val="ft"/>
        </w:rPr>
        <w:t>,</w:t>
      </w:r>
      <w:r w:rsidRPr="00C26146">
        <w:rPr>
          <w:rStyle w:val="ft"/>
          <w:rFonts w:ascii="Arial" w:hAnsi="Arial" w:cs="Arial"/>
        </w:rPr>
        <w:t xml:space="preserve"> </w:t>
      </w:r>
      <w:r w:rsidRPr="00C26146">
        <w:t>pp, 271–311.</w:t>
      </w:r>
    </w:p>
    <w:p w:rsidR="009F4A5E" w:rsidRPr="00C26146" w:rsidRDefault="009F4A5E" w:rsidP="009458FD">
      <w:pPr>
        <w:spacing w:line="480" w:lineRule="auto"/>
        <w:ind w:left="426" w:hanging="426"/>
      </w:pPr>
      <w:r w:rsidRPr="00C26146">
        <w:t xml:space="preserve">Sun, D.D., </w:t>
      </w:r>
      <w:proofErr w:type="spellStart"/>
      <w:r w:rsidRPr="00C26146">
        <w:t>Ju</w:t>
      </w:r>
      <w:proofErr w:type="spellEnd"/>
      <w:r w:rsidRPr="00C26146">
        <w:t>, T.R., Lee, P.I.</w:t>
      </w:r>
      <w:r w:rsidR="0009198C" w:rsidRPr="00C26146">
        <w:t>,</w:t>
      </w:r>
      <w:r w:rsidRPr="00C26146">
        <w:t xml:space="preserve"> 2012. Enhanced kinetic solubility profiles of indomethacin amorphous solid dispersions in </w:t>
      </w:r>
      <w:proofErr w:type="gramStart"/>
      <w:r w:rsidRPr="00C26146">
        <w:t>poly(</w:t>
      </w:r>
      <w:proofErr w:type="gramEnd"/>
      <w:r w:rsidRPr="00C26146">
        <w:t xml:space="preserve">2-hydroxyethyl methacrylate) hydrogels. Eur. J. Pharm. </w:t>
      </w:r>
      <w:proofErr w:type="spellStart"/>
      <w:r w:rsidRPr="00C26146">
        <w:t>Biopharm</w:t>
      </w:r>
      <w:proofErr w:type="spellEnd"/>
      <w:r w:rsidRPr="00C26146">
        <w:t xml:space="preserve">. </w:t>
      </w:r>
      <w:r w:rsidRPr="00C26146">
        <w:rPr>
          <w:lang w:val="en-US"/>
        </w:rPr>
        <w:t>81, 149-158.</w:t>
      </w:r>
    </w:p>
    <w:p w:rsidR="008C3C38" w:rsidRPr="00C26146" w:rsidRDefault="008C3C38" w:rsidP="009458FD">
      <w:pPr>
        <w:spacing w:line="480" w:lineRule="auto"/>
        <w:ind w:left="426" w:hanging="426"/>
      </w:pPr>
      <w:r w:rsidRPr="00C26146">
        <w:t xml:space="preserve">Taylor, </w:t>
      </w:r>
      <w:r w:rsidRPr="00C26146">
        <w:rPr>
          <w:bCs/>
        </w:rPr>
        <w:t xml:space="preserve">J.R., 1997. </w:t>
      </w:r>
      <w:r w:rsidRPr="00C26146">
        <w:t xml:space="preserve">An Introduction to Error Analysis: The Study of Uncertainties in Physical Measurements. </w:t>
      </w:r>
      <w:proofErr w:type="gramStart"/>
      <w:r w:rsidRPr="00C26146">
        <w:t xml:space="preserve">University Science Books, </w:t>
      </w:r>
      <w:smartTag w:uri="urn:schemas-microsoft-com:office:smarttags" w:element="place">
        <w:smartTag w:uri="urn:schemas-microsoft-com:office:smarttags" w:element="City">
          <w:r w:rsidRPr="00C26146">
            <w:t>Sausalito</w:t>
          </w:r>
        </w:smartTag>
        <w:r w:rsidRPr="00C26146">
          <w:t xml:space="preserve">, </w:t>
        </w:r>
        <w:smartTag w:uri="urn:schemas-microsoft-com:office:smarttags" w:element="State">
          <w:r w:rsidRPr="00C26146">
            <w:t>CA</w:t>
          </w:r>
        </w:smartTag>
      </w:smartTag>
      <w:r w:rsidRPr="00C26146">
        <w:t>.</w:t>
      </w:r>
      <w:proofErr w:type="gramEnd"/>
    </w:p>
    <w:p w:rsidR="009F4A5E" w:rsidRPr="00C26146" w:rsidRDefault="009F4A5E" w:rsidP="009458FD">
      <w:pPr>
        <w:spacing w:line="480" w:lineRule="auto"/>
        <w:ind w:left="426" w:hanging="426"/>
      </w:pPr>
      <w:r w:rsidRPr="00C26146">
        <w:rPr>
          <w:lang w:val="en-US"/>
        </w:rPr>
        <w:t xml:space="preserve">Van </w:t>
      </w:r>
      <w:proofErr w:type="spellStart"/>
      <w:r w:rsidRPr="00C26146">
        <w:rPr>
          <w:lang w:val="en-US"/>
        </w:rPr>
        <w:t>Eerdenbrugh</w:t>
      </w:r>
      <w:proofErr w:type="spellEnd"/>
      <w:r w:rsidRPr="00C26146">
        <w:rPr>
          <w:lang w:val="en-US"/>
        </w:rPr>
        <w:t xml:space="preserve">, B., Alonzo, D.E., </w:t>
      </w:r>
      <w:smartTag w:uri="urn:schemas-microsoft-com:office:smarttags" w:element="City">
        <w:smartTag w:uri="urn:schemas-microsoft-com:office:smarttags" w:element="place">
          <w:r w:rsidRPr="00C26146">
            <w:rPr>
              <w:lang w:val="en-US"/>
            </w:rPr>
            <w:t>Taylor</w:t>
          </w:r>
        </w:smartTag>
      </w:smartTag>
      <w:r w:rsidRPr="00C26146">
        <w:rPr>
          <w:lang w:val="en-US"/>
        </w:rPr>
        <w:t>, L.S.</w:t>
      </w:r>
      <w:r w:rsidR="0009198C" w:rsidRPr="00C26146">
        <w:rPr>
          <w:lang w:val="en-US"/>
        </w:rPr>
        <w:t>,</w:t>
      </w:r>
      <w:r w:rsidRPr="00C26146">
        <w:rPr>
          <w:lang w:val="en-US"/>
        </w:rPr>
        <w:t xml:space="preserve"> 2011. Influence of particle size on the ultraviolet Spectrum of particulate-containing solutions: implications for in-situ concentration monitoring using UV/Vis fiber-optic probes. Pharm. Res. 28, 1643-1652.</w:t>
      </w:r>
    </w:p>
    <w:p w:rsidR="00F60EA8" w:rsidRPr="00C26146" w:rsidRDefault="00F60EA8" w:rsidP="009458FD">
      <w:pPr>
        <w:spacing w:line="480" w:lineRule="auto"/>
        <w:ind w:left="426" w:hanging="426"/>
      </w:pPr>
      <w:r w:rsidRPr="00C26146">
        <w:t xml:space="preserve">Van </w:t>
      </w:r>
      <w:proofErr w:type="spellStart"/>
      <w:r w:rsidRPr="00C26146">
        <w:t>Krevelen</w:t>
      </w:r>
      <w:proofErr w:type="spellEnd"/>
      <w:r w:rsidRPr="00C26146">
        <w:t xml:space="preserve">, D. W., </w:t>
      </w:r>
      <w:proofErr w:type="spellStart"/>
      <w:r w:rsidRPr="00C26146">
        <w:t>Hoftyzer</w:t>
      </w:r>
      <w:proofErr w:type="spellEnd"/>
      <w:r w:rsidRPr="00C26146">
        <w:t>, P.J., 1990, Properties of polymers: their estimation and correlation</w:t>
      </w:r>
      <w:r w:rsidR="00187F61" w:rsidRPr="00C26146">
        <w:t xml:space="preserve"> </w:t>
      </w:r>
      <w:r w:rsidR="001A09C8" w:rsidRPr="00C26146">
        <w:t>with chemical structure</w:t>
      </w:r>
      <w:r w:rsidR="00604E8D" w:rsidRPr="00C26146">
        <w:t>, 3</w:t>
      </w:r>
      <w:r w:rsidR="00604E8D" w:rsidRPr="00C26146">
        <w:rPr>
          <w:vertAlign w:val="superscript"/>
        </w:rPr>
        <w:t>rd</w:t>
      </w:r>
      <w:r w:rsidR="00604E8D" w:rsidRPr="00C26146">
        <w:t xml:space="preserve"> ed., Elsevier: </w:t>
      </w:r>
      <w:smartTag w:uri="urn:schemas-microsoft-com:office:smarttags" w:element="City">
        <w:smartTag w:uri="urn:schemas-microsoft-com:office:smarttags" w:element="place">
          <w:r w:rsidR="00604E8D" w:rsidRPr="00C26146">
            <w:t>Amsterdam</w:t>
          </w:r>
        </w:smartTag>
      </w:smartTag>
      <w:r w:rsidR="00604E8D" w:rsidRPr="00C26146">
        <w:t>, 1990</w:t>
      </w:r>
    </w:p>
    <w:p w:rsidR="008C3C38" w:rsidRPr="00C26146" w:rsidRDefault="008C3C38" w:rsidP="009458FD">
      <w:pPr>
        <w:autoSpaceDE w:val="0"/>
        <w:autoSpaceDN w:val="0"/>
        <w:adjustRightInd w:val="0"/>
        <w:spacing w:line="480" w:lineRule="auto"/>
        <w:ind w:left="426" w:hanging="426"/>
      </w:pPr>
      <w:proofErr w:type="gramStart"/>
      <w:r w:rsidRPr="00C26146">
        <w:t>Vas, A., Gulyas, B., 2005.</w:t>
      </w:r>
      <w:proofErr w:type="gramEnd"/>
      <w:r w:rsidRPr="00C26146">
        <w:t xml:space="preserve">  </w:t>
      </w:r>
      <w:proofErr w:type="spellStart"/>
      <w:proofErr w:type="gramStart"/>
      <w:r w:rsidRPr="00C26146">
        <w:t>Eburnamine</w:t>
      </w:r>
      <w:proofErr w:type="spellEnd"/>
      <w:r w:rsidRPr="00C26146">
        <w:t xml:space="preserve"> derivatives and the brain.</w:t>
      </w:r>
      <w:proofErr w:type="gramEnd"/>
      <w:r w:rsidRPr="00C26146">
        <w:t xml:space="preserve"> Med. Res. Rev. 25, 737-757.</w:t>
      </w:r>
    </w:p>
    <w:p w:rsidR="008C3C38" w:rsidRPr="00C26146" w:rsidRDefault="008C3C38" w:rsidP="009458FD">
      <w:pPr>
        <w:autoSpaceDE w:val="0"/>
        <w:autoSpaceDN w:val="0"/>
        <w:adjustRightInd w:val="0"/>
        <w:spacing w:line="480" w:lineRule="auto"/>
        <w:ind w:left="426" w:hanging="426"/>
      </w:pPr>
      <w:proofErr w:type="spellStart"/>
      <w:r w:rsidRPr="00C26146">
        <w:t>Vereczkey</w:t>
      </w:r>
      <w:proofErr w:type="spellEnd"/>
      <w:r w:rsidRPr="00C26146">
        <w:t xml:space="preserve">, L., 1985. </w:t>
      </w:r>
      <w:proofErr w:type="gramStart"/>
      <w:r w:rsidRPr="00C26146">
        <w:t xml:space="preserve">Pharmacokinetics and metabolism of </w:t>
      </w:r>
      <w:proofErr w:type="spellStart"/>
      <w:r w:rsidRPr="00C26146">
        <w:t>vincamine</w:t>
      </w:r>
      <w:proofErr w:type="spellEnd"/>
      <w:r w:rsidRPr="00C26146">
        <w:t xml:space="preserve"> and related compounds.</w:t>
      </w:r>
      <w:proofErr w:type="gramEnd"/>
      <w:r w:rsidRPr="00C26146">
        <w:t xml:space="preserve"> </w:t>
      </w:r>
      <w:proofErr w:type="gramStart"/>
      <w:r w:rsidRPr="00C26146">
        <w:t xml:space="preserve">Eur. J. Drug </w:t>
      </w:r>
      <w:proofErr w:type="spellStart"/>
      <w:r w:rsidRPr="00C26146">
        <w:t>Metab</w:t>
      </w:r>
      <w:proofErr w:type="spellEnd"/>
      <w:r w:rsidRPr="00C26146">
        <w:t>.</w:t>
      </w:r>
      <w:proofErr w:type="gramEnd"/>
      <w:r w:rsidRPr="00C26146">
        <w:t xml:space="preserve"> </w:t>
      </w:r>
      <w:proofErr w:type="gramStart"/>
      <w:r w:rsidRPr="00C26146">
        <w:t>and</w:t>
      </w:r>
      <w:proofErr w:type="gramEnd"/>
      <w:r w:rsidRPr="00C26146">
        <w:t xml:space="preserve"> </w:t>
      </w:r>
      <w:proofErr w:type="spellStart"/>
      <w:r w:rsidRPr="00C26146">
        <w:t>Pharmacokinet</w:t>
      </w:r>
      <w:proofErr w:type="spellEnd"/>
      <w:r w:rsidRPr="00C26146">
        <w:t>. 10, 89-103.</w:t>
      </w:r>
    </w:p>
    <w:p w:rsidR="008C3C38" w:rsidRPr="00C26146" w:rsidRDefault="008C3C38" w:rsidP="009458FD">
      <w:pPr>
        <w:spacing w:line="480" w:lineRule="auto"/>
        <w:ind w:left="426" w:hanging="426"/>
      </w:pPr>
      <w:proofErr w:type="gramStart"/>
      <w:r w:rsidRPr="00C26146">
        <w:t xml:space="preserve">Voinovich, D., </w:t>
      </w:r>
      <w:proofErr w:type="spellStart"/>
      <w:r w:rsidRPr="00C26146">
        <w:t>Perissutti</w:t>
      </w:r>
      <w:proofErr w:type="spellEnd"/>
      <w:r w:rsidRPr="00C26146">
        <w:t xml:space="preserve">, B., </w:t>
      </w:r>
      <w:proofErr w:type="spellStart"/>
      <w:r w:rsidRPr="00C26146">
        <w:t>Grassi</w:t>
      </w:r>
      <w:proofErr w:type="spellEnd"/>
      <w:r w:rsidRPr="00C26146">
        <w:t xml:space="preserve">, M., </w:t>
      </w:r>
      <w:proofErr w:type="spellStart"/>
      <w:r w:rsidRPr="00C26146">
        <w:t>Passerini</w:t>
      </w:r>
      <w:proofErr w:type="spellEnd"/>
      <w:r w:rsidRPr="00C26146">
        <w:t xml:space="preserve">, N., </w:t>
      </w:r>
      <w:proofErr w:type="spellStart"/>
      <w:r w:rsidRPr="00C26146">
        <w:t>Bigotto</w:t>
      </w:r>
      <w:proofErr w:type="spellEnd"/>
      <w:r w:rsidRPr="00C26146">
        <w:t>, A., 2009a.</w:t>
      </w:r>
      <w:proofErr w:type="gramEnd"/>
      <w:r w:rsidRPr="00C26146">
        <w:t xml:space="preserve"> Solid state mechanochemical activation of </w:t>
      </w:r>
      <w:proofErr w:type="spellStart"/>
      <w:r w:rsidRPr="00C26146">
        <w:t>Silybum</w:t>
      </w:r>
      <w:proofErr w:type="spellEnd"/>
      <w:r w:rsidRPr="00C26146">
        <w:t xml:space="preserve"> </w:t>
      </w:r>
      <w:proofErr w:type="spellStart"/>
      <w:r w:rsidRPr="00C26146">
        <w:t>Marianum</w:t>
      </w:r>
      <w:proofErr w:type="spellEnd"/>
      <w:r w:rsidRPr="00C26146">
        <w:t xml:space="preserve"> dry extract with </w:t>
      </w:r>
      <w:proofErr w:type="spellStart"/>
      <w:r w:rsidRPr="00C26146">
        <w:t>betacyclodextrins</w:t>
      </w:r>
      <w:proofErr w:type="spellEnd"/>
      <w:r w:rsidRPr="00C26146">
        <w:t xml:space="preserve">: characterization and bioavailability of the </w:t>
      </w:r>
      <w:proofErr w:type="spellStart"/>
      <w:r w:rsidRPr="00C26146">
        <w:t>coground</w:t>
      </w:r>
      <w:proofErr w:type="spellEnd"/>
      <w:r w:rsidRPr="00C26146">
        <w:t xml:space="preserve"> systems. </w:t>
      </w:r>
      <w:proofErr w:type="gramStart"/>
      <w:r w:rsidRPr="00C26146">
        <w:t>J. Pharm. Sci. 98, 4119–4129.</w:t>
      </w:r>
      <w:proofErr w:type="gramEnd"/>
    </w:p>
    <w:p w:rsidR="008C3C38" w:rsidRPr="00C26146" w:rsidRDefault="008C3C38" w:rsidP="009458FD">
      <w:pPr>
        <w:spacing w:line="480" w:lineRule="auto"/>
        <w:ind w:left="426" w:hanging="426"/>
      </w:pPr>
      <w:r w:rsidRPr="00C26146">
        <w:rPr>
          <w:lang w:val="it-IT"/>
        </w:rPr>
        <w:lastRenderedPageBreak/>
        <w:t xml:space="preserve">Voinovich, D., Perissutti, B., Magarotto, L., Ceschia D., Guiotto P., Bilia, A.R., 2009b. </w:t>
      </w:r>
      <w:r w:rsidRPr="00C26146">
        <w:t xml:space="preserve">Solid State </w:t>
      </w:r>
      <w:proofErr w:type="spellStart"/>
      <w:r w:rsidRPr="00C26146">
        <w:t>Mechanochemical</w:t>
      </w:r>
      <w:proofErr w:type="spellEnd"/>
      <w:r w:rsidRPr="00C26146">
        <w:t xml:space="preserve"> Simultaneous Activation of the Constituents of the </w:t>
      </w:r>
      <w:proofErr w:type="spellStart"/>
      <w:r w:rsidRPr="00C26146">
        <w:t>Silybum</w:t>
      </w:r>
      <w:proofErr w:type="spellEnd"/>
      <w:r w:rsidRPr="00C26146">
        <w:t xml:space="preserve"> </w:t>
      </w:r>
      <w:proofErr w:type="spellStart"/>
      <w:r w:rsidRPr="00C26146">
        <w:t>marianum</w:t>
      </w:r>
      <w:proofErr w:type="spellEnd"/>
      <w:r w:rsidRPr="00C26146">
        <w:t xml:space="preserve"> </w:t>
      </w:r>
      <w:proofErr w:type="spellStart"/>
      <w:r w:rsidRPr="00C26146">
        <w:t>Phytocomplex</w:t>
      </w:r>
      <w:proofErr w:type="spellEnd"/>
      <w:r w:rsidRPr="00C26146">
        <w:t xml:space="preserve"> with Crosslinked Polymers. J. Pharm. Sci. 98, 215-228.</w:t>
      </w:r>
    </w:p>
    <w:p w:rsidR="001B708E" w:rsidRPr="00C26146" w:rsidRDefault="001B708E" w:rsidP="001B708E">
      <w:pPr>
        <w:rPr>
          <w:b/>
          <w:i/>
          <w:lang w:val="en-US"/>
        </w:rPr>
      </w:pPr>
      <w:r w:rsidRPr="00C26146">
        <w:br w:type="page"/>
      </w:r>
      <w:proofErr w:type="gramStart"/>
      <w:r w:rsidRPr="00C26146">
        <w:rPr>
          <w:b/>
          <w:lang w:val="en-US"/>
        </w:rPr>
        <w:lastRenderedPageBreak/>
        <w:t>Table 1</w:t>
      </w:r>
      <w:r w:rsidRPr="00C26146">
        <w:rPr>
          <w:lang w:val="en-US"/>
        </w:rPr>
        <w:t>.</w:t>
      </w:r>
      <w:proofErr w:type="gramEnd"/>
      <w:r w:rsidRPr="00C26146">
        <w:rPr>
          <w:lang w:val="en-US"/>
        </w:rPr>
        <w:t xml:space="preserve"> Total and partial solubility parameters of </w:t>
      </w:r>
      <w:proofErr w:type="spellStart"/>
      <w:r w:rsidRPr="00C26146">
        <w:rPr>
          <w:lang w:val="en-US"/>
        </w:rPr>
        <w:t>vincamine</w:t>
      </w:r>
      <w:proofErr w:type="spellEnd"/>
      <w:r w:rsidRPr="00C26146">
        <w:rPr>
          <w:lang w:val="en-US"/>
        </w:rPr>
        <w:t xml:space="preserve">, PVP-K30 and </w:t>
      </w:r>
      <w:proofErr w:type="spellStart"/>
      <w:r w:rsidRPr="00C26146">
        <w:rPr>
          <w:lang w:val="en-US"/>
        </w:rPr>
        <w:t>NaCMC</w:t>
      </w:r>
      <w:proofErr w:type="spellEnd"/>
      <w:r w:rsidRPr="00C26146">
        <w:rPr>
          <w:lang w:val="en-US"/>
        </w:rPr>
        <w:t xml:space="preserve"> calculated using </w:t>
      </w:r>
      <w:proofErr w:type="spellStart"/>
      <w:r w:rsidRPr="00C26146">
        <w:rPr>
          <w:lang w:val="en-US"/>
        </w:rPr>
        <w:t>SPWin</w:t>
      </w:r>
      <w:proofErr w:type="spellEnd"/>
      <w:r w:rsidRPr="00C26146">
        <w:rPr>
          <w:lang w:val="en-US"/>
        </w:rPr>
        <w:t xml:space="preserve"> version 2.1 </w:t>
      </w:r>
      <w:proofErr w:type="spellStart"/>
      <w:r w:rsidRPr="00C26146">
        <w:rPr>
          <w:lang w:val="en-US"/>
        </w:rPr>
        <w:t>programme</w:t>
      </w:r>
      <w:proofErr w:type="spellEnd"/>
      <w:r w:rsidRPr="00C26146">
        <w:rPr>
          <w:lang w:val="en-US"/>
        </w:rPr>
        <w:t xml:space="preserve"> (</w:t>
      </w:r>
      <w:proofErr w:type="spellStart"/>
      <w:r w:rsidRPr="00C26146">
        <w:rPr>
          <w:lang w:val="en-US"/>
        </w:rPr>
        <w:t>Breitkreutz</w:t>
      </w:r>
      <w:proofErr w:type="spellEnd"/>
      <w:r w:rsidRPr="00C26146">
        <w:rPr>
          <w:lang w:val="en-US"/>
        </w:rPr>
        <w:t>, 1998).</w:t>
      </w:r>
    </w:p>
    <w:p w:rsidR="001B708E" w:rsidRPr="001B708E" w:rsidRDefault="001B708E" w:rsidP="001B708E">
      <w:pPr>
        <w:rPr>
          <w:lang w:val="en-US"/>
        </w:rPr>
      </w:pPr>
    </w:p>
    <w:tbl>
      <w:tblPr>
        <w:tblW w:w="3324" w:type="pct"/>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0A0" w:firstRow="1" w:lastRow="0" w:firstColumn="1" w:lastColumn="0" w:noHBand="0" w:noVBand="0"/>
      </w:tblPr>
      <w:tblGrid>
        <w:gridCol w:w="1346"/>
        <w:gridCol w:w="1287"/>
        <w:gridCol w:w="1294"/>
        <w:gridCol w:w="1309"/>
        <w:gridCol w:w="1315"/>
      </w:tblGrid>
      <w:tr w:rsidR="00C26146" w:rsidRPr="001B708E" w:rsidTr="0034360E">
        <w:trPr>
          <w:trHeight w:val="1200"/>
        </w:trPr>
        <w:tc>
          <w:tcPr>
            <w:tcW w:w="1027" w:type="pct"/>
            <w:vAlign w:val="center"/>
          </w:tcPr>
          <w:p w:rsidR="001B708E" w:rsidRPr="001B708E" w:rsidRDefault="001B708E" w:rsidP="001B708E">
            <w:pPr>
              <w:spacing w:line="360" w:lineRule="auto"/>
              <w:jc w:val="center"/>
              <w:rPr>
                <w:b/>
                <w:lang w:val="it-IT"/>
              </w:rPr>
            </w:pPr>
            <w:r w:rsidRPr="001B708E">
              <w:rPr>
                <w:b/>
                <w:lang w:val="it-IT"/>
              </w:rPr>
              <w:t>Substance</w:t>
            </w:r>
          </w:p>
        </w:tc>
        <w:tc>
          <w:tcPr>
            <w:tcW w:w="982" w:type="pct"/>
            <w:vAlign w:val="center"/>
          </w:tcPr>
          <w:p w:rsidR="001B708E" w:rsidRPr="001B708E" w:rsidRDefault="001B708E" w:rsidP="001B708E">
            <w:pPr>
              <w:spacing w:line="360" w:lineRule="auto"/>
              <w:jc w:val="center"/>
              <w:rPr>
                <w:b/>
                <w:lang w:val="it-IT"/>
              </w:rPr>
            </w:pPr>
            <w:r w:rsidRPr="001B708E">
              <w:rPr>
                <w:rFonts w:ascii="Symbol" w:hAnsi="Symbol"/>
                <w:b/>
                <w:sz w:val="28"/>
                <w:szCs w:val="32"/>
                <w:lang w:val="it-IT"/>
              </w:rPr>
              <w:t></w:t>
            </w:r>
            <w:r w:rsidRPr="001B708E">
              <w:rPr>
                <w:b/>
                <w:sz w:val="26"/>
                <w:szCs w:val="28"/>
                <w:vertAlign w:val="subscript"/>
                <w:lang w:val="it-IT"/>
              </w:rPr>
              <w:t xml:space="preserve">d        </w:t>
            </w:r>
            <w:r w:rsidRPr="001B708E">
              <w:rPr>
                <w:b/>
                <w:sz w:val="22"/>
                <w:lang w:val="it-IT"/>
              </w:rPr>
              <w:t>(J/cm</w:t>
            </w:r>
            <w:r w:rsidRPr="001B708E">
              <w:rPr>
                <w:b/>
                <w:sz w:val="26"/>
                <w:szCs w:val="28"/>
                <w:vertAlign w:val="superscript"/>
                <w:lang w:val="it-IT"/>
              </w:rPr>
              <w:t>3</w:t>
            </w:r>
            <w:r w:rsidRPr="001B708E">
              <w:rPr>
                <w:b/>
                <w:sz w:val="22"/>
                <w:lang w:val="it-IT"/>
              </w:rPr>
              <w:t>)</w:t>
            </w:r>
            <w:r w:rsidRPr="001B708E">
              <w:rPr>
                <w:b/>
                <w:sz w:val="26"/>
                <w:szCs w:val="28"/>
                <w:vertAlign w:val="superscript"/>
                <w:lang w:val="it-IT"/>
              </w:rPr>
              <w:t>1/2</w:t>
            </w:r>
          </w:p>
        </w:tc>
        <w:tc>
          <w:tcPr>
            <w:tcW w:w="988" w:type="pct"/>
            <w:vAlign w:val="center"/>
          </w:tcPr>
          <w:p w:rsidR="001B708E" w:rsidRPr="001B708E" w:rsidRDefault="001B708E" w:rsidP="001B708E">
            <w:pPr>
              <w:spacing w:line="360" w:lineRule="auto"/>
              <w:jc w:val="center"/>
              <w:rPr>
                <w:b/>
                <w:lang w:val="it-IT"/>
              </w:rPr>
            </w:pPr>
            <w:r w:rsidRPr="001B708E">
              <w:rPr>
                <w:rFonts w:ascii="Symbol" w:hAnsi="Symbol"/>
                <w:b/>
                <w:sz w:val="28"/>
                <w:szCs w:val="32"/>
                <w:lang w:val="it-IT"/>
              </w:rPr>
              <w:t></w:t>
            </w:r>
            <w:r w:rsidRPr="001B708E">
              <w:rPr>
                <w:b/>
                <w:szCs w:val="28"/>
                <w:vertAlign w:val="subscript"/>
                <w:lang w:val="it-IT"/>
              </w:rPr>
              <w:t xml:space="preserve">p       </w:t>
            </w:r>
            <w:r w:rsidRPr="001B708E">
              <w:rPr>
                <w:b/>
                <w:lang w:val="it-IT"/>
              </w:rPr>
              <w:t>(J/cm</w:t>
            </w:r>
            <w:r w:rsidRPr="001B708E">
              <w:rPr>
                <w:b/>
                <w:szCs w:val="28"/>
                <w:vertAlign w:val="superscript"/>
                <w:lang w:val="it-IT"/>
              </w:rPr>
              <w:t>3</w:t>
            </w:r>
            <w:r w:rsidRPr="001B708E">
              <w:rPr>
                <w:b/>
                <w:lang w:val="it-IT"/>
              </w:rPr>
              <w:t>)</w:t>
            </w:r>
            <w:r w:rsidRPr="001B708E">
              <w:rPr>
                <w:b/>
                <w:szCs w:val="28"/>
                <w:vertAlign w:val="superscript"/>
                <w:lang w:val="it-IT"/>
              </w:rPr>
              <w:t>1/2</w:t>
            </w:r>
          </w:p>
        </w:tc>
        <w:tc>
          <w:tcPr>
            <w:tcW w:w="999" w:type="pct"/>
            <w:vAlign w:val="center"/>
          </w:tcPr>
          <w:p w:rsidR="001B708E" w:rsidRPr="001B708E" w:rsidRDefault="001B708E" w:rsidP="001B708E">
            <w:pPr>
              <w:spacing w:line="360" w:lineRule="auto"/>
              <w:jc w:val="center"/>
              <w:rPr>
                <w:b/>
                <w:lang w:val="it-IT"/>
              </w:rPr>
            </w:pPr>
            <w:r w:rsidRPr="001B708E">
              <w:rPr>
                <w:rFonts w:ascii="Symbol" w:hAnsi="Symbol"/>
                <w:b/>
                <w:sz w:val="28"/>
                <w:szCs w:val="32"/>
                <w:lang w:val="it-IT"/>
              </w:rPr>
              <w:t></w:t>
            </w:r>
            <w:r w:rsidRPr="001B708E">
              <w:rPr>
                <w:b/>
                <w:szCs w:val="28"/>
                <w:vertAlign w:val="subscript"/>
                <w:lang w:val="it-IT"/>
              </w:rPr>
              <w:t xml:space="preserve">h        </w:t>
            </w:r>
            <w:r w:rsidRPr="001B708E">
              <w:rPr>
                <w:b/>
                <w:lang w:val="it-IT"/>
              </w:rPr>
              <w:t>(J/cm</w:t>
            </w:r>
            <w:r w:rsidRPr="001B708E">
              <w:rPr>
                <w:b/>
                <w:szCs w:val="28"/>
                <w:vertAlign w:val="superscript"/>
                <w:lang w:val="it-IT"/>
              </w:rPr>
              <w:t>3</w:t>
            </w:r>
            <w:r w:rsidRPr="001B708E">
              <w:rPr>
                <w:b/>
                <w:lang w:val="it-IT"/>
              </w:rPr>
              <w:t>)</w:t>
            </w:r>
            <w:r w:rsidRPr="001B708E">
              <w:rPr>
                <w:b/>
                <w:szCs w:val="28"/>
                <w:vertAlign w:val="superscript"/>
                <w:lang w:val="it-IT"/>
              </w:rPr>
              <w:t>1/2</w:t>
            </w:r>
          </w:p>
        </w:tc>
        <w:tc>
          <w:tcPr>
            <w:tcW w:w="1004" w:type="pct"/>
            <w:vAlign w:val="center"/>
          </w:tcPr>
          <w:p w:rsidR="001B708E" w:rsidRPr="001B708E" w:rsidRDefault="001B708E" w:rsidP="001B708E">
            <w:pPr>
              <w:spacing w:line="360" w:lineRule="auto"/>
              <w:jc w:val="center"/>
              <w:rPr>
                <w:b/>
                <w:lang w:val="it-IT"/>
              </w:rPr>
            </w:pPr>
            <w:r w:rsidRPr="001B708E">
              <w:rPr>
                <w:rFonts w:ascii="Symbol" w:hAnsi="Symbol"/>
                <w:b/>
                <w:sz w:val="28"/>
                <w:szCs w:val="32"/>
                <w:lang w:val="it-IT"/>
              </w:rPr>
              <w:t></w:t>
            </w:r>
            <w:r w:rsidRPr="001B708E">
              <w:rPr>
                <w:b/>
                <w:szCs w:val="28"/>
                <w:vertAlign w:val="subscript"/>
                <w:lang w:val="it-IT"/>
              </w:rPr>
              <w:t xml:space="preserve">tot      </w:t>
            </w:r>
            <w:r w:rsidRPr="001B708E">
              <w:rPr>
                <w:b/>
                <w:lang w:val="it-IT"/>
              </w:rPr>
              <w:t>(J/cm</w:t>
            </w:r>
            <w:r w:rsidRPr="001B708E">
              <w:rPr>
                <w:b/>
                <w:szCs w:val="28"/>
                <w:vertAlign w:val="superscript"/>
                <w:lang w:val="it-IT"/>
              </w:rPr>
              <w:t>3</w:t>
            </w:r>
            <w:r w:rsidRPr="001B708E">
              <w:rPr>
                <w:b/>
                <w:lang w:val="it-IT"/>
              </w:rPr>
              <w:t>)</w:t>
            </w:r>
            <w:r w:rsidRPr="001B708E">
              <w:rPr>
                <w:b/>
                <w:szCs w:val="28"/>
                <w:vertAlign w:val="superscript"/>
                <w:lang w:val="it-IT"/>
              </w:rPr>
              <w:t>1/2</w:t>
            </w:r>
          </w:p>
        </w:tc>
      </w:tr>
      <w:tr w:rsidR="00C26146" w:rsidRPr="001B708E" w:rsidTr="0034360E">
        <w:trPr>
          <w:trHeight w:val="600"/>
        </w:trPr>
        <w:tc>
          <w:tcPr>
            <w:tcW w:w="1027" w:type="pct"/>
            <w:vAlign w:val="center"/>
          </w:tcPr>
          <w:p w:rsidR="001B708E" w:rsidRPr="001B708E" w:rsidRDefault="001B708E" w:rsidP="001B708E">
            <w:pPr>
              <w:spacing w:line="360" w:lineRule="auto"/>
              <w:jc w:val="center"/>
              <w:rPr>
                <w:lang w:val="it-IT"/>
              </w:rPr>
            </w:pPr>
            <w:r w:rsidRPr="001B708E">
              <w:rPr>
                <w:lang w:val="it-IT"/>
              </w:rPr>
              <w:t>Vincamine</w:t>
            </w:r>
          </w:p>
        </w:tc>
        <w:tc>
          <w:tcPr>
            <w:tcW w:w="982" w:type="pct"/>
            <w:vAlign w:val="center"/>
          </w:tcPr>
          <w:p w:rsidR="001B708E" w:rsidRPr="001B708E" w:rsidRDefault="001B708E" w:rsidP="001B708E">
            <w:pPr>
              <w:spacing w:line="360" w:lineRule="auto"/>
              <w:jc w:val="center"/>
              <w:rPr>
                <w:lang w:val="it-IT"/>
              </w:rPr>
            </w:pPr>
            <w:r w:rsidRPr="001B708E">
              <w:rPr>
                <w:lang w:val="it-IT"/>
              </w:rPr>
              <w:t>21.85</w:t>
            </w:r>
          </w:p>
        </w:tc>
        <w:tc>
          <w:tcPr>
            <w:tcW w:w="988" w:type="pct"/>
            <w:vAlign w:val="center"/>
          </w:tcPr>
          <w:p w:rsidR="001B708E" w:rsidRPr="001B708E" w:rsidRDefault="001B708E" w:rsidP="001B708E">
            <w:pPr>
              <w:spacing w:line="360" w:lineRule="auto"/>
              <w:jc w:val="center"/>
              <w:rPr>
                <w:lang w:val="it-IT"/>
              </w:rPr>
            </w:pPr>
            <w:r w:rsidRPr="001B708E">
              <w:rPr>
                <w:lang w:val="it-IT"/>
              </w:rPr>
              <w:t>5.29</w:t>
            </w:r>
          </w:p>
        </w:tc>
        <w:tc>
          <w:tcPr>
            <w:tcW w:w="999" w:type="pct"/>
            <w:vAlign w:val="center"/>
          </w:tcPr>
          <w:p w:rsidR="001B708E" w:rsidRPr="001B708E" w:rsidRDefault="001B708E" w:rsidP="001B708E">
            <w:pPr>
              <w:spacing w:line="360" w:lineRule="auto"/>
              <w:jc w:val="center"/>
              <w:rPr>
                <w:lang w:val="it-IT"/>
              </w:rPr>
            </w:pPr>
            <w:r w:rsidRPr="001B708E">
              <w:rPr>
                <w:lang w:val="it-IT"/>
              </w:rPr>
              <w:t>12.40</w:t>
            </w:r>
          </w:p>
        </w:tc>
        <w:tc>
          <w:tcPr>
            <w:tcW w:w="1004" w:type="pct"/>
            <w:vAlign w:val="center"/>
          </w:tcPr>
          <w:p w:rsidR="001B708E" w:rsidRPr="001B708E" w:rsidRDefault="001B708E" w:rsidP="001B708E">
            <w:pPr>
              <w:spacing w:line="360" w:lineRule="auto"/>
              <w:jc w:val="center"/>
              <w:rPr>
                <w:lang w:val="it-IT"/>
              </w:rPr>
            </w:pPr>
            <w:r w:rsidRPr="001B708E">
              <w:rPr>
                <w:lang w:val="it-IT"/>
              </w:rPr>
              <w:t>25.68</w:t>
            </w:r>
          </w:p>
        </w:tc>
      </w:tr>
      <w:tr w:rsidR="00C26146" w:rsidRPr="001B708E" w:rsidTr="0034360E">
        <w:trPr>
          <w:trHeight w:val="600"/>
        </w:trPr>
        <w:tc>
          <w:tcPr>
            <w:tcW w:w="1027" w:type="pct"/>
            <w:vAlign w:val="center"/>
          </w:tcPr>
          <w:p w:rsidR="001B708E" w:rsidRPr="001B708E" w:rsidRDefault="001B708E" w:rsidP="001B708E">
            <w:pPr>
              <w:spacing w:line="360" w:lineRule="auto"/>
              <w:jc w:val="center"/>
              <w:rPr>
                <w:lang w:val="it-IT"/>
              </w:rPr>
            </w:pPr>
            <w:r w:rsidRPr="001B708E">
              <w:rPr>
                <w:lang w:val="it-IT"/>
              </w:rPr>
              <w:t>PVP-K30</w:t>
            </w:r>
          </w:p>
        </w:tc>
        <w:tc>
          <w:tcPr>
            <w:tcW w:w="982" w:type="pct"/>
            <w:vAlign w:val="center"/>
          </w:tcPr>
          <w:p w:rsidR="001B708E" w:rsidRPr="001B708E" w:rsidRDefault="001B708E" w:rsidP="001B708E">
            <w:pPr>
              <w:spacing w:line="360" w:lineRule="auto"/>
              <w:jc w:val="center"/>
              <w:rPr>
                <w:lang w:val="it-IT"/>
              </w:rPr>
            </w:pPr>
            <w:r w:rsidRPr="001B708E">
              <w:rPr>
                <w:lang w:val="it-IT"/>
              </w:rPr>
              <w:t>20.44</w:t>
            </w:r>
          </w:p>
        </w:tc>
        <w:tc>
          <w:tcPr>
            <w:tcW w:w="988" w:type="pct"/>
            <w:vAlign w:val="center"/>
          </w:tcPr>
          <w:p w:rsidR="001B708E" w:rsidRPr="001B708E" w:rsidRDefault="001B708E" w:rsidP="001B708E">
            <w:pPr>
              <w:spacing w:line="360" w:lineRule="auto"/>
              <w:jc w:val="center"/>
              <w:rPr>
                <w:lang w:val="it-IT"/>
              </w:rPr>
            </w:pPr>
            <w:r w:rsidRPr="001B708E">
              <w:rPr>
                <w:lang w:val="it-IT"/>
              </w:rPr>
              <w:t>13.67</w:t>
            </w:r>
          </w:p>
        </w:tc>
        <w:tc>
          <w:tcPr>
            <w:tcW w:w="999" w:type="pct"/>
            <w:vAlign w:val="center"/>
          </w:tcPr>
          <w:p w:rsidR="001B708E" w:rsidRPr="001B708E" w:rsidRDefault="001B708E" w:rsidP="001B708E">
            <w:pPr>
              <w:spacing w:line="360" w:lineRule="auto"/>
              <w:jc w:val="center"/>
              <w:rPr>
                <w:lang w:val="it-IT"/>
              </w:rPr>
            </w:pPr>
            <w:r w:rsidRPr="001B708E">
              <w:rPr>
                <w:lang w:val="it-IT"/>
              </w:rPr>
              <w:t>9.28</w:t>
            </w:r>
          </w:p>
        </w:tc>
        <w:tc>
          <w:tcPr>
            <w:tcW w:w="1004" w:type="pct"/>
            <w:vAlign w:val="center"/>
          </w:tcPr>
          <w:p w:rsidR="001B708E" w:rsidRPr="001B708E" w:rsidRDefault="001B708E" w:rsidP="001B708E">
            <w:pPr>
              <w:spacing w:line="360" w:lineRule="auto"/>
              <w:jc w:val="center"/>
              <w:rPr>
                <w:lang w:val="it-IT"/>
              </w:rPr>
            </w:pPr>
            <w:r w:rsidRPr="001B708E">
              <w:rPr>
                <w:lang w:val="it-IT"/>
              </w:rPr>
              <w:t>26.90</w:t>
            </w:r>
          </w:p>
        </w:tc>
      </w:tr>
      <w:tr w:rsidR="00C26146" w:rsidRPr="001B708E" w:rsidTr="0034360E">
        <w:trPr>
          <w:trHeight w:val="600"/>
        </w:trPr>
        <w:tc>
          <w:tcPr>
            <w:tcW w:w="1027" w:type="pct"/>
            <w:vAlign w:val="center"/>
          </w:tcPr>
          <w:p w:rsidR="001B708E" w:rsidRPr="001B708E" w:rsidRDefault="001B708E" w:rsidP="001B708E">
            <w:pPr>
              <w:spacing w:line="360" w:lineRule="auto"/>
              <w:jc w:val="center"/>
              <w:rPr>
                <w:lang w:val="it-IT"/>
              </w:rPr>
            </w:pPr>
            <w:r w:rsidRPr="001B708E">
              <w:rPr>
                <w:lang w:val="it-IT"/>
              </w:rPr>
              <w:t>NaCMC</w:t>
            </w:r>
          </w:p>
        </w:tc>
        <w:tc>
          <w:tcPr>
            <w:tcW w:w="982" w:type="pct"/>
            <w:vAlign w:val="center"/>
          </w:tcPr>
          <w:p w:rsidR="001B708E" w:rsidRPr="001B708E" w:rsidRDefault="001B708E" w:rsidP="001B708E">
            <w:pPr>
              <w:spacing w:line="360" w:lineRule="auto"/>
              <w:jc w:val="center"/>
              <w:rPr>
                <w:lang w:val="it-IT"/>
              </w:rPr>
            </w:pPr>
            <w:r w:rsidRPr="001B708E">
              <w:rPr>
                <w:lang w:val="it-IT"/>
              </w:rPr>
              <w:t>22.51</w:t>
            </w:r>
          </w:p>
        </w:tc>
        <w:tc>
          <w:tcPr>
            <w:tcW w:w="988" w:type="pct"/>
            <w:vAlign w:val="center"/>
          </w:tcPr>
          <w:p w:rsidR="001B708E" w:rsidRPr="001B708E" w:rsidRDefault="001B708E" w:rsidP="001B708E">
            <w:pPr>
              <w:spacing w:line="360" w:lineRule="auto"/>
              <w:jc w:val="center"/>
              <w:rPr>
                <w:lang w:val="it-IT"/>
              </w:rPr>
            </w:pPr>
            <w:r w:rsidRPr="001B708E">
              <w:rPr>
                <w:lang w:val="it-IT"/>
              </w:rPr>
              <w:t>7.70</w:t>
            </w:r>
          </w:p>
        </w:tc>
        <w:tc>
          <w:tcPr>
            <w:tcW w:w="999" w:type="pct"/>
            <w:vAlign w:val="center"/>
          </w:tcPr>
          <w:p w:rsidR="001B708E" w:rsidRPr="001B708E" w:rsidRDefault="001B708E" w:rsidP="001B708E">
            <w:pPr>
              <w:spacing w:line="360" w:lineRule="auto"/>
              <w:jc w:val="center"/>
              <w:rPr>
                <w:lang w:val="it-IT"/>
              </w:rPr>
            </w:pPr>
            <w:r w:rsidRPr="001B708E">
              <w:rPr>
                <w:lang w:val="it-IT"/>
              </w:rPr>
              <w:t>24.02</w:t>
            </w:r>
          </w:p>
        </w:tc>
        <w:tc>
          <w:tcPr>
            <w:tcW w:w="1004" w:type="pct"/>
            <w:vAlign w:val="center"/>
          </w:tcPr>
          <w:p w:rsidR="001B708E" w:rsidRPr="001B708E" w:rsidRDefault="001B708E" w:rsidP="001B708E">
            <w:pPr>
              <w:spacing w:line="360" w:lineRule="auto"/>
              <w:jc w:val="center"/>
              <w:rPr>
                <w:lang w:val="it-IT"/>
              </w:rPr>
            </w:pPr>
            <w:r w:rsidRPr="001B708E">
              <w:rPr>
                <w:lang w:val="it-IT"/>
              </w:rPr>
              <w:t>33.81</w:t>
            </w:r>
          </w:p>
        </w:tc>
      </w:tr>
    </w:tbl>
    <w:p w:rsidR="001B708E" w:rsidRPr="001B708E" w:rsidRDefault="001B708E" w:rsidP="001B708E">
      <w:pPr>
        <w:jc w:val="both"/>
        <w:rPr>
          <w:sz w:val="22"/>
          <w:szCs w:val="22"/>
          <w:lang w:val="en-US"/>
        </w:rPr>
      </w:pPr>
      <w:r w:rsidRPr="001B708E">
        <w:rPr>
          <w:sz w:val="28"/>
          <w:szCs w:val="28"/>
          <w:lang w:val="it-IT"/>
        </w:rPr>
        <w:sym w:font="Symbol" w:char="F064"/>
      </w:r>
      <w:proofErr w:type="gramStart"/>
      <w:r w:rsidRPr="001B708E">
        <w:rPr>
          <w:sz w:val="28"/>
          <w:szCs w:val="28"/>
          <w:vertAlign w:val="subscript"/>
          <w:lang w:val="en-US"/>
        </w:rPr>
        <w:t>tot</w:t>
      </w:r>
      <w:proofErr w:type="gramEnd"/>
      <w:r w:rsidRPr="001B708E">
        <w:rPr>
          <w:vertAlign w:val="subscript"/>
          <w:lang w:val="en-US"/>
        </w:rPr>
        <w:t xml:space="preserve"> </w:t>
      </w:r>
      <w:r w:rsidRPr="001B708E">
        <w:rPr>
          <w:lang w:val="en-US"/>
        </w:rPr>
        <w:t xml:space="preserve">-  </w:t>
      </w:r>
      <w:r w:rsidRPr="001B708E">
        <w:rPr>
          <w:sz w:val="22"/>
          <w:szCs w:val="22"/>
          <w:lang w:val="en-US"/>
        </w:rPr>
        <w:t>total solubility parameter</w:t>
      </w:r>
    </w:p>
    <w:p w:rsidR="001B708E" w:rsidRPr="001B708E" w:rsidRDefault="001B708E" w:rsidP="001B708E">
      <w:pPr>
        <w:jc w:val="both"/>
        <w:rPr>
          <w:vertAlign w:val="subscript"/>
          <w:lang w:val="en-US"/>
        </w:rPr>
      </w:pPr>
      <w:r w:rsidRPr="001B708E">
        <w:rPr>
          <w:sz w:val="28"/>
          <w:szCs w:val="28"/>
          <w:lang w:val="it-IT"/>
        </w:rPr>
        <w:sym w:font="Symbol" w:char="F064"/>
      </w:r>
      <w:r w:rsidRPr="001B708E">
        <w:rPr>
          <w:sz w:val="28"/>
          <w:szCs w:val="28"/>
          <w:vertAlign w:val="subscript"/>
          <w:lang w:val="en-US"/>
        </w:rPr>
        <w:t>d</w:t>
      </w:r>
      <w:r w:rsidRPr="001B708E">
        <w:rPr>
          <w:sz w:val="22"/>
          <w:szCs w:val="22"/>
          <w:lang w:val="en-US"/>
        </w:rPr>
        <w:t xml:space="preserve"> - </w:t>
      </w:r>
      <w:proofErr w:type="gramStart"/>
      <w:r w:rsidRPr="001B708E">
        <w:rPr>
          <w:sz w:val="22"/>
          <w:szCs w:val="22"/>
          <w:lang w:val="en-US"/>
        </w:rPr>
        <w:t>contribution</w:t>
      </w:r>
      <w:proofErr w:type="gramEnd"/>
      <w:r w:rsidRPr="001B708E">
        <w:rPr>
          <w:sz w:val="22"/>
          <w:szCs w:val="22"/>
          <w:lang w:val="en-US"/>
        </w:rPr>
        <w:t xml:space="preserve"> of dispersion component</w:t>
      </w:r>
    </w:p>
    <w:p w:rsidR="001B708E" w:rsidRPr="001B708E" w:rsidRDefault="001B708E" w:rsidP="001B708E">
      <w:pPr>
        <w:jc w:val="both"/>
        <w:rPr>
          <w:vertAlign w:val="subscript"/>
          <w:lang w:val="en-US"/>
        </w:rPr>
      </w:pPr>
      <w:r w:rsidRPr="001B708E">
        <w:rPr>
          <w:sz w:val="28"/>
          <w:szCs w:val="28"/>
          <w:lang w:val="it-IT"/>
        </w:rPr>
        <w:sym w:font="Symbol" w:char="F064"/>
      </w:r>
      <w:r w:rsidRPr="001B708E">
        <w:rPr>
          <w:sz w:val="28"/>
          <w:szCs w:val="28"/>
          <w:vertAlign w:val="subscript"/>
          <w:lang w:val="en-US"/>
        </w:rPr>
        <w:t>p</w:t>
      </w:r>
      <w:r w:rsidRPr="001B708E">
        <w:rPr>
          <w:sz w:val="22"/>
          <w:szCs w:val="22"/>
          <w:lang w:val="en-US"/>
        </w:rPr>
        <w:t xml:space="preserve"> - </w:t>
      </w:r>
      <w:proofErr w:type="gramStart"/>
      <w:r w:rsidRPr="001B708E">
        <w:rPr>
          <w:sz w:val="22"/>
          <w:szCs w:val="22"/>
          <w:lang w:val="en-US"/>
        </w:rPr>
        <w:t>contribution</w:t>
      </w:r>
      <w:proofErr w:type="gramEnd"/>
      <w:r w:rsidRPr="001B708E">
        <w:rPr>
          <w:sz w:val="22"/>
          <w:szCs w:val="22"/>
          <w:lang w:val="en-US"/>
        </w:rPr>
        <w:t xml:space="preserve"> of polar component</w:t>
      </w:r>
    </w:p>
    <w:p w:rsidR="001B708E" w:rsidRPr="001B708E" w:rsidRDefault="001B708E" w:rsidP="001B708E">
      <w:pPr>
        <w:autoSpaceDE w:val="0"/>
        <w:autoSpaceDN w:val="0"/>
        <w:adjustRightInd w:val="0"/>
        <w:rPr>
          <w:lang w:val="en-US"/>
        </w:rPr>
      </w:pPr>
      <w:r w:rsidRPr="001B708E">
        <w:rPr>
          <w:sz w:val="28"/>
          <w:szCs w:val="28"/>
          <w:lang w:val="it-IT"/>
        </w:rPr>
        <w:sym w:font="Symbol" w:char="F064"/>
      </w:r>
      <w:r w:rsidRPr="001B708E">
        <w:rPr>
          <w:sz w:val="28"/>
          <w:szCs w:val="28"/>
          <w:vertAlign w:val="subscript"/>
          <w:lang w:val="en-US"/>
        </w:rPr>
        <w:t>h</w:t>
      </w:r>
      <w:r w:rsidRPr="001B708E">
        <w:rPr>
          <w:sz w:val="22"/>
          <w:szCs w:val="22"/>
          <w:lang w:val="en-US"/>
        </w:rPr>
        <w:t xml:space="preserve"> </w:t>
      </w:r>
      <w:proofErr w:type="gramStart"/>
      <w:r w:rsidRPr="001B708E">
        <w:rPr>
          <w:sz w:val="22"/>
          <w:szCs w:val="22"/>
          <w:lang w:val="en-US"/>
        </w:rPr>
        <w:t>-</w:t>
      </w:r>
      <w:r w:rsidRPr="001B708E">
        <w:rPr>
          <w:b/>
          <w:sz w:val="22"/>
          <w:szCs w:val="22"/>
          <w:lang w:val="en-US"/>
        </w:rPr>
        <w:t xml:space="preserve"> </w:t>
      </w:r>
      <w:r w:rsidRPr="001B708E">
        <w:rPr>
          <w:sz w:val="22"/>
          <w:szCs w:val="22"/>
          <w:lang w:val="en-US"/>
        </w:rPr>
        <w:t xml:space="preserve"> contribution</w:t>
      </w:r>
      <w:proofErr w:type="gramEnd"/>
      <w:r w:rsidRPr="001B708E">
        <w:rPr>
          <w:sz w:val="22"/>
          <w:szCs w:val="22"/>
          <w:lang w:val="en-US"/>
        </w:rPr>
        <w:t xml:space="preserve"> of hydrogen bonding component</w:t>
      </w: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r w:rsidRPr="001B708E">
        <w:rPr>
          <w:lang w:val="en-US"/>
        </w:rPr>
        <w:br w:type="page"/>
      </w:r>
    </w:p>
    <w:p w:rsidR="001B708E" w:rsidRPr="001B708E" w:rsidRDefault="001B708E" w:rsidP="001B708E">
      <w:pPr>
        <w:rPr>
          <w:lang w:val="en-US"/>
        </w:rPr>
      </w:pPr>
    </w:p>
    <w:p w:rsidR="001B708E" w:rsidRPr="001B708E" w:rsidRDefault="001B708E" w:rsidP="001B708E">
      <w:pPr>
        <w:rPr>
          <w:lang w:val="en-US"/>
        </w:rPr>
      </w:pPr>
      <w:proofErr w:type="gramStart"/>
      <w:r w:rsidRPr="001B708E">
        <w:rPr>
          <w:b/>
          <w:lang w:val="en-US"/>
        </w:rPr>
        <w:t>Table 2</w:t>
      </w:r>
      <w:r w:rsidRPr="001B708E">
        <w:rPr>
          <w:lang w:val="en-US"/>
        </w:rPr>
        <w:t>.</w:t>
      </w:r>
      <w:proofErr w:type="gramEnd"/>
      <w:r w:rsidRPr="001B708E">
        <w:rPr>
          <w:lang w:val="en-US"/>
        </w:rPr>
        <w:t xml:space="preserve"> The calculated crystalline and amorphous percentages of each Cog sample.</w:t>
      </w:r>
    </w:p>
    <w:p w:rsidR="001B708E" w:rsidRPr="001B708E" w:rsidRDefault="001B708E" w:rsidP="001B708E">
      <w:pPr>
        <w:tabs>
          <w:tab w:val="left" w:pos="3780"/>
        </w:tabs>
        <w:rPr>
          <w:lang w:val="en-US"/>
        </w:rPr>
      </w:pPr>
      <w:r w:rsidRPr="001B708E">
        <w:rPr>
          <w:lang w:val="en-US"/>
        </w:rPr>
        <w:tab/>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3103"/>
        <w:gridCol w:w="2171"/>
        <w:gridCol w:w="2075"/>
        <w:gridCol w:w="2429"/>
      </w:tblGrid>
      <w:tr w:rsidR="00C26146" w:rsidRPr="001B708E" w:rsidTr="0034360E">
        <w:trPr>
          <w:trHeight w:val="1200"/>
        </w:trPr>
        <w:tc>
          <w:tcPr>
            <w:tcW w:w="1587" w:type="pct"/>
            <w:vAlign w:val="center"/>
          </w:tcPr>
          <w:p w:rsidR="001B708E" w:rsidRPr="001B708E" w:rsidRDefault="001B708E" w:rsidP="001B708E">
            <w:pPr>
              <w:jc w:val="center"/>
              <w:rPr>
                <w:b/>
                <w:bCs/>
                <w:lang w:val="en-US"/>
              </w:rPr>
            </w:pPr>
            <w:r w:rsidRPr="001B708E">
              <w:rPr>
                <w:b/>
                <w:bCs/>
                <w:lang w:val="en-US"/>
              </w:rPr>
              <w:t xml:space="preserve">Vincamine:PVP-K30 </w:t>
            </w:r>
            <w:proofErr w:type="spellStart"/>
            <w:r w:rsidRPr="001B708E">
              <w:rPr>
                <w:b/>
                <w:bCs/>
                <w:lang w:val="en-US"/>
              </w:rPr>
              <w:t>wt</w:t>
            </w:r>
            <w:proofErr w:type="spellEnd"/>
            <w:r w:rsidRPr="001B708E">
              <w:rPr>
                <w:b/>
                <w:bCs/>
                <w:lang w:val="en-US"/>
              </w:rPr>
              <w:t xml:space="preserve"> ratio</w:t>
            </w:r>
          </w:p>
          <w:p w:rsidR="001B708E" w:rsidRPr="001B708E" w:rsidRDefault="001B708E" w:rsidP="001B708E">
            <w:pPr>
              <w:jc w:val="center"/>
              <w:rPr>
                <w:b/>
                <w:bCs/>
                <w:lang w:val="en-US"/>
              </w:rPr>
            </w:pPr>
          </w:p>
        </w:tc>
        <w:tc>
          <w:tcPr>
            <w:tcW w:w="1110" w:type="pct"/>
            <w:shd w:val="clear" w:color="auto" w:fill="auto"/>
            <w:noWrap/>
            <w:vAlign w:val="center"/>
          </w:tcPr>
          <w:p w:rsidR="001B708E" w:rsidRPr="001B708E" w:rsidRDefault="001B708E" w:rsidP="001B708E">
            <w:pPr>
              <w:jc w:val="center"/>
              <w:rPr>
                <w:b/>
                <w:bCs/>
                <w:lang w:val="it-IT"/>
              </w:rPr>
            </w:pPr>
            <w:r w:rsidRPr="001B708E">
              <w:rPr>
                <w:b/>
                <w:bCs/>
                <w:lang w:val="it-IT"/>
              </w:rPr>
              <w:t>Milling time</w:t>
            </w:r>
          </w:p>
          <w:p w:rsidR="001B708E" w:rsidRPr="001B708E" w:rsidRDefault="001B708E" w:rsidP="001B708E">
            <w:pPr>
              <w:jc w:val="center"/>
              <w:rPr>
                <w:b/>
                <w:bCs/>
                <w:lang w:val="it-IT"/>
              </w:rPr>
            </w:pPr>
            <w:r w:rsidRPr="001B708E">
              <w:rPr>
                <w:b/>
                <w:bCs/>
                <w:lang w:val="it-IT"/>
              </w:rPr>
              <w:t>(min)</w:t>
            </w:r>
          </w:p>
        </w:tc>
        <w:tc>
          <w:tcPr>
            <w:tcW w:w="1061" w:type="pct"/>
            <w:shd w:val="clear" w:color="auto" w:fill="auto"/>
            <w:noWrap/>
            <w:vAlign w:val="center"/>
          </w:tcPr>
          <w:p w:rsidR="001B708E" w:rsidRPr="001B708E" w:rsidRDefault="001B708E" w:rsidP="001B708E">
            <w:pPr>
              <w:jc w:val="center"/>
              <w:rPr>
                <w:b/>
                <w:bCs/>
                <w:lang w:val="it-IT"/>
              </w:rPr>
            </w:pPr>
            <w:r w:rsidRPr="001B708E">
              <w:rPr>
                <w:b/>
                <w:bCs/>
                <w:lang w:val="it-IT"/>
              </w:rPr>
              <w:t>Xcr</w:t>
            </w:r>
          </w:p>
          <w:p w:rsidR="001B708E" w:rsidRPr="001B708E" w:rsidRDefault="001B708E" w:rsidP="001B708E">
            <w:pPr>
              <w:jc w:val="center"/>
              <w:rPr>
                <w:b/>
                <w:bCs/>
                <w:highlight w:val="yellow"/>
                <w:lang w:val="it-IT"/>
              </w:rPr>
            </w:pPr>
            <w:r w:rsidRPr="001B708E">
              <w:rPr>
                <w:b/>
                <w:bCs/>
                <w:lang w:val="it-IT"/>
              </w:rPr>
              <w:t>(%)</w:t>
            </w:r>
          </w:p>
        </w:tc>
        <w:tc>
          <w:tcPr>
            <w:tcW w:w="1242" w:type="pct"/>
            <w:shd w:val="clear" w:color="auto" w:fill="auto"/>
            <w:noWrap/>
            <w:vAlign w:val="center"/>
          </w:tcPr>
          <w:p w:rsidR="001B708E" w:rsidRPr="001B708E" w:rsidRDefault="001B708E" w:rsidP="001B708E">
            <w:pPr>
              <w:jc w:val="center"/>
              <w:rPr>
                <w:b/>
                <w:bCs/>
                <w:lang w:val="it-IT"/>
              </w:rPr>
            </w:pPr>
            <w:r w:rsidRPr="001B708E">
              <w:rPr>
                <w:b/>
                <w:bCs/>
                <w:lang w:val="it-IT"/>
              </w:rPr>
              <w:t>Xa</w:t>
            </w:r>
          </w:p>
          <w:p w:rsidR="001B708E" w:rsidRPr="001B708E" w:rsidRDefault="001B708E" w:rsidP="001B708E">
            <w:pPr>
              <w:jc w:val="center"/>
              <w:rPr>
                <w:b/>
                <w:bCs/>
                <w:highlight w:val="yellow"/>
                <w:lang w:val="it-IT"/>
              </w:rPr>
            </w:pPr>
            <w:r w:rsidRPr="001B708E">
              <w:rPr>
                <w:b/>
                <w:bCs/>
                <w:lang w:val="it-IT"/>
              </w:rPr>
              <w:t>(%)</w:t>
            </w:r>
          </w:p>
        </w:tc>
      </w:tr>
      <w:tr w:rsidR="00C26146" w:rsidRPr="001B708E" w:rsidTr="0034360E">
        <w:trPr>
          <w:trHeight w:val="400"/>
        </w:trPr>
        <w:tc>
          <w:tcPr>
            <w:tcW w:w="1587" w:type="pct"/>
            <w:vMerge w:val="restart"/>
            <w:vAlign w:val="center"/>
          </w:tcPr>
          <w:p w:rsidR="001B708E" w:rsidRPr="001B708E" w:rsidRDefault="001B708E" w:rsidP="001B708E">
            <w:pPr>
              <w:jc w:val="center"/>
              <w:rPr>
                <w:lang w:val="it-IT"/>
              </w:rPr>
            </w:pPr>
            <w:r w:rsidRPr="001B708E">
              <w:rPr>
                <w:b/>
                <w:lang w:val="it-IT"/>
              </w:rPr>
              <w:t>1:2</w:t>
            </w:r>
          </w:p>
        </w:tc>
        <w:tc>
          <w:tcPr>
            <w:tcW w:w="1110" w:type="pct"/>
            <w:shd w:val="clear" w:color="auto" w:fill="auto"/>
            <w:noWrap/>
            <w:vAlign w:val="center"/>
          </w:tcPr>
          <w:p w:rsidR="001B708E" w:rsidRPr="001B708E" w:rsidRDefault="001B708E" w:rsidP="001B708E">
            <w:pPr>
              <w:jc w:val="center"/>
              <w:rPr>
                <w:lang w:val="it-IT"/>
              </w:rPr>
            </w:pPr>
            <w:r w:rsidRPr="001B708E">
              <w:rPr>
                <w:lang w:val="it-IT"/>
              </w:rPr>
              <w:t>45</w:t>
            </w:r>
          </w:p>
        </w:tc>
        <w:tc>
          <w:tcPr>
            <w:tcW w:w="1061" w:type="pct"/>
            <w:shd w:val="clear" w:color="auto" w:fill="auto"/>
            <w:noWrap/>
            <w:vAlign w:val="center"/>
          </w:tcPr>
          <w:p w:rsidR="001B708E" w:rsidRPr="001B708E" w:rsidRDefault="001B708E" w:rsidP="001B708E">
            <w:pPr>
              <w:jc w:val="center"/>
              <w:rPr>
                <w:lang w:val="it-IT"/>
              </w:rPr>
            </w:pPr>
            <w:r w:rsidRPr="001B708E">
              <w:rPr>
                <w:lang w:val="it-IT"/>
              </w:rPr>
              <w:t>72.9</w:t>
            </w:r>
          </w:p>
        </w:tc>
        <w:tc>
          <w:tcPr>
            <w:tcW w:w="1242" w:type="pct"/>
            <w:shd w:val="clear" w:color="auto" w:fill="auto"/>
            <w:noWrap/>
            <w:vAlign w:val="center"/>
          </w:tcPr>
          <w:p w:rsidR="001B708E" w:rsidRPr="001B708E" w:rsidRDefault="001B708E" w:rsidP="001B708E">
            <w:pPr>
              <w:jc w:val="center"/>
              <w:rPr>
                <w:lang w:val="it-IT"/>
              </w:rPr>
            </w:pPr>
            <w:r w:rsidRPr="001B708E">
              <w:rPr>
                <w:lang w:val="it-IT"/>
              </w:rPr>
              <w:t>27.1</w:t>
            </w:r>
          </w:p>
        </w:tc>
      </w:tr>
      <w:tr w:rsidR="00C26146" w:rsidRPr="001B708E" w:rsidTr="0034360E">
        <w:trPr>
          <w:trHeight w:val="400"/>
        </w:trPr>
        <w:tc>
          <w:tcPr>
            <w:tcW w:w="1587" w:type="pct"/>
            <w:vMerge/>
            <w:vAlign w:val="center"/>
          </w:tcPr>
          <w:p w:rsidR="001B708E" w:rsidRPr="001B708E" w:rsidRDefault="001B708E" w:rsidP="001B708E">
            <w:pPr>
              <w:jc w:val="center"/>
              <w:rPr>
                <w:b/>
                <w:lang w:val="it-IT"/>
              </w:rPr>
            </w:pPr>
          </w:p>
        </w:tc>
        <w:tc>
          <w:tcPr>
            <w:tcW w:w="1110" w:type="pct"/>
            <w:shd w:val="clear" w:color="auto" w:fill="auto"/>
            <w:noWrap/>
            <w:vAlign w:val="center"/>
          </w:tcPr>
          <w:p w:rsidR="001B708E" w:rsidRPr="001B708E" w:rsidRDefault="001B708E" w:rsidP="001B708E">
            <w:pPr>
              <w:jc w:val="center"/>
              <w:rPr>
                <w:lang w:val="it-IT"/>
              </w:rPr>
            </w:pPr>
            <w:r w:rsidRPr="001B708E">
              <w:rPr>
                <w:lang w:val="it-IT"/>
              </w:rPr>
              <w:t>90</w:t>
            </w:r>
          </w:p>
        </w:tc>
        <w:tc>
          <w:tcPr>
            <w:tcW w:w="1061" w:type="pct"/>
            <w:shd w:val="clear" w:color="auto" w:fill="auto"/>
            <w:noWrap/>
            <w:vAlign w:val="center"/>
          </w:tcPr>
          <w:p w:rsidR="001B708E" w:rsidRPr="001B708E" w:rsidRDefault="001B708E" w:rsidP="001B708E">
            <w:pPr>
              <w:jc w:val="center"/>
              <w:rPr>
                <w:lang w:val="it-IT"/>
              </w:rPr>
            </w:pPr>
            <w:r w:rsidRPr="001B708E">
              <w:rPr>
                <w:lang w:val="it-IT"/>
              </w:rPr>
              <w:t>68.0</w:t>
            </w:r>
          </w:p>
        </w:tc>
        <w:tc>
          <w:tcPr>
            <w:tcW w:w="1242" w:type="pct"/>
            <w:shd w:val="clear" w:color="auto" w:fill="auto"/>
            <w:noWrap/>
            <w:vAlign w:val="center"/>
          </w:tcPr>
          <w:p w:rsidR="001B708E" w:rsidRPr="001B708E" w:rsidRDefault="001B708E" w:rsidP="001B708E">
            <w:pPr>
              <w:jc w:val="center"/>
              <w:rPr>
                <w:lang w:val="it-IT"/>
              </w:rPr>
            </w:pPr>
            <w:r w:rsidRPr="001B708E">
              <w:rPr>
                <w:lang w:val="it-IT"/>
              </w:rPr>
              <w:t>32.0</w:t>
            </w:r>
          </w:p>
        </w:tc>
      </w:tr>
      <w:tr w:rsidR="00C26146" w:rsidRPr="001B708E" w:rsidTr="0034360E">
        <w:trPr>
          <w:trHeight w:val="400"/>
        </w:trPr>
        <w:tc>
          <w:tcPr>
            <w:tcW w:w="1587" w:type="pct"/>
            <w:vMerge/>
            <w:vAlign w:val="center"/>
          </w:tcPr>
          <w:p w:rsidR="001B708E" w:rsidRPr="001B708E" w:rsidRDefault="001B708E" w:rsidP="001B708E">
            <w:pPr>
              <w:jc w:val="center"/>
              <w:rPr>
                <w:lang w:val="it-IT"/>
              </w:rPr>
            </w:pPr>
          </w:p>
        </w:tc>
        <w:tc>
          <w:tcPr>
            <w:tcW w:w="1110" w:type="pct"/>
            <w:shd w:val="clear" w:color="auto" w:fill="auto"/>
            <w:noWrap/>
            <w:vAlign w:val="center"/>
          </w:tcPr>
          <w:p w:rsidR="001B708E" w:rsidRPr="001B708E" w:rsidRDefault="001B708E" w:rsidP="001B708E">
            <w:pPr>
              <w:jc w:val="center"/>
              <w:rPr>
                <w:lang w:val="it-IT"/>
              </w:rPr>
            </w:pPr>
            <w:r w:rsidRPr="001B708E">
              <w:rPr>
                <w:lang w:val="it-IT"/>
              </w:rPr>
              <w:t>120</w:t>
            </w:r>
          </w:p>
        </w:tc>
        <w:tc>
          <w:tcPr>
            <w:tcW w:w="1061" w:type="pct"/>
            <w:shd w:val="clear" w:color="auto" w:fill="auto"/>
            <w:noWrap/>
            <w:vAlign w:val="center"/>
          </w:tcPr>
          <w:p w:rsidR="001B708E" w:rsidRPr="001B708E" w:rsidRDefault="001B708E" w:rsidP="001B708E">
            <w:pPr>
              <w:jc w:val="center"/>
              <w:rPr>
                <w:lang w:val="it-IT"/>
              </w:rPr>
            </w:pPr>
            <w:r w:rsidRPr="001B708E">
              <w:rPr>
                <w:lang w:val="it-IT"/>
              </w:rPr>
              <w:t>52.4</w:t>
            </w:r>
          </w:p>
        </w:tc>
        <w:tc>
          <w:tcPr>
            <w:tcW w:w="1242" w:type="pct"/>
            <w:shd w:val="clear" w:color="auto" w:fill="auto"/>
            <w:noWrap/>
            <w:vAlign w:val="center"/>
          </w:tcPr>
          <w:p w:rsidR="001B708E" w:rsidRPr="001B708E" w:rsidRDefault="001B708E" w:rsidP="001B708E">
            <w:pPr>
              <w:jc w:val="center"/>
              <w:rPr>
                <w:lang w:val="it-IT"/>
              </w:rPr>
            </w:pPr>
            <w:r w:rsidRPr="001B708E">
              <w:rPr>
                <w:lang w:val="it-IT"/>
              </w:rPr>
              <w:t>47.6</w:t>
            </w:r>
          </w:p>
        </w:tc>
      </w:tr>
      <w:tr w:rsidR="00C26146" w:rsidRPr="001B708E" w:rsidTr="0034360E">
        <w:trPr>
          <w:trHeight w:val="400"/>
        </w:trPr>
        <w:tc>
          <w:tcPr>
            <w:tcW w:w="1587" w:type="pct"/>
            <w:vMerge/>
            <w:vAlign w:val="center"/>
          </w:tcPr>
          <w:p w:rsidR="001B708E" w:rsidRPr="001B708E" w:rsidRDefault="001B708E" w:rsidP="001B708E">
            <w:pPr>
              <w:jc w:val="center"/>
              <w:rPr>
                <w:lang w:val="it-IT"/>
              </w:rPr>
            </w:pPr>
          </w:p>
        </w:tc>
        <w:tc>
          <w:tcPr>
            <w:tcW w:w="1110" w:type="pct"/>
            <w:shd w:val="clear" w:color="auto" w:fill="auto"/>
            <w:noWrap/>
            <w:vAlign w:val="center"/>
          </w:tcPr>
          <w:p w:rsidR="001B708E" w:rsidRPr="001B708E" w:rsidRDefault="001B708E" w:rsidP="001B708E">
            <w:pPr>
              <w:jc w:val="center"/>
              <w:rPr>
                <w:lang w:val="it-IT"/>
              </w:rPr>
            </w:pPr>
            <w:r w:rsidRPr="001B708E">
              <w:rPr>
                <w:lang w:val="it-IT"/>
              </w:rPr>
              <w:t>180</w:t>
            </w:r>
          </w:p>
        </w:tc>
        <w:tc>
          <w:tcPr>
            <w:tcW w:w="1061" w:type="pct"/>
            <w:shd w:val="clear" w:color="auto" w:fill="auto"/>
            <w:noWrap/>
            <w:vAlign w:val="center"/>
          </w:tcPr>
          <w:p w:rsidR="001B708E" w:rsidRPr="001B708E" w:rsidRDefault="001B708E" w:rsidP="001B708E">
            <w:pPr>
              <w:jc w:val="center"/>
              <w:rPr>
                <w:lang w:val="it-IT"/>
              </w:rPr>
            </w:pPr>
            <w:r w:rsidRPr="001B708E">
              <w:rPr>
                <w:lang w:val="it-IT"/>
              </w:rPr>
              <w:t>34.6</w:t>
            </w:r>
          </w:p>
        </w:tc>
        <w:tc>
          <w:tcPr>
            <w:tcW w:w="1242" w:type="pct"/>
            <w:shd w:val="clear" w:color="auto" w:fill="auto"/>
            <w:noWrap/>
            <w:vAlign w:val="center"/>
          </w:tcPr>
          <w:p w:rsidR="001B708E" w:rsidRPr="001B708E" w:rsidRDefault="001B708E" w:rsidP="001B708E">
            <w:pPr>
              <w:jc w:val="center"/>
              <w:rPr>
                <w:lang w:val="it-IT"/>
              </w:rPr>
            </w:pPr>
            <w:r w:rsidRPr="001B708E">
              <w:rPr>
                <w:lang w:val="it-IT"/>
              </w:rPr>
              <w:t>65.4</w:t>
            </w:r>
          </w:p>
        </w:tc>
      </w:tr>
      <w:tr w:rsidR="00C26146" w:rsidRPr="001B708E" w:rsidTr="0034360E">
        <w:trPr>
          <w:trHeight w:val="400"/>
        </w:trPr>
        <w:tc>
          <w:tcPr>
            <w:tcW w:w="1587" w:type="pct"/>
            <w:vMerge w:val="restart"/>
            <w:vAlign w:val="center"/>
          </w:tcPr>
          <w:p w:rsidR="001B708E" w:rsidRPr="001B708E" w:rsidRDefault="001B708E" w:rsidP="001B708E">
            <w:pPr>
              <w:jc w:val="center"/>
              <w:rPr>
                <w:lang w:val="it-IT"/>
              </w:rPr>
            </w:pPr>
            <w:r w:rsidRPr="001B708E">
              <w:rPr>
                <w:b/>
                <w:lang w:val="it-IT"/>
              </w:rPr>
              <w:t>1:4</w:t>
            </w:r>
          </w:p>
        </w:tc>
        <w:tc>
          <w:tcPr>
            <w:tcW w:w="1110" w:type="pct"/>
            <w:shd w:val="clear" w:color="auto" w:fill="auto"/>
            <w:noWrap/>
            <w:vAlign w:val="center"/>
          </w:tcPr>
          <w:p w:rsidR="001B708E" w:rsidRPr="001B708E" w:rsidRDefault="001B708E" w:rsidP="001B708E">
            <w:pPr>
              <w:jc w:val="center"/>
              <w:rPr>
                <w:lang w:val="it-IT"/>
              </w:rPr>
            </w:pPr>
            <w:r w:rsidRPr="001B708E">
              <w:rPr>
                <w:lang w:val="it-IT"/>
              </w:rPr>
              <w:t>45</w:t>
            </w:r>
          </w:p>
        </w:tc>
        <w:tc>
          <w:tcPr>
            <w:tcW w:w="1061" w:type="pct"/>
            <w:shd w:val="clear" w:color="auto" w:fill="auto"/>
            <w:noWrap/>
            <w:vAlign w:val="center"/>
          </w:tcPr>
          <w:p w:rsidR="001B708E" w:rsidRPr="001B708E" w:rsidRDefault="001B708E" w:rsidP="001B708E">
            <w:pPr>
              <w:jc w:val="center"/>
              <w:rPr>
                <w:lang w:val="it-IT"/>
              </w:rPr>
            </w:pPr>
            <w:r w:rsidRPr="001B708E">
              <w:rPr>
                <w:lang w:val="it-IT"/>
              </w:rPr>
              <w:t>65.2</w:t>
            </w:r>
          </w:p>
        </w:tc>
        <w:tc>
          <w:tcPr>
            <w:tcW w:w="1242" w:type="pct"/>
            <w:shd w:val="clear" w:color="auto" w:fill="auto"/>
            <w:noWrap/>
            <w:vAlign w:val="center"/>
          </w:tcPr>
          <w:p w:rsidR="001B708E" w:rsidRPr="001B708E" w:rsidRDefault="001B708E" w:rsidP="001B708E">
            <w:pPr>
              <w:jc w:val="center"/>
              <w:rPr>
                <w:lang w:val="it-IT"/>
              </w:rPr>
            </w:pPr>
            <w:r w:rsidRPr="001B708E">
              <w:rPr>
                <w:lang w:val="it-IT"/>
              </w:rPr>
              <w:t>34.8</w:t>
            </w:r>
          </w:p>
        </w:tc>
      </w:tr>
      <w:tr w:rsidR="00C26146" w:rsidRPr="001B708E" w:rsidTr="0034360E">
        <w:trPr>
          <w:trHeight w:val="400"/>
        </w:trPr>
        <w:tc>
          <w:tcPr>
            <w:tcW w:w="1587" w:type="pct"/>
            <w:vMerge/>
            <w:vAlign w:val="center"/>
          </w:tcPr>
          <w:p w:rsidR="001B708E" w:rsidRPr="001B708E" w:rsidRDefault="001B708E" w:rsidP="001B708E">
            <w:pPr>
              <w:jc w:val="center"/>
              <w:rPr>
                <w:b/>
                <w:lang w:val="it-IT"/>
              </w:rPr>
            </w:pPr>
          </w:p>
        </w:tc>
        <w:tc>
          <w:tcPr>
            <w:tcW w:w="1110" w:type="pct"/>
            <w:shd w:val="clear" w:color="auto" w:fill="auto"/>
            <w:noWrap/>
            <w:vAlign w:val="center"/>
          </w:tcPr>
          <w:p w:rsidR="001B708E" w:rsidRPr="001B708E" w:rsidRDefault="001B708E" w:rsidP="001B708E">
            <w:pPr>
              <w:jc w:val="center"/>
              <w:rPr>
                <w:lang w:val="it-IT"/>
              </w:rPr>
            </w:pPr>
            <w:r w:rsidRPr="001B708E">
              <w:rPr>
                <w:lang w:val="it-IT"/>
              </w:rPr>
              <w:t>90</w:t>
            </w:r>
          </w:p>
        </w:tc>
        <w:tc>
          <w:tcPr>
            <w:tcW w:w="1061" w:type="pct"/>
            <w:shd w:val="clear" w:color="auto" w:fill="auto"/>
            <w:noWrap/>
            <w:vAlign w:val="center"/>
          </w:tcPr>
          <w:p w:rsidR="001B708E" w:rsidRPr="001B708E" w:rsidRDefault="001B708E" w:rsidP="001B708E">
            <w:pPr>
              <w:jc w:val="center"/>
              <w:rPr>
                <w:lang w:val="it-IT"/>
              </w:rPr>
            </w:pPr>
            <w:r w:rsidRPr="001B708E">
              <w:rPr>
                <w:lang w:val="it-IT"/>
              </w:rPr>
              <w:t>65.4</w:t>
            </w:r>
          </w:p>
        </w:tc>
        <w:tc>
          <w:tcPr>
            <w:tcW w:w="1242" w:type="pct"/>
            <w:shd w:val="clear" w:color="auto" w:fill="auto"/>
            <w:noWrap/>
            <w:vAlign w:val="center"/>
          </w:tcPr>
          <w:p w:rsidR="001B708E" w:rsidRPr="001B708E" w:rsidRDefault="001B708E" w:rsidP="001B708E">
            <w:pPr>
              <w:jc w:val="center"/>
              <w:rPr>
                <w:lang w:val="it-IT"/>
              </w:rPr>
            </w:pPr>
            <w:r w:rsidRPr="001B708E">
              <w:rPr>
                <w:lang w:val="it-IT"/>
              </w:rPr>
              <w:t>34.6</w:t>
            </w:r>
          </w:p>
        </w:tc>
      </w:tr>
      <w:tr w:rsidR="00C26146" w:rsidRPr="001B708E" w:rsidTr="0034360E">
        <w:trPr>
          <w:trHeight w:val="400"/>
        </w:trPr>
        <w:tc>
          <w:tcPr>
            <w:tcW w:w="1587" w:type="pct"/>
            <w:vMerge/>
            <w:vAlign w:val="center"/>
          </w:tcPr>
          <w:p w:rsidR="001B708E" w:rsidRPr="001B708E" w:rsidRDefault="001B708E" w:rsidP="001B708E">
            <w:pPr>
              <w:jc w:val="center"/>
              <w:rPr>
                <w:lang w:val="it-IT"/>
              </w:rPr>
            </w:pPr>
          </w:p>
        </w:tc>
        <w:tc>
          <w:tcPr>
            <w:tcW w:w="1110" w:type="pct"/>
            <w:shd w:val="clear" w:color="auto" w:fill="auto"/>
            <w:noWrap/>
            <w:vAlign w:val="center"/>
          </w:tcPr>
          <w:p w:rsidR="001B708E" w:rsidRPr="001B708E" w:rsidRDefault="001B708E" w:rsidP="001B708E">
            <w:pPr>
              <w:jc w:val="center"/>
              <w:rPr>
                <w:lang w:val="it-IT"/>
              </w:rPr>
            </w:pPr>
            <w:r w:rsidRPr="001B708E">
              <w:rPr>
                <w:lang w:val="it-IT"/>
              </w:rPr>
              <w:t>120</w:t>
            </w:r>
          </w:p>
        </w:tc>
        <w:tc>
          <w:tcPr>
            <w:tcW w:w="1061" w:type="pct"/>
            <w:shd w:val="clear" w:color="auto" w:fill="auto"/>
            <w:noWrap/>
            <w:vAlign w:val="center"/>
          </w:tcPr>
          <w:p w:rsidR="001B708E" w:rsidRPr="001B708E" w:rsidRDefault="001B708E" w:rsidP="001B708E">
            <w:pPr>
              <w:jc w:val="center"/>
              <w:rPr>
                <w:lang w:val="it-IT"/>
              </w:rPr>
            </w:pPr>
            <w:r w:rsidRPr="001B708E">
              <w:rPr>
                <w:lang w:val="it-IT"/>
              </w:rPr>
              <w:t>54.8</w:t>
            </w:r>
          </w:p>
        </w:tc>
        <w:tc>
          <w:tcPr>
            <w:tcW w:w="1242" w:type="pct"/>
            <w:shd w:val="clear" w:color="auto" w:fill="auto"/>
            <w:noWrap/>
            <w:vAlign w:val="center"/>
          </w:tcPr>
          <w:p w:rsidR="001B708E" w:rsidRPr="001B708E" w:rsidRDefault="001B708E" w:rsidP="001B708E">
            <w:pPr>
              <w:jc w:val="center"/>
              <w:rPr>
                <w:lang w:val="it-IT"/>
              </w:rPr>
            </w:pPr>
            <w:r w:rsidRPr="001B708E">
              <w:rPr>
                <w:lang w:val="it-IT"/>
              </w:rPr>
              <w:t>45.2</w:t>
            </w:r>
          </w:p>
        </w:tc>
      </w:tr>
      <w:tr w:rsidR="00C26146" w:rsidRPr="001B708E" w:rsidTr="0034360E">
        <w:trPr>
          <w:trHeight w:val="400"/>
        </w:trPr>
        <w:tc>
          <w:tcPr>
            <w:tcW w:w="1587" w:type="pct"/>
            <w:vMerge/>
            <w:vAlign w:val="center"/>
          </w:tcPr>
          <w:p w:rsidR="001B708E" w:rsidRPr="001B708E" w:rsidRDefault="001B708E" w:rsidP="001B708E">
            <w:pPr>
              <w:jc w:val="center"/>
              <w:rPr>
                <w:lang w:val="it-IT"/>
              </w:rPr>
            </w:pPr>
          </w:p>
        </w:tc>
        <w:tc>
          <w:tcPr>
            <w:tcW w:w="1110" w:type="pct"/>
            <w:shd w:val="clear" w:color="auto" w:fill="auto"/>
            <w:noWrap/>
            <w:vAlign w:val="center"/>
          </w:tcPr>
          <w:p w:rsidR="001B708E" w:rsidRPr="001B708E" w:rsidRDefault="001B708E" w:rsidP="001B708E">
            <w:pPr>
              <w:jc w:val="center"/>
              <w:rPr>
                <w:lang w:val="it-IT"/>
              </w:rPr>
            </w:pPr>
            <w:r w:rsidRPr="001B708E">
              <w:rPr>
                <w:lang w:val="it-IT"/>
              </w:rPr>
              <w:t>180</w:t>
            </w:r>
          </w:p>
        </w:tc>
        <w:tc>
          <w:tcPr>
            <w:tcW w:w="1061" w:type="pct"/>
            <w:shd w:val="clear" w:color="auto" w:fill="auto"/>
            <w:noWrap/>
            <w:vAlign w:val="center"/>
          </w:tcPr>
          <w:p w:rsidR="001B708E" w:rsidRPr="001B708E" w:rsidRDefault="001B708E" w:rsidP="001B708E">
            <w:pPr>
              <w:jc w:val="center"/>
              <w:rPr>
                <w:lang w:val="it-IT"/>
              </w:rPr>
            </w:pPr>
            <w:r w:rsidRPr="001B708E">
              <w:rPr>
                <w:lang w:val="it-IT"/>
              </w:rPr>
              <w:t>35.7</w:t>
            </w:r>
          </w:p>
        </w:tc>
        <w:tc>
          <w:tcPr>
            <w:tcW w:w="1242" w:type="pct"/>
            <w:shd w:val="clear" w:color="auto" w:fill="auto"/>
            <w:noWrap/>
            <w:vAlign w:val="center"/>
          </w:tcPr>
          <w:p w:rsidR="001B708E" w:rsidRPr="001B708E" w:rsidRDefault="001B708E" w:rsidP="001B708E">
            <w:pPr>
              <w:jc w:val="center"/>
              <w:rPr>
                <w:lang w:val="it-IT"/>
              </w:rPr>
            </w:pPr>
            <w:r w:rsidRPr="001B708E">
              <w:rPr>
                <w:lang w:val="it-IT"/>
              </w:rPr>
              <w:t>64.3</w:t>
            </w:r>
          </w:p>
        </w:tc>
      </w:tr>
      <w:tr w:rsidR="00C26146" w:rsidRPr="001B708E" w:rsidTr="0034360E">
        <w:trPr>
          <w:trHeight w:val="400"/>
        </w:trPr>
        <w:tc>
          <w:tcPr>
            <w:tcW w:w="1587" w:type="pct"/>
            <w:vMerge w:val="restart"/>
            <w:vAlign w:val="center"/>
          </w:tcPr>
          <w:p w:rsidR="001B708E" w:rsidRPr="001B708E" w:rsidRDefault="001B708E" w:rsidP="001B708E">
            <w:pPr>
              <w:jc w:val="center"/>
              <w:rPr>
                <w:lang w:val="it-IT"/>
              </w:rPr>
            </w:pPr>
            <w:r w:rsidRPr="001B708E">
              <w:rPr>
                <w:b/>
                <w:lang w:val="it-IT"/>
              </w:rPr>
              <w:t>1:7</w:t>
            </w:r>
          </w:p>
        </w:tc>
        <w:tc>
          <w:tcPr>
            <w:tcW w:w="1110" w:type="pct"/>
            <w:shd w:val="clear" w:color="auto" w:fill="auto"/>
            <w:noWrap/>
            <w:vAlign w:val="center"/>
          </w:tcPr>
          <w:p w:rsidR="001B708E" w:rsidRPr="001B708E" w:rsidRDefault="001B708E" w:rsidP="001B708E">
            <w:pPr>
              <w:jc w:val="center"/>
              <w:rPr>
                <w:lang w:val="it-IT"/>
              </w:rPr>
            </w:pPr>
            <w:r w:rsidRPr="001B708E">
              <w:rPr>
                <w:lang w:val="it-IT"/>
              </w:rPr>
              <w:t>45</w:t>
            </w:r>
          </w:p>
        </w:tc>
        <w:tc>
          <w:tcPr>
            <w:tcW w:w="1061" w:type="pct"/>
            <w:shd w:val="clear" w:color="auto" w:fill="auto"/>
            <w:noWrap/>
            <w:vAlign w:val="bottom"/>
          </w:tcPr>
          <w:p w:rsidR="001B708E" w:rsidRPr="001B708E" w:rsidRDefault="001B708E" w:rsidP="001B708E">
            <w:pPr>
              <w:jc w:val="center"/>
              <w:rPr>
                <w:lang w:val="it-IT"/>
              </w:rPr>
            </w:pPr>
            <w:r w:rsidRPr="001B708E">
              <w:rPr>
                <w:lang w:val="it-IT"/>
              </w:rPr>
              <w:t>54.8</w:t>
            </w:r>
          </w:p>
        </w:tc>
        <w:tc>
          <w:tcPr>
            <w:tcW w:w="1242" w:type="pct"/>
            <w:shd w:val="clear" w:color="auto" w:fill="auto"/>
            <w:noWrap/>
            <w:vAlign w:val="bottom"/>
          </w:tcPr>
          <w:p w:rsidR="001B708E" w:rsidRPr="001B708E" w:rsidRDefault="001B708E" w:rsidP="001B708E">
            <w:pPr>
              <w:jc w:val="center"/>
              <w:rPr>
                <w:lang w:val="it-IT"/>
              </w:rPr>
            </w:pPr>
            <w:r w:rsidRPr="001B708E">
              <w:rPr>
                <w:lang w:val="it-IT"/>
              </w:rPr>
              <w:t>45.2</w:t>
            </w:r>
          </w:p>
        </w:tc>
      </w:tr>
      <w:tr w:rsidR="00C26146" w:rsidRPr="001B708E" w:rsidTr="0034360E">
        <w:trPr>
          <w:trHeight w:val="400"/>
        </w:trPr>
        <w:tc>
          <w:tcPr>
            <w:tcW w:w="1587" w:type="pct"/>
            <w:vMerge/>
            <w:vAlign w:val="center"/>
          </w:tcPr>
          <w:p w:rsidR="001B708E" w:rsidRPr="001B708E" w:rsidRDefault="001B708E" w:rsidP="001B708E">
            <w:pPr>
              <w:jc w:val="center"/>
              <w:rPr>
                <w:b/>
                <w:lang w:val="it-IT"/>
              </w:rPr>
            </w:pPr>
          </w:p>
        </w:tc>
        <w:tc>
          <w:tcPr>
            <w:tcW w:w="1110" w:type="pct"/>
            <w:shd w:val="clear" w:color="auto" w:fill="auto"/>
            <w:noWrap/>
            <w:vAlign w:val="center"/>
          </w:tcPr>
          <w:p w:rsidR="001B708E" w:rsidRPr="001B708E" w:rsidRDefault="001B708E" w:rsidP="001B708E">
            <w:pPr>
              <w:jc w:val="center"/>
              <w:rPr>
                <w:lang w:val="it-IT"/>
              </w:rPr>
            </w:pPr>
            <w:r w:rsidRPr="001B708E">
              <w:rPr>
                <w:lang w:val="it-IT"/>
              </w:rPr>
              <w:t>90</w:t>
            </w:r>
          </w:p>
        </w:tc>
        <w:tc>
          <w:tcPr>
            <w:tcW w:w="1061" w:type="pct"/>
            <w:shd w:val="clear" w:color="auto" w:fill="auto"/>
            <w:noWrap/>
            <w:vAlign w:val="bottom"/>
          </w:tcPr>
          <w:p w:rsidR="001B708E" w:rsidRPr="001B708E" w:rsidRDefault="001B708E" w:rsidP="001B708E">
            <w:pPr>
              <w:jc w:val="center"/>
              <w:rPr>
                <w:lang w:val="it-IT"/>
              </w:rPr>
            </w:pPr>
            <w:r w:rsidRPr="001B708E">
              <w:rPr>
                <w:lang w:val="it-IT"/>
              </w:rPr>
              <w:t>53.4</w:t>
            </w:r>
          </w:p>
        </w:tc>
        <w:tc>
          <w:tcPr>
            <w:tcW w:w="1242" w:type="pct"/>
            <w:shd w:val="clear" w:color="auto" w:fill="auto"/>
            <w:noWrap/>
            <w:vAlign w:val="bottom"/>
          </w:tcPr>
          <w:p w:rsidR="001B708E" w:rsidRPr="001B708E" w:rsidRDefault="001B708E" w:rsidP="001B708E">
            <w:pPr>
              <w:jc w:val="center"/>
              <w:rPr>
                <w:lang w:val="it-IT"/>
              </w:rPr>
            </w:pPr>
            <w:r w:rsidRPr="001B708E">
              <w:rPr>
                <w:lang w:val="it-IT"/>
              </w:rPr>
              <w:t>46.6</w:t>
            </w:r>
          </w:p>
        </w:tc>
      </w:tr>
      <w:tr w:rsidR="00C26146" w:rsidRPr="001B708E" w:rsidTr="0034360E">
        <w:trPr>
          <w:trHeight w:val="400"/>
        </w:trPr>
        <w:tc>
          <w:tcPr>
            <w:tcW w:w="1587" w:type="pct"/>
            <w:vMerge/>
            <w:vAlign w:val="center"/>
          </w:tcPr>
          <w:p w:rsidR="001B708E" w:rsidRPr="001B708E" w:rsidRDefault="001B708E" w:rsidP="001B708E">
            <w:pPr>
              <w:jc w:val="center"/>
              <w:rPr>
                <w:lang w:val="it-IT"/>
              </w:rPr>
            </w:pPr>
          </w:p>
        </w:tc>
        <w:tc>
          <w:tcPr>
            <w:tcW w:w="1110" w:type="pct"/>
            <w:shd w:val="clear" w:color="auto" w:fill="auto"/>
            <w:noWrap/>
            <w:vAlign w:val="center"/>
          </w:tcPr>
          <w:p w:rsidR="001B708E" w:rsidRPr="001B708E" w:rsidRDefault="001B708E" w:rsidP="001B708E">
            <w:pPr>
              <w:jc w:val="center"/>
              <w:rPr>
                <w:lang w:val="it-IT"/>
              </w:rPr>
            </w:pPr>
            <w:r w:rsidRPr="001B708E">
              <w:rPr>
                <w:lang w:val="it-IT"/>
              </w:rPr>
              <w:t>120</w:t>
            </w:r>
          </w:p>
        </w:tc>
        <w:tc>
          <w:tcPr>
            <w:tcW w:w="1061" w:type="pct"/>
            <w:shd w:val="clear" w:color="auto" w:fill="auto"/>
            <w:noWrap/>
            <w:vAlign w:val="bottom"/>
          </w:tcPr>
          <w:p w:rsidR="001B708E" w:rsidRPr="001B708E" w:rsidRDefault="001B708E" w:rsidP="001B708E">
            <w:pPr>
              <w:jc w:val="center"/>
              <w:rPr>
                <w:lang w:val="it-IT"/>
              </w:rPr>
            </w:pPr>
            <w:r w:rsidRPr="001B708E">
              <w:rPr>
                <w:lang w:val="it-IT"/>
              </w:rPr>
              <w:t>50.0</w:t>
            </w:r>
          </w:p>
        </w:tc>
        <w:tc>
          <w:tcPr>
            <w:tcW w:w="1242" w:type="pct"/>
            <w:shd w:val="clear" w:color="auto" w:fill="auto"/>
            <w:noWrap/>
            <w:vAlign w:val="bottom"/>
          </w:tcPr>
          <w:p w:rsidR="001B708E" w:rsidRPr="001B708E" w:rsidRDefault="001B708E" w:rsidP="001B708E">
            <w:pPr>
              <w:jc w:val="center"/>
              <w:rPr>
                <w:lang w:val="it-IT"/>
              </w:rPr>
            </w:pPr>
            <w:r w:rsidRPr="001B708E">
              <w:rPr>
                <w:lang w:val="it-IT"/>
              </w:rPr>
              <w:t>50.0</w:t>
            </w:r>
          </w:p>
        </w:tc>
      </w:tr>
      <w:tr w:rsidR="00C26146" w:rsidRPr="001B708E" w:rsidTr="0034360E">
        <w:trPr>
          <w:trHeight w:val="400"/>
        </w:trPr>
        <w:tc>
          <w:tcPr>
            <w:tcW w:w="1587" w:type="pct"/>
            <w:vMerge/>
            <w:vAlign w:val="center"/>
          </w:tcPr>
          <w:p w:rsidR="001B708E" w:rsidRPr="001B708E" w:rsidRDefault="001B708E" w:rsidP="001B708E">
            <w:pPr>
              <w:jc w:val="center"/>
              <w:rPr>
                <w:lang w:val="it-IT"/>
              </w:rPr>
            </w:pPr>
          </w:p>
        </w:tc>
        <w:tc>
          <w:tcPr>
            <w:tcW w:w="1110" w:type="pct"/>
            <w:shd w:val="clear" w:color="auto" w:fill="auto"/>
            <w:noWrap/>
            <w:vAlign w:val="center"/>
          </w:tcPr>
          <w:p w:rsidR="001B708E" w:rsidRPr="001B708E" w:rsidRDefault="001B708E" w:rsidP="001B708E">
            <w:pPr>
              <w:jc w:val="center"/>
              <w:rPr>
                <w:lang w:val="it-IT"/>
              </w:rPr>
            </w:pPr>
            <w:r w:rsidRPr="001B708E">
              <w:rPr>
                <w:lang w:val="it-IT"/>
              </w:rPr>
              <w:t>180</w:t>
            </w:r>
          </w:p>
        </w:tc>
        <w:tc>
          <w:tcPr>
            <w:tcW w:w="1061" w:type="pct"/>
            <w:shd w:val="clear" w:color="auto" w:fill="auto"/>
            <w:noWrap/>
            <w:vAlign w:val="bottom"/>
          </w:tcPr>
          <w:p w:rsidR="001B708E" w:rsidRPr="001B708E" w:rsidRDefault="001B708E" w:rsidP="001B708E">
            <w:pPr>
              <w:jc w:val="center"/>
              <w:rPr>
                <w:lang w:val="it-IT"/>
              </w:rPr>
            </w:pPr>
            <w:r w:rsidRPr="001B708E">
              <w:rPr>
                <w:lang w:val="it-IT"/>
              </w:rPr>
              <w:t>36.8</w:t>
            </w:r>
          </w:p>
        </w:tc>
        <w:tc>
          <w:tcPr>
            <w:tcW w:w="1242" w:type="pct"/>
            <w:shd w:val="clear" w:color="auto" w:fill="auto"/>
            <w:noWrap/>
            <w:vAlign w:val="bottom"/>
          </w:tcPr>
          <w:p w:rsidR="001B708E" w:rsidRPr="001B708E" w:rsidRDefault="001B708E" w:rsidP="001B708E">
            <w:pPr>
              <w:jc w:val="center"/>
              <w:rPr>
                <w:lang w:val="it-IT"/>
              </w:rPr>
            </w:pPr>
            <w:r w:rsidRPr="001B708E">
              <w:rPr>
                <w:lang w:val="it-IT"/>
              </w:rPr>
              <w:t>63.2</w:t>
            </w:r>
          </w:p>
        </w:tc>
      </w:tr>
    </w:tbl>
    <w:p w:rsidR="001B708E" w:rsidRPr="001B708E" w:rsidRDefault="001B708E" w:rsidP="001B708E">
      <w:pPr>
        <w:tabs>
          <w:tab w:val="left" w:pos="3780"/>
        </w:tabs>
        <w:rPr>
          <w:lang w:val="en-US"/>
        </w:rPr>
      </w:pPr>
    </w:p>
    <w:p w:rsidR="001B708E" w:rsidRPr="001B708E" w:rsidRDefault="001B708E" w:rsidP="001B708E">
      <w:pPr>
        <w:autoSpaceDE w:val="0"/>
        <w:autoSpaceDN w:val="0"/>
        <w:adjustRightInd w:val="0"/>
        <w:rPr>
          <w:lang w:val="en-US"/>
        </w:rPr>
      </w:pPr>
      <w:proofErr w:type="spellStart"/>
      <w:r w:rsidRPr="001B708E">
        <w:rPr>
          <w:lang w:val="en-US"/>
        </w:rPr>
        <w:t>Xcr</w:t>
      </w:r>
      <w:proofErr w:type="spellEnd"/>
      <w:r w:rsidRPr="001B708E">
        <w:rPr>
          <w:lang w:val="en-US"/>
        </w:rPr>
        <w:t xml:space="preserve"> - Crystalline degree expressed as percentage (%)</w:t>
      </w:r>
    </w:p>
    <w:p w:rsidR="001B708E" w:rsidRPr="001B708E" w:rsidRDefault="001B708E" w:rsidP="001B708E">
      <w:pPr>
        <w:autoSpaceDE w:val="0"/>
        <w:autoSpaceDN w:val="0"/>
        <w:adjustRightInd w:val="0"/>
        <w:rPr>
          <w:lang w:val="en-US"/>
        </w:rPr>
      </w:pPr>
      <w:proofErr w:type="spellStart"/>
      <w:r w:rsidRPr="001B708E">
        <w:rPr>
          <w:lang w:val="en-US"/>
        </w:rPr>
        <w:t>Xa</w:t>
      </w:r>
      <w:proofErr w:type="spellEnd"/>
      <w:r w:rsidRPr="001B708E">
        <w:rPr>
          <w:lang w:val="en-US"/>
        </w:rPr>
        <w:t xml:space="preserve"> - Amorphous degree expressed as percentage (%)</w:t>
      </w:r>
    </w:p>
    <w:p w:rsidR="001B708E" w:rsidRPr="001B708E" w:rsidRDefault="001B708E" w:rsidP="001B708E">
      <w:pPr>
        <w:tabs>
          <w:tab w:val="left" w:pos="3780"/>
        </w:tabs>
        <w:rPr>
          <w:lang w:val="en-US"/>
        </w:rPr>
      </w:pPr>
    </w:p>
    <w:p w:rsidR="001B708E" w:rsidRPr="001B708E" w:rsidRDefault="001B708E" w:rsidP="001B708E">
      <w:pPr>
        <w:jc w:val="center"/>
        <w:rPr>
          <w:lang w:val="en-US"/>
        </w:rPr>
      </w:pPr>
      <w:r w:rsidRPr="001B708E">
        <w:rPr>
          <w:lang w:val="en-US"/>
        </w:rPr>
        <w:br w:type="page"/>
      </w:r>
    </w:p>
    <w:p w:rsidR="001B708E" w:rsidRPr="001B708E" w:rsidRDefault="001B708E" w:rsidP="001B708E">
      <w:pPr>
        <w:rPr>
          <w:lang w:val="en-US"/>
        </w:rPr>
      </w:pPr>
      <w:proofErr w:type="gramStart"/>
      <w:r w:rsidRPr="001B708E">
        <w:rPr>
          <w:b/>
          <w:lang w:val="en-US"/>
        </w:rPr>
        <w:lastRenderedPageBreak/>
        <w:t>Table 3.</w:t>
      </w:r>
      <w:proofErr w:type="gramEnd"/>
      <w:r w:rsidRPr="001B708E">
        <w:rPr>
          <w:lang w:val="en-US"/>
        </w:rPr>
        <w:t xml:space="preserve"> </w:t>
      </w:r>
      <w:proofErr w:type="gramStart"/>
      <w:r w:rsidRPr="001B708E">
        <w:rPr>
          <w:lang w:val="en-US"/>
        </w:rPr>
        <w:t>AUC±S.D.;</w:t>
      </w:r>
      <w:proofErr w:type="gramEnd"/>
      <w:r w:rsidRPr="001B708E">
        <w:rPr>
          <w:lang w:val="en-US"/>
        </w:rPr>
        <w:t xml:space="preserve"> n=3 and </w:t>
      </w:r>
      <w:proofErr w:type="spellStart"/>
      <w:r w:rsidRPr="001B708E">
        <w:rPr>
          <w:lang w:val="en-US"/>
        </w:rPr>
        <w:t>z±dz</w:t>
      </w:r>
      <w:proofErr w:type="spellEnd"/>
      <w:r w:rsidRPr="001B708E">
        <w:rPr>
          <w:lang w:val="en-US"/>
        </w:rPr>
        <w:t xml:space="preserve"> values for the vincamine:PVP-K30 Cog samples and PM mixtures.</w:t>
      </w:r>
    </w:p>
    <w:p w:rsidR="001B708E" w:rsidRPr="001B708E" w:rsidRDefault="001B708E" w:rsidP="001B708E">
      <w:pPr>
        <w:autoSpaceDE w:val="0"/>
        <w:autoSpaceDN w:val="0"/>
        <w:adjustRightInd w:val="0"/>
        <w:jc w:val="center"/>
        <w:rPr>
          <w:lang w:val="en-US"/>
        </w:rPr>
      </w:pPr>
    </w:p>
    <w:tbl>
      <w:tblPr>
        <w:tblW w:w="0" w:type="auto"/>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1E0" w:firstRow="1" w:lastRow="1" w:firstColumn="1" w:lastColumn="1" w:noHBand="0" w:noVBand="0"/>
      </w:tblPr>
      <w:tblGrid>
        <w:gridCol w:w="502"/>
        <w:gridCol w:w="763"/>
        <w:gridCol w:w="1102"/>
        <w:gridCol w:w="1546"/>
        <w:gridCol w:w="1498"/>
      </w:tblGrid>
      <w:tr w:rsidR="00C26146" w:rsidRPr="001B708E" w:rsidTr="0034360E">
        <w:tc>
          <w:tcPr>
            <w:tcW w:w="0" w:type="auto"/>
            <w:gridSpan w:val="5"/>
            <w:shd w:val="clear" w:color="auto" w:fill="auto"/>
          </w:tcPr>
          <w:p w:rsidR="001B708E" w:rsidRPr="001B708E" w:rsidRDefault="001B708E" w:rsidP="001B708E">
            <w:pPr>
              <w:ind w:right="-1"/>
              <w:jc w:val="center"/>
              <w:rPr>
                <w:b/>
                <w:bCs/>
                <w:sz w:val="22"/>
                <w:szCs w:val="22"/>
                <w:lang w:val="en-US"/>
              </w:rPr>
            </w:pPr>
          </w:p>
          <w:p w:rsidR="001B708E" w:rsidRPr="001B708E" w:rsidRDefault="001B708E" w:rsidP="001B708E">
            <w:pPr>
              <w:ind w:right="-1"/>
              <w:jc w:val="center"/>
              <w:rPr>
                <w:b/>
                <w:bCs/>
                <w:sz w:val="22"/>
                <w:szCs w:val="22"/>
                <w:vertAlign w:val="superscript"/>
                <w:lang w:val="en-US"/>
              </w:rPr>
            </w:pPr>
            <w:r w:rsidRPr="001B708E">
              <w:rPr>
                <w:b/>
                <w:bCs/>
                <w:sz w:val="22"/>
                <w:szCs w:val="22"/>
                <w:lang w:val="en-US"/>
              </w:rPr>
              <w:t xml:space="preserve">                                  </w:t>
            </w:r>
            <w:proofErr w:type="spellStart"/>
            <w:r w:rsidRPr="001B708E">
              <w:rPr>
                <w:b/>
                <w:bCs/>
                <w:sz w:val="22"/>
                <w:szCs w:val="22"/>
                <w:lang w:val="en-US"/>
              </w:rPr>
              <w:t>vincamine:PVP</w:t>
            </w:r>
            <w:proofErr w:type="spellEnd"/>
            <w:r w:rsidRPr="001B708E">
              <w:rPr>
                <w:b/>
                <w:bCs/>
                <w:sz w:val="22"/>
                <w:szCs w:val="22"/>
                <w:lang w:val="en-US"/>
              </w:rPr>
              <w:t xml:space="preserve"> k30</w:t>
            </w:r>
          </w:p>
        </w:tc>
      </w:tr>
      <w:tr w:rsidR="00C26146" w:rsidRPr="001B708E" w:rsidTr="0034360E">
        <w:tc>
          <w:tcPr>
            <w:tcW w:w="502" w:type="dxa"/>
            <w:shd w:val="clear" w:color="auto" w:fill="auto"/>
          </w:tcPr>
          <w:p w:rsidR="001B708E" w:rsidRPr="001B708E" w:rsidRDefault="001B708E" w:rsidP="001B708E">
            <w:pPr>
              <w:spacing w:line="360" w:lineRule="auto"/>
              <w:ind w:right="-1"/>
              <w:jc w:val="center"/>
              <w:rPr>
                <w:b/>
                <w:i/>
                <w:sz w:val="22"/>
                <w:szCs w:val="22"/>
                <w:lang w:val="en-US"/>
              </w:rPr>
            </w:pPr>
            <w:r w:rsidRPr="001B708E">
              <w:rPr>
                <w:b/>
                <w:i/>
                <w:sz w:val="22"/>
                <w:szCs w:val="22"/>
                <w:lang w:val="en-US"/>
              </w:rPr>
              <w:t>N</w:t>
            </w:r>
          </w:p>
        </w:tc>
        <w:tc>
          <w:tcPr>
            <w:tcW w:w="763" w:type="dxa"/>
            <w:shd w:val="clear" w:color="auto" w:fill="auto"/>
          </w:tcPr>
          <w:p w:rsidR="001B708E" w:rsidRPr="001B708E" w:rsidRDefault="001B708E" w:rsidP="001B708E">
            <w:pPr>
              <w:jc w:val="center"/>
              <w:rPr>
                <w:b/>
                <w:sz w:val="22"/>
                <w:szCs w:val="22"/>
                <w:lang w:val="en-US"/>
              </w:rPr>
            </w:pPr>
            <w:r w:rsidRPr="001B708E">
              <w:rPr>
                <w:b/>
                <w:sz w:val="22"/>
                <w:szCs w:val="22"/>
                <w:lang w:val="en-US"/>
              </w:rPr>
              <w:t>X</w:t>
            </w:r>
            <w:r w:rsidRPr="001B708E">
              <w:rPr>
                <w:b/>
                <w:sz w:val="22"/>
                <w:szCs w:val="22"/>
                <w:vertAlign w:val="subscript"/>
                <w:lang w:val="en-US"/>
              </w:rPr>
              <w:t>1</w:t>
            </w:r>
            <w:r w:rsidRPr="001B708E">
              <w:rPr>
                <w:b/>
                <w:sz w:val="22"/>
                <w:szCs w:val="22"/>
                <w:lang w:val="en-US"/>
              </w:rPr>
              <w:t xml:space="preserve"> </w:t>
            </w:r>
          </w:p>
          <w:p w:rsidR="001B708E" w:rsidRPr="001B708E" w:rsidRDefault="001B708E" w:rsidP="001B708E">
            <w:pPr>
              <w:jc w:val="center"/>
              <w:rPr>
                <w:b/>
                <w:sz w:val="22"/>
                <w:szCs w:val="22"/>
                <w:lang w:val="en-US"/>
              </w:rPr>
            </w:pPr>
            <w:r w:rsidRPr="001B708E">
              <w:rPr>
                <w:b/>
                <w:sz w:val="22"/>
                <w:szCs w:val="22"/>
                <w:lang w:val="en-US"/>
              </w:rPr>
              <w:t>(min)</w:t>
            </w:r>
          </w:p>
        </w:tc>
        <w:tc>
          <w:tcPr>
            <w:tcW w:w="0" w:type="auto"/>
            <w:shd w:val="clear" w:color="auto" w:fill="auto"/>
          </w:tcPr>
          <w:p w:rsidR="001B708E" w:rsidRPr="001B708E" w:rsidRDefault="001B708E" w:rsidP="001B708E">
            <w:pPr>
              <w:jc w:val="center"/>
              <w:rPr>
                <w:b/>
                <w:sz w:val="22"/>
                <w:szCs w:val="22"/>
                <w:lang w:val="en-US"/>
              </w:rPr>
            </w:pPr>
            <w:r w:rsidRPr="001B708E">
              <w:rPr>
                <w:b/>
                <w:sz w:val="22"/>
                <w:szCs w:val="22"/>
                <w:lang w:val="en-US"/>
              </w:rPr>
              <w:t>X</w:t>
            </w:r>
            <w:r w:rsidRPr="001B708E">
              <w:rPr>
                <w:b/>
                <w:sz w:val="22"/>
                <w:szCs w:val="22"/>
                <w:vertAlign w:val="subscript"/>
                <w:lang w:val="en-US"/>
              </w:rPr>
              <w:t>2</w:t>
            </w:r>
          </w:p>
          <w:p w:rsidR="001B708E" w:rsidRPr="001B708E" w:rsidRDefault="001B708E" w:rsidP="001B708E">
            <w:pPr>
              <w:jc w:val="center"/>
              <w:rPr>
                <w:b/>
                <w:sz w:val="22"/>
                <w:szCs w:val="22"/>
                <w:lang w:val="en-US"/>
              </w:rPr>
            </w:pPr>
            <w:r w:rsidRPr="001B708E">
              <w:rPr>
                <w:b/>
                <w:sz w:val="22"/>
                <w:szCs w:val="22"/>
                <w:lang w:val="en-US"/>
              </w:rPr>
              <w:t>(</w:t>
            </w:r>
            <w:proofErr w:type="spellStart"/>
            <w:r w:rsidRPr="001B708E">
              <w:rPr>
                <w:b/>
                <w:sz w:val="22"/>
                <w:szCs w:val="22"/>
                <w:lang w:val="en-US"/>
              </w:rPr>
              <w:t>wt</w:t>
            </w:r>
            <w:proofErr w:type="spellEnd"/>
            <w:r w:rsidRPr="001B708E">
              <w:rPr>
                <w:b/>
                <w:sz w:val="22"/>
                <w:szCs w:val="22"/>
                <w:lang w:val="en-US"/>
              </w:rPr>
              <w:t xml:space="preserve"> ratio)</w:t>
            </w:r>
          </w:p>
        </w:tc>
        <w:tc>
          <w:tcPr>
            <w:tcW w:w="0" w:type="auto"/>
          </w:tcPr>
          <w:p w:rsidR="001B708E" w:rsidRPr="001B708E" w:rsidRDefault="001B708E" w:rsidP="001B708E">
            <w:pPr>
              <w:jc w:val="center"/>
              <w:rPr>
                <w:b/>
                <w:sz w:val="22"/>
                <w:szCs w:val="22"/>
                <w:lang w:val="en-US"/>
              </w:rPr>
            </w:pPr>
            <w:r w:rsidRPr="001B708E">
              <w:rPr>
                <w:b/>
                <w:sz w:val="22"/>
                <w:szCs w:val="22"/>
                <w:lang w:val="en-US"/>
              </w:rPr>
              <w:t>AUC</w:t>
            </w:r>
            <w:r w:rsidRPr="001B708E">
              <w:rPr>
                <w:b/>
                <w:sz w:val="22"/>
                <w:szCs w:val="22"/>
                <w:vertAlign w:val="subscript"/>
                <w:lang w:val="en-US"/>
              </w:rPr>
              <w:t xml:space="preserve">0-180 </w:t>
            </w:r>
          </w:p>
          <w:p w:rsidR="001B708E" w:rsidRPr="001B708E" w:rsidRDefault="001B708E" w:rsidP="001B708E">
            <w:pPr>
              <w:spacing w:line="360" w:lineRule="auto"/>
              <w:ind w:right="-1"/>
              <w:jc w:val="center"/>
              <w:rPr>
                <w:b/>
                <w:sz w:val="22"/>
                <w:szCs w:val="22"/>
                <w:vertAlign w:val="superscript"/>
                <w:lang w:val="en-US"/>
              </w:rPr>
            </w:pPr>
            <w:r w:rsidRPr="001B708E">
              <w:rPr>
                <w:b/>
                <w:sz w:val="22"/>
                <w:szCs w:val="22"/>
                <w:lang w:val="en-US"/>
              </w:rPr>
              <w:t>(mg/L*h)</w:t>
            </w:r>
          </w:p>
          <w:p w:rsidR="001B708E" w:rsidRPr="001B708E" w:rsidRDefault="001B708E" w:rsidP="001B708E">
            <w:pPr>
              <w:jc w:val="center"/>
              <w:rPr>
                <w:b/>
                <w:sz w:val="22"/>
                <w:szCs w:val="22"/>
                <w:lang w:val="en-US"/>
              </w:rPr>
            </w:pPr>
            <w:r w:rsidRPr="001B708E">
              <w:rPr>
                <w:b/>
                <w:sz w:val="22"/>
                <w:szCs w:val="22"/>
                <w:lang w:val="en-US"/>
              </w:rPr>
              <w:t>(</w:t>
            </w:r>
            <w:proofErr w:type="gramStart"/>
            <w:r w:rsidRPr="001B708E">
              <w:rPr>
                <w:b/>
                <w:sz w:val="22"/>
                <w:szCs w:val="22"/>
                <w:lang w:val="en-US"/>
              </w:rPr>
              <w:t>mean</w:t>
            </w:r>
            <w:proofErr w:type="gramEnd"/>
            <w:r w:rsidRPr="001B708E">
              <w:rPr>
                <w:b/>
                <w:sz w:val="22"/>
                <w:szCs w:val="22"/>
                <w:lang w:val="en-US"/>
              </w:rPr>
              <w:t xml:space="preserve"> ± S.D.)</w:t>
            </w:r>
          </w:p>
        </w:tc>
        <w:tc>
          <w:tcPr>
            <w:tcW w:w="0" w:type="auto"/>
            <w:shd w:val="clear" w:color="auto" w:fill="auto"/>
          </w:tcPr>
          <w:p w:rsidR="001B708E" w:rsidRPr="001B708E" w:rsidRDefault="001B708E" w:rsidP="001B708E">
            <w:pPr>
              <w:jc w:val="center"/>
              <w:rPr>
                <w:b/>
                <w:sz w:val="22"/>
                <w:szCs w:val="22"/>
                <w:lang w:val="en-US"/>
              </w:rPr>
            </w:pPr>
            <w:r w:rsidRPr="001B708E">
              <w:rPr>
                <w:b/>
                <w:sz w:val="22"/>
                <w:szCs w:val="22"/>
                <w:lang w:val="en-US"/>
              </w:rPr>
              <w:t xml:space="preserve">z ± </w:t>
            </w:r>
            <w:proofErr w:type="spellStart"/>
            <w:r w:rsidRPr="001B708E">
              <w:rPr>
                <w:b/>
                <w:sz w:val="22"/>
                <w:szCs w:val="22"/>
                <w:lang w:val="en-US"/>
              </w:rPr>
              <w:t>dz</w:t>
            </w:r>
            <w:proofErr w:type="spellEnd"/>
          </w:p>
          <w:p w:rsidR="001B708E" w:rsidRPr="001B708E" w:rsidRDefault="001B708E" w:rsidP="001B708E">
            <w:pPr>
              <w:jc w:val="center"/>
              <w:rPr>
                <w:b/>
                <w:sz w:val="22"/>
                <w:szCs w:val="22"/>
                <w:lang w:val="en-US"/>
              </w:rPr>
            </w:pPr>
            <w:r w:rsidRPr="001B708E">
              <w:rPr>
                <w:b/>
                <w:sz w:val="22"/>
                <w:szCs w:val="22"/>
                <w:lang w:val="en-US"/>
              </w:rPr>
              <w:t>(</w:t>
            </w:r>
            <w:proofErr w:type="gramStart"/>
            <w:r w:rsidRPr="001B708E">
              <w:rPr>
                <w:b/>
                <w:sz w:val="22"/>
                <w:szCs w:val="22"/>
                <w:lang w:val="en-US"/>
              </w:rPr>
              <w:t>mean</w:t>
            </w:r>
            <w:proofErr w:type="gramEnd"/>
            <w:r w:rsidRPr="001B708E">
              <w:rPr>
                <w:b/>
                <w:sz w:val="22"/>
                <w:szCs w:val="22"/>
                <w:lang w:val="en-US"/>
              </w:rPr>
              <w:t xml:space="preserve"> ± S.D.) </w:t>
            </w:r>
          </w:p>
          <w:p w:rsidR="001B708E" w:rsidRPr="001B708E" w:rsidRDefault="001B708E" w:rsidP="001B708E">
            <w:pPr>
              <w:jc w:val="center"/>
              <w:rPr>
                <w:b/>
                <w:sz w:val="22"/>
                <w:szCs w:val="22"/>
                <w:lang w:val="en-US"/>
              </w:rPr>
            </w:pPr>
            <w:r w:rsidRPr="001B708E">
              <w:rPr>
                <w:b/>
                <w:sz w:val="22"/>
                <w:szCs w:val="22"/>
                <w:lang w:val="en-US"/>
              </w:rPr>
              <w:t xml:space="preserve"> </w:t>
            </w:r>
          </w:p>
        </w:tc>
      </w:tr>
      <w:tr w:rsidR="00C26146" w:rsidRPr="001B708E" w:rsidTr="0034360E">
        <w:tc>
          <w:tcPr>
            <w:tcW w:w="0" w:type="auto"/>
            <w:shd w:val="clear" w:color="auto" w:fill="auto"/>
          </w:tcPr>
          <w:p w:rsidR="001B708E" w:rsidRPr="001B708E" w:rsidRDefault="001B708E" w:rsidP="001B708E">
            <w:pPr>
              <w:jc w:val="center"/>
              <w:rPr>
                <w:b/>
                <w:sz w:val="22"/>
                <w:szCs w:val="22"/>
                <w:lang w:val="en-US"/>
              </w:rPr>
            </w:pPr>
            <w:r w:rsidRPr="001B708E">
              <w:rPr>
                <w:b/>
                <w:sz w:val="22"/>
                <w:szCs w:val="22"/>
                <w:lang w:val="en-US"/>
              </w:rPr>
              <w:t>1</w:t>
            </w:r>
          </w:p>
        </w:tc>
        <w:tc>
          <w:tcPr>
            <w:tcW w:w="0" w:type="auto"/>
            <w:vMerge w:val="restart"/>
            <w:shd w:val="clear" w:color="auto" w:fill="auto"/>
            <w:vAlign w:val="center"/>
          </w:tcPr>
          <w:p w:rsidR="001B708E" w:rsidRPr="001B708E" w:rsidRDefault="001B708E" w:rsidP="001B708E">
            <w:pPr>
              <w:spacing w:line="360" w:lineRule="auto"/>
              <w:ind w:right="-1"/>
              <w:jc w:val="center"/>
              <w:rPr>
                <w:sz w:val="22"/>
                <w:szCs w:val="22"/>
                <w:lang w:val="en-US"/>
              </w:rPr>
            </w:pPr>
            <w:r w:rsidRPr="001B708E">
              <w:rPr>
                <w:sz w:val="22"/>
                <w:szCs w:val="22"/>
                <w:lang w:val="en-US"/>
              </w:rPr>
              <w:t>0</w:t>
            </w:r>
          </w:p>
          <w:p w:rsidR="001B708E" w:rsidRPr="001B708E" w:rsidRDefault="001B708E" w:rsidP="001B708E">
            <w:pPr>
              <w:spacing w:line="360" w:lineRule="auto"/>
              <w:ind w:right="-1"/>
              <w:jc w:val="center"/>
              <w:rPr>
                <w:sz w:val="22"/>
                <w:szCs w:val="22"/>
                <w:lang w:val="en-US"/>
              </w:rPr>
            </w:pPr>
            <w:r w:rsidRPr="001B708E">
              <w:rPr>
                <w:sz w:val="22"/>
                <w:szCs w:val="22"/>
                <w:lang w:val="en-US"/>
              </w:rPr>
              <w:t>(PM)</w:t>
            </w:r>
          </w:p>
        </w:tc>
        <w:tc>
          <w:tcPr>
            <w:tcW w:w="0" w:type="auto"/>
            <w:shd w:val="clear" w:color="auto" w:fill="auto"/>
          </w:tcPr>
          <w:p w:rsidR="001B708E" w:rsidRPr="001B708E" w:rsidRDefault="001B708E" w:rsidP="001B708E">
            <w:pPr>
              <w:spacing w:line="360" w:lineRule="auto"/>
              <w:ind w:right="-1"/>
              <w:jc w:val="center"/>
              <w:rPr>
                <w:sz w:val="22"/>
                <w:szCs w:val="22"/>
                <w:lang w:val="en-US"/>
              </w:rPr>
            </w:pPr>
            <w:r w:rsidRPr="001B708E">
              <w:rPr>
                <w:sz w:val="22"/>
                <w:szCs w:val="22"/>
                <w:lang w:val="en-US"/>
              </w:rPr>
              <w:t>1:2</w:t>
            </w:r>
          </w:p>
        </w:tc>
        <w:tc>
          <w:tcPr>
            <w:tcW w:w="0" w:type="auto"/>
          </w:tcPr>
          <w:p w:rsidR="001B708E" w:rsidRPr="001B708E" w:rsidRDefault="001B708E" w:rsidP="001B708E">
            <w:pPr>
              <w:spacing w:line="360" w:lineRule="auto"/>
              <w:ind w:right="-1"/>
              <w:jc w:val="center"/>
              <w:rPr>
                <w:sz w:val="22"/>
                <w:szCs w:val="22"/>
                <w:lang w:val="it-IT"/>
              </w:rPr>
            </w:pPr>
            <w:r w:rsidRPr="001B708E">
              <w:rPr>
                <w:sz w:val="22"/>
                <w:szCs w:val="22"/>
                <w:lang w:val="it-IT"/>
              </w:rPr>
              <w:t xml:space="preserve">30.10 </w:t>
            </w:r>
            <w:r w:rsidRPr="001B708E">
              <w:rPr>
                <w:sz w:val="22"/>
                <w:szCs w:val="22"/>
                <w:lang w:val="en-US"/>
              </w:rPr>
              <w:t>± 0.12</w:t>
            </w:r>
          </w:p>
        </w:tc>
        <w:tc>
          <w:tcPr>
            <w:tcW w:w="0" w:type="auto"/>
            <w:shd w:val="clear" w:color="auto" w:fill="auto"/>
          </w:tcPr>
          <w:p w:rsidR="001B708E" w:rsidRPr="001B708E" w:rsidRDefault="001B708E" w:rsidP="001B708E">
            <w:pPr>
              <w:spacing w:line="360" w:lineRule="auto"/>
              <w:ind w:right="-1"/>
              <w:jc w:val="center"/>
              <w:rPr>
                <w:sz w:val="22"/>
                <w:szCs w:val="22"/>
                <w:lang w:val="en-US"/>
              </w:rPr>
            </w:pPr>
            <w:r w:rsidRPr="001B708E">
              <w:rPr>
                <w:sz w:val="22"/>
                <w:szCs w:val="22"/>
                <w:lang w:val="en-US"/>
              </w:rPr>
              <w:t>0.12 ± 0.003</w:t>
            </w:r>
          </w:p>
        </w:tc>
      </w:tr>
      <w:tr w:rsidR="00C26146" w:rsidRPr="001B708E" w:rsidTr="0034360E">
        <w:tc>
          <w:tcPr>
            <w:tcW w:w="0" w:type="auto"/>
            <w:shd w:val="clear" w:color="auto" w:fill="auto"/>
          </w:tcPr>
          <w:p w:rsidR="001B708E" w:rsidRPr="001B708E" w:rsidRDefault="001B708E" w:rsidP="001B708E">
            <w:pPr>
              <w:jc w:val="center"/>
              <w:rPr>
                <w:b/>
                <w:sz w:val="22"/>
                <w:szCs w:val="22"/>
                <w:lang w:val="en-US"/>
              </w:rPr>
            </w:pPr>
            <w:r w:rsidRPr="001B708E">
              <w:rPr>
                <w:b/>
                <w:sz w:val="22"/>
                <w:szCs w:val="22"/>
                <w:lang w:val="en-US"/>
              </w:rPr>
              <w:t>6</w:t>
            </w:r>
          </w:p>
        </w:tc>
        <w:tc>
          <w:tcPr>
            <w:tcW w:w="0" w:type="auto"/>
            <w:vMerge/>
            <w:shd w:val="clear" w:color="auto" w:fill="auto"/>
          </w:tcPr>
          <w:p w:rsidR="001B708E" w:rsidRPr="001B708E" w:rsidRDefault="001B708E" w:rsidP="001B708E">
            <w:pPr>
              <w:spacing w:line="360" w:lineRule="auto"/>
              <w:ind w:right="-1"/>
              <w:jc w:val="center"/>
              <w:rPr>
                <w:sz w:val="22"/>
                <w:szCs w:val="22"/>
                <w:lang w:val="en-US"/>
              </w:rPr>
            </w:pPr>
          </w:p>
        </w:tc>
        <w:tc>
          <w:tcPr>
            <w:tcW w:w="0" w:type="auto"/>
            <w:shd w:val="clear" w:color="auto" w:fill="auto"/>
          </w:tcPr>
          <w:p w:rsidR="001B708E" w:rsidRPr="001B708E" w:rsidRDefault="001B708E" w:rsidP="001B708E">
            <w:pPr>
              <w:spacing w:line="360" w:lineRule="auto"/>
              <w:ind w:right="-1"/>
              <w:jc w:val="center"/>
              <w:rPr>
                <w:sz w:val="22"/>
                <w:szCs w:val="22"/>
                <w:lang w:val="en-US"/>
              </w:rPr>
            </w:pPr>
            <w:r w:rsidRPr="001B708E">
              <w:rPr>
                <w:sz w:val="22"/>
                <w:szCs w:val="22"/>
                <w:lang w:val="en-US"/>
              </w:rPr>
              <w:t>1:4</w:t>
            </w:r>
          </w:p>
        </w:tc>
        <w:tc>
          <w:tcPr>
            <w:tcW w:w="0" w:type="auto"/>
          </w:tcPr>
          <w:p w:rsidR="001B708E" w:rsidRPr="001B708E" w:rsidRDefault="001B708E" w:rsidP="001B708E">
            <w:pPr>
              <w:spacing w:line="360" w:lineRule="auto"/>
              <w:ind w:right="-1"/>
              <w:jc w:val="center"/>
              <w:rPr>
                <w:sz w:val="22"/>
                <w:szCs w:val="22"/>
                <w:lang w:val="en-US"/>
              </w:rPr>
            </w:pPr>
            <w:r w:rsidRPr="001B708E">
              <w:rPr>
                <w:sz w:val="22"/>
                <w:szCs w:val="22"/>
                <w:lang w:val="en-US"/>
              </w:rPr>
              <w:t>32.23 ± 0.63</w:t>
            </w:r>
          </w:p>
        </w:tc>
        <w:tc>
          <w:tcPr>
            <w:tcW w:w="0" w:type="auto"/>
            <w:shd w:val="clear" w:color="auto" w:fill="auto"/>
          </w:tcPr>
          <w:p w:rsidR="001B708E" w:rsidRPr="001B708E" w:rsidRDefault="001B708E" w:rsidP="001B708E">
            <w:pPr>
              <w:spacing w:line="360" w:lineRule="auto"/>
              <w:ind w:right="-1"/>
              <w:jc w:val="center"/>
              <w:rPr>
                <w:sz w:val="22"/>
                <w:szCs w:val="22"/>
                <w:lang w:val="en-US"/>
              </w:rPr>
            </w:pPr>
            <w:r w:rsidRPr="001B708E">
              <w:rPr>
                <w:sz w:val="22"/>
                <w:szCs w:val="22"/>
                <w:lang w:val="en-US"/>
              </w:rPr>
              <w:t>0.13 ± 0.004</w:t>
            </w:r>
          </w:p>
        </w:tc>
      </w:tr>
      <w:tr w:rsidR="00C26146" w:rsidRPr="001B708E" w:rsidTr="0034360E">
        <w:tc>
          <w:tcPr>
            <w:tcW w:w="0" w:type="auto"/>
            <w:shd w:val="clear" w:color="auto" w:fill="auto"/>
          </w:tcPr>
          <w:p w:rsidR="001B708E" w:rsidRPr="001B708E" w:rsidRDefault="001B708E" w:rsidP="001B708E">
            <w:pPr>
              <w:jc w:val="center"/>
              <w:rPr>
                <w:b/>
                <w:sz w:val="22"/>
                <w:szCs w:val="22"/>
                <w:lang w:val="en-US"/>
              </w:rPr>
            </w:pPr>
            <w:r w:rsidRPr="001B708E">
              <w:rPr>
                <w:b/>
                <w:sz w:val="22"/>
                <w:szCs w:val="22"/>
                <w:lang w:val="en-US"/>
              </w:rPr>
              <w:t>11</w:t>
            </w:r>
          </w:p>
        </w:tc>
        <w:tc>
          <w:tcPr>
            <w:tcW w:w="0" w:type="auto"/>
            <w:vMerge/>
            <w:shd w:val="clear" w:color="auto" w:fill="auto"/>
          </w:tcPr>
          <w:p w:rsidR="001B708E" w:rsidRPr="001B708E" w:rsidRDefault="001B708E" w:rsidP="001B708E">
            <w:pPr>
              <w:spacing w:line="360" w:lineRule="auto"/>
              <w:ind w:right="-1"/>
              <w:jc w:val="center"/>
              <w:rPr>
                <w:sz w:val="22"/>
                <w:szCs w:val="22"/>
                <w:lang w:val="en-US"/>
              </w:rPr>
            </w:pPr>
          </w:p>
        </w:tc>
        <w:tc>
          <w:tcPr>
            <w:tcW w:w="0" w:type="auto"/>
            <w:shd w:val="clear" w:color="auto" w:fill="auto"/>
          </w:tcPr>
          <w:p w:rsidR="001B708E" w:rsidRPr="001B708E" w:rsidRDefault="001B708E" w:rsidP="001B708E">
            <w:pPr>
              <w:spacing w:line="360" w:lineRule="auto"/>
              <w:ind w:right="-1"/>
              <w:jc w:val="center"/>
              <w:rPr>
                <w:sz w:val="22"/>
                <w:szCs w:val="22"/>
                <w:lang w:val="en-US"/>
              </w:rPr>
            </w:pPr>
            <w:r w:rsidRPr="001B708E">
              <w:rPr>
                <w:sz w:val="22"/>
                <w:szCs w:val="22"/>
                <w:lang w:val="en-US"/>
              </w:rPr>
              <w:t>1:7</w:t>
            </w:r>
          </w:p>
        </w:tc>
        <w:tc>
          <w:tcPr>
            <w:tcW w:w="0" w:type="auto"/>
          </w:tcPr>
          <w:p w:rsidR="001B708E" w:rsidRPr="001B708E" w:rsidRDefault="001B708E" w:rsidP="001B708E">
            <w:pPr>
              <w:spacing w:line="360" w:lineRule="auto"/>
              <w:ind w:right="-1"/>
              <w:jc w:val="center"/>
              <w:rPr>
                <w:sz w:val="22"/>
                <w:szCs w:val="22"/>
                <w:lang w:val="en-US"/>
              </w:rPr>
            </w:pPr>
            <w:r w:rsidRPr="001B708E">
              <w:rPr>
                <w:sz w:val="22"/>
                <w:szCs w:val="22"/>
                <w:lang w:val="en-US"/>
              </w:rPr>
              <w:t>32.29 ± 1.35</w:t>
            </w:r>
          </w:p>
        </w:tc>
        <w:tc>
          <w:tcPr>
            <w:tcW w:w="0" w:type="auto"/>
            <w:shd w:val="clear" w:color="auto" w:fill="auto"/>
          </w:tcPr>
          <w:p w:rsidR="001B708E" w:rsidRPr="001B708E" w:rsidRDefault="001B708E" w:rsidP="001B708E">
            <w:pPr>
              <w:spacing w:line="360" w:lineRule="auto"/>
              <w:ind w:right="-1"/>
              <w:jc w:val="center"/>
              <w:rPr>
                <w:sz w:val="22"/>
                <w:szCs w:val="22"/>
                <w:lang w:val="en-US"/>
              </w:rPr>
            </w:pPr>
            <w:r w:rsidRPr="001B708E">
              <w:rPr>
                <w:sz w:val="22"/>
                <w:szCs w:val="22"/>
                <w:lang w:val="en-US"/>
              </w:rPr>
              <w:t>0.13 ± 0.007</w:t>
            </w:r>
          </w:p>
        </w:tc>
      </w:tr>
      <w:tr w:rsidR="00C26146" w:rsidRPr="001B708E" w:rsidTr="0034360E">
        <w:tc>
          <w:tcPr>
            <w:tcW w:w="0" w:type="auto"/>
            <w:shd w:val="clear" w:color="auto" w:fill="auto"/>
          </w:tcPr>
          <w:p w:rsidR="001B708E" w:rsidRPr="001B708E" w:rsidRDefault="001B708E" w:rsidP="001B708E">
            <w:pPr>
              <w:jc w:val="center"/>
              <w:rPr>
                <w:b/>
                <w:sz w:val="22"/>
                <w:szCs w:val="22"/>
                <w:lang w:val="en-US"/>
              </w:rPr>
            </w:pPr>
            <w:r w:rsidRPr="001B708E">
              <w:rPr>
                <w:b/>
                <w:sz w:val="22"/>
                <w:szCs w:val="22"/>
                <w:lang w:val="en-US"/>
              </w:rPr>
              <w:t>2</w:t>
            </w:r>
          </w:p>
        </w:tc>
        <w:tc>
          <w:tcPr>
            <w:tcW w:w="0" w:type="auto"/>
            <w:vMerge w:val="restart"/>
            <w:shd w:val="clear" w:color="auto" w:fill="auto"/>
            <w:vAlign w:val="center"/>
          </w:tcPr>
          <w:p w:rsidR="001B708E" w:rsidRPr="001B708E" w:rsidRDefault="001B708E" w:rsidP="001B708E">
            <w:pPr>
              <w:spacing w:line="360" w:lineRule="auto"/>
              <w:ind w:right="-1"/>
              <w:jc w:val="center"/>
              <w:rPr>
                <w:sz w:val="22"/>
                <w:szCs w:val="22"/>
                <w:lang w:val="en-US"/>
              </w:rPr>
            </w:pPr>
            <w:r w:rsidRPr="001B708E">
              <w:rPr>
                <w:sz w:val="22"/>
                <w:szCs w:val="22"/>
                <w:lang w:val="en-US"/>
              </w:rPr>
              <w:t>45</w:t>
            </w:r>
          </w:p>
        </w:tc>
        <w:tc>
          <w:tcPr>
            <w:tcW w:w="0" w:type="auto"/>
            <w:shd w:val="clear" w:color="auto" w:fill="auto"/>
          </w:tcPr>
          <w:p w:rsidR="001B708E" w:rsidRPr="001B708E" w:rsidRDefault="001B708E" w:rsidP="001B708E">
            <w:pPr>
              <w:spacing w:line="360" w:lineRule="auto"/>
              <w:ind w:right="-1"/>
              <w:jc w:val="center"/>
              <w:rPr>
                <w:sz w:val="22"/>
                <w:szCs w:val="22"/>
                <w:lang w:val="en-US"/>
              </w:rPr>
            </w:pPr>
            <w:r w:rsidRPr="001B708E">
              <w:rPr>
                <w:sz w:val="22"/>
                <w:szCs w:val="22"/>
                <w:lang w:val="en-US"/>
              </w:rPr>
              <w:t>1:2</w:t>
            </w:r>
          </w:p>
        </w:tc>
        <w:tc>
          <w:tcPr>
            <w:tcW w:w="0" w:type="auto"/>
          </w:tcPr>
          <w:p w:rsidR="001B708E" w:rsidRPr="001B708E" w:rsidRDefault="001B708E" w:rsidP="001B708E">
            <w:pPr>
              <w:spacing w:line="360" w:lineRule="auto"/>
              <w:ind w:right="-1"/>
              <w:jc w:val="center"/>
              <w:rPr>
                <w:sz w:val="22"/>
                <w:szCs w:val="22"/>
                <w:lang w:val="en-US"/>
              </w:rPr>
            </w:pPr>
            <w:r w:rsidRPr="001B708E">
              <w:rPr>
                <w:sz w:val="22"/>
                <w:szCs w:val="22"/>
                <w:lang w:val="en-US"/>
              </w:rPr>
              <w:t>78.73 ± 3.67</w:t>
            </w:r>
          </w:p>
        </w:tc>
        <w:tc>
          <w:tcPr>
            <w:tcW w:w="0" w:type="auto"/>
            <w:shd w:val="clear" w:color="auto" w:fill="auto"/>
          </w:tcPr>
          <w:p w:rsidR="001B708E" w:rsidRPr="001B708E" w:rsidRDefault="001B708E" w:rsidP="001B708E">
            <w:pPr>
              <w:spacing w:line="360" w:lineRule="auto"/>
              <w:ind w:right="-1"/>
              <w:jc w:val="center"/>
              <w:rPr>
                <w:sz w:val="22"/>
                <w:szCs w:val="22"/>
                <w:lang w:val="en-US"/>
              </w:rPr>
            </w:pPr>
            <w:r w:rsidRPr="001B708E">
              <w:rPr>
                <w:sz w:val="22"/>
                <w:szCs w:val="22"/>
                <w:lang w:val="en-US"/>
              </w:rPr>
              <w:t>0.33 ± 0.017</w:t>
            </w:r>
          </w:p>
        </w:tc>
      </w:tr>
      <w:tr w:rsidR="00C26146" w:rsidRPr="001B708E" w:rsidTr="0034360E">
        <w:tc>
          <w:tcPr>
            <w:tcW w:w="0" w:type="auto"/>
            <w:shd w:val="clear" w:color="auto" w:fill="auto"/>
          </w:tcPr>
          <w:p w:rsidR="001B708E" w:rsidRPr="001B708E" w:rsidRDefault="001B708E" w:rsidP="001B708E">
            <w:pPr>
              <w:jc w:val="center"/>
              <w:rPr>
                <w:b/>
                <w:sz w:val="22"/>
                <w:szCs w:val="22"/>
                <w:lang w:val="en-US"/>
              </w:rPr>
            </w:pPr>
            <w:r w:rsidRPr="001B708E">
              <w:rPr>
                <w:b/>
                <w:sz w:val="22"/>
                <w:szCs w:val="22"/>
                <w:lang w:val="en-US"/>
              </w:rPr>
              <w:t>7</w:t>
            </w:r>
          </w:p>
        </w:tc>
        <w:tc>
          <w:tcPr>
            <w:tcW w:w="0" w:type="auto"/>
            <w:vMerge/>
            <w:shd w:val="clear" w:color="auto" w:fill="auto"/>
          </w:tcPr>
          <w:p w:rsidR="001B708E" w:rsidRPr="001B708E" w:rsidRDefault="001B708E" w:rsidP="001B708E">
            <w:pPr>
              <w:spacing w:line="360" w:lineRule="auto"/>
              <w:ind w:right="-1"/>
              <w:jc w:val="center"/>
              <w:rPr>
                <w:sz w:val="22"/>
                <w:szCs w:val="22"/>
                <w:lang w:val="en-US"/>
              </w:rPr>
            </w:pPr>
          </w:p>
        </w:tc>
        <w:tc>
          <w:tcPr>
            <w:tcW w:w="0" w:type="auto"/>
            <w:shd w:val="clear" w:color="auto" w:fill="auto"/>
          </w:tcPr>
          <w:p w:rsidR="001B708E" w:rsidRPr="001B708E" w:rsidRDefault="001B708E" w:rsidP="001B708E">
            <w:pPr>
              <w:spacing w:line="360" w:lineRule="auto"/>
              <w:ind w:right="-1"/>
              <w:jc w:val="center"/>
              <w:rPr>
                <w:sz w:val="22"/>
                <w:szCs w:val="22"/>
                <w:lang w:val="en-US"/>
              </w:rPr>
            </w:pPr>
            <w:r w:rsidRPr="001B708E">
              <w:rPr>
                <w:sz w:val="22"/>
                <w:szCs w:val="22"/>
                <w:lang w:val="en-US"/>
              </w:rPr>
              <w:t>1:4</w:t>
            </w:r>
          </w:p>
        </w:tc>
        <w:tc>
          <w:tcPr>
            <w:tcW w:w="0" w:type="auto"/>
          </w:tcPr>
          <w:p w:rsidR="001B708E" w:rsidRPr="001B708E" w:rsidRDefault="001B708E" w:rsidP="001B708E">
            <w:pPr>
              <w:spacing w:line="360" w:lineRule="auto"/>
              <w:ind w:right="-1"/>
              <w:jc w:val="center"/>
              <w:rPr>
                <w:sz w:val="22"/>
                <w:szCs w:val="22"/>
                <w:lang w:val="en-US"/>
              </w:rPr>
            </w:pPr>
            <w:r w:rsidRPr="001B708E">
              <w:rPr>
                <w:sz w:val="22"/>
                <w:szCs w:val="22"/>
                <w:lang w:val="en-US"/>
              </w:rPr>
              <w:t>112.98 ± 8.34</w:t>
            </w:r>
          </w:p>
        </w:tc>
        <w:tc>
          <w:tcPr>
            <w:tcW w:w="0" w:type="auto"/>
            <w:shd w:val="clear" w:color="auto" w:fill="auto"/>
          </w:tcPr>
          <w:p w:rsidR="001B708E" w:rsidRPr="001B708E" w:rsidRDefault="001B708E" w:rsidP="001B708E">
            <w:pPr>
              <w:spacing w:line="360" w:lineRule="auto"/>
              <w:ind w:right="-1"/>
              <w:jc w:val="center"/>
              <w:rPr>
                <w:sz w:val="22"/>
                <w:szCs w:val="22"/>
                <w:lang w:val="en-US"/>
              </w:rPr>
            </w:pPr>
            <w:r w:rsidRPr="001B708E">
              <w:rPr>
                <w:sz w:val="22"/>
                <w:szCs w:val="22"/>
                <w:lang w:val="en-US"/>
              </w:rPr>
              <w:t>0.47 ± 0.037</w:t>
            </w:r>
          </w:p>
        </w:tc>
      </w:tr>
      <w:tr w:rsidR="00C26146" w:rsidRPr="001B708E" w:rsidTr="0034360E">
        <w:tc>
          <w:tcPr>
            <w:tcW w:w="0" w:type="auto"/>
            <w:shd w:val="clear" w:color="auto" w:fill="auto"/>
          </w:tcPr>
          <w:p w:rsidR="001B708E" w:rsidRPr="001B708E" w:rsidRDefault="001B708E" w:rsidP="001B708E">
            <w:pPr>
              <w:jc w:val="center"/>
              <w:rPr>
                <w:b/>
                <w:sz w:val="22"/>
                <w:szCs w:val="22"/>
                <w:lang w:val="en-US"/>
              </w:rPr>
            </w:pPr>
            <w:r w:rsidRPr="001B708E">
              <w:rPr>
                <w:b/>
                <w:sz w:val="22"/>
                <w:szCs w:val="22"/>
                <w:lang w:val="en-US"/>
              </w:rPr>
              <w:t>12</w:t>
            </w:r>
          </w:p>
        </w:tc>
        <w:tc>
          <w:tcPr>
            <w:tcW w:w="0" w:type="auto"/>
            <w:vMerge/>
            <w:shd w:val="clear" w:color="auto" w:fill="auto"/>
          </w:tcPr>
          <w:p w:rsidR="001B708E" w:rsidRPr="001B708E" w:rsidRDefault="001B708E" w:rsidP="001B708E">
            <w:pPr>
              <w:spacing w:line="360" w:lineRule="auto"/>
              <w:ind w:right="-1"/>
              <w:jc w:val="center"/>
              <w:rPr>
                <w:sz w:val="22"/>
                <w:szCs w:val="22"/>
                <w:lang w:val="en-US"/>
              </w:rPr>
            </w:pPr>
          </w:p>
        </w:tc>
        <w:tc>
          <w:tcPr>
            <w:tcW w:w="0" w:type="auto"/>
            <w:shd w:val="clear" w:color="auto" w:fill="auto"/>
          </w:tcPr>
          <w:p w:rsidR="001B708E" w:rsidRPr="001B708E" w:rsidRDefault="001B708E" w:rsidP="001B708E">
            <w:pPr>
              <w:spacing w:line="360" w:lineRule="auto"/>
              <w:ind w:right="-1"/>
              <w:jc w:val="center"/>
              <w:rPr>
                <w:sz w:val="22"/>
                <w:szCs w:val="22"/>
                <w:lang w:val="en-US"/>
              </w:rPr>
            </w:pPr>
            <w:r w:rsidRPr="001B708E">
              <w:rPr>
                <w:sz w:val="22"/>
                <w:szCs w:val="22"/>
                <w:lang w:val="en-US"/>
              </w:rPr>
              <w:t>1:7</w:t>
            </w:r>
          </w:p>
        </w:tc>
        <w:tc>
          <w:tcPr>
            <w:tcW w:w="0" w:type="auto"/>
          </w:tcPr>
          <w:p w:rsidR="001B708E" w:rsidRPr="001B708E" w:rsidRDefault="001B708E" w:rsidP="001B708E">
            <w:pPr>
              <w:spacing w:line="360" w:lineRule="auto"/>
              <w:ind w:right="-1"/>
              <w:jc w:val="center"/>
              <w:rPr>
                <w:sz w:val="22"/>
                <w:szCs w:val="22"/>
                <w:lang w:val="en-US"/>
              </w:rPr>
            </w:pPr>
            <w:r w:rsidRPr="001B708E">
              <w:rPr>
                <w:sz w:val="22"/>
                <w:szCs w:val="22"/>
                <w:lang w:val="en-US"/>
              </w:rPr>
              <w:t>143.60 ± 4.32</w:t>
            </w:r>
          </w:p>
        </w:tc>
        <w:tc>
          <w:tcPr>
            <w:tcW w:w="0" w:type="auto"/>
            <w:shd w:val="clear" w:color="auto" w:fill="auto"/>
          </w:tcPr>
          <w:p w:rsidR="001B708E" w:rsidRPr="001B708E" w:rsidRDefault="001B708E" w:rsidP="001B708E">
            <w:pPr>
              <w:spacing w:line="360" w:lineRule="auto"/>
              <w:ind w:right="-1"/>
              <w:jc w:val="center"/>
              <w:rPr>
                <w:sz w:val="22"/>
                <w:szCs w:val="22"/>
                <w:lang w:val="en-US"/>
              </w:rPr>
            </w:pPr>
            <w:r w:rsidRPr="001B708E">
              <w:rPr>
                <w:sz w:val="22"/>
                <w:szCs w:val="22"/>
                <w:lang w:val="en-US"/>
              </w:rPr>
              <w:t>0.59 ± 0.024</w:t>
            </w:r>
          </w:p>
        </w:tc>
      </w:tr>
      <w:tr w:rsidR="00C26146" w:rsidRPr="001B708E" w:rsidTr="0034360E">
        <w:tc>
          <w:tcPr>
            <w:tcW w:w="0" w:type="auto"/>
            <w:shd w:val="clear" w:color="auto" w:fill="auto"/>
          </w:tcPr>
          <w:p w:rsidR="001B708E" w:rsidRPr="001B708E" w:rsidRDefault="001B708E" w:rsidP="001B708E">
            <w:pPr>
              <w:jc w:val="center"/>
              <w:rPr>
                <w:b/>
                <w:sz w:val="22"/>
                <w:szCs w:val="22"/>
                <w:lang w:val="en-US"/>
              </w:rPr>
            </w:pPr>
            <w:r w:rsidRPr="001B708E">
              <w:rPr>
                <w:b/>
                <w:sz w:val="22"/>
                <w:szCs w:val="22"/>
                <w:lang w:val="en-US"/>
              </w:rPr>
              <w:t>3</w:t>
            </w:r>
          </w:p>
        </w:tc>
        <w:tc>
          <w:tcPr>
            <w:tcW w:w="0" w:type="auto"/>
            <w:vMerge w:val="restart"/>
            <w:shd w:val="clear" w:color="auto" w:fill="auto"/>
            <w:vAlign w:val="center"/>
          </w:tcPr>
          <w:p w:rsidR="001B708E" w:rsidRPr="001B708E" w:rsidRDefault="001B708E" w:rsidP="001B708E">
            <w:pPr>
              <w:spacing w:line="360" w:lineRule="auto"/>
              <w:ind w:right="-1"/>
              <w:jc w:val="center"/>
              <w:rPr>
                <w:sz w:val="22"/>
                <w:szCs w:val="22"/>
                <w:lang w:val="en-US"/>
              </w:rPr>
            </w:pPr>
            <w:r w:rsidRPr="001B708E">
              <w:rPr>
                <w:sz w:val="22"/>
                <w:szCs w:val="22"/>
                <w:lang w:val="en-US"/>
              </w:rPr>
              <w:t>90</w:t>
            </w:r>
          </w:p>
        </w:tc>
        <w:tc>
          <w:tcPr>
            <w:tcW w:w="0" w:type="auto"/>
            <w:shd w:val="clear" w:color="auto" w:fill="auto"/>
          </w:tcPr>
          <w:p w:rsidR="001B708E" w:rsidRPr="001B708E" w:rsidRDefault="001B708E" w:rsidP="001B708E">
            <w:pPr>
              <w:spacing w:line="360" w:lineRule="auto"/>
              <w:ind w:right="-1"/>
              <w:jc w:val="center"/>
              <w:rPr>
                <w:sz w:val="22"/>
                <w:szCs w:val="22"/>
                <w:lang w:val="en-US"/>
              </w:rPr>
            </w:pPr>
            <w:r w:rsidRPr="001B708E">
              <w:rPr>
                <w:sz w:val="22"/>
                <w:szCs w:val="22"/>
                <w:lang w:val="en-US"/>
              </w:rPr>
              <w:t>1:2</w:t>
            </w:r>
          </w:p>
        </w:tc>
        <w:tc>
          <w:tcPr>
            <w:tcW w:w="0" w:type="auto"/>
          </w:tcPr>
          <w:p w:rsidR="001B708E" w:rsidRPr="001B708E" w:rsidRDefault="001B708E" w:rsidP="001B708E">
            <w:pPr>
              <w:spacing w:line="360" w:lineRule="auto"/>
              <w:ind w:right="-1"/>
              <w:jc w:val="center"/>
              <w:rPr>
                <w:sz w:val="22"/>
                <w:szCs w:val="22"/>
                <w:lang w:val="en-US"/>
              </w:rPr>
            </w:pPr>
            <w:r w:rsidRPr="001B708E">
              <w:rPr>
                <w:sz w:val="22"/>
                <w:szCs w:val="22"/>
                <w:lang w:val="en-US"/>
              </w:rPr>
              <w:t>83.87 ± 1.27</w:t>
            </w:r>
          </w:p>
        </w:tc>
        <w:tc>
          <w:tcPr>
            <w:tcW w:w="0" w:type="auto"/>
            <w:shd w:val="clear" w:color="auto" w:fill="auto"/>
          </w:tcPr>
          <w:p w:rsidR="001B708E" w:rsidRPr="001B708E" w:rsidRDefault="001B708E" w:rsidP="001B708E">
            <w:pPr>
              <w:spacing w:line="360" w:lineRule="auto"/>
              <w:ind w:right="-1"/>
              <w:jc w:val="center"/>
              <w:rPr>
                <w:sz w:val="22"/>
                <w:szCs w:val="22"/>
                <w:lang w:val="en-US"/>
              </w:rPr>
            </w:pPr>
            <w:r w:rsidRPr="001B708E">
              <w:rPr>
                <w:sz w:val="22"/>
                <w:szCs w:val="22"/>
                <w:lang w:val="en-US"/>
              </w:rPr>
              <w:t>0.35 ± 0.011</w:t>
            </w:r>
          </w:p>
        </w:tc>
      </w:tr>
      <w:tr w:rsidR="00C26146" w:rsidRPr="001B708E" w:rsidTr="0034360E">
        <w:tc>
          <w:tcPr>
            <w:tcW w:w="0" w:type="auto"/>
            <w:shd w:val="clear" w:color="auto" w:fill="auto"/>
          </w:tcPr>
          <w:p w:rsidR="001B708E" w:rsidRPr="001B708E" w:rsidRDefault="001B708E" w:rsidP="001B708E">
            <w:pPr>
              <w:jc w:val="center"/>
              <w:rPr>
                <w:b/>
                <w:sz w:val="22"/>
                <w:szCs w:val="22"/>
                <w:lang w:val="en-US"/>
              </w:rPr>
            </w:pPr>
            <w:r w:rsidRPr="001B708E">
              <w:rPr>
                <w:b/>
                <w:sz w:val="22"/>
                <w:szCs w:val="22"/>
                <w:lang w:val="en-US"/>
              </w:rPr>
              <w:t>8</w:t>
            </w:r>
          </w:p>
        </w:tc>
        <w:tc>
          <w:tcPr>
            <w:tcW w:w="0" w:type="auto"/>
            <w:vMerge/>
            <w:shd w:val="clear" w:color="auto" w:fill="auto"/>
          </w:tcPr>
          <w:p w:rsidR="001B708E" w:rsidRPr="001B708E" w:rsidRDefault="001B708E" w:rsidP="001B708E">
            <w:pPr>
              <w:spacing w:line="360" w:lineRule="auto"/>
              <w:ind w:right="-1"/>
              <w:jc w:val="center"/>
              <w:rPr>
                <w:sz w:val="22"/>
                <w:szCs w:val="22"/>
                <w:lang w:val="en-US"/>
              </w:rPr>
            </w:pPr>
          </w:p>
        </w:tc>
        <w:tc>
          <w:tcPr>
            <w:tcW w:w="0" w:type="auto"/>
            <w:shd w:val="clear" w:color="auto" w:fill="auto"/>
          </w:tcPr>
          <w:p w:rsidR="001B708E" w:rsidRPr="001B708E" w:rsidRDefault="001B708E" w:rsidP="001B708E">
            <w:pPr>
              <w:spacing w:line="360" w:lineRule="auto"/>
              <w:ind w:right="-1"/>
              <w:jc w:val="center"/>
              <w:rPr>
                <w:sz w:val="22"/>
                <w:szCs w:val="22"/>
                <w:lang w:val="en-US"/>
              </w:rPr>
            </w:pPr>
            <w:r w:rsidRPr="001B708E">
              <w:rPr>
                <w:sz w:val="22"/>
                <w:szCs w:val="22"/>
                <w:lang w:val="en-US"/>
              </w:rPr>
              <w:t>1:4</w:t>
            </w:r>
          </w:p>
        </w:tc>
        <w:tc>
          <w:tcPr>
            <w:tcW w:w="0" w:type="auto"/>
          </w:tcPr>
          <w:p w:rsidR="001B708E" w:rsidRPr="001B708E" w:rsidRDefault="001B708E" w:rsidP="001B708E">
            <w:pPr>
              <w:spacing w:line="360" w:lineRule="auto"/>
              <w:ind w:right="-1"/>
              <w:jc w:val="center"/>
              <w:rPr>
                <w:sz w:val="22"/>
                <w:szCs w:val="22"/>
                <w:lang w:val="en-US"/>
              </w:rPr>
            </w:pPr>
            <w:r w:rsidRPr="001B708E">
              <w:rPr>
                <w:sz w:val="22"/>
                <w:szCs w:val="22"/>
                <w:lang w:val="en-US"/>
              </w:rPr>
              <w:t>107.20 ± 6.78</w:t>
            </w:r>
          </w:p>
        </w:tc>
        <w:tc>
          <w:tcPr>
            <w:tcW w:w="0" w:type="auto"/>
            <w:shd w:val="clear" w:color="auto" w:fill="auto"/>
          </w:tcPr>
          <w:p w:rsidR="001B708E" w:rsidRPr="001B708E" w:rsidRDefault="001B708E" w:rsidP="001B708E">
            <w:pPr>
              <w:spacing w:line="360" w:lineRule="auto"/>
              <w:ind w:right="-1"/>
              <w:jc w:val="center"/>
              <w:rPr>
                <w:sz w:val="22"/>
                <w:szCs w:val="22"/>
                <w:lang w:val="en-US"/>
              </w:rPr>
            </w:pPr>
            <w:r w:rsidRPr="001B708E">
              <w:rPr>
                <w:sz w:val="22"/>
                <w:szCs w:val="22"/>
                <w:lang w:val="en-US"/>
              </w:rPr>
              <w:t>0.44 ± 0.030</w:t>
            </w:r>
          </w:p>
        </w:tc>
      </w:tr>
      <w:tr w:rsidR="00C26146" w:rsidRPr="001B708E" w:rsidTr="0034360E">
        <w:tc>
          <w:tcPr>
            <w:tcW w:w="0" w:type="auto"/>
            <w:shd w:val="clear" w:color="auto" w:fill="auto"/>
          </w:tcPr>
          <w:p w:rsidR="001B708E" w:rsidRPr="001B708E" w:rsidRDefault="001B708E" w:rsidP="001B708E">
            <w:pPr>
              <w:jc w:val="center"/>
              <w:rPr>
                <w:b/>
                <w:iCs/>
                <w:sz w:val="22"/>
                <w:szCs w:val="22"/>
                <w:lang w:val="en-US"/>
              </w:rPr>
            </w:pPr>
            <w:r w:rsidRPr="001B708E">
              <w:rPr>
                <w:b/>
                <w:iCs/>
                <w:sz w:val="22"/>
                <w:szCs w:val="22"/>
                <w:lang w:val="en-US"/>
              </w:rPr>
              <w:t>13</w:t>
            </w:r>
          </w:p>
        </w:tc>
        <w:tc>
          <w:tcPr>
            <w:tcW w:w="0" w:type="auto"/>
            <w:vMerge/>
            <w:shd w:val="clear" w:color="auto" w:fill="auto"/>
          </w:tcPr>
          <w:p w:rsidR="001B708E" w:rsidRPr="001B708E" w:rsidRDefault="001B708E" w:rsidP="001B708E">
            <w:pPr>
              <w:spacing w:line="360" w:lineRule="auto"/>
              <w:ind w:right="-1"/>
              <w:jc w:val="center"/>
              <w:rPr>
                <w:sz w:val="22"/>
                <w:szCs w:val="22"/>
                <w:lang w:val="en-US"/>
              </w:rPr>
            </w:pPr>
          </w:p>
        </w:tc>
        <w:tc>
          <w:tcPr>
            <w:tcW w:w="0" w:type="auto"/>
            <w:shd w:val="clear" w:color="auto" w:fill="auto"/>
          </w:tcPr>
          <w:p w:rsidR="001B708E" w:rsidRPr="001B708E" w:rsidRDefault="001B708E" w:rsidP="001B708E">
            <w:pPr>
              <w:spacing w:line="360" w:lineRule="auto"/>
              <w:ind w:right="-1"/>
              <w:jc w:val="center"/>
              <w:rPr>
                <w:sz w:val="22"/>
                <w:szCs w:val="22"/>
                <w:lang w:val="en-US"/>
              </w:rPr>
            </w:pPr>
            <w:r w:rsidRPr="001B708E">
              <w:rPr>
                <w:sz w:val="22"/>
                <w:szCs w:val="22"/>
                <w:lang w:val="en-US"/>
              </w:rPr>
              <w:t>1:7</w:t>
            </w:r>
          </w:p>
        </w:tc>
        <w:tc>
          <w:tcPr>
            <w:tcW w:w="0" w:type="auto"/>
          </w:tcPr>
          <w:p w:rsidR="001B708E" w:rsidRPr="001B708E" w:rsidRDefault="001B708E" w:rsidP="001B708E">
            <w:pPr>
              <w:spacing w:line="360" w:lineRule="auto"/>
              <w:ind w:right="-1"/>
              <w:jc w:val="center"/>
              <w:rPr>
                <w:sz w:val="22"/>
                <w:szCs w:val="22"/>
                <w:lang w:val="en-US"/>
              </w:rPr>
            </w:pPr>
            <w:r w:rsidRPr="001B708E">
              <w:rPr>
                <w:sz w:val="22"/>
                <w:szCs w:val="22"/>
                <w:lang w:val="en-US"/>
              </w:rPr>
              <w:t>203.51 ± 2.37</w:t>
            </w:r>
          </w:p>
        </w:tc>
        <w:tc>
          <w:tcPr>
            <w:tcW w:w="0" w:type="auto"/>
            <w:shd w:val="clear" w:color="auto" w:fill="auto"/>
          </w:tcPr>
          <w:p w:rsidR="001B708E" w:rsidRPr="001B708E" w:rsidRDefault="001B708E" w:rsidP="001B708E">
            <w:pPr>
              <w:spacing w:line="360" w:lineRule="auto"/>
              <w:ind w:right="-1"/>
              <w:jc w:val="center"/>
              <w:rPr>
                <w:sz w:val="22"/>
                <w:szCs w:val="22"/>
                <w:lang w:val="en-US"/>
              </w:rPr>
            </w:pPr>
            <w:r w:rsidRPr="001B708E">
              <w:rPr>
                <w:sz w:val="22"/>
                <w:szCs w:val="22"/>
                <w:lang w:val="en-US"/>
              </w:rPr>
              <w:t>0.84 ± 0.024</w:t>
            </w:r>
          </w:p>
        </w:tc>
      </w:tr>
      <w:tr w:rsidR="00C26146" w:rsidRPr="001B708E" w:rsidTr="0034360E">
        <w:tc>
          <w:tcPr>
            <w:tcW w:w="0" w:type="auto"/>
            <w:shd w:val="clear" w:color="auto" w:fill="auto"/>
          </w:tcPr>
          <w:p w:rsidR="001B708E" w:rsidRPr="001B708E" w:rsidRDefault="001B708E" w:rsidP="001B708E">
            <w:pPr>
              <w:jc w:val="center"/>
              <w:rPr>
                <w:b/>
                <w:iCs/>
                <w:sz w:val="22"/>
                <w:szCs w:val="22"/>
                <w:lang w:val="en-US"/>
              </w:rPr>
            </w:pPr>
            <w:r w:rsidRPr="001B708E">
              <w:rPr>
                <w:b/>
                <w:iCs/>
                <w:sz w:val="22"/>
                <w:szCs w:val="22"/>
                <w:lang w:val="en-US"/>
              </w:rPr>
              <w:t>4</w:t>
            </w:r>
          </w:p>
        </w:tc>
        <w:tc>
          <w:tcPr>
            <w:tcW w:w="0" w:type="auto"/>
            <w:vMerge w:val="restart"/>
            <w:shd w:val="clear" w:color="auto" w:fill="auto"/>
            <w:vAlign w:val="center"/>
          </w:tcPr>
          <w:p w:rsidR="001B708E" w:rsidRPr="001B708E" w:rsidRDefault="001B708E" w:rsidP="001B708E">
            <w:pPr>
              <w:spacing w:line="360" w:lineRule="auto"/>
              <w:ind w:right="-1"/>
              <w:jc w:val="center"/>
              <w:rPr>
                <w:sz w:val="22"/>
                <w:szCs w:val="22"/>
                <w:lang w:val="en-US"/>
              </w:rPr>
            </w:pPr>
            <w:r w:rsidRPr="001B708E">
              <w:rPr>
                <w:sz w:val="22"/>
                <w:szCs w:val="22"/>
                <w:lang w:val="en-US"/>
              </w:rPr>
              <w:t>120</w:t>
            </w:r>
          </w:p>
        </w:tc>
        <w:tc>
          <w:tcPr>
            <w:tcW w:w="0" w:type="auto"/>
            <w:shd w:val="clear" w:color="auto" w:fill="auto"/>
          </w:tcPr>
          <w:p w:rsidR="001B708E" w:rsidRPr="001B708E" w:rsidRDefault="001B708E" w:rsidP="001B708E">
            <w:pPr>
              <w:spacing w:line="360" w:lineRule="auto"/>
              <w:ind w:right="-1"/>
              <w:jc w:val="center"/>
              <w:rPr>
                <w:sz w:val="22"/>
                <w:szCs w:val="22"/>
                <w:lang w:val="en-US"/>
              </w:rPr>
            </w:pPr>
            <w:r w:rsidRPr="001B708E">
              <w:rPr>
                <w:sz w:val="22"/>
                <w:szCs w:val="22"/>
                <w:lang w:val="en-US"/>
              </w:rPr>
              <w:t>1:2</w:t>
            </w:r>
          </w:p>
        </w:tc>
        <w:tc>
          <w:tcPr>
            <w:tcW w:w="0" w:type="auto"/>
          </w:tcPr>
          <w:p w:rsidR="001B708E" w:rsidRPr="001B708E" w:rsidRDefault="001B708E" w:rsidP="001B708E">
            <w:pPr>
              <w:spacing w:line="360" w:lineRule="auto"/>
              <w:ind w:right="-1"/>
              <w:jc w:val="center"/>
              <w:rPr>
                <w:sz w:val="22"/>
                <w:szCs w:val="22"/>
                <w:lang w:val="en-US"/>
              </w:rPr>
            </w:pPr>
            <w:r w:rsidRPr="001B708E">
              <w:rPr>
                <w:sz w:val="22"/>
                <w:szCs w:val="22"/>
                <w:lang w:val="en-US"/>
              </w:rPr>
              <w:t>88.60 ± 1.99</w:t>
            </w:r>
          </w:p>
        </w:tc>
        <w:tc>
          <w:tcPr>
            <w:tcW w:w="0" w:type="auto"/>
            <w:shd w:val="clear" w:color="auto" w:fill="auto"/>
          </w:tcPr>
          <w:p w:rsidR="001B708E" w:rsidRPr="001B708E" w:rsidRDefault="001B708E" w:rsidP="001B708E">
            <w:pPr>
              <w:spacing w:line="360" w:lineRule="auto"/>
              <w:ind w:right="-1"/>
              <w:jc w:val="center"/>
              <w:rPr>
                <w:sz w:val="22"/>
                <w:szCs w:val="22"/>
                <w:lang w:val="en-US"/>
              </w:rPr>
            </w:pPr>
            <w:r w:rsidRPr="001B708E">
              <w:rPr>
                <w:sz w:val="22"/>
                <w:szCs w:val="22"/>
                <w:lang w:val="en-US"/>
              </w:rPr>
              <w:t>0.37 ± 0.013</w:t>
            </w:r>
          </w:p>
        </w:tc>
      </w:tr>
      <w:tr w:rsidR="00C26146" w:rsidRPr="001B708E" w:rsidTr="0034360E">
        <w:tc>
          <w:tcPr>
            <w:tcW w:w="0" w:type="auto"/>
            <w:shd w:val="clear" w:color="auto" w:fill="auto"/>
          </w:tcPr>
          <w:p w:rsidR="001B708E" w:rsidRPr="001B708E" w:rsidRDefault="001B708E" w:rsidP="001B708E">
            <w:pPr>
              <w:jc w:val="center"/>
              <w:rPr>
                <w:b/>
                <w:iCs/>
                <w:sz w:val="22"/>
                <w:szCs w:val="22"/>
                <w:lang w:val="en-US"/>
              </w:rPr>
            </w:pPr>
            <w:r w:rsidRPr="001B708E">
              <w:rPr>
                <w:b/>
                <w:iCs/>
                <w:sz w:val="22"/>
                <w:szCs w:val="22"/>
                <w:lang w:val="en-US"/>
              </w:rPr>
              <w:t>9</w:t>
            </w:r>
          </w:p>
        </w:tc>
        <w:tc>
          <w:tcPr>
            <w:tcW w:w="0" w:type="auto"/>
            <w:vMerge/>
            <w:shd w:val="clear" w:color="auto" w:fill="auto"/>
          </w:tcPr>
          <w:p w:rsidR="001B708E" w:rsidRPr="001B708E" w:rsidRDefault="001B708E" w:rsidP="001B708E">
            <w:pPr>
              <w:spacing w:line="360" w:lineRule="auto"/>
              <w:ind w:right="-1"/>
              <w:jc w:val="center"/>
              <w:rPr>
                <w:sz w:val="22"/>
                <w:szCs w:val="22"/>
                <w:lang w:val="en-US"/>
              </w:rPr>
            </w:pPr>
          </w:p>
        </w:tc>
        <w:tc>
          <w:tcPr>
            <w:tcW w:w="0" w:type="auto"/>
            <w:shd w:val="clear" w:color="auto" w:fill="auto"/>
          </w:tcPr>
          <w:p w:rsidR="001B708E" w:rsidRPr="001B708E" w:rsidRDefault="001B708E" w:rsidP="001B708E">
            <w:pPr>
              <w:spacing w:line="360" w:lineRule="auto"/>
              <w:ind w:right="-1"/>
              <w:jc w:val="center"/>
              <w:rPr>
                <w:sz w:val="22"/>
                <w:szCs w:val="22"/>
                <w:lang w:val="en-US"/>
              </w:rPr>
            </w:pPr>
            <w:r w:rsidRPr="001B708E">
              <w:rPr>
                <w:sz w:val="22"/>
                <w:szCs w:val="22"/>
                <w:lang w:val="en-US"/>
              </w:rPr>
              <w:t>1:4</w:t>
            </w:r>
          </w:p>
        </w:tc>
        <w:tc>
          <w:tcPr>
            <w:tcW w:w="0" w:type="auto"/>
          </w:tcPr>
          <w:p w:rsidR="001B708E" w:rsidRPr="001B708E" w:rsidRDefault="001B708E" w:rsidP="001B708E">
            <w:pPr>
              <w:spacing w:line="360" w:lineRule="auto"/>
              <w:ind w:right="-1"/>
              <w:jc w:val="center"/>
              <w:rPr>
                <w:sz w:val="22"/>
                <w:szCs w:val="22"/>
                <w:lang w:val="en-US"/>
              </w:rPr>
            </w:pPr>
            <w:r w:rsidRPr="001B708E">
              <w:rPr>
                <w:sz w:val="22"/>
                <w:szCs w:val="22"/>
                <w:lang w:val="en-US"/>
              </w:rPr>
              <w:t>141.22 ± 9.54</w:t>
            </w:r>
          </w:p>
        </w:tc>
        <w:tc>
          <w:tcPr>
            <w:tcW w:w="0" w:type="auto"/>
            <w:shd w:val="clear" w:color="auto" w:fill="auto"/>
          </w:tcPr>
          <w:p w:rsidR="001B708E" w:rsidRPr="001B708E" w:rsidRDefault="001B708E" w:rsidP="001B708E">
            <w:pPr>
              <w:spacing w:line="360" w:lineRule="auto"/>
              <w:ind w:right="-1"/>
              <w:jc w:val="center"/>
              <w:rPr>
                <w:sz w:val="22"/>
                <w:szCs w:val="22"/>
                <w:lang w:val="en-US"/>
              </w:rPr>
            </w:pPr>
            <w:r w:rsidRPr="001B708E">
              <w:rPr>
                <w:sz w:val="22"/>
                <w:szCs w:val="22"/>
                <w:lang w:val="en-US"/>
              </w:rPr>
              <w:t>0.58 ± 0.042</w:t>
            </w:r>
          </w:p>
        </w:tc>
      </w:tr>
      <w:tr w:rsidR="00C26146" w:rsidRPr="001B708E" w:rsidTr="0034360E">
        <w:tc>
          <w:tcPr>
            <w:tcW w:w="0" w:type="auto"/>
            <w:shd w:val="clear" w:color="auto" w:fill="auto"/>
          </w:tcPr>
          <w:p w:rsidR="001B708E" w:rsidRPr="001B708E" w:rsidRDefault="001B708E" w:rsidP="001B708E">
            <w:pPr>
              <w:jc w:val="center"/>
              <w:rPr>
                <w:b/>
                <w:iCs/>
                <w:sz w:val="22"/>
                <w:szCs w:val="22"/>
                <w:lang w:val="en-US"/>
              </w:rPr>
            </w:pPr>
            <w:r w:rsidRPr="001B708E">
              <w:rPr>
                <w:b/>
                <w:iCs/>
                <w:sz w:val="22"/>
                <w:szCs w:val="22"/>
                <w:lang w:val="en-US"/>
              </w:rPr>
              <w:t>14</w:t>
            </w:r>
          </w:p>
        </w:tc>
        <w:tc>
          <w:tcPr>
            <w:tcW w:w="0" w:type="auto"/>
            <w:vMerge/>
            <w:shd w:val="clear" w:color="auto" w:fill="auto"/>
          </w:tcPr>
          <w:p w:rsidR="001B708E" w:rsidRPr="001B708E" w:rsidRDefault="001B708E" w:rsidP="001B708E">
            <w:pPr>
              <w:spacing w:line="360" w:lineRule="auto"/>
              <w:ind w:right="-1"/>
              <w:jc w:val="center"/>
              <w:rPr>
                <w:sz w:val="22"/>
                <w:szCs w:val="22"/>
                <w:lang w:val="en-US"/>
              </w:rPr>
            </w:pPr>
          </w:p>
        </w:tc>
        <w:tc>
          <w:tcPr>
            <w:tcW w:w="0" w:type="auto"/>
            <w:shd w:val="clear" w:color="auto" w:fill="auto"/>
          </w:tcPr>
          <w:p w:rsidR="001B708E" w:rsidRPr="001B708E" w:rsidRDefault="001B708E" w:rsidP="001B708E">
            <w:pPr>
              <w:spacing w:line="360" w:lineRule="auto"/>
              <w:ind w:right="-1"/>
              <w:jc w:val="center"/>
              <w:rPr>
                <w:sz w:val="22"/>
                <w:szCs w:val="22"/>
                <w:lang w:val="en-US"/>
              </w:rPr>
            </w:pPr>
            <w:r w:rsidRPr="001B708E">
              <w:rPr>
                <w:sz w:val="22"/>
                <w:szCs w:val="22"/>
                <w:lang w:val="en-US"/>
              </w:rPr>
              <w:t>1:7</w:t>
            </w:r>
          </w:p>
        </w:tc>
        <w:tc>
          <w:tcPr>
            <w:tcW w:w="0" w:type="auto"/>
          </w:tcPr>
          <w:p w:rsidR="001B708E" w:rsidRPr="001B708E" w:rsidRDefault="001B708E" w:rsidP="001B708E">
            <w:pPr>
              <w:spacing w:line="360" w:lineRule="auto"/>
              <w:ind w:right="-1"/>
              <w:jc w:val="center"/>
              <w:rPr>
                <w:sz w:val="22"/>
                <w:szCs w:val="22"/>
                <w:lang w:val="en-US"/>
              </w:rPr>
            </w:pPr>
            <w:r w:rsidRPr="001B708E">
              <w:rPr>
                <w:sz w:val="22"/>
                <w:szCs w:val="22"/>
                <w:lang w:val="en-US"/>
              </w:rPr>
              <w:t>217.71 ± 5.03</w:t>
            </w:r>
          </w:p>
        </w:tc>
        <w:tc>
          <w:tcPr>
            <w:tcW w:w="0" w:type="auto"/>
            <w:shd w:val="clear" w:color="auto" w:fill="auto"/>
          </w:tcPr>
          <w:p w:rsidR="001B708E" w:rsidRPr="001B708E" w:rsidRDefault="001B708E" w:rsidP="001B708E">
            <w:pPr>
              <w:spacing w:line="360" w:lineRule="auto"/>
              <w:ind w:right="-1"/>
              <w:jc w:val="center"/>
              <w:rPr>
                <w:sz w:val="22"/>
                <w:szCs w:val="22"/>
                <w:lang w:val="en-US"/>
              </w:rPr>
            </w:pPr>
            <w:r w:rsidRPr="001B708E">
              <w:rPr>
                <w:sz w:val="22"/>
                <w:szCs w:val="22"/>
                <w:lang w:val="en-US"/>
              </w:rPr>
              <w:t>0.90 ± 0.032</w:t>
            </w:r>
          </w:p>
        </w:tc>
      </w:tr>
      <w:tr w:rsidR="00C26146" w:rsidRPr="001B708E" w:rsidTr="0034360E">
        <w:tc>
          <w:tcPr>
            <w:tcW w:w="0" w:type="auto"/>
            <w:shd w:val="clear" w:color="auto" w:fill="auto"/>
          </w:tcPr>
          <w:p w:rsidR="001B708E" w:rsidRPr="001B708E" w:rsidRDefault="001B708E" w:rsidP="001B708E">
            <w:pPr>
              <w:jc w:val="center"/>
              <w:rPr>
                <w:b/>
                <w:iCs/>
                <w:sz w:val="22"/>
                <w:szCs w:val="22"/>
                <w:lang w:val="en-US"/>
              </w:rPr>
            </w:pPr>
            <w:r w:rsidRPr="001B708E">
              <w:rPr>
                <w:b/>
                <w:iCs/>
                <w:sz w:val="22"/>
                <w:szCs w:val="22"/>
                <w:lang w:val="en-US"/>
              </w:rPr>
              <w:t>5</w:t>
            </w:r>
          </w:p>
        </w:tc>
        <w:tc>
          <w:tcPr>
            <w:tcW w:w="0" w:type="auto"/>
            <w:vMerge w:val="restart"/>
            <w:shd w:val="clear" w:color="auto" w:fill="auto"/>
            <w:vAlign w:val="center"/>
          </w:tcPr>
          <w:p w:rsidR="001B708E" w:rsidRPr="001B708E" w:rsidRDefault="001B708E" w:rsidP="001B708E">
            <w:pPr>
              <w:spacing w:line="360" w:lineRule="auto"/>
              <w:ind w:right="-1"/>
              <w:jc w:val="center"/>
              <w:rPr>
                <w:sz w:val="22"/>
                <w:szCs w:val="22"/>
                <w:lang w:val="en-US"/>
              </w:rPr>
            </w:pPr>
            <w:r w:rsidRPr="001B708E">
              <w:rPr>
                <w:sz w:val="22"/>
                <w:szCs w:val="22"/>
                <w:lang w:val="en-US"/>
              </w:rPr>
              <w:t>180</w:t>
            </w:r>
          </w:p>
        </w:tc>
        <w:tc>
          <w:tcPr>
            <w:tcW w:w="0" w:type="auto"/>
            <w:shd w:val="clear" w:color="auto" w:fill="auto"/>
          </w:tcPr>
          <w:p w:rsidR="001B708E" w:rsidRPr="001B708E" w:rsidRDefault="001B708E" w:rsidP="001B708E">
            <w:pPr>
              <w:spacing w:line="360" w:lineRule="auto"/>
              <w:ind w:right="-1"/>
              <w:jc w:val="center"/>
              <w:rPr>
                <w:sz w:val="22"/>
                <w:szCs w:val="22"/>
                <w:lang w:val="en-US"/>
              </w:rPr>
            </w:pPr>
            <w:r w:rsidRPr="001B708E">
              <w:rPr>
                <w:sz w:val="22"/>
                <w:szCs w:val="22"/>
                <w:lang w:val="en-US"/>
              </w:rPr>
              <w:t>1:2</w:t>
            </w:r>
          </w:p>
        </w:tc>
        <w:tc>
          <w:tcPr>
            <w:tcW w:w="0" w:type="auto"/>
          </w:tcPr>
          <w:p w:rsidR="001B708E" w:rsidRPr="001B708E" w:rsidRDefault="001B708E" w:rsidP="001B708E">
            <w:pPr>
              <w:spacing w:line="360" w:lineRule="auto"/>
              <w:ind w:right="-1"/>
              <w:jc w:val="center"/>
              <w:rPr>
                <w:sz w:val="22"/>
                <w:szCs w:val="22"/>
                <w:lang w:val="en-US"/>
              </w:rPr>
            </w:pPr>
            <w:r w:rsidRPr="001B708E">
              <w:rPr>
                <w:sz w:val="22"/>
                <w:szCs w:val="22"/>
                <w:lang w:val="en-US"/>
              </w:rPr>
              <w:t>95.22 ± 6.80</w:t>
            </w:r>
          </w:p>
        </w:tc>
        <w:tc>
          <w:tcPr>
            <w:tcW w:w="0" w:type="auto"/>
            <w:shd w:val="clear" w:color="auto" w:fill="auto"/>
          </w:tcPr>
          <w:p w:rsidR="001B708E" w:rsidRPr="001B708E" w:rsidRDefault="001B708E" w:rsidP="001B708E">
            <w:pPr>
              <w:spacing w:line="360" w:lineRule="auto"/>
              <w:ind w:right="-1"/>
              <w:jc w:val="center"/>
              <w:rPr>
                <w:sz w:val="22"/>
                <w:szCs w:val="22"/>
                <w:lang w:val="en-US"/>
              </w:rPr>
            </w:pPr>
            <w:r w:rsidRPr="001B708E">
              <w:rPr>
                <w:sz w:val="22"/>
                <w:szCs w:val="22"/>
                <w:lang w:val="en-US"/>
              </w:rPr>
              <w:t>0.39 ± 0.030</w:t>
            </w:r>
          </w:p>
        </w:tc>
      </w:tr>
      <w:tr w:rsidR="00C26146" w:rsidRPr="001B708E" w:rsidTr="0034360E">
        <w:tc>
          <w:tcPr>
            <w:tcW w:w="0" w:type="auto"/>
            <w:shd w:val="clear" w:color="auto" w:fill="auto"/>
          </w:tcPr>
          <w:p w:rsidR="001B708E" w:rsidRPr="001B708E" w:rsidRDefault="001B708E" w:rsidP="001B708E">
            <w:pPr>
              <w:jc w:val="center"/>
              <w:rPr>
                <w:b/>
                <w:iCs/>
                <w:sz w:val="22"/>
                <w:szCs w:val="22"/>
                <w:lang w:val="en-US"/>
              </w:rPr>
            </w:pPr>
            <w:r w:rsidRPr="001B708E">
              <w:rPr>
                <w:b/>
                <w:iCs/>
                <w:sz w:val="22"/>
                <w:szCs w:val="22"/>
                <w:lang w:val="en-US"/>
              </w:rPr>
              <w:t>10</w:t>
            </w:r>
          </w:p>
        </w:tc>
        <w:tc>
          <w:tcPr>
            <w:tcW w:w="0" w:type="auto"/>
            <w:vMerge/>
            <w:shd w:val="clear" w:color="auto" w:fill="auto"/>
          </w:tcPr>
          <w:p w:rsidR="001B708E" w:rsidRPr="001B708E" w:rsidRDefault="001B708E" w:rsidP="001B708E">
            <w:pPr>
              <w:spacing w:line="360" w:lineRule="auto"/>
              <w:ind w:right="-1"/>
              <w:jc w:val="center"/>
              <w:rPr>
                <w:sz w:val="22"/>
                <w:szCs w:val="22"/>
                <w:lang w:val="en-US"/>
              </w:rPr>
            </w:pPr>
          </w:p>
        </w:tc>
        <w:tc>
          <w:tcPr>
            <w:tcW w:w="0" w:type="auto"/>
            <w:shd w:val="clear" w:color="auto" w:fill="auto"/>
          </w:tcPr>
          <w:p w:rsidR="001B708E" w:rsidRPr="001B708E" w:rsidRDefault="001B708E" w:rsidP="001B708E">
            <w:pPr>
              <w:spacing w:line="360" w:lineRule="auto"/>
              <w:ind w:right="-1"/>
              <w:jc w:val="center"/>
              <w:rPr>
                <w:sz w:val="22"/>
                <w:szCs w:val="22"/>
                <w:lang w:val="en-US"/>
              </w:rPr>
            </w:pPr>
            <w:r w:rsidRPr="001B708E">
              <w:rPr>
                <w:sz w:val="22"/>
                <w:szCs w:val="22"/>
                <w:lang w:val="en-US"/>
              </w:rPr>
              <w:t>1:4</w:t>
            </w:r>
          </w:p>
        </w:tc>
        <w:tc>
          <w:tcPr>
            <w:tcW w:w="0" w:type="auto"/>
          </w:tcPr>
          <w:p w:rsidR="001B708E" w:rsidRPr="001B708E" w:rsidRDefault="001B708E" w:rsidP="001B708E">
            <w:pPr>
              <w:spacing w:line="360" w:lineRule="auto"/>
              <w:ind w:right="-1"/>
              <w:jc w:val="center"/>
              <w:rPr>
                <w:sz w:val="22"/>
                <w:szCs w:val="22"/>
                <w:lang w:val="en-US"/>
              </w:rPr>
            </w:pPr>
            <w:r w:rsidRPr="001B708E">
              <w:rPr>
                <w:sz w:val="22"/>
                <w:szCs w:val="22"/>
                <w:lang w:val="en-US"/>
              </w:rPr>
              <w:t>230.14 ± 10.90</w:t>
            </w:r>
          </w:p>
        </w:tc>
        <w:tc>
          <w:tcPr>
            <w:tcW w:w="0" w:type="auto"/>
            <w:shd w:val="clear" w:color="auto" w:fill="auto"/>
          </w:tcPr>
          <w:p w:rsidR="001B708E" w:rsidRPr="001B708E" w:rsidRDefault="001B708E" w:rsidP="001B708E">
            <w:pPr>
              <w:spacing w:line="360" w:lineRule="auto"/>
              <w:ind w:right="-1"/>
              <w:jc w:val="center"/>
              <w:rPr>
                <w:sz w:val="22"/>
                <w:szCs w:val="22"/>
                <w:lang w:val="en-US"/>
              </w:rPr>
            </w:pPr>
            <w:r w:rsidRPr="001B708E">
              <w:rPr>
                <w:sz w:val="22"/>
                <w:szCs w:val="22"/>
                <w:lang w:val="en-US"/>
              </w:rPr>
              <w:t>0.95 ± 0.052</w:t>
            </w:r>
          </w:p>
        </w:tc>
      </w:tr>
      <w:tr w:rsidR="00C26146" w:rsidRPr="001B708E" w:rsidTr="0034360E">
        <w:tc>
          <w:tcPr>
            <w:tcW w:w="0" w:type="auto"/>
            <w:shd w:val="clear" w:color="auto" w:fill="auto"/>
          </w:tcPr>
          <w:p w:rsidR="001B708E" w:rsidRPr="001B708E" w:rsidRDefault="001B708E" w:rsidP="001B708E">
            <w:pPr>
              <w:jc w:val="center"/>
              <w:rPr>
                <w:b/>
                <w:iCs/>
                <w:sz w:val="22"/>
                <w:szCs w:val="22"/>
                <w:lang w:val="en-US"/>
              </w:rPr>
            </w:pPr>
            <w:r w:rsidRPr="001B708E">
              <w:rPr>
                <w:b/>
                <w:iCs/>
                <w:sz w:val="22"/>
                <w:szCs w:val="22"/>
                <w:lang w:val="en-US"/>
              </w:rPr>
              <w:t>15</w:t>
            </w:r>
          </w:p>
        </w:tc>
        <w:tc>
          <w:tcPr>
            <w:tcW w:w="0" w:type="auto"/>
            <w:vMerge/>
            <w:shd w:val="clear" w:color="auto" w:fill="auto"/>
          </w:tcPr>
          <w:p w:rsidR="001B708E" w:rsidRPr="001B708E" w:rsidRDefault="001B708E" w:rsidP="001B708E">
            <w:pPr>
              <w:spacing w:line="360" w:lineRule="auto"/>
              <w:ind w:right="-1"/>
              <w:jc w:val="center"/>
              <w:rPr>
                <w:sz w:val="22"/>
                <w:szCs w:val="22"/>
                <w:lang w:val="en-US"/>
              </w:rPr>
            </w:pPr>
          </w:p>
        </w:tc>
        <w:tc>
          <w:tcPr>
            <w:tcW w:w="0" w:type="auto"/>
            <w:shd w:val="clear" w:color="auto" w:fill="auto"/>
          </w:tcPr>
          <w:p w:rsidR="001B708E" w:rsidRPr="001B708E" w:rsidRDefault="001B708E" w:rsidP="001B708E">
            <w:pPr>
              <w:spacing w:line="360" w:lineRule="auto"/>
              <w:ind w:right="-1"/>
              <w:jc w:val="center"/>
              <w:rPr>
                <w:sz w:val="22"/>
                <w:szCs w:val="22"/>
                <w:lang w:val="en-US"/>
              </w:rPr>
            </w:pPr>
            <w:r w:rsidRPr="001B708E">
              <w:rPr>
                <w:sz w:val="22"/>
                <w:szCs w:val="22"/>
                <w:lang w:val="en-US"/>
              </w:rPr>
              <w:t>1:7</w:t>
            </w:r>
          </w:p>
        </w:tc>
        <w:tc>
          <w:tcPr>
            <w:tcW w:w="0" w:type="auto"/>
          </w:tcPr>
          <w:p w:rsidR="001B708E" w:rsidRPr="001B708E" w:rsidRDefault="001B708E" w:rsidP="001B708E">
            <w:pPr>
              <w:spacing w:line="360" w:lineRule="auto"/>
              <w:ind w:right="-1"/>
              <w:jc w:val="center"/>
              <w:rPr>
                <w:b/>
                <w:sz w:val="22"/>
                <w:szCs w:val="22"/>
                <w:lang w:val="en-US"/>
              </w:rPr>
            </w:pPr>
            <w:r w:rsidRPr="001B708E">
              <w:rPr>
                <w:b/>
                <w:sz w:val="22"/>
                <w:szCs w:val="22"/>
                <w:lang w:val="en-US"/>
              </w:rPr>
              <w:t>241.87 ± 6.41</w:t>
            </w:r>
            <w:r w:rsidRPr="001B708E">
              <w:rPr>
                <w:b/>
                <w:sz w:val="22"/>
                <w:szCs w:val="22"/>
                <w:vertAlign w:val="superscript"/>
                <w:lang w:val="en-US"/>
              </w:rPr>
              <w:t>a</w:t>
            </w:r>
          </w:p>
        </w:tc>
        <w:tc>
          <w:tcPr>
            <w:tcW w:w="0" w:type="auto"/>
            <w:shd w:val="clear" w:color="auto" w:fill="auto"/>
          </w:tcPr>
          <w:p w:rsidR="001B708E" w:rsidRPr="001B708E" w:rsidRDefault="001B708E" w:rsidP="001B708E">
            <w:pPr>
              <w:spacing w:line="360" w:lineRule="auto"/>
              <w:ind w:right="-1"/>
              <w:jc w:val="center"/>
              <w:rPr>
                <w:sz w:val="22"/>
                <w:szCs w:val="22"/>
                <w:lang w:val="en-US"/>
              </w:rPr>
            </w:pPr>
            <w:r w:rsidRPr="001B708E">
              <w:rPr>
                <w:sz w:val="22"/>
                <w:szCs w:val="22"/>
                <w:lang w:val="en-US"/>
              </w:rPr>
              <w:t>1.00 ± 0.037</w:t>
            </w:r>
          </w:p>
        </w:tc>
      </w:tr>
    </w:tbl>
    <w:p w:rsidR="001B708E" w:rsidRPr="001B708E" w:rsidRDefault="001B708E" w:rsidP="001B708E">
      <w:pPr>
        <w:rPr>
          <w:lang w:val="en-US"/>
        </w:rPr>
      </w:pPr>
    </w:p>
    <w:p w:rsidR="001B708E" w:rsidRPr="001B708E" w:rsidRDefault="001B708E" w:rsidP="001B708E">
      <w:pPr>
        <w:rPr>
          <w:lang w:val="en-US"/>
        </w:rPr>
      </w:pPr>
      <w:r w:rsidRPr="001B708E">
        <w:rPr>
          <w:i/>
          <w:lang w:val="en-US"/>
        </w:rPr>
        <w:t>N</w:t>
      </w:r>
      <w:r w:rsidRPr="001B708E">
        <w:rPr>
          <w:lang w:val="en-US"/>
        </w:rPr>
        <w:t xml:space="preserve"> – Formulation number </w:t>
      </w:r>
    </w:p>
    <w:p w:rsidR="001B708E" w:rsidRPr="001B708E" w:rsidRDefault="001B708E" w:rsidP="001B708E">
      <w:pPr>
        <w:rPr>
          <w:lang w:val="en-US"/>
        </w:rPr>
      </w:pPr>
      <w:r w:rsidRPr="001B708E">
        <w:rPr>
          <w:i/>
          <w:lang w:val="en-US"/>
        </w:rPr>
        <w:t>X</w:t>
      </w:r>
      <w:r w:rsidRPr="001B708E">
        <w:rPr>
          <w:i/>
          <w:vertAlign w:val="subscript"/>
          <w:lang w:val="en-US"/>
        </w:rPr>
        <w:t>1</w:t>
      </w:r>
      <w:r w:rsidRPr="001B708E">
        <w:rPr>
          <w:lang w:val="en-US"/>
        </w:rPr>
        <w:t xml:space="preserve"> – milling time (min) (t=0 corresponds to the physical mixtures)</w:t>
      </w:r>
    </w:p>
    <w:p w:rsidR="001B708E" w:rsidRPr="001B708E" w:rsidRDefault="001B708E" w:rsidP="001B708E">
      <w:pPr>
        <w:rPr>
          <w:lang w:val="en-US"/>
        </w:rPr>
      </w:pPr>
      <w:r w:rsidRPr="001B708E">
        <w:rPr>
          <w:i/>
          <w:lang w:val="en-US"/>
        </w:rPr>
        <w:t>X</w:t>
      </w:r>
      <w:r w:rsidRPr="001B708E">
        <w:rPr>
          <w:i/>
          <w:vertAlign w:val="subscript"/>
          <w:lang w:val="en-US"/>
        </w:rPr>
        <w:t>2</w:t>
      </w:r>
      <w:r w:rsidRPr="001B708E">
        <w:rPr>
          <w:lang w:val="en-US"/>
        </w:rPr>
        <w:t xml:space="preserve"> – drug-to-polymer weight ratio</w:t>
      </w:r>
    </w:p>
    <w:p w:rsidR="001B708E" w:rsidRPr="001B708E" w:rsidRDefault="001B708E" w:rsidP="001B708E">
      <w:pPr>
        <w:rPr>
          <w:lang w:val="en-US"/>
        </w:rPr>
      </w:pPr>
      <w:r w:rsidRPr="001B708E">
        <w:rPr>
          <w:lang w:val="en-US"/>
        </w:rPr>
        <w:t>AUC</w:t>
      </w:r>
      <w:r w:rsidRPr="001B708E">
        <w:rPr>
          <w:vertAlign w:val="subscript"/>
          <w:lang w:val="en-US"/>
        </w:rPr>
        <w:t>0-</w:t>
      </w:r>
      <w:proofErr w:type="gramStart"/>
      <w:r w:rsidRPr="001B708E">
        <w:rPr>
          <w:vertAlign w:val="subscript"/>
          <w:lang w:val="en-US"/>
        </w:rPr>
        <w:t xml:space="preserve">180  </w:t>
      </w:r>
      <w:r w:rsidRPr="001B708E">
        <w:rPr>
          <w:lang w:val="en-US"/>
        </w:rPr>
        <w:t>–</w:t>
      </w:r>
      <w:proofErr w:type="gramEnd"/>
      <w:r w:rsidRPr="001B708E">
        <w:rPr>
          <w:lang w:val="en-US"/>
        </w:rPr>
        <w:t xml:space="preserve">Area under the curve of </w:t>
      </w:r>
      <w:proofErr w:type="spellStart"/>
      <w:r w:rsidRPr="001B708E">
        <w:rPr>
          <w:lang w:val="en-US"/>
        </w:rPr>
        <w:t>solubilised</w:t>
      </w:r>
      <w:proofErr w:type="spellEnd"/>
      <w:r w:rsidRPr="001B708E">
        <w:rPr>
          <w:lang w:val="en-US"/>
        </w:rPr>
        <w:t xml:space="preserve"> concentration vs. time, from t=0 min to the last measuring point (180 min)</w:t>
      </w:r>
    </w:p>
    <w:p w:rsidR="001B708E" w:rsidRPr="001B708E" w:rsidRDefault="001B708E" w:rsidP="001B708E">
      <w:pPr>
        <w:jc w:val="both"/>
        <w:rPr>
          <w:lang w:val="en-US"/>
        </w:rPr>
      </w:pPr>
      <w:r w:rsidRPr="001B708E">
        <w:rPr>
          <w:lang w:val="en-US"/>
        </w:rPr>
        <w:t xml:space="preserve">Z ± </w:t>
      </w:r>
      <w:proofErr w:type="spellStart"/>
      <w:r w:rsidRPr="001B708E">
        <w:rPr>
          <w:lang w:val="en-US"/>
        </w:rPr>
        <w:t>dz</w:t>
      </w:r>
      <w:proofErr w:type="spellEnd"/>
      <w:r w:rsidRPr="001B708E">
        <w:rPr>
          <w:lang w:val="en-US"/>
        </w:rPr>
        <w:t xml:space="preserve"> – the </w:t>
      </w:r>
      <w:r w:rsidRPr="001B708E">
        <w:rPr>
          <w:i/>
          <w:lang w:val="en-US"/>
        </w:rPr>
        <w:t xml:space="preserve">Z </w:t>
      </w:r>
      <w:r w:rsidRPr="001B708E">
        <w:rPr>
          <w:lang w:val="en-US"/>
        </w:rPr>
        <w:t xml:space="preserve">ratio and associated uncertainty </w:t>
      </w:r>
      <w:proofErr w:type="spellStart"/>
      <w:r w:rsidRPr="001B708E">
        <w:rPr>
          <w:i/>
          <w:lang w:val="en-US"/>
        </w:rPr>
        <w:t>dz</w:t>
      </w:r>
      <w:proofErr w:type="spellEnd"/>
      <w:r w:rsidRPr="001B708E">
        <w:rPr>
          <w:i/>
          <w:lang w:val="en-US"/>
        </w:rPr>
        <w:t xml:space="preserve"> </w:t>
      </w:r>
      <w:r w:rsidRPr="001B708E">
        <w:rPr>
          <w:lang w:val="en-US"/>
        </w:rPr>
        <w:t xml:space="preserve">calculated from equation (3) and (4), respectively </w:t>
      </w:r>
    </w:p>
    <w:p w:rsidR="001B708E" w:rsidRPr="001B708E" w:rsidRDefault="001B708E" w:rsidP="001B708E">
      <w:pPr>
        <w:rPr>
          <w:lang w:val="en-US"/>
        </w:rPr>
      </w:pPr>
      <w:proofErr w:type="gramStart"/>
      <w:r w:rsidRPr="001B708E">
        <w:rPr>
          <w:b/>
          <w:vertAlign w:val="superscript"/>
          <w:lang w:val="en-US"/>
        </w:rPr>
        <w:t>a</w:t>
      </w:r>
      <w:proofErr w:type="gramEnd"/>
      <w:r w:rsidRPr="001B708E">
        <w:rPr>
          <w:b/>
          <w:lang w:val="en-US"/>
        </w:rPr>
        <w:t xml:space="preserve"> </w:t>
      </w:r>
      <w:r w:rsidRPr="001B708E">
        <w:rPr>
          <w:lang w:val="en-US"/>
        </w:rPr>
        <w:t xml:space="preserve">Cog sample having </w:t>
      </w:r>
      <w:proofErr w:type="spellStart"/>
      <w:r w:rsidRPr="001B708E">
        <w:rPr>
          <w:lang w:val="en-US"/>
        </w:rPr>
        <w:t>AUC</w:t>
      </w:r>
      <w:r w:rsidRPr="001B708E">
        <w:rPr>
          <w:vertAlign w:val="subscript"/>
          <w:lang w:val="en-US"/>
        </w:rPr>
        <w:t>max</w:t>
      </w:r>
      <w:proofErr w:type="spellEnd"/>
      <w:r w:rsidRPr="001B708E">
        <w:rPr>
          <w:lang w:val="en-US"/>
        </w:rPr>
        <w:t xml:space="preserve"> </w:t>
      </w: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roofErr w:type="gramStart"/>
      <w:r w:rsidRPr="001B708E">
        <w:rPr>
          <w:b/>
          <w:lang w:val="en-US"/>
        </w:rPr>
        <w:lastRenderedPageBreak/>
        <w:t>Table 4.</w:t>
      </w:r>
      <w:proofErr w:type="gramEnd"/>
      <w:r w:rsidRPr="001B708E">
        <w:rPr>
          <w:lang w:val="en-US"/>
        </w:rPr>
        <w:t xml:space="preserve"> </w:t>
      </w:r>
      <w:proofErr w:type="gramStart"/>
      <w:smartTag w:uri="urn:schemas-microsoft-com:office:smarttags" w:element="metricconverter">
        <w:smartTagPr>
          <w:attr w:name="ProductID" w:val="13C"/>
        </w:smartTagPr>
        <w:r w:rsidRPr="001B708E">
          <w:rPr>
            <w:vertAlign w:val="superscript"/>
            <w:lang w:val="en-US"/>
          </w:rPr>
          <w:t>13</w:t>
        </w:r>
        <w:r w:rsidRPr="001B708E">
          <w:rPr>
            <w:lang w:val="en-US"/>
          </w:rPr>
          <w:t>C</w:t>
        </w:r>
      </w:smartTag>
      <w:r w:rsidRPr="001B708E">
        <w:rPr>
          <w:lang w:val="en-US"/>
        </w:rPr>
        <w:t xml:space="preserve"> and </w:t>
      </w:r>
      <w:r w:rsidRPr="001B708E">
        <w:rPr>
          <w:vertAlign w:val="superscript"/>
          <w:lang w:val="en-US"/>
        </w:rPr>
        <w:t>15</w:t>
      </w:r>
      <w:r w:rsidRPr="001B708E">
        <w:rPr>
          <w:lang w:val="en-US"/>
        </w:rPr>
        <w:t xml:space="preserve">N chemical shifts with relative assignment of pure </w:t>
      </w:r>
      <w:proofErr w:type="spellStart"/>
      <w:r w:rsidRPr="001B708E">
        <w:rPr>
          <w:lang w:val="en-US"/>
        </w:rPr>
        <w:t>vincamine</w:t>
      </w:r>
      <w:proofErr w:type="spellEnd"/>
      <w:r w:rsidRPr="001B708E">
        <w:rPr>
          <w:lang w:val="en-US"/>
        </w:rPr>
        <w:t xml:space="preserve"> and PVP-K30 (</w:t>
      </w:r>
      <w:proofErr w:type="spellStart"/>
      <w:r w:rsidRPr="001B708E">
        <w:rPr>
          <w:lang w:val="en-US"/>
        </w:rPr>
        <w:t>Hasa</w:t>
      </w:r>
      <w:proofErr w:type="spellEnd"/>
      <w:r w:rsidRPr="001B708E">
        <w:rPr>
          <w:lang w:val="en-US"/>
        </w:rPr>
        <w:t xml:space="preserve"> et al., 2012a).</w:t>
      </w:r>
      <w:proofErr w:type="gramEnd"/>
    </w:p>
    <w:p w:rsidR="001B708E" w:rsidRPr="001B708E" w:rsidRDefault="001B708E" w:rsidP="001B708E">
      <w:pPr>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7"/>
        <w:gridCol w:w="1083"/>
        <w:gridCol w:w="957"/>
        <w:gridCol w:w="1310"/>
      </w:tblGrid>
      <w:tr w:rsidR="00C26146" w:rsidRPr="001B708E" w:rsidTr="0034360E">
        <w:tc>
          <w:tcPr>
            <w:tcW w:w="2997" w:type="dxa"/>
            <w:gridSpan w:val="3"/>
            <w:tcBorders>
              <w:top w:val="single" w:sz="8" w:space="0" w:color="000000"/>
              <w:left w:val="single" w:sz="8" w:space="0" w:color="000000"/>
              <w:bottom w:val="single" w:sz="6" w:space="0" w:color="000000"/>
              <w:right w:val="single" w:sz="6" w:space="0" w:color="000000"/>
            </w:tcBorders>
          </w:tcPr>
          <w:p w:rsidR="001B708E" w:rsidRPr="001B708E" w:rsidRDefault="001B708E" w:rsidP="001B708E">
            <w:pPr>
              <w:autoSpaceDE w:val="0"/>
              <w:autoSpaceDN w:val="0"/>
              <w:adjustRightInd w:val="0"/>
              <w:rPr>
                <w:b/>
                <w:lang w:val="en-US"/>
              </w:rPr>
            </w:pPr>
            <w:proofErr w:type="spellStart"/>
            <w:r w:rsidRPr="001B708E">
              <w:rPr>
                <w:b/>
                <w:lang w:val="en-US"/>
              </w:rPr>
              <w:t>vincamine</w:t>
            </w:r>
            <w:proofErr w:type="spellEnd"/>
          </w:p>
        </w:tc>
        <w:tc>
          <w:tcPr>
            <w:tcW w:w="1310" w:type="dxa"/>
            <w:tcBorders>
              <w:top w:val="single" w:sz="8" w:space="0" w:color="000000"/>
              <w:left w:val="single" w:sz="6" w:space="0" w:color="000000"/>
              <w:bottom w:val="single" w:sz="6" w:space="0" w:color="000000"/>
              <w:right w:val="single" w:sz="8" w:space="0" w:color="000000"/>
            </w:tcBorders>
          </w:tcPr>
          <w:p w:rsidR="001B708E" w:rsidRPr="001B708E" w:rsidRDefault="001B708E" w:rsidP="001B708E">
            <w:pPr>
              <w:autoSpaceDE w:val="0"/>
              <w:autoSpaceDN w:val="0"/>
              <w:adjustRightInd w:val="0"/>
              <w:rPr>
                <w:b/>
                <w:lang w:val="en-US"/>
              </w:rPr>
            </w:pPr>
            <w:r w:rsidRPr="001B708E">
              <w:rPr>
                <w:b/>
                <w:lang w:val="en-US"/>
              </w:rPr>
              <w:t>PVP-K30</w:t>
            </w:r>
          </w:p>
        </w:tc>
      </w:tr>
      <w:tr w:rsidR="00C26146" w:rsidRPr="001B708E" w:rsidTr="0034360E">
        <w:tc>
          <w:tcPr>
            <w:tcW w:w="957" w:type="dxa"/>
            <w:tcBorders>
              <w:top w:val="single" w:sz="6" w:space="0" w:color="000000"/>
              <w:left w:val="single" w:sz="8" w:space="0" w:color="000000"/>
              <w:bottom w:val="single" w:sz="6" w:space="0" w:color="000000"/>
              <w:right w:val="single" w:sz="6" w:space="0" w:color="000000"/>
            </w:tcBorders>
          </w:tcPr>
          <w:p w:rsidR="001B708E" w:rsidRPr="001B708E" w:rsidRDefault="001B708E" w:rsidP="001B708E">
            <w:pPr>
              <w:autoSpaceDE w:val="0"/>
              <w:autoSpaceDN w:val="0"/>
              <w:adjustRightInd w:val="0"/>
              <w:rPr>
                <w:b/>
                <w:lang w:val="en-US"/>
              </w:rPr>
            </w:pPr>
            <w:smartTag w:uri="urn:schemas-microsoft-com:office:smarttags" w:element="metricconverter">
              <w:smartTagPr>
                <w:attr w:name="ProductID" w:val="13C"/>
              </w:smartTagPr>
              <w:r w:rsidRPr="001B708E">
                <w:rPr>
                  <w:b/>
                  <w:vertAlign w:val="superscript"/>
                  <w:lang w:val="en-US"/>
                </w:rPr>
                <w:t>13</w:t>
              </w:r>
              <w:r w:rsidRPr="001B708E">
                <w:rPr>
                  <w:b/>
                  <w:lang w:val="en-US"/>
                </w:rPr>
                <w:t>C</w:t>
              </w:r>
            </w:smartTag>
            <w:r w:rsidRPr="001B708E">
              <w:rPr>
                <w:b/>
                <w:lang w:val="en-US"/>
              </w:rPr>
              <w:t xml:space="preserve"> </w:t>
            </w:r>
            <w:r w:rsidRPr="001B708E">
              <w:rPr>
                <w:b/>
                <w:lang w:val="en-US"/>
              </w:rPr>
              <w:sym w:font="Symbol" w:char="F064"/>
            </w:r>
          </w:p>
        </w:tc>
        <w:tc>
          <w:tcPr>
            <w:tcW w:w="1083" w:type="dxa"/>
            <w:tcBorders>
              <w:top w:val="single" w:sz="6" w:space="0" w:color="000000"/>
              <w:left w:val="single" w:sz="6" w:space="0" w:color="000000"/>
              <w:bottom w:val="single" w:sz="6" w:space="0" w:color="000000"/>
              <w:right w:val="single" w:sz="6" w:space="0" w:color="000000"/>
            </w:tcBorders>
          </w:tcPr>
          <w:p w:rsidR="001B708E" w:rsidRPr="001B708E" w:rsidRDefault="001B708E" w:rsidP="001B708E">
            <w:pPr>
              <w:autoSpaceDE w:val="0"/>
              <w:autoSpaceDN w:val="0"/>
              <w:adjustRightInd w:val="0"/>
              <w:rPr>
                <w:b/>
                <w:lang w:val="en-US"/>
              </w:rPr>
            </w:pPr>
            <w:r w:rsidRPr="001B708E">
              <w:rPr>
                <w:b/>
                <w:lang w:val="en-US"/>
              </w:rPr>
              <w:t>carbon</w:t>
            </w:r>
          </w:p>
        </w:tc>
        <w:tc>
          <w:tcPr>
            <w:tcW w:w="957" w:type="dxa"/>
            <w:tcBorders>
              <w:top w:val="single" w:sz="6" w:space="0" w:color="000000"/>
              <w:left w:val="single" w:sz="6" w:space="0" w:color="000000"/>
              <w:bottom w:val="single" w:sz="6" w:space="0" w:color="000000"/>
              <w:right w:val="single" w:sz="6" w:space="0" w:color="000000"/>
            </w:tcBorders>
          </w:tcPr>
          <w:p w:rsidR="001B708E" w:rsidRPr="001B708E" w:rsidRDefault="001B708E" w:rsidP="001B708E">
            <w:pPr>
              <w:autoSpaceDE w:val="0"/>
              <w:autoSpaceDN w:val="0"/>
              <w:adjustRightInd w:val="0"/>
              <w:rPr>
                <w:b/>
                <w:lang w:val="en-US"/>
              </w:rPr>
            </w:pPr>
            <w:r w:rsidRPr="001B708E">
              <w:rPr>
                <w:b/>
                <w:lang w:val="en-US"/>
              </w:rPr>
              <w:t>Note</w:t>
            </w:r>
          </w:p>
        </w:tc>
        <w:tc>
          <w:tcPr>
            <w:tcW w:w="1310" w:type="dxa"/>
            <w:tcBorders>
              <w:top w:val="single" w:sz="6" w:space="0" w:color="000000"/>
              <w:left w:val="single" w:sz="6" w:space="0" w:color="000000"/>
              <w:bottom w:val="single" w:sz="6" w:space="0" w:color="000000"/>
              <w:right w:val="single" w:sz="8" w:space="0" w:color="000000"/>
            </w:tcBorders>
          </w:tcPr>
          <w:p w:rsidR="001B708E" w:rsidRPr="001B708E" w:rsidRDefault="001B708E" w:rsidP="001B708E">
            <w:pPr>
              <w:autoSpaceDE w:val="0"/>
              <w:autoSpaceDN w:val="0"/>
              <w:adjustRightInd w:val="0"/>
              <w:rPr>
                <w:b/>
                <w:lang w:val="en-US"/>
              </w:rPr>
            </w:pPr>
            <w:smartTag w:uri="urn:schemas-microsoft-com:office:smarttags" w:element="metricconverter">
              <w:smartTagPr>
                <w:attr w:name="ProductID" w:val="13C"/>
              </w:smartTagPr>
              <w:r w:rsidRPr="001B708E">
                <w:rPr>
                  <w:b/>
                  <w:vertAlign w:val="superscript"/>
                  <w:lang w:val="en-US"/>
                </w:rPr>
                <w:t>13</w:t>
              </w:r>
              <w:r w:rsidRPr="001B708E">
                <w:rPr>
                  <w:b/>
                  <w:lang w:val="en-US"/>
                </w:rPr>
                <w:t>C</w:t>
              </w:r>
            </w:smartTag>
            <w:r w:rsidRPr="001B708E">
              <w:rPr>
                <w:b/>
                <w:lang w:val="en-US"/>
              </w:rPr>
              <w:t xml:space="preserve"> </w:t>
            </w:r>
            <w:r w:rsidRPr="001B708E">
              <w:rPr>
                <w:b/>
                <w:lang w:val="en-US"/>
              </w:rPr>
              <w:sym w:font="Symbol" w:char="F064"/>
            </w:r>
          </w:p>
        </w:tc>
      </w:tr>
      <w:tr w:rsidR="00C26146" w:rsidRPr="001B708E" w:rsidTr="0034360E">
        <w:tc>
          <w:tcPr>
            <w:tcW w:w="957" w:type="dxa"/>
            <w:tcBorders>
              <w:top w:val="single" w:sz="6" w:space="0" w:color="000000"/>
              <w:left w:val="single" w:sz="8" w:space="0" w:color="000000"/>
              <w:bottom w:val="single" w:sz="6" w:space="0" w:color="000000"/>
              <w:right w:val="single" w:sz="6" w:space="0" w:color="000000"/>
            </w:tcBorders>
          </w:tcPr>
          <w:p w:rsidR="001B708E" w:rsidRPr="001B708E" w:rsidRDefault="001B708E" w:rsidP="001B708E">
            <w:pPr>
              <w:autoSpaceDE w:val="0"/>
              <w:autoSpaceDN w:val="0"/>
              <w:adjustRightInd w:val="0"/>
              <w:rPr>
                <w:lang w:val="en-US"/>
              </w:rPr>
            </w:pPr>
            <w:r w:rsidRPr="001B708E">
              <w:rPr>
                <w:lang w:val="en-US"/>
              </w:rPr>
              <w:t>7.5</w:t>
            </w:r>
          </w:p>
        </w:tc>
        <w:tc>
          <w:tcPr>
            <w:tcW w:w="1083" w:type="dxa"/>
            <w:tcBorders>
              <w:top w:val="single" w:sz="6" w:space="0" w:color="000000"/>
              <w:left w:val="single" w:sz="6" w:space="0" w:color="000000"/>
              <w:bottom w:val="single" w:sz="6" w:space="0" w:color="000000"/>
              <w:right w:val="single" w:sz="6" w:space="0" w:color="000000"/>
            </w:tcBorders>
          </w:tcPr>
          <w:p w:rsidR="001B708E" w:rsidRPr="001B708E" w:rsidRDefault="001B708E" w:rsidP="001B708E">
            <w:pPr>
              <w:autoSpaceDE w:val="0"/>
              <w:autoSpaceDN w:val="0"/>
              <w:adjustRightInd w:val="0"/>
              <w:rPr>
                <w:lang w:val="en-US"/>
              </w:rPr>
            </w:pPr>
            <w:r w:rsidRPr="001B708E">
              <w:rPr>
                <w:lang w:val="en-US"/>
              </w:rPr>
              <w:t>21</w:t>
            </w:r>
          </w:p>
        </w:tc>
        <w:tc>
          <w:tcPr>
            <w:tcW w:w="957" w:type="dxa"/>
            <w:tcBorders>
              <w:top w:val="single" w:sz="6" w:space="0" w:color="000000"/>
              <w:left w:val="single" w:sz="6" w:space="0" w:color="000000"/>
              <w:bottom w:val="single" w:sz="6" w:space="0" w:color="000000"/>
              <w:right w:val="single" w:sz="6" w:space="0" w:color="000000"/>
            </w:tcBorders>
          </w:tcPr>
          <w:p w:rsidR="001B708E" w:rsidRPr="001B708E" w:rsidRDefault="001B708E" w:rsidP="001B708E">
            <w:pPr>
              <w:autoSpaceDE w:val="0"/>
              <w:autoSpaceDN w:val="0"/>
              <w:adjustRightInd w:val="0"/>
              <w:rPr>
                <w:lang w:val="en-US"/>
              </w:rPr>
            </w:pPr>
            <w:r w:rsidRPr="001B708E">
              <w:rPr>
                <w:lang w:val="en-US"/>
              </w:rPr>
              <w:t>CH</w:t>
            </w:r>
            <w:r w:rsidRPr="001B708E">
              <w:rPr>
                <w:vertAlign w:val="subscript"/>
                <w:lang w:val="en-US"/>
              </w:rPr>
              <w:t>3</w:t>
            </w:r>
          </w:p>
        </w:tc>
        <w:tc>
          <w:tcPr>
            <w:tcW w:w="1310" w:type="dxa"/>
            <w:tcBorders>
              <w:top w:val="single" w:sz="6" w:space="0" w:color="000000"/>
              <w:left w:val="single" w:sz="6" w:space="0" w:color="000000"/>
              <w:bottom w:val="single" w:sz="6" w:space="0" w:color="000000"/>
              <w:right w:val="single" w:sz="8" w:space="0" w:color="000000"/>
            </w:tcBorders>
          </w:tcPr>
          <w:p w:rsidR="001B708E" w:rsidRPr="001B708E" w:rsidRDefault="001B708E" w:rsidP="001B708E">
            <w:pPr>
              <w:autoSpaceDE w:val="0"/>
              <w:autoSpaceDN w:val="0"/>
              <w:adjustRightInd w:val="0"/>
              <w:rPr>
                <w:lang w:val="en-US"/>
              </w:rPr>
            </w:pPr>
            <w:r w:rsidRPr="001B708E">
              <w:rPr>
                <w:lang w:val="it-IT"/>
              </w:rPr>
              <w:t>18.4</w:t>
            </w:r>
          </w:p>
        </w:tc>
      </w:tr>
      <w:tr w:rsidR="00C26146" w:rsidRPr="001B708E" w:rsidTr="0034360E">
        <w:tc>
          <w:tcPr>
            <w:tcW w:w="957" w:type="dxa"/>
            <w:tcBorders>
              <w:top w:val="single" w:sz="6" w:space="0" w:color="000000"/>
              <w:left w:val="single" w:sz="8" w:space="0" w:color="000000"/>
              <w:bottom w:val="single" w:sz="6" w:space="0" w:color="000000"/>
              <w:right w:val="single" w:sz="6" w:space="0" w:color="000000"/>
            </w:tcBorders>
          </w:tcPr>
          <w:p w:rsidR="001B708E" w:rsidRPr="001B708E" w:rsidRDefault="001B708E" w:rsidP="001B708E">
            <w:pPr>
              <w:autoSpaceDE w:val="0"/>
              <w:autoSpaceDN w:val="0"/>
              <w:adjustRightInd w:val="0"/>
              <w:rPr>
                <w:lang w:val="en-US"/>
              </w:rPr>
            </w:pPr>
            <w:r w:rsidRPr="001B708E">
              <w:rPr>
                <w:lang w:val="en-US"/>
              </w:rPr>
              <w:t>15.3</w:t>
            </w:r>
          </w:p>
        </w:tc>
        <w:tc>
          <w:tcPr>
            <w:tcW w:w="1083" w:type="dxa"/>
            <w:tcBorders>
              <w:top w:val="single" w:sz="6" w:space="0" w:color="000000"/>
              <w:left w:val="single" w:sz="6" w:space="0" w:color="000000"/>
              <w:bottom w:val="single" w:sz="6" w:space="0" w:color="000000"/>
              <w:right w:val="single" w:sz="6" w:space="0" w:color="000000"/>
            </w:tcBorders>
          </w:tcPr>
          <w:p w:rsidR="001B708E" w:rsidRPr="001B708E" w:rsidRDefault="001B708E" w:rsidP="001B708E">
            <w:pPr>
              <w:autoSpaceDE w:val="0"/>
              <w:autoSpaceDN w:val="0"/>
              <w:adjustRightInd w:val="0"/>
              <w:rPr>
                <w:lang w:val="en-US"/>
              </w:rPr>
            </w:pPr>
            <w:r w:rsidRPr="001B708E">
              <w:rPr>
                <w:lang w:val="en-US"/>
              </w:rPr>
              <w:t>18</w:t>
            </w:r>
          </w:p>
        </w:tc>
        <w:tc>
          <w:tcPr>
            <w:tcW w:w="957" w:type="dxa"/>
            <w:tcBorders>
              <w:top w:val="single" w:sz="6" w:space="0" w:color="000000"/>
              <w:left w:val="single" w:sz="6" w:space="0" w:color="000000"/>
              <w:bottom w:val="single" w:sz="6" w:space="0" w:color="000000"/>
              <w:right w:val="single" w:sz="6" w:space="0" w:color="000000"/>
            </w:tcBorders>
          </w:tcPr>
          <w:p w:rsidR="001B708E" w:rsidRPr="001B708E" w:rsidRDefault="001B708E" w:rsidP="001B708E">
            <w:pPr>
              <w:autoSpaceDE w:val="0"/>
              <w:autoSpaceDN w:val="0"/>
              <w:adjustRightInd w:val="0"/>
              <w:rPr>
                <w:lang w:val="en-US"/>
              </w:rPr>
            </w:pPr>
            <w:r w:rsidRPr="001B708E">
              <w:rPr>
                <w:lang w:val="en-US"/>
              </w:rPr>
              <w:t>CH</w:t>
            </w:r>
            <w:r w:rsidRPr="001B708E">
              <w:rPr>
                <w:vertAlign w:val="subscript"/>
                <w:lang w:val="en-US"/>
              </w:rPr>
              <w:t>2</w:t>
            </w:r>
          </w:p>
        </w:tc>
        <w:tc>
          <w:tcPr>
            <w:tcW w:w="1310" w:type="dxa"/>
            <w:tcBorders>
              <w:top w:val="single" w:sz="6" w:space="0" w:color="000000"/>
              <w:left w:val="single" w:sz="6" w:space="0" w:color="000000"/>
              <w:bottom w:val="single" w:sz="6" w:space="0" w:color="000000"/>
              <w:right w:val="single" w:sz="8" w:space="0" w:color="000000"/>
            </w:tcBorders>
          </w:tcPr>
          <w:p w:rsidR="001B708E" w:rsidRPr="001B708E" w:rsidRDefault="001B708E" w:rsidP="001B708E">
            <w:pPr>
              <w:autoSpaceDE w:val="0"/>
              <w:autoSpaceDN w:val="0"/>
              <w:adjustRightInd w:val="0"/>
              <w:rPr>
                <w:lang w:val="en-US"/>
              </w:rPr>
            </w:pPr>
            <w:r w:rsidRPr="001B708E">
              <w:rPr>
                <w:lang w:val="it-IT"/>
              </w:rPr>
              <w:t>31.5</w:t>
            </w:r>
          </w:p>
        </w:tc>
      </w:tr>
      <w:tr w:rsidR="00C26146" w:rsidRPr="001B708E" w:rsidTr="0034360E">
        <w:tc>
          <w:tcPr>
            <w:tcW w:w="957" w:type="dxa"/>
            <w:tcBorders>
              <w:top w:val="single" w:sz="6" w:space="0" w:color="000000"/>
              <w:left w:val="single" w:sz="8" w:space="0" w:color="000000"/>
              <w:bottom w:val="single" w:sz="6" w:space="0" w:color="000000"/>
              <w:right w:val="single" w:sz="6" w:space="0" w:color="000000"/>
            </w:tcBorders>
          </w:tcPr>
          <w:p w:rsidR="001B708E" w:rsidRPr="001B708E" w:rsidRDefault="001B708E" w:rsidP="001B708E">
            <w:pPr>
              <w:autoSpaceDE w:val="0"/>
              <w:autoSpaceDN w:val="0"/>
              <w:adjustRightInd w:val="0"/>
              <w:rPr>
                <w:lang w:val="en-US"/>
              </w:rPr>
            </w:pPr>
            <w:r w:rsidRPr="001B708E">
              <w:rPr>
                <w:lang w:val="en-US"/>
              </w:rPr>
              <w:t>21.3</w:t>
            </w:r>
          </w:p>
        </w:tc>
        <w:tc>
          <w:tcPr>
            <w:tcW w:w="1083" w:type="dxa"/>
            <w:tcBorders>
              <w:top w:val="single" w:sz="6" w:space="0" w:color="000000"/>
              <w:left w:val="single" w:sz="6" w:space="0" w:color="000000"/>
              <w:bottom w:val="single" w:sz="6" w:space="0" w:color="000000"/>
              <w:right w:val="single" w:sz="6" w:space="0" w:color="000000"/>
            </w:tcBorders>
          </w:tcPr>
          <w:p w:rsidR="001B708E" w:rsidRPr="001B708E" w:rsidRDefault="001B708E" w:rsidP="001B708E">
            <w:pPr>
              <w:autoSpaceDE w:val="0"/>
              <w:autoSpaceDN w:val="0"/>
              <w:adjustRightInd w:val="0"/>
              <w:rPr>
                <w:lang w:val="en-US"/>
              </w:rPr>
            </w:pPr>
            <w:r w:rsidRPr="001B708E">
              <w:rPr>
                <w:lang w:val="en-US"/>
              </w:rPr>
              <w:t>6</w:t>
            </w:r>
          </w:p>
        </w:tc>
        <w:tc>
          <w:tcPr>
            <w:tcW w:w="957" w:type="dxa"/>
            <w:tcBorders>
              <w:top w:val="single" w:sz="6" w:space="0" w:color="000000"/>
              <w:left w:val="single" w:sz="6" w:space="0" w:color="000000"/>
              <w:bottom w:val="single" w:sz="6" w:space="0" w:color="000000"/>
              <w:right w:val="single" w:sz="6" w:space="0" w:color="000000"/>
            </w:tcBorders>
          </w:tcPr>
          <w:p w:rsidR="001B708E" w:rsidRPr="001B708E" w:rsidRDefault="001B708E" w:rsidP="001B708E">
            <w:pPr>
              <w:autoSpaceDE w:val="0"/>
              <w:autoSpaceDN w:val="0"/>
              <w:adjustRightInd w:val="0"/>
              <w:rPr>
                <w:lang w:val="en-US"/>
              </w:rPr>
            </w:pPr>
            <w:r w:rsidRPr="001B708E">
              <w:rPr>
                <w:lang w:val="en-US"/>
              </w:rPr>
              <w:t>CH</w:t>
            </w:r>
            <w:r w:rsidRPr="001B708E">
              <w:rPr>
                <w:vertAlign w:val="subscript"/>
                <w:lang w:val="en-US"/>
              </w:rPr>
              <w:t>2</w:t>
            </w:r>
          </w:p>
        </w:tc>
        <w:tc>
          <w:tcPr>
            <w:tcW w:w="1310" w:type="dxa"/>
            <w:tcBorders>
              <w:top w:val="single" w:sz="6" w:space="0" w:color="000000"/>
              <w:left w:val="single" w:sz="6" w:space="0" w:color="000000"/>
              <w:bottom w:val="single" w:sz="6" w:space="0" w:color="000000"/>
              <w:right w:val="single" w:sz="8" w:space="0" w:color="000000"/>
            </w:tcBorders>
          </w:tcPr>
          <w:p w:rsidR="001B708E" w:rsidRPr="001B708E" w:rsidRDefault="001B708E" w:rsidP="001B708E">
            <w:pPr>
              <w:autoSpaceDE w:val="0"/>
              <w:autoSpaceDN w:val="0"/>
              <w:adjustRightInd w:val="0"/>
              <w:rPr>
                <w:lang w:val="en-US"/>
              </w:rPr>
            </w:pPr>
            <w:r w:rsidRPr="001B708E">
              <w:rPr>
                <w:lang w:val="it-IT"/>
              </w:rPr>
              <w:t>35.9 sh</w:t>
            </w:r>
          </w:p>
        </w:tc>
      </w:tr>
      <w:tr w:rsidR="00C26146" w:rsidRPr="001B708E" w:rsidTr="0034360E">
        <w:tc>
          <w:tcPr>
            <w:tcW w:w="957" w:type="dxa"/>
            <w:tcBorders>
              <w:top w:val="single" w:sz="6" w:space="0" w:color="000000"/>
              <w:left w:val="single" w:sz="8" w:space="0" w:color="000000"/>
              <w:bottom w:val="single" w:sz="6" w:space="0" w:color="000000"/>
              <w:right w:val="single" w:sz="6" w:space="0" w:color="000000"/>
            </w:tcBorders>
          </w:tcPr>
          <w:p w:rsidR="001B708E" w:rsidRPr="001B708E" w:rsidRDefault="001B708E" w:rsidP="001B708E">
            <w:pPr>
              <w:autoSpaceDE w:val="0"/>
              <w:autoSpaceDN w:val="0"/>
              <w:adjustRightInd w:val="0"/>
              <w:rPr>
                <w:lang w:val="en-US"/>
              </w:rPr>
            </w:pPr>
            <w:r w:rsidRPr="001B708E">
              <w:rPr>
                <w:lang w:val="en-US"/>
              </w:rPr>
              <w:t>24.8</w:t>
            </w:r>
          </w:p>
        </w:tc>
        <w:tc>
          <w:tcPr>
            <w:tcW w:w="1083" w:type="dxa"/>
            <w:tcBorders>
              <w:top w:val="single" w:sz="6" w:space="0" w:color="000000"/>
              <w:left w:val="single" w:sz="6" w:space="0" w:color="000000"/>
              <w:bottom w:val="single" w:sz="6" w:space="0" w:color="000000"/>
              <w:right w:val="single" w:sz="6" w:space="0" w:color="000000"/>
            </w:tcBorders>
          </w:tcPr>
          <w:p w:rsidR="001B708E" w:rsidRPr="001B708E" w:rsidRDefault="001B708E" w:rsidP="001B708E">
            <w:pPr>
              <w:autoSpaceDE w:val="0"/>
              <w:autoSpaceDN w:val="0"/>
              <w:adjustRightInd w:val="0"/>
              <w:rPr>
                <w:lang w:val="en-US"/>
              </w:rPr>
            </w:pPr>
            <w:r w:rsidRPr="001B708E">
              <w:rPr>
                <w:lang w:val="en-US"/>
              </w:rPr>
              <w:t>20</w:t>
            </w:r>
          </w:p>
        </w:tc>
        <w:tc>
          <w:tcPr>
            <w:tcW w:w="957" w:type="dxa"/>
            <w:tcBorders>
              <w:top w:val="single" w:sz="6" w:space="0" w:color="000000"/>
              <w:left w:val="single" w:sz="6" w:space="0" w:color="000000"/>
              <w:bottom w:val="single" w:sz="6" w:space="0" w:color="000000"/>
              <w:right w:val="single" w:sz="6" w:space="0" w:color="000000"/>
            </w:tcBorders>
          </w:tcPr>
          <w:p w:rsidR="001B708E" w:rsidRPr="001B708E" w:rsidRDefault="001B708E" w:rsidP="001B708E">
            <w:pPr>
              <w:autoSpaceDE w:val="0"/>
              <w:autoSpaceDN w:val="0"/>
              <w:adjustRightInd w:val="0"/>
              <w:rPr>
                <w:lang w:val="en-US"/>
              </w:rPr>
            </w:pPr>
            <w:r w:rsidRPr="001B708E">
              <w:rPr>
                <w:lang w:val="en-US"/>
              </w:rPr>
              <w:t>CH</w:t>
            </w:r>
            <w:r w:rsidRPr="001B708E">
              <w:rPr>
                <w:vertAlign w:val="subscript"/>
                <w:lang w:val="en-US"/>
              </w:rPr>
              <w:t>2</w:t>
            </w:r>
          </w:p>
        </w:tc>
        <w:tc>
          <w:tcPr>
            <w:tcW w:w="1310" w:type="dxa"/>
            <w:tcBorders>
              <w:top w:val="single" w:sz="6" w:space="0" w:color="000000"/>
              <w:left w:val="single" w:sz="6" w:space="0" w:color="000000"/>
              <w:bottom w:val="single" w:sz="6" w:space="0" w:color="000000"/>
              <w:right w:val="single" w:sz="8" w:space="0" w:color="000000"/>
            </w:tcBorders>
          </w:tcPr>
          <w:p w:rsidR="001B708E" w:rsidRPr="001B708E" w:rsidRDefault="001B708E" w:rsidP="001B708E">
            <w:pPr>
              <w:autoSpaceDE w:val="0"/>
              <w:autoSpaceDN w:val="0"/>
              <w:adjustRightInd w:val="0"/>
              <w:rPr>
                <w:lang w:val="en-US"/>
              </w:rPr>
            </w:pPr>
            <w:r w:rsidRPr="001B708E">
              <w:rPr>
                <w:lang w:val="it-IT"/>
              </w:rPr>
              <w:t>42.5</w:t>
            </w:r>
          </w:p>
        </w:tc>
      </w:tr>
      <w:tr w:rsidR="00C26146" w:rsidRPr="001B708E" w:rsidTr="0034360E">
        <w:tc>
          <w:tcPr>
            <w:tcW w:w="957" w:type="dxa"/>
            <w:tcBorders>
              <w:top w:val="single" w:sz="6" w:space="0" w:color="000000"/>
              <w:left w:val="single" w:sz="8" w:space="0" w:color="000000"/>
              <w:bottom w:val="single" w:sz="6" w:space="0" w:color="000000"/>
              <w:right w:val="single" w:sz="6" w:space="0" w:color="000000"/>
            </w:tcBorders>
          </w:tcPr>
          <w:p w:rsidR="001B708E" w:rsidRPr="001B708E" w:rsidRDefault="001B708E" w:rsidP="001B708E">
            <w:pPr>
              <w:autoSpaceDE w:val="0"/>
              <w:autoSpaceDN w:val="0"/>
              <w:adjustRightInd w:val="0"/>
              <w:rPr>
                <w:lang w:val="en-US"/>
              </w:rPr>
            </w:pPr>
            <w:r w:rsidRPr="001B708E">
              <w:rPr>
                <w:lang w:val="en-US"/>
              </w:rPr>
              <w:t>28.9</w:t>
            </w:r>
          </w:p>
        </w:tc>
        <w:tc>
          <w:tcPr>
            <w:tcW w:w="1083" w:type="dxa"/>
            <w:tcBorders>
              <w:top w:val="single" w:sz="6" w:space="0" w:color="000000"/>
              <w:left w:val="single" w:sz="6" w:space="0" w:color="000000"/>
              <w:bottom w:val="single" w:sz="6" w:space="0" w:color="000000"/>
              <w:right w:val="single" w:sz="6" w:space="0" w:color="000000"/>
            </w:tcBorders>
          </w:tcPr>
          <w:p w:rsidR="001B708E" w:rsidRPr="001B708E" w:rsidRDefault="001B708E" w:rsidP="001B708E">
            <w:pPr>
              <w:autoSpaceDE w:val="0"/>
              <w:autoSpaceDN w:val="0"/>
              <w:adjustRightInd w:val="0"/>
              <w:rPr>
                <w:lang w:val="en-US"/>
              </w:rPr>
            </w:pPr>
            <w:r w:rsidRPr="001B708E">
              <w:rPr>
                <w:lang w:val="en-US"/>
              </w:rPr>
              <w:t>17</w:t>
            </w:r>
          </w:p>
        </w:tc>
        <w:tc>
          <w:tcPr>
            <w:tcW w:w="957" w:type="dxa"/>
            <w:tcBorders>
              <w:top w:val="single" w:sz="6" w:space="0" w:color="000000"/>
              <w:left w:val="single" w:sz="6" w:space="0" w:color="000000"/>
              <w:bottom w:val="single" w:sz="6" w:space="0" w:color="000000"/>
              <w:right w:val="single" w:sz="6" w:space="0" w:color="000000"/>
            </w:tcBorders>
          </w:tcPr>
          <w:p w:rsidR="001B708E" w:rsidRPr="001B708E" w:rsidRDefault="001B708E" w:rsidP="001B708E">
            <w:pPr>
              <w:autoSpaceDE w:val="0"/>
              <w:autoSpaceDN w:val="0"/>
              <w:adjustRightInd w:val="0"/>
              <w:rPr>
                <w:lang w:val="en-US"/>
              </w:rPr>
            </w:pPr>
            <w:r w:rsidRPr="001B708E">
              <w:rPr>
                <w:lang w:val="en-US"/>
              </w:rPr>
              <w:t>CH</w:t>
            </w:r>
            <w:r w:rsidRPr="001B708E">
              <w:rPr>
                <w:vertAlign w:val="subscript"/>
                <w:lang w:val="en-US"/>
              </w:rPr>
              <w:t>2</w:t>
            </w:r>
          </w:p>
        </w:tc>
        <w:tc>
          <w:tcPr>
            <w:tcW w:w="1310" w:type="dxa"/>
            <w:tcBorders>
              <w:top w:val="single" w:sz="6" w:space="0" w:color="000000"/>
              <w:left w:val="single" w:sz="6" w:space="0" w:color="000000"/>
              <w:bottom w:val="single" w:sz="6" w:space="0" w:color="000000"/>
              <w:right w:val="single" w:sz="8" w:space="0" w:color="000000"/>
            </w:tcBorders>
          </w:tcPr>
          <w:p w:rsidR="001B708E" w:rsidRPr="001B708E" w:rsidRDefault="001B708E" w:rsidP="001B708E">
            <w:pPr>
              <w:autoSpaceDE w:val="0"/>
              <w:autoSpaceDN w:val="0"/>
              <w:adjustRightInd w:val="0"/>
              <w:rPr>
                <w:lang w:val="en-US"/>
              </w:rPr>
            </w:pPr>
            <w:r w:rsidRPr="001B708E">
              <w:rPr>
                <w:lang w:val="en-US"/>
              </w:rPr>
              <w:t>176.1</w:t>
            </w:r>
          </w:p>
        </w:tc>
      </w:tr>
      <w:tr w:rsidR="00C26146" w:rsidRPr="001B708E" w:rsidTr="0034360E">
        <w:tc>
          <w:tcPr>
            <w:tcW w:w="957" w:type="dxa"/>
            <w:tcBorders>
              <w:top w:val="single" w:sz="6" w:space="0" w:color="000000"/>
              <w:left w:val="single" w:sz="8" w:space="0" w:color="000000"/>
              <w:bottom w:val="single" w:sz="6" w:space="0" w:color="000000"/>
              <w:right w:val="single" w:sz="6" w:space="0" w:color="000000"/>
            </w:tcBorders>
          </w:tcPr>
          <w:p w:rsidR="001B708E" w:rsidRPr="001B708E" w:rsidRDefault="001B708E" w:rsidP="001B708E">
            <w:pPr>
              <w:autoSpaceDE w:val="0"/>
              <w:autoSpaceDN w:val="0"/>
              <w:adjustRightInd w:val="0"/>
              <w:rPr>
                <w:lang w:val="en-US"/>
              </w:rPr>
            </w:pPr>
            <w:r w:rsidRPr="001B708E">
              <w:rPr>
                <w:lang w:val="en-US"/>
              </w:rPr>
              <w:t>36.0</w:t>
            </w:r>
          </w:p>
        </w:tc>
        <w:tc>
          <w:tcPr>
            <w:tcW w:w="1083" w:type="dxa"/>
            <w:tcBorders>
              <w:top w:val="single" w:sz="6" w:space="0" w:color="000000"/>
              <w:left w:val="single" w:sz="6" w:space="0" w:color="000000"/>
              <w:bottom w:val="single" w:sz="6" w:space="0" w:color="000000"/>
              <w:right w:val="single" w:sz="6" w:space="0" w:color="000000"/>
            </w:tcBorders>
          </w:tcPr>
          <w:p w:rsidR="001B708E" w:rsidRPr="001B708E" w:rsidRDefault="001B708E" w:rsidP="001B708E">
            <w:pPr>
              <w:autoSpaceDE w:val="0"/>
              <w:autoSpaceDN w:val="0"/>
              <w:adjustRightInd w:val="0"/>
              <w:rPr>
                <w:lang w:val="en-US"/>
              </w:rPr>
            </w:pPr>
            <w:r w:rsidRPr="001B708E">
              <w:rPr>
                <w:lang w:val="en-US"/>
              </w:rPr>
              <w:t>16</w:t>
            </w:r>
          </w:p>
        </w:tc>
        <w:tc>
          <w:tcPr>
            <w:tcW w:w="957" w:type="dxa"/>
            <w:tcBorders>
              <w:top w:val="single" w:sz="6" w:space="0" w:color="000000"/>
              <w:left w:val="single" w:sz="6" w:space="0" w:color="000000"/>
              <w:bottom w:val="single" w:sz="6" w:space="0" w:color="000000"/>
              <w:right w:val="single" w:sz="6" w:space="0" w:color="000000"/>
            </w:tcBorders>
          </w:tcPr>
          <w:p w:rsidR="001B708E" w:rsidRPr="001B708E" w:rsidRDefault="001B708E" w:rsidP="001B708E">
            <w:pPr>
              <w:autoSpaceDE w:val="0"/>
              <w:autoSpaceDN w:val="0"/>
              <w:adjustRightInd w:val="0"/>
              <w:rPr>
                <w:lang w:val="en-US"/>
              </w:rPr>
            </w:pPr>
            <w:proofErr w:type="spellStart"/>
            <w:r w:rsidRPr="001B708E">
              <w:rPr>
                <w:lang w:val="en-US"/>
              </w:rPr>
              <w:t>C</w:t>
            </w:r>
            <w:r w:rsidRPr="001B708E">
              <w:rPr>
                <w:vertAlign w:val="subscript"/>
                <w:lang w:val="en-US"/>
              </w:rPr>
              <w:t>q</w:t>
            </w:r>
            <w:proofErr w:type="spellEnd"/>
          </w:p>
        </w:tc>
        <w:tc>
          <w:tcPr>
            <w:tcW w:w="1310" w:type="dxa"/>
            <w:tcBorders>
              <w:top w:val="single" w:sz="6" w:space="0" w:color="000000"/>
              <w:left w:val="single" w:sz="6" w:space="0" w:color="000000"/>
              <w:bottom w:val="single" w:sz="6" w:space="0" w:color="000000"/>
              <w:right w:val="single" w:sz="8" w:space="0" w:color="000000"/>
            </w:tcBorders>
          </w:tcPr>
          <w:p w:rsidR="001B708E" w:rsidRPr="001B708E" w:rsidRDefault="001B708E" w:rsidP="001B708E">
            <w:pPr>
              <w:autoSpaceDE w:val="0"/>
              <w:autoSpaceDN w:val="0"/>
              <w:adjustRightInd w:val="0"/>
              <w:rPr>
                <w:lang w:val="en-US"/>
              </w:rPr>
            </w:pPr>
          </w:p>
        </w:tc>
      </w:tr>
      <w:tr w:rsidR="00C26146" w:rsidRPr="001B708E" w:rsidTr="0034360E">
        <w:tc>
          <w:tcPr>
            <w:tcW w:w="957" w:type="dxa"/>
            <w:tcBorders>
              <w:top w:val="single" w:sz="6" w:space="0" w:color="000000"/>
              <w:left w:val="single" w:sz="8" w:space="0" w:color="000000"/>
              <w:bottom w:val="single" w:sz="6" w:space="0" w:color="000000"/>
              <w:right w:val="single" w:sz="6" w:space="0" w:color="000000"/>
            </w:tcBorders>
          </w:tcPr>
          <w:p w:rsidR="001B708E" w:rsidRPr="001B708E" w:rsidRDefault="001B708E" w:rsidP="001B708E">
            <w:pPr>
              <w:autoSpaceDE w:val="0"/>
              <w:autoSpaceDN w:val="0"/>
              <w:adjustRightInd w:val="0"/>
              <w:rPr>
                <w:lang w:val="en-US"/>
              </w:rPr>
            </w:pPr>
            <w:r w:rsidRPr="001B708E">
              <w:rPr>
                <w:lang w:val="en-US"/>
              </w:rPr>
              <w:t>44.0</w:t>
            </w:r>
          </w:p>
        </w:tc>
        <w:tc>
          <w:tcPr>
            <w:tcW w:w="1083" w:type="dxa"/>
            <w:tcBorders>
              <w:top w:val="single" w:sz="6" w:space="0" w:color="000000"/>
              <w:left w:val="single" w:sz="6" w:space="0" w:color="000000"/>
              <w:bottom w:val="single" w:sz="6" w:space="0" w:color="000000"/>
              <w:right w:val="single" w:sz="6" w:space="0" w:color="000000"/>
            </w:tcBorders>
          </w:tcPr>
          <w:p w:rsidR="001B708E" w:rsidRPr="001B708E" w:rsidRDefault="001B708E" w:rsidP="001B708E">
            <w:pPr>
              <w:autoSpaceDE w:val="0"/>
              <w:autoSpaceDN w:val="0"/>
              <w:adjustRightInd w:val="0"/>
              <w:rPr>
                <w:lang w:val="en-US"/>
              </w:rPr>
            </w:pPr>
            <w:r w:rsidRPr="001B708E">
              <w:rPr>
                <w:lang w:val="en-US"/>
              </w:rPr>
              <w:t>15</w:t>
            </w:r>
          </w:p>
        </w:tc>
        <w:tc>
          <w:tcPr>
            <w:tcW w:w="957" w:type="dxa"/>
            <w:tcBorders>
              <w:top w:val="single" w:sz="6" w:space="0" w:color="000000"/>
              <w:left w:val="single" w:sz="6" w:space="0" w:color="000000"/>
              <w:bottom w:val="single" w:sz="6" w:space="0" w:color="000000"/>
              <w:right w:val="single" w:sz="6" w:space="0" w:color="000000"/>
            </w:tcBorders>
          </w:tcPr>
          <w:p w:rsidR="001B708E" w:rsidRPr="001B708E" w:rsidRDefault="001B708E" w:rsidP="001B708E">
            <w:pPr>
              <w:autoSpaceDE w:val="0"/>
              <w:autoSpaceDN w:val="0"/>
              <w:adjustRightInd w:val="0"/>
              <w:rPr>
                <w:lang w:val="en-US"/>
              </w:rPr>
            </w:pPr>
            <w:r w:rsidRPr="001B708E">
              <w:rPr>
                <w:lang w:val="en-US"/>
              </w:rPr>
              <w:t>CH</w:t>
            </w:r>
            <w:r w:rsidRPr="001B708E">
              <w:rPr>
                <w:vertAlign w:val="subscript"/>
                <w:lang w:val="en-US"/>
              </w:rPr>
              <w:t>2</w:t>
            </w:r>
          </w:p>
        </w:tc>
        <w:tc>
          <w:tcPr>
            <w:tcW w:w="1310" w:type="dxa"/>
            <w:tcBorders>
              <w:top w:val="single" w:sz="6" w:space="0" w:color="000000"/>
              <w:left w:val="single" w:sz="6" w:space="0" w:color="000000"/>
              <w:bottom w:val="single" w:sz="6" w:space="0" w:color="000000"/>
              <w:right w:val="single" w:sz="8" w:space="0" w:color="000000"/>
            </w:tcBorders>
          </w:tcPr>
          <w:p w:rsidR="001B708E" w:rsidRPr="001B708E" w:rsidRDefault="001B708E" w:rsidP="001B708E">
            <w:pPr>
              <w:autoSpaceDE w:val="0"/>
              <w:autoSpaceDN w:val="0"/>
              <w:adjustRightInd w:val="0"/>
              <w:rPr>
                <w:lang w:val="en-US"/>
              </w:rPr>
            </w:pPr>
          </w:p>
        </w:tc>
      </w:tr>
      <w:tr w:rsidR="00C26146" w:rsidRPr="001B708E" w:rsidTr="0034360E">
        <w:tc>
          <w:tcPr>
            <w:tcW w:w="957" w:type="dxa"/>
            <w:tcBorders>
              <w:top w:val="single" w:sz="6" w:space="0" w:color="000000"/>
              <w:left w:val="single" w:sz="8" w:space="0" w:color="000000"/>
              <w:bottom w:val="single" w:sz="6" w:space="0" w:color="000000"/>
              <w:right w:val="single" w:sz="6" w:space="0" w:color="000000"/>
            </w:tcBorders>
          </w:tcPr>
          <w:p w:rsidR="001B708E" w:rsidRPr="001B708E" w:rsidRDefault="001B708E" w:rsidP="001B708E">
            <w:pPr>
              <w:autoSpaceDE w:val="0"/>
              <w:autoSpaceDN w:val="0"/>
              <w:adjustRightInd w:val="0"/>
              <w:rPr>
                <w:lang w:val="en-US"/>
              </w:rPr>
            </w:pPr>
            <w:r w:rsidRPr="001B708E">
              <w:rPr>
                <w:lang w:val="en-US"/>
              </w:rPr>
              <w:t>45.3</w:t>
            </w:r>
          </w:p>
        </w:tc>
        <w:tc>
          <w:tcPr>
            <w:tcW w:w="1083" w:type="dxa"/>
            <w:tcBorders>
              <w:top w:val="single" w:sz="6" w:space="0" w:color="000000"/>
              <w:left w:val="single" w:sz="6" w:space="0" w:color="000000"/>
              <w:bottom w:val="single" w:sz="6" w:space="0" w:color="000000"/>
              <w:right w:val="single" w:sz="6" w:space="0" w:color="000000"/>
            </w:tcBorders>
          </w:tcPr>
          <w:p w:rsidR="001B708E" w:rsidRPr="001B708E" w:rsidRDefault="001B708E" w:rsidP="001B708E">
            <w:pPr>
              <w:autoSpaceDE w:val="0"/>
              <w:autoSpaceDN w:val="0"/>
              <w:adjustRightInd w:val="0"/>
              <w:rPr>
                <w:lang w:val="en-US"/>
              </w:rPr>
            </w:pPr>
            <w:r w:rsidRPr="001B708E">
              <w:rPr>
                <w:lang w:val="en-US"/>
              </w:rPr>
              <w:t>19</w:t>
            </w:r>
          </w:p>
        </w:tc>
        <w:tc>
          <w:tcPr>
            <w:tcW w:w="957" w:type="dxa"/>
            <w:tcBorders>
              <w:top w:val="single" w:sz="6" w:space="0" w:color="000000"/>
              <w:left w:val="single" w:sz="6" w:space="0" w:color="000000"/>
              <w:bottom w:val="single" w:sz="6" w:space="0" w:color="000000"/>
              <w:right w:val="single" w:sz="6" w:space="0" w:color="000000"/>
            </w:tcBorders>
          </w:tcPr>
          <w:p w:rsidR="001B708E" w:rsidRPr="001B708E" w:rsidRDefault="001B708E" w:rsidP="001B708E">
            <w:pPr>
              <w:autoSpaceDE w:val="0"/>
              <w:autoSpaceDN w:val="0"/>
              <w:adjustRightInd w:val="0"/>
              <w:rPr>
                <w:lang w:val="en-US"/>
              </w:rPr>
            </w:pPr>
            <w:r w:rsidRPr="001B708E">
              <w:rPr>
                <w:lang w:val="en-US"/>
              </w:rPr>
              <w:t>CH</w:t>
            </w:r>
            <w:r w:rsidRPr="001B708E">
              <w:rPr>
                <w:vertAlign w:val="subscript"/>
                <w:lang w:val="en-US"/>
              </w:rPr>
              <w:t>2</w:t>
            </w:r>
          </w:p>
        </w:tc>
        <w:tc>
          <w:tcPr>
            <w:tcW w:w="1310" w:type="dxa"/>
            <w:tcBorders>
              <w:top w:val="single" w:sz="6" w:space="0" w:color="000000"/>
              <w:left w:val="single" w:sz="6" w:space="0" w:color="000000"/>
              <w:bottom w:val="single" w:sz="6" w:space="0" w:color="000000"/>
              <w:right w:val="single" w:sz="8" w:space="0" w:color="000000"/>
            </w:tcBorders>
          </w:tcPr>
          <w:p w:rsidR="001B708E" w:rsidRPr="001B708E" w:rsidRDefault="001B708E" w:rsidP="001B708E">
            <w:pPr>
              <w:autoSpaceDE w:val="0"/>
              <w:autoSpaceDN w:val="0"/>
              <w:adjustRightInd w:val="0"/>
              <w:rPr>
                <w:lang w:val="en-US"/>
              </w:rPr>
            </w:pPr>
          </w:p>
        </w:tc>
      </w:tr>
      <w:tr w:rsidR="00C26146" w:rsidRPr="001B708E" w:rsidTr="0034360E">
        <w:tc>
          <w:tcPr>
            <w:tcW w:w="957" w:type="dxa"/>
            <w:tcBorders>
              <w:top w:val="single" w:sz="6" w:space="0" w:color="000000"/>
              <w:left w:val="single" w:sz="8" w:space="0" w:color="000000"/>
              <w:bottom w:val="single" w:sz="6" w:space="0" w:color="000000"/>
              <w:right w:val="single" w:sz="6" w:space="0" w:color="000000"/>
            </w:tcBorders>
          </w:tcPr>
          <w:p w:rsidR="001B708E" w:rsidRPr="001B708E" w:rsidRDefault="001B708E" w:rsidP="001B708E">
            <w:pPr>
              <w:autoSpaceDE w:val="0"/>
              <w:autoSpaceDN w:val="0"/>
              <w:adjustRightInd w:val="0"/>
              <w:rPr>
                <w:lang w:val="en-US"/>
              </w:rPr>
            </w:pPr>
            <w:r w:rsidRPr="001B708E">
              <w:rPr>
                <w:lang w:val="en-US"/>
              </w:rPr>
              <w:t>49.1</w:t>
            </w:r>
          </w:p>
        </w:tc>
        <w:tc>
          <w:tcPr>
            <w:tcW w:w="1083" w:type="dxa"/>
            <w:tcBorders>
              <w:top w:val="single" w:sz="6" w:space="0" w:color="000000"/>
              <w:left w:val="single" w:sz="6" w:space="0" w:color="000000"/>
              <w:bottom w:val="single" w:sz="6" w:space="0" w:color="000000"/>
              <w:right w:val="single" w:sz="6" w:space="0" w:color="000000"/>
            </w:tcBorders>
          </w:tcPr>
          <w:p w:rsidR="001B708E" w:rsidRPr="001B708E" w:rsidRDefault="001B708E" w:rsidP="001B708E">
            <w:pPr>
              <w:autoSpaceDE w:val="0"/>
              <w:autoSpaceDN w:val="0"/>
              <w:adjustRightInd w:val="0"/>
              <w:rPr>
                <w:lang w:val="en-US"/>
              </w:rPr>
            </w:pPr>
            <w:r w:rsidRPr="001B708E">
              <w:rPr>
                <w:lang w:val="en-US"/>
              </w:rPr>
              <w:t>5</w:t>
            </w:r>
          </w:p>
        </w:tc>
        <w:tc>
          <w:tcPr>
            <w:tcW w:w="957" w:type="dxa"/>
            <w:tcBorders>
              <w:top w:val="single" w:sz="6" w:space="0" w:color="000000"/>
              <w:left w:val="single" w:sz="6" w:space="0" w:color="000000"/>
              <w:bottom w:val="single" w:sz="6" w:space="0" w:color="000000"/>
              <w:right w:val="single" w:sz="6" w:space="0" w:color="000000"/>
            </w:tcBorders>
          </w:tcPr>
          <w:p w:rsidR="001B708E" w:rsidRPr="001B708E" w:rsidRDefault="001B708E" w:rsidP="001B708E">
            <w:pPr>
              <w:autoSpaceDE w:val="0"/>
              <w:autoSpaceDN w:val="0"/>
              <w:adjustRightInd w:val="0"/>
              <w:rPr>
                <w:lang w:val="en-US"/>
              </w:rPr>
            </w:pPr>
            <w:r w:rsidRPr="001B708E">
              <w:rPr>
                <w:lang w:val="en-US"/>
              </w:rPr>
              <w:t>CH</w:t>
            </w:r>
            <w:r w:rsidRPr="001B708E">
              <w:rPr>
                <w:vertAlign w:val="subscript"/>
                <w:lang w:val="en-US"/>
              </w:rPr>
              <w:t>2</w:t>
            </w:r>
          </w:p>
        </w:tc>
        <w:tc>
          <w:tcPr>
            <w:tcW w:w="1310" w:type="dxa"/>
            <w:tcBorders>
              <w:top w:val="single" w:sz="6" w:space="0" w:color="000000"/>
              <w:left w:val="single" w:sz="6" w:space="0" w:color="000000"/>
              <w:bottom w:val="single" w:sz="6" w:space="0" w:color="000000"/>
              <w:right w:val="single" w:sz="8" w:space="0" w:color="000000"/>
            </w:tcBorders>
          </w:tcPr>
          <w:p w:rsidR="001B708E" w:rsidRPr="001B708E" w:rsidRDefault="001B708E" w:rsidP="001B708E">
            <w:pPr>
              <w:autoSpaceDE w:val="0"/>
              <w:autoSpaceDN w:val="0"/>
              <w:adjustRightInd w:val="0"/>
              <w:rPr>
                <w:lang w:val="en-US"/>
              </w:rPr>
            </w:pPr>
          </w:p>
        </w:tc>
      </w:tr>
      <w:tr w:rsidR="00C26146" w:rsidRPr="001B708E" w:rsidTr="0034360E">
        <w:trPr>
          <w:trHeight w:val="43"/>
        </w:trPr>
        <w:tc>
          <w:tcPr>
            <w:tcW w:w="957" w:type="dxa"/>
            <w:tcBorders>
              <w:top w:val="single" w:sz="6" w:space="0" w:color="000000"/>
              <w:left w:val="single" w:sz="8" w:space="0" w:color="000000"/>
              <w:bottom w:val="single" w:sz="6" w:space="0" w:color="000000"/>
              <w:right w:val="single" w:sz="6" w:space="0" w:color="000000"/>
            </w:tcBorders>
          </w:tcPr>
          <w:p w:rsidR="001B708E" w:rsidRPr="001B708E" w:rsidRDefault="001B708E" w:rsidP="001B708E">
            <w:pPr>
              <w:autoSpaceDE w:val="0"/>
              <w:autoSpaceDN w:val="0"/>
              <w:adjustRightInd w:val="0"/>
              <w:rPr>
                <w:lang w:val="en-US"/>
              </w:rPr>
            </w:pPr>
            <w:r w:rsidRPr="001B708E">
              <w:rPr>
                <w:lang w:val="en-US"/>
              </w:rPr>
              <w:t>51.8</w:t>
            </w:r>
          </w:p>
        </w:tc>
        <w:tc>
          <w:tcPr>
            <w:tcW w:w="1083" w:type="dxa"/>
            <w:tcBorders>
              <w:top w:val="single" w:sz="6" w:space="0" w:color="000000"/>
              <w:left w:val="single" w:sz="6" w:space="0" w:color="000000"/>
              <w:bottom w:val="single" w:sz="6" w:space="0" w:color="000000"/>
              <w:right w:val="single" w:sz="6" w:space="0" w:color="000000"/>
            </w:tcBorders>
          </w:tcPr>
          <w:p w:rsidR="001B708E" w:rsidRPr="001B708E" w:rsidRDefault="001B708E" w:rsidP="001B708E">
            <w:pPr>
              <w:autoSpaceDE w:val="0"/>
              <w:autoSpaceDN w:val="0"/>
              <w:adjustRightInd w:val="0"/>
              <w:rPr>
                <w:lang w:val="en-US"/>
              </w:rPr>
            </w:pPr>
            <w:r w:rsidRPr="001B708E">
              <w:rPr>
                <w:lang w:val="en-US"/>
              </w:rPr>
              <w:t>23</w:t>
            </w:r>
          </w:p>
        </w:tc>
        <w:tc>
          <w:tcPr>
            <w:tcW w:w="957" w:type="dxa"/>
            <w:tcBorders>
              <w:top w:val="single" w:sz="6" w:space="0" w:color="000000"/>
              <w:left w:val="single" w:sz="6" w:space="0" w:color="000000"/>
              <w:bottom w:val="single" w:sz="6" w:space="0" w:color="000000"/>
              <w:right w:val="single" w:sz="6" w:space="0" w:color="000000"/>
            </w:tcBorders>
          </w:tcPr>
          <w:p w:rsidR="001B708E" w:rsidRPr="001B708E" w:rsidRDefault="001B708E" w:rsidP="001B708E">
            <w:pPr>
              <w:autoSpaceDE w:val="0"/>
              <w:autoSpaceDN w:val="0"/>
              <w:adjustRightInd w:val="0"/>
              <w:rPr>
                <w:lang w:val="en-US"/>
              </w:rPr>
            </w:pPr>
            <w:r w:rsidRPr="001B708E">
              <w:rPr>
                <w:lang w:val="en-US"/>
              </w:rPr>
              <w:t>OCH</w:t>
            </w:r>
            <w:r w:rsidRPr="001B708E">
              <w:rPr>
                <w:vertAlign w:val="subscript"/>
                <w:lang w:val="en-US"/>
              </w:rPr>
              <w:t>3</w:t>
            </w:r>
          </w:p>
        </w:tc>
        <w:tc>
          <w:tcPr>
            <w:tcW w:w="1310" w:type="dxa"/>
            <w:tcBorders>
              <w:top w:val="single" w:sz="6" w:space="0" w:color="000000"/>
              <w:left w:val="single" w:sz="6" w:space="0" w:color="000000"/>
              <w:bottom w:val="single" w:sz="6" w:space="0" w:color="000000"/>
              <w:right w:val="single" w:sz="8" w:space="0" w:color="000000"/>
            </w:tcBorders>
          </w:tcPr>
          <w:p w:rsidR="001B708E" w:rsidRPr="001B708E" w:rsidRDefault="001B708E" w:rsidP="001B708E">
            <w:pPr>
              <w:autoSpaceDE w:val="0"/>
              <w:autoSpaceDN w:val="0"/>
              <w:adjustRightInd w:val="0"/>
              <w:rPr>
                <w:lang w:val="en-US"/>
              </w:rPr>
            </w:pPr>
          </w:p>
        </w:tc>
      </w:tr>
      <w:tr w:rsidR="00C26146" w:rsidRPr="001B708E" w:rsidTr="0034360E">
        <w:tc>
          <w:tcPr>
            <w:tcW w:w="957" w:type="dxa"/>
            <w:tcBorders>
              <w:top w:val="single" w:sz="6" w:space="0" w:color="000000"/>
              <w:left w:val="single" w:sz="8" w:space="0" w:color="000000"/>
              <w:bottom w:val="single" w:sz="6" w:space="0" w:color="000000"/>
              <w:right w:val="single" w:sz="6" w:space="0" w:color="000000"/>
            </w:tcBorders>
          </w:tcPr>
          <w:p w:rsidR="001B708E" w:rsidRPr="001B708E" w:rsidRDefault="001B708E" w:rsidP="001B708E">
            <w:pPr>
              <w:autoSpaceDE w:val="0"/>
              <w:autoSpaceDN w:val="0"/>
              <w:adjustRightInd w:val="0"/>
              <w:rPr>
                <w:lang w:val="en-US"/>
              </w:rPr>
            </w:pPr>
            <w:r w:rsidRPr="001B708E">
              <w:rPr>
                <w:lang w:val="en-US"/>
              </w:rPr>
              <w:t>60.1</w:t>
            </w:r>
          </w:p>
        </w:tc>
        <w:tc>
          <w:tcPr>
            <w:tcW w:w="1083" w:type="dxa"/>
            <w:tcBorders>
              <w:top w:val="single" w:sz="6" w:space="0" w:color="000000"/>
              <w:left w:val="single" w:sz="6" w:space="0" w:color="000000"/>
              <w:bottom w:val="single" w:sz="6" w:space="0" w:color="000000"/>
              <w:right w:val="single" w:sz="6" w:space="0" w:color="000000"/>
            </w:tcBorders>
          </w:tcPr>
          <w:p w:rsidR="001B708E" w:rsidRPr="001B708E" w:rsidRDefault="001B708E" w:rsidP="001B708E">
            <w:pPr>
              <w:autoSpaceDE w:val="0"/>
              <w:autoSpaceDN w:val="0"/>
              <w:adjustRightInd w:val="0"/>
              <w:rPr>
                <w:lang w:val="en-US"/>
              </w:rPr>
            </w:pPr>
            <w:r w:rsidRPr="001B708E">
              <w:rPr>
                <w:lang w:val="en-US"/>
              </w:rPr>
              <w:t>3</w:t>
            </w:r>
          </w:p>
        </w:tc>
        <w:tc>
          <w:tcPr>
            <w:tcW w:w="957" w:type="dxa"/>
            <w:tcBorders>
              <w:top w:val="single" w:sz="6" w:space="0" w:color="000000"/>
              <w:left w:val="single" w:sz="6" w:space="0" w:color="000000"/>
              <w:bottom w:val="single" w:sz="6" w:space="0" w:color="000000"/>
              <w:right w:val="single" w:sz="6" w:space="0" w:color="000000"/>
            </w:tcBorders>
          </w:tcPr>
          <w:p w:rsidR="001B708E" w:rsidRPr="001B708E" w:rsidRDefault="001B708E" w:rsidP="001B708E">
            <w:pPr>
              <w:autoSpaceDE w:val="0"/>
              <w:autoSpaceDN w:val="0"/>
              <w:adjustRightInd w:val="0"/>
              <w:rPr>
                <w:lang w:val="en-US"/>
              </w:rPr>
            </w:pPr>
            <w:r w:rsidRPr="001B708E">
              <w:rPr>
                <w:lang w:val="en-US"/>
              </w:rPr>
              <w:t>CH</w:t>
            </w:r>
          </w:p>
        </w:tc>
        <w:tc>
          <w:tcPr>
            <w:tcW w:w="1310" w:type="dxa"/>
            <w:tcBorders>
              <w:top w:val="single" w:sz="6" w:space="0" w:color="000000"/>
              <w:left w:val="single" w:sz="6" w:space="0" w:color="000000"/>
              <w:bottom w:val="single" w:sz="6" w:space="0" w:color="000000"/>
              <w:right w:val="single" w:sz="8" w:space="0" w:color="000000"/>
            </w:tcBorders>
          </w:tcPr>
          <w:p w:rsidR="001B708E" w:rsidRPr="001B708E" w:rsidRDefault="001B708E" w:rsidP="001B708E">
            <w:pPr>
              <w:autoSpaceDE w:val="0"/>
              <w:autoSpaceDN w:val="0"/>
              <w:adjustRightInd w:val="0"/>
              <w:rPr>
                <w:lang w:val="en-US"/>
              </w:rPr>
            </w:pPr>
          </w:p>
        </w:tc>
      </w:tr>
      <w:tr w:rsidR="00C26146" w:rsidRPr="001B708E" w:rsidTr="0034360E">
        <w:tc>
          <w:tcPr>
            <w:tcW w:w="957" w:type="dxa"/>
            <w:tcBorders>
              <w:top w:val="single" w:sz="6" w:space="0" w:color="000000"/>
              <w:left w:val="single" w:sz="8" w:space="0" w:color="000000"/>
              <w:bottom w:val="single" w:sz="6" w:space="0" w:color="000000"/>
              <w:right w:val="single" w:sz="6" w:space="0" w:color="000000"/>
            </w:tcBorders>
          </w:tcPr>
          <w:p w:rsidR="001B708E" w:rsidRPr="001B708E" w:rsidRDefault="001B708E" w:rsidP="001B708E">
            <w:pPr>
              <w:autoSpaceDE w:val="0"/>
              <w:autoSpaceDN w:val="0"/>
              <w:adjustRightInd w:val="0"/>
              <w:rPr>
                <w:lang w:val="en-US"/>
              </w:rPr>
            </w:pPr>
            <w:r w:rsidRPr="001B708E">
              <w:rPr>
                <w:lang w:val="en-US"/>
              </w:rPr>
              <w:t>82.6</w:t>
            </w:r>
          </w:p>
        </w:tc>
        <w:tc>
          <w:tcPr>
            <w:tcW w:w="1083" w:type="dxa"/>
            <w:tcBorders>
              <w:top w:val="single" w:sz="6" w:space="0" w:color="000000"/>
              <w:left w:val="single" w:sz="6" w:space="0" w:color="000000"/>
              <w:bottom w:val="single" w:sz="6" w:space="0" w:color="000000"/>
              <w:right w:val="single" w:sz="6" w:space="0" w:color="000000"/>
            </w:tcBorders>
          </w:tcPr>
          <w:p w:rsidR="001B708E" w:rsidRPr="001B708E" w:rsidRDefault="001B708E" w:rsidP="001B708E">
            <w:pPr>
              <w:autoSpaceDE w:val="0"/>
              <w:autoSpaceDN w:val="0"/>
              <w:adjustRightInd w:val="0"/>
              <w:rPr>
                <w:lang w:val="en-US"/>
              </w:rPr>
            </w:pPr>
            <w:r w:rsidRPr="001B708E">
              <w:rPr>
                <w:lang w:val="en-US"/>
              </w:rPr>
              <w:t>14</w:t>
            </w:r>
          </w:p>
        </w:tc>
        <w:tc>
          <w:tcPr>
            <w:tcW w:w="957" w:type="dxa"/>
            <w:tcBorders>
              <w:top w:val="single" w:sz="6" w:space="0" w:color="000000"/>
              <w:left w:val="single" w:sz="6" w:space="0" w:color="000000"/>
              <w:bottom w:val="single" w:sz="6" w:space="0" w:color="000000"/>
              <w:right w:val="single" w:sz="6" w:space="0" w:color="000000"/>
            </w:tcBorders>
          </w:tcPr>
          <w:p w:rsidR="001B708E" w:rsidRPr="001B708E" w:rsidRDefault="001B708E" w:rsidP="001B708E">
            <w:pPr>
              <w:autoSpaceDE w:val="0"/>
              <w:autoSpaceDN w:val="0"/>
              <w:adjustRightInd w:val="0"/>
              <w:rPr>
                <w:lang w:val="en-US"/>
              </w:rPr>
            </w:pPr>
            <w:proofErr w:type="spellStart"/>
            <w:r w:rsidRPr="001B708E">
              <w:rPr>
                <w:lang w:val="en-US"/>
              </w:rPr>
              <w:t>C</w:t>
            </w:r>
            <w:r w:rsidRPr="001B708E">
              <w:rPr>
                <w:vertAlign w:val="subscript"/>
                <w:lang w:val="en-US"/>
              </w:rPr>
              <w:t>q</w:t>
            </w:r>
            <w:proofErr w:type="spellEnd"/>
          </w:p>
        </w:tc>
        <w:tc>
          <w:tcPr>
            <w:tcW w:w="1310" w:type="dxa"/>
            <w:tcBorders>
              <w:top w:val="single" w:sz="6" w:space="0" w:color="000000"/>
              <w:left w:val="single" w:sz="6" w:space="0" w:color="000000"/>
              <w:bottom w:val="single" w:sz="6" w:space="0" w:color="000000"/>
              <w:right w:val="single" w:sz="8" w:space="0" w:color="000000"/>
            </w:tcBorders>
          </w:tcPr>
          <w:p w:rsidR="001B708E" w:rsidRPr="001B708E" w:rsidRDefault="001B708E" w:rsidP="001B708E">
            <w:pPr>
              <w:autoSpaceDE w:val="0"/>
              <w:autoSpaceDN w:val="0"/>
              <w:adjustRightInd w:val="0"/>
              <w:rPr>
                <w:lang w:val="en-US"/>
              </w:rPr>
            </w:pPr>
          </w:p>
        </w:tc>
      </w:tr>
      <w:tr w:rsidR="00C26146" w:rsidRPr="001B708E" w:rsidTr="0034360E">
        <w:tc>
          <w:tcPr>
            <w:tcW w:w="957" w:type="dxa"/>
            <w:tcBorders>
              <w:top w:val="single" w:sz="6" w:space="0" w:color="000000"/>
              <w:left w:val="single" w:sz="8" w:space="0" w:color="000000"/>
              <w:bottom w:val="single" w:sz="6" w:space="0" w:color="000000"/>
              <w:right w:val="single" w:sz="6" w:space="0" w:color="000000"/>
            </w:tcBorders>
          </w:tcPr>
          <w:p w:rsidR="001B708E" w:rsidRPr="001B708E" w:rsidRDefault="001B708E" w:rsidP="001B708E">
            <w:pPr>
              <w:autoSpaceDE w:val="0"/>
              <w:autoSpaceDN w:val="0"/>
              <w:adjustRightInd w:val="0"/>
              <w:rPr>
                <w:lang w:val="en-US"/>
              </w:rPr>
            </w:pPr>
            <w:r w:rsidRPr="001B708E">
              <w:rPr>
                <w:lang w:val="en-US"/>
              </w:rPr>
              <w:t>106.0</w:t>
            </w:r>
          </w:p>
        </w:tc>
        <w:tc>
          <w:tcPr>
            <w:tcW w:w="1083" w:type="dxa"/>
            <w:tcBorders>
              <w:top w:val="single" w:sz="6" w:space="0" w:color="000000"/>
              <w:left w:val="single" w:sz="6" w:space="0" w:color="000000"/>
              <w:bottom w:val="single" w:sz="6" w:space="0" w:color="000000"/>
              <w:right w:val="single" w:sz="6" w:space="0" w:color="000000"/>
            </w:tcBorders>
          </w:tcPr>
          <w:p w:rsidR="001B708E" w:rsidRPr="001B708E" w:rsidRDefault="001B708E" w:rsidP="001B708E">
            <w:pPr>
              <w:autoSpaceDE w:val="0"/>
              <w:autoSpaceDN w:val="0"/>
              <w:adjustRightInd w:val="0"/>
              <w:rPr>
                <w:lang w:val="en-US"/>
              </w:rPr>
            </w:pPr>
            <w:r w:rsidRPr="001B708E">
              <w:rPr>
                <w:lang w:val="en-US"/>
              </w:rPr>
              <w:t>7</w:t>
            </w:r>
          </w:p>
        </w:tc>
        <w:tc>
          <w:tcPr>
            <w:tcW w:w="957" w:type="dxa"/>
            <w:tcBorders>
              <w:top w:val="single" w:sz="6" w:space="0" w:color="000000"/>
              <w:left w:val="single" w:sz="6" w:space="0" w:color="000000"/>
              <w:bottom w:val="single" w:sz="6" w:space="0" w:color="000000"/>
              <w:right w:val="single" w:sz="6" w:space="0" w:color="000000"/>
            </w:tcBorders>
          </w:tcPr>
          <w:p w:rsidR="001B708E" w:rsidRPr="001B708E" w:rsidRDefault="001B708E" w:rsidP="001B708E">
            <w:pPr>
              <w:autoSpaceDE w:val="0"/>
              <w:autoSpaceDN w:val="0"/>
              <w:adjustRightInd w:val="0"/>
              <w:rPr>
                <w:lang w:val="en-US"/>
              </w:rPr>
            </w:pPr>
            <w:proofErr w:type="spellStart"/>
            <w:r w:rsidRPr="001B708E">
              <w:rPr>
                <w:lang w:val="en-US"/>
              </w:rPr>
              <w:t>C</w:t>
            </w:r>
            <w:r w:rsidRPr="001B708E">
              <w:rPr>
                <w:vertAlign w:val="subscript"/>
                <w:lang w:val="en-US"/>
              </w:rPr>
              <w:t>q</w:t>
            </w:r>
            <w:proofErr w:type="spellEnd"/>
          </w:p>
        </w:tc>
        <w:tc>
          <w:tcPr>
            <w:tcW w:w="1310" w:type="dxa"/>
            <w:tcBorders>
              <w:top w:val="single" w:sz="6" w:space="0" w:color="000000"/>
              <w:left w:val="single" w:sz="6" w:space="0" w:color="000000"/>
              <w:bottom w:val="single" w:sz="6" w:space="0" w:color="000000"/>
              <w:right w:val="single" w:sz="8" w:space="0" w:color="000000"/>
            </w:tcBorders>
          </w:tcPr>
          <w:p w:rsidR="001B708E" w:rsidRPr="001B708E" w:rsidRDefault="001B708E" w:rsidP="001B708E">
            <w:pPr>
              <w:autoSpaceDE w:val="0"/>
              <w:autoSpaceDN w:val="0"/>
              <w:adjustRightInd w:val="0"/>
              <w:rPr>
                <w:lang w:val="en-US"/>
              </w:rPr>
            </w:pPr>
          </w:p>
        </w:tc>
      </w:tr>
      <w:tr w:rsidR="00C26146" w:rsidRPr="001B708E" w:rsidTr="0034360E">
        <w:tc>
          <w:tcPr>
            <w:tcW w:w="957" w:type="dxa"/>
            <w:tcBorders>
              <w:top w:val="single" w:sz="6" w:space="0" w:color="000000"/>
              <w:left w:val="single" w:sz="8" w:space="0" w:color="000000"/>
              <w:bottom w:val="single" w:sz="6" w:space="0" w:color="000000"/>
              <w:right w:val="single" w:sz="6" w:space="0" w:color="000000"/>
            </w:tcBorders>
          </w:tcPr>
          <w:p w:rsidR="001B708E" w:rsidRPr="001B708E" w:rsidRDefault="001B708E" w:rsidP="001B708E">
            <w:pPr>
              <w:autoSpaceDE w:val="0"/>
              <w:autoSpaceDN w:val="0"/>
              <w:adjustRightInd w:val="0"/>
              <w:rPr>
                <w:lang w:val="en-US"/>
              </w:rPr>
            </w:pPr>
            <w:r w:rsidRPr="001B708E">
              <w:rPr>
                <w:lang w:val="en-US"/>
              </w:rPr>
              <w:t>111.6</w:t>
            </w:r>
          </w:p>
        </w:tc>
        <w:tc>
          <w:tcPr>
            <w:tcW w:w="1083" w:type="dxa"/>
            <w:tcBorders>
              <w:top w:val="single" w:sz="6" w:space="0" w:color="000000"/>
              <w:left w:val="single" w:sz="6" w:space="0" w:color="000000"/>
              <w:bottom w:val="single" w:sz="6" w:space="0" w:color="000000"/>
              <w:right w:val="single" w:sz="6" w:space="0" w:color="000000"/>
            </w:tcBorders>
          </w:tcPr>
          <w:p w:rsidR="001B708E" w:rsidRPr="001B708E" w:rsidRDefault="001B708E" w:rsidP="001B708E">
            <w:pPr>
              <w:autoSpaceDE w:val="0"/>
              <w:autoSpaceDN w:val="0"/>
              <w:adjustRightInd w:val="0"/>
              <w:rPr>
                <w:lang w:val="en-US"/>
              </w:rPr>
            </w:pPr>
            <w:r w:rsidRPr="001B708E">
              <w:rPr>
                <w:lang w:val="en-US"/>
              </w:rPr>
              <w:t>12</w:t>
            </w:r>
          </w:p>
        </w:tc>
        <w:tc>
          <w:tcPr>
            <w:tcW w:w="957" w:type="dxa"/>
            <w:tcBorders>
              <w:top w:val="single" w:sz="6" w:space="0" w:color="000000"/>
              <w:left w:val="single" w:sz="6" w:space="0" w:color="000000"/>
              <w:bottom w:val="single" w:sz="6" w:space="0" w:color="000000"/>
              <w:right w:val="single" w:sz="6" w:space="0" w:color="000000"/>
            </w:tcBorders>
          </w:tcPr>
          <w:p w:rsidR="001B708E" w:rsidRPr="001B708E" w:rsidRDefault="001B708E" w:rsidP="001B708E">
            <w:pPr>
              <w:autoSpaceDE w:val="0"/>
              <w:autoSpaceDN w:val="0"/>
              <w:adjustRightInd w:val="0"/>
              <w:rPr>
                <w:lang w:val="en-US"/>
              </w:rPr>
            </w:pPr>
            <w:r w:rsidRPr="001B708E">
              <w:rPr>
                <w:lang w:val="en-US"/>
              </w:rPr>
              <w:t>CH</w:t>
            </w:r>
          </w:p>
        </w:tc>
        <w:tc>
          <w:tcPr>
            <w:tcW w:w="1310" w:type="dxa"/>
            <w:tcBorders>
              <w:top w:val="single" w:sz="6" w:space="0" w:color="000000"/>
              <w:left w:val="single" w:sz="6" w:space="0" w:color="000000"/>
              <w:bottom w:val="single" w:sz="6" w:space="0" w:color="000000"/>
              <w:right w:val="single" w:sz="8" w:space="0" w:color="000000"/>
            </w:tcBorders>
          </w:tcPr>
          <w:p w:rsidR="001B708E" w:rsidRPr="001B708E" w:rsidRDefault="001B708E" w:rsidP="001B708E">
            <w:pPr>
              <w:autoSpaceDE w:val="0"/>
              <w:autoSpaceDN w:val="0"/>
              <w:adjustRightInd w:val="0"/>
              <w:rPr>
                <w:lang w:val="en-US"/>
              </w:rPr>
            </w:pPr>
          </w:p>
        </w:tc>
      </w:tr>
      <w:tr w:rsidR="00C26146" w:rsidRPr="001B708E" w:rsidTr="0034360E">
        <w:tc>
          <w:tcPr>
            <w:tcW w:w="957" w:type="dxa"/>
            <w:tcBorders>
              <w:top w:val="single" w:sz="6" w:space="0" w:color="000000"/>
              <w:left w:val="single" w:sz="8" w:space="0" w:color="000000"/>
              <w:bottom w:val="single" w:sz="6" w:space="0" w:color="000000"/>
              <w:right w:val="single" w:sz="6" w:space="0" w:color="000000"/>
            </w:tcBorders>
          </w:tcPr>
          <w:p w:rsidR="001B708E" w:rsidRPr="001B708E" w:rsidRDefault="001B708E" w:rsidP="001B708E">
            <w:pPr>
              <w:autoSpaceDE w:val="0"/>
              <w:autoSpaceDN w:val="0"/>
              <w:adjustRightInd w:val="0"/>
              <w:rPr>
                <w:lang w:val="en-US"/>
              </w:rPr>
            </w:pPr>
            <w:r w:rsidRPr="001B708E">
              <w:rPr>
                <w:lang w:val="en-US"/>
              </w:rPr>
              <w:t>118.6</w:t>
            </w:r>
          </w:p>
        </w:tc>
        <w:tc>
          <w:tcPr>
            <w:tcW w:w="1083" w:type="dxa"/>
            <w:tcBorders>
              <w:top w:val="single" w:sz="6" w:space="0" w:color="000000"/>
              <w:left w:val="single" w:sz="6" w:space="0" w:color="000000"/>
              <w:bottom w:val="single" w:sz="6" w:space="0" w:color="000000"/>
              <w:right w:val="single" w:sz="6" w:space="0" w:color="000000"/>
            </w:tcBorders>
          </w:tcPr>
          <w:p w:rsidR="001B708E" w:rsidRPr="001B708E" w:rsidRDefault="001B708E" w:rsidP="001B708E">
            <w:pPr>
              <w:autoSpaceDE w:val="0"/>
              <w:autoSpaceDN w:val="0"/>
              <w:adjustRightInd w:val="0"/>
              <w:rPr>
                <w:lang w:val="en-US"/>
              </w:rPr>
            </w:pPr>
            <w:r w:rsidRPr="001B708E">
              <w:rPr>
                <w:lang w:val="en-US"/>
              </w:rPr>
              <w:t>11</w:t>
            </w:r>
          </w:p>
        </w:tc>
        <w:tc>
          <w:tcPr>
            <w:tcW w:w="957" w:type="dxa"/>
            <w:tcBorders>
              <w:top w:val="single" w:sz="6" w:space="0" w:color="000000"/>
              <w:left w:val="single" w:sz="6" w:space="0" w:color="000000"/>
              <w:bottom w:val="single" w:sz="6" w:space="0" w:color="000000"/>
              <w:right w:val="single" w:sz="6" w:space="0" w:color="000000"/>
            </w:tcBorders>
          </w:tcPr>
          <w:p w:rsidR="001B708E" w:rsidRPr="001B708E" w:rsidRDefault="001B708E" w:rsidP="001B708E">
            <w:pPr>
              <w:autoSpaceDE w:val="0"/>
              <w:autoSpaceDN w:val="0"/>
              <w:adjustRightInd w:val="0"/>
              <w:rPr>
                <w:lang w:val="en-US"/>
              </w:rPr>
            </w:pPr>
            <w:r w:rsidRPr="001B708E">
              <w:rPr>
                <w:lang w:val="en-US"/>
              </w:rPr>
              <w:t>CH</w:t>
            </w:r>
          </w:p>
        </w:tc>
        <w:tc>
          <w:tcPr>
            <w:tcW w:w="1310" w:type="dxa"/>
            <w:tcBorders>
              <w:top w:val="single" w:sz="6" w:space="0" w:color="000000"/>
              <w:left w:val="single" w:sz="6" w:space="0" w:color="000000"/>
              <w:bottom w:val="single" w:sz="6" w:space="0" w:color="000000"/>
              <w:right w:val="single" w:sz="8" w:space="0" w:color="000000"/>
            </w:tcBorders>
          </w:tcPr>
          <w:p w:rsidR="001B708E" w:rsidRPr="001B708E" w:rsidRDefault="001B708E" w:rsidP="001B708E">
            <w:pPr>
              <w:autoSpaceDE w:val="0"/>
              <w:autoSpaceDN w:val="0"/>
              <w:adjustRightInd w:val="0"/>
              <w:rPr>
                <w:lang w:val="en-US"/>
              </w:rPr>
            </w:pPr>
          </w:p>
        </w:tc>
      </w:tr>
      <w:tr w:rsidR="00C26146" w:rsidRPr="001B708E" w:rsidTr="0034360E">
        <w:tc>
          <w:tcPr>
            <w:tcW w:w="957" w:type="dxa"/>
            <w:tcBorders>
              <w:top w:val="single" w:sz="6" w:space="0" w:color="000000"/>
              <w:left w:val="single" w:sz="8" w:space="0" w:color="000000"/>
              <w:bottom w:val="single" w:sz="6" w:space="0" w:color="000000"/>
              <w:right w:val="single" w:sz="6" w:space="0" w:color="000000"/>
            </w:tcBorders>
          </w:tcPr>
          <w:p w:rsidR="001B708E" w:rsidRPr="001B708E" w:rsidRDefault="001B708E" w:rsidP="001B708E">
            <w:pPr>
              <w:autoSpaceDE w:val="0"/>
              <w:autoSpaceDN w:val="0"/>
              <w:adjustRightInd w:val="0"/>
              <w:rPr>
                <w:lang w:val="en-US"/>
              </w:rPr>
            </w:pPr>
            <w:r w:rsidRPr="001B708E">
              <w:rPr>
                <w:lang w:val="en-US"/>
              </w:rPr>
              <w:t>119.6</w:t>
            </w:r>
          </w:p>
        </w:tc>
        <w:tc>
          <w:tcPr>
            <w:tcW w:w="1083" w:type="dxa"/>
            <w:tcBorders>
              <w:top w:val="single" w:sz="6" w:space="0" w:color="000000"/>
              <w:left w:val="single" w:sz="6" w:space="0" w:color="000000"/>
              <w:bottom w:val="single" w:sz="6" w:space="0" w:color="000000"/>
              <w:right w:val="single" w:sz="6" w:space="0" w:color="000000"/>
            </w:tcBorders>
          </w:tcPr>
          <w:p w:rsidR="001B708E" w:rsidRPr="001B708E" w:rsidRDefault="001B708E" w:rsidP="001B708E">
            <w:pPr>
              <w:autoSpaceDE w:val="0"/>
              <w:autoSpaceDN w:val="0"/>
              <w:adjustRightInd w:val="0"/>
              <w:rPr>
                <w:lang w:val="en-US"/>
              </w:rPr>
            </w:pPr>
            <w:r w:rsidRPr="001B708E">
              <w:rPr>
                <w:lang w:val="en-US"/>
              </w:rPr>
              <w:t>9</w:t>
            </w:r>
          </w:p>
        </w:tc>
        <w:tc>
          <w:tcPr>
            <w:tcW w:w="957" w:type="dxa"/>
            <w:tcBorders>
              <w:top w:val="single" w:sz="6" w:space="0" w:color="000000"/>
              <w:left w:val="single" w:sz="6" w:space="0" w:color="000000"/>
              <w:bottom w:val="single" w:sz="6" w:space="0" w:color="000000"/>
              <w:right w:val="single" w:sz="6" w:space="0" w:color="000000"/>
            </w:tcBorders>
          </w:tcPr>
          <w:p w:rsidR="001B708E" w:rsidRPr="001B708E" w:rsidRDefault="001B708E" w:rsidP="001B708E">
            <w:pPr>
              <w:autoSpaceDE w:val="0"/>
              <w:autoSpaceDN w:val="0"/>
              <w:adjustRightInd w:val="0"/>
              <w:rPr>
                <w:lang w:val="en-US"/>
              </w:rPr>
            </w:pPr>
            <w:r w:rsidRPr="001B708E">
              <w:rPr>
                <w:lang w:val="en-US"/>
              </w:rPr>
              <w:t>CH</w:t>
            </w:r>
          </w:p>
        </w:tc>
        <w:tc>
          <w:tcPr>
            <w:tcW w:w="1310" w:type="dxa"/>
            <w:tcBorders>
              <w:top w:val="single" w:sz="6" w:space="0" w:color="000000"/>
              <w:left w:val="single" w:sz="6" w:space="0" w:color="000000"/>
              <w:bottom w:val="single" w:sz="6" w:space="0" w:color="000000"/>
              <w:right w:val="single" w:sz="8" w:space="0" w:color="000000"/>
            </w:tcBorders>
          </w:tcPr>
          <w:p w:rsidR="001B708E" w:rsidRPr="001B708E" w:rsidRDefault="001B708E" w:rsidP="001B708E">
            <w:pPr>
              <w:autoSpaceDE w:val="0"/>
              <w:autoSpaceDN w:val="0"/>
              <w:adjustRightInd w:val="0"/>
              <w:rPr>
                <w:lang w:val="en-US"/>
              </w:rPr>
            </w:pPr>
          </w:p>
        </w:tc>
      </w:tr>
      <w:tr w:rsidR="00C26146" w:rsidRPr="001B708E" w:rsidTr="0034360E">
        <w:tc>
          <w:tcPr>
            <w:tcW w:w="957" w:type="dxa"/>
            <w:tcBorders>
              <w:top w:val="single" w:sz="6" w:space="0" w:color="000000"/>
              <w:left w:val="single" w:sz="8" w:space="0" w:color="000000"/>
              <w:bottom w:val="single" w:sz="6" w:space="0" w:color="000000"/>
              <w:right w:val="single" w:sz="6" w:space="0" w:color="000000"/>
            </w:tcBorders>
          </w:tcPr>
          <w:p w:rsidR="001B708E" w:rsidRPr="001B708E" w:rsidRDefault="001B708E" w:rsidP="001B708E">
            <w:pPr>
              <w:autoSpaceDE w:val="0"/>
              <w:autoSpaceDN w:val="0"/>
              <w:adjustRightInd w:val="0"/>
              <w:rPr>
                <w:lang w:val="en-US"/>
              </w:rPr>
            </w:pPr>
            <w:r w:rsidRPr="001B708E">
              <w:rPr>
                <w:lang w:val="en-US"/>
              </w:rPr>
              <w:t>120.1</w:t>
            </w:r>
          </w:p>
        </w:tc>
        <w:tc>
          <w:tcPr>
            <w:tcW w:w="1083" w:type="dxa"/>
            <w:tcBorders>
              <w:top w:val="single" w:sz="6" w:space="0" w:color="000000"/>
              <w:left w:val="single" w:sz="6" w:space="0" w:color="000000"/>
              <w:bottom w:val="single" w:sz="6" w:space="0" w:color="000000"/>
              <w:right w:val="single" w:sz="6" w:space="0" w:color="000000"/>
            </w:tcBorders>
          </w:tcPr>
          <w:p w:rsidR="001B708E" w:rsidRPr="001B708E" w:rsidRDefault="001B708E" w:rsidP="001B708E">
            <w:pPr>
              <w:autoSpaceDE w:val="0"/>
              <w:autoSpaceDN w:val="0"/>
              <w:adjustRightInd w:val="0"/>
              <w:rPr>
                <w:lang w:val="en-US"/>
              </w:rPr>
            </w:pPr>
            <w:r w:rsidRPr="001B708E">
              <w:rPr>
                <w:lang w:val="en-US"/>
              </w:rPr>
              <w:t>10</w:t>
            </w:r>
          </w:p>
        </w:tc>
        <w:tc>
          <w:tcPr>
            <w:tcW w:w="957" w:type="dxa"/>
            <w:tcBorders>
              <w:top w:val="single" w:sz="6" w:space="0" w:color="000000"/>
              <w:left w:val="single" w:sz="6" w:space="0" w:color="000000"/>
              <w:bottom w:val="single" w:sz="6" w:space="0" w:color="000000"/>
              <w:right w:val="single" w:sz="6" w:space="0" w:color="000000"/>
            </w:tcBorders>
          </w:tcPr>
          <w:p w:rsidR="001B708E" w:rsidRPr="001B708E" w:rsidRDefault="001B708E" w:rsidP="001B708E">
            <w:pPr>
              <w:autoSpaceDE w:val="0"/>
              <w:autoSpaceDN w:val="0"/>
              <w:adjustRightInd w:val="0"/>
              <w:rPr>
                <w:lang w:val="en-US"/>
              </w:rPr>
            </w:pPr>
            <w:r w:rsidRPr="001B708E">
              <w:rPr>
                <w:lang w:val="en-US"/>
              </w:rPr>
              <w:t>CH</w:t>
            </w:r>
          </w:p>
        </w:tc>
        <w:tc>
          <w:tcPr>
            <w:tcW w:w="1310" w:type="dxa"/>
            <w:tcBorders>
              <w:top w:val="single" w:sz="6" w:space="0" w:color="000000"/>
              <w:left w:val="single" w:sz="6" w:space="0" w:color="000000"/>
              <w:bottom w:val="single" w:sz="6" w:space="0" w:color="000000"/>
              <w:right w:val="single" w:sz="8" w:space="0" w:color="000000"/>
            </w:tcBorders>
          </w:tcPr>
          <w:p w:rsidR="001B708E" w:rsidRPr="001B708E" w:rsidRDefault="001B708E" w:rsidP="001B708E">
            <w:pPr>
              <w:autoSpaceDE w:val="0"/>
              <w:autoSpaceDN w:val="0"/>
              <w:adjustRightInd w:val="0"/>
              <w:rPr>
                <w:lang w:val="en-US"/>
              </w:rPr>
            </w:pPr>
          </w:p>
        </w:tc>
      </w:tr>
      <w:tr w:rsidR="00C26146" w:rsidRPr="001B708E" w:rsidTr="0034360E">
        <w:tc>
          <w:tcPr>
            <w:tcW w:w="957" w:type="dxa"/>
            <w:tcBorders>
              <w:top w:val="single" w:sz="6" w:space="0" w:color="000000"/>
              <w:left w:val="single" w:sz="8" w:space="0" w:color="000000"/>
              <w:bottom w:val="single" w:sz="6" w:space="0" w:color="000000"/>
              <w:right w:val="single" w:sz="6" w:space="0" w:color="000000"/>
            </w:tcBorders>
          </w:tcPr>
          <w:p w:rsidR="001B708E" w:rsidRPr="001B708E" w:rsidRDefault="001B708E" w:rsidP="001B708E">
            <w:pPr>
              <w:autoSpaceDE w:val="0"/>
              <w:autoSpaceDN w:val="0"/>
              <w:adjustRightInd w:val="0"/>
              <w:rPr>
                <w:lang w:val="en-US"/>
              </w:rPr>
            </w:pPr>
            <w:r w:rsidRPr="001B708E">
              <w:rPr>
                <w:lang w:val="en-US"/>
              </w:rPr>
              <w:t>129.2</w:t>
            </w:r>
          </w:p>
        </w:tc>
        <w:tc>
          <w:tcPr>
            <w:tcW w:w="1083" w:type="dxa"/>
            <w:tcBorders>
              <w:top w:val="single" w:sz="6" w:space="0" w:color="000000"/>
              <w:left w:val="single" w:sz="6" w:space="0" w:color="000000"/>
              <w:bottom w:val="single" w:sz="6" w:space="0" w:color="000000"/>
              <w:right w:val="single" w:sz="6" w:space="0" w:color="000000"/>
            </w:tcBorders>
          </w:tcPr>
          <w:p w:rsidR="001B708E" w:rsidRPr="001B708E" w:rsidRDefault="001B708E" w:rsidP="001B708E">
            <w:pPr>
              <w:autoSpaceDE w:val="0"/>
              <w:autoSpaceDN w:val="0"/>
              <w:adjustRightInd w:val="0"/>
              <w:rPr>
                <w:lang w:val="en-US"/>
              </w:rPr>
            </w:pPr>
            <w:r w:rsidRPr="001B708E">
              <w:rPr>
                <w:lang w:val="en-US"/>
              </w:rPr>
              <w:t>8</w:t>
            </w:r>
          </w:p>
        </w:tc>
        <w:tc>
          <w:tcPr>
            <w:tcW w:w="957" w:type="dxa"/>
            <w:tcBorders>
              <w:top w:val="single" w:sz="6" w:space="0" w:color="000000"/>
              <w:left w:val="single" w:sz="6" w:space="0" w:color="000000"/>
              <w:bottom w:val="single" w:sz="6" w:space="0" w:color="000000"/>
              <w:right w:val="single" w:sz="6" w:space="0" w:color="000000"/>
            </w:tcBorders>
          </w:tcPr>
          <w:p w:rsidR="001B708E" w:rsidRPr="001B708E" w:rsidRDefault="001B708E" w:rsidP="001B708E">
            <w:pPr>
              <w:autoSpaceDE w:val="0"/>
              <w:autoSpaceDN w:val="0"/>
              <w:adjustRightInd w:val="0"/>
              <w:rPr>
                <w:lang w:val="en-US"/>
              </w:rPr>
            </w:pPr>
            <w:proofErr w:type="spellStart"/>
            <w:r w:rsidRPr="001B708E">
              <w:rPr>
                <w:lang w:val="en-US"/>
              </w:rPr>
              <w:t>C</w:t>
            </w:r>
            <w:r w:rsidRPr="001B708E">
              <w:rPr>
                <w:vertAlign w:val="subscript"/>
                <w:lang w:val="en-US"/>
              </w:rPr>
              <w:t>q</w:t>
            </w:r>
            <w:proofErr w:type="spellEnd"/>
          </w:p>
        </w:tc>
        <w:tc>
          <w:tcPr>
            <w:tcW w:w="1310" w:type="dxa"/>
            <w:tcBorders>
              <w:top w:val="single" w:sz="6" w:space="0" w:color="000000"/>
              <w:left w:val="single" w:sz="6" w:space="0" w:color="000000"/>
              <w:bottom w:val="single" w:sz="6" w:space="0" w:color="000000"/>
              <w:right w:val="single" w:sz="8" w:space="0" w:color="000000"/>
            </w:tcBorders>
          </w:tcPr>
          <w:p w:rsidR="001B708E" w:rsidRPr="001B708E" w:rsidRDefault="001B708E" w:rsidP="001B708E">
            <w:pPr>
              <w:autoSpaceDE w:val="0"/>
              <w:autoSpaceDN w:val="0"/>
              <w:adjustRightInd w:val="0"/>
              <w:rPr>
                <w:lang w:val="en-US"/>
              </w:rPr>
            </w:pPr>
          </w:p>
        </w:tc>
      </w:tr>
      <w:tr w:rsidR="00C26146" w:rsidRPr="001B708E" w:rsidTr="0034360E">
        <w:tc>
          <w:tcPr>
            <w:tcW w:w="957" w:type="dxa"/>
            <w:tcBorders>
              <w:top w:val="single" w:sz="6" w:space="0" w:color="000000"/>
              <w:left w:val="single" w:sz="8" w:space="0" w:color="000000"/>
              <w:bottom w:val="single" w:sz="6" w:space="0" w:color="000000"/>
              <w:right w:val="single" w:sz="6" w:space="0" w:color="000000"/>
            </w:tcBorders>
          </w:tcPr>
          <w:p w:rsidR="001B708E" w:rsidRPr="001B708E" w:rsidRDefault="001B708E" w:rsidP="001B708E">
            <w:pPr>
              <w:autoSpaceDE w:val="0"/>
              <w:autoSpaceDN w:val="0"/>
              <w:adjustRightInd w:val="0"/>
              <w:rPr>
                <w:lang w:val="en-US"/>
              </w:rPr>
            </w:pPr>
            <w:r w:rsidRPr="001B708E">
              <w:rPr>
                <w:lang w:val="en-US"/>
              </w:rPr>
              <w:t>130.0</w:t>
            </w:r>
          </w:p>
        </w:tc>
        <w:tc>
          <w:tcPr>
            <w:tcW w:w="1083" w:type="dxa"/>
            <w:tcBorders>
              <w:top w:val="single" w:sz="6" w:space="0" w:color="000000"/>
              <w:left w:val="single" w:sz="6" w:space="0" w:color="000000"/>
              <w:bottom w:val="single" w:sz="6" w:space="0" w:color="000000"/>
              <w:right w:val="single" w:sz="6" w:space="0" w:color="000000"/>
            </w:tcBorders>
          </w:tcPr>
          <w:p w:rsidR="001B708E" w:rsidRPr="001B708E" w:rsidRDefault="001B708E" w:rsidP="001B708E">
            <w:pPr>
              <w:autoSpaceDE w:val="0"/>
              <w:autoSpaceDN w:val="0"/>
              <w:adjustRightInd w:val="0"/>
              <w:rPr>
                <w:lang w:val="en-US"/>
              </w:rPr>
            </w:pPr>
            <w:r w:rsidRPr="001B708E">
              <w:rPr>
                <w:lang w:val="en-US"/>
              </w:rPr>
              <w:t>2</w:t>
            </w:r>
          </w:p>
        </w:tc>
        <w:tc>
          <w:tcPr>
            <w:tcW w:w="957" w:type="dxa"/>
            <w:tcBorders>
              <w:top w:val="single" w:sz="6" w:space="0" w:color="000000"/>
              <w:left w:val="single" w:sz="6" w:space="0" w:color="000000"/>
              <w:bottom w:val="single" w:sz="6" w:space="0" w:color="000000"/>
              <w:right w:val="single" w:sz="6" w:space="0" w:color="000000"/>
            </w:tcBorders>
          </w:tcPr>
          <w:p w:rsidR="001B708E" w:rsidRPr="001B708E" w:rsidRDefault="001B708E" w:rsidP="001B708E">
            <w:pPr>
              <w:autoSpaceDE w:val="0"/>
              <w:autoSpaceDN w:val="0"/>
              <w:adjustRightInd w:val="0"/>
              <w:rPr>
                <w:lang w:val="en-US"/>
              </w:rPr>
            </w:pPr>
            <w:proofErr w:type="spellStart"/>
            <w:r w:rsidRPr="001B708E">
              <w:rPr>
                <w:lang w:val="en-US"/>
              </w:rPr>
              <w:t>C</w:t>
            </w:r>
            <w:r w:rsidRPr="001B708E">
              <w:rPr>
                <w:vertAlign w:val="subscript"/>
                <w:lang w:val="en-US"/>
              </w:rPr>
              <w:t>q</w:t>
            </w:r>
            <w:proofErr w:type="spellEnd"/>
          </w:p>
        </w:tc>
        <w:tc>
          <w:tcPr>
            <w:tcW w:w="1310" w:type="dxa"/>
            <w:tcBorders>
              <w:top w:val="single" w:sz="6" w:space="0" w:color="000000"/>
              <w:left w:val="single" w:sz="6" w:space="0" w:color="000000"/>
              <w:bottom w:val="single" w:sz="6" w:space="0" w:color="000000"/>
              <w:right w:val="single" w:sz="8" w:space="0" w:color="000000"/>
            </w:tcBorders>
          </w:tcPr>
          <w:p w:rsidR="001B708E" w:rsidRPr="001B708E" w:rsidRDefault="001B708E" w:rsidP="001B708E">
            <w:pPr>
              <w:autoSpaceDE w:val="0"/>
              <w:autoSpaceDN w:val="0"/>
              <w:adjustRightInd w:val="0"/>
              <w:rPr>
                <w:lang w:val="en-US"/>
              </w:rPr>
            </w:pPr>
          </w:p>
        </w:tc>
      </w:tr>
      <w:tr w:rsidR="00C26146" w:rsidRPr="001B708E" w:rsidTr="0034360E">
        <w:tc>
          <w:tcPr>
            <w:tcW w:w="957" w:type="dxa"/>
            <w:tcBorders>
              <w:top w:val="single" w:sz="6" w:space="0" w:color="000000"/>
              <w:left w:val="single" w:sz="8" w:space="0" w:color="000000"/>
              <w:bottom w:val="single" w:sz="6" w:space="0" w:color="000000"/>
              <w:right w:val="single" w:sz="6" w:space="0" w:color="000000"/>
            </w:tcBorders>
          </w:tcPr>
          <w:p w:rsidR="001B708E" w:rsidRPr="001B708E" w:rsidRDefault="001B708E" w:rsidP="001B708E">
            <w:pPr>
              <w:autoSpaceDE w:val="0"/>
              <w:autoSpaceDN w:val="0"/>
              <w:adjustRightInd w:val="0"/>
              <w:rPr>
                <w:lang w:val="en-US"/>
              </w:rPr>
            </w:pPr>
            <w:r w:rsidRPr="001B708E">
              <w:rPr>
                <w:lang w:val="en-US"/>
              </w:rPr>
              <w:t>134.1</w:t>
            </w:r>
          </w:p>
        </w:tc>
        <w:tc>
          <w:tcPr>
            <w:tcW w:w="1083" w:type="dxa"/>
            <w:tcBorders>
              <w:top w:val="single" w:sz="6" w:space="0" w:color="000000"/>
              <w:left w:val="single" w:sz="6" w:space="0" w:color="000000"/>
              <w:bottom w:val="single" w:sz="6" w:space="0" w:color="000000"/>
              <w:right w:val="single" w:sz="6" w:space="0" w:color="000000"/>
            </w:tcBorders>
          </w:tcPr>
          <w:p w:rsidR="001B708E" w:rsidRPr="001B708E" w:rsidRDefault="001B708E" w:rsidP="001B708E">
            <w:pPr>
              <w:autoSpaceDE w:val="0"/>
              <w:autoSpaceDN w:val="0"/>
              <w:adjustRightInd w:val="0"/>
              <w:rPr>
                <w:lang w:val="en-US"/>
              </w:rPr>
            </w:pPr>
            <w:r w:rsidRPr="001B708E">
              <w:rPr>
                <w:lang w:val="en-US"/>
              </w:rPr>
              <w:t>13</w:t>
            </w:r>
          </w:p>
        </w:tc>
        <w:tc>
          <w:tcPr>
            <w:tcW w:w="957" w:type="dxa"/>
            <w:tcBorders>
              <w:top w:val="single" w:sz="6" w:space="0" w:color="000000"/>
              <w:left w:val="single" w:sz="6" w:space="0" w:color="000000"/>
              <w:bottom w:val="single" w:sz="6" w:space="0" w:color="000000"/>
              <w:right w:val="single" w:sz="6" w:space="0" w:color="000000"/>
            </w:tcBorders>
          </w:tcPr>
          <w:p w:rsidR="001B708E" w:rsidRPr="001B708E" w:rsidRDefault="001B708E" w:rsidP="001B708E">
            <w:pPr>
              <w:autoSpaceDE w:val="0"/>
              <w:autoSpaceDN w:val="0"/>
              <w:adjustRightInd w:val="0"/>
              <w:rPr>
                <w:lang w:val="en-US"/>
              </w:rPr>
            </w:pPr>
            <w:proofErr w:type="spellStart"/>
            <w:r w:rsidRPr="001B708E">
              <w:rPr>
                <w:lang w:val="en-US"/>
              </w:rPr>
              <w:t>C</w:t>
            </w:r>
            <w:r w:rsidRPr="001B708E">
              <w:rPr>
                <w:vertAlign w:val="subscript"/>
                <w:lang w:val="en-US"/>
              </w:rPr>
              <w:t>q</w:t>
            </w:r>
            <w:proofErr w:type="spellEnd"/>
          </w:p>
        </w:tc>
        <w:tc>
          <w:tcPr>
            <w:tcW w:w="1310" w:type="dxa"/>
            <w:tcBorders>
              <w:top w:val="single" w:sz="6" w:space="0" w:color="000000"/>
              <w:left w:val="single" w:sz="6" w:space="0" w:color="000000"/>
              <w:bottom w:val="single" w:sz="6" w:space="0" w:color="000000"/>
              <w:right w:val="single" w:sz="8" w:space="0" w:color="000000"/>
            </w:tcBorders>
          </w:tcPr>
          <w:p w:rsidR="001B708E" w:rsidRPr="001B708E" w:rsidRDefault="001B708E" w:rsidP="001B708E">
            <w:pPr>
              <w:autoSpaceDE w:val="0"/>
              <w:autoSpaceDN w:val="0"/>
              <w:adjustRightInd w:val="0"/>
              <w:rPr>
                <w:lang w:val="en-US"/>
              </w:rPr>
            </w:pPr>
          </w:p>
        </w:tc>
      </w:tr>
      <w:tr w:rsidR="00C26146" w:rsidRPr="001B708E" w:rsidTr="0034360E">
        <w:tc>
          <w:tcPr>
            <w:tcW w:w="957" w:type="dxa"/>
            <w:tcBorders>
              <w:top w:val="single" w:sz="6" w:space="0" w:color="000000"/>
              <w:left w:val="single" w:sz="8" w:space="0" w:color="000000"/>
              <w:bottom w:val="single" w:sz="8" w:space="0" w:color="000000"/>
              <w:right w:val="single" w:sz="6" w:space="0" w:color="000000"/>
            </w:tcBorders>
          </w:tcPr>
          <w:p w:rsidR="001B708E" w:rsidRPr="001B708E" w:rsidRDefault="001B708E" w:rsidP="001B708E">
            <w:pPr>
              <w:autoSpaceDE w:val="0"/>
              <w:autoSpaceDN w:val="0"/>
              <w:adjustRightInd w:val="0"/>
              <w:rPr>
                <w:lang w:val="en-US"/>
              </w:rPr>
            </w:pPr>
            <w:r w:rsidRPr="001B708E">
              <w:rPr>
                <w:lang w:val="en-US"/>
              </w:rPr>
              <w:t>173.2</w:t>
            </w:r>
          </w:p>
        </w:tc>
        <w:tc>
          <w:tcPr>
            <w:tcW w:w="1083" w:type="dxa"/>
            <w:tcBorders>
              <w:top w:val="single" w:sz="6" w:space="0" w:color="000000"/>
              <w:left w:val="single" w:sz="6" w:space="0" w:color="000000"/>
              <w:bottom w:val="single" w:sz="8" w:space="0" w:color="000000"/>
              <w:right w:val="single" w:sz="6" w:space="0" w:color="000000"/>
            </w:tcBorders>
          </w:tcPr>
          <w:p w:rsidR="001B708E" w:rsidRPr="001B708E" w:rsidRDefault="001B708E" w:rsidP="001B708E">
            <w:pPr>
              <w:autoSpaceDE w:val="0"/>
              <w:autoSpaceDN w:val="0"/>
              <w:adjustRightInd w:val="0"/>
              <w:rPr>
                <w:lang w:val="en-US"/>
              </w:rPr>
            </w:pPr>
            <w:r w:rsidRPr="001B708E">
              <w:rPr>
                <w:lang w:val="en-US"/>
              </w:rPr>
              <w:t>22</w:t>
            </w:r>
          </w:p>
        </w:tc>
        <w:tc>
          <w:tcPr>
            <w:tcW w:w="957" w:type="dxa"/>
            <w:tcBorders>
              <w:top w:val="single" w:sz="6" w:space="0" w:color="000000"/>
              <w:left w:val="single" w:sz="6" w:space="0" w:color="000000"/>
              <w:bottom w:val="single" w:sz="8" w:space="0" w:color="000000"/>
              <w:right w:val="single" w:sz="6" w:space="0" w:color="000000"/>
            </w:tcBorders>
          </w:tcPr>
          <w:p w:rsidR="001B708E" w:rsidRPr="001B708E" w:rsidRDefault="001B708E" w:rsidP="001B708E">
            <w:pPr>
              <w:autoSpaceDE w:val="0"/>
              <w:autoSpaceDN w:val="0"/>
              <w:adjustRightInd w:val="0"/>
              <w:rPr>
                <w:lang w:val="en-US"/>
              </w:rPr>
            </w:pPr>
            <w:r w:rsidRPr="001B708E">
              <w:rPr>
                <w:lang w:val="en-US"/>
              </w:rPr>
              <w:t>C=O</w:t>
            </w:r>
          </w:p>
        </w:tc>
        <w:tc>
          <w:tcPr>
            <w:tcW w:w="1310" w:type="dxa"/>
            <w:tcBorders>
              <w:top w:val="single" w:sz="6" w:space="0" w:color="000000"/>
              <w:left w:val="single" w:sz="6" w:space="0" w:color="000000"/>
              <w:bottom w:val="single" w:sz="8" w:space="0" w:color="000000"/>
              <w:right w:val="single" w:sz="8" w:space="0" w:color="000000"/>
            </w:tcBorders>
          </w:tcPr>
          <w:p w:rsidR="001B708E" w:rsidRPr="001B708E" w:rsidRDefault="001B708E" w:rsidP="001B708E">
            <w:pPr>
              <w:autoSpaceDE w:val="0"/>
              <w:autoSpaceDN w:val="0"/>
              <w:adjustRightInd w:val="0"/>
              <w:rPr>
                <w:lang w:val="en-US"/>
              </w:rPr>
            </w:pPr>
          </w:p>
        </w:tc>
      </w:tr>
      <w:tr w:rsidR="00C26146" w:rsidRPr="001B708E" w:rsidTr="0034360E">
        <w:tc>
          <w:tcPr>
            <w:tcW w:w="957" w:type="dxa"/>
            <w:tcBorders>
              <w:top w:val="single" w:sz="8" w:space="0" w:color="000000"/>
              <w:left w:val="single" w:sz="4" w:space="0" w:color="000000"/>
              <w:bottom w:val="single" w:sz="8" w:space="0" w:color="000000"/>
            </w:tcBorders>
          </w:tcPr>
          <w:p w:rsidR="001B708E" w:rsidRPr="001B708E" w:rsidRDefault="001B708E" w:rsidP="001B708E">
            <w:pPr>
              <w:autoSpaceDE w:val="0"/>
              <w:autoSpaceDN w:val="0"/>
              <w:adjustRightInd w:val="0"/>
              <w:rPr>
                <w:lang w:val="en-US"/>
              </w:rPr>
            </w:pPr>
            <w:r w:rsidRPr="001B708E">
              <w:rPr>
                <w:b/>
                <w:vertAlign w:val="superscript"/>
                <w:lang w:val="en-US"/>
              </w:rPr>
              <w:t>15</w:t>
            </w:r>
            <w:r w:rsidRPr="001B708E">
              <w:rPr>
                <w:b/>
                <w:lang w:val="en-US"/>
              </w:rPr>
              <w:t xml:space="preserve">N </w:t>
            </w:r>
            <w:r w:rsidRPr="001B708E">
              <w:rPr>
                <w:b/>
                <w:lang w:val="en-US"/>
              </w:rPr>
              <w:sym w:font="Symbol" w:char="F064"/>
            </w:r>
          </w:p>
        </w:tc>
        <w:tc>
          <w:tcPr>
            <w:tcW w:w="1083" w:type="dxa"/>
            <w:tcBorders>
              <w:top w:val="single" w:sz="8" w:space="0" w:color="000000"/>
              <w:bottom w:val="single" w:sz="8" w:space="0" w:color="000000"/>
            </w:tcBorders>
          </w:tcPr>
          <w:p w:rsidR="001B708E" w:rsidRPr="001B708E" w:rsidRDefault="001B708E" w:rsidP="001B708E">
            <w:pPr>
              <w:autoSpaceDE w:val="0"/>
              <w:autoSpaceDN w:val="0"/>
              <w:adjustRightInd w:val="0"/>
              <w:rPr>
                <w:b/>
                <w:lang w:val="en-US"/>
              </w:rPr>
            </w:pPr>
            <w:r w:rsidRPr="001B708E">
              <w:rPr>
                <w:b/>
                <w:lang w:val="en-US"/>
              </w:rPr>
              <w:t>nitrogen</w:t>
            </w:r>
          </w:p>
        </w:tc>
        <w:tc>
          <w:tcPr>
            <w:tcW w:w="957" w:type="dxa"/>
            <w:tcBorders>
              <w:top w:val="single" w:sz="8" w:space="0" w:color="000000"/>
              <w:bottom w:val="single" w:sz="8" w:space="0" w:color="000000"/>
            </w:tcBorders>
          </w:tcPr>
          <w:p w:rsidR="001B708E" w:rsidRPr="001B708E" w:rsidRDefault="001B708E" w:rsidP="001B708E">
            <w:pPr>
              <w:autoSpaceDE w:val="0"/>
              <w:autoSpaceDN w:val="0"/>
              <w:adjustRightInd w:val="0"/>
              <w:rPr>
                <w:b/>
                <w:lang w:val="en-US"/>
              </w:rPr>
            </w:pPr>
            <w:r w:rsidRPr="001B708E">
              <w:rPr>
                <w:b/>
                <w:lang w:val="en-US"/>
              </w:rPr>
              <w:t>Note</w:t>
            </w:r>
          </w:p>
        </w:tc>
        <w:tc>
          <w:tcPr>
            <w:tcW w:w="1310" w:type="dxa"/>
            <w:tcBorders>
              <w:top w:val="single" w:sz="8" w:space="0" w:color="000000"/>
              <w:bottom w:val="single" w:sz="8" w:space="0" w:color="000000"/>
              <w:right w:val="single" w:sz="4" w:space="0" w:color="000000"/>
            </w:tcBorders>
          </w:tcPr>
          <w:p w:rsidR="001B708E" w:rsidRPr="001B708E" w:rsidRDefault="001B708E" w:rsidP="001B708E">
            <w:pPr>
              <w:autoSpaceDE w:val="0"/>
              <w:autoSpaceDN w:val="0"/>
              <w:adjustRightInd w:val="0"/>
              <w:rPr>
                <w:lang w:val="en-US"/>
              </w:rPr>
            </w:pPr>
            <w:r w:rsidRPr="001B708E">
              <w:rPr>
                <w:b/>
                <w:vertAlign w:val="superscript"/>
                <w:lang w:val="en-US"/>
              </w:rPr>
              <w:t>15</w:t>
            </w:r>
            <w:r w:rsidRPr="001B708E">
              <w:rPr>
                <w:b/>
                <w:lang w:val="en-US"/>
              </w:rPr>
              <w:t xml:space="preserve">N </w:t>
            </w:r>
            <w:r w:rsidRPr="001B708E">
              <w:rPr>
                <w:b/>
                <w:lang w:val="en-US"/>
              </w:rPr>
              <w:sym w:font="Symbol" w:char="F064"/>
            </w:r>
          </w:p>
        </w:tc>
      </w:tr>
      <w:tr w:rsidR="00C26146" w:rsidRPr="001B708E" w:rsidTr="0034360E">
        <w:tc>
          <w:tcPr>
            <w:tcW w:w="957" w:type="dxa"/>
            <w:tcBorders>
              <w:top w:val="single" w:sz="8" w:space="0" w:color="000000"/>
              <w:left w:val="single" w:sz="4" w:space="0" w:color="000000"/>
              <w:bottom w:val="nil"/>
            </w:tcBorders>
          </w:tcPr>
          <w:p w:rsidR="001B708E" w:rsidRPr="001B708E" w:rsidRDefault="001B708E" w:rsidP="001B708E">
            <w:pPr>
              <w:autoSpaceDE w:val="0"/>
              <w:autoSpaceDN w:val="0"/>
              <w:adjustRightInd w:val="0"/>
              <w:rPr>
                <w:lang w:val="en-US"/>
              </w:rPr>
            </w:pPr>
            <w:r w:rsidRPr="001B708E">
              <w:rPr>
                <w:lang w:val="en-US"/>
              </w:rPr>
              <w:t>12.0</w:t>
            </w:r>
          </w:p>
        </w:tc>
        <w:tc>
          <w:tcPr>
            <w:tcW w:w="1083" w:type="dxa"/>
            <w:tcBorders>
              <w:top w:val="single" w:sz="8" w:space="0" w:color="000000"/>
              <w:bottom w:val="nil"/>
            </w:tcBorders>
          </w:tcPr>
          <w:p w:rsidR="001B708E" w:rsidRPr="001B708E" w:rsidRDefault="001B708E" w:rsidP="001B708E">
            <w:pPr>
              <w:autoSpaceDE w:val="0"/>
              <w:autoSpaceDN w:val="0"/>
              <w:adjustRightInd w:val="0"/>
              <w:rPr>
                <w:lang w:val="en-US"/>
              </w:rPr>
            </w:pPr>
            <w:r w:rsidRPr="001B708E">
              <w:rPr>
                <w:lang w:val="en-US"/>
              </w:rPr>
              <w:t>4</w:t>
            </w:r>
          </w:p>
        </w:tc>
        <w:tc>
          <w:tcPr>
            <w:tcW w:w="957" w:type="dxa"/>
            <w:tcBorders>
              <w:top w:val="single" w:sz="8" w:space="0" w:color="000000"/>
              <w:bottom w:val="nil"/>
            </w:tcBorders>
          </w:tcPr>
          <w:p w:rsidR="001B708E" w:rsidRPr="001B708E" w:rsidRDefault="001B708E" w:rsidP="001B708E">
            <w:pPr>
              <w:autoSpaceDE w:val="0"/>
              <w:autoSpaceDN w:val="0"/>
              <w:adjustRightInd w:val="0"/>
              <w:rPr>
                <w:lang w:val="en-US"/>
              </w:rPr>
            </w:pPr>
            <w:r w:rsidRPr="001B708E">
              <w:rPr>
                <w:lang w:val="en-US"/>
              </w:rPr>
              <w:t>N···H-O</w:t>
            </w:r>
          </w:p>
        </w:tc>
        <w:tc>
          <w:tcPr>
            <w:tcW w:w="1310" w:type="dxa"/>
            <w:tcBorders>
              <w:top w:val="single" w:sz="8" w:space="0" w:color="000000"/>
              <w:bottom w:val="nil"/>
              <w:right w:val="single" w:sz="4" w:space="0" w:color="000000"/>
            </w:tcBorders>
          </w:tcPr>
          <w:p w:rsidR="001B708E" w:rsidRPr="001B708E" w:rsidRDefault="001B708E" w:rsidP="001B708E">
            <w:pPr>
              <w:autoSpaceDE w:val="0"/>
              <w:autoSpaceDN w:val="0"/>
              <w:adjustRightInd w:val="0"/>
              <w:rPr>
                <w:lang w:val="en-US"/>
              </w:rPr>
            </w:pPr>
            <w:r w:rsidRPr="001B708E">
              <w:rPr>
                <w:lang w:val="en-US"/>
              </w:rPr>
              <w:t>104.4</w:t>
            </w:r>
          </w:p>
        </w:tc>
      </w:tr>
      <w:tr w:rsidR="00C26146" w:rsidRPr="001B708E" w:rsidTr="0034360E">
        <w:tc>
          <w:tcPr>
            <w:tcW w:w="957" w:type="dxa"/>
            <w:tcBorders>
              <w:top w:val="nil"/>
              <w:left w:val="single" w:sz="4" w:space="0" w:color="000000"/>
              <w:bottom w:val="single" w:sz="8" w:space="0" w:color="000000"/>
            </w:tcBorders>
          </w:tcPr>
          <w:p w:rsidR="001B708E" w:rsidRPr="001B708E" w:rsidRDefault="001B708E" w:rsidP="001B708E">
            <w:pPr>
              <w:autoSpaceDE w:val="0"/>
              <w:autoSpaceDN w:val="0"/>
              <w:adjustRightInd w:val="0"/>
              <w:rPr>
                <w:lang w:val="en-US"/>
              </w:rPr>
            </w:pPr>
            <w:r w:rsidRPr="001B708E">
              <w:rPr>
                <w:lang w:val="en-US"/>
              </w:rPr>
              <w:t>117.2</w:t>
            </w:r>
          </w:p>
        </w:tc>
        <w:tc>
          <w:tcPr>
            <w:tcW w:w="1083" w:type="dxa"/>
            <w:tcBorders>
              <w:top w:val="nil"/>
              <w:bottom w:val="single" w:sz="8" w:space="0" w:color="000000"/>
            </w:tcBorders>
          </w:tcPr>
          <w:p w:rsidR="001B708E" w:rsidRPr="001B708E" w:rsidRDefault="001B708E" w:rsidP="001B708E">
            <w:pPr>
              <w:autoSpaceDE w:val="0"/>
              <w:autoSpaceDN w:val="0"/>
              <w:adjustRightInd w:val="0"/>
              <w:rPr>
                <w:lang w:val="en-US"/>
              </w:rPr>
            </w:pPr>
            <w:r w:rsidRPr="001B708E">
              <w:rPr>
                <w:lang w:val="en-US"/>
              </w:rPr>
              <w:t>1</w:t>
            </w:r>
          </w:p>
        </w:tc>
        <w:tc>
          <w:tcPr>
            <w:tcW w:w="957" w:type="dxa"/>
            <w:tcBorders>
              <w:top w:val="nil"/>
              <w:bottom w:val="single" w:sz="8" w:space="0" w:color="000000"/>
            </w:tcBorders>
          </w:tcPr>
          <w:p w:rsidR="001B708E" w:rsidRPr="001B708E" w:rsidRDefault="001B708E" w:rsidP="001B708E">
            <w:pPr>
              <w:autoSpaceDE w:val="0"/>
              <w:autoSpaceDN w:val="0"/>
              <w:adjustRightInd w:val="0"/>
              <w:rPr>
                <w:lang w:val="en-US"/>
              </w:rPr>
            </w:pPr>
            <w:r w:rsidRPr="001B708E">
              <w:rPr>
                <w:lang w:val="en-US"/>
              </w:rPr>
              <w:t>N</w:t>
            </w:r>
          </w:p>
        </w:tc>
        <w:tc>
          <w:tcPr>
            <w:tcW w:w="1310" w:type="dxa"/>
            <w:tcBorders>
              <w:top w:val="nil"/>
              <w:bottom w:val="single" w:sz="8" w:space="0" w:color="000000"/>
              <w:right w:val="single" w:sz="4" w:space="0" w:color="000000"/>
            </w:tcBorders>
          </w:tcPr>
          <w:p w:rsidR="001B708E" w:rsidRPr="001B708E" w:rsidRDefault="001B708E" w:rsidP="001B708E">
            <w:pPr>
              <w:autoSpaceDE w:val="0"/>
              <w:autoSpaceDN w:val="0"/>
              <w:adjustRightInd w:val="0"/>
              <w:rPr>
                <w:lang w:val="en-US"/>
              </w:rPr>
            </w:pPr>
            <w:r w:rsidRPr="001B708E">
              <w:rPr>
                <w:lang w:val="en-US"/>
              </w:rPr>
              <w:t>-</w:t>
            </w:r>
          </w:p>
        </w:tc>
      </w:tr>
    </w:tbl>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sectPr w:rsidR="001B708E" w:rsidRPr="001B708E">
          <w:pgSz w:w="11906" w:h="16838"/>
          <w:pgMar w:top="1417" w:right="1134" w:bottom="1134" w:left="1134" w:header="708" w:footer="708" w:gutter="0"/>
          <w:cols w:space="708"/>
          <w:docGrid w:linePitch="360"/>
        </w:sectPr>
      </w:pPr>
    </w:p>
    <w:p w:rsidR="001B708E" w:rsidRPr="001B708E" w:rsidRDefault="001B708E" w:rsidP="001B708E">
      <w:pPr>
        <w:rPr>
          <w:lang w:val="en-US"/>
        </w:rPr>
      </w:pPr>
      <w:proofErr w:type="gramStart"/>
      <w:r w:rsidRPr="001B708E">
        <w:rPr>
          <w:b/>
          <w:lang w:val="en-US"/>
        </w:rPr>
        <w:lastRenderedPageBreak/>
        <w:t>Table 5.</w:t>
      </w:r>
      <w:proofErr w:type="gramEnd"/>
      <w:r w:rsidRPr="001B708E">
        <w:rPr>
          <w:lang w:val="en-US"/>
        </w:rPr>
        <w:t xml:space="preserve"> </w:t>
      </w:r>
      <w:r w:rsidRPr="001B708E">
        <w:rPr>
          <w:vertAlign w:val="superscript"/>
          <w:lang w:val="en-US"/>
        </w:rPr>
        <w:t>1</w:t>
      </w:r>
      <w:r w:rsidRPr="001B708E">
        <w:rPr>
          <w:lang w:val="en-US"/>
        </w:rPr>
        <w:t>H Spin-Lattice Relaxation Times, T</w:t>
      </w:r>
      <w:r w:rsidRPr="001B708E">
        <w:rPr>
          <w:vertAlign w:val="subscript"/>
          <w:lang w:val="en-US"/>
        </w:rPr>
        <w:t>1</w:t>
      </w:r>
      <w:r w:rsidRPr="001B708E">
        <w:rPr>
          <w:lang w:val="en-US"/>
        </w:rPr>
        <w:t xml:space="preserve"> (s), measured for pure reagents (</w:t>
      </w:r>
      <w:proofErr w:type="spellStart"/>
      <w:r w:rsidRPr="001B708E">
        <w:rPr>
          <w:lang w:val="en-US"/>
        </w:rPr>
        <w:t>vincamine</w:t>
      </w:r>
      <w:proofErr w:type="spellEnd"/>
      <w:r w:rsidRPr="001B708E">
        <w:rPr>
          <w:lang w:val="en-US"/>
        </w:rPr>
        <w:t xml:space="preserve"> and PVP-K30), PM samples (PM 1:4 and 1:7 </w:t>
      </w:r>
      <w:proofErr w:type="spellStart"/>
      <w:r w:rsidRPr="001B708E">
        <w:rPr>
          <w:lang w:val="en-US"/>
        </w:rPr>
        <w:t>wt</w:t>
      </w:r>
      <w:proofErr w:type="spellEnd"/>
      <w:r w:rsidRPr="001B708E">
        <w:rPr>
          <w:lang w:val="en-US"/>
        </w:rPr>
        <w:t xml:space="preserve"> ratios) and </w:t>
      </w:r>
      <w:proofErr w:type="spellStart"/>
      <w:r w:rsidRPr="001B708E">
        <w:rPr>
          <w:lang w:val="en-US"/>
        </w:rPr>
        <w:t>coground</w:t>
      </w:r>
      <w:proofErr w:type="spellEnd"/>
      <w:r w:rsidRPr="001B708E">
        <w:rPr>
          <w:lang w:val="en-US"/>
        </w:rPr>
        <w:t xml:space="preserve"> mixtures 10, 13, 14 and 15 using high resolution techniques as described in the Material and Methods section.</w:t>
      </w:r>
    </w:p>
    <w:p w:rsidR="001B708E" w:rsidRPr="001B708E" w:rsidRDefault="001B708E" w:rsidP="001B708E">
      <w:pPr>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10"/>
        <w:gridCol w:w="2770"/>
        <w:gridCol w:w="2690"/>
      </w:tblGrid>
      <w:tr w:rsidR="00C26146" w:rsidRPr="001B708E" w:rsidTr="0034360E">
        <w:tc>
          <w:tcPr>
            <w:tcW w:w="2310" w:type="dxa"/>
          </w:tcPr>
          <w:p w:rsidR="001B708E" w:rsidRPr="001B708E" w:rsidRDefault="001B708E" w:rsidP="001B708E">
            <w:pPr>
              <w:autoSpaceDE w:val="0"/>
              <w:autoSpaceDN w:val="0"/>
              <w:adjustRightInd w:val="0"/>
              <w:rPr>
                <w:b/>
                <w:lang w:val="it-IT"/>
              </w:rPr>
            </w:pPr>
            <w:r w:rsidRPr="001B708E">
              <w:rPr>
                <w:b/>
                <w:lang w:val="it-IT"/>
              </w:rPr>
              <w:t>Compound</w:t>
            </w:r>
          </w:p>
        </w:tc>
        <w:tc>
          <w:tcPr>
            <w:tcW w:w="2770" w:type="dxa"/>
          </w:tcPr>
          <w:p w:rsidR="001B708E" w:rsidRPr="001B708E" w:rsidRDefault="001B708E" w:rsidP="001B708E">
            <w:pPr>
              <w:autoSpaceDE w:val="0"/>
              <w:autoSpaceDN w:val="0"/>
              <w:adjustRightInd w:val="0"/>
              <w:rPr>
                <w:b/>
                <w:lang w:val="it-IT"/>
              </w:rPr>
            </w:pPr>
            <w:r w:rsidRPr="001B708E">
              <w:rPr>
                <w:b/>
                <w:lang w:val="it-IT"/>
              </w:rPr>
              <w:t xml:space="preserve">vincamine signals </w:t>
            </w:r>
            <w:r w:rsidRPr="001B708E">
              <w:rPr>
                <w:b/>
                <w:vertAlign w:val="superscript"/>
                <w:lang w:val="it-IT"/>
              </w:rPr>
              <w:t>1</w:t>
            </w:r>
            <w:r w:rsidRPr="001B708E">
              <w:rPr>
                <w:b/>
                <w:lang w:val="it-IT"/>
              </w:rPr>
              <w:t>H T</w:t>
            </w:r>
            <w:r w:rsidRPr="001B708E">
              <w:rPr>
                <w:b/>
                <w:vertAlign w:val="subscript"/>
                <w:lang w:val="it-IT"/>
              </w:rPr>
              <w:t>1</w:t>
            </w:r>
          </w:p>
        </w:tc>
        <w:tc>
          <w:tcPr>
            <w:tcW w:w="2690" w:type="dxa"/>
          </w:tcPr>
          <w:p w:rsidR="001B708E" w:rsidRPr="001B708E" w:rsidRDefault="001B708E" w:rsidP="001B708E">
            <w:pPr>
              <w:autoSpaceDE w:val="0"/>
              <w:autoSpaceDN w:val="0"/>
              <w:adjustRightInd w:val="0"/>
              <w:rPr>
                <w:b/>
                <w:lang w:val="en-US"/>
              </w:rPr>
            </w:pPr>
            <w:r w:rsidRPr="001B708E">
              <w:rPr>
                <w:b/>
                <w:lang w:val="en-US"/>
              </w:rPr>
              <w:t xml:space="preserve">PVP-K30 signals </w:t>
            </w:r>
            <w:r w:rsidRPr="001B708E">
              <w:rPr>
                <w:b/>
                <w:vertAlign w:val="superscript"/>
                <w:lang w:val="en-US"/>
              </w:rPr>
              <w:t>1</w:t>
            </w:r>
            <w:r w:rsidRPr="001B708E">
              <w:rPr>
                <w:b/>
                <w:lang w:val="en-US"/>
              </w:rPr>
              <w:t>H T</w:t>
            </w:r>
            <w:r w:rsidRPr="001B708E">
              <w:rPr>
                <w:b/>
                <w:vertAlign w:val="subscript"/>
                <w:lang w:val="en-US"/>
              </w:rPr>
              <w:t>1</w:t>
            </w:r>
          </w:p>
        </w:tc>
      </w:tr>
      <w:tr w:rsidR="00C26146" w:rsidRPr="001B708E" w:rsidTr="0034360E">
        <w:tc>
          <w:tcPr>
            <w:tcW w:w="2310" w:type="dxa"/>
          </w:tcPr>
          <w:p w:rsidR="001B708E" w:rsidRPr="001B708E" w:rsidRDefault="001B708E" w:rsidP="001B708E">
            <w:pPr>
              <w:autoSpaceDE w:val="0"/>
              <w:autoSpaceDN w:val="0"/>
              <w:adjustRightInd w:val="0"/>
              <w:rPr>
                <w:lang w:val="it-IT"/>
              </w:rPr>
            </w:pPr>
            <w:r w:rsidRPr="001B708E">
              <w:rPr>
                <w:lang w:val="it-IT"/>
              </w:rPr>
              <w:t>vincamine</w:t>
            </w:r>
          </w:p>
        </w:tc>
        <w:tc>
          <w:tcPr>
            <w:tcW w:w="2770" w:type="dxa"/>
          </w:tcPr>
          <w:p w:rsidR="001B708E" w:rsidRPr="001B708E" w:rsidRDefault="001B708E" w:rsidP="001B708E">
            <w:pPr>
              <w:autoSpaceDE w:val="0"/>
              <w:autoSpaceDN w:val="0"/>
              <w:adjustRightInd w:val="0"/>
              <w:jc w:val="center"/>
              <w:rPr>
                <w:lang w:val="it-IT"/>
              </w:rPr>
            </w:pPr>
            <w:r w:rsidRPr="001B708E">
              <w:rPr>
                <w:lang w:val="it-IT"/>
              </w:rPr>
              <w:t>5.2</w:t>
            </w:r>
          </w:p>
        </w:tc>
        <w:tc>
          <w:tcPr>
            <w:tcW w:w="2690" w:type="dxa"/>
          </w:tcPr>
          <w:p w:rsidR="001B708E" w:rsidRPr="001B708E" w:rsidRDefault="001B708E" w:rsidP="001B708E">
            <w:pPr>
              <w:autoSpaceDE w:val="0"/>
              <w:autoSpaceDN w:val="0"/>
              <w:adjustRightInd w:val="0"/>
              <w:jc w:val="center"/>
              <w:rPr>
                <w:lang w:val="it-IT"/>
              </w:rPr>
            </w:pPr>
            <w:r w:rsidRPr="001B708E">
              <w:rPr>
                <w:lang w:val="it-IT"/>
              </w:rPr>
              <w:t>-</w:t>
            </w:r>
          </w:p>
        </w:tc>
      </w:tr>
      <w:tr w:rsidR="00C26146" w:rsidRPr="001B708E" w:rsidTr="0034360E">
        <w:tc>
          <w:tcPr>
            <w:tcW w:w="2310" w:type="dxa"/>
          </w:tcPr>
          <w:p w:rsidR="001B708E" w:rsidRPr="001B708E" w:rsidRDefault="001B708E" w:rsidP="001B708E">
            <w:pPr>
              <w:autoSpaceDE w:val="0"/>
              <w:autoSpaceDN w:val="0"/>
              <w:adjustRightInd w:val="0"/>
              <w:rPr>
                <w:lang w:val="it-IT"/>
              </w:rPr>
            </w:pPr>
            <w:r w:rsidRPr="001B708E">
              <w:rPr>
                <w:lang w:val="it-IT"/>
              </w:rPr>
              <w:t>PVP-K30</w:t>
            </w:r>
          </w:p>
        </w:tc>
        <w:tc>
          <w:tcPr>
            <w:tcW w:w="2770" w:type="dxa"/>
          </w:tcPr>
          <w:p w:rsidR="001B708E" w:rsidRPr="001B708E" w:rsidRDefault="001B708E" w:rsidP="001B708E">
            <w:pPr>
              <w:autoSpaceDE w:val="0"/>
              <w:autoSpaceDN w:val="0"/>
              <w:adjustRightInd w:val="0"/>
              <w:jc w:val="center"/>
              <w:rPr>
                <w:lang w:val="it-IT"/>
              </w:rPr>
            </w:pPr>
            <w:r w:rsidRPr="001B708E">
              <w:rPr>
                <w:lang w:val="it-IT"/>
              </w:rPr>
              <w:t>-</w:t>
            </w:r>
          </w:p>
        </w:tc>
        <w:tc>
          <w:tcPr>
            <w:tcW w:w="2690" w:type="dxa"/>
          </w:tcPr>
          <w:p w:rsidR="001B708E" w:rsidRPr="001B708E" w:rsidRDefault="001B708E" w:rsidP="001B708E">
            <w:pPr>
              <w:autoSpaceDE w:val="0"/>
              <w:autoSpaceDN w:val="0"/>
              <w:adjustRightInd w:val="0"/>
              <w:jc w:val="center"/>
              <w:rPr>
                <w:lang w:val="it-IT"/>
              </w:rPr>
            </w:pPr>
            <w:r w:rsidRPr="001B708E">
              <w:rPr>
                <w:lang w:val="it-IT"/>
              </w:rPr>
              <w:t>1.5</w:t>
            </w:r>
          </w:p>
        </w:tc>
      </w:tr>
      <w:tr w:rsidR="00C26146" w:rsidRPr="001B708E" w:rsidTr="0034360E">
        <w:tc>
          <w:tcPr>
            <w:tcW w:w="2310" w:type="dxa"/>
          </w:tcPr>
          <w:p w:rsidR="001B708E" w:rsidRPr="001B708E" w:rsidRDefault="001B708E" w:rsidP="001B708E">
            <w:pPr>
              <w:autoSpaceDE w:val="0"/>
              <w:autoSpaceDN w:val="0"/>
              <w:adjustRightInd w:val="0"/>
              <w:rPr>
                <w:lang w:val="it-IT"/>
              </w:rPr>
            </w:pPr>
            <w:r w:rsidRPr="001B708E">
              <w:rPr>
                <w:lang w:val="it-IT"/>
              </w:rPr>
              <w:t>PM 1:4 wt</w:t>
            </w:r>
          </w:p>
        </w:tc>
        <w:tc>
          <w:tcPr>
            <w:tcW w:w="2770" w:type="dxa"/>
          </w:tcPr>
          <w:p w:rsidR="001B708E" w:rsidRPr="001B708E" w:rsidRDefault="001B708E" w:rsidP="001B708E">
            <w:pPr>
              <w:autoSpaceDE w:val="0"/>
              <w:autoSpaceDN w:val="0"/>
              <w:adjustRightInd w:val="0"/>
              <w:jc w:val="center"/>
              <w:rPr>
                <w:lang w:val="it-IT"/>
              </w:rPr>
            </w:pPr>
            <w:r w:rsidRPr="001B708E">
              <w:rPr>
                <w:lang w:val="it-IT"/>
              </w:rPr>
              <w:t>5.4</w:t>
            </w:r>
          </w:p>
        </w:tc>
        <w:tc>
          <w:tcPr>
            <w:tcW w:w="2690" w:type="dxa"/>
          </w:tcPr>
          <w:p w:rsidR="001B708E" w:rsidRPr="001B708E" w:rsidRDefault="001B708E" w:rsidP="001B708E">
            <w:pPr>
              <w:autoSpaceDE w:val="0"/>
              <w:autoSpaceDN w:val="0"/>
              <w:adjustRightInd w:val="0"/>
              <w:jc w:val="center"/>
              <w:rPr>
                <w:lang w:val="it-IT"/>
              </w:rPr>
            </w:pPr>
            <w:r w:rsidRPr="001B708E">
              <w:rPr>
                <w:lang w:val="it-IT"/>
              </w:rPr>
              <w:t>1.4</w:t>
            </w:r>
          </w:p>
        </w:tc>
      </w:tr>
      <w:tr w:rsidR="00C26146" w:rsidRPr="001B708E" w:rsidTr="0034360E">
        <w:tc>
          <w:tcPr>
            <w:tcW w:w="2310" w:type="dxa"/>
          </w:tcPr>
          <w:p w:rsidR="001B708E" w:rsidRPr="001B708E" w:rsidRDefault="001B708E" w:rsidP="001B708E">
            <w:pPr>
              <w:autoSpaceDE w:val="0"/>
              <w:autoSpaceDN w:val="0"/>
              <w:adjustRightInd w:val="0"/>
              <w:rPr>
                <w:lang w:val="it-IT"/>
              </w:rPr>
            </w:pPr>
            <w:r w:rsidRPr="001B708E">
              <w:rPr>
                <w:lang w:val="it-IT"/>
              </w:rPr>
              <w:t>10</w:t>
            </w:r>
          </w:p>
        </w:tc>
        <w:tc>
          <w:tcPr>
            <w:tcW w:w="2770" w:type="dxa"/>
          </w:tcPr>
          <w:p w:rsidR="001B708E" w:rsidRPr="001B708E" w:rsidRDefault="001B708E" w:rsidP="001B708E">
            <w:pPr>
              <w:autoSpaceDE w:val="0"/>
              <w:autoSpaceDN w:val="0"/>
              <w:adjustRightInd w:val="0"/>
              <w:jc w:val="center"/>
              <w:rPr>
                <w:lang w:val="it-IT"/>
              </w:rPr>
            </w:pPr>
            <w:r w:rsidRPr="001B708E">
              <w:rPr>
                <w:lang w:val="it-IT"/>
              </w:rPr>
              <w:t>2.1</w:t>
            </w:r>
          </w:p>
        </w:tc>
        <w:tc>
          <w:tcPr>
            <w:tcW w:w="2690" w:type="dxa"/>
          </w:tcPr>
          <w:p w:rsidR="001B708E" w:rsidRPr="001B708E" w:rsidRDefault="001B708E" w:rsidP="001B708E">
            <w:pPr>
              <w:autoSpaceDE w:val="0"/>
              <w:autoSpaceDN w:val="0"/>
              <w:adjustRightInd w:val="0"/>
              <w:jc w:val="center"/>
              <w:rPr>
                <w:lang w:val="it-IT"/>
              </w:rPr>
            </w:pPr>
            <w:r w:rsidRPr="001B708E">
              <w:rPr>
                <w:lang w:val="it-IT"/>
              </w:rPr>
              <w:t>1.9</w:t>
            </w:r>
          </w:p>
        </w:tc>
      </w:tr>
      <w:tr w:rsidR="00C26146" w:rsidRPr="001B708E" w:rsidTr="0034360E">
        <w:tc>
          <w:tcPr>
            <w:tcW w:w="2310" w:type="dxa"/>
          </w:tcPr>
          <w:p w:rsidR="001B708E" w:rsidRPr="001B708E" w:rsidRDefault="001B708E" w:rsidP="001B708E">
            <w:pPr>
              <w:autoSpaceDE w:val="0"/>
              <w:autoSpaceDN w:val="0"/>
              <w:adjustRightInd w:val="0"/>
              <w:rPr>
                <w:lang w:val="it-IT"/>
              </w:rPr>
            </w:pPr>
            <w:r w:rsidRPr="001B708E">
              <w:rPr>
                <w:lang w:val="it-IT"/>
              </w:rPr>
              <w:t>PM 1:7 wt</w:t>
            </w:r>
          </w:p>
        </w:tc>
        <w:tc>
          <w:tcPr>
            <w:tcW w:w="2770" w:type="dxa"/>
          </w:tcPr>
          <w:p w:rsidR="001B708E" w:rsidRPr="001B708E" w:rsidRDefault="001B708E" w:rsidP="001B708E">
            <w:pPr>
              <w:autoSpaceDE w:val="0"/>
              <w:autoSpaceDN w:val="0"/>
              <w:adjustRightInd w:val="0"/>
              <w:jc w:val="center"/>
              <w:rPr>
                <w:lang w:val="it-IT"/>
              </w:rPr>
            </w:pPr>
            <w:r w:rsidRPr="001B708E">
              <w:rPr>
                <w:lang w:val="it-IT"/>
              </w:rPr>
              <w:t>5.2</w:t>
            </w:r>
          </w:p>
        </w:tc>
        <w:tc>
          <w:tcPr>
            <w:tcW w:w="2690" w:type="dxa"/>
          </w:tcPr>
          <w:p w:rsidR="001B708E" w:rsidRPr="001B708E" w:rsidRDefault="001B708E" w:rsidP="001B708E">
            <w:pPr>
              <w:autoSpaceDE w:val="0"/>
              <w:autoSpaceDN w:val="0"/>
              <w:adjustRightInd w:val="0"/>
              <w:jc w:val="center"/>
              <w:rPr>
                <w:lang w:val="it-IT"/>
              </w:rPr>
            </w:pPr>
            <w:r w:rsidRPr="001B708E">
              <w:rPr>
                <w:lang w:val="it-IT"/>
              </w:rPr>
              <w:t>1.6</w:t>
            </w:r>
          </w:p>
        </w:tc>
      </w:tr>
      <w:tr w:rsidR="00C26146" w:rsidRPr="001B708E" w:rsidTr="0034360E">
        <w:tc>
          <w:tcPr>
            <w:tcW w:w="2310" w:type="dxa"/>
          </w:tcPr>
          <w:p w:rsidR="001B708E" w:rsidRPr="001B708E" w:rsidRDefault="001B708E" w:rsidP="001B708E">
            <w:pPr>
              <w:autoSpaceDE w:val="0"/>
              <w:autoSpaceDN w:val="0"/>
              <w:adjustRightInd w:val="0"/>
              <w:rPr>
                <w:lang w:val="it-IT"/>
              </w:rPr>
            </w:pPr>
            <w:r w:rsidRPr="001B708E">
              <w:rPr>
                <w:lang w:val="it-IT"/>
              </w:rPr>
              <w:t>13</w:t>
            </w:r>
          </w:p>
        </w:tc>
        <w:tc>
          <w:tcPr>
            <w:tcW w:w="2770" w:type="dxa"/>
          </w:tcPr>
          <w:p w:rsidR="001B708E" w:rsidRPr="001B708E" w:rsidRDefault="001B708E" w:rsidP="001B708E">
            <w:pPr>
              <w:autoSpaceDE w:val="0"/>
              <w:autoSpaceDN w:val="0"/>
              <w:adjustRightInd w:val="0"/>
              <w:jc w:val="center"/>
              <w:rPr>
                <w:lang w:val="it-IT"/>
              </w:rPr>
            </w:pPr>
            <w:r w:rsidRPr="001B708E">
              <w:rPr>
                <w:lang w:val="it-IT"/>
              </w:rPr>
              <w:t>2.0</w:t>
            </w:r>
          </w:p>
        </w:tc>
        <w:tc>
          <w:tcPr>
            <w:tcW w:w="2690" w:type="dxa"/>
          </w:tcPr>
          <w:p w:rsidR="001B708E" w:rsidRPr="001B708E" w:rsidRDefault="001B708E" w:rsidP="001B708E">
            <w:pPr>
              <w:autoSpaceDE w:val="0"/>
              <w:autoSpaceDN w:val="0"/>
              <w:adjustRightInd w:val="0"/>
              <w:jc w:val="center"/>
              <w:rPr>
                <w:lang w:val="it-IT"/>
              </w:rPr>
            </w:pPr>
            <w:r w:rsidRPr="001B708E">
              <w:rPr>
                <w:lang w:val="it-IT"/>
              </w:rPr>
              <w:t>1.8</w:t>
            </w:r>
          </w:p>
        </w:tc>
      </w:tr>
      <w:tr w:rsidR="00C26146" w:rsidRPr="001B708E" w:rsidTr="0034360E">
        <w:tc>
          <w:tcPr>
            <w:tcW w:w="2310" w:type="dxa"/>
          </w:tcPr>
          <w:p w:rsidR="001B708E" w:rsidRPr="001B708E" w:rsidRDefault="001B708E" w:rsidP="001B708E">
            <w:pPr>
              <w:autoSpaceDE w:val="0"/>
              <w:autoSpaceDN w:val="0"/>
              <w:adjustRightInd w:val="0"/>
              <w:rPr>
                <w:lang w:val="it-IT"/>
              </w:rPr>
            </w:pPr>
            <w:r w:rsidRPr="001B708E">
              <w:rPr>
                <w:lang w:val="it-IT"/>
              </w:rPr>
              <w:t>14</w:t>
            </w:r>
          </w:p>
        </w:tc>
        <w:tc>
          <w:tcPr>
            <w:tcW w:w="2770" w:type="dxa"/>
          </w:tcPr>
          <w:p w:rsidR="001B708E" w:rsidRPr="001B708E" w:rsidRDefault="001B708E" w:rsidP="001B708E">
            <w:pPr>
              <w:autoSpaceDE w:val="0"/>
              <w:autoSpaceDN w:val="0"/>
              <w:adjustRightInd w:val="0"/>
              <w:jc w:val="center"/>
              <w:rPr>
                <w:lang w:val="it-IT"/>
              </w:rPr>
            </w:pPr>
            <w:r w:rsidRPr="001B708E">
              <w:rPr>
                <w:lang w:val="it-IT"/>
              </w:rPr>
              <w:t>2.1</w:t>
            </w:r>
          </w:p>
        </w:tc>
        <w:tc>
          <w:tcPr>
            <w:tcW w:w="2690" w:type="dxa"/>
          </w:tcPr>
          <w:p w:rsidR="001B708E" w:rsidRPr="001B708E" w:rsidRDefault="001B708E" w:rsidP="001B708E">
            <w:pPr>
              <w:autoSpaceDE w:val="0"/>
              <w:autoSpaceDN w:val="0"/>
              <w:adjustRightInd w:val="0"/>
              <w:jc w:val="center"/>
              <w:rPr>
                <w:lang w:val="it-IT"/>
              </w:rPr>
            </w:pPr>
            <w:r w:rsidRPr="001B708E">
              <w:rPr>
                <w:lang w:val="it-IT"/>
              </w:rPr>
              <w:t>1.9</w:t>
            </w:r>
          </w:p>
        </w:tc>
      </w:tr>
      <w:tr w:rsidR="00C26146" w:rsidRPr="001B708E" w:rsidTr="0034360E">
        <w:tc>
          <w:tcPr>
            <w:tcW w:w="2310" w:type="dxa"/>
          </w:tcPr>
          <w:p w:rsidR="001B708E" w:rsidRPr="001B708E" w:rsidRDefault="001B708E" w:rsidP="001B708E">
            <w:pPr>
              <w:autoSpaceDE w:val="0"/>
              <w:autoSpaceDN w:val="0"/>
              <w:adjustRightInd w:val="0"/>
              <w:rPr>
                <w:lang w:val="it-IT"/>
              </w:rPr>
            </w:pPr>
            <w:r w:rsidRPr="001B708E">
              <w:rPr>
                <w:lang w:val="it-IT"/>
              </w:rPr>
              <w:t>15</w:t>
            </w:r>
          </w:p>
        </w:tc>
        <w:tc>
          <w:tcPr>
            <w:tcW w:w="2770" w:type="dxa"/>
          </w:tcPr>
          <w:p w:rsidR="001B708E" w:rsidRPr="001B708E" w:rsidRDefault="001B708E" w:rsidP="001B708E">
            <w:pPr>
              <w:autoSpaceDE w:val="0"/>
              <w:autoSpaceDN w:val="0"/>
              <w:adjustRightInd w:val="0"/>
              <w:jc w:val="center"/>
              <w:rPr>
                <w:lang w:val="it-IT"/>
              </w:rPr>
            </w:pPr>
            <w:r w:rsidRPr="001B708E">
              <w:rPr>
                <w:lang w:val="it-IT"/>
              </w:rPr>
              <w:t>2.0</w:t>
            </w:r>
          </w:p>
        </w:tc>
        <w:tc>
          <w:tcPr>
            <w:tcW w:w="2690" w:type="dxa"/>
          </w:tcPr>
          <w:p w:rsidR="001B708E" w:rsidRPr="001B708E" w:rsidRDefault="001B708E" w:rsidP="001B708E">
            <w:pPr>
              <w:autoSpaceDE w:val="0"/>
              <w:autoSpaceDN w:val="0"/>
              <w:adjustRightInd w:val="0"/>
              <w:jc w:val="center"/>
              <w:rPr>
                <w:lang w:val="it-IT"/>
              </w:rPr>
            </w:pPr>
            <w:r w:rsidRPr="001B708E">
              <w:rPr>
                <w:lang w:val="it-IT"/>
              </w:rPr>
              <w:t>1.9</w:t>
            </w:r>
          </w:p>
        </w:tc>
      </w:tr>
    </w:tbl>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
    <w:p w:rsidR="001B708E" w:rsidRPr="001B708E" w:rsidRDefault="001B708E" w:rsidP="001B708E">
      <w:pPr>
        <w:rPr>
          <w:lang w:val="en-US"/>
        </w:rPr>
      </w:pPr>
      <w:proofErr w:type="gramStart"/>
      <w:r w:rsidRPr="001B708E">
        <w:rPr>
          <w:b/>
          <w:lang w:val="en-US"/>
        </w:rPr>
        <w:lastRenderedPageBreak/>
        <w:t>Table 6.</w:t>
      </w:r>
      <w:proofErr w:type="gramEnd"/>
      <w:r w:rsidRPr="001B708E">
        <w:rPr>
          <w:lang w:val="en-US"/>
        </w:rPr>
        <w:t xml:space="preserve"> Crystalline percentages calculated according to </w:t>
      </w:r>
      <w:proofErr w:type="spellStart"/>
      <w:r w:rsidRPr="001B708E">
        <w:rPr>
          <w:lang w:val="en-US"/>
        </w:rPr>
        <w:t>Bergese</w:t>
      </w:r>
      <w:proofErr w:type="spellEnd"/>
      <w:r w:rsidRPr="001B708E">
        <w:rPr>
          <w:lang w:val="en-US"/>
        </w:rPr>
        <w:t xml:space="preserve"> et al., 2002, for the fresh and 1 year stored Cog samples.</w:t>
      </w:r>
    </w:p>
    <w:p w:rsidR="001B708E" w:rsidRPr="001B708E" w:rsidRDefault="001B708E" w:rsidP="001B708E">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gridCol w:w="3259"/>
        <w:gridCol w:w="3260"/>
      </w:tblGrid>
      <w:tr w:rsidR="00C26146" w:rsidRPr="001B708E" w:rsidTr="0034360E">
        <w:tc>
          <w:tcPr>
            <w:tcW w:w="3259" w:type="dxa"/>
            <w:vMerge w:val="restart"/>
            <w:vAlign w:val="center"/>
          </w:tcPr>
          <w:p w:rsidR="001B708E" w:rsidRPr="001B708E" w:rsidRDefault="001B708E" w:rsidP="001B708E">
            <w:pPr>
              <w:autoSpaceDE w:val="0"/>
              <w:autoSpaceDN w:val="0"/>
              <w:adjustRightInd w:val="0"/>
              <w:spacing w:line="480" w:lineRule="auto"/>
              <w:jc w:val="center"/>
              <w:rPr>
                <w:lang w:val="it-IT"/>
              </w:rPr>
            </w:pPr>
            <w:r w:rsidRPr="001B708E">
              <w:rPr>
                <w:lang w:val="it-IT"/>
              </w:rPr>
              <w:t>Sample</w:t>
            </w:r>
          </w:p>
        </w:tc>
        <w:tc>
          <w:tcPr>
            <w:tcW w:w="6519" w:type="dxa"/>
            <w:gridSpan w:val="2"/>
            <w:vAlign w:val="center"/>
          </w:tcPr>
          <w:p w:rsidR="001B708E" w:rsidRPr="001B708E" w:rsidRDefault="001B708E" w:rsidP="001B708E">
            <w:pPr>
              <w:autoSpaceDE w:val="0"/>
              <w:autoSpaceDN w:val="0"/>
              <w:adjustRightInd w:val="0"/>
              <w:spacing w:line="480" w:lineRule="auto"/>
              <w:jc w:val="center"/>
              <w:rPr>
                <w:lang w:val="it-IT"/>
              </w:rPr>
            </w:pPr>
            <w:r w:rsidRPr="001B708E">
              <w:rPr>
                <w:lang w:val="it-IT"/>
              </w:rPr>
              <w:t>Crystalline percentage</w:t>
            </w:r>
          </w:p>
        </w:tc>
      </w:tr>
      <w:tr w:rsidR="00C26146" w:rsidRPr="001B708E" w:rsidTr="0034360E">
        <w:tc>
          <w:tcPr>
            <w:tcW w:w="3259" w:type="dxa"/>
            <w:vMerge/>
            <w:vAlign w:val="center"/>
          </w:tcPr>
          <w:p w:rsidR="001B708E" w:rsidRPr="001B708E" w:rsidRDefault="001B708E" w:rsidP="001B708E">
            <w:pPr>
              <w:autoSpaceDE w:val="0"/>
              <w:autoSpaceDN w:val="0"/>
              <w:adjustRightInd w:val="0"/>
              <w:spacing w:line="480" w:lineRule="auto"/>
              <w:jc w:val="center"/>
              <w:rPr>
                <w:lang w:val="it-IT"/>
              </w:rPr>
            </w:pPr>
          </w:p>
        </w:tc>
        <w:tc>
          <w:tcPr>
            <w:tcW w:w="3259" w:type="dxa"/>
            <w:vAlign w:val="center"/>
          </w:tcPr>
          <w:p w:rsidR="001B708E" w:rsidRPr="001B708E" w:rsidRDefault="001B708E" w:rsidP="001B708E">
            <w:pPr>
              <w:autoSpaceDE w:val="0"/>
              <w:autoSpaceDN w:val="0"/>
              <w:adjustRightInd w:val="0"/>
              <w:spacing w:line="480" w:lineRule="auto"/>
              <w:jc w:val="center"/>
              <w:rPr>
                <w:lang w:val="it-IT"/>
              </w:rPr>
            </w:pPr>
            <w:r w:rsidRPr="001B708E">
              <w:rPr>
                <w:lang w:val="it-IT"/>
              </w:rPr>
              <w:t>Fresh</w:t>
            </w:r>
          </w:p>
        </w:tc>
        <w:tc>
          <w:tcPr>
            <w:tcW w:w="3260" w:type="dxa"/>
            <w:vAlign w:val="center"/>
          </w:tcPr>
          <w:p w:rsidR="001B708E" w:rsidRPr="001B708E" w:rsidRDefault="001B708E" w:rsidP="001B708E">
            <w:pPr>
              <w:autoSpaceDE w:val="0"/>
              <w:autoSpaceDN w:val="0"/>
              <w:adjustRightInd w:val="0"/>
              <w:spacing w:line="480" w:lineRule="auto"/>
              <w:jc w:val="center"/>
              <w:rPr>
                <w:lang w:val="it-IT"/>
              </w:rPr>
            </w:pPr>
            <w:r w:rsidRPr="001B708E">
              <w:rPr>
                <w:lang w:val="it-IT"/>
              </w:rPr>
              <w:t>12 months</w:t>
            </w:r>
          </w:p>
        </w:tc>
      </w:tr>
      <w:tr w:rsidR="00C26146" w:rsidRPr="001B708E" w:rsidTr="0034360E">
        <w:tc>
          <w:tcPr>
            <w:tcW w:w="3259" w:type="dxa"/>
            <w:vAlign w:val="center"/>
          </w:tcPr>
          <w:p w:rsidR="001B708E" w:rsidRPr="001B708E" w:rsidRDefault="001B708E" w:rsidP="001B708E">
            <w:pPr>
              <w:autoSpaceDE w:val="0"/>
              <w:autoSpaceDN w:val="0"/>
              <w:adjustRightInd w:val="0"/>
              <w:spacing w:line="480" w:lineRule="auto"/>
              <w:jc w:val="center"/>
              <w:rPr>
                <w:lang w:val="it-IT"/>
              </w:rPr>
            </w:pPr>
            <w:r w:rsidRPr="001B708E">
              <w:rPr>
                <w:lang w:val="it-IT"/>
              </w:rPr>
              <w:t>Cog formulation 10</w:t>
            </w:r>
          </w:p>
        </w:tc>
        <w:tc>
          <w:tcPr>
            <w:tcW w:w="3259" w:type="dxa"/>
            <w:vAlign w:val="center"/>
          </w:tcPr>
          <w:p w:rsidR="001B708E" w:rsidRPr="001B708E" w:rsidRDefault="001B708E" w:rsidP="001B708E">
            <w:pPr>
              <w:autoSpaceDE w:val="0"/>
              <w:autoSpaceDN w:val="0"/>
              <w:adjustRightInd w:val="0"/>
              <w:spacing w:line="480" w:lineRule="auto"/>
              <w:jc w:val="center"/>
              <w:rPr>
                <w:lang w:val="it-IT"/>
              </w:rPr>
            </w:pPr>
            <w:r w:rsidRPr="001B708E">
              <w:rPr>
                <w:lang w:val="it-IT"/>
              </w:rPr>
              <w:t>35.7</w:t>
            </w:r>
          </w:p>
        </w:tc>
        <w:tc>
          <w:tcPr>
            <w:tcW w:w="3260" w:type="dxa"/>
            <w:vAlign w:val="center"/>
          </w:tcPr>
          <w:p w:rsidR="001B708E" w:rsidRPr="001B708E" w:rsidRDefault="001B708E" w:rsidP="001B708E">
            <w:pPr>
              <w:autoSpaceDE w:val="0"/>
              <w:autoSpaceDN w:val="0"/>
              <w:adjustRightInd w:val="0"/>
              <w:spacing w:line="480" w:lineRule="auto"/>
              <w:jc w:val="center"/>
              <w:rPr>
                <w:lang w:val="it-IT"/>
              </w:rPr>
            </w:pPr>
            <w:r w:rsidRPr="001B708E">
              <w:rPr>
                <w:lang w:val="it-IT"/>
              </w:rPr>
              <w:t>37.2</w:t>
            </w:r>
          </w:p>
        </w:tc>
      </w:tr>
      <w:tr w:rsidR="00C26146" w:rsidRPr="001B708E" w:rsidTr="0034360E">
        <w:tc>
          <w:tcPr>
            <w:tcW w:w="3259" w:type="dxa"/>
            <w:vAlign w:val="center"/>
          </w:tcPr>
          <w:p w:rsidR="001B708E" w:rsidRPr="001B708E" w:rsidRDefault="001B708E" w:rsidP="001B708E">
            <w:pPr>
              <w:autoSpaceDE w:val="0"/>
              <w:autoSpaceDN w:val="0"/>
              <w:adjustRightInd w:val="0"/>
              <w:spacing w:line="480" w:lineRule="auto"/>
              <w:jc w:val="center"/>
              <w:rPr>
                <w:lang w:val="it-IT"/>
              </w:rPr>
            </w:pPr>
            <w:r w:rsidRPr="001B708E">
              <w:rPr>
                <w:lang w:val="it-IT"/>
              </w:rPr>
              <w:t>Cog formulation 13</w:t>
            </w:r>
          </w:p>
        </w:tc>
        <w:tc>
          <w:tcPr>
            <w:tcW w:w="3259" w:type="dxa"/>
            <w:vAlign w:val="center"/>
          </w:tcPr>
          <w:p w:rsidR="001B708E" w:rsidRPr="001B708E" w:rsidRDefault="001B708E" w:rsidP="001B708E">
            <w:pPr>
              <w:jc w:val="center"/>
              <w:rPr>
                <w:lang w:val="it-IT"/>
              </w:rPr>
            </w:pPr>
            <w:r w:rsidRPr="001B708E">
              <w:rPr>
                <w:lang w:val="it-IT"/>
              </w:rPr>
              <w:t>53.4</w:t>
            </w:r>
          </w:p>
        </w:tc>
        <w:tc>
          <w:tcPr>
            <w:tcW w:w="3260" w:type="dxa"/>
            <w:vAlign w:val="center"/>
          </w:tcPr>
          <w:p w:rsidR="001B708E" w:rsidRPr="001B708E" w:rsidRDefault="001B708E" w:rsidP="001B708E">
            <w:pPr>
              <w:autoSpaceDE w:val="0"/>
              <w:autoSpaceDN w:val="0"/>
              <w:adjustRightInd w:val="0"/>
              <w:spacing w:line="480" w:lineRule="auto"/>
              <w:jc w:val="center"/>
              <w:rPr>
                <w:lang w:val="it-IT"/>
              </w:rPr>
            </w:pPr>
            <w:r w:rsidRPr="001B708E">
              <w:rPr>
                <w:lang w:val="it-IT"/>
              </w:rPr>
              <w:t>53.2</w:t>
            </w:r>
          </w:p>
        </w:tc>
      </w:tr>
      <w:tr w:rsidR="00C26146" w:rsidRPr="001B708E" w:rsidTr="0034360E">
        <w:tc>
          <w:tcPr>
            <w:tcW w:w="3259" w:type="dxa"/>
            <w:vAlign w:val="center"/>
          </w:tcPr>
          <w:p w:rsidR="001B708E" w:rsidRPr="001B708E" w:rsidRDefault="001B708E" w:rsidP="001B708E">
            <w:pPr>
              <w:autoSpaceDE w:val="0"/>
              <w:autoSpaceDN w:val="0"/>
              <w:adjustRightInd w:val="0"/>
              <w:spacing w:line="480" w:lineRule="auto"/>
              <w:jc w:val="center"/>
              <w:rPr>
                <w:lang w:val="it-IT"/>
              </w:rPr>
            </w:pPr>
            <w:r w:rsidRPr="001B708E">
              <w:rPr>
                <w:lang w:val="it-IT"/>
              </w:rPr>
              <w:t>Cog formulation 14</w:t>
            </w:r>
          </w:p>
        </w:tc>
        <w:tc>
          <w:tcPr>
            <w:tcW w:w="3259" w:type="dxa"/>
            <w:vAlign w:val="center"/>
          </w:tcPr>
          <w:p w:rsidR="001B708E" w:rsidRPr="001B708E" w:rsidRDefault="001B708E" w:rsidP="001B708E">
            <w:pPr>
              <w:jc w:val="center"/>
              <w:rPr>
                <w:lang w:val="it-IT"/>
              </w:rPr>
            </w:pPr>
            <w:r w:rsidRPr="001B708E">
              <w:rPr>
                <w:lang w:val="it-IT"/>
              </w:rPr>
              <w:t>50.0</w:t>
            </w:r>
          </w:p>
        </w:tc>
        <w:tc>
          <w:tcPr>
            <w:tcW w:w="3260" w:type="dxa"/>
            <w:vAlign w:val="center"/>
          </w:tcPr>
          <w:p w:rsidR="001B708E" w:rsidRPr="001B708E" w:rsidRDefault="001B708E" w:rsidP="001B708E">
            <w:pPr>
              <w:autoSpaceDE w:val="0"/>
              <w:autoSpaceDN w:val="0"/>
              <w:adjustRightInd w:val="0"/>
              <w:spacing w:line="480" w:lineRule="auto"/>
              <w:jc w:val="center"/>
              <w:rPr>
                <w:lang w:val="it-IT"/>
              </w:rPr>
            </w:pPr>
            <w:r w:rsidRPr="001B708E">
              <w:rPr>
                <w:lang w:val="it-IT"/>
              </w:rPr>
              <w:t>50.1</w:t>
            </w:r>
          </w:p>
        </w:tc>
      </w:tr>
      <w:tr w:rsidR="00C26146" w:rsidRPr="001B708E" w:rsidTr="0034360E">
        <w:tc>
          <w:tcPr>
            <w:tcW w:w="3259" w:type="dxa"/>
            <w:vAlign w:val="center"/>
          </w:tcPr>
          <w:p w:rsidR="001B708E" w:rsidRPr="001B708E" w:rsidRDefault="001B708E" w:rsidP="001B708E">
            <w:pPr>
              <w:autoSpaceDE w:val="0"/>
              <w:autoSpaceDN w:val="0"/>
              <w:adjustRightInd w:val="0"/>
              <w:spacing w:line="480" w:lineRule="auto"/>
              <w:jc w:val="center"/>
              <w:rPr>
                <w:lang w:val="it-IT"/>
              </w:rPr>
            </w:pPr>
            <w:r w:rsidRPr="001B708E">
              <w:rPr>
                <w:lang w:val="it-IT"/>
              </w:rPr>
              <w:t>Cog formulation 15</w:t>
            </w:r>
          </w:p>
        </w:tc>
        <w:tc>
          <w:tcPr>
            <w:tcW w:w="3259" w:type="dxa"/>
            <w:vAlign w:val="center"/>
          </w:tcPr>
          <w:p w:rsidR="001B708E" w:rsidRPr="001B708E" w:rsidRDefault="001B708E" w:rsidP="001B708E">
            <w:pPr>
              <w:jc w:val="center"/>
              <w:rPr>
                <w:lang w:val="it-IT"/>
              </w:rPr>
            </w:pPr>
            <w:r w:rsidRPr="001B708E">
              <w:rPr>
                <w:lang w:val="it-IT"/>
              </w:rPr>
              <w:t>36.8</w:t>
            </w:r>
          </w:p>
        </w:tc>
        <w:tc>
          <w:tcPr>
            <w:tcW w:w="3260" w:type="dxa"/>
            <w:vAlign w:val="center"/>
          </w:tcPr>
          <w:p w:rsidR="001B708E" w:rsidRPr="001B708E" w:rsidRDefault="001B708E" w:rsidP="001B708E">
            <w:pPr>
              <w:autoSpaceDE w:val="0"/>
              <w:autoSpaceDN w:val="0"/>
              <w:adjustRightInd w:val="0"/>
              <w:spacing w:line="480" w:lineRule="auto"/>
              <w:jc w:val="center"/>
              <w:rPr>
                <w:lang w:val="it-IT"/>
              </w:rPr>
            </w:pPr>
            <w:r w:rsidRPr="001B708E">
              <w:rPr>
                <w:lang w:val="it-IT"/>
              </w:rPr>
              <w:t>36.8</w:t>
            </w:r>
          </w:p>
        </w:tc>
      </w:tr>
    </w:tbl>
    <w:p w:rsidR="001B708E" w:rsidRPr="001B708E" w:rsidRDefault="001B708E" w:rsidP="001B708E">
      <w:pPr>
        <w:rPr>
          <w:lang w:val="en-US"/>
        </w:rPr>
      </w:pPr>
    </w:p>
    <w:p w:rsidR="00C26146" w:rsidRPr="00C26146" w:rsidRDefault="001B708E" w:rsidP="00C26146">
      <w:pPr>
        <w:spacing w:line="480" w:lineRule="auto"/>
        <w:jc w:val="center"/>
        <w:rPr>
          <w:b/>
          <w:caps/>
          <w:lang w:val="en-US"/>
        </w:rPr>
      </w:pPr>
      <w:r w:rsidRPr="00C26146">
        <w:br w:type="page"/>
      </w:r>
      <w:r w:rsidR="00C26146" w:rsidRPr="00C26146">
        <w:rPr>
          <w:b/>
          <w:caps/>
          <w:lang w:val="en-US"/>
        </w:rPr>
        <w:lastRenderedPageBreak/>
        <w:t xml:space="preserve"> figures</w:t>
      </w:r>
    </w:p>
    <w:p w:rsidR="00E3390B" w:rsidRDefault="00FC5848" w:rsidP="00C26146">
      <w:pPr>
        <w:rPr>
          <w:b/>
        </w:rPr>
      </w:pPr>
      <w:r>
        <w:rPr>
          <w:b/>
          <w:noProof/>
          <w:lang w:val="it-IT"/>
        </w:rPr>
        <w:drawing>
          <wp:inline distT="0" distB="0" distL="0" distR="0">
            <wp:extent cx="5583936" cy="7217664"/>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83936" cy="7217664"/>
                    </a:xfrm>
                    <a:prstGeom prst="rect">
                      <a:avLst/>
                    </a:prstGeom>
                  </pic:spPr>
                </pic:pic>
              </a:graphicData>
            </a:graphic>
          </wp:inline>
        </w:drawing>
      </w:r>
    </w:p>
    <w:p w:rsidR="00C26146" w:rsidRPr="00C26146" w:rsidRDefault="00C26146" w:rsidP="00C26146">
      <w:pPr>
        <w:rPr>
          <w:b/>
          <w:sz w:val="20"/>
          <w:szCs w:val="20"/>
        </w:rPr>
      </w:pPr>
      <w:proofErr w:type="gramStart"/>
      <w:r w:rsidRPr="00C26146">
        <w:rPr>
          <w:b/>
        </w:rPr>
        <w:t>Fig. 1</w:t>
      </w:r>
      <w:r w:rsidRPr="00C26146">
        <w:t>.</w:t>
      </w:r>
      <w:proofErr w:type="gramEnd"/>
      <w:r w:rsidRPr="00C26146">
        <w:t xml:space="preserve"> </w:t>
      </w:r>
      <w:proofErr w:type="gramStart"/>
      <w:r w:rsidRPr="00C26146">
        <w:rPr>
          <w:szCs w:val="20"/>
        </w:rPr>
        <w:t>Grid mapping representations</w:t>
      </w:r>
      <w:r w:rsidRPr="00C26146">
        <w:t xml:space="preserve"> of </w:t>
      </w:r>
      <w:proofErr w:type="spellStart"/>
      <w:r w:rsidRPr="00C26146">
        <w:t>vincamine</w:t>
      </w:r>
      <w:proofErr w:type="spellEnd"/>
      <w:r w:rsidRPr="00C26146">
        <w:t xml:space="preserve"> (up), PVP-K30 and </w:t>
      </w:r>
      <w:proofErr w:type="spellStart"/>
      <w:r w:rsidRPr="00C26146">
        <w:t>NaCMC</w:t>
      </w:r>
      <w:proofErr w:type="spellEnd"/>
      <w:r w:rsidRPr="00C26146">
        <w:t xml:space="preserve"> monomers (middle).</w:t>
      </w:r>
      <w:proofErr w:type="gramEnd"/>
      <w:r w:rsidRPr="00C26146">
        <w:t xml:space="preserve"> T</w:t>
      </w:r>
      <w:r w:rsidRPr="00C26146">
        <w:rPr>
          <w:szCs w:val="20"/>
        </w:rPr>
        <w:t>he yellow surfaces indicate the hydrophobic areas while the</w:t>
      </w:r>
      <w:r w:rsidRPr="00C26146">
        <w:t xml:space="preserve"> blue</w:t>
      </w:r>
      <w:r w:rsidRPr="00C26146">
        <w:rPr>
          <w:szCs w:val="20"/>
        </w:rPr>
        <w:t xml:space="preserve"> </w:t>
      </w:r>
      <w:r w:rsidRPr="00C26146">
        <w:t>surfaces</w:t>
      </w:r>
      <w:r w:rsidRPr="00C26146">
        <w:rPr>
          <w:szCs w:val="20"/>
        </w:rPr>
        <w:t xml:space="preserve"> indicate the </w:t>
      </w:r>
      <w:r w:rsidRPr="00C26146">
        <w:t xml:space="preserve">hydrophilic zones. In the Bottom </w:t>
      </w:r>
      <w:r w:rsidRPr="00C26146">
        <w:rPr>
          <w:szCs w:val="20"/>
        </w:rPr>
        <w:t xml:space="preserve">the </w:t>
      </w:r>
      <w:r w:rsidRPr="00C26146">
        <w:t xml:space="preserve">best pose for each docking experiment is reported: left- best docked pose of PVP-K30 in cyan sticks mode; right- best docked pose of </w:t>
      </w:r>
      <w:proofErr w:type="spellStart"/>
      <w:r w:rsidRPr="00C26146">
        <w:t>NaCMC</w:t>
      </w:r>
      <w:proofErr w:type="spellEnd"/>
      <w:r w:rsidRPr="00C26146">
        <w:t xml:space="preserve"> in pink sticks mode; drug is always represented in sticks mode with green carbons</w:t>
      </w:r>
      <w:r w:rsidRPr="00C26146">
        <w:rPr>
          <w:b/>
          <w:sz w:val="20"/>
          <w:szCs w:val="20"/>
        </w:rPr>
        <w:t>.</w:t>
      </w:r>
    </w:p>
    <w:p w:rsidR="00FC5848" w:rsidRDefault="00FC5848">
      <w:pPr>
        <w:rPr>
          <w:lang w:val="en-US"/>
        </w:rPr>
      </w:pPr>
      <w:r>
        <w:rPr>
          <w:lang w:val="en-US"/>
        </w:rPr>
        <w:br w:type="page"/>
      </w:r>
    </w:p>
    <w:p w:rsidR="00C26146" w:rsidRDefault="00FC5848" w:rsidP="00C26146">
      <w:pPr>
        <w:rPr>
          <w:lang w:val="en-US"/>
        </w:rPr>
      </w:pPr>
      <w:r>
        <w:rPr>
          <w:noProof/>
          <w:lang w:val="it-IT"/>
        </w:rPr>
        <w:lastRenderedPageBreak/>
        <w:drawing>
          <wp:inline distT="0" distB="0" distL="0" distR="0">
            <wp:extent cx="2535936" cy="6623304"/>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35936" cy="6623304"/>
                    </a:xfrm>
                    <a:prstGeom prst="rect">
                      <a:avLst/>
                    </a:prstGeom>
                  </pic:spPr>
                </pic:pic>
              </a:graphicData>
            </a:graphic>
          </wp:inline>
        </w:drawing>
      </w:r>
    </w:p>
    <w:p w:rsidR="00FC5848" w:rsidRPr="00C26146" w:rsidRDefault="00FC5848" w:rsidP="00C26146">
      <w:pPr>
        <w:rPr>
          <w:lang w:val="en-US"/>
        </w:rPr>
      </w:pPr>
    </w:p>
    <w:p w:rsidR="00C26146" w:rsidRPr="00C26146" w:rsidRDefault="00C26146" w:rsidP="00C26146">
      <w:pPr>
        <w:rPr>
          <w:lang w:val="en-US"/>
        </w:rPr>
      </w:pPr>
      <w:proofErr w:type="gramStart"/>
      <w:r w:rsidRPr="00C26146">
        <w:rPr>
          <w:rFonts w:ascii="AdvTT020c6f89" w:hAnsi="AdvTT020c6f89" w:cs="AdvTT020c6f89"/>
          <w:b/>
        </w:rPr>
        <w:t>Fig. 2</w:t>
      </w:r>
      <w:r w:rsidRPr="00C26146">
        <w:rPr>
          <w:rFonts w:ascii="AdvTT020c6f89" w:hAnsi="AdvTT020c6f89" w:cs="AdvTT020c6f89"/>
        </w:rPr>
        <w:t>.</w:t>
      </w:r>
      <w:proofErr w:type="gramEnd"/>
      <w:r w:rsidRPr="00C26146">
        <w:rPr>
          <w:rFonts w:ascii="AdvTT020c6f89" w:hAnsi="AdvTT020c6f89" w:cs="AdvTT020c6f89"/>
        </w:rPr>
        <w:t xml:space="preserve"> Chemical structures of </w:t>
      </w:r>
      <w:proofErr w:type="spellStart"/>
      <w:r w:rsidRPr="00C26146">
        <w:rPr>
          <w:rFonts w:ascii="AdvTT020c6f89" w:hAnsi="AdvTT020c6f89" w:cs="AdvTT020c6f89"/>
        </w:rPr>
        <w:t>vincamine</w:t>
      </w:r>
      <w:proofErr w:type="spellEnd"/>
      <w:r w:rsidRPr="00C26146">
        <w:rPr>
          <w:rFonts w:ascii="AdvTT020c6f89" w:hAnsi="AdvTT020c6f89" w:cs="AdvTT020c6f89"/>
        </w:rPr>
        <w:t xml:space="preserve"> (A), PVP-K30 monomer (B) and </w:t>
      </w:r>
      <w:proofErr w:type="spellStart"/>
      <w:r w:rsidRPr="00C26146">
        <w:rPr>
          <w:rFonts w:ascii="AdvTT020c6f89" w:hAnsi="AdvTT020c6f89" w:cs="AdvTT020c6f89"/>
        </w:rPr>
        <w:t>NaCMC</w:t>
      </w:r>
      <w:proofErr w:type="spellEnd"/>
      <w:r w:rsidRPr="00C26146">
        <w:rPr>
          <w:rFonts w:ascii="AdvTT020c6f89" w:hAnsi="AdvTT020c6f89" w:cs="AdvTT020c6f89"/>
        </w:rPr>
        <w:t xml:space="preserve"> monomer (C).</w:t>
      </w:r>
    </w:p>
    <w:p w:rsidR="00FC5848" w:rsidRDefault="00FC5848">
      <w:pPr>
        <w:rPr>
          <w:lang w:val="en-US"/>
        </w:rPr>
      </w:pPr>
      <w:r>
        <w:rPr>
          <w:lang w:val="en-US"/>
        </w:rPr>
        <w:br w:type="page"/>
      </w:r>
    </w:p>
    <w:p w:rsidR="00C26146" w:rsidRDefault="00FC5848" w:rsidP="00C26146">
      <w:pPr>
        <w:rPr>
          <w:lang w:val="en-US"/>
        </w:rPr>
      </w:pPr>
      <w:r>
        <w:rPr>
          <w:noProof/>
          <w:lang w:val="it-IT"/>
        </w:rPr>
        <w:lastRenderedPageBreak/>
        <w:drawing>
          <wp:inline distT="0" distB="0" distL="0" distR="0">
            <wp:extent cx="5775960" cy="3782568"/>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75960" cy="3782568"/>
                    </a:xfrm>
                    <a:prstGeom prst="rect">
                      <a:avLst/>
                    </a:prstGeom>
                  </pic:spPr>
                </pic:pic>
              </a:graphicData>
            </a:graphic>
          </wp:inline>
        </w:drawing>
      </w:r>
    </w:p>
    <w:p w:rsidR="00FC5848" w:rsidRPr="00C26146" w:rsidRDefault="00FC5848" w:rsidP="00C26146">
      <w:pPr>
        <w:rPr>
          <w:lang w:val="en-US"/>
        </w:rPr>
      </w:pPr>
    </w:p>
    <w:p w:rsidR="00C26146" w:rsidRPr="00C26146" w:rsidRDefault="00C26146" w:rsidP="00C26146">
      <w:pPr>
        <w:rPr>
          <w:lang w:val="en-US"/>
        </w:rPr>
      </w:pPr>
      <w:proofErr w:type="gramStart"/>
      <w:r w:rsidRPr="00C26146">
        <w:rPr>
          <w:b/>
          <w:lang w:val="en-US"/>
        </w:rPr>
        <w:t>Fig. 3</w:t>
      </w:r>
      <w:r w:rsidRPr="00C26146">
        <w:rPr>
          <w:lang w:val="en-US"/>
        </w:rPr>
        <w:t>.</w:t>
      </w:r>
      <w:proofErr w:type="gramEnd"/>
      <w:r w:rsidRPr="00C26146">
        <w:rPr>
          <w:lang w:val="en-US"/>
        </w:rPr>
        <w:t xml:space="preserve"> Left: XRPD patterns of physical mixture </w:t>
      </w:r>
      <w:proofErr w:type="spellStart"/>
      <w:r w:rsidRPr="00C26146">
        <w:rPr>
          <w:lang w:val="en-US"/>
        </w:rPr>
        <w:t>vincamine:NaCMC</w:t>
      </w:r>
      <w:proofErr w:type="spellEnd"/>
      <w:r w:rsidRPr="00C26146">
        <w:rPr>
          <w:lang w:val="en-US"/>
        </w:rPr>
        <w:t xml:space="preserve"> 1:7 </w:t>
      </w:r>
      <w:proofErr w:type="spellStart"/>
      <w:r w:rsidRPr="00C26146">
        <w:rPr>
          <w:lang w:val="en-US"/>
        </w:rPr>
        <w:t>wt</w:t>
      </w:r>
      <w:proofErr w:type="spellEnd"/>
      <w:r w:rsidRPr="00C26146">
        <w:rPr>
          <w:lang w:val="en-US"/>
        </w:rPr>
        <w:t xml:space="preserve"> ratio (a), fresh Cog 180 min </w:t>
      </w:r>
      <w:proofErr w:type="spellStart"/>
      <w:r w:rsidRPr="00C26146">
        <w:rPr>
          <w:lang w:val="en-US"/>
        </w:rPr>
        <w:t>vincamine:NaCMC</w:t>
      </w:r>
      <w:proofErr w:type="spellEnd"/>
      <w:r w:rsidRPr="00C26146">
        <w:rPr>
          <w:lang w:val="en-US"/>
        </w:rPr>
        <w:t xml:space="preserve"> 1:7 </w:t>
      </w:r>
      <w:proofErr w:type="spellStart"/>
      <w:r w:rsidRPr="00C26146">
        <w:rPr>
          <w:lang w:val="en-US"/>
        </w:rPr>
        <w:t>wt</w:t>
      </w:r>
      <w:proofErr w:type="spellEnd"/>
      <w:r w:rsidRPr="00C26146">
        <w:rPr>
          <w:lang w:val="en-US"/>
        </w:rPr>
        <w:t xml:space="preserve"> ratio (b), Cog 180 min </w:t>
      </w:r>
      <w:proofErr w:type="spellStart"/>
      <w:r w:rsidRPr="00C26146">
        <w:rPr>
          <w:lang w:val="en-US"/>
        </w:rPr>
        <w:t>vincamine:NaCMC</w:t>
      </w:r>
      <w:proofErr w:type="spellEnd"/>
      <w:r w:rsidRPr="00C26146">
        <w:rPr>
          <w:lang w:val="en-US"/>
        </w:rPr>
        <w:t xml:space="preserve"> 1:7 </w:t>
      </w:r>
      <w:proofErr w:type="spellStart"/>
      <w:r w:rsidRPr="00C26146">
        <w:rPr>
          <w:lang w:val="en-US"/>
        </w:rPr>
        <w:t>wt</w:t>
      </w:r>
      <w:proofErr w:type="spellEnd"/>
      <w:r w:rsidRPr="00C26146">
        <w:rPr>
          <w:lang w:val="en-US"/>
        </w:rPr>
        <w:t xml:space="preserve"> ratio one month after preparation (c) and  Cog 180 min </w:t>
      </w:r>
      <w:proofErr w:type="spellStart"/>
      <w:r w:rsidRPr="00C26146">
        <w:rPr>
          <w:lang w:val="en-US"/>
        </w:rPr>
        <w:t>vincamine:NaCMC</w:t>
      </w:r>
      <w:proofErr w:type="spellEnd"/>
      <w:r w:rsidRPr="00C26146">
        <w:rPr>
          <w:lang w:val="en-US"/>
        </w:rPr>
        <w:t xml:space="preserve"> 1:7 </w:t>
      </w:r>
      <w:proofErr w:type="spellStart"/>
      <w:r w:rsidRPr="00C26146">
        <w:rPr>
          <w:lang w:val="en-US"/>
        </w:rPr>
        <w:t>wt</w:t>
      </w:r>
      <w:proofErr w:type="spellEnd"/>
      <w:r w:rsidRPr="00C26146">
        <w:rPr>
          <w:lang w:val="en-US"/>
        </w:rPr>
        <w:t xml:space="preserve"> ratio two months after preparation. Right: XRPD patterns of physical mixture vincamine:PVP-K30 1:7 </w:t>
      </w:r>
      <w:proofErr w:type="spellStart"/>
      <w:r w:rsidRPr="00C26146">
        <w:rPr>
          <w:lang w:val="en-US"/>
        </w:rPr>
        <w:t>wt</w:t>
      </w:r>
      <w:proofErr w:type="spellEnd"/>
      <w:r w:rsidRPr="00C26146">
        <w:rPr>
          <w:lang w:val="en-US"/>
        </w:rPr>
        <w:t xml:space="preserve"> ratio (a), fresh Cog 180 min vincamine:PVP-K30 1:7 </w:t>
      </w:r>
      <w:proofErr w:type="spellStart"/>
      <w:r w:rsidRPr="00C26146">
        <w:rPr>
          <w:lang w:val="en-US"/>
        </w:rPr>
        <w:t>wt</w:t>
      </w:r>
      <w:proofErr w:type="spellEnd"/>
      <w:r w:rsidRPr="00C26146">
        <w:rPr>
          <w:lang w:val="en-US"/>
        </w:rPr>
        <w:t xml:space="preserve"> ratio (b), Cog 180 min vincamine:PVP-K30 1:7 </w:t>
      </w:r>
      <w:proofErr w:type="spellStart"/>
      <w:r w:rsidRPr="00C26146">
        <w:rPr>
          <w:lang w:val="en-US"/>
        </w:rPr>
        <w:t>wt</w:t>
      </w:r>
      <w:proofErr w:type="spellEnd"/>
      <w:r w:rsidRPr="00C26146">
        <w:rPr>
          <w:lang w:val="en-US"/>
        </w:rPr>
        <w:t xml:space="preserve"> ratio one month after preparation (c) and Cog 180 min vincamine:PVP-K30 1:7 </w:t>
      </w:r>
      <w:proofErr w:type="spellStart"/>
      <w:r w:rsidRPr="00C26146">
        <w:rPr>
          <w:lang w:val="en-US"/>
        </w:rPr>
        <w:t>wt</w:t>
      </w:r>
      <w:proofErr w:type="spellEnd"/>
      <w:r w:rsidRPr="00C26146">
        <w:rPr>
          <w:lang w:val="en-US"/>
        </w:rPr>
        <w:t xml:space="preserve"> ratio two months after preparation.</w:t>
      </w:r>
    </w:p>
    <w:p w:rsidR="00FC5848" w:rsidRDefault="00FC5848">
      <w:pPr>
        <w:rPr>
          <w:lang w:val="en-US"/>
        </w:rPr>
      </w:pPr>
      <w:r>
        <w:rPr>
          <w:lang w:val="en-US"/>
        </w:rPr>
        <w:br w:type="page"/>
      </w:r>
    </w:p>
    <w:p w:rsidR="00C26146" w:rsidRDefault="00C26146" w:rsidP="00C26146">
      <w:pPr>
        <w:rPr>
          <w:lang w:val="en-US"/>
        </w:rPr>
      </w:pPr>
    </w:p>
    <w:p w:rsidR="00FC5848" w:rsidRPr="00C26146" w:rsidRDefault="00FC5848" w:rsidP="00C26146">
      <w:pPr>
        <w:rPr>
          <w:lang w:val="en-US"/>
        </w:rPr>
      </w:pPr>
      <w:r>
        <w:rPr>
          <w:noProof/>
          <w:lang w:val="it-IT"/>
        </w:rPr>
        <w:drawing>
          <wp:inline distT="0" distB="0" distL="0" distR="0">
            <wp:extent cx="6120130" cy="51168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130" cy="5116830"/>
                    </a:xfrm>
                    <a:prstGeom prst="rect">
                      <a:avLst/>
                    </a:prstGeom>
                  </pic:spPr>
                </pic:pic>
              </a:graphicData>
            </a:graphic>
          </wp:inline>
        </w:drawing>
      </w:r>
    </w:p>
    <w:p w:rsidR="00C26146" w:rsidRDefault="00C26146" w:rsidP="00C26146">
      <w:pPr>
        <w:rPr>
          <w:lang w:val="en-US"/>
        </w:rPr>
      </w:pPr>
      <w:proofErr w:type="gramStart"/>
      <w:r w:rsidRPr="00C26146">
        <w:rPr>
          <w:b/>
          <w:lang w:val="en-US"/>
        </w:rPr>
        <w:t>Fig 4</w:t>
      </w:r>
      <w:r w:rsidRPr="00C26146">
        <w:rPr>
          <w:lang w:val="en-US"/>
        </w:rPr>
        <w:t>.</w:t>
      </w:r>
      <w:proofErr w:type="gramEnd"/>
      <w:r w:rsidRPr="00C26146">
        <w:rPr>
          <w:lang w:val="en-US"/>
        </w:rPr>
        <w:t xml:space="preserve"> Graphical representation of the z ± </w:t>
      </w:r>
      <w:proofErr w:type="spellStart"/>
      <w:r w:rsidRPr="00C26146">
        <w:rPr>
          <w:lang w:val="en-US"/>
        </w:rPr>
        <w:t>dz</w:t>
      </w:r>
      <w:proofErr w:type="spellEnd"/>
      <w:r w:rsidRPr="00C26146">
        <w:rPr>
          <w:lang w:val="en-US"/>
        </w:rPr>
        <w:t xml:space="preserve"> values calculated using equations (1) and (2), respectively. The samples are numbered according to Table 3. In dotted line the limit of </w:t>
      </w:r>
      <w:r w:rsidRPr="00C26146">
        <w:rPr>
          <w:i/>
          <w:lang w:val="en-US"/>
        </w:rPr>
        <w:t>in vitro</w:t>
      </w:r>
      <w:r w:rsidRPr="00C26146">
        <w:rPr>
          <w:lang w:val="en-US"/>
        </w:rPr>
        <w:t xml:space="preserve"> equivalence (0.85) is expressed.</w:t>
      </w:r>
    </w:p>
    <w:p w:rsidR="003D6390" w:rsidRDefault="003D6390">
      <w:pPr>
        <w:rPr>
          <w:lang w:val="en-US"/>
        </w:rPr>
      </w:pPr>
      <w:r>
        <w:rPr>
          <w:lang w:val="en-US"/>
        </w:rPr>
        <w:br w:type="page"/>
      </w:r>
    </w:p>
    <w:p w:rsidR="003D6390" w:rsidRPr="00C26146" w:rsidRDefault="003D6390" w:rsidP="00C26146">
      <w:pPr>
        <w:rPr>
          <w:lang w:val="en-US"/>
        </w:rPr>
      </w:pPr>
    </w:p>
    <w:p w:rsidR="00C26146" w:rsidRPr="00C26146" w:rsidRDefault="003D6390" w:rsidP="00C26146">
      <w:pPr>
        <w:rPr>
          <w:lang w:val="en-US"/>
        </w:rPr>
      </w:pPr>
      <w:r>
        <w:rPr>
          <w:noProof/>
          <w:lang w:val="it-IT"/>
        </w:rPr>
        <w:drawing>
          <wp:inline distT="0" distB="0" distL="0" distR="0">
            <wp:extent cx="3977640" cy="5184648"/>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77640" cy="5184648"/>
                    </a:xfrm>
                    <a:prstGeom prst="rect">
                      <a:avLst/>
                    </a:prstGeom>
                  </pic:spPr>
                </pic:pic>
              </a:graphicData>
            </a:graphic>
          </wp:inline>
        </w:drawing>
      </w:r>
    </w:p>
    <w:p w:rsidR="00C26146" w:rsidRPr="00C26146" w:rsidRDefault="00C26146" w:rsidP="00C26146">
      <w:proofErr w:type="gramStart"/>
      <w:r w:rsidRPr="00C26146">
        <w:rPr>
          <w:b/>
        </w:rPr>
        <w:t>Fig. 5</w:t>
      </w:r>
      <w:r w:rsidRPr="00C26146">
        <w:t>.</w:t>
      </w:r>
      <w:proofErr w:type="gramEnd"/>
      <w:r w:rsidRPr="00C26146">
        <w:t xml:space="preserve"> Solubilisation kinetics of pure </w:t>
      </w:r>
      <w:proofErr w:type="spellStart"/>
      <w:r w:rsidRPr="00C26146">
        <w:t>vincamine</w:t>
      </w:r>
      <w:proofErr w:type="spellEnd"/>
      <w:r w:rsidRPr="00C26146">
        <w:t xml:space="preserve"> (♦), Cog formulation number 13 (▲), Cog formulation number 14 (∆), Cog formulation number 10 (■) and Cog formulation number 15 (</w:t>
      </w:r>
      <w:r w:rsidRPr="00C26146">
        <w:sym w:font="Wingdings" w:char="F06F"/>
      </w:r>
      <w:r w:rsidRPr="00C26146">
        <w:t>). PMs vincamine</w:t>
      </w:r>
      <w:proofErr w:type="gramStart"/>
      <w:r w:rsidRPr="00C26146">
        <w:t>:PVP</w:t>
      </w:r>
      <w:proofErr w:type="gramEnd"/>
      <w:r w:rsidRPr="00C26146">
        <w:t xml:space="preserve">-K30 1:4 </w:t>
      </w:r>
      <w:proofErr w:type="spellStart"/>
      <w:r w:rsidRPr="00C26146">
        <w:t>wt</w:t>
      </w:r>
      <w:proofErr w:type="spellEnd"/>
      <w:r w:rsidRPr="00C26146">
        <w:t xml:space="preserve"> ratio (+) and 1:7 </w:t>
      </w:r>
      <w:proofErr w:type="spellStart"/>
      <w:r w:rsidRPr="00C26146">
        <w:t>wt</w:t>
      </w:r>
      <w:proofErr w:type="spellEnd"/>
      <w:r w:rsidRPr="00C26146">
        <w:t xml:space="preserve"> ratio (○) showed superimposable solubilisation kinetics. Pure </w:t>
      </w:r>
      <w:proofErr w:type="spellStart"/>
      <w:r w:rsidRPr="00C26146">
        <w:t>vincamine</w:t>
      </w:r>
      <w:proofErr w:type="spellEnd"/>
      <w:r w:rsidRPr="00C26146">
        <w:t xml:space="preserve"> solubility at equilibrium (Cs) is indicated by a dotted line.</w:t>
      </w:r>
    </w:p>
    <w:p w:rsidR="003D6390" w:rsidRDefault="003D6390">
      <w:pPr>
        <w:rPr>
          <w:lang w:val="en-US"/>
        </w:rPr>
      </w:pPr>
      <w:r>
        <w:rPr>
          <w:lang w:val="en-US"/>
        </w:rPr>
        <w:br w:type="page"/>
      </w:r>
    </w:p>
    <w:p w:rsidR="00C26146" w:rsidRDefault="003D6390" w:rsidP="00C26146">
      <w:pPr>
        <w:rPr>
          <w:lang w:val="en-US"/>
        </w:rPr>
      </w:pPr>
      <w:r>
        <w:rPr>
          <w:noProof/>
          <w:lang w:val="it-IT"/>
        </w:rPr>
        <w:lastRenderedPageBreak/>
        <w:drawing>
          <wp:inline distT="0" distB="0" distL="0" distR="0">
            <wp:extent cx="4462272" cy="4696968"/>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62272" cy="4696968"/>
                    </a:xfrm>
                    <a:prstGeom prst="rect">
                      <a:avLst/>
                    </a:prstGeom>
                  </pic:spPr>
                </pic:pic>
              </a:graphicData>
            </a:graphic>
          </wp:inline>
        </w:drawing>
      </w:r>
    </w:p>
    <w:p w:rsidR="003D6390" w:rsidRPr="00C26146" w:rsidRDefault="003D6390" w:rsidP="00C26146">
      <w:pPr>
        <w:rPr>
          <w:lang w:val="en-US"/>
        </w:rPr>
      </w:pPr>
    </w:p>
    <w:p w:rsidR="00C26146" w:rsidRPr="00C26146" w:rsidRDefault="00C26146" w:rsidP="00C26146">
      <w:proofErr w:type="gramStart"/>
      <w:r w:rsidRPr="00C26146">
        <w:rPr>
          <w:b/>
        </w:rPr>
        <w:t>Fig. 6</w:t>
      </w:r>
      <w:r w:rsidRPr="00C26146">
        <w:t>.</w:t>
      </w:r>
      <w:proofErr w:type="gramEnd"/>
      <w:r w:rsidRPr="00C26146">
        <w:t xml:space="preserve"> TEM </w:t>
      </w:r>
      <w:r w:rsidRPr="00C26146">
        <w:rPr>
          <w:lang w:val="en-US"/>
        </w:rPr>
        <w:t>image of different crystalline clusters in the specimen of Cog formulation number 10 (A), Cog formulation number 13 (B), Cog formulation number 14 (C) and Cog formulation number 15 (D).</w:t>
      </w:r>
    </w:p>
    <w:p w:rsidR="003D6390" w:rsidRDefault="003D6390" w:rsidP="00C26146"/>
    <w:p w:rsidR="003D6390" w:rsidRDefault="003D6390">
      <w:r>
        <w:br w:type="page"/>
      </w:r>
    </w:p>
    <w:p w:rsidR="00C26146" w:rsidRDefault="003D6390" w:rsidP="00C26146">
      <w:r>
        <w:rPr>
          <w:noProof/>
          <w:lang w:val="it-IT"/>
        </w:rPr>
        <w:lastRenderedPageBreak/>
        <w:drawing>
          <wp:inline distT="0" distB="0" distL="0" distR="0">
            <wp:extent cx="3614928" cy="5900928"/>
            <wp:effectExtent l="0" t="0" r="508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14928" cy="5900928"/>
                    </a:xfrm>
                    <a:prstGeom prst="rect">
                      <a:avLst/>
                    </a:prstGeom>
                  </pic:spPr>
                </pic:pic>
              </a:graphicData>
            </a:graphic>
          </wp:inline>
        </w:drawing>
      </w:r>
    </w:p>
    <w:p w:rsidR="003D6390" w:rsidRPr="00C26146" w:rsidRDefault="003D6390" w:rsidP="00C26146"/>
    <w:p w:rsidR="00C26146" w:rsidRPr="00C26146" w:rsidRDefault="00C26146" w:rsidP="00C26146">
      <w:pPr>
        <w:rPr>
          <w:highlight w:val="cyan"/>
          <w:lang w:val="en-US"/>
        </w:rPr>
      </w:pPr>
      <w:proofErr w:type="gramStart"/>
      <w:r w:rsidRPr="00C26146">
        <w:rPr>
          <w:b/>
        </w:rPr>
        <w:t>Fig. 7</w:t>
      </w:r>
      <w:r w:rsidRPr="00C26146">
        <w:t>.</w:t>
      </w:r>
      <w:proofErr w:type="gramEnd"/>
      <w:r w:rsidRPr="00C26146">
        <w:t xml:space="preserve"> XRPD patterns of pure </w:t>
      </w:r>
      <w:proofErr w:type="spellStart"/>
      <w:r w:rsidRPr="00C26146">
        <w:t>vincamine</w:t>
      </w:r>
      <w:proofErr w:type="spellEnd"/>
      <w:r w:rsidRPr="00C26146">
        <w:t xml:space="preserve"> (a), PM vincamine:PVP-K30 1:4 </w:t>
      </w:r>
      <w:proofErr w:type="spellStart"/>
      <w:r w:rsidRPr="00C26146">
        <w:t>wt</w:t>
      </w:r>
      <w:proofErr w:type="spellEnd"/>
      <w:r w:rsidRPr="00C26146">
        <w:t xml:space="preserve"> ratio (b), Cog formulation 10 (c), PM vincamine:PVP-K30 1:7 </w:t>
      </w:r>
      <w:proofErr w:type="spellStart"/>
      <w:r w:rsidRPr="00C26146">
        <w:t>wt</w:t>
      </w:r>
      <w:proofErr w:type="spellEnd"/>
      <w:r w:rsidRPr="00C26146">
        <w:t xml:space="preserve"> ratio (d), Cog formulation 13 (e), Cog formulation 14 (f) and Cog formulation 15 (g) , pure PVP-K30 (h).</w:t>
      </w:r>
      <w:r w:rsidRPr="00C26146">
        <w:rPr>
          <w:lang w:val="en-US"/>
        </w:rPr>
        <w:t xml:space="preserve"> </w:t>
      </w:r>
    </w:p>
    <w:p w:rsidR="003D6390" w:rsidRDefault="003D6390">
      <w:pPr>
        <w:rPr>
          <w:b/>
          <w:lang w:val="en-US"/>
        </w:rPr>
      </w:pPr>
      <w:r>
        <w:rPr>
          <w:b/>
          <w:lang w:val="en-US"/>
        </w:rPr>
        <w:br w:type="page"/>
      </w:r>
    </w:p>
    <w:p w:rsidR="00C26146" w:rsidRDefault="003D6390" w:rsidP="00C26146">
      <w:pPr>
        <w:rPr>
          <w:b/>
          <w:lang w:val="en-US"/>
        </w:rPr>
      </w:pPr>
      <w:r>
        <w:rPr>
          <w:b/>
          <w:noProof/>
          <w:lang w:val="it-IT"/>
        </w:rPr>
        <w:lastRenderedPageBreak/>
        <w:drawing>
          <wp:inline distT="0" distB="0" distL="0" distR="0">
            <wp:extent cx="2898648" cy="446227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98648" cy="4462272"/>
                    </a:xfrm>
                    <a:prstGeom prst="rect">
                      <a:avLst/>
                    </a:prstGeom>
                  </pic:spPr>
                </pic:pic>
              </a:graphicData>
            </a:graphic>
          </wp:inline>
        </w:drawing>
      </w:r>
    </w:p>
    <w:p w:rsidR="003D6390" w:rsidRDefault="003D6390" w:rsidP="00C26146">
      <w:pPr>
        <w:rPr>
          <w:b/>
          <w:lang w:val="en-US"/>
        </w:rPr>
      </w:pPr>
    </w:p>
    <w:p w:rsidR="003D6390" w:rsidRPr="00C26146" w:rsidRDefault="003D6390" w:rsidP="00C26146">
      <w:pPr>
        <w:rPr>
          <w:b/>
          <w:lang w:val="en-US"/>
        </w:rPr>
      </w:pPr>
    </w:p>
    <w:p w:rsidR="00C26146" w:rsidRPr="00C26146" w:rsidRDefault="00C26146" w:rsidP="00C26146">
      <w:proofErr w:type="gramStart"/>
      <w:r w:rsidRPr="00C26146">
        <w:rPr>
          <w:b/>
        </w:rPr>
        <w:t>Fig. 8</w:t>
      </w:r>
      <w:r w:rsidRPr="00C26146">
        <w:t>.</w:t>
      </w:r>
      <w:proofErr w:type="gramEnd"/>
      <w:r w:rsidRPr="00C26146">
        <w:t xml:space="preserve"> </w:t>
      </w:r>
      <w:smartTag w:uri="urn:schemas-microsoft-com:office:smarttags" w:element="metricconverter">
        <w:smartTagPr>
          <w:attr w:name="ProductID" w:val="13C"/>
        </w:smartTagPr>
        <w:r w:rsidRPr="00C26146">
          <w:rPr>
            <w:vertAlign w:val="superscript"/>
          </w:rPr>
          <w:t>13</w:t>
        </w:r>
        <w:r w:rsidRPr="00C26146">
          <w:t>C</w:t>
        </w:r>
      </w:smartTag>
      <w:r w:rsidRPr="00C26146">
        <w:t xml:space="preserve"> (100 MHz) CPMAS spectra of pure </w:t>
      </w:r>
      <w:proofErr w:type="spellStart"/>
      <w:r w:rsidRPr="00C26146">
        <w:t>vincamine</w:t>
      </w:r>
      <w:proofErr w:type="spellEnd"/>
      <w:r w:rsidRPr="00C26146">
        <w:t xml:space="preserve"> (a), PM vincamine:PVP-K30 1:4 </w:t>
      </w:r>
      <w:proofErr w:type="spellStart"/>
      <w:r w:rsidRPr="00C26146">
        <w:t>wt</w:t>
      </w:r>
      <w:proofErr w:type="spellEnd"/>
      <w:r w:rsidRPr="00C26146">
        <w:t xml:space="preserve"> ratio (b), Cog formulation 10 (c), PM vincamine:PVP-K30 1:7 </w:t>
      </w:r>
      <w:proofErr w:type="spellStart"/>
      <w:r w:rsidRPr="00C26146">
        <w:t>wt</w:t>
      </w:r>
      <w:proofErr w:type="spellEnd"/>
      <w:r w:rsidRPr="00C26146">
        <w:t xml:space="preserve"> ratio (d), Cog formulation 13 (e), Cog formulation 14 (f), Cog formulation 15 (g), and pure PVP-K30 (h) recorded at the spinning speed of 12 kHz.</w:t>
      </w:r>
    </w:p>
    <w:p w:rsidR="003D6390" w:rsidRDefault="003D6390">
      <w:r>
        <w:br w:type="page"/>
      </w:r>
    </w:p>
    <w:p w:rsidR="00C26146" w:rsidRDefault="003D6390" w:rsidP="00C26146">
      <w:r>
        <w:rPr>
          <w:noProof/>
          <w:lang w:val="it-IT"/>
        </w:rPr>
        <w:lastRenderedPageBreak/>
        <w:drawing>
          <wp:inline distT="0" distB="0" distL="0" distR="0">
            <wp:extent cx="2898648" cy="446227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98648" cy="4462272"/>
                    </a:xfrm>
                    <a:prstGeom prst="rect">
                      <a:avLst/>
                    </a:prstGeom>
                  </pic:spPr>
                </pic:pic>
              </a:graphicData>
            </a:graphic>
          </wp:inline>
        </w:drawing>
      </w:r>
    </w:p>
    <w:p w:rsidR="003D6390" w:rsidRDefault="003D6390" w:rsidP="00C26146"/>
    <w:p w:rsidR="003D6390" w:rsidRPr="00C26146" w:rsidRDefault="003D6390" w:rsidP="00C26146"/>
    <w:p w:rsidR="00C26146" w:rsidRPr="00C26146" w:rsidRDefault="00C26146" w:rsidP="00C26146">
      <w:proofErr w:type="gramStart"/>
      <w:r w:rsidRPr="00C26146">
        <w:rPr>
          <w:b/>
        </w:rPr>
        <w:t>Fig. 9</w:t>
      </w:r>
      <w:r w:rsidRPr="00C26146">
        <w:t>.</w:t>
      </w:r>
      <w:proofErr w:type="gramEnd"/>
      <w:r w:rsidRPr="00C26146">
        <w:t xml:space="preserve"> </w:t>
      </w:r>
      <w:r w:rsidRPr="00C26146">
        <w:rPr>
          <w:vertAlign w:val="superscript"/>
        </w:rPr>
        <w:t>15</w:t>
      </w:r>
      <w:r w:rsidRPr="00C26146">
        <w:t xml:space="preserve">N (40 MHz) CPMAS spectra of pure </w:t>
      </w:r>
      <w:proofErr w:type="spellStart"/>
      <w:r w:rsidRPr="00C26146">
        <w:t>vincamine</w:t>
      </w:r>
      <w:proofErr w:type="spellEnd"/>
      <w:r w:rsidRPr="00C26146">
        <w:t xml:space="preserve"> (a), PM vincamine:PVP-K30 1:4 </w:t>
      </w:r>
      <w:proofErr w:type="spellStart"/>
      <w:r w:rsidRPr="00C26146">
        <w:t>wt</w:t>
      </w:r>
      <w:proofErr w:type="spellEnd"/>
      <w:r w:rsidRPr="00C26146">
        <w:t xml:space="preserve"> ratio (b), Cog formulation 10 (c), PM vincamine:PVP-K30 1:7 </w:t>
      </w:r>
      <w:proofErr w:type="spellStart"/>
      <w:r w:rsidRPr="00C26146">
        <w:t>wt</w:t>
      </w:r>
      <w:proofErr w:type="spellEnd"/>
      <w:r w:rsidRPr="00C26146">
        <w:t xml:space="preserve"> ratio (d), Cog formulation 13 (e), Cog formulation 14 (f), Cog formulation 15 (g), and pure PVP-K30 (h) recorded at the spinning speed of 9 kHz.</w:t>
      </w:r>
    </w:p>
    <w:p w:rsidR="003D6390" w:rsidRDefault="003D6390">
      <w:pPr>
        <w:rPr>
          <w:lang w:val="en-US"/>
        </w:rPr>
      </w:pPr>
      <w:r>
        <w:rPr>
          <w:lang w:val="en-US"/>
        </w:rPr>
        <w:br w:type="page"/>
      </w:r>
    </w:p>
    <w:p w:rsidR="00C26146" w:rsidRDefault="003D6390" w:rsidP="00C26146">
      <w:pPr>
        <w:rPr>
          <w:lang w:val="en-US"/>
        </w:rPr>
      </w:pPr>
      <w:r>
        <w:rPr>
          <w:noProof/>
          <w:lang w:val="it-IT"/>
        </w:rPr>
        <w:lastRenderedPageBreak/>
        <w:drawing>
          <wp:inline distT="0" distB="0" distL="0" distR="0">
            <wp:extent cx="6120130" cy="70021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130" cy="7002145"/>
                    </a:xfrm>
                    <a:prstGeom prst="rect">
                      <a:avLst/>
                    </a:prstGeom>
                  </pic:spPr>
                </pic:pic>
              </a:graphicData>
            </a:graphic>
          </wp:inline>
        </w:drawing>
      </w:r>
    </w:p>
    <w:p w:rsidR="003D6390" w:rsidRDefault="003D6390" w:rsidP="00C26146">
      <w:pPr>
        <w:rPr>
          <w:lang w:val="en-US"/>
        </w:rPr>
      </w:pPr>
    </w:p>
    <w:p w:rsidR="003D6390" w:rsidRPr="00C26146" w:rsidRDefault="003D6390" w:rsidP="00C26146">
      <w:pPr>
        <w:rPr>
          <w:lang w:val="en-US"/>
        </w:rPr>
      </w:pPr>
    </w:p>
    <w:p w:rsidR="00C26146" w:rsidRPr="00C26146" w:rsidRDefault="00C26146" w:rsidP="00C26146">
      <w:pPr>
        <w:autoSpaceDE w:val="0"/>
        <w:autoSpaceDN w:val="0"/>
        <w:adjustRightInd w:val="0"/>
        <w:rPr>
          <w:lang w:val="en-US"/>
        </w:rPr>
      </w:pPr>
      <w:proofErr w:type="gramStart"/>
      <w:r w:rsidRPr="00C26146">
        <w:rPr>
          <w:b/>
          <w:lang w:val="en-US"/>
        </w:rPr>
        <w:t>Fig. 10</w:t>
      </w:r>
      <w:r w:rsidRPr="00C26146">
        <w:rPr>
          <w:lang w:val="en-US"/>
        </w:rPr>
        <w:t>.</w:t>
      </w:r>
      <w:proofErr w:type="gramEnd"/>
      <w:r w:rsidRPr="00C26146">
        <w:rPr>
          <w:lang w:val="en-US"/>
        </w:rPr>
        <w:t xml:space="preserve"> XRPD patterns and DKT as inserts at time 0 (fresh), and 12 months after the preparation of Cog formulation 10 (A), Cog formulation 13 (B), Cog formulation 14 (C) and Cog formulation 15 (D).</w:t>
      </w:r>
    </w:p>
    <w:p w:rsidR="003D6390" w:rsidRDefault="003D6390">
      <w:pPr>
        <w:rPr>
          <w:lang w:val="en-US"/>
        </w:rPr>
      </w:pPr>
      <w:r>
        <w:rPr>
          <w:lang w:val="en-US"/>
        </w:rPr>
        <w:br w:type="page"/>
      </w:r>
    </w:p>
    <w:p w:rsidR="00DC12D2" w:rsidRDefault="003D6390">
      <w:pPr>
        <w:spacing w:line="480" w:lineRule="auto"/>
        <w:ind w:left="426" w:hanging="426"/>
        <w:jc w:val="both"/>
        <w:rPr>
          <w:lang w:val="en-US"/>
        </w:rPr>
      </w:pPr>
      <w:r>
        <w:rPr>
          <w:noProof/>
          <w:lang w:val="it-IT"/>
        </w:rPr>
        <w:lastRenderedPageBreak/>
        <w:drawing>
          <wp:inline distT="0" distB="0" distL="0" distR="0">
            <wp:extent cx="5398008" cy="2051304"/>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ABSTRACT.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98008" cy="2051304"/>
                    </a:xfrm>
                    <a:prstGeom prst="rect">
                      <a:avLst/>
                    </a:prstGeom>
                  </pic:spPr>
                </pic:pic>
              </a:graphicData>
            </a:graphic>
          </wp:inline>
        </w:drawing>
      </w:r>
    </w:p>
    <w:p w:rsidR="003D6390" w:rsidRPr="00C26146" w:rsidRDefault="003D6390">
      <w:pPr>
        <w:spacing w:line="480" w:lineRule="auto"/>
        <w:ind w:left="426" w:hanging="426"/>
        <w:jc w:val="both"/>
        <w:rPr>
          <w:lang w:val="en-US"/>
        </w:rPr>
      </w:pPr>
      <w:r>
        <w:rPr>
          <w:lang w:val="en-US"/>
        </w:rPr>
        <w:t>GRAPHICAL ABSTRACT</w:t>
      </w:r>
    </w:p>
    <w:sectPr w:rsidR="003D6390" w:rsidRPr="00C26146" w:rsidSect="00643677">
      <w:footerReference w:type="even" r:id="rId27"/>
      <w:footerReference w:type="default" r:id="rId28"/>
      <w:pgSz w:w="11906" w:h="16838"/>
      <w:pgMar w:top="1418" w:right="1134" w:bottom="1134" w:left="1134" w:header="709" w:footer="709"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3655" w:rsidRDefault="001E3655">
      <w:r>
        <w:separator/>
      </w:r>
    </w:p>
  </w:endnote>
  <w:endnote w:type="continuationSeparator" w:id="0">
    <w:p w:rsidR="001E3655" w:rsidRDefault="001E36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dvTT020c6f89">
    <w:altName w:val="Times New Roman"/>
    <w:panose1 w:val="00000000000000000000"/>
    <w:charset w:val="00"/>
    <w:family w:val="roman"/>
    <w:notTrueType/>
    <w:pitch w:val="default"/>
    <w:sig w:usb0="00000003" w:usb1="00000000" w:usb2="00000000" w:usb3="00000000" w:csb0="00000001" w:csb1="00000000"/>
  </w:font>
  <w:font w:name="NewCenturySchlbk-Roman">
    <w:altName w:val="Times New Roman"/>
    <w:panose1 w:val="00000000000000000000"/>
    <w:charset w:val="00"/>
    <w:family w:val="roman"/>
    <w:notTrueType/>
    <w:pitch w:val="default"/>
    <w:sig w:usb0="00000003" w:usb1="00000000" w:usb2="00000000" w:usb3="00000000" w:csb0="00000001" w:csb1="00000000"/>
  </w:font>
  <w:font w:name="ArialUnicodeMS">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6B08" w:rsidRDefault="00606B08" w:rsidP="00513C8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06B08" w:rsidRDefault="00606B08" w:rsidP="00AC61C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6B08" w:rsidRDefault="00606B08" w:rsidP="00513C8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77B36">
      <w:rPr>
        <w:rStyle w:val="PageNumber"/>
        <w:noProof/>
      </w:rPr>
      <w:t>46</w:t>
    </w:r>
    <w:r>
      <w:rPr>
        <w:rStyle w:val="PageNumber"/>
      </w:rPr>
      <w:fldChar w:fldCharType="end"/>
    </w:r>
  </w:p>
  <w:p w:rsidR="00606B08" w:rsidRDefault="00606B08" w:rsidP="00AC61C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3655" w:rsidRDefault="001E3655">
      <w:r>
        <w:separator/>
      </w:r>
    </w:p>
  </w:footnote>
  <w:footnote w:type="continuationSeparator" w:id="0">
    <w:p w:rsidR="001E3655" w:rsidRDefault="001E36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CF0D472"/>
    <w:lvl w:ilvl="0">
      <w:numFmt w:val="bullet"/>
      <w:lvlText w:val="*"/>
      <w:lvlJc w:val="left"/>
    </w:lvl>
  </w:abstractNum>
  <w:abstractNum w:abstractNumId="1">
    <w:nsid w:val="0733573B"/>
    <w:multiLevelType w:val="hybridMultilevel"/>
    <w:tmpl w:val="D3A2877E"/>
    <w:lvl w:ilvl="0" w:tplc="F4BEC212">
      <w:start w:val="1"/>
      <w:numFmt w:val="decimal"/>
      <w:lvlText w:val="[%1]."/>
      <w:lvlJc w:val="left"/>
      <w:pPr>
        <w:tabs>
          <w:tab w:val="num" w:pos="181"/>
        </w:tabs>
        <w:ind w:left="540" w:hanging="360"/>
      </w:pPr>
      <w:rPr>
        <w:rFonts w:ascii="Times New Roman" w:hAnsi="Times New Roman" w:cs="Times New Roman" w:hint="default"/>
        <w:b w:val="0"/>
        <w:i w:val="0"/>
        <w:sz w:val="24"/>
        <w:szCs w:val="24"/>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
    <w:nsid w:val="298D50FD"/>
    <w:multiLevelType w:val="hybridMultilevel"/>
    <w:tmpl w:val="7AF6BA4A"/>
    <w:lvl w:ilvl="0" w:tplc="0410000F">
      <w:start w:val="1"/>
      <w:numFmt w:val="decimal"/>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3">
    <w:nsid w:val="2C9811B8"/>
    <w:multiLevelType w:val="multilevel"/>
    <w:tmpl w:val="F40AC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24D34BC"/>
    <w:multiLevelType w:val="multilevel"/>
    <w:tmpl w:val="96AA8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5BC4A77"/>
    <w:multiLevelType w:val="multilevel"/>
    <w:tmpl w:val="FC5C1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C51485C"/>
    <w:multiLevelType w:val="multilevel"/>
    <w:tmpl w:val="F01AD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0306AC5"/>
    <w:multiLevelType w:val="hybridMultilevel"/>
    <w:tmpl w:val="8C8C3C16"/>
    <w:lvl w:ilvl="0" w:tplc="0410000F">
      <w:start w:val="1"/>
      <w:numFmt w:val="decimal"/>
      <w:lvlText w:val="%1."/>
      <w:lvlJc w:val="left"/>
      <w:pPr>
        <w:tabs>
          <w:tab w:val="num" w:pos="1428"/>
        </w:tabs>
        <w:ind w:left="1428" w:hanging="360"/>
      </w:pPr>
      <w:rPr>
        <w:rFonts w:cs="Times New Roman"/>
      </w:rPr>
    </w:lvl>
    <w:lvl w:ilvl="1" w:tplc="04100019" w:tentative="1">
      <w:start w:val="1"/>
      <w:numFmt w:val="lowerLetter"/>
      <w:lvlText w:val="%2."/>
      <w:lvlJc w:val="left"/>
      <w:pPr>
        <w:tabs>
          <w:tab w:val="num" w:pos="2148"/>
        </w:tabs>
        <w:ind w:left="2148" w:hanging="360"/>
      </w:pPr>
      <w:rPr>
        <w:rFonts w:cs="Times New Roman"/>
      </w:rPr>
    </w:lvl>
    <w:lvl w:ilvl="2" w:tplc="0410001B" w:tentative="1">
      <w:start w:val="1"/>
      <w:numFmt w:val="lowerRoman"/>
      <w:lvlText w:val="%3."/>
      <w:lvlJc w:val="right"/>
      <w:pPr>
        <w:tabs>
          <w:tab w:val="num" w:pos="2868"/>
        </w:tabs>
        <w:ind w:left="2868" w:hanging="180"/>
      </w:pPr>
      <w:rPr>
        <w:rFonts w:cs="Times New Roman"/>
      </w:rPr>
    </w:lvl>
    <w:lvl w:ilvl="3" w:tplc="0410000F" w:tentative="1">
      <w:start w:val="1"/>
      <w:numFmt w:val="decimal"/>
      <w:lvlText w:val="%4."/>
      <w:lvlJc w:val="left"/>
      <w:pPr>
        <w:tabs>
          <w:tab w:val="num" w:pos="3588"/>
        </w:tabs>
        <w:ind w:left="3588" w:hanging="360"/>
      </w:pPr>
      <w:rPr>
        <w:rFonts w:cs="Times New Roman"/>
      </w:rPr>
    </w:lvl>
    <w:lvl w:ilvl="4" w:tplc="04100019" w:tentative="1">
      <w:start w:val="1"/>
      <w:numFmt w:val="lowerLetter"/>
      <w:lvlText w:val="%5."/>
      <w:lvlJc w:val="left"/>
      <w:pPr>
        <w:tabs>
          <w:tab w:val="num" w:pos="4308"/>
        </w:tabs>
        <w:ind w:left="4308" w:hanging="360"/>
      </w:pPr>
      <w:rPr>
        <w:rFonts w:cs="Times New Roman"/>
      </w:rPr>
    </w:lvl>
    <w:lvl w:ilvl="5" w:tplc="0410001B" w:tentative="1">
      <w:start w:val="1"/>
      <w:numFmt w:val="lowerRoman"/>
      <w:lvlText w:val="%6."/>
      <w:lvlJc w:val="right"/>
      <w:pPr>
        <w:tabs>
          <w:tab w:val="num" w:pos="5028"/>
        </w:tabs>
        <w:ind w:left="5028" w:hanging="180"/>
      </w:pPr>
      <w:rPr>
        <w:rFonts w:cs="Times New Roman"/>
      </w:rPr>
    </w:lvl>
    <w:lvl w:ilvl="6" w:tplc="0410000F" w:tentative="1">
      <w:start w:val="1"/>
      <w:numFmt w:val="decimal"/>
      <w:lvlText w:val="%7."/>
      <w:lvlJc w:val="left"/>
      <w:pPr>
        <w:tabs>
          <w:tab w:val="num" w:pos="5748"/>
        </w:tabs>
        <w:ind w:left="5748" w:hanging="360"/>
      </w:pPr>
      <w:rPr>
        <w:rFonts w:cs="Times New Roman"/>
      </w:rPr>
    </w:lvl>
    <w:lvl w:ilvl="7" w:tplc="04100019" w:tentative="1">
      <w:start w:val="1"/>
      <w:numFmt w:val="lowerLetter"/>
      <w:lvlText w:val="%8."/>
      <w:lvlJc w:val="left"/>
      <w:pPr>
        <w:tabs>
          <w:tab w:val="num" w:pos="6468"/>
        </w:tabs>
        <w:ind w:left="6468" w:hanging="360"/>
      </w:pPr>
      <w:rPr>
        <w:rFonts w:cs="Times New Roman"/>
      </w:rPr>
    </w:lvl>
    <w:lvl w:ilvl="8" w:tplc="0410001B" w:tentative="1">
      <w:start w:val="1"/>
      <w:numFmt w:val="lowerRoman"/>
      <w:lvlText w:val="%9."/>
      <w:lvlJc w:val="right"/>
      <w:pPr>
        <w:tabs>
          <w:tab w:val="num" w:pos="7188"/>
        </w:tabs>
        <w:ind w:left="7188" w:hanging="180"/>
      </w:pPr>
      <w:rPr>
        <w:rFonts w:cs="Times New Roman"/>
      </w:rPr>
    </w:lvl>
  </w:abstractNum>
  <w:abstractNum w:abstractNumId="8">
    <w:nsid w:val="661168B3"/>
    <w:multiLevelType w:val="hybridMultilevel"/>
    <w:tmpl w:val="D58E55B6"/>
    <w:lvl w:ilvl="0" w:tplc="8B8CDBAA">
      <w:start w:val="1"/>
      <w:numFmt w:val="decimal"/>
      <w:lvlText w:val="%1."/>
      <w:lvlJc w:val="left"/>
      <w:pPr>
        <w:tabs>
          <w:tab w:val="num" w:pos="720"/>
        </w:tabs>
        <w:ind w:left="720" w:hanging="360"/>
      </w:pPr>
      <w:rPr>
        <w:rFonts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9">
    <w:nsid w:val="6CE30DB7"/>
    <w:multiLevelType w:val="multilevel"/>
    <w:tmpl w:val="AFD88AE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772F1424"/>
    <w:multiLevelType w:val="multilevel"/>
    <w:tmpl w:val="B3242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7"/>
  </w:num>
  <w:num w:numId="3">
    <w:abstractNumId w:val="0"/>
    <w:lvlOverride w:ilvl="0">
      <w:lvl w:ilvl="0">
        <w:numFmt w:val="bullet"/>
        <w:lvlText w:val=""/>
        <w:legacy w:legacy="1" w:legacySpace="0" w:legacyIndent="0"/>
        <w:lvlJc w:val="left"/>
        <w:rPr>
          <w:rFonts w:ascii="Wingdings 3" w:hAnsi="Wingdings 3" w:hint="default"/>
          <w:sz w:val="40"/>
        </w:rPr>
      </w:lvl>
    </w:lvlOverride>
  </w:num>
  <w:num w:numId="4">
    <w:abstractNumId w:val="2"/>
  </w:num>
  <w:num w:numId="5">
    <w:abstractNumId w:val="1"/>
  </w:num>
  <w:num w:numId="6">
    <w:abstractNumId w:val="6"/>
  </w:num>
  <w:num w:numId="7">
    <w:abstractNumId w:val="3"/>
  </w:num>
  <w:num w:numId="8">
    <w:abstractNumId w:val="4"/>
  </w:num>
  <w:num w:numId="9">
    <w:abstractNumId w:val="5"/>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745E"/>
    <w:rsid w:val="00000B44"/>
    <w:rsid w:val="00000D06"/>
    <w:rsid w:val="000011AD"/>
    <w:rsid w:val="00002F20"/>
    <w:rsid w:val="000042E9"/>
    <w:rsid w:val="00004621"/>
    <w:rsid w:val="0000782F"/>
    <w:rsid w:val="00007D74"/>
    <w:rsid w:val="00007EEF"/>
    <w:rsid w:val="00011B4F"/>
    <w:rsid w:val="000121F9"/>
    <w:rsid w:val="0001225F"/>
    <w:rsid w:val="0001243B"/>
    <w:rsid w:val="0001325C"/>
    <w:rsid w:val="00015AC0"/>
    <w:rsid w:val="00016390"/>
    <w:rsid w:val="00016557"/>
    <w:rsid w:val="000168D8"/>
    <w:rsid w:val="00017C63"/>
    <w:rsid w:val="00020875"/>
    <w:rsid w:val="00020D45"/>
    <w:rsid w:val="00022444"/>
    <w:rsid w:val="000258E2"/>
    <w:rsid w:val="0002598B"/>
    <w:rsid w:val="00025D1E"/>
    <w:rsid w:val="00027A21"/>
    <w:rsid w:val="00027BB2"/>
    <w:rsid w:val="0003050C"/>
    <w:rsid w:val="0003131C"/>
    <w:rsid w:val="00032487"/>
    <w:rsid w:val="00032B17"/>
    <w:rsid w:val="00033113"/>
    <w:rsid w:val="00034E93"/>
    <w:rsid w:val="00035237"/>
    <w:rsid w:val="00036BC1"/>
    <w:rsid w:val="00040891"/>
    <w:rsid w:val="0004180E"/>
    <w:rsid w:val="00042333"/>
    <w:rsid w:val="0004294C"/>
    <w:rsid w:val="00043384"/>
    <w:rsid w:val="00043602"/>
    <w:rsid w:val="00043823"/>
    <w:rsid w:val="000441F4"/>
    <w:rsid w:val="00044778"/>
    <w:rsid w:val="000449BF"/>
    <w:rsid w:val="00044A54"/>
    <w:rsid w:val="00044F81"/>
    <w:rsid w:val="0004594B"/>
    <w:rsid w:val="00046594"/>
    <w:rsid w:val="00050A70"/>
    <w:rsid w:val="000512CA"/>
    <w:rsid w:val="000515F1"/>
    <w:rsid w:val="00051D81"/>
    <w:rsid w:val="00051FF1"/>
    <w:rsid w:val="00052289"/>
    <w:rsid w:val="00053A28"/>
    <w:rsid w:val="00056E7F"/>
    <w:rsid w:val="000576DA"/>
    <w:rsid w:val="00061EFB"/>
    <w:rsid w:val="00062FE9"/>
    <w:rsid w:val="00063112"/>
    <w:rsid w:val="00064E12"/>
    <w:rsid w:val="00066270"/>
    <w:rsid w:val="00066869"/>
    <w:rsid w:val="000671FD"/>
    <w:rsid w:val="000674C0"/>
    <w:rsid w:val="00072098"/>
    <w:rsid w:val="0007218F"/>
    <w:rsid w:val="00072514"/>
    <w:rsid w:val="00073016"/>
    <w:rsid w:val="000731C3"/>
    <w:rsid w:val="00077641"/>
    <w:rsid w:val="00080E20"/>
    <w:rsid w:val="0008157C"/>
    <w:rsid w:val="00083BE9"/>
    <w:rsid w:val="00083F94"/>
    <w:rsid w:val="000847FE"/>
    <w:rsid w:val="00090B09"/>
    <w:rsid w:val="00090C58"/>
    <w:rsid w:val="0009198C"/>
    <w:rsid w:val="000951E1"/>
    <w:rsid w:val="00095698"/>
    <w:rsid w:val="000956D7"/>
    <w:rsid w:val="000958B3"/>
    <w:rsid w:val="000963AF"/>
    <w:rsid w:val="0009652E"/>
    <w:rsid w:val="00096A8C"/>
    <w:rsid w:val="00096F32"/>
    <w:rsid w:val="00097343"/>
    <w:rsid w:val="00097F08"/>
    <w:rsid w:val="000A0152"/>
    <w:rsid w:val="000A12E4"/>
    <w:rsid w:val="000A1F6E"/>
    <w:rsid w:val="000A2AA1"/>
    <w:rsid w:val="000A2ACA"/>
    <w:rsid w:val="000A2F8B"/>
    <w:rsid w:val="000A544A"/>
    <w:rsid w:val="000A6568"/>
    <w:rsid w:val="000B1519"/>
    <w:rsid w:val="000B1967"/>
    <w:rsid w:val="000B216C"/>
    <w:rsid w:val="000B4293"/>
    <w:rsid w:val="000B47BE"/>
    <w:rsid w:val="000B482A"/>
    <w:rsid w:val="000B4978"/>
    <w:rsid w:val="000B51BC"/>
    <w:rsid w:val="000B5A36"/>
    <w:rsid w:val="000B6044"/>
    <w:rsid w:val="000B6A89"/>
    <w:rsid w:val="000B70E0"/>
    <w:rsid w:val="000B7334"/>
    <w:rsid w:val="000C0E7D"/>
    <w:rsid w:val="000C1906"/>
    <w:rsid w:val="000C1BAC"/>
    <w:rsid w:val="000C2B5F"/>
    <w:rsid w:val="000C3F38"/>
    <w:rsid w:val="000C5283"/>
    <w:rsid w:val="000C6563"/>
    <w:rsid w:val="000C7414"/>
    <w:rsid w:val="000C753F"/>
    <w:rsid w:val="000C7C65"/>
    <w:rsid w:val="000D29D3"/>
    <w:rsid w:val="000D2F87"/>
    <w:rsid w:val="000D5F60"/>
    <w:rsid w:val="000D6756"/>
    <w:rsid w:val="000D676E"/>
    <w:rsid w:val="000D7FD1"/>
    <w:rsid w:val="000E03E0"/>
    <w:rsid w:val="000E1768"/>
    <w:rsid w:val="000E1931"/>
    <w:rsid w:val="000E27C9"/>
    <w:rsid w:val="000E314E"/>
    <w:rsid w:val="000E37F6"/>
    <w:rsid w:val="000E399F"/>
    <w:rsid w:val="000E477A"/>
    <w:rsid w:val="000E541A"/>
    <w:rsid w:val="000F20B1"/>
    <w:rsid w:val="000F2122"/>
    <w:rsid w:val="000F2EF9"/>
    <w:rsid w:val="000F2FBD"/>
    <w:rsid w:val="000F4918"/>
    <w:rsid w:val="000F5003"/>
    <w:rsid w:val="000F6ACC"/>
    <w:rsid w:val="001006ED"/>
    <w:rsid w:val="00102140"/>
    <w:rsid w:val="001028FD"/>
    <w:rsid w:val="00102AAB"/>
    <w:rsid w:val="00103C8F"/>
    <w:rsid w:val="0010450E"/>
    <w:rsid w:val="001052AB"/>
    <w:rsid w:val="00105946"/>
    <w:rsid w:val="00106238"/>
    <w:rsid w:val="0010633F"/>
    <w:rsid w:val="001067B9"/>
    <w:rsid w:val="00107460"/>
    <w:rsid w:val="00107971"/>
    <w:rsid w:val="00110107"/>
    <w:rsid w:val="00110A1A"/>
    <w:rsid w:val="00112601"/>
    <w:rsid w:val="0011341B"/>
    <w:rsid w:val="00114B5F"/>
    <w:rsid w:val="00115363"/>
    <w:rsid w:val="001170F0"/>
    <w:rsid w:val="00117A45"/>
    <w:rsid w:val="001201FB"/>
    <w:rsid w:val="00120465"/>
    <w:rsid w:val="001204FA"/>
    <w:rsid w:val="001211DF"/>
    <w:rsid w:val="0012167F"/>
    <w:rsid w:val="0012212C"/>
    <w:rsid w:val="001223C9"/>
    <w:rsid w:val="00123314"/>
    <w:rsid w:val="001233A0"/>
    <w:rsid w:val="00126956"/>
    <w:rsid w:val="00127B9E"/>
    <w:rsid w:val="00132542"/>
    <w:rsid w:val="0013434E"/>
    <w:rsid w:val="001367B9"/>
    <w:rsid w:val="00136B51"/>
    <w:rsid w:val="00140AC1"/>
    <w:rsid w:val="00141267"/>
    <w:rsid w:val="00142446"/>
    <w:rsid w:val="00142E42"/>
    <w:rsid w:val="00143682"/>
    <w:rsid w:val="00143835"/>
    <w:rsid w:val="00143C62"/>
    <w:rsid w:val="001444C2"/>
    <w:rsid w:val="00144B34"/>
    <w:rsid w:val="00144C2C"/>
    <w:rsid w:val="001452E9"/>
    <w:rsid w:val="00145C77"/>
    <w:rsid w:val="001462EF"/>
    <w:rsid w:val="00147160"/>
    <w:rsid w:val="001502F1"/>
    <w:rsid w:val="00150A51"/>
    <w:rsid w:val="00151059"/>
    <w:rsid w:val="00151D85"/>
    <w:rsid w:val="00152518"/>
    <w:rsid w:val="00153752"/>
    <w:rsid w:val="001539C9"/>
    <w:rsid w:val="001546BB"/>
    <w:rsid w:val="0015475C"/>
    <w:rsid w:val="00154E86"/>
    <w:rsid w:val="00155C51"/>
    <w:rsid w:val="00160747"/>
    <w:rsid w:val="001607F2"/>
    <w:rsid w:val="00160EE2"/>
    <w:rsid w:val="001617A0"/>
    <w:rsid w:val="00162A93"/>
    <w:rsid w:val="00162D5D"/>
    <w:rsid w:val="00162E7F"/>
    <w:rsid w:val="001631B1"/>
    <w:rsid w:val="001632A3"/>
    <w:rsid w:val="00163637"/>
    <w:rsid w:val="001642A3"/>
    <w:rsid w:val="00165056"/>
    <w:rsid w:val="0016598E"/>
    <w:rsid w:val="00166096"/>
    <w:rsid w:val="00170145"/>
    <w:rsid w:val="00170AEC"/>
    <w:rsid w:val="00171ED5"/>
    <w:rsid w:val="00172B7A"/>
    <w:rsid w:val="00174332"/>
    <w:rsid w:val="001748CB"/>
    <w:rsid w:val="00174ADF"/>
    <w:rsid w:val="0017536D"/>
    <w:rsid w:val="00175CE6"/>
    <w:rsid w:val="00182275"/>
    <w:rsid w:val="00182B89"/>
    <w:rsid w:val="001830FD"/>
    <w:rsid w:val="00184C8D"/>
    <w:rsid w:val="001856D2"/>
    <w:rsid w:val="0018644B"/>
    <w:rsid w:val="001866D8"/>
    <w:rsid w:val="001874AD"/>
    <w:rsid w:val="001876C4"/>
    <w:rsid w:val="00187BC1"/>
    <w:rsid w:val="00187C0A"/>
    <w:rsid w:val="00187F61"/>
    <w:rsid w:val="00193EA5"/>
    <w:rsid w:val="001944BD"/>
    <w:rsid w:val="001956A4"/>
    <w:rsid w:val="00196ACA"/>
    <w:rsid w:val="00196E80"/>
    <w:rsid w:val="001A09C8"/>
    <w:rsid w:val="001A1128"/>
    <w:rsid w:val="001A1809"/>
    <w:rsid w:val="001A1D9B"/>
    <w:rsid w:val="001A1E2B"/>
    <w:rsid w:val="001A324C"/>
    <w:rsid w:val="001A379B"/>
    <w:rsid w:val="001A3860"/>
    <w:rsid w:val="001A5180"/>
    <w:rsid w:val="001A53FF"/>
    <w:rsid w:val="001B0F6B"/>
    <w:rsid w:val="001B2681"/>
    <w:rsid w:val="001B32A2"/>
    <w:rsid w:val="001B3381"/>
    <w:rsid w:val="001B4266"/>
    <w:rsid w:val="001B47B4"/>
    <w:rsid w:val="001B577E"/>
    <w:rsid w:val="001B6AD3"/>
    <w:rsid w:val="001B6BD4"/>
    <w:rsid w:val="001B6DE9"/>
    <w:rsid w:val="001B708E"/>
    <w:rsid w:val="001B78CD"/>
    <w:rsid w:val="001C082B"/>
    <w:rsid w:val="001C0D76"/>
    <w:rsid w:val="001C0E2D"/>
    <w:rsid w:val="001C214D"/>
    <w:rsid w:val="001C22FD"/>
    <w:rsid w:val="001C3FA3"/>
    <w:rsid w:val="001C4BD8"/>
    <w:rsid w:val="001C59E9"/>
    <w:rsid w:val="001C612A"/>
    <w:rsid w:val="001C6669"/>
    <w:rsid w:val="001C6E91"/>
    <w:rsid w:val="001C771E"/>
    <w:rsid w:val="001D0B19"/>
    <w:rsid w:val="001D6478"/>
    <w:rsid w:val="001E0B3B"/>
    <w:rsid w:val="001E0F93"/>
    <w:rsid w:val="001E1297"/>
    <w:rsid w:val="001E2E87"/>
    <w:rsid w:val="001E3655"/>
    <w:rsid w:val="001E4CDF"/>
    <w:rsid w:val="001E4D44"/>
    <w:rsid w:val="001E4EEC"/>
    <w:rsid w:val="001E5471"/>
    <w:rsid w:val="001E547F"/>
    <w:rsid w:val="001E64FA"/>
    <w:rsid w:val="001E75AA"/>
    <w:rsid w:val="001F0CEC"/>
    <w:rsid w:val="001F1005"/>
    <w:rsid w:val="001F21A6"/>
    <w:rsid w:val="001F3628"/>
    <w:rsid w:val="001F3DBB"/>
    <w:rsid w:val="001F4F58"/>
    <w:rsid w:val="001F5E12"/>
    <w:rsid w:val="001F6764"/>
    <w:rsid w:val="001F7F30"/>
    <w:rsid w:val="00200415"/>
    <w:rsid w:val="00200FC3"/>
    <w:rsid w:val="00201107"/>
    <w:rsid w:val="00201A06"/>
    <w:rsid w:val="00204A19"/>
    <w:rsid w:val="00204BD7"/>
    <w:rsid w:val="002061D9"/>
    <w:rsid w:val="00207042"/>
    <w:rsid w:val="00207087"/>
    <w:rsid w:val="00207F1C"/>
    <w:rsid w:val="00210254"/>
    <w:rsid w:val="00211369"/>
    <w:rsid w:val="002115EF"/>
    <w:rsid w:val="00212478"/>
    <w:rsid w:val="00212BDB"/>
    <w:rsid w:val="0021437F"/>
    <w:rsid w:val="00215838"/>
    <w:rsid w:val="00217934"/>
    <w:rsid w:val="00221113"/>
    <w:rsid w:val="002219CB"/>
    <w:rsid w:val="0022320C"/>
    <w:rsid w:val="0022344F"/>
    <w:rsid w:val="0022561B"/>
    <w:rsid w:val="00225F55"/>
    <w:rsid w:val="00227C21"/>
    <w:rsid w:val="00231AF4"/>
    <w:rsid w:val="002323F8"/>
    <w:rsid w:val="0023394F"/>
    <w:rsid w:val="00235237"/>
    <w:rsid w:val="00236538"/>
    <w:rsid w:val="00236BA6"/>
    <w:rsid w:val="002373A0"/>
    <w:rsid w:val="00240C23"/>
    <w:rsid w:val="00241D22"/>
    <w:rsid w:val="0024208E"/>
    <w:rsid w:val="0024228C"/>
    <w:rsid w:val="002433B6"/>
    <w:rsid w:val="002434FE"/>
    <w:rsid w:val="00246088"/>
    <w:rsid w:val="00247616"/>
    <w:rsid w:val="0025092E"/>
    <w:rsid w:val="00253B68"/>
    <w:rsid w:val="00253D74"/>
    <w:rsid w:val="00254676"/>
    <w:rsid w:val="00254C33"/>
    <w:rsid w:val="0025517C"/>
    <w:rsid w:val="00257663"/>
    <w:rsid w:val="00260788"/>
    <w:rsid w:val="00261FFD"/>
    <w:rsid w:val="00264CEA"/>
    <w:rsid w:val="00265FDE"/>
    <w:rsid w:val="00266960"/>
    <w:rsid w:val="0027010D"/>
    <w:rsid w:val="0027272A"/>
    <w:rsid w:val="00273EBB"/>
    <w:rsid w:val="002745A5"/>
    <w:rsid w:val="00274B95"/>
    <w:rsid w:val="00274E41"/>
    <w:rsid w:val="00276495"/>
    <w:rsid w:val="002830F5"/>
    <w:rsid w:val="002835A9"/>
    <w:rsid w:val="00286339"/>
    <w:rsid w:val="00286CEF"/>
    <w:rsid w:val="00287076"/>
    <w:rsid w:val="00292463"/>
    <w:rsid w:val="00294AD8"/>
    <w:rsid w:val="002965C9"/>
    <w:rsid w:val="00296C2A"/>
    <w:rsid w:val="002A00CF"/>
    <w:rsid w:val="002A02B9"/>
    <w:rsid w:val="002A0339"/>
    <w:rsid w:val="002A0E24"/>
    <w:rsid w:val="002A1179"/>
    <w:rsid w:val="002A1634"/>
    <w:rsid w:val="002A1FB9"/>
    <w:rsid w:val="002A1FFA"/>
    <w:rsid w:val="002A31C5"/>
    <w:rsid w:val="002A321F"/>
    <w:rsid w:val="002A338C"/>
    <w:rsid w:val="002A3AD0"/>
    <w:rsid w:val="002A55BF"/>
    <w:rsid w:val="002B0A33"/>
    <w:rsid w:val="002B2837"/>
    <w:rsid w:val="002B44D6"/>
    <w:rsid w:val="002B4EAA"/>
    <w:rsid w:val="002B5057"/>
    <w:rsid w:val="002B5A55"/>
    <w:rsid w:val="002B6898"/>
    <w:rsid w:val="002B693A"/>
    <w:rsid w:val="002B7CED"/>
    <w:rsid w:val="002C0B89"/>
    <w:rsid w:val="002C1745"/>
    <w:rsid w:val="002C231D"/>
    <w:rsid w:val="002C2A27"/>
    <w:rsid w:val="002C300D"/>
    <w:rsid w:val="002C38C3"/>
    <w:rsid w:val="002C3B3F"/>
    <w:rsid w:val="002D068E"/>
    <w:rsid w:val="002D069D"/>
    <w:rsid w:val="002D0FA8"/>
    <w:rsid w:val="002D2321"/>
    <w:rsid w:val="002D2706"/>
    <w:rsid w:val="002D381B"/>
    <w:rsid w:val="002D417C"/>
    <w:rsid w:val="002D55E4"/>
    <w:rsid w:val="002D5BEE"/>
    <w:rsid w:val="002D7420"/>
    <w:rsid w:val="002E0521"/>
    <w:rsid w:val="002E2938"/>
    <w:rsid w:val="002E3EDE"/>
    <w:rsid w:val="002E4920"/>
    <w:rsid w:val="002E5AA3"/>
    <w:rsid w:val="002E6F3F"/>
    <w:rsid w:val="002F089A"/>
    <w:rsid w:val="002F1D3D"/>
    <w:rsid w:val="002F2770"/>
    <w:rsid w:val="002F3521"/>
    <w:rsid w:val="002F35AF"/>
    <w:rsid w:val="002F3655"/>
    <w:rsid w:val="002F3E60"/>
    <w:rsid w:val="002F4EF0"/>
    <w:rsid w:val="002F52EB"/>
    <w:rsid w:val="002F7283"/>
    <w:rsid w:val="002F79E5"/>
    <w:rsid w:val="003004BD"/>
    <w:rsid w:val="00300E25"/>
    <w:rsid w:val="00303352"/>
    <w:rsid w:val="00303785"/>
    <w:rsid w:val="00305664"/>
    <w:rsid w:val="003058A7"/>
    <w:rsid w:val="00307F81"/>
    <w:rsid w:val="00310B27"/>
    <w:rsid w:val="00310B88"/>
    <w:rsid w:val="0031127B"/>
    <w:rsid w:val="003120D5"/>
    <w:rsid w:val="00313607"/>
    <w:rsid w:val="0031377D"/>
    <w:rsid w:val="0031413F"/>
    <w:rsid w:val="003148F8"/>
    <w:rsid w:val="00315659"/>
    <w:rsid w:val="003167C4"/>
    <w:rsid w:val="00316D13"/>
    <w:rsid w:val="00320CBC"/>
    <w:rsid w:val="00321E76"/>
    <w:rsid w:val="003242AB"/>
    <w:rsid w:val="00325BFF"/>
    <w:rsid w:val="00326637"/>
    <w:rsid w:val="00331F70"/>
    <w:rsid w:val="00332BA4"/>
    <w:rsid w:val="00334267"/>
    <w:rsid w:val="00335767"/>
    <w:rsid w:val="00336209"/>
    <w:rsid w:val="0033649E"/>
    <w:rsid w:val="00340A61"/>
    <w:rsid w:val="00342105"/>
    <w:rsid w:val="00344F5F"/>
    <w:rsid w:val="00346C18"/>
    <w:rsid w:val="0034723D"/>
    <w:rsid w:val="00350F99"/>
    <w:rsid w:val="0035103D"/>
    <w:rsid w:val="003512E0"/>
    <w:rsid w:val="003547CB"/>
    <w:rsid w:val="00355FB5"/>
    <w:rsid w:val="003562A1"/>
    <w:rsid w:val="003564CE"/>
    <w:rsid w:val="0035660D"/>
    <w:rsid w:val="003567AB"/>
    <w:rsid w:val="003577C4"/>
    <w:rsid w:val="00357CA4"/>
    <w:rsid w:val="003604FC"/>
    <w:rsid w:val="00362515"/>
    <w:rsid w:val="00362F8C"/>
    <w:rsid w:val="00364130"/>
    <w:rsid w:val="00364621"/>
    <w:rsid w:val="003650D6"/>
    <w:rsid w:val="00365D6D"/>
    <w:rsid w:val="0036612F"/>
    <w:rsid w:val="003662AD"/>
    <w:rsid w:val="00366F66"/>
    <w:rsid w:val="00367467"/>
    <w:rsid w:val="0037294E"/>
    <w:rsid w:val="00373D1C"/>
    <w:rsid w:val="0037500E"/>
    <w:rsid w:val="00375C80"/>
    <w:rsid w:val="00376707"/>
    <w:rsid w:val="003775F0"/>
    <w:rsid w:val="003815B0"/>
    <w:rsid w:val="00382E8A"/>
    <w:rsid w:val="0038469D"/>
    <w:rsid w:val="00384E72"/>
    <w:rsid w:val="003854CA"/>
    <w:rsid w:val="00387823"/>
    <w:rsid w:val="00387DAD"/>
    <w:rsid w:val="003909DD"/>
    <w:rsid w:val="00391F77"/>
    <w:rsid w:val="00391F7E"/>
    <w:rsid w:val="00392970"/>
    <w:rsid w:val="00392EE7"/>
    <w:rsid w:val="00394331"/>
    <w:rsid w:val="00394344"/>
    <w:rsid w:val="00394ACE"/>
    <w:rsid w:val="00394B6A"/>
    <w:rsid w:val="003970CF"/>
    <w:rsid w:val="00397873"/>
    <w:rsid w:val="003A0CD3"/>
    <w:rsid w:val="003A32E1"/>
    <w:rsid w:val="003A36A2"/>
    <w:rsid w:val="003A3EFE"/>
    <w:rsid w:val="003A5399"/>
    <w:rsid w:val="003A65A1"/>
    <w:rsid w:val="003A6F8E"/>
    <w:rsid w:val="003A7146"/>
    <w:rsid w:val="003A7EDA"/>
    <w:rsid w:val="003B303F"/>
    <w:rsid w:val="003B5B5C"/>
    <w:rsid w:val="003C00EA"/>
    <w:rsid w:val="003C34E1"/>
    <w:rsid w:val="003C3B3A"/>
    <w:rsid w:val="003C688E"/>
    <w:rsid w:val="003C6EA9"/>
    <w:rsid w:val="003C7639"/>
    <w:rsid w:val="003D048B"/>
    <w:rsid w:val="003D0A81"/>
    <w:rsid w:val="003D2FDB"/>
    <w:rsid w:val="003D30F3"/>
    <w:rsid w:val="003D36D5"/>
    <w:rsid w:val="003D52C9"/>
    <w:rsid w:val="003D5D23"/>
    <w:rsid w:val="003D5F42"/>
    <w:rsid w:val="003D6390"/>
    <w:rsid w:val="003D7833"/>
    <w:rsid w:val="003D7F4F"/>
    <w:rsid w:val="003E0232"/>
    <w:rsid w:val="003E078A"/>
    <w:rsid w:val="003E0BDC"/>
    <w:rsid w:val="003E22E6"/>
    <w:rsid w:val="003E291E"/>
    <w:rsid w:val="003E29E1"/>
    <w:rsid w:val="003E31B4"/>
    <w:rsid w:val="003E3AFF"/>
    <w:rsid w:val="003E6976"/>
    <w:rsid w:val="003E721A"/>
    <w:rsid w:val="003E791B"/>
    <w:rsid w:val="003F0795"/>
    <w:rsid w:val="003F130A"/>
    <w:rsid w:val="003F15C1"/>
    <w:rsid w:val="003F17AF"/>
    <w:rsid w:val="003F2448"/>
    <w:rsid w:val="003F38E5"/>
    <w:rsid w:val="003F3A22"/>
    <w:rsid w:val="003F46DD"/>
    <w:rsid w:val="003F4B64"/>
    <w:rsid w:val="003F4EA6"/>
    <w:rsid w:val="003F52E5"/>
    <w:rsid w:val="003F5C51"/>
    <w:rsid w:val="003F6F51"/>
    <w:rsid w:val="003F7452"/>
    <w:rsid w:val="003F7CC1"/>
    <w:rsid w:val="003F7E9A"/>
    <w:rsid w:val="00400246"/>
    <w:rsid w:val="004003D6"/>
    <w:rsid w:val="00401212"/>
    <w:rsid w:val="0040185E"/>
    <w:rsid w:val="00401B5C"/>
    <w:rsid w:val="00404A13"/>
    <w:rsid w:val="00405D5D"/>
    <w:rsid w:val="0040665A"/>
    <w:rsid w:val="00406CC1"/>
    <w:rsid w:val="00407043"/>
    <w:rsid w:val="004104C7"/>
    <w:rsid w:val="00410BBC"/>
    <w:rsid w:val="00413E3C"/>
    <w:rsid w:val="00414C56"/>
    <w:rsid w:val="00414CF7"/>
    <w:rsid w:val="00414DA0"/>
    <w:rsid w:val="004157DF"/>
    <w:rsid w:val="00415A8F"/>
    <w:rsid w:val="004162BF"/>
    <w:rsid w:val="00416FCD"/>
    <w:rsid w:val="0041744C"/>
    <w:rsid w:val="004212A1"/>
    <w:rsid w:val="004213F0"/>
    <w:rsid w:val="004215CD"/>
    <w:rsid w:val="00422F31"/>
    <w:rsid w:val="0042309B"/>
    <w:rsid w:val="00423DAE"/>
    <w:rsid w:val="0042489D"/>
    <w:rsid w:val="004251F9"/>
    <w:rsid w:val="00425596"/>
    <w:rsid w:val="00425979"/>
    <w:rsid w:val="00426216"/>
    <w:rsid w:val="00426FC7"/>
    <w:rsid w:val="0043164A"/>
    <w:rsid w:val="00431BC1"/>
    <w:rsid w:val="00432C2D"/>
    <w:rsid w:val="00433E2F"/>
    <w:rsid w:val="00433EFE"/>
    <w:rsid w:val="00436931"/>
    <w:rsid w:val="00436C12"/>
    <w:rsid w:val="00437383"/>
    <w:rsid w:val="004379B9"/>
    <w:rsid w:val="00437F6B"/>
    <w:rsid w:val="0044057E"/>
    <w:rsid w:val="0044171E"/>
    <w:rsid w:val="00441D12"/>
    <w:rsid w:val="00441E01"/>
    <w:rsid w:val="00441E9E"/>
    <w:rsid w:val="0044282F"/>
    <w:rsid w:val="00444543"/>
    <w:rsid w:val="0044498C"/>
    <w:rsid w:val="00446AE5"/>
    <w:rsid w:val="00450266"/>
    <w:rsid w:val="00452288"/>
    <w:rsid w:val="004527E2"/>
    <w:rsid w:val="00453F8D"/>
    <w:rsid w:val="0045680A"/>
    <w:rsid w:val="00460B32"/>
    <w:rsid w:val="00461E34"/>
    <w:rsid w:val="0046222B"/>
    <w:rsid w:val="00462B11"/>
    <w:rsid w:val="00462D2F"/>
    <w:rsid w:val="00462D3A"/>
    <w:rsid w:val="004632D3"/>
    <w:rsid w:val="00464035"/>
    <w:rsid w:val="00466A8C"/>
    <w:rsid w:val="00470A11"/>
    <w:rsid w:val="004727BD"/>
    <w:rsid w:val="00472F2B"/>
    <w:rsid w:val="00473407"/>
    <w:rsid w:val="00475405"/>
    <w:rsid w:val="00476567"/>
    <w:rsid w:val="0047671D"/>
    <w:rsid w:val="0047672A"/>
    <w:rsid w:val="0047693D"/>
    <w:rsid w:val="004801C2"/>
    <w:rsid w:val="0048107B"/>
    <w:rsid w:val="00482BC4"/>
    <w:rsid w:val="00482E06"/>
    <w:rsid w:val="00484D42"/>
    <w:rsid w:val="00485642"/>
    <w:rsid w:val="004858AD"/>
    <w:rsid w:val="00485C6E"/>
    <w:rsid w:val="00486632"/>
    <w:rsid w:val="00486B12"/>
    <w:rsid w:val="00487301"/>
    <w:rsid w:val="004901EC"/>
    <w:rsid w:val="00490DAB"/>
    <w:rsid w:val="004921CD"/>
    <w:rsid w:val="00492513"/>
    <w:rsid w:val="00493281"/>
    <w:rsid w:val="00494836"/>
    <w:rsid w:val="00495281"/>
    <w:rsid w:val="00495C79"/>
    <w:rsid w:val="00495FE6"/>
    <w:rsid w:val="00496DC5"/>
    <w:rsid w:val="0049705D"/>
    <w:rsid w:val="00497B69"/>
    <w:rsid w:val="004A2247"/>
    <w:rsid w:val="004A66B7"/>
    <w:rsid w:val="004A74C6"/>
    <w:rsid w:val="004B0F14"/>
    <w:rsid w:val="004B28DC"/>
    <w:rsid w:val="004B428E"/>
    <w:rsid w:val="004B4D8D"/>
    <w:rsid w:val="004B4FED"/>
    <w:rsid w:val="004B59F7"/>
    <w:rsid w:val="004B7536"/>
    <w:rsid w:val="004C17E9"/>
    <w:rsid w:val="004C1855"/>
    <w:rsid w:val="004C2887"/>
    <w:rsid w:val="004C4C5A"/>
    <w:rsid w:val="004C4D11"/>
    <w:rsid w:val="004C5A6F"/>
    <w:rsid w:val="004C5B12"/>
    <w:rsid w:val="004C5C5B"/>
    <w:rsid w:val="004C6B6A"/>
    <w:rsid w:val="004C6B72"/>
    <w:rsid w:val="004C7433"/>
    <w:rsid w:val="004C7E53"/>
    <w:rsid w:val="004D243E"/>
    <w:rsid w:val="004D28B4"/>
    <w:rsid w:val="004D317B"/>
    <w:rsid w:val="004D470A"/>
    <w:rsid w:val="004D4FFE"/>
    <w:rsid w:val="004D5811"/>
    <w:rsid w:val="004D6FB1"/>
    <w:rsid w:val="004D70EF"/>
    <w:rsid w:val="004D7942"/>
    <w:rsid w:val="004E0FF4"/>
    <w:rsid w:val="004E1CF1"/>
    <w:rsid w:val="004E204E"/>
    <w:rsid w:val="004E3302"/>
    <w:rsid w:val="004E4EFF"/>
    <w:rsid w:val="004E522F"/>
    <w:rsid w:val="004E57CF"/>
    <w:rsid w:val="004E64C2"/>
    <w:rsid w:val="004E6A67"/>
    <w:rsid w:val="004E73A9"/>
    <w:rsid w:val="004E773D"/>
    <w:rsid w:val="004F03C3"/>
    <w:rsid w:val="004F474F"/>
    <w:rsid w:val="004F553F"/>
    <w:rsid w:val="004F6D73"/>
    <w:rsid w:val="004F725C"/>
    <w:rsid w:val="004F7671"/>
    <w:rsid w:val="004F7D37"/>
    <w:rsid w:val="0050104C"/>
    <w:rsid w:val="00502AD6"/>
    <w:rsid w:val="0050437E"/>
    <w:rsid w:val="005043D3"/>
    <w:rsid w:val="00504FC7"/>
    <w:rsid w:val="00505C68"/>
    <w:rsid w:val="00506722"/>
    <w:rsid w:val="00507681"/>
    <w:rsid w:val="00507C3C"/>
    <w:rsid w:val="00510913"/>
    <w:rsid w:val="00511DE7"/>
    <w:rsid w:val="00512F1A"/>
    <w:rsid w:val="00513C81"/>
    <w:rsid w:val="00514823"/>
    <w:rsid w:val="00514874"/>
    <w:rsid w:val="005164B6"/>
    <w:rsid w:val="00517452"/>
    <w:rsid w:val="005178A5"/>
    <w:rsid w:val="00517BF0"/>
    <w:rsid w:val="00522243"/>
    <w:rsid w:val="005226A1"/>
    <w:rsid w:val="00523740"/>
    <w:rsid w:val="00524469"/>
    <w:rsid w:val="00524FF6"/>
    <w:rsid w:val="0053244A"/>
    <w:rsid w:val="00532A32"/>
    <w:rsid w:val="00532F55"/>
    <w:rsid w:val="00534263"/>
    <w:rsid w:val="00535304"/>
    <w:rsid w:val="00535C12"/>
    <w:rsid w:val="005367A9"/>
    <w:rsid w:val="0054095A"/>
    <w:rsid w:val="00542902"/>
    <w:rsid w:val="00542FD5"/>
    <w:rsid w:val="005434F6"/>
    <w:rsid w:val="00543A50"/>
    <w:rsid w:val="00544388"/>
    <w:rsid w:val="0054536F"/>
    <w:rsid w:val="00546301"/>
    <w:rsid w:val="00546C25"/>
    <w:rsid w:val="005473D7"/>
    <w:rsid w:val="00547A4F"/>
    <w:rsid w:val="00550F07"/>
    <w:rsid w:val="00551091"/>
    <w:rsid w:val="005515C5"/>
    <w:rsid w:val="005522C5"/>
    <w:rsid w:val="005522CC"/>
    <w:rsid w:val="0055430B"/>
    <w:rsid w:val="005546C7"/>
    <w:rsid w:val="00556219"/>
    <w:rsid w:val="0055723F"/>
    <w:rsid w:val="005574D7"/>
    <w:rsid w:val="00557F69"/>
    <w:rsid w:val="005601CC"/>
    <w:rsid w:val="00560529"/>
    <w:rsid w:val="00561116"/>
    <w:rsid w:val="005615A2"/>
    <w:rsid w:val="00562892"/>
    <w:rsid w:val="00562978"/>
    <w:rsid w:val="005629AD"/>
    <w:rsid w:val="00563B08"/>
    <w:rsid w:val="00563BE3"/>
    <w:rsid w:val="00564E4C"/>
    <w:rsid w:val="005652F0"/>
    <w:rsid w:val="005654F0"/>
    <w:rsid w:val="00566CEA"/>
    <w:rsid w:val="005675A6"/>
    <w:rsid w:val="00567728"/>
    <w:rsid w:val="00570A68"/>
    <w:rsid w:val="00570C0A"/>
    <w:rsid w:val="00570D4B"/>
    <w:rsid w:val="0057357F"/>
    <w:rsid w:val="005738ED"/>
    <w:rsid w:val="005745FF"/>
    <w:rsid w:val="00575B9E"/>
    <w:rsid w:val="005763BC"/>
    <w:rsid w:val="005764F0"/>
    <w:rsid w:val="00576810"/>
    <w:rsid w:val="00577B36"/>
    <w:rsid w:val="00577F35"/>
    <w:rsid w:val="0058180A"/>
    <w:rsid w:val="005836A0"/>
    <w:rsid w:val="00584B8E"/>
    <w:rsid w:val="00584C50"/>
    <w:rsid w:val="00584F22"/>
    <w:rsid w:val="00584F68"/>
    <w:rsid w:val="00585E75"/>
    <w:rsid w:val="00586480"/>
    <w:rsid w:val="00587F9D"/>
    <w:rsid w:val="00590965"/>
    <w:rsid w:val="005918E8"/>
    <w:rsid w:val="00591F70"/>
    <w:rsid w:val="005923D9"/>
    <w:rsid w:val="00592CA0"/>
    <w:rsid w:val="00593109"/>
    <w:rsid w:val="005974F3"/>
    <w:rsid w:val="005A0F9A"/>
    <w:rsid w:val="005A2BEA"/>
    <w:rsid w:val="005A2FFE"/>
    <w:rsid w:val="005A3A20"/>
    <w:rsid w:val="005A3E12"/>
    <w:rsid w:val="005A44BD"/>
    <w:rsid w:val="005A4683"/>
    <w:rsid w:val="005A4FF0"/>
    <w:rsid w:val="005A5932"/>
    <w:rsid w:val="005A6062"/>
    <w:rsid w:val="005A6C95"/>
    <w:rsid w:val="005A76E3"/>
    <w:rsid w:val="005B05B2"/>
    <w:rsid w:val="005B16C9"/>
    <w:rsid w:val="005B1926"/>
    <w:rsid w:val="005B1CB6"/>
    <w:rsid w:val="005B2817"/>
    <w:rsid w:val="005B28AC"/>
    <w:rsid w:val="005B390F"/>
    <w:rsid w:val="005B4792"/>
    <w:rsid w:val="005B4A60"/>
    <w:rsid w:val="005B65CB"/>
    <w:rsid w:val="005B697F"/>
    <w:rsid w:val="005B6F85"/>
    <w:rsid w:val="005C0D7F"/>
    <w:rsid w:val="005C0E9D"/>
    <w:rsid w:val="005C12B4"/>
    <w:rsid w:val="005C3CA7"/>
    <w:rsid w:val="005C4731"/>
    <w:rsid w:val="005C4F62"/>
    <w:rsid w:val="005C6F7A"/>
    <w:rsid w:val="005C77EB"/>
    <w:rsid w:val="005C7F8E"/>
    <w:rsid w:val="005D13C5"/>
    <w:rsid w:val="005D1DA8"/>
    <w:rsid w:val="005D2153"/>
    <w:rsid w:val="005D33EF"/>
    <w:rsid w:val="005D3A24"/>
    <w:rsid w:val="005D45C7"/>
    <w:rsid w:val="005D4CC7"/>
    <w:rsid w:val="005D5319"/>
    <w:rsid w:val="005D6A01"/>
    <w:rsid w:val="005D7C7D"/>
    <w:rsid w:val="005D7CA7"/>
    <w:rsid w:val="005E1419"/>
    <w:rsid w:val="005E4F54"/>
    <w:rsid w:val="005E5018"/>
    <w:rsid w:val="005E5B67"/>
    <w:rsid w:val="005E6A52"/>
    <w:rsid w:val="005E7EC7"/>
    <w:rsid w:val="005F078E"/>
    <w:rsid w:val="005F196A"/>
    <w:rsid w:val="005F226F"/>
    <w:rsid w:val="005F33F5"/>
    <w:rsid w:val="005F441F"/>
    <w:rsid w:val="005F5A0A"/>
    <w:rsid w:val="005F7031"/>
    <w:rsid w:val="005F73D6"/>
    <w:rsid w:val="00600FB3"/>
    <w:rsid w:val="006015DD"/>
    <w:rsid w:val="00602196"/>
    <w:rsid w:val="0060263E"/>
    <w:rsid w:val="00602841"/>
    <w:rsid w:val="00602B7C"/>
    <w:rsid w:val="00604586"/>
    <w:rsid w:val="00604E8D"/>
    <w:rsid w:val="00606B08"/>
    <w:rsid w:val="00611671"/>
    <w:rsid w:val="00611F8A"/>
    <w:rsid w:val="006125ED"/>
    <w:rsid w:val="006139D4"/>
    <w:rsid w:val="006143EB"/>
    <w:rsid w:val="00615671"/>
    <w:rsid w:val="00615FCA"/>
    <w:rsid w:val="00616241"/>
    <w:rsid w:val="00617E58"/>
    <w:rsid w:val="0062445F"/>
    <w:rsid w:val="00624EA6"/>
    <w:rsid w:val="006257AE"/>
    <w:rsid w:val="006261FA"/>
    <w:rsid w:val="00626910"/>
    <w:rsid w:val="006269C2"/>
    <w:rsid w:val="00627B83"/>
    <w:rsid w:val="00632811"/>
    <w:rsid w:val="00633E2F"/>
    <w:rsid w:val="0063437D"/>
    <w:rsid w:val="00634A8B"/>
    <w:rsid w:val="00634CAA"/>
    <w:rsid w:val="00635451"/>
    <w:rsid w:val="00636522"/>
    <w:rsid w:val="00637623"/>
    <w:rsid w:val="006413CA"/>
    <w:rsid w:val="00642301"/>
    <w:rsid w:val="00642913"/>
    <w:rsid w:val="00642E52"/>
    <w:rsid w:val="00643677"/>
    <w:rsid w:val="00644DBE"/>
    <w:rsid w:val="00645455"/>
    <w:rsid w:val="006456FD"/>
    <w:rsid w:val="00646B68"/>
    <w:rsid w:val="006507A3"/>
    <w:rsid w:val="0065257D"/>
    <w:rsid w:val="00652CF6"/>
    <w:rsid w:val="00653636"/>
    <w:rsid w:val="00656DD8"/>
    <w:rsid w:val="0065765F"/>
    <w:rsid w:val="00657A4B"/>
    <w:rsid w:val="00660517"/>
    <w:rsid w:val="00661067"/>
    <w:rsid w:val="006618C5"/>
    <w:rsid w:val="006623E2"/>
    <w:rsid w:val="0066240B"/>
    <w:rsid w:val="00662635"/>
    <w:rsid w:val="00662BF0"/>
    <w:rsid w:val="00662DAC"/>
    <w:rsid w:val="00664716"/>
    <w:rsid w:val="00665928"/>
    <w:rsid w:val="006662E7"/>
    <w:rsid w:val="00666F04"/>
    <w:rsid w:val="0066722F"/>
    <w:rsid w:val="00667316"/>
    <w:rsid w:val="00670837"/>
    <w:rsid w:val="00671168"/>
    <w:rsid w:val="00673D44"/>
    <w:rsid w:val="00673E3C"/>
    <w:rsid w:val="00674D9A"/>
    <w:rsid w:val="00676D05"/>
    <w:rsid w:val="00676DD2"/>
    <w:rsid w:val="0067786D"/>
    <w:rsid w:val="00681250"/>
    <w:rsid w:val="00682233"/>
    <w:rsid w:val="00683D1D"/>
    <w:rsid w:val="006860EE"/>
    <w:rsid w:val="00690FF6"/>
    <w:rsid w:val="00692DD5"/>
    <w:rsid w:val="00695AA3"/>
    <w:rsid w:val="00696ABE"/>
    <w:rsid w:val="006973F1"/>
    <w:rsid w:val="006A112A"/>
    <w:rsid w:val="006A112D"/>
    <w:rsid w:val="006A1264"/>
    <w:rsid w:val="006A16B6"/>
    <w:rsid w:val="006A1F51"/>
    <w:rsid w:val="006A2D37"/>
    <w:rsid w:val="006A3D05"/>
    <w:rsid w:val="006A4700"/>
    <w:rsid w:val="006A4BF8"/>
    <w:rsid w:val="006A528F"/>
    <w:rsid w:val="006A6594"/>
    <w:rsid w:val="006A6848"/>
    <w:rsid w:val="006A73CB"/>
    <w:rsid w:val="006A7845"/>
    <w:rsid w:val="006B06FA"/>
    <w:rsid w:val="006B0714"/>
    <w:rsid w:val="006B0889"/>
    <w:rsid w:val="006B101A"/>
    <w:rsid w:val="006B1228"/>
    <w:rsid w:val="006B150A"/>
    <w:rsid w:val="006B27A6"/>
    <w:rsid w:val="006B2D84"/>
    <w:rsid w:val="006B2FDB"/>
    <w:rsid w:val="006B588C"/>
    <w:rsid w:val="006B5FFD"/>
    <w:rsid w:val="006B77C2"/>
    <w:rsid w:val="006C1C45"/>
    <w:rsid w:val="006C3822"/>
    <w:rsid w:val="006C4595"/>
    <w:rsid w:val="006C497A"/>
    <w:rsid w:val="006C6230"/>
    <w:rsid w:val="006C6F06"/>
    <w:rsid w:val="006C73A7"/>
    <w:rsid w:val="006C7968"/>
    <w:rsid w:val="006C7CBF"/>
    <w:rsid w:val="006D051A"/>
    <w:rsid w:val="006D10A8"/>
    <w:rsid w:val="006D16F0"/>
    <w:rsid w:val="006D19BA"/>
    <w:rsid w:val="006D2931"/>
    <w:rsid w:val="006D5B95"/>
    <w:rsid w:val="006D7048"/>
    <w:rsid w:val="006E34F2"/>
    <w:rsid w:val="006E3B98"/>
    <w:rsid w:val="006E4CA6"/>
    <w:rsid w:val="006E52DF"/>
    <w:rsid w:val="006E6CCD"/>
    <w:rsid w:val="006E6FE7"/>
    <w:rsid w:val="006E7BF0"/>
    <w:rsid w:val="006E7E07"/>
    <w:rsid w:val="006E7EFB"/>
    <w:rsid w:val="006F081C"/>
    <w:rsid w:val="006F151C"/>
    <w:rsid w:val="006F1C95"/>
    <w:rsid w:val="006F3424"/>
    <w:rsid w:val="006F3F3E"/>
    <w:rsid w:val="006F47B1"/>
    <w:rsid w:val="006F60F8"/>
    <w:rsid w:val="006F64F9"/>
    <w:rsid w:val="006F6F95"/>
    <w:rsid w:val="006F7582"/>
    <w:rsid w:val="00700D78"/>
    <w:rsid w:val="00701FB9"/>
    <w:rsid w:val="00703044"/>
    <w:rsid w:val="00703294"/>
    <w:rsid w:val="007071F2"/>
    <w:rsid w:val="0071009F"/>
    <w:rsid w:val="00710506"/>
    <w:rsid w:val="007109C7"/>
    <w:rsid w:val="00711864"/>
    <w:rsid w:val="007123BF"/>
    <w:rsid w:val="007129D5"/>
    <w:rsid w:val="007147E8"/>
    <w:rsid w:val="00714EAE"/>
    <w:rsid w:val="0071545A"/>
    <w:rsid w:val="0072015B"/>
    <w:rsid w:val="007212EC"/>
    <w:rsid w:val="007226E5"/>
    <w:rsid w:val="00722762"/>
    <w:rsid w:val="00722FC9"/>
    <w:rsid w:val="0072354E"/>
    <w:rsid w:val="00724167"/>
    <w:rsid w:val="0072477F"/>
    <w:rsid w:val="007254F0"/>
    <w:rsid w:val="00726D29"/>
    <w:rsid w:val="00727E6B"/>
    <w:rsid w:val="007300E5"/>
    <w:rsid w:val="00731DF7"/>
    <w:rsid w:val="00734FBF"/>
    <w:rsid w:val="0073522D"/>
    <w:rsid w:val="00741A1E"/>
    <w:rsid w:val="007435B8"/>
    <w:rsid w:val="007435FE"/>
    <w:rsid w:val="0074449C"/>
    <w:rsid w:val="007457F4"/>
    <w:rsid w:val="00750024"/>
    <w:rsid w:val="00750730"/>
    <w:rsid w:val="00751183"/>
    <w:rsid w:val="007516C5"/>
    <w:rsid w:val="00751C4E"/>
    <w:rsid w:val="00756964"/>
    <w:rsid w:val="00757462"/>
    <w:rsid w:val="0076108A"/>
    <w:rsid w:val="00761321"/>
    <w:rsid w:val="00763A5F"/>
    <w:rsid w:val="0076444F"/>
    <w:rsid w:val="0076477D"/>
    <w:rsid w:val="00764B25"/>
    <w:rsid w:val="00764B77"/>
    <w:rsid w:val="00771A05"/>
    <w:rsid w:val="0077282D"/>
    <w:rsid w:val="00772D88"/>
    <w:rsid w:val="00776F38"/>
    <w:rsid w:val="00781229"/>
    <w:rsid w:val="00783353"/>
    <w:rsid w:val="00783489"/>
    <w:rsid w:val="00783CD4"/>
    <w:rsid w:val="0078420D"/>
    <w:rsid w:val="00786C3F"/>
    <w:rsid w:val="0078766D"/>
    <w:rsid w:val="00790E15"/>
    <w:rsid w:val="00791BC5"/>
    <w:rsid w:val="007923ED"/>
    <w:rsid w:val="0079291A"/>
    <w:rsid w:val="00793A9C"/>
    <w:rsid w:val="00794018"/>
    <w:rsid w:val="0079406F"/>
    <w:rsid w:val="00795FE8"/>
    <w:rsid w:val="00796ADA"/>
    <w:rsid w:val="00796F76"/>
    <w:rsid w:val="007974F8"/>
    <w:rsid w:val="007A02DE"/>
    <w:rsid w:val="007A2B30"/>
    <w:rsid w:val="007A2B8A"/>
    <w:rsid w:val="007A3055"/>
    <w:rsid w:val="007A4137"/>
    <w:rsid w:val="007A55F4"/>
    <w:rsid w:val="007A5AAB"/>
    <w:rsid w:val="007A6013"/>
    <w:rsid w:val="007A674F"/>
    <w:rsid w:val="007A76C9"/>
    <w:rsid w:val="007A7935"/>
    <w:rsid w:val="007B129A"/>
    <w:rsid w:val="007B2EFF"/>
    <w:rsid w:val="007B4B87"/>
    <w:rsid w:val="007B4C41"/>
    <w:rsid w:val="007B51C8"/>
    <w:rsid w:val="007B5377"/>
    <w:rsid w:val="007B5640"/>
    <w:rsid w:val="007B58C8"/>
    <w:rsid w:val="007B63DD"/>
    <w:rsid w:val="007B64B5"/>
    <w:rsid w:val="007C1BE6"/>
    <w:rsid w:val="007C3147"/>
    <w:rsid w:val="007C54DE"/>
    <w:rsid w:val="007C5BB1"/>
    <w:rsid w:val="007C70B8"/>
    <w:rsid w:val="007C7785"/>
    <w:rsid w:val="007D0B76"/>
    <w:rsid w:val="007D397A"/>
    <w:rsid w:val="007D4455"/>
    <w:rsid w:val="007D7F33"/>
    <w:rsid w:val="007E11DF"/>
    <w:rsid w:val="007E3C9F"/>
    <w:rsid w:val="007E3DCA"/>
    <w:rsid w:val="007E40FD"/>
    <w:rsid w:val="007E4CD5"/>
    <w:rsid w:val="007E5790"/>
    <w:rsid w:val="007E5A97"/>
    <w:rsid w:val="007E7797"/>
    <w:rsid w:val="007E7EE6"/>
    <w:rsid w:val="007F02D7"/>
    <w:rsid w:val="007F127C"/>
    <w:rsid w:val="007F1868"/>
    <w:rsid w:val="007F1C34"/>
    <w:rsid w:val="007F5AA0"/>
    <w:rsid w:val="007F60D1"/>
    <w:rsid w:val="007F6B4C"/>
    <w:rsid w:val="007F6E95"/>
    <w:rsid w:val="007F6ECF"/>
    <w:rsid w:val="00800677"/>
    <w:rsid w:val="00800EA4"/>
    <w:rsid w:val="00801073"/>
    <w:rsid w:val="008017B1"/>
    <w:rsid w:val="00802124"/>
    <w:rsid w:val="00802B3E"/>
    <w:rsid w:val="008037AF"/>
    <w:rsid w:val="008038C8"/>
    <w:rsid w:val="008040AF"/>
    <w:rsid w:val="008046F4"/>
    <w:rsid w:val="00804A2A"/>
    <w:rsid w:val="0080575F"/>
    <w:rsid w:val="00805976"/>
    <w:rsid w:val="0081069C"/>
    <w:rsid w:val="00811124"/>
    <w:rsid w:val="0081136B"/>
    <w:rsid w:val="0081149E"/>
    <w:rsid w:val="00811E1B"/>
    <w:rsid w:val="008123E7"/>
    <w:rsid w:val="0081387A"/>
    <w:rsid w:val="00813DEF"/>
    <w:rsid w:val="0081419F"/>
    <w:rsid w:val="008146BE"/>
    <w:rsid w:val="00815036"/>
    <w:rsid w:val="00817DE8"/>
    <w:rsid w:val="008209D7"/>
    <w:rsid w:val="0082140E"/>
    <w:rsid w:val="00821EF7"/>
    <w:rsid w:val="008220D1"/>
    <w:rsid w:val="00824CB9"/>
    <w:rsid w:val="00825C68"/>
    <w:rsid w:val="00825E2C"/>
    <w:rsid w:val="00826440"/>
    <w:rsid w:val="008268A1"/>
    <w:rsid w:val="00826B75"/>
    <w:rsid w:val="00831841"/>
    <w:rsid w:val="0083222C"/>
    <w:rsid w:val="008325D1"/>
    <w:rsid w:val="00834A5E"/>
    <w:rsid w:val="00834ADB"/>
    <w:rsid w:val="00836476"/>
    <w:rsid w:val="008378BF"/>
    <w:rsid w:val="00840FF9"/>
    <w:rsid w:val="00842C78"/>
    <w:rsid w:val="008431DA"/>
    <w:rsid w:val="00843864"/>
    <w:rsid w:val="00844C4E"/>
    <w:rsid w:val="008502BF"/>
    <w:rsid w:val="00850907"/>
    <w:rsid w:val="00850B8D"/>
    <w:rsid w:val="00851099"/>
    <w:rsid w:val="00851837"/>
    <w:rsid w:val="008545EB"/>
    <w:rsid w:val="00855CC7"/>
    <w:rsid w:val="00856CC7"/>
    <w:rsid w:val="00857D9B"/>
    <w:rsid w:val="008600BB"/>
    <w:rsid w:val="008638F9"/>
    <w:rsid w:val="00863EB9"/>
    <w:rsid w:val="00864544"/>
    <w:rsid w:val="00865ED9"/>
    <w:rsid w:val="008671A5"/>
    <w:rsid w:val="0086733E"/>
    <w:rsid w:val="00867B80"/>
    <w:rsid w:val="00873C92"/>
    <w:rsid w:val="00873F2E"/>
    <w:rsid w:val="00874BD8"/>
    <w:rsid w:val="008751AE"/>
    <w:rsid w:val="00875854"/>
    <w:rsid w:val="00877054"/>
    <w:rsid w:val="00877495"/>
    <w:rsid w:val="00877658"/>
    <w:rsid w:val="0087795B"/>
    <w:rsid w:val="00880265"/>
    <w:rsid w:val="00880AED"/>
    <w:rsid w:val="00882AB0"/>
    <w:rsid w:val="00883B38"/>
    <w:rsid w:val="00883F90"/>
    <w:rsid w:val="00886395"/>
    <w:rsid w:val="00891B7D"/>
    <w:rsid w:val="00892181"/>
    <w:rsid w:val="008945A1"/>
    <w:rsid w:val="00894F4B"/>
    <w:rsid w:val="008957D8"/>
    <w:rsid w:val="008966C1"/>
    <w:rsid w:val="00897778"/>
    <w:rsid w:val="008977FC"/>
    <w:rsid w:val="00897D88"/>
    <w:rsid w:val="008A1BB5"/>
    <w:rsid w:val="008A1D49"/>
    <w:rsid w:val="008A218A"/>
    <w:rsid w:val="008A27A2"/>
    <w:rsid w:val="008A36E0"/>
    <w:rsid w:val="008A641F"/>
    <w:rsid w:val="008A69FA"/>
    <w:rsid w:val="008A72EA"/>
    <w:rsid w:val="008A7C91"/>
    <w:rsid w:val="008B2451"/>
    <w:rsid w:val="008B337F"/>
    <w:rsid w:val="008B36D0"/>
    <w:rsid w:val="008B4C33"/>
    <w:rsid w:val="008B6137"/>
    <w:rsid w:val="008B709E"/>
    <w:rsid w:val="008B7E37"/>
    <w:rsid w:val="008C0657"/>
    <w:rsid w:val="008C08AB"/>
    <w:rsid w:val="008C127C"/>
    <w:rsid w:val="008C315E"/>
    <w:rsid w:val="008C34E7"/>
    <w:rsid w:val="008C3B62"/>
    <w:rsid w:val="008C3C38"/>
    <w:rsid w:val="008D28BE"/>
    <w:rsid w:val="008D3B0D"/>
    <w:rsid w:val="008D4FD1"/>
    <w:rsid w:val="008D5342"/>
    <w:rsid w:val="008D5E33"/>
    <w:rsid w:val="008D7AD5"/>
    <w:rsid w:val="008E0368"/>
    <w:rsid w:val="008E0AAB"/>
    <w:rsid w:val="008E169C"/>
    <w:rsid w:val="008E58CF"/>
    <w:rsid w:val="008F0615"/>
    <w:rsid w:val="008F0954"/>
    <w:rsid w:val="008F0EE9"/>
    <w:rsid w:val="008F2490"/>
    <w:rsid w:val="008F2797"/>
    <w:rsid w:val="008F30AE"/>
    <w:rsid w:val="008F3938"/>
    <w:rsid w:val="008F3A80"/>
    <w:rsid w:val="008F4C0C"/>
    <w:rsid w:val="008F50DE"/>
    <w:rsid w:val="008F5134"/>
    <w:rsid w:val="008F64B5"/>
    <w:rsid w:val="008F6BC8"/>
    <w:rsid w:val="00900A2C"/>
    <w:rsid w:val="00900AA6"/>
    <w:rsid w:val="00900C3A"/>
    <w:rsid w:val="00901E55"/>
    <w:rsid w:val="00902CF3"/>
    <w:rsid w:val="0090351D"/>
    <w:rsid w:val="0090431E"/>
    <w:rsid w:val="00904F86"/>
    <w:rsid w:val="00906068"/>
    <w:rsid w:val="009062A6"/>
    <w:rsid w:val="00906859"/>
    <w:rsid w:val="009069A9"/>
    <w:rsid w:val="009071C4"/>
    <w:rsid w:val="00910F9E"/>
    <w:rsid w:val="00911473"/>
    <w:rsid w:val="00911749"/>
    <w:rsid w:val="00911E1E"/>
    <w:rsid w:val="0091265C"/>
    <w:rsid w:val="00913B89"/>
    <w:rsid w:val="009141E2"/>
    <w:rsid w:val="00914615"/>
    <w:rsid w:val="00914947"/>
    <w:rsid w:val="009150C6"/>
    <w:rsid w:val="009153CF"/>
    <w:rsid w:val="009155D1"/>
    <w:rsid w:val="00916CB9"/>
    <w:rsid w:val="009174FB"/>
    <w:rsid w:val="00920AF7"/>
    <w:rsid w:val="00920E71"/>
    <w:rsid w:val="00921284"/>
    <w:rsid w:val="0092215C"/>
    <w:rsid w:val="009232F0"/>
    <w:rsid w:val="00925E28"/>
    <w:rsid w:val="009262E2"/>
    <w:rsid w:val="00931A87"/>
    <w:rsid w:val="00932EC8"/>
    <w:rsid w:val="00933379"/>
    <w:rsid w:val="009334AE"/>
    <w:rsid w:val="00933696"/>
    <w:rsid w:val="00934CFF"/>
    <w:rsid w:val="00935016"/>
    <w:rsid w:val="00936BB8"/>
    <w:rsid w:val="00937A34"/>
    <w:rsid w:val="00940C5E"/>
    <w:rsid w:val="00940C73"/>
    <w:rsid w:val="00940E81"/>
    <w:rsid w:val="00941058"/>
    <w:rsid w:val="009423FE"/>
    <w:rsid w:val="009436DF"/>
    <w:rsid w:val="00944280"/>
    <w:rsid w:val="00944767"/>
    <w:rsid w:val="0094582A"/>
    <w:rsid w:val="009458FD"/>
    <w:rsid w:val="00945950"/>
    <w:rsid w:val="00950431"/>
    <w:rsid w:val="009535AB"/>
    <w:rsid w:val="009557D4"/>
    <w:rsid w:val="00955828"/>
    <w:rsid w:val="00955D7C"/>
    <w:rsid w:val="009603F2"/>
    <w:rsid w:val="009619E7"/>
    <w:rsid w:val="00961FBE"/>
    <w:rsid w:val="00962EBB"/>
    <w:rsid w:val="00962FD3"/>
    <w:rsid w:val="00963425"/>
    <w:rsid w:val="00963BA3"/>
    <w:rsid w:val="0096456A"/>
    <w:rsid w:val="00965F03"/>
    <w:rsid w:val="00967552"/>
    <w:rsid w:val="0097156A"/>
    <w:rsid w:val="00971BAE"/>
    <w:rsid w:val="00972B31"/>
    <w:rsid w:val="00973F9D"/>
    <w:rsid w:val="00974055"/>
    <w:rsid w:val="00975A2F"/>
    <w:rsid w:val="00977A1A"/>
    <w:rsid w:val="00980E61"/>
    <w:rsid w:val="00980E8B"/>
    <w:rsid w:val="009822C0"/>
    <w:rsid w:val="00983951"/>
    <w:rsid w:val="0098477B"/>
    <w:rsid w:val="009866FC"/>
    <w:rsid w:val="00986870"/>
    <w:rsid w:val="00987424"/>
    <w:rsid w:val="00987798"/>
    <w:rsid w:val="00990334"/>
    <w:rsid w:val="009906B8"/>
    <w:rsid w:val="00990DB8"/>
    <w:rsid w:val="00991AE0"/>
    <w:rsid w:val="00991C7E"/>
    <w:rsid w:val="0099298D"/>
    <w:rsid w:val="00992F2F"/>
    <w:rsid w:val="00993A93"/>
    <w:rsid w:val="00993E3A"/>
    <w:rsid w:val="009955F4"/>
    <w:rsid w:val="00995B70"/>
    <w:rsid w:val="00997755"/>
    <w:rsid w:val="009A0B31"/>
    <w:rsid w:val="009A1B88"/>
    <w:rsid w:val="009A2130"/>
    <w:rsid w:val="009A2D1C"/>
    <w:rsid w:val="009A3C0E"/>
    <w:rsid w:val="009A440E"/>
    <w:rsid w:val="009A56D7"/>
    <w:rsid w:val="009A6946"/>
    <w:rsid w:val="009B0E3D"/>
    <w:rsid w:val="009B1C93"/>
    <w:rsid w:val="009B2246"/>
    <w:rsid w:val="009B33EF"/>
    <w:rsid w:val="009B3C73"/>
    <w:rsid w:val="009B456C"/>
    <w:rsid w:val="009B4E58"/>
    <w:rsid w:val="009B5841"/>
    <w:rsid w:val="009B5C71"/>
    <w:rsid w:val="009B6341"/>
    <w:rsid w:val="009B6C21"/>
    <w:rsid w:val="009B710E"/>
    <w:rsid w:val="009C2341"/>
    <w:rsid w:val="009C4952"/>
    <w:rsid w:val="009C4AEB"/>
    <w:rsid w:val="009D0168"/>
    <w:rsid w:val="009D0876"/>
    <w:rsid w:val="009D1FF0"/>
    <w:rsid w:val="009D479A"/>
    <w:rsid w:val="009D4835"/>
    <w:rsid w:val="009D5A67"/>
    <w:rsid w:val="009E047F"/>
    <w:rsid w:val="009E2D22"/>
    <w:rsid w:val="009E3A9B"/>
    <w:rsid w:val="009E44E4"/>
    <w:rsid w:val="009E5471"/>
    <w:rsid w:val="009E67A7"/>
    <w:rsid w:val="009E7BB4"/>
    <w:rsid w:val="009F13CA"/>
    <w:rsid w:val="009F1754"/>
    <w:rsid w:val="009F1C18"/>
    <w:rsid w:val="009F209D"/>
    <w:rsid w:val="009F2FF0"/>
    <w:rsid w:val="009F31E7"/>
    <w:rsid w:val="009F3894"/>
    <w:rsid w:val="009F3DBD"/>
    <w:rsid w:val="009F4A5E"/>
    <w:rsid w:val="009F4F34"/>
    <w:rsid w:val="009F5366"/>
    <w:rsid w:val="009F586A"/>
    <w:rsid w:val="009F7069"/>
    <w:rsid w:val="009F7BFF"/>
    <w:rsid w:val="00A0244A"/>
    <w:rsid w:val="00A0283C"/>
    <w:rsid w:val="00A02A54"/>
    <w:rsid w:val="00A03D0C"/>
    <w:rsid w:val="00A057AA"/>
    <w:rsid w:val="00A058A2"/>
    <w:rsid w:val="00A07D53"/>
    <w:rsid w:val="00A109E8"/>
    <w:rsid w:val="00A1135F"/>
    <w:rsid w:val="00A11BCC"/>
    <w:rsid w:val="00A124B5"/>
    <w:rsid w:val="00A13772"/>
    <w:rsid w:val="00A14178"/>
    <w:rsid w:val="00A149AD"/>
    <w:rsid w:val="00A15526"/>
    <w:rsid w:val="00A17989"/>
    <w:rsid w:val="00A230B5"/>
    <w:rsid w:val="00A2376F"/>
    <w:rsid w:val="00A24508"/>
    <w:rsid w:val="00A24A9C"/>
    <w:rsid w:val="00A2585D"/>
    <w:rsid w:val="00A26127"/>
    <w:rsid w:val="00A262F5"/>
    <w:rsid w:val="00A26E6A"/>
    <w:rsid w:val="00A30DA3"/>
    <w:rsid w:val="00A31003"/>
    <w:rsid w:val="00A31A81"/>
    <w:rsid w:val="00A32079"/>
    <w:rsid w:val="00A32FB3"/>
    <w:rsid w:val="00A34490"/>
    <w:rsid w:val="00A35ED0"/>
    <w:rsid w:val="00A36AB8"/>
    <w:rsid w:val="00A40992"/>
    <w:rsid w:val="00A41D9D"/>
    <w:rsid w:val="00A41FAC"/>
    <w:rsid w:val="00A42777"/>
    <w:rsid w:val="00A438A2"/>
    <w:rsid w:val="00A44E68"/>
    <w:rsid w:val="00A45043"/>
    <w:rsid w:val="00A455BF"/>
    <w:rsid w:val="00A45B86"/>
    <w:rsid w:val="00A46D6A"/>
    <w:rsid w:val="00A5075C"/>
    <w:rsid w:val="00A5160A"/>
    <w:rsid w:val="00A52917"/>
    <w:rsid w:val="00A53AA2"/>
    <w:rsid w:val="00A53C04"/>
    <w:rsid w:val="00A553B2"/>
    <w:rsid w:val="00A56904"/>
    <w:rsid w:val="00A57A9E"/>
    <w:rsid w:val="00A612B4"/>
    <w:rsid w:val="00A61BE9"/>
    <w:rsid w:val="00A6391B"/>
    <w:rsid w:val="00A63A47"/>
    <w:rsid w:val="00A64762"/>
    <w:rsid w:val="00A648EB"/>
    <w:rsid w:val="00A65FF1"/>
    <w:rsid w:val="00A6646F"/>
    <w:rsid w:val="00A67106"/>
    <w:rsid w:val="00A72183"/>
    <w:rsid w:val="00A72417"/>
    <w:rsid w:val="00A73742"/>
    <w:rsid w:val="00A73C6F"/>
    <w:rsid w:val="00A74C78"/>
    <w:rsid w:val="00A757F6"/>
    <w:rsid w:val="00A7612B"/>
    <w:rsid w:val="00A762E8"/>
    <w:rsid w:val="00A76FB5"/>
    <w:rsid w:val="00A814F1"/>
    <w:rsid w:val="00A81848"/>
    <w:rsid w:val="00A81F5D"/>
    <w:rsid w:val="00A834BA"/>
    <w:rsid w:val="00A83674"/>
    <w:rsid w:val="00A850BD"/>
    <w:rsid w:val="00A86CA2"/>
    <w:rsid w:val="00A86CFF"/>
    <w:rsid w:val="00A86D5B"/>
    <w:rsid w:val="00A87072"/>
    <w:rsid w:val="00A8745E"/>
    <w:rsid w:val="00A8786F"/>
    <w:rsid w:val="00A908ED"/>
    <w:rsid w:val="00A914B3"/>
    <w:rsid w:val="00A91904"/>
    <w:rsid w:val="00A91BE9"/>
    <w:rsid w:val="00A9213E"/>
    <w:rsid w:val="00A923B5"/>
    <w:rsid w:val="00A95E3A"/>
    <w:rsid w:val="00AA10AF"/>
    <w:rsid w:val="00AA11EA"/>
    <w:rsid w:val="00AA2EFE"/>
    <w:rsid w:val="00AA388F"/>
    <w:rsid w:val="00AA39D7"/>
    <w:rsid w:val="00AA5B14"/>
    <w:rsid w:val="00AA6248"/>
    <w:rsid w:val="00AA6BEE"/>
    <w:rsid w:val="00AA6E9F"/>
    <w:rsid w:val="00AA7BB7"/>
    <w:rsid w:val="00AA7ED2"/>
    <w:rsid w:val="00AB21EE"/>
    <w:rsid w:val="00AB22C1"/>
    <w:rsid w:val="00AB35FF"/>
    <w:rsid w:val="00AB370B"/>
    <w:rsid w:val="00AB3A6E"/>
    <w:rsid w:val="00AB3B91"/>
    <w:rsid w:val="00AB5E08"/>
    <w:rsid w:val="00AB7B1B"/>
    <w:rsid w:val="00AC1A1E"/>
    <w:rsid w:val="00AC25AF"/>
    <w:rsid w:val="00AC298E"/>
    <w:rsid w:val="00AC2CFD"/>
    <w:rsid w:val="00AC4B24"/>
    <w:rsid w:val="00AC59C1"/>
    <w:rsid w:val="00AC61C3"/>
    <w:rsid w:val="00AC6860"/>
    <w:rsid w:val="00AC6AB7"/>
    <w:rsid w:val="00AD062A"/>
    <w:rsid w:val="00AD1314"/>
    <w:rsid w:val="00AD44A5"/>
    <w:rsid w:val="00AD4A32"/>
    <w:rsid w:val="00AD73A5"/>
    <w:rsid w:val="00AE4791"/>
    <w:rsid w:val="00AE498E"/>
    <w:rsid w:val="00AE5201"/>
    <w:rsid w:val="00AE5CF1"/>
    <w:rsid w:val="00AE6ECE"/>
    <w:rsid w:val="00AE7659"/>
    <w:rsid w:val="00AE7DA4"/>
    <w:rsid w:val="00AF0460"/>
    <w:rsid w:val="00AF0EF4"/>
    <w:rsid w:val="00AF2EEF"/>
    <w:rsid w:val="00AF30CE"/>
    <w:rsid w:val="00AF489F"/>
    <w:rsid w:val="00AF6E84"/>
    <w:rsid w:val="00AF7AC7"/>
    <w:rsid w:val="00B008A4"/>
    <w:rsid w:val="00B01115"/>
    <w:rsid w:val="00B014EA"/>
    <w:rsid w:val="00B025FD"/>
    <w:rsid w:val="00B031B9"/>
    <w:rsid w:val="00B035A4"/>
    <w:rsid w:val="00B040EE"/>
    <w:rsid w:val="00B0425F"/>
    <w:rsid w:val="00B11032"/>
    <w:rsid w:val="00B11949"/>
    <w:rsid w:val="00B12017"/>
    <w:rsid w:val="00B15944"/>
    <w:rsid w:val="00B163C6"/>
    <w:rsid w:val="00B16A6F"/>
    <w:rsid w:val="00B16C51"/>
    <w:rsid w:val="00B201FF"/>
    <w:rsid w:val="00B2116C"/>
    <w:rsid w:val="00B21AD9"/>
    <w:rsid w:val="00B22E83"/>
    <w:rsid w:val="00B2356B"/>
    <w:rsid w:val="00B24D9A"/>
    <w:rsid w:val="00B25AE5"/>
    <w:rsid w:val="00B2633C"/>
    <w:rsid w:val="00B26352"/>
    <w:rsid w:val="00B26430"/>
    <w:rsid w:val="00B26833"/>
    <w:rsid w:val="00B26C80"/>
    <w:rsid w:val="00B27252"/>
    <w:rsid w:val="00B272CB"/>
    <w:rsid w:val="00B275AC"/>
    <w:rsid w:val="00B30560"/>
    <w:rsid w:val="00B30BDC"/>
    <w:rsid w:val="00B31DBB"/>
    <w:rsid w:val="00B31EF1"/>
    <w:rsid w:val="00B32FE9"/>
    <w:rsid w:val="00B339AA"/>
    <w:rsid w:val="00B37220"/>
    <w:rsid w:val="00B37747"/>
    <w:rsid w:val="00B37DC9"/>
    <w:rsid w:val="00B41065"/>
    <w:rsid w:val="00B413B1"/>
    <w:rsid w:val="00B42083"/>
    <w:rsid w:val="00B422B5"/>
    <w:rsid w:val="00B4364B"/>
    <w:rsid w:val="00B43B0B"/>
    <w:rsid w:val="00B43E46"/>
    <w:rsid w:val="00B46539"/>
    <w:rsid w:val="00B466FD"/>
    <w:rsid w:val="00B47BDB"/>
    <w:rsid w:val="00B50D22"/>
    <w:rsid w:val="00B51ADA"/>
    <w:rsid w:val="00B5303B"/>
    <w:rsid w:val="00B541EE"/>
    <w:rsid w:val="00B5636F"/>
    <w:rsid w:val="00B57A71"/>
    <w:rsid w:val="00B57ED3"/>
    <w:rsid w:val="00B60A87"/>
    <w:rsid w:val="00B61C71"/>
    <w:rsid w:val="00B624B7"/>
    <w:rsid w:val="00B62561"/>
    <w:rsid w:val="00B62A8D"/>
    <w:rsid w:val="00B63099"/>
    <w:rsid w:val="00B64A8A"/>
    <w:rsid w:val="00B64B72"/>
    <w:rsid w:val="00B65823"/>
    <w:rsid w:val="00B6609C"/>
    <w:rsid w:val="00B679DC"/>
    <w:rsid w:val="00B71D23"/>
    <w:rsid w:val="00B721B1"/>
    <w:rsid w:val="00B72768"/>
    <w:rsid w:val="00B729AF"/>
    <w:rsid w:val="00B72AF6"/>
    <w:rsid w:val="00B72E3B"/>
    <w:rsid w:val="00B74972"/>
    <w:rsid w:val="00B80015"/>
    <w:rsid w:val="00B82449"/>
    <w:rsid w:val="00B83F34"/>
    <w:rsid w:val="00B8555C"/>
    <w:rsid w:val="00B86424"/>
    <w:rsid w:val="00B866EE"/>
    <w:rsid w:val="00B869D7"/>
    <w:rsid w:val="00B90415"/>
    <w:rsid w:val="00B91AFE"/>
    <w:rsid w:val="00B926CC"/>
    <w:rsid w:val="00B92EAF"/>
    <w:rsid w:val="00B93127"/>
    <w:rsid w:val="00B93295"/>
    <w:rsid w:val="00B933AF"/>
    <w:rsid w:val="00B965DC"/>
    <w:rsid w:val="00B96CF3"/>
    <w:rsid w:val="00B96D9F"/>
    <w:rsid w:val="00B96DE7"/>
    <w:rsid w:val="00B97F19"/>
    <w:rsid w:val="00B97F37"/>
    <w:rsid w:val="00BA1759"/>
    <w:rsid w:val="00BA1851"/>
    <w:rsid w:val="00BA327D"/>
    <w:rsid w:val="00BA37D3"/>
    <w:rsid w:val="00BA4318"/>
    <w:rsid w:val="00BA4D99"/>
    <w:rsid w:val="00BA4E3C"/>
    <w:rsid w:val="00BA6845"/>
    <w:rsid w:val="00BA7738"/>
    <w:rsid w:val="00BB0D46"/>
    <w:rsid w:val="00BB1284"/>
    <w:rsid w:val="00BB1CE9"/>
    <w:rsid w:val="00BB2D20"/>
    <w:rsid w:val="00BB3D6F"/>
    <w:rsid w:val="00BB3DC1"/>
    <w:rsid w:val="00BB4123"/>
    <w:rsid w:val="00BB4206"/>
    <w:rsid w:val="00BB4C1C"/>
    <w:rsid w:val="00BB586A"/>
    <w:rsid w:val="00BB68BE"/>
    <w:rsid w:val="00BC0E0E"/>
    <w:rsid w:val="00BC12CE"/>
    <w:rsid w:val="00BC203B"/>
    <w:rsid w:val="00BC2A47"/>
    <w:rsid w:val="00BC6794"/>
    <w:rsid w:val="00BC68BA"/>
    <w:rsid w:val="00BD0D01"/>
    <w:rsid w:val="00BD258B"/>
    <w:rsid w:val="00BD2E95"/>
    <w:rsid w:val="00BD4836"/>
    <w:rsid w:val="00BD54C5"/>
    <w:rsid w:val="00BD656E"/>
    <w:rsid w:val="00BE0775"/>
    <w:rsid w:val="00BE0D0B"/>
    <w:rsid w:val="00BE19B5"/>
    <w:rsid w:val="00BE32CB"/>
    <w:rsid w:val="00BE4207"/>
    <w:rsid w:val="00BE4664"/>
    <w:rsid w:val="00BF010D"/>
    <w:rsid w:val="00BF10CC"/>
    <w:rsid w:val="00BF1717"/>
    <w:rsid w:val="00BF19DB"/>
    <w:rsid w:val="00BF28CC"/>
    <w:rsid w:val="00BF7C9D"/>
    <w:rsid w:val="00C02210"/>
    <w:rsid w:val="00C02689"/>
    <w:rsid w:val="00C0287B"/>
    <w:rsid w:val="00C028C0"/>
    <w:rsid w:val="00C02CFF"/>
    <w:rsid w:val="00C03390"/>
    <w:rsid w:val="00C03970"/>
    <w:rsid w:val="00C03CE1"/>
    <w:rsid w:val="00C049C0"/>
    <w:rsid w:val="00C108BB"/>
    <w:rsid w:val="00C11AC7"/>
    <w:rsid w:val="00C11C97"/>
    <w:rsid w:val="00C157EB"/>
    <w:rsid w:val="00C15CD6"/>
    <w:rsid w:val="00C162A7"/>
    <w:rsid w:val="00C16E55"/>
    <w:rsid w:val="00C1702F"/>
    <w:rsid w:val="00C2043E"/>
    <w:rsid w:val="00C20C32"/>
    <w:rsid w:val="00C222FC"/>
    <w:rsid w:val="00C23176"/>
    <w:rsid w:val="00C24E81"/>
    <w:rsid w:val="00C26146"/>
    <w:rsid w:val="00C2627A"/>
    <w:rsid w:val="00C26E75"/>
    <w:rsid w:val="00C3317E"/>
    <w:rsid w:val="00C3590B"/>
    <w:rsid w:val="00C35B75"/>
    <w:rsid w:val="00C35C65"/>
    <w:rsid w:val="00C368AC"/>
    <w:rsid w:val="00C36BBB"/>
    <w:rsid w:val="00C402A0"/>
    <w:rsid w:val="00C40C68"/>
    <w:rsid w:val="00C418CC"/>
    <w:rsid w:val="00C437C6"/>
    <w:rsid w:val="00C44946"/>
    <w:rsid w:val="00C44CFB"/>
    <w:rsid w:val="00C466A0"/>
    <w:rsid w:val="00C47EB8"/>
    <w:rsid w:val="00C51297"/>
    <w:rsid w:val="00C52879"/>
    <w:rsid w:val="00C52B8C"/>
    <w:rsid w:val="00C530F8"/>
    <w:rsid w:val="00C5316F"/>
    <w:rsid w:val="00C54845"/>
    <w:rsid w:val="00C56392"/>
    <w:rsid w:val="00C56954"/>
    <w:rsid w:val="00C574B3"/>
    <w:rsid w:val="00C6135C"/>
    <w:rsid w:val="00C61E86"/>
    <w:rsid w:val="00C634AF"/>
    <w:rsid w:val="00C63644"/>
    <w:rsid w:val="00C64927"/>
    <w:rsid w:val="00C64A33"/>
    <w:rsid w:val="00C65C9B"/>
    <w:rsid w:val="00C675C4"/>
    <w:rsid w:val="00C6761B"/>
    <w:rsid w:val="00C73221"/>
    <w:rsid w:val="00C73E7A"/>
    <w:rsid w:val="00C7469E"/>
    <w:rsid w:val="00C774D7"/>
    <w:rsid w:val="00C77905"/>
    <w:rsid w:val="00C804A6"/>
    <w:rsid w:val="00C80A2E"/>
    <w:rsid w:val="00C80A95"/>
    <w:rsid w:val="00C81DD9"/>
    <w:rsid w:val="00C828E5"/>
    <w:rsid w:val="00C84CB3"/>
    <w:rsid w:val="00C856EF"/>
    <w:rsid w:val="00C85A3B"/>
    <w:rsid w:val="00C85A84"/>
    <w:rsid w:val="00C85AA3"/>
    <w:rsid w:val="00C85DC8"/>
    <w:rsid w:val="00C8652E"/>
    <w:rsid w:val="00C87418"/>
    <w:rsid w:val="00C87605"/>
    <w:rsid w:val="00C90803"/>
    <w:rsid w:val="00C94541"/>
    <w:rsid w:val="00C946F5"/>
    <w:rsid w:val="00C959DC"/>
    <w:rsid w:val="00C95D51"/>
    <w:rsid w:val="00C9606C"/>
    <w:rsid w:val="00C96229"/>
    <w:rsid w:val="00CA01EB"/>
    <w:rsid w:val="00CA0B83"/>
    <w:rsid w:val="00CA0DB0"/>
    <w:rsid w:val="00CA1C03"/>
    <w:rsid w:val="00CA1EED"/>
    <w:rsid w:val="00CA2A57"/>
    <w:rsid w:val="00CA6B88"/>
    <w:rsid w:val="00CA7FBC"/>
    <w:rsid w:val="00CB063F"/>
    <w:rsid w:val="00CB1175"/>
    <w:rsid w:val="00CB15C9"/>
    <w:rsid w:val="00CB3B19"/>
    <w:rsid w:val="00CB56BB"/>
    <w:rsid w:val="00CB6AEC"/>
    <w:rsid w:val="00CB722D"/>
    <w:rsid w:val="00CB77EC"/>
    <w:rsid w:val="00CC0EB1"/>
    <w:rsid w:val="00CC1A37"/>
    <w:rsid w:val="00CC1EBB"/>
    <w:rsid w:val="00CC2573"/>
    <w:rsid w:val="00CC5B19"/>
    <w:rsid w:val="00CD0B92"/>
    <w:rsid w:val="00CD240C"/>
    <w:rsid w:val="00CD3B71"/>
    <w:rsid w:val="00CD53D0"/>
    <w:rsid w:val="00CD5405"/>
    <w:rsid w:val="00CD5449"/>
    <w:rsid w:val="00CD59B4"/>
    <w:rsid w:val="00CD709D"/>
    <w:rsid w:val="00CD7DAB"/>
    <w:rsid w:val="00CE25CE"/>
    <w:rsid w:val="00CE287B"/>
    <w:rsid w:val="00CE404D"/>
    <w:rsid w:val="00CE5A75"/>
    <w:rsid w:val="00CE7539"/>
    <w:rsid w:val="00CE75D2"/>
    <w:rsid w:val="00CF149B"/>
    <w:rsid w:val="00CF15DB"/>
    <w:rsid w:val="00CF1FE8"/>
    <w:rsid w:val="00CF302F"/>
    <w:rsid w:val="00CF5C58"/>
    <w:rsid w:val="00CF6BFE"/>
    <w:rsid w:val="00CF7703"/>
    <w:rsid w:val="00CF7D69"/>
    <w:rsid w:val="00D00133"/>
    <w:rsid w:val="00D00780"/>
    <w:rsid w:val="00D010B3"/>
    <w:rsid w:val="00D0131B"/>
    <w:rsid w:val="00D017B9"/>
    <w:rsid w:val="00D04BCF"/>
    <w:rsid w:val="00D054EE"/>
    <w:rsid w:val="00D05F21"/>
    <w:rsid w:val="00D06EED"/>
    <w:rsid w:val="00D06FFF"/>
    <w:rsid w:val="00D072EC"/>
    <w:rsid w:val="00D077AE"/>
    <w:rsid w:val="00D07E65"/>
    <w:rsid w:val="00D10279"/>
    <w:rsid w:val="00D11ED9"/>
    <w:rsid w:val="00D126CD"/>
    <w:rsid w:val="00D12D09"/>
    <w:rsid w:val="00D12E20"/>
    <w:rsid w:val="00D13373"/>
    <w:rsid w:val="00D15467"/>
    <w:rsid w:val="00D16D5D"/>
    <w:rsid w:val="00D1767F"/>
    <w:rsid w:val="00D20205"/>
    <w:rsid w:val="00D202E4"/>
    <w:rsid w:val="00D22859"/>
    <w:rsid w:val="00D229E0"/>
    <w:rsid w:val="00D22C8D"/>
    <w:rsid w:val="00D22E34"/>
    <w:rsid w:val="00D242E5"/>
    <w:rsid w:val="00D24FB9"/>
    <w:rsid w:val="00D25D10"/>
    <w:rsid w:val="00D26C18"/>
    <w:rsid w:val="00D27F6F"/>
    <w:rsid w:val="00D314BF"/>
    <w:rsid w:val="00D33729"/>
    <w:rsid w:val="00D3391C"/>
    <w:rsid w:val="00D33950"/>
    <w:rsid w:val="00D344FC"/>
    <w:rsid w:val="00D34D57"/>
    <w:rsid w:val="00D37D81"/>
    <w:rsid w:val="00D40D65"/>
    <w:rsid w:val="00D43C52"/>
    <w:rsid w:val="00D442CF"/>
    <w:rsid w:val="00D449B4"/>
    <w:rsid w:val="00D46BF4"/>
    <w:rsid w:val="00D53ADC"/>
    <w:rsid w:val="00D543AC"/>
    <w:rsid w:val="00D549CC"/>
    <w:rsid w:val="00D55A8A"/>
    <w:rsid w:val="00D55CB1"/>
    <w:rsid w:val="00D55E2A"/>
    <w:rsid w:val="00D56123"/>
    <w:rsid w:val="00D56966"/>
    <w:rsid w:val="00D574F2"/>
    <w:rsid w:val="00D57516"/>
    <w:rsid w:val="00D602AB"/>
    <w:rsid w:val="00D605B0"/>
    <w:rsid w:val="00D61686"/>
    <w:rsid w:val="00D6221B"/>
    <w:rsid w:val="00D657A6"/>
    <w:rsid w:val="00D6669E"/>
    <w:rsid w:val="00D66D80"/>
    <w:rsid w:val="00D70466"/>
    <w:rsid w:val="00D70A39"/>
    <w:rsid w:val="00D725F0"/>
    <w:rsid w:val="00D72AF1"/>
    <w:rsid w:val="00D7364B"/>
    <w:rsid w:val="00D739FD"/>
    <w:rsid w:val="00D7464E"/>
    <w:rsid w:val="00D74B5F"/>
    <w:rsid w:val="00D765CB"/>
    <w:rsid w:val="00D76A69"/>
    <w:rsid w:val="00D76FE5"/>
    <w:rsid w:val="00D77654"/>
    <w:rsid w:val="00D80476"/>
    <w:rsid w:val="00D81455"/>
    <w:rsid w:val="00D816C7"/>
    <w:rsid w:val="00D83014"/>
    <w:rsid w:val="00D84C1E"/>
    <w:rsid w:val="00D84DB9"/>
    <w:rsid w:val="00D860E4"/>
    <w:rsid w:val="00D86B2E"/>
    <w:rsid w:val="00D879FC"/>
    <w:rsid w:val="00D90989"/>
    <w:rsid w:val="00D90DFC"/>
    <w:rsid w:val="00D90E2F"/>
    <w:rsid w:val="00D9149B"/>
    <w:rsid w:val="00D92218"/>
    <w:rsid w:val="00D92521"/>
    <w:rsid w:val="00D930B8"/>
    <w:rsid w:val="00D932E1"/>
    <w:rsid w:val="00D93BEF"/>
    <w:rsid w:val="00D9445F"/>
    <w:rsid w:val="00D96589"/>
    <w:rsid w:val="00D9676D"/>
    <w:rsid w:val="00DA149C"/>
    <w:rsid w:val="00DA22F0"/>
    <w:rsid w:val="00DA43F9"/>
    <w:rsid w:val="00DA4B55"/>
    <w:rsid w:val="00DA4DF2"/>
    <w:rsid w:val="00DA565F"/>
    <w:rsid w:val="00DA6C85"/>
    <w:rsid w:val="00DB25ED"/>
    <w:rsid w:val="00DB35E6"/>
    <w:rsid w:val="00DB486C"/>
    <w:rsid w:val="00DB589A"/>
    <w:rsid w:val="00DB6CF3"/>
    <w:rsid w:val="00DB7537"/>
    <w:rsid w:val="00DB7BE7"/>
    <w:rsid w:val="00DC09DC"/>
    <w:rsid w:val="00DC0ACC"/>
    <w:rsid w:val="00DC12D2"/>
    <w:rsid w:val="00DC17BC"/>
    <w:rsid w:val="00DC3BC4"/>
    <w:rsid w:val="00DC3CFA"/>
    <w:rsid w:val="00DC4379"/>
    <w:rsid w:val="00DC4CDB"/>
    <w:rsid w:val="00DC5491"/>
    <w:rsid w:val="00DC6DED"/>
    <w:rsid w:val="00DC7160"/>
    <w:rsid w:val="00DC7AF3"/>
    <w:rsid w:val="00DD3DF3"/>
    <w:rsid w:val="00DD4713"/>
    <w:rsid w:val="00DD49B4"/>
    <w:rsid w:val="00DD69F4"/>
    <w:rsid w:val="00DD6BFA"/>
    <w:rsid w:val="00DD7143"/>
    <w:rsid w:val="00DE0016"/>
    <w:rsid w:val="00DE020D"/>
    <w:rsid w:val="00DE1B9B"/>
    <w:rsid w:val="00DE1DD1"/>
    <w:rsid w:val="00DE2A50"/>
    <w:rsid w:val="00DE2B5A"/>
    <w:rsid w:val="00DE4E37"/>
    <w:rsid w:val="00DE57C7"/>
    <w:rsid w:val="00DF053E"/>
    <w:rsid w:val="00DF123A"/>
    <w:rsid w:val="00DF1A33"/>
    <w:rsid w:val="00DF1B4C"/>
    <w:rsid w:val="00DF1CCB"/>
    <w:rsid w:val="00DF2122"/>
    <w:rsid w:val="00DF631F"/>
    <w:rsid w:val="00DF77A1"/>
    <w:rsid w:val="00E01ABE"/>
    <w:rsid w:val="00E05D1E"/>
    <w:rsid w:val="00E06931"/>
    <w:rsid w:val="00E10B85"/>
    <w:rsid w:val="00E11BBA"/>
    <w:rsid w:val="00E11DAD"/>
    <w:rsid w:val="00E11F87"/>
    <w:rsid w:val="00E121D6"/>
    <w:rsid w:val="00E13C46"/>
    <w:rsid w:val="00E141BA"/>
    <w:rsid w:val="00E1439A"/>
    <w:rsid w:val="00E14BBB"/>
    <w:rsid w:val="00E15726"/>
    <w:rsid w:val="00E173B7"/>
    <w:rsid w:val="00E1779A"/>
    <w:rsid w:val="00E17875"/>
    <w:rsid w:val="00E17ED4"/>
    <w:rsid w:val="00E20CCC"/>
    <w:rsid w:val="00E21244"/>
    <w:rsid w:val="00E23C13"/>
    <w:rsid w:val="00E25B0D"/>
    <w:rsid w:val="00E262EB"/>
    <w:rsid w:val="00E26482"/>
    <w:rsid w:val="00E27B6F"/>
    <w:rsid w:val="00E30A2A"/>
    <w:rsid w:val="00E30F10"/>
    <w:rsid w:val="00E31007"/>
    <w:rsid w:val="00E3171F"/>
    <w:rsid w:val="00E3186C"/>
    <w:rsid w:val="00E31C29"/>
    <w:rsid w:val="00E31CE7"/>
    <w:rsid w:val="00E32D8C"/>
    <w:rsid w:val="00E330C4"/>
    <w:rsid w:val="00E3390B"/>
    <w:rsid w:val="00E347D3"/>
    <w:rsid w:val="00E357EC"/>
    <w:rsid w:val="00E36180"/>
    <w:rsid w:val="00E450BC"/>
    <w:rsid w:val="00E45A2E"/>
    <w:rsid w:val="00E45BA2"/>
    <w:rsid w:val="00E46F0C"/>
    <w:rsid w:val="00E4731C"/>
    <w:rsid w:val="00E47B22"/>
    <w:rsid w:val="00E51080"/>
    <w:rsid w:val="00E5291E"/>
    <w:rsid w:val="00E52E63"/>
    <w:rsid w:val="00E5397C"/>
    <w:rsid w:val="00E541C3"/>
    <w:rsid w:val="00E55B61"/>
    <w:rsid w:val="00E564D7"/>
    <w:rsid w:val="00E56EDA"/>
    <w:rsid w:val="00E6037A"/>
    <w:rsid w:val="00E60947"/>
    <w:rsid w:val="00E60DE4"/>
    <w:rsid w:val="00E61024"/>
    <w:rsid w:val="00E62200"/>
    <w:rsid w:val="00E6262D"/>
    <w:rsid w:val="00E62838"/>
    <w:rsid w:val="00E635A2"/>
    <w:rsid w:val="00E64CE9"/>
    <w:rsid w:val="00E64FDB"/>
    <w:rsid w:val="00E67130"/>
    <w:rsid w:val="00E70DBC"/>
    <w:rsid w:val="00E7208E"/>
    <w:rsid w:val="00E73A03"/>
    <w:rsid w:val="00E73AC9"/>
    <w:rsid w:val="00E755C2"/>
    <w:rsid w:val="00E76378"/>
    <w:rsid w:val="00E76639"/>
    <w:rsid w:val="00E77648"/>
    <w:rsid w:val="00E77C9A"/>
    <w:rsid w:val="00E80693"/>
    <w:rsid w:val="00E819DD"/>
    <w:rsid w:val="00E81C82"/>
    <w:rsid w:val="00E81D65"/>
    <w:rsid w:val="00E835CB"/>
    <w:rsid w:val="00E8386A"/>
    <w:rsid w:val="00E83F6C"/>
    <w:rsid w:val="00E848E5"/>
    <w:rsid w:val="00E84E60"/>
    <w:rsid w:val="00E85037"/>
    <w:rsid w:val="00E851DB"/>
    <w:rsid w:val="00E8653F"/>
    <w:rsid w:val="00E8656B"/>
    <w:rsid w:val="00E867BD"/>
    <w:rsid w:val="00E90582"/>
    <w:rsid w:val="00E91D0B"/>
    <w:rsid w:val="00E932CD"/>
    <w:rsid w:val="00E9486F"/>
    <w:rsid w:val="00E948A0"/>
    <w:rsid w:val="00E95CF3"/>
    <w:rsid w:val="00E965C8"/>
    <w:rsid w:val="00E973AF"/>
    <w:rsid w:val="00E977D7"/>
    <w:rsid w:val="00E97AB7"/>
    <w:rsid w:val="00EA0009"/>
    <w:rsid w:val="00EA0479"/>
    <w:rsid w:val="00EA05B2"/>
    <w:rsid w:val="00EA30C8"/>
    <w:rsid w:val="00EA5607"/>
    <w:rsid w:val="00EA5AF7"/>
    <w:rsid w:val="00EA5E90"/>
    <w:rsid w:val="00EA6F1C"/>
    <w:rsid w:val="00EA72DC"/>
    <w:rsid w:val="00EB02BE"/>
    <w:rsid w:val="00EB084C"/>
    <w:rsid w:val="00EB1F89"/>
    <w:rsid w:val="00EB33C3"/>
    <w:rsid w:val="00EB391C"/>
    <w:rsid w:val="00EB42F0"/>
    <w:rsid w:val="00EB5948"/>
    <w:rsid w:val="00EB5B0C"/>
    <w:rsid w:val="00EB5B3B"/>
    <w:rsid w:val="00EB5D3E"/>
    <w:rsid w:val="00EB69C8"/>
    <w:rsid w:val="00EB6C80"/>
    <w:rsid w:val="00EB7F77"/>
    <w:rsid w:val="00EC39EB"/>
    <w:rsid w:val="00EC6871"/>
    <w:rsid w:val="00ED1C60"/>
    <w:rsid w:val="00ED2552"/>
    <w:rsid w:val="00ED2879"/>
    <w:rsid w:val="00ED2F8C"/>
    <w:rsid w:val="00ED3127"/>
    <w:rsid w:val="00ED3743"/>
    <w:rsid w:val="00ED4596"/>
    <w:rsid w:val="00ED490C"/>
    <w:rsid w:val="00ED4AEF"/>
    <w:rsid w:val="00ED4B69"/>
    <w:rsid w:val="00ED57D8"/>
    <w:rsid w:val="00ED672D"/>
    <w:rsid w:val="00ED7D4F"/>
    <w:rsid w:val="00EE1E28"/>
    <w:rsid w:val="00EE1FED"/>
    <w:rsid w:val="00EE226C"/>
    <w:rsid w:val="00EE2341"/>
    <w:rsid w:val="00EE2758"/>
    <w:rsid w:val="00EE5040"/>
    <w:rsid w:val="00EE6277"/>
    <w:rsid w:val="00EE64E1"/>
    <w:rsid w:val="00EE72FA"/>
    <w:rsid w:val="00EE7A6B"/>
    <w:rsid w:val="00EF0BA7"/>
    <w:rsid w:val="00EF0CF3"/>
    <w:rsid w:val="00EF1013"/>
    <w:rsid w:val="00EF209B"/>
    <w:rsid w:val="00EF236B"/>
    <w:rsid w:val="00EF286D"/>
    <w:rsid w:val="00EF525E"/>
    <w:rsid w:val="00EF55C9"/>
    <w:rsid w:val="00EF63B1"/>
    <w:rsid w:val="00EF7E25"/>
    <w:rsid w:val="00F02B62"/>
    <w:rsid w:val="00F03912"/>
    <w:rsid w:val="00F049A8"/>
    <w:rsid w:val="00F07C0D"/>
    <w:rsid w:val="00F07F7A"/>
    <w:rsid w:val="00F07F87"/>
    <w:rsid w:val="00F104E5"/>
    <w:rsid w:val="00F1198A"/>
    <w:rsid w:val="00F11FE1"/>
    <w:rsid w:val="00F14F61"/>
    <w:rsid w:val="00F1534A"/>
    <w:rsid w:val="00F167E0"/>
    <w:rsid w:val="00F168F7"/>
    <w:rsid w:val="00F17E85"/>
    <w:rsid w:val="00F21212"/>
    <w:rsid w:val="00F2124B"/>
    <w:rsid w:val="00F21434"/>
    <w:rsid w:val="00F21996"/>
    <w:rsid w:val="00F22204"/>
    <w:rsid w:val="00F248DC"/>
    <w:rsid w:val="00F25467"/>
    <w:rsid w:val="00F267C4"/>
    <w:rsid w:val="00F2781C"/>
    <w:rsid w:val="00F279D0"/>
    <w:rsid w:val="00F3202F"/>
    <w:rsid w:val="00F33D96"/>
    <w:rsid w:val="00F347F6"/>
    <w:rsid w:val="00F34B64"/>
    <w:rsid w:val="00F35939"/>
    <w:rsid w:val="00F35D5A"/>
    <w:rsid w:val="00F37F7F"/>
    <w:rsid w:val="00F401F1"/>
    <w:rsid w:val="00F42642"/>
    <w:rsid w:val="00F426BB"/>
    <w:rsid w:val="00F43E82"/>
    <w:rsid w:val="00F4489B"/>
    <w:rsid w:val="00F45B8B"/>
    <w:rsid w:val="00F45CF2"/>
    <w:rsid w:val="00F45E67"/>
    <w:rsid w:val="00F46EAC"/>
    <w:rsid w:val="00F50279"/>
    <w:rsid w:val="00F5070C"/>
    <w:rsid w:val="00F50B77"/>
    <w:rsid w:val="00F517DF"/>
    <w:rsid w:val="00F532BA"/>
    <w:rsid w:val="00F54079"/>
    <w:rsid w:val="00F5470D"/>
    <w:rsid w:val="00F54C54"/>
    <w:rsid w:val="00F54F4F"/>
    <w:rsid w:val="00F558E4"/>
    <w:rsid w:val="00F56D09"/>
    <w:rsid w:val="00F57782"/>
    <w:rsid w:val="00F60694"/>
    <w:rsid w:val="00F60EA8"/>
    <w:rsid w:val="00F618AB"/>
    <w:rsid w:val="00F61A64"/>
    <w:rsid w:val="00F620C9"/>
    <w:rsid w:val="00F63351"/>
    <w:rsid w:val="00F656E6"/>
    <w:rsid w:val="00F660F6"/>
    <w:rsid w:val="00F667AC"/>
    <w:rsid w:val="00F66804"/>
    <w:rsid w:val="00F67D0D"/>
    <w:rsid w:val="00F72564"/>
    <w:rsid w:val="00F72F79"/>
    <w:rsid w:val="00F73214"/>
    <w:rsid w:val="00F73671"/>
    <w:rsid w:val="00F744EB"/>
    <w:rsid w:val="00F75587"/>
    <w:rsid w:val="00F75F59"/>
    <w:rsid w:val="00F7678A"/>
    <w:rsid w:val="00F802F5"/>
    <w:rsid w:val="00F80867"/>
    <w:rsid w:val="00F84674"/>
    <w:rsid w:val="00F84B9E"/>
    <w:rsid w:val="00F850DB"/>
    <w:rsid w:val="00F8621E"/>
    <w:rsid w:val="00F8797E"/>
    <w:rsid w:val="00F90866"/>
    <w:rsid w:val="00F917C6"/>
    <w:rsid w:val="00F9215D"/>
    <w:rsid w:val="00F92BD1"/>
    <w:rsid w:val="00F93CC1"/>
    <w:rsid w:val="00F94883"/>
    <w:rsid w:val="00F95124"/>
    <w:rsid w:val="00F95935"/>
    <w:rsid w:val="00F95DB3"/>
    <w:rsid w:val="00F95F90"/>
    <w:rsid w:val="00F9673A"/>
    <w:rsid w:val="00F968C3"/>
    <w:rsid w:val="00F96A80"/>
    <w:rsid w:val="00F97657"/>
    <w:rsid w:val="00FA07BD"/>
    <w:rsid w:val="00FA33FD"/>
    <w:rsid w:val="00FA370E"/>
    <w:rsid w:val="00FA39AE"/>
    <w:rsid w:val="00FA47C6"/>
    <w:rsid w:val="00FA4C4A"/>
    <w:rsid w:val="00FA54D3"/>
    <w:rsid w:val="00FA567E"/>
    <w:rsid w:val="00FA5983"/>
    <w:rsid w:val="00FA5D6C"/>
    <w:rsid w:val="00FA5FF9"/>
    <w:rsid w:val="00FA750F"/>
    <w:rsid w:val="00FB274E"/>
    <w:rsid w:val="00FB2B5C"/>
    <w:rsid w:val="00FB40A6"/>
    <w:rsid w:val="00FB6004"/>
    <w:rsid w:val="00FB60AB"/>
    <w:rsid w:val="00FC006E"/>
    <w:rsid w:val="00FC0B4B"/>
    <w:rsid w:val="00FC1693"/>
    <w:rsid w:val="00FC1702"/>
    <w:rsid w:val="00FC1F10"/>
    <w:rsid w:val="00FC3F6C"/>
    <w:rsid w:val="00FC47B1"/>
    <w:rsid w:val="00FC4C26"/>
    <w:rsid w:val="00FC5848"/>
    <w:rsid w:val="00FC5B31"/>
    <w:rsid w:val="00FC63A8"/>
    <w:rsid w:val="00FC70C0"/>
    <w:rsid w:val="00FC7BB7"/>
    <w:rsid w:val="00FD08C1"/>
    <w:rsid w:val="00FD09C7"/>
    <w:rsid w:val="00FD09DC"/>
    <w:rsid w:val="00FD1DFF"/>
    <w:rsid w:val="00FD27C2"/>
    <w:rsid w:val="00FD3216"/>
    <w:rsid w:val="00FD441B"/>
    <w:rsid w:val="00FD4879"/>
    <w:rsid w:val="00FD7653"/>
    <w:rsid w:val="00FD7850"/>
    <w:rsid w:val="00FD7E18"/>
    <w:rsid w:val="00FE0492"/>
    <w:rsid w:val="00FE09AE"/>
    <w:rsid w:val="00FE0FA6"/>
    <w:rsid w:val="00FE1E83"/>
    <w:rsid w:val="00FE29EE"/>
    <w:rsid w:val="00FE2A68"/>
    <w:rsid w:val="00FE2FE0"/>
    <w:rsid w:val="00FE45CD"/>
    <w:rsid w:val="00FE46B1"/>
    <w:rsid w:val="00FE4D55"/>
    <w:rsid w:val="00FE5195"/>
    <w:rsid w:val="00FE6B9D"/>
    <w:rsid w:val="00FE6CF5"/>
    <w:rsid w:val="00FE7237"/>
    <w:rsid w:val="00FF3081"/>
    <w:rsid w:val="00FF5CC3"/>
    <w:rsid w:val="00FF5D39"/>
    <w:rsid w:val="00FF626E"/>
    <w:rsid w:val="00FF6AC1"/>
    <w:rsid w:val="00FF73FC"/>
    <w:rsid w:val="00FF78C3"/>
    <w:rsid w:val="00FF7D37"/>
  </w:rsids>
  <m:mathPr>
    <m:mathFont m:val="Cambria Math"/>
    <m:brkBin m:val="before"/>
    <m:brkBinSub m:val="--"/>
    <m:smallFrac m:val="0"/>
    <m:dispDef/>
    <m:lMargin m:val="0"/>
    <m:rMargin m:val="0"/>
    <m:defJc m:val="centerGroup"/>
    <m:wrapIndent m:val="1440"/>
    <m:intLim m:val="subSup"/>
    <m:naryLim m:val="undOvr"/>
  </m:mathPr>
  <w:attachedSchema w:val="urn:schemas:contacts"/>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State"/>
  <w:smartTagType w:namespaceuri="urn:schemas-microsoft-com:office:smarttags" w:name="metricconverter"/>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45E"/>
    <w:rPr>
      <w:sz w:val="24"/>
      <w:szCs w:val="24"/>
      <w:lang w:val="en-GB"/>
    </w:rPr>
  </w:style>
  <w:style w:type="paragraph" w:styleId="Heading1">
    <w:name w:val="heading 1"/>
    <w:basedOn w:val="Normal"/>
    <w:next w:val="Normal"/>
    <w:link w:val="Heading1Char"/>
    <w:uiPriority w:val="99"/>
    <w:qFormat/>
    <w:rsid w:val="00A8745E"/>
    <w:pPr>
      <w:keepNext/>
      <w:spacing w:before="100" w:beforeAutospacing="1" w:after="100" w:afterAutospacing="1" w:line="480" w:lineRule="auto"/>
      <w:jc w:val="both"/>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A8745E"/>
    <w:pPr>
      <w:keepNext/>
      <w:outlineLvl w:val="1"/>
    </w:pPr>
    <w:rPr>
      <w:rFonts w:ascii="Cambria" w:hAnsi="Cambria"/>
      <w:b/>
      <w:bCs/>
      <w:i/>
      <w:iCs/>
      <w:sz w:val="28"/>
      <w:szCs w:val="28"/>
    </w:rPr>
  </w:style>
  <w:style w:type="paragraph" w:styleId="Heading3">
    <w:name w:val="heading 3"/>
    <w:basedOn w:val="Normal"/>
    <w:next w:val="Normal"/>
    <w:link w:val="Heading3Char"/>
    <w:uiPriority w:val="99"/>
    <w:qFormat/>
    <w:rsid w:val="00D344FC"/>
    <w:pPr>
      <w:keepNext/>
      <w:spacing w:before="240" w:after="60"/>
      <w:outlineLvl w:val="2"/>
    </w:pPr>
    <w:rPr>
      <w:rFonts w:ascii="Cambria" w:hAnsi="Cambria"/>
      <w:b/>
      <w:bCs/>
      <w:sz w:val="26"/>
      <w:szCs w:val="26"/>
      <w:lang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7B58C8"/>
    <w:rPr>
      <w:rFonts w:ascii="Cambria" w:hAnsi="Cambria" w:cs="Times New Roman"/>
      <w:b/>
      <w:bCs/>
      <w:kern w:val="32"/>
      <w:sz w:val="32"/>
      <w:szCs w:val="32"/>
      <w:lang w:val="en-GB" w:eastAsia="it-IT"/>
    </w:rPr>
  </w:style>
  <w:style w:type="character" w:customStyle="1" w:styleId="Heading2Char">
    <w:name w:val="Heading 2 Char"/>
    <w:link w:val="Heading2"/>
    <w:uiPriority w:val="99"/>
    <w:semiHidden/>
    <w:locked/>
    <w:rsid w:val="007B58C8"/>
    <w:rPr>
      <w:rFonts w:ascii="Cambria" w:hAnsi="Cambria" w:cs="Times New Roman"/>
      <w:b/>
      <w:bCs/>
      <w:i/>
      <w:iCs/>
      <w:sz w:val="28"/>
      <w:szCs w:val="28"/>
      <w:lang w:val="en-GB" w:eastAsia="it-IT"/>
    </w:rPr>
  </w:style>
  <w:style w:type="character" w:customStyle="1" w:styleId="Heading3Char">
    <w:name w:val="Heading 3 Char"/>
    <w:link w:val="Heading3"/>
    <w:uiPriority w:val="99"/>
    <w:semiHidden/>
    <w:locked/>
    <w:rsid w:val="00D344FC"/>
    <w:rPr>
      <w:rFonts w:ascii="Cambria" w:hAnsi="Cambria" w:cs="Times New Roman"/>
      <w:b/>
      <w:bCs/>
      <w:sz w:val="26"/>
      <w:szCs w:val="26"/>
      <w:lang w:val="en-GB"/>
    </w:rPr>
  </w:style>
  <w:style w:type="character" w:styleId="Hyperlink">
    <w:name w:val="Hyperlink"/>
    <w:uiPriority w:val="99"/>
    <w:rsid w:val="00A8745E"/>
    <w:rPr>
      <w:rFonts w:cs="Times New Roman"/>
      <w:color w:val="0033CC"/>
      <w:u w:val="single"/>
    </w:rPr>
  </w:style>
  <w:style w:type="character" w:customStyle="1" w:styleId="spelle">
    <w:name w:val="spelle"/>
    <w:uiPriority w:val="99"/>
    <w:rsid w:val="00A8745E"/>
    <w:rPr>
      <w:rFonts w:cs="Times New Roman"/>
    </w:rPr>
  </w:style>
  <w:style w:type="character" w:styleId="Strong">
    <w:name w:val="Strong"/>
    <w:uiPriority w:val="99"/>
    <w:qFormat/>
    <w:rsid w:val="00A8745E"/>
    <w:rPr>
      <w:rFonts w:cs="Times New Roman"/>
      <w:b/>
      <w:bCs/>
    </w:rPr>
  </w:style>
  <w:style w:type="paragraph" w:styleId="BodyText3">
    <w:name w:val="Body Text 3"/>
    <w:basedOn w:val="Normal"/>
    <w:link w:val="BodyText3Char"/>
    <w:uiPriority w:val="99"/>
    <w:rsid w:val="00A8745E"/>
    <w:pPr>
      <w:tabs>
        <w:tab w:val="left" w:pos="284"/>
      </w:tabs>
      <w:spacing w:line="360" w:lineRule="auto"/>
      <w:ind w:right="1700"/>
      <w:jc w:val="both"/>
    </w:pPr>
    <w:rPr>
      <w:sz w:val="16"/>
      <w:szCs w:val="16"/>
    </w:rPr>
  </w:style>
  <w:style w:type="character" w:customStyle="1" w:styleId="BodyText3Char">
    <w:name w:val="Body Text 3 Char"/>
    <w:link w:val="BodyText3"/>
    <w:uiPriority w:val="99"/>
    <w:semiHidden/>
    <w:locked/>
    <w:rsid w:val="007B58C8"/>
    <w:rPr>
      <w:rFonts w:cs="Times New Roman"/>
      <w:sz w:val="16"/>
      <w:szCs w:val="16"/>
      <w:lang w:val="en-GB" w:eastAsia="it-IT"/>
    </w:rPr>
  </w:style>
  <w:style w:type="paragraph" w:styleId="BlockText">
    <w:name w:val="Block Text"/>
    <w:basedOn w:val="Normal"/>
    <w:uiPriority w:val="99"/>
    <w:rsid w:val="00A8745E"/>
    <w:pPr>
      <w:tabs>
        <w:tab w:val="left" w:pos="1276"/>
      </w:tabs>
      <w:spacing w:line="480" w:lineRule="auto"/>
      <w:ind w:left="1276" w:right="1701" w:hanging="709"/>
      <w:jc w:val="both"/>
    </w:pPr>
    <w:rPr>
      <w:szCs w:val="20"/>
      <w:lang w:val="it-IT"/>
    </w:rPr>
  </w:style>
  <w:style w:type="character" w:customStyle="1" w:styleId="txtboldonly1">
    <w:name w:val="txtboldonly1"/>
    <w:uiPriority w:val="99"/>
    <w:rsid w:val="00A8745E"/>
    <w:rPr>
      <w:rFonts w:cs="Times New Roman"/>
      <w:b/>
      <w:bCs/>
    </w:rPr>
  </w:style>
  <w:style w:type="character" w:customStyle="1" w:styleId="txtsmall1">
    <w:name w:val="txtsmall1"/>
    <w:uiPriority w:val="99"/>
    <w:rsid w:val="00A8745E"/>
    <w:rPr>
      <w:rFonts w:cs="Times New Roman"/>
      <w:sz w:val="15"/>
      <w:szCs w:val="15"/>
    </w:rPr>
  </w:style>
  <w:style w:type="character" w:customStyle="1" w:styleId="hidden-label1">
    <w:name w:val="hidden-label1"/>
    <w:uiPriority w:val="99"/>
    <w:rsid w:val="00A8745E"/>
    <w:rPr>
      <w:rFonts w:cs="Times New Roman"/>
    </w:rPr>
  </w:style>
  <w:style w:type="character" w:customStyle="1" w:styleId="txtsmall2">
    <w:name w:val="txtsmall2"/>
    <w:uiPriority w:val="99"/>
    <w:rsid w:val="00A8745E"/>
    <w:rPr>
      <w:rFonts w:cs="Times New Roman"/>
      <w:sz w:val="15"/>
      <w:szCs w:val="15"/>
    </w:rPr>
  </w:style>
  <w:style w:type="character" w:customStyle="1" w:styleId="testoblu1">
    <w:name w:val="testoblu1"/>
    <w:uiPriority w:val="99"/>
    <w:rsid w:val="00A8745E"/>
    <w:rPr>
      <w:rFonts w:ascii="Verdana" w:hAnsi="Verdana" w:cs="Times New Roman"/>
      <w:color w:val="000066"/>
      <w:sz w:val="20"/>
      <w:szCs w:val="20"/>
      <w:shd w:val="clear" w:color="auto" w:fill="auto"/>
    </w:rPr>
  </w:style>
  <w:style w:type="paragraph" w:styleId="BodyText">
    <w:name w:val="Body Text"/>
    <w:basedOn w:val="Normal"/>
    <w:link w:val="BodyTextChar"/>
    <w:uiPriority w:val="99"/>
    <w:rsid w:val="00A8745E"/>
    <w:pPr>
      <w:spacing w:after="120"/>
    </w:pPr>
  </w:style>
  <w:style w:type="character" w:customStyle="1" w:styleId="BodyTextChar">
    <w:name w:val="Body Text Char"/>
    <w:link w:val="BodyText"/>
    <w:uiPriority w:val="99"/>
    <w:semiHidden/>
    <w:locked/>
    <w:rsid w:val="007B58C8"/>
    <w:rPr>
      <w:rFonts w:cs="Times New Roman"/>
      <w:sz w:val="24"/>
      <w:szCs w:val="24"/>
      <w:lang w:val="en-GB" w:eastAsia="it-IT"/>
    </w:rPr>
  </w:style>
  <w:style w:type="paragraph" w:customStyle="1" w:styleId="StileArialGiustificatoPrimariga125cmInterlinea15rig">
    <w:name w:val="Stile Arial Giustificato Prima riga:  125 cm Interlinea 15 rig..."/>
    <w:basedOn w:val="Normal"/>
    <w:uiPriority w:val="99"/>
    <w:rsid w:val="00A8745E"/>
    <w:pPr>
      <w:spacing w:line="360" w:lineRule="auto"/>
      <w:ind w:firstLine="709"/>
      <w:jc w:val="both"/>
    </w:pPr>
    <w:rPr>
      <w:rFonts w:ascii="Arial" w:hAnsi="Arial"/>
      <w:szCs w:val="20"/>
    </w:rPr>
  </w:style>
  <w:style w:type="table" w:styleId="TableSimple1">
    <w:name w:val="Table Simple 1"/>
    <w:basedOn w:val="TableNormal"/>
    <w:uiPriority w:val="99"/>
    <w:rsid w:val="00A81848"/>
    <w:tblPr>
      <w:tblBorders>
        <w:top w:val="single" w:sz="8" w:space="0" w:color="000000"/>
        <w:bottom w:val="single" w:sz="8" w:space="0" w:color="000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character" w:customStyle="1" w:styleId="maintext1">
    <w:name w:val="maintext1"/>
    <w:uiPriority w:val="99"/>
    <w:rsid w:val="00A8745E"/>
    <w:rPr>
      <w:rFonts w:ascii="Verdana" w:hAnsi="Verdana" w:cs="Times New Roman"/>
      <w:sz w:val="20"/>
      <w:szCs w:val="20"/>
    </w:rPr>
  </w:style>
  <w:style w:type="paragraph" w:customStyle="1" w:styleId="maintext">
    <w:name w:val="maintext"/>
    <w:basedOn w:val="Normal"/>
    <w:uiPriority w:val="99"/>
    <w:rsid w:val="00A8745E"/>
    <w:pPr>
      <w:spacing w:before="100" w:beforeAutospacing="1" w:after="100" w:afterAutospacing="1"/>
    </w:pPr>
    <w:rPr>
      <w:rFonts w:ascii="Verdana" w:hAnsi="Verdana"/>
      <w:sz w:val="20"/>
      <w:szCs w:val="20"/>
      <w:lang w:val="it-IT"/>
    </w:rPr>
  </w:style>
  <w:style w:type="paragraph" w:customStyle="1" w:styleId="mainheader">
    <w:name w:val="mainheader"/>
    <w:basedOn w:val="Normal"/>
    <w:uiPriority w:val="99"/>
    <w:rsid w:val="00A8745E"/>
    <w:pPr>
      <w:spacing w:before="100" w:beforeAutospacing="1" w:after="100" w:afterAutospacing="1"/>
    </w:pPr>
    <w:rPr>
      <w:rFonts w:ascii="Verdana" w:hAnsi="Verdana"/>
      <w:b/>
      <w:bCs/>
      <w:sz w:val="27"/>
      <w:szCs w:val="27"/>
      <w:lang w:val="it-IT"/>
    </w:rPr>
  </w:style>
  <w:style w:type="paragraph" w:styleId="CommentText">
    <w:name w:val="annotation text"/>
    <w:basedOn w:val="Normal"/>
    <w:link w:val="CommentTextChar"/>
    <w:uiPriority w:val="99"/>
    <w:semiHidden/>
    <w:rsid w:val="00A8745E"/>
    <w:pPr>
      <w:suppressAutoHyphens/>
    </w:pPr>
    <w:rPr>
      <w:sz w:val="20"/>
      <w:szCs w:val="20"/>
      <w:lang w:val="it-IT" w:eastAsia="ar-SA"/>
    </w:rPr>
  </w:style>
  <w:style w:type="character" w:customStyle="1" w:styleId="CommentTextChar">
    <w:name w:val="Comment Text Char"/>
    <w:link w:val="CommentText"/>
    <w:uiPriority w:val="99"/>
    <w:semiHidden/>
    <w:locked/>
    <w:rsid w:val="00962EBB"/>
    <w:rPr>
      <w:rFonts w:cs="Times New Roman"/>
      <w:lang w:val="it-IT" w:eastAsia="ar-SA" w:bidi="ar-SA"/>
    </w:rPr>
  </w:style>
  <w:style w:type="table" w:styleId="TableGrid">
    <w:name w:val="Table Grid"/>
    <w:basedOn w:val="TableNormal"/>
    <w:uiPriority w:val="99"/>
    <w:rsid w:val="00E173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uiPriority w:val="99"/>
    <w:rsid w:val="00E173B7"/>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paragraph" w:styleId="Footer">
    <w:name w:val="footer"/>
    <w:basedOn w:val="Normal"/>
    <w:link w:val="FooterChar"/>
    <w:uiPriority w:val="99"/>
    <w:rsid w:val="00AC61C3"/>
    <w:pPr>
      <w:tabs>
        <w:tab w:val="center" w:pos="4819"/>
        <w:tab w:val="right" w:pos="9638"/>
      </w:tabs>
    </w:pPr>
  </w:style>
  <w:style w:type="character" w:customStyle="1" w:styleId="FooterChar">
    <w:name w:val="Footer Char"/>
    <w:link w:val="Footer"/>
    <w:uiPriority w:val="99"/>
    <w:semiHidden/>
    <w:locked/>
    <w:rsid w:val="007B58C8"/>
    <w:rPr>
      <w:rFonts w:cs="Times New Roman"/>
      <w:sz w:val="24"/>
      <w:szCs w:val="24"/>
      <w:lang w:val="en-GB" w:eastAsia="it-IT"/>
    </w:rPr>
  </w:style>
  <w:style w:type="character" w:styleId="PageNumber">
    <w:name w:val="page number"/>
    <w:uiPriority w:val="99"/>
    <w:rsid w:val="00AC61C3"/>
    <w:rPr>
      <w:rFonts w:cs="Times New Roman"/>
    </w:rPr>
  </w:style>
  <w:style w:type="paragraph" w:styleId="BalloonText">
    <w:name w:val="Balloon Text"/>
    <w:basedOn w:val="Normal"/>
    <w:link w:val="BalloonTextChar"/>
    <w:uiPriority w:val="99"/>
    <w:rsid w:val="00F267C4"/>
    <w:rPr>
      <w:rFonts w:ascii="Tahoma" w:hAnsi="Tahoma"/>
      <w:sz w:val="16"/>
      <w:szCs w:val="16"/>
      <w:lang w:eastAsia="x-none"/>
    </w:rPr>
  </w:style>
  <w:style w:type="character" w:customStyle="1" w:styleId="BalloonTextChar">
    <w:name w:val="Balloon Text Char"/>
    <w:link w:val="BalloonText"/>
    <w:uiPriority w:val="99"/>
    <w:locked/>
    <w:rsid w:val="00F267C4"/>
    <w:rPr>
      <w:rFonts w:ascii="Tahoma" w:hAnsi="Tahoma" w:cs="Tahoma"/>
      <w:sz w:val="16"/>
      <w:szCs w:val="16"/>
      <w:lang w:val="en-GB"/>
    </w:rPr>
  </w:style>
  <w:style w:type="character" w:styleId="Emphasis">
    <w:name w:val="Emphasis"/>
    <w:uiPriority w:val="99"/>
    <w:qFormat/>
    <w:rsid w:val="00764B25"/>
    <w:rPr>
      <w:rFonts w:cs="Times New Roman"/>
      <w:b/>
      <w:bCs/>
    </w:rPr>
  </w:style>
  <w:style w:type="paragraph" w:styleId="Header">
    <w:name w:val="header"/>
    <w:basedOn w:val="Normal"/>
    <w:link w:val="HeaderChar"/>
    <w:uiPriority w:val="99"/>
    <w:rsid w:val="00522243"/>
    <w:pPr>
      <w:tabs>
        <w:tab w:val="center" w:pos="4819"/>
        <w:tab w:val="right" w:pos="9638"/>
      </w:tabs>
    </w:pPr>
    <w:rPr>
      <w:lang w:eastAsia="x-none"/>
    </w:rPr>
  </w:style>
  <w:style w:type="character" w:customStyle="1" w:styleId="HeaderChar">
    <w:name w:val="Header Char"/>
    <w:link w:val="Header"/>
    <w:uiPriority w:val="99"/>
    <w:locked/>
    <w:rsid w:val="00522243"/>
    <w:rPr>
      <w:rFonts w:cs="Times New Roman"/>
      <w:sz w:val="24"/>
      <w:szCs w:val="24"/>
      <w:lang w:val="en-GB"/>
    </w:rPr>
  </w:style>
  <w:style w:type="paragraph" w:styleId="FootnoteText">
    <w:name w:val="footnote text"/>
    <w:basedOn w:val="Normal"/>
    <w:link w:val="FootnoteTextChar"/>
    <w:uiPriority w:val="99"/>
    <w:rsid w:val="002E0521"/>
    <w:rPr>
      <w:rFonts w:ascii="Times" w:hAnsi="Times"/>
      <w:sz w:val="20"/>
      <w:szCs w:val="20"/>
      <w:vertAlign w:val="superscript"/>
      <w:lang w:val="x-none" w:eastAsia="en-US"/>
    </w:rPr>
  </w:style>
  <w:style w:type="character" w:customStyle="1" w:styleId="FootnoteTextChar">
    <w:name w:val="Footnote Text Char"/>
    <w:link w:val="FootnoteText"/>
    <w:uiPriority w:val="99"/>
    <w:locked/>
    <w:rsid w:val="002E0521"/>
    <w:rPr>
      <w:rFonts w:ascii="Times" w:hAnsi="Times" w:cs="Times New Roman"/>
      <w:vertAlign w:val="superscript"/>
      <w:lang w:eastAsia="en-US"/>
    </w:rPr>
  </w:style>
  <w:style w:type="character" w:customStyle="1" w:styleId="parentsectionsectiontitle1">
    <w:name w:val="parentsection_sectiontitle1"/>
    <w:uiPriority w:val="99"/>
    <w:rsid w:val="00666F04"/>
    <w:rPr>
      <w:rFonts w:ascii="Arial" w:hAnsi="Arial" w:cs="Arial"/>
      <w:b/>
      <w:bCs/>
      <w:sz w:val="23"/>
      <w:szCs w:val="23"/>
    </w:rPr>
  </w:style>
  <w:style w:type="character" w:customStyle="1" w:styleId="divider">
    <w:name w:val="divider"/>
    <w:uiPriority w:val="99"/>
    <w:rsid w:val="00493281"/>
    <w:rPr>
      <w:rFonts w:cs="Times New Roman"/>
    </w:rPr>
  </w:style>
  <w:style w:type="character" w:customStyle="1" w:styleId="bold1">
    <w:name w:val="bold1"/>
    <w:uiPriority w:val="99"/>
    <w:rsid w:val="00493281"/>
    <w:rPr>
      <w:rFonts w:cs="Times New Roman"/>
      <w:b/>
      <w:bCs/>
    </w:rPr>
  </w:style>
  <w:style w:type="character" w:customStyle="1" w:styleId="divtextlink1">
    <w:name w:val="divtextlink1"/>
    <w:uiPriority w:val="99"/>
    <w:rsid w:val="00493281"/>
    <w:rPr>
      <w:rFonts w:cs="Times New Roman"/>
    </w:rPr>
  </w:style>
  <w:style w:type="character" w:customStyle="1" w:styleId="txtsmallerabstractlink">
    <w:name w:val="txtsmaller abstractlink"/>
    <w:uiPriority w:val="99"/>
    <w:rsid w:val="00493281"/>
    <w:rPr>
      <w:rFonts w:cs="Times New Roman"/>
    </w:rPr>
  </w:style>
  <w:style w:type="paragraph" w:customStyle="1" w:styleId="txtsmaller">
    <w:name w:val="txtsmaller"/>
    <w:basedOn w:val="Normal"/>
    <w:uiPriority w:val="99"/>
    <w:rsid w:val="008E58CF"/>
    <w:rPr>
      <w:sz w:val="22"/>
      <w:szCs w:val="22"/>
      <w:lang w:val="it-IT"/>
    </w:rPr>
  </w:style>
  <w:style w:type="paragraph" w:customStyle="1" w:styleId="txttitle">
    <w:name w:val="txttitle"/>
    <w:basedOn w:val="Normal"/>
    <w:uiPriority w:val="99"/>
    <w:rsid w:val="008E58CF"/>
    <w:rPr>
      <w:sz w:val="42"/>
      <w:szCs w:val="42"/>
      <w:lang w:val="it-IT"/>
    </w:rPr>
  </w:style>
  <w:style w:type="paragraph" w:customStyle="1" w:styleId="citation">
    <w:name w:val="citation"/>
    <w:basedOn w:val="Normal"/>
    <w:uiPriority w:val="99"/>
    <w:rsid w:val="002115EF"/>
    <w:pPr>
      <w:spacing w:before="100" w:beforeAutospacing="1" w:after="100" w:afterAutospacing="1"/>
    </w:pPr>
    <w:rPr>
      <w:lang w:val="it-IT"/>
    </w:rPr>
  </w:style>
  <w:style w:type="paragraph" w:customStyle="1" w:styleId="authlist">
    <w:name w:val="auth_list"/>
    <w:basedOn w:val="Normal"/>
    <w:uiPriority w:val="99"/>
    <w:rsid w:val="002115EF"/>
    <w:pPr>
      <w:spacing w:before="100" w:beforeAutospacing="1" w:after="100" w:afterAutospacing="1"/>
    </w:pPr>
    <w:rPr>
      <w:lang w:val="it-IT"/>
    </w:rPr>
  </w:style>
  <w:style w:type="paragraph" w:customStyle="1" w:styleId="title1">
    <w:name w:val="title1"/>
    <w:basedOn w:val="Normal"/>
    <w:uiPriority w:val="99"/>
    <w:rsid w:val="006B150A"/>
    <w:rPr>
      <w:sz w:val="29"/>
      <w:szCs w:val="29"/>
      <w:lang w:val="it-IT"/>
    </w:rPr>
  </w:style>
  <w:style w:type="paragraph" w:customStyle="1" w:styleId="rprtbody1">
    <w:name w:val="rprtbody1"/>
    <w:basedOn w:val="Normal"/>
    <w:uiPriority w:val="99"/>
    <w:rsid w:val="006B150A"/>
    <w:pPr>
      <w:spacing w:before="34" w:after="34"/>
    </w:pPr>
    <w:rPr>
      <w:sz w:val="28"/>
      <w:szCs w:val="28"/>
      <w:lang w:val="it-IT"/>
    </w:rPr>
  </w:style>
  <w:style w:type="paragraph" w:customStyle="1" w:styleId="aux1">
    <w:name w:val="aux1"/>
    <w:basedOn w:val="Normal"/>
    <w:uiPriority w:val="99"/>
    <w:rsid w:val="006B150A"/>
    <w:pPr>
      <w:spacing w:line="320" w:lineRule="atLeast"/>
    </w:pPr>
    <w:rPr>
      <w:lang w:val="it-IT"/>
    </w:rPr>
  </w:style>
  <w:style w:type="character" w:customStyle="1" w:styleId="src1">
    <w:name w:val="src1"/>
    <w:uiPriority w:val="99"/>
    <w:rsid w:val="006B150A"/>
    <w:rPr>
      <w:rFonts w:cs="Times New Roman"/>
    </w:rPr>
  </w:style>
  <w:style w:type="character" w:customStyle="1" w:styleId="jrnl">
    <w:name w:val="jrnl"/>
    <w:uiPriority w:val="99"/>
    <w:rsid w:val="006B150A"/>
    <w:rPr>
      <w:rFonts w:cs="Times New Roman"/>
    </w:rPr>
  </w:style>
  <w:style w:type="paragraph" w:customStyle="1" w:styleId="ListParagraph1">
    <w:name w:val="List Paragraph1"/>
    <w:basedOn w:val="Normal"/>
    <w:uiPriority w:val="99"/>
    <w:qFormat/>
    <w:rsid w:val="00D449B4"/>
    <w:pPr>
      <w:ind w:left="720"/>
      <w:contextualSpacing/>
    </w:pPr>
    <w:rPr>
      <w:lang w:val="it-IT"/>
    </w:rPr>
  </w:style>
  <w:style w:type="paragraph" w:customStyle="1" w:styleId="DecimalAligned">
    <w:name w:val="Decimal Aligned"/>
    <w:basedOn w:val="Normal"/>
    <w:uiPriority w:val="99"/>
    <w:rsid w:val="00D22859"/>
    <w:pPr>
      <w:tabs>
        <w:tab w:val="decimal" w:pos="360"/>
      </w:tabs>
      <w:spacing w:after="200" w:line="276" w:lineRule="auto"/>
    </w:pPr>
    <w:rPr>
      <w:rFonts w:ascii="Calibri" w:hAnsi="Calibri"/>
      <w:sz w:val="22"/>
      <w:szCs w:val="22"/>
      <w:lang w:val="it-IT" w:eastAsia="en-US"/>
    </w:rPr>
  </w:style>
  <w:style w:type="character" w:customStyle="1" w:styleId="SubtleEmphasis1">
    <w:name w:val="Subtle Emphasis1"/>
    <w:uiPriority w:val="99"/>
    <w:qFormat/>
    <w:rsid w:val="00D22859"/>
    <w:rPr>
      <w:rFonts w:eastAsia="Times New Roman" w:cs="Times New Roman"/>
      <w:i/>
      <w:iCs/>
      <w:color w:val="808080"/>
      <w:sz w:val="22"/>
      <w:szCs w:val="22"/>
      <w:lang w:val="it-IT"/>
    </w:rPr>
  </w:style>
  <w:style w:type="table" w:customStyle="1" w:styleId="Sfondochiaro-Colore11">
    <w:name w:val="Sfondo chiaro - Colore 11"/>
    <w:uiPriority w:val="99"/>
    <w:rsid w:val="00D22859"/>
    <w:rPr>
      <w:rFonts w:ascii="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styleId="CommentReference">
    <w:name w:val="annotation reference"/>
    <w:uiPriority w:val="99"/>
    <w:rsid w:val="00962EBB"/>
    <w:rPr>
      <w:rFonts w:cs="Times New Roman"/>
      <w:sz w:val="16"/>
      <w:szCs w:val="16"/>
    </w:rPr>
  </w:style>
  <w:style w:type="paragraph" w:styleId="CommentSubject">
    <w:name w:val="annotation subject"/>
    <w:basedOn w:val="CommentText"/>
    <w:next w:val="CommentText"/>
    <w:link w:val="CommentSubjectChar"/>
    <w:uiPriority w:val="99"/>
    <w:rsid w:val="00962EBB"/>
    <w:pPr>
      <w:suppressAutoHyphens w:val="0"/>
    </w:pPr>
  </w:style>
  <w:style w:type="character" w:customStyle="1" w:styleId="CommentSubjectChar">
    <w:name w:val="Comment Subject Char"/>
    <w:link w:val="CommentSubject"/>
    <w:uiPriority w:val="99"/>
    <w:locked/>
    <w:rsid w:val="00962EBB"/>
    <w:rPr>
      <w:rFonts w:cs="Times New Roman"/>
      <w:lang w:val="it-IT" w:eastAsia="ar-SA" w:bidi="ar-SA"/>
    </w:rPr>
  </w:style>
  <w:style w:type="paragraph" w:customStyle="1" w:styleId="Revision1">
    <w:name w:val="Revision1"/>
    <w:hidden/>
    <w:uiPriority w:val="99"/>
    <w:semiHidden/>
    <w:rsid w:val="00D04BCF"/>
    <w:rPr>
      <w:sz w:val="24"/>
      <w:szCs w:val="24"/>
      <w:lang w:val="en-GB"/>
    </w:rPr>
  </w:style>
  <w:style w:type="paragraph" w:styleId="NormalWeb">
    <w:name w:val="Normal (Web)"/>
    <w:basedOn w:val="Normal"/>
    <w:uiPriority w:val="99"/>
    <w:rsid w:val="00D344FC"/>
    <w:pPr>
      <w:spacing w:before="100" w:beforeAutospacing="1" w:after="100" w:afterAutospacing="1"/>
    </w:pPr>
    <w:rPr>
      <w:lang w:val="it-IT"/>
    </w:rPr>
  </w:style>
  <w:style w:type="character" w:customStyle="1" w:styleId="st">
    <w:name w:val="st"/>
    <w:uiPriority w:val="99"/>
    <w:rsid w:val="00495FE6"/>
    <w:rPr>
      <w:rFonts w:cs="Times New Roman"/>
    </w:rPr>
  </w:style>
  <w:style w:type="character" w:customStyle="1" w:styleId="ft">
    <w:name w:val="ft"/>
    <w:uiPriority w:val="99"/>
    <w:rsid w:val="00495FE6"/>
    <w:rPr>
      <w:rFonts w:cs="Times New Roman"/>
    </w:rPr>
  </w:style>
  <w:style w:type="paragraph" w:customStyle="1" w:styleId="desc">
    <w:name w:val="desc"/>
    <w:basedOn w:val="Normal"/>
    <w:uiPriority w:val="99"/>
    <w:rsid w:val="00495FE6"/>
    <w:pPr>
      <w:spacing w:before="100" w:beforeAutospacing="1" w:after="100" w:afterAutospacing="1"/>
    </w:pPr>
    <w:rPr>
      <w:lang w:val="it-IT"/>
    </w:rPr>
  </w:style>
  <w:style w:type="paragraph" w:customStyle="1" w:styleId="details">
    <w:name w:val="details"/>
    <w:basedOn w:val="Normal"/>
    <w:uiPriority w:val="99"/>
    <w:rsid w:val="00495FE6"/>
    <w:pPr>
      <w:spacing w:before="100" w:beforeAutospacing="1" w:after="100" w:afterAutospacing="1"/>
    </w:pPr>
    <w:rPr>
      <w:lang w:val="it-IT"/>
    </w:rPr>
  </w:style>
  <w:style w:type="character" w:styleId="LineNumber">
    <w:name w:val="line number"/>
    <w:basedOn w:val="DefaultParagraphFont"/>
    <w:uiPriority w:val="99"/>
    <w:semiHidden/>
    <w:unhideWhenUsed/>
    <w:rsid w:val="00643677"/>
  </w:style>
  <w:style w:type="character" w:customStyle="1" w:styleId="hps">
    <w:name w:val="hps"/>
    <w:basedOn w:val="DefaultParagraphFont"/>
    <w:rsid w:val="009F5366"/>
  </w:style>
  <w:style w:type="paragraph" w:customStyle="1" w:styleId="NoSpacing1">
    <w:name w:val="No Spacing1"/>
    <w:link w:val="NoSpacingChar"/>
    <w:uiPriority w:val="1"/>
    <w:qFormat/>
    <w:rsid w:val="009F4A5E"/>
    <w:rPr>
      <w:rFonts w:ascii="Calibri" w:hAnsi="Calibri"/>
      <w:sz w:val="22"/>
      <w:szCs w:val="22"/>
      <w:lang w:eastAsia="en-US"/>
    </w:rPr>
  </w:style>
  <w:style w:type="character" w:customStyle="1" w:styleId="NoSpacingChar">
    <w:name w:val="No Spacing Char"/>
    <w:basedOn w:val="DefaultParagraphFont"/>
    <w:link w:val="NoSpacing1"/>
    <w:uiPriority w:val="1"/>
    <w:rsid w:val="009F4A5E"/>
    <w:rPr>
      <w:rFonts w:ascii="Calibri" w:hAnsi="Calibri"/>
      <w:sz w:val="22"/>
      <w:szCs w:val="22"/>
      <w:lang w:val="it-IT" w:eastAsia="en-US" w:bidi="ar-SA"/>
    </w:rPr>
  </w:style>
  <w:style w:type="character" w:styleId="FootnoteReference">
    <w:name w:val="footnote reference"/>
    <w:basedOn w:val="DefaultParagraphFont"/>
    <w:uiPriority w:val="99"/>
    <w:semiHidden/>
    <w:unhideWhenUsed/>
    <w:rsid w:val="002B4EA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45E"/>
    <w:rPr>
      <w:sz w:val="24"/>
      <w:szCs w:val="24"/>
      <w:lang w:val="en-GB"/>
    </w:rPr>
  </w:style>
  <w:style w:type="paragraph" w:styleId="Heading1">
    <w:name w:val="heading 1"/>
    <w:basedOn w:val="Normal"/>
    <w:next w:val="Normal"/>
    <w:link w:val="Heading1Char"/>
    <w:uiPriority w:val="99"/>
    <w:qFormat/>
    <w:rsid w:val="00A8745E"/>
    <w:pPr>
      <w:keepNext/>
      <w:spacing w:before="100" w:beforeAutospacing="1" w:after="100" w:afterAutospacing="1" w:line="480" w:lineRule="auto"/>
      <w:jc w:val="both"/>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A8745E"/>
    <w:pPr>
      <w:keepNext/>
      <w:outlineLvl w:val="1"/>
    </w:pPr>
    <w:rPr>
      <w:rFonts w:ascii="Cambria" w:hAnsi="Cambria"/>
      <w:b/>
      <w:bCs/>
      <w:i/>
      <w:iCs/>
      <w:sz w:val="28"/>
      <w:szCs w:val="28"/>
    </w:rPr>
  </w:style>
  <w:style w:type="paragraph" w:styleId="Heading3">
    <w:name w:val="heading 3"/>
    <w:basedOn w:val="Normal"/>
    <w:next w:val="Normal"/>
    <w:link w:val="Heading3Char"/>
    <w:uiPriority w:val="99"/>
    <w:qFormat/>
    <w:rsid w:val="00D344FC"/>
    <w:pPr>
      <w:keepNext/>
      <w:spacing w:before="240" w:after="60"/>
      <w:outlineLvl w:val="2"/>
    </w:pPr>
    <w:rPr>
      <w:rFonts w:ascii="Cambria" w:hAnsi="Cambria"/>
      <w:b/>
      <w:bCs/>
      <w:sz w:val="26"/>
      <w:szCs w:val="26"/>
      <w:lang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7B58C8"/>
    <w:rPr>
      <w:rFonts w:ascii="Cambria" w:hAnsi="Cambria" w:cs="Times New Roman"/>
      <w:b/>
      <w:bCs/>
      <w:kern w:val="32"/>
      <w:sz w:val="32"/>
      <w:szCs w:val="32"/>
      <w:lang w:val="en-GB" w:eastAsia="it-IT"/>
    </w:rPr>
  </w:style>
  <w:style w:type="character" w:customStyle="1" w:styleId="Heading2Char">
    <w:name w:val="Heading 2 Char"/>
    <w:link w:val="Heading2"/>
    <w:uiPriority w:val="99"/>
    <w:semiHidden/>
    <w:locked/>
    <w:rsid w:val="007B58C8"/>
    <w:rPr>
      <w:rFonts w:ascii="Cambria" w:hAnsi="Cambria" w:cs="Times New Roman"/>
      <w:b/>
      <w:bCs/>
      <w:i/>
      <w:iCs/>
      <w:sz w:val="28"/>
      <w:szCs w:val="28"/>
      <w:lang w:val="en-GB" w:eastAsia="it-IT"/>
    </w:rPr>
  </w:style>
  <w:style w:type="character" w:customStyle="1" w:styleId="Heading3Char">
    <w:name w:val="Heading 3 Char"/>
    <w:link w:val="Heading3"/>
    <w:uiPriority w:val="99"/>
    <w:semiHidden/>
    <w:locked/>
    <w:rsid w:val="00D344FC"/>
    <w:rPr>
      <w:rFonts w:ascii="Cambria" w:hAnsi="Cambria" w:cs="Times New Roman"/>
      <w:b/>
      <w:bCs/>
      <w:sz w:val="26"/>
      <w:szCs w:val="26"/>
      <w:lang w:val="en-GB"/>
    </w:rPr>
  </w:style>
  <w:style w:type="character" w:styleId="Hyperlink">
    <w:name w:val="Hyperlink"/>
    <w:uiPriority w:val="99"/>
    <w:rsid w:val="00A8745E"/>
    <w:rPr>
      <w:rFonts w:cs="Times New Roman"/>
      <w:color w:val="0033CC"/>
      <w:u w:val="single"/>
    </w:rPr>
  </w:style>
  <w:style w:type="character" w:customStyle="1" w:styleId="spelle">
    <w:name w:val="spelle"/>
    <w:uiPriority w:val="99"/>
    <w:rsid w:val="00A8745E"/>
    <w:rPr>
      <w:rFonts w:cs="Times New Roman"/>
    </w:rPr>
  </w:style>
  <w:style w:type="character" w:styleId="Strong">
    <w:name w:val="Strong"/>
    <w:uiPriority w:val="99"/>
    <w:qFormat/>
    <w:rsid w:val="00A8745E"/>
    <w:rPr>
      <w:rFonts w:cs="Times New Roman"/>
      <w:b/>
      <w:bCs/>
    </w:rPr>
  </w:style>
  <w:style w:type="paragraph" w:styleId="BodyText3">
    <w:name w:val="Body Text 3"/>
    <w:basedOn w:val="Normal"/>
    <w:link w:val="BodyText3Char"/>
    <w:uiPriority w:val="99"/>
    <w:rsid w:val="00A8745E"/>
    <w:pPr>
      <w:tabs>
        <w:tab w:val="left" w:pos="284"/>
      </w:tabs>
      <w:spacing w:line="360" w:lineRule="auto"/>
      <w:ind w:right="1700"/>
      <w:jc w:val="both"/>
    </w:pPr>
    <w:rPr>
      <w:sz w:val="16"/>
      <w:szCs w:val="16"/>
    </w:rPr>
  </w:style>
  <w:style w:type="character" w:customStyle="1" w:styleId="BodyText3Char">
    <w:name w:val="Body Text 3 Char"/>
    <w:link w:val="BodyText3"/>
    <w:uiPriority w:val="99"/>
    <w:semiHidden/>
    <w:locked/>
    <w:rsid w:val="007B58C8"/>
    <w:rPr>
      <w:rFonts w:cs="Times New Roman"/>
      <w:sz w:val="16"/>
      <w:szCs w:val="16"/>
      <w:lang w:val="en-GB" w:eastAsia="it-IT"/>
    </w:rPr>
  </w:style>
  <w:style w:type="paragraph" w:styleId="BlockText">
    <w:name w:val="Block Text"/>
    <w:basedOn w:val="Normal"/>
    <w:uiPriority w:val="99"/>
    <w:rsid w:val="00A8745E"/>
    <w:pPr>
      <w:tabs>
        <w:tab w:val="left" w:pos="1276"/>
      </w:tabs>
      <w:spacing w:line="480" w:lineRule="auto"/>
      <w:ind w:left="1276" w:right="1701" w:hanging="709"/>
      <w:jc w:val="both"/>
    </w:pPr>
    <w:rPr>
      <w:szCs w:val="20"/>
      <w:lang w:val="it-IT"/>
    </w:rPr>
  </w:style>
  <w:style w:type="character" w:customStyle="1" w:styleId="txtboldonly1">
    <w:name w:val="txtboldonly1"/>
    <w:uiPriority w:val="99"/>
    <w:rsid w:val="00A8745E"/>
    <w:rPr>
      <w:rFonts w:cs="Times New Roman"/>
      <w:b/>
      <w:bCs/>
    </w:rPr>
  </w:style>
  <w:style w:type="character" w:customStyle="1" w:styleId="txtsmall1">
    <w:name w:val="txtsmall1"/>
    <w:uiPriority w:val="99"/>
    <w:rsid w:val="00A8745E"/>
    <w:rPr>
      <w:rFonts w:cs="Times New Roman"/>
      <w:sz w:val="15"/>
      <w:szCs w:val="15"/>
    </w:rPr>
  </w:style>
  <w:style w:type="character" w:customStyle="1" w:styleId="hidden-label1">
    <w:name w:val="hidden-label1"/>
    <w:uiPriority w:val="99"/>
    <w:rsid w:val="00A8745E"/>
    <w:rPr>
      <w:rFonts w:cs="Times New Roman"/>
    </w:rPr>
  </w:style>
  <w:style w:type="character" w:customStyle="1" w:styleId="txtsmall2">
    <w:name w:val="txtsmall2"/>
    <w:uiPriority w:val="99"/>
    <w:rsid w:val="00A8745E"/>
    <w:rPr>
      <w:rFonts w:cs="Times New Roman"/>
      <w:sz w:val="15"/>
      <w:szCs w:val="15"/>
    </w:rPr>
  </w:style>
  <w:style w:type="character" w:customStyle="1" w:styleId="testoblu1">
    <w:name w:val="testoblu1"/>
    <w:uiPriority w:val="99"/>
    <w:rsid w:val="00A8745E"/>
    <w:rPr>
      <w:rFonts w:ascii="Verdana" w:hAnsi="Verdana" w:cs="Times New Roman"/>
      <w:color w:val="000066"/>
      <w:sz w:val="20"/>
      <w:szCs w:val="20"/>
      <w:shd w:val="clear" w:color="auto" w:fill="auto"/>
    </w:rPr>
  </w:style>
  <w:style w:type="paragraph" w:styleId="BodyText">
    <w:name w:val="Body Text"/>
    <w:basedOn w:val="Normal"/>
    <w:link w:val="BodyTextChar"/>
    <w:uiPriority w:val="99"/>
    <w:rsid w:val="00A8745E"/>
    <w:pPr>
      <w:spacing w:after="120"/>
    </w:pPr>
  </w:style>
  <w:style w:type="character" w:customStyle="1" w:styleId="BodyTextChar">
    <w:name w:val="Body Text Char"/>
    <w:link w:val="BodyText"/>
    <w:uiPriority w:val="99"/>
    <w:semiHidden/>
    <w:locked/>
    <w:rsid w:val="007B58C8"/>
    <w:rPr>
      <w:rFonts w:cs="Times New Roman"/>
      <w:sz w:val="24"/>
      <w:szCs w:val="24"/>
      <w:lang w:val="en-GB" w:eastAsia="it-IT"/>
    </w:rPr>
  </w:style>
  <w:style w:type="paragraph" w:customStyle="1" w:styleId="StileArialGiustificatoPrimariga125cmInterlinea15rig">
    <w:name w:val="Stile Arial Giustificato Prima riga:  125 cm Interlinea 15 rig..."/>
    <w:basedOn w:val="Normal"/>
    <w:uiPriority w:val="99"/>
    <w:rsid w:val="00A8745E"/>
    <w:pPr>
      <w:spacing w:line="360" w:lineRule="auto"/>
      <w:ind w:firstLine="709"/>
      <w:jc w:val="both"/>
    </w:pPr>
    <w:rPr>
      <w:rFonts w:ascii="Arial" w:hAnsi="Arial"/>
      <w:szCs w:val="20"/>
    </w:rPr>
  </w:style>
  <w:style w:type="table" w:styleId="TableSimple1">
    <w:name w:val="Table Simple 1"/>
    <w:basedOn w:val="TableNormal"/>
    <w:uiPriority w:val="99"/>
    <w:rsid w:val="00A81848"/>
    <w:tblPr>
      <w:tblBorders>
        <w:top w:val="single" w:sz="8" w:space="0" w:color="000000"/>
        <w:bottom w:val="single" w:sz="8" w:space="0" w:color="000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character" w:customStyle="1" w:styleId="maintext1">
    <w:name w:val="maintext1"/>
    <w:uiPriority w:val="99"/>
    <w:rsid w:val="00A8745E"/>
    <w:rPr>
      <w:rFonts w:ascii="Verdana" w:hAnsi="Verdana" w:cs="Times New Roman"/>
      <w:sz w:val="20"/>
      <w:szCs w:val="20"/>
    </w:rPr>
  </w:style>
  <w:style w:type="paragraph" w:customStyle="1" w:styleId="maintext">
    <w:name w:val="maintext"/>
    <w:basedOn w:val="Normal"/>
    <w:uiPriority w:val="99"/>
    <w:rsid w:val="00A8745E"/>
    <w:pPr>
      <w:spacing w:before="100" w:beforeAutospacing="1" w:after="100" w:afterAutospacing="1"/>
    </w:pPr>
    <w:rPr>
      <w:rFonts w:ascii="Verdana" w:hAnsi="Verdana"/>
      <w:sz w:val="20"/>
      <w:szCs w:val="20"/>
      <w:lang w:val="it-IT"/>
    </w:rPr>
  </w:style>
  <w:style w:type="paragraph" w:customStyle="1" w:styleId="mainheader">
    <w:name w:val="mainheader"/>
    <w:basedOn w:val="Normal"/>
    <w:uiPriority w:val="99"/>
    <w:rsid w:val="00A8745E"/>
    <w:pPr>
      <w:spacing w:before="100" w:beforeAutospacing="1" w:after="100" w:afterAutospacing="1"/>
    </w:pPr>
    <w:rPr>
      <w:rFonts w:ascii="Verdana" w:hAnsi="Verdana"/>
      <w:b/>
      <w:bCs/>
      <w:sz w:val="27"/>
      <w:szCs w:val="27"/>
      <w:lang w:val="it-IT"/>
    </w:rPr>
  </w:style>
  <w:style w:type="paragraph" w:styleId="CommentText">
    <w:name w:val="annotation text"/>
    <w:basedOn w:val="Normal"/>
    <w:link w:val="CommentTextChar"/>
    <w:uiPriority w:val="99"/>
    <w:semiHidden/>
    <w:rsid w:val="00A8745E"/>
    <w:pPr>
      <w:suppressAutoHyphens/>
    </w:pPr>
    <w:rPr>
      <w:sz w:val="20"/>
      <w:szCs w:val="20"/>
      <w:lang w:val="it-IT" w:eastAsia="ar-SA"/>
    </w:rPr>
  </w:style>
  <w:style w:type="character" w:customStyle="1" w:styleId="CommentTextChar">
    <w:name w:val="Comment Text Char"/>
    <w:link w:val="CommentText"/>
    <w:uiPriority w:val="99"/>
    <w:semiHidden/>
    <w:locked/>
    <w:rsid w:val="00962EBB"/>
    <w:rPr>
      <w:rFonts w:cs="Times New Roman"/>
      <w:lang w:val="it-IT" w:eastAsia="ar-SA" w:bidi="ar-SA"/>
    </w:rPr>
  </w:style>
  <w:style w:type="table" w:styleId="TableGrid">
    <w:name w:val="Table Grid"/>
    <w:basedOn w:val="TableNormal"/>
    <w:uiPriority w:val="99"/>
    <w:rsid w:val="00E173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uiPriority w:val="99"/>
    <w:rsid w:val="00E173B7"/>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paragraph" w:styleId="Footer">
    <w:name w:val="footer"/>
    <w:basedOn w:val="Normal"/>
    <w:link w:val="FooterChar"/>
    <w:uiPriority w:val="99"/>
    <w:rsid w:val="00AC61C3"/>
    <w:pPr>
      <w:tabs>
        <w:tab w:val="center" w:pos="4819"/>
        <w:tab w:val="right" w:pos="9638"/>
      </w:tabs>
    </w:pPr>
  </w:style>
  <w:style w:type="character" w:customStyle="1" w:styleId="FooterChar">
    <w:name w:val="Footer Char"/>
    <w:link w:val="Footer"/>
    <w:uiPriority w:val="99"/>
    <w:semiHidden/>
    <w:locked/>
    <w:rsid w:val="007B58C8"/>
    <w:rPr>
      <w:rFonts w:cs="Times New Roman"/>
      <w:sz w:val="24"/>
      <w:szCs w:val="24"/>
      <w:lang w:val="en-GB" w:eastAsia="it-IT"/>
    </w:rPr>
  </w:style>
  <w:style w:type="character" w:styleId="PageNumber">
    <w:name w:val="page number"/>
    <w:uiPriority w:val="99"/>
    <w:rsid w:val="00AC61C3"/>
    <w:rPr>
      <w:rFonts w:cs="Times New Roman"/>
    </w:rPr>
  </w:style>
  <w:style w:type="paragraph" w:styleId="BalloonText">
    <w:name w:val="Balloon Text"/>
    <w:basedOn w:val="Normal"/>
    <w:link w:val="BalloonTextChar"/>
    <w:uiPriority w:val="99"/>
    <w:rsid w:val="00F267C4"/>
    <w:rPr>
      <w:rFonts w:ascii="Tahoma" w:hAnsi="Tahoma"/>
      <w:sz w:val="16"/>
      <w:szCs w:val="16"/>
      <w:lang w:eastAsia="x-none"/>
    </w:rPr>
  </w:style>
  <w:style w:type="character" w:customStyle="1" w:styleId="BalloonTextChar">
    <w:name w:val="Balloon Text Char"/>
    <w:link w:val="BalloonText"/>
    <w:uiPriority w:val="99"/>
    <w:locked/>
    <w:rsid w:val="00F267C4"/>
    <w:rPr>
      <w:rFonts w:ascii="Tahoma" w:hAnsi="Tahoma" w:cs="Tahoma"/>
      <w:sz w:val="16"/>
      <w:szCs w:val="16"/>
      <w:lang w:val="en-GB"/>
    </w:rPr>
  </w:style>
  <w:style w:type="character" w:styleId="Emphasis">
    <w:name w:val="Emphasis"/>
    <w:uiPriority w:val="99"/>
    <w:qFormat/>
    <w:rsid w:val="00764B25"/>
    <w:rPr>
      <w:rFonts w:cs="Times New Roman"/>
      <w:b/>
      <w:bCs/>
    </w:rPr>
  </w:style>
  <w:style w:type="paragraph" w:styleId="Header">
    <w:name w:val="header"/>
    <w:basedOn w:val="Normal"/>
    <w:link w:val="HeaderChar"/>
    <w:uiPriority w:val="99"/>
    <w:rsid w:val="00522243"/>
    <w:pPr>
      <w:tabs>
        <w:tab w:val="center" w:pos="4819"/>
        <w:tab w:val="right" w:pos="9638"/>
      </w:tabs>
    </w:pPr>
    <w:rPr>
      <w:lang w:eastAsia="x-none"/>
    </w:rPr>
  </w:style>
  <w:style w:type="character" w:customStyle="1" w:styleId="HeaderChar">
    <w:name w:val="Header Char"/>
    <w:link w:val="Header"/>
    <w:uiPriority w:val="99"/>
    <w:locked/>
    <w:rsid w:val="00522243"/>
    <w:rPr>
      <w:rFonts w:cs="Times New Roman"/>
      <w:sz w:val="24"/>
      <w:szCs w:val="24"/>
      <w:lang w:val="en-GB"/>
    </w:rPr>
  </w:style>
  <w:style w:type="paragraph" w:styleId="FootnoteText">
    <w:name w:val="footnote text"/>
    <w:basedOn w:val="Normal"/>
    <w:link w:val="FootnoteTextChar"/>
    <w:uiPriority w:val="99"/>
    <w:rsid w:val="002E0521"/>
    <w:rPr>
      <w:rFonts w:ascii="Times" w:hAnsi="Times"/>
      <w:sz w:val="20"/>
      <w:szCs w:val="20"/>
      <w:vertAlign w:val="superscript"/>
      <w:lang w:val="x-none" w:eastAsia="en-US"/>
    </w:rPr>
  </w:style>
  <w:style w:type="character" w:customStyle="1" w:styleId="FootnoteTextChar">
    <w:name w:val="Footnote Text Char"/>
    <w:link w:val="FootnoteText"/>
    <w:uiPriority w:val="99"/>
    <w:locked/>
    <w:rsid w:val="002E0521"/>
    <w:rPr>
      <w:rFonts w:ascii="Times" w:hAnsi="Times" w:cs="Times New Roman"/>
      <w:vertAlign w:val="superscript"/>
      <w:lang w:eastAsia="en-US"/>
    </w:rPr>
  </w:style>
  <w:style w:type="character" w:customStyle="1" w:styleId="parentsectionsectiontitle1">
    <w:name w:val="parentsection_sectiontitle1"/>
    <w:uiPriority w:val="99"/>
    <w:rsid w:val="00666F04"/>
    <w:rPr>
      <w:rFonts w:ascii="Arial" w:hAnsi="Arial" w:cs="Arial"/>
      <w:b/>
      <w:bCs/>
      <w:sz w:val="23"/>
      <w:szCs w:val="23"/>
    </w:rPr>
  </w:style>
  <w:style w:type="character" w:customStyle="1" w:styleId="divider">
    <w:name w:val="divider"/>
    <w:uiPriority w:val="99"/>
    <w:rsid w:val="00493281"/>
    <w:rPr>
      <w:rFonts w:cs="Times New Roman"/>
    </w:rPr>
  </w:style>
  <w:style w:type="character" w:customStyle="1" w:styleId="bold1">
    <w:name w:val="bold1"/>
    <w:uiPriority w:val="99"/>
    <w:rsid w:val="00493281"/>
    <w:rPr>
      <w:rFonts w:cs="Times New Roman"/>
      <w:b/>
      <w:bCs/>
    </w:rPr>
  </w:style>
  <w:style w:type="character" w:customStyle="1" w:styleId="divtextlink1">
    <w:name w:val="divtextlink1"/>
    <w:uiPriority w:val="99"/>
    <w:rsid w:val="00493281"/>
    <w:rPr>
      <w:rFonts w:cs="Times New Roman"/>
    </w:rPr>
  </w:style>
  <w:style w:type="character" w:customStyle="1" w:styleId="txtsmallerabstractlink">
    <w:name w:val="txtsmaller abstractlink"/>
    <w:uiPriority w:val="99"/>
    <w:rsid w:val="00493281"/>
    <w:rPr>
      <w:rFonts w:cs="Times New Roman"/>
    </w:rPr>
  </w:style>
  <w:style w:type="paragraph" w:customStyle="1" w:styleId="txtsmaller">
    <w:name w:val="txtsmaller"/>
    <w:basedOn w:val="Normal"/>
    <w:uiPriority w:val="99"/>
    <w:rsid w:val="008E58CF"/>
    <w:rPr>
      <w:sz w:val="22"/>
      <w:szCs w:val="22"/>
      <w:lang w:val="it-IT"/>
    </w:rPr>
  </w:style>
  <w:style w:type="paragraph" w:customStyle="1" w:styleId="txttitle">
    <w:name w:val="txttitle"/>
    <w:basedOn w:val="Normal"/>
    <w:uiPriority w:val="99"/>
    <w:rsid w:val="008E58CF"/>
    <w:rPr>
      <w:sz w:val="42"/>
      <w:szCs w:val="42"/>
      <w:lang w:val="it-IT"/>
    </w:rPr>
  </w:style>
  <w:style w:type="paragraph" w:customStyle="1" w:styleId="citation">
    <w:name w:val="citation"/>
    <w:basedOn w:val="Normal"/>
    <w:uiPriority w:val="99"/>
    <w:rsid w:val="002115EF"/>
    <w:pPr>
      <w:spacing w:before="100" w:beforeAutospacing="1" w:after="100" w:afterAutospacing="1"/>
    </w:pPr>
    <w:rPr>
      <w:lang w:val="it-IT"/>
    </w:rPr>
  </w:style>
  <w:style w:type="paragraph" w:customStyle="1" w:styleId="authlist">
    <w:name w:val="auth_list"/>
    <w:basedOn w:val="Normal"/>
    <w:uiPriority w:val="99"/>
    <w:rsid w:val="002115EF"/>
    <w:pPr>
      <w:spacing w:before="100" w:beforeAutospacing="1" w:after="100" w:afterAutospacing="1"/>
    </w:pPr>
    <w:rPr>
      <w:lang w:val="it-IT"/>
    </w:rPr>
  </w:style>
  <w:style w:type="paragraph" w:customStyle="1" w:styleId="title1">
    <w:name w:val="title1"/>
    <w:basedOn w:val="Normal"/>
    <w:uiPriority w:val="99"/>
    <w:rsid w:val="006B150A"/>
    <w:rPr>
      <w:sz w:val="29"/>
      <w:szCs w:val="29"/>
      <w:lang w:val="it-IT"/>
    </w:rPr>
  </w:style>
  <w:style w:type="paragraph" w:customStyle="1" w:styleId="rprtbody1">
    <w:name w:val="rprtbody1"/>
    <w:basedOn w:val="Normal"/>
    <w:uiPriority w:val="99"/>
    <w:rsid w:val="006B150A"/>
    <w:pPr>
      <w:spacing w:before="34" w:after="34"/>
    </w:pPr>
    <w:rPr>
      <w:sz w:val="28"/>
      <w:szCs w:val="28"/>
      <w:lang w:val="it-IT"/>
    </w:rPr>
  </w:style>
  <w:style w:type="paragraph" w:customStyle="1" w:styleId="aux1">
    <w:name w:val="aux1"/>
    <w:basedOn w:val="Normal"/>
    <w:uiPriority w:val="99"/>
    <w:rsid w:val="006B150A"/>
    <w:pPr>
      <w:spacing w:line="320" w:lineRule="atLeast"/>
    </w:pPr>
    <w:rPr>
      <w:lang w:val="it-IT"/>
    </w:rPr>
  </w:style>
  <w:style w:type="character" w:customStyle="1" w:styleId="src1">
    <w:name w:val="src1"/>
    <w:uiPriority w:val="99"/>
    <w:rsid w:val="006B150A"/>
    <w:rPr>
      <w:rFonts w:cs="Times New Roman"/>
    </w:rPr>
  </w:style>
  <w:style w:type="character" w:customStyle="1" w:styleId="jrnl">
    <w:name w:val="jrnl"/>
    <w:uiPriority w:val="99"/>
    <w:rsid w:val="006B150A"/>
    <w:rPr>
      <w:rFonts w:cs="Times New Roman"/>
    </w:rPr>
  </w:style>
  <w:style w:type="paragraph" w:customStyle="1" w:styleId="ListParagraph1">
    <w:name w:val="List Paragraph1"/>
    <w:basedOn w:val="Normal"/>
    <w:uiPriority w:val="99"/>
    <w:qFormat/>
    <w:rsid w:val="00D449B4"/>
    <w:pPr>
      <w:ind w:left="720"/>
      <w:contextualSpacing/>
    </w:pPr>
    <w:rPr>
      <w:lang w:val="it-IT"/>
    </w:rPr>
  </w:style>
  <w:style w:type="paragraph" w:customStyle="1" w:styleId="DecimalAligned">
    <w:name w:val="Decimal Aligned"/>
    <w:basedOn w:val="Normal"/>
    <w:uiPriority w:val="99"/>
    <w:rsid w:val="00D22859"/>
    <w:pPr>
      <w:tabs>
        <w:tab w:val="decimal" w:pos="360"/>
      </w:tabs>
      <w:spacing w:after="200" w:line="276" w:lineRule="auto"/>
    </w:pPr>
    <w:rPr>
      <w:rFonts w:ascii="Calibri" w:hAnsi="Calibri"/>
      <w:sz w:val="22"/>
      <w:szCs w:val="22"/>
      <w:lang w:val="it-IT" w:eastAsia="en-US"/>
    </w:rPr>
  </w:style>
  <w:style w:type="character" w:customStyle="1" w:styleId="SubtleEmphasis1">
    <w:name w:val="Subtle Emphasis1"/>
    <w:uiPriority w:val="99"/>
    <w:qFormat/>
    <w:rsid w:val="00D22859"/>
    <w:rPr>
      <w:rFonts w:eastAsia="Times New Roman" w:cs="Times New Roman"/>
      <w:i/>
      <w:iCs/>
      <w:color w:val="808080"/>
      <w:sz w:val="22"/>
      <w:szCs w:val="22"/>
      <w:lang w:val="it-IT"/>
    </w:rPr>
  </w:style>
  <w:style w:type="table" w:customStyle="1" w:styleId="Sfondochiaro-Colore11">
    <w:name w:val="Sfondo chiaro - Colore 11"/>
    <w:uiPriority w:val="99"/>
    <w:rsid w:val="00D22859"/>
    <w:rPr>
      <w:rFonts w:ascii="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styleId="CommentReference">
    <w:name w:val="annotation reference"/>
    <w:uiPriority w:val="99"/>
    <w:rsid w:val="00962EBB"/>
    <w:rPr>
      <w:rFonts w:cs="Times New Roman"/>
      <w:sz w:val="16"/>
      <w:szCs w:val="16"/>
    </w:rPr>
  </w:style>
  <w:style w:type="paragraph" w:styleId="CommentSubject">
    <w:name w:val="annotation subject"/>
    <w:basedOn w:val="CommentText"/>
    <w:next w:val="CommentText"/>
    <w:link w:val="CommentSubjectChar"/>
    <w:uiPriority w:val="99"/>
    <w:rsid w:val="00962EBB"/>
    <w:pPr>
      <w:suppressAutoHyphens w:val="0"/>
    </w:pPr>
  </w:style>
  <w:style w:type="character" w:customStyle="1" w:styleId="CommentSubjectChar">
    <w:name w:val="Comment Subject Char"/>
    <w:link w:val="CommentSubject"/>
    <w:uiPriority w:val="99"/>
    <w:locked/>
    <w:rsid w:val="00962EBB"/>
    <w:rPr>
      <w:rFonts w:cs="Times New Roman"/>
      <w:lang w:val="it-IT" w:eastAsia="ar-SA" w:bidi="ar-SA"/>
    </w:rPr>
  </w:style>
  <w:style w:type="paragraph" w:customStyle="1" w:styleId="Revision1">
    <w:name w:val="Revision1"/>
    <w:hidden/>
    <w:uiPriority w:val="99"/>
    <w:semiHidden/>
    <w:rsid w:val="00D04BCF"/>
    <w:rPr>
      <w:sz w:val="24"/>
      <w:szCs w:val="24"/>
      <w:lang w:val="en-GB"/>
    </w:rPr>
  </w:style>
  <w:style w:type="paragraph" w:styleId="NormalWeb">
    <w:name w:val="Normal (Web)"/>
    <w:basedOn w:val="Normal"/>
    <w:uiPriority w:val="99"/>
    <w:rsid w:val="00D344FC"/>
    <w:pPr>
      <w:spacing w:before="100" w:beforeAutospacing="1" w:after="100" w:afterAutospacing="1"/>
    </w:pPr>
    <w:rPr>
      <w:lang w:val="it-IT"/>
    </w:rPr>
  </w:style>
  <w:style w:type="character" w:customStyle="1" w:styleId="st">
    <w:name w:val="st"/>
    <w:uiPriority w:val="99"/>
    <w:rsid w:val="00495FE6"/>
    <w:rPr>
      <w:rFonts w:cs="Times New Roman"/>
    </w:rPr>
  </w:style>
  <w:style w:type="character" w:customStyle="1" w:styleId="ft">
    <w:name w:val="ft"/>
    <w:uiPriority w:val="99"/>
    <w:rsid w:val="00495FE6"/>
    <w:rPr>
      <w:rFonts w:cs="Times New Roman"/>
    </w:rPr>
  </w:style>
  <w:style w:type="paragraph" w:customStyle="1" w:styleId="desc">
    <w:name w:val="desc"/>
    <w:basedOn w:val="Normal"/>
    <w:uiPriority w:val="99"/>
    <w:rsid w:val="00495FE6"/>
    <w:pPr>
      <w:spacing w:before="100" w:beforeAutospacing="1" w:after="100" w:afterAutospacing="1"/>
    </w:pPr>
    <w:rPr>
      <w:lang w:val="it-IT"/>
    </w:rPr>
  </w:style>
  <w:style w:type="paragraph" w:customStyle="1" w:styleId="details">
    <w:name w:val="details"/>
    <w:basedOn w:val="Normal"/>
    <w:uiPriority w:val="99"/>
    <w:rsid w:val="00495FE6"/>
    <w:pPr>
      <w:spacing w:before="100" w:beforeAutospacing="1" w:after="100" w:afterAutospacing="1"/>
    </w:pPr>
    <w:rPr>
      <w:lang w:val="it-IT"/>
    </w:rPr>
  </w:style>
  <w:style w:type="character" w:styleId="LineNumber">
    <w:name w:val="line number"/>
    <w:basedOn w:val="DefaultParagraphFont"/>
    <w:uiPriority w:val="99"/>
    <w:semiHidden/>
    <w:unhideWhenUsed/>
    <w:rsid w:val="00643677"/>
  </w:style>
  <w:style w:type="character" w:customStyle="1" w:styleId="hps">
    <w:name w:val="hps"/>
    <w:basedOn w:val="DefaultParagraphFont"/>
    <w:rsid w:val="009F5366"/>
  </w:style>
  <w:style w:type="paragraph" w:customStyle="1" w:styleId="NoSpacing1">
    <w:name w:val="No Spacing1"/>
    <w:link w:val="NoSpacingChar"/>
    <w:uiPriority w:val="1"/>
    <w:qFormat/>
    <w:rsid w:val="009F4A5E"/>
    <w:rPr>
      <w:rFonts w:ascii="Calibri" w:hAnsi="Calibri"/>
      <w:sz w:val="22"/>
      <w:szCs w:val="22"/>
      <w:lang w:eastAsia="en-US"/>
    </w:rPr>
  </w:style>
  <w:style w:type="character" w:customStyle="1" w:styleId="NoSpacingChar">
    <w:name w:val="No Spacing Char"/>
    <w:basedOn w:val="DefaultParagraphFont"/>
    <w:link w:val="NoSpacing1"/>
    <w:uiPriority w:val="1"/>
    <w:rsid w:val="009F4A5E"/>
    <w:rPr>
      <w:rFonts w:ascii="Calibri" w:hAnsi="Calibri"/>
      <w:sz w:val="22"/>
      <w:szCs w:val="22"/>
      <w:lang w:val="it-IT" w:eastAsia="en-US" w:bidi="ar-SA"/>
    </w:rPr>
  </w:style>
  <w:style w:type="character" w:styleId="FootnoteReference">
    <w:name w:val="footnote reference"/>
    <w:basedOn w:val="DefaultParagraphFont"/>
    <w:uiPriority w:val="99"/>
    <w:semiHidden/>
    <w:unhideWhenUsed/>
    <w:rsid w:val="002B4EA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419109">
      <w:bodyDiv w:val="1"/>
      <w:marLeft w:val="0"/>
      <w:marRight w:val="0"/>
      <w:marTop w:val="0"/>
      <w:marBottom w:val="0"/>
      <w:divBdr>
        <w:top w:val="none" w:sz="0" w:space="0" w:color="auto"/>
        <w:left w:val="none" w:sz="0" w:space="0" w:color="auto"/>
        <w:bottom w:val="none" w:sz="0" w:space="0" w:color="auto"/>
        <w:right w:val="none" w:sz="0" w:space="0" w:color="auto"/>
      </w:divBdr>
    </w:div>
    <w:div w:id="981731505">
      <w:bodyDiv w:val="1"/>
      <w:marLeft w:val="0"/>
      <w:marRight w:val="0"/>
      <w:marTop w:val="0"/>
      <w:marBottom w:val="0"/>
      <w:divBdr>
        <w:top w:val="none" w:sz="0" w:space="0" w:color="auto"/>
        <w:left w:val="none" w:sz="0" w:space="0" w:color="auto"/>
        <w:bottom w:val="none" w:sz="0" w:space="0" w:color="auto"/>
        <w:right w:val="none" w:sz="0" w:space="0" w:color="auto"/>
      </w:divBdr>
    </w:div>
    <w:div w:id="1557008387">
      <w:marLeft w:val="0"/>
      <w:marRight w:val="0"/>
      <w:marTop w:val="0"/>
      <w:marBottom w:val="0"/>
      <w:divBdr>
        <w:top w:val="none" w:sz="0" w:space="0" w:color="auto"/>
        <w:left w:val="none" w:sz="0" w:space="0" w:color="auto"/>
        <w:bottom w:val="none" w:sz="0" w:space="0" w:color="auto"/>
        <w:right w:val="none" w:sz="0" w:space="0" w:color="auto"/>
      </w:divBdr>
      <w:divsChild>
        <w:div w:id="1557008503">
          <w:marLeft w:val="0"/>
          <w:marRight w:val="0"/>
          <w:marTop w:val="0"/>
          <w:marBottom w:val="0"/>
          <w:divBdr>
            <w:top w:val="none" w:sz="0" w:space="0" w:color="auto"/>
            <w:left w:val="none" w:sz="0" w:space="0" w:color="auto"/>
            <w:bottom w:val="none" w:sz="0" w:space="0" w:color="auto"/>
            <w:right w:val="none" w:sz="0" w:space="0" w:color="auto"/>
          </w:divBdr>
          <w:divsChild>
            <w:div w:id="1557008430">
              <w:marLeft w:val="0"/>
              <w:marRight w:val="0"/>
              <w:marTop w:val="100"/>
              <w:marBottom w:val="100"/>
              <w:divBdr>
                <w:top w:val="none" w:sz="0" w:space="0" w:color="auto"/>
                <w:left w:val="none" w:sz="0" w:space="0" w:color="auto"/>
                <w:bottom w:val="none" w:sz="0" w:space="0" w:color="auto"/>
                <w:right w:val="none" w:sz="0" w:space="0" w:color="auto"/>
              </w:divBdr>
              <w:divsChild>
                <w:div w:id="1557008488">
                  <w:marLeft w:val="100"/>
                  <w:marRight w:val="100"/>
                  <w:marTop w:val="0"/>
                  <w:marBottom w:val="0"/>
                  <w:divBdr>
                    <w:top w:val="none" w:sz="0" w:space="0" w:color="auto"/>
                    <w:left w:val="none" w:sz="0" w:space="0" w:color="auto"/>
                    <w:bottom w:val="none" w:sz="0" w:space="0" w:color="auto"/>
                    <w:right w:val="none" w:sz="0" w:space="0" w:color="auto"/>
                  </w:divBdr>
                  <w:divsChild>
                    <w:div w:id="1557008400">
                      <w:marLeft w:val="0"/>
                      <w:marRight w:val="0"/>
                      <w:marTop w:val="0"/>
                      <w:marBottom w:val="0"/>
                      <w:divBdr>
                        <w:top w:val="none" w:sz="0" w:space="0" w:color="auto"/>
                        <w:left w:val="none" w:sz="0" w:space="0" w:color="auto"/>
                        <w:bottom w:val="none" w:sz="0" w:space="0" w:color="auto"/>
                        <w:right w:val="none" w:sz="0" w:space="0" w:color="auto"/>
                      </w:divBdr>
                      <w:divsChild>
                        <w:div w:id="1557008453">
                          <w:marLeft w:val="0"/>
                          <w:marRight w:val="0"/>
                          <w:marTop w:val="0"/>
                          <w:marBottom w:val="0"/>
                          <w:divBdr>
                            <w:top w:val="none" w:sz="0" w:space="0" w:color="auto"/>
                            <w:left w:val="none" w:sz="0" w:space="0" w:color="auto"/>
                            <w:bottom w:val="none" w:sz="0" w:space="0" w:color="auto"/>
                            <w:right w:val="none" w:sz="0" w:space="0" w:color="auto"/>
                          </w:divBdr>
                          <w:divsChild>
                            <w:div w:id="1557008444">
                              <w:marLeft w:val="0"/>
                              <w:marRight w:val="0"/>
                              <w:marTop w:val="0"/>
                              <w:marBottom w:val="0"/>
                              <w:divBdr>
                                <w:top w:val="none" w:sz="0" w:space="0" w:color="auto"/>
                                <w:left w:val="none" w:sz="0" w:space="0" w:color="auto"/>
                                <w:bottom w:val="none" w:sz="0" w:space="0" w:color="auto"/>
                                <w:right w:val="none" w:sz="0" w:space="0" w:color="auto"/>
                              </w:divBdr>
                              <w:divsChild>
                                <w:div w:id="15570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7008405">
      <w:marLeft w:val="0"/>
      <w:marRight w:val="0"/>
      <w:marTop w:val="0"/>
      <w:marBottom w:val="0"/>
      <w:divBdr>
        <w:top w:val="none" w:sz="0" w:space="0" w:color="auto"/>
        <w:left w:val="none" w:sz="0" w:space="0" w:color="auto"/>
        <w:bottom w:val="none" w:sz="0" w:space="0" w:color="auto"/>
        <w:right w:val="none" w:sz="0" w:space="0" w:color="auto"/>
      </w:divBdr>
      <w:divsChild>
        <w:div w:id="1557008403">
          <w:marLeft w:val="0"/>
          <w:marRight w:val="0"/>
          <w:marTop w:val="0"/>
          <w:marBottom w:val="0"/>
          <w:divBdr>
            <w:top w:val="none" w:sz="0" w:space="0" w:color="auto"/>
            <w:left w:val="none" w:sz="0" w:space="0" w:color="auto"/>
            <w:bottom w:val="none" w:sz="0" w:space="0" w:color="auto"/>
            <w:right w:val="none" w:sz="0" w:space="0" w:color="auto"/>
          </w:divBdr>
          <w:divsChild>
            <w:div w:id="1557008481">
              <w:marLeft w:val="0"/>
              <w:marRight w:val="0"/>
              <w:marTop w:val="150"/>
              <w:marBottom w:val="150"/>
              <w:divBdr>
                <w:top w:val="none" w:sz="0" w:space="0" w:color="auto"/>
                <w:left w:val="none" w:sz="0" w:space="0" w:color="auto"/>
                <w:bottom w:val="none" w:sz="0" w:space="0" w:color="auto"/>
                <w:right w:val="none" w:sz="0" w:space="0" w:color="auto"/>
              </w:divBdr>
              <w:divsChild>
                <w:div w:id="1557008398">
                  <w:marLeft w:val="150"/>
                  <w:marRight w:val="150"/>
                  <w:marTop w:val="0"/>
                  <w:marBottom w:val="0"/>
                  <w:divBdr>
                    <w:top w:val="none" w:sz="0" w:space="0" w:color="auto"/>
                    <w:left w:val="none" w:sz="0" w:space="0" w:color="auto"/>
                    <w:bottom w:val="none" w:sz="0" w:space="0" w:color="auto"/>
                    <w:right w:val="none" w:sz="0" w:space="0" w:color="auto"/>
                  </w:divBdr>
                  <w:divsChild>
                    <w:div w:id="1557008519">
                      <w:marLeft w:val="0"/>
                      <w:marRight w:val="0"/>
                      <w:marTop w:val="0"/>
                      <w:marBottom w:val="0"/>
                      <w:divBdr>
                        <w:top w:val="none" w:sz="0" w:space="0" w:color="auto"/>
                        <w:left w:val="none" w:sz="0" w:space="0" w:color="auto"/>
                        <w:bottom w:val="none" w:sz="0" w:space="0" w:color="auto"/>
                        <w:right w:val="none" w:sz="0" w:space="0" w:color="auto"/>
                      </w:divBdr>
                      <w:divsChild>
                        <w:div w:id="1557008409">
                          <w:marLeft w:val="0"/>
                          <w:marRight w:val="0"/>
                          <w:marTop w:val="0"/>
                          <w:marBottom w:val="0"/>
                          <w:divBdr>
                            <w:top w:val="none" w:sz="0" w:space="0" w:color="auto"/>
                            <w:left w:val="none" w:sz="0" w:space="0" w:color="auto"/>
                            <w:bottom w:val="none" w:sz="0" w:space="0" w:color="auto"/>
                            <w:right w:val="none" w:sz="0" w:space="0" w:color="auto"/>
                          </w:divBdr>
                          <w:divsChild>
                            <w:div w:id="1557008524">
                              <w:marLeft w:val="0"/>
                              <w:marRight w:val="0"/>
                              <w:marTop w:val="0"/>
                              <w:marBottom w:val="0"/>
                              <w:divBdr>
                                <w:top w:val="none" w:sz="0" w:space="0" w:color="auto"/>
                                <w:left w:val="none" w:sz="0" w:space="0" w:color="auto"/>
                                <w:bottom w:val="none" w:sz="0" w:space="0" w:color="auto"/>
                                <w:right w:val="none" w:sz="0" w:space="0" w:color="auto"/>
                              </w:divBdr>
                              <w:divsChild>
                                <w:div w:id="155700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7008415">
      <w:marLeft w:val="0"/>
      <w:marRight w:val="0"/>
      <w:marTop w:val="0"/>
      <w:marBottom w:val="0"/>
      <w:divBdr>
        <w:top w:val="none" w:sz="0" w:space="0" w:color="auto"/>
        <w:left w:val="none" w:sz="0" w:space="0" w:color="auto"/>
        <w:bottom w:val="none" w:sz="0" w:space="0" w:color="auto"/>
        <w:right w:val="none" w:sz="0" w:space="0" w:color="auto"/>
      </w:divBdr>
      <w:divsChild>
        <w:div w:id="1557008414">
          <w:marLeft w:val="0"/>
          <w:marRight w:val="0"/>
          <w:marTop w:val="0"/>
          <w:marBottom w:val="0"/>
          <w:divBdr>
            <w:top w:val="none" w:sz="0" w:space="0" w:color="auto"/>
            <w:left w:val="none" w:sz="0" w:space="0" w:color="auto"/>
            <w:bottom w:val="none" w:sz="0" w:space="0" w:color="auto"/>
            <w:right w:val="none" w:sz="0" w:space="0" w:color="auto"/>
          </w:divBdr>
          <w:divsChild>
            <w:div w:id="1557008389">
              <w:marLeft w:val="0"/>
              <w:marRight w:val="0"/>
              <w:marTop w:val="150"/>
              <w:marBottom w:val="0"/>
              <w:divBdr>
                <w:top w:val="none" w:sz="0" w:space="0" w:color="auto"/>
                <w:left w:val="none" w:sz="0" w:space="0" w:color="auto"/>
                <w:bottom w:val="none" w:sz="0" w:space="0" w:color="auto"/>
                <w:right w:val="none" w:sz="0" w:space="0" w:color="auto"/>
              </w:divBdr>
              <w:divsChild>
                <w:div w:id="1557008468">
                  <w:marLeft w:val="0"/>
                  <w:marRight w:val="150"/>
                  <w:marTop w:val="0"/>
                  <w:marBottom w:val="0"/>
                  <w:divBdr>
                    <w:top w:val="none" w:sz="0" w:space="0" w:color="auto"/>
                    <w:left w:val="none" w:sz="0" w:space="0" w:color="auto"/>
                    <w:bottom w:val="none" w:sz="0" w:space="0" w:color="auto"/>
                    <w:right w:val="none" w:sz="0" w:space="0" w:color="auto"/>
                  </w:divBdr>
                  <w:divsChild>
                    <w:div w:id="1557008383">
                      <w:marLeft w:val="0"/>
                      <w:marRight w:val="0"/>
                      <w:marTop w:val="0"/>
                      <w:marBottom w:val="0"/>
                      <w:divBdr>
                        <w:top w:val="none" w:sz="0" w:space="0" w:color="auto"/>
                        <w:left w:val="none" w:sz="0" w:space="0" w:color="auto"/>
                        <w:bottom w:val="none" w:sz="0" w:space="0" w:color="auto"/>
                        <w:right w:val="none" w:sz="0" w:space="0" w:color="auto"/>
                      </w:divBdr>
                      <w:divsChild>
                        <w:div w:id="1557008446">
                          <w:marLeft w:val="3375"/>
                          <w:marRight w:val="0"/>
                          <w:marTop w:val="0"/>
                          <w:marBottom w:val="0"/>
                          <w:divBdr>
                            <w:top w:val="none" w:sz="0" w:space="0" w:color="auto"/>
                            <w:left w:val="none" w:sz="0" w:space="0" w:color="auto"/>
                            <w:bottom w:val="none" w:sz="0" w:space="0" w:color="auto"/>
                            <w:right w:val="none" w:sz="0" w:space="0" w:color="auto"/>
                          </w:divBdr>
                          <w:divsChild>
                            <w:div w:id="1557008492">
                              <w:marLeft w:val="0"/>
                              <w:marRight w:val="0"/>
                              <w:marTop w:val="0"/>
                              <w:marBottom w:val="0"/>
                              <w:divBdr>
                                <w:top w:val="single" w:sz="6" w:space="0" w:color="FCFCFC"/>
                                <w:left w:val="single" w:sz="6" w:space="0" w:color="FCFCFC"/>
                                <w:bottom w:val="single" w:sz="6" w:space="0" w:color="FCFCFC"/>
                                <w:right w:val="single" w:sz="6" w:space="0" w:color="FCFCFC"/>
                              </w:divBdr>
                              <w:divsChild>
                                <w:div w:id="1557008483">
                                  <w:marLeft w:val="0"/>
                                  <w:marRight w:val="0"/>
                                  <w:marTop w:val="0"/>
                                  <w:marBottom w:val="0"/>
                                  <w:divBdr>
                                    <w:top w:val="single" w:sz="6" w:space="0" w:color="EDEDED"/>
                                    <w:left w:val="single" w:sz="6" w:space="0" w:color="EDEDED"/>
                                    <w:bottom w:val="single" w:sz="6" w:space="0" w:color="EDEDED"/>
                                    <w:right w:val="single" w:sz="6" w:space="0" w:color="EDEDED"/>
                                  </w:divBdr>
                                  <w:divsChild>
                                    <w:div w:id="1557008475">
                                      <w:marLeft w:val="0"/>
                                      <w:marRight w:val="0"/>
                                      <w:marTop w:val="0"/>
                                      <w:marBottom w:val="0"/>
                                      <w:divBdr>
                                        <w:top w:val="single" w:sz="6" w:space="0" w:color="9B9B9B"/>
                                        <w:left w:val="single" w:sz="6" w:space="0" w:color="9B9B9B"/>
                                        <w:bottom w:val="single" w:sz="6" w:space="0" w:color="9B9B9B"/>
                                        <w:right w:val="single" w:sz="6" w:space="0" w:color="9B9B9B"/>
                                      </w:divBdr>
                                      <w:divsChild>
                                        <w:div w:id="1557008506">
                                          <w:marLeft w:val="0"/>
                                          <w:marRight w:val="0"/>
                                          <w:marTop w:val="0"/>
                                          <w:marBottom w:val="0"/>
                                          <w:divBdr>
                                            <w:top w:val="none" w:sz="0" w:space="0" w:color="auto"/>
                                            <w:left w:val="none" w:sz="0" w:space="0" w:color="auto"/>
                                            <w:bottom w:val="none" w:sz="0" w:space="0" w:color="auto"/>
                                            <w:right w:val="none" w:sz="0" w:space="0" w:color="auto"/>
                                          </w:divBdr>
                                          <w:divsChild>
                                            <w:div w:id="1557008384">
                                              <w:marLeft w:val="0"/>
                                              <w:marRight w:val="0"/>
                                              <w:marTop w:val="100"/>
                                              <w:marBottom w:val="100"/>
                                              <w:divBdr>
                                                <w:top w:val="none" w:sz="0" w:space="0" w:color="auto"/>
                                                <w:left w:val="none" w:sz="0" w:space="0" w:color="auto"/>
                                                <w:bottom w:val="none" w:sz="0" w:space="0" w:color="auto"/>
                                                <w:right w:val="none" w:sz="0" w:space="0" w:color="auto"/>
                                              </w:divBdr>
                                              <w:divsChild>
                                                <w:div w:id="155700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7008419">
      <w:marLeft w:val="0"/>
      <w:marRight w:val="0"/>
      <w:marTop w:val="0"/>
      <w:marBottom w:val="0"/>
      <w:divBdr>
        <w:top w:val="none" w:sz="0" w:space="0" w:color="auto"/>
        <w:left w:val="none" w:sz="0" w:space="0" w:color="auto"/>
        <w:bottom w:val="none" w:sz="0" w:space="0" w:color="auto"/>
        <w:right w:val="none" w:sz="0" w:space="0" w:color="auto"/>
      </w:divBdr>
      <w:divsChild>
        <w:div w:id="1557008458">
          <w:marLeft w:val="0"/>
          <w:marRight w:val="0"/>
          <w:marTop w:val="0"/>
          <w:marBottom w:val="0"/>
          <w:divBdr>
            <w:top w:val="none" w:sz="0" w:space="0" w:color="auto"/>
            <w:left w:val="none" w:sz="0" w:space="0" w:color="auto"/>
            <w:bottom w:val="none" w:sz="0" w:space="0" w:color="auto"/>
            <w:right w:val="none" w:sz="0" w:space="0" w:color="auto"/>
          </w:divBdr>
          <w:divsChild>
            <w:div w:id="1557008411">
              <w:marLeft w:val="0"/>
              <w:marRight w:val="0"/>
              <w:marTop w:val="0"/>
              <w:marBottom w:val="0"/>
              <w:divBdr>
                <w:top w:val="none" w:sz="0" w:space="0" w:color="auto"/>
                <w:left w:val="none" w:sz="0" w:space="0" w:color="auto"/>
                <w:bottom w:val="none" w:sz="0" w:space="0" w:color="auto"/>
                <w:right w:val="none" w:sz="0" w:space="0" w:color="auto"/>
              </w:divBdr>
              <w:divsChild>
                <w:div w:id="1557008399">
                  <w:marLeft w:val="0"/>
                  <w:marRight w:val="0"/>
                  <w:marTop w:val="0"/>
                  <w:marBottom w:val="0"/>
                  <w:divBdr>
                    <w:top w:val="none" w:sz="0" w:space="0" w:color="auto"/>
                    <w:left w:val="none" w:sz="0" w:space="0" w:color="auto"/>
                    <w:bottom w:val="none" w:sz="0" w:space="0" w:color="auto"/>
                    <w:right w:val="none" w:sz="0" w:space="0" w:color="auto"/>
                  </w:divBdr>
                  <w:divsChild>
                    <w:div w:id="1557008448">
                      <w:marLeft w:val="0"/>
                      <w:marRight w:val="0"/>
                      <w:marTop w:val="0"/>
                      <w:marBottom w:val="0"/>
                      <w:divBdr>
                        <w:top w:val="none" w:sz="0" w:space="0" w:color="auto"/>
                        <w:left w:val="none" w:sz="0" w:space="0" w:color="auto"/>
                        <w:bottom w:val="none" w:sz="0" w:space="0" w:color="auto"/>
                        <w:right w:val="none" w:sz="0" w:space="0" w:color="auto"/>
                      </w:divBdr>
                      <w:divsChild>
                        <w:div w:id="1557008493">
                          <w:marLeft w:val="0"/>
                          <w:marRight w:val="0"/>
                          <w:marTop w:val="0"/>
                          <w:marBottom w:val="0"/>
                          <w:divBdr>
                            <w:top w:val="none" w:sz="0" w:space="0" w:color="auto"/>
                            <w:left w:val="none" w:sz="0" w:space="0" w:color="auto"/>
                            <w:bottom w:val="none" w:sz="0" w:space="0" w:color="auto"/>
                            <w:right w:val="none" w:sz="0" w:space="0" w:color="auto"/>
                          </w:divBdr>
                          <w:divsChild>
                            <w:div w:id="155700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7008426">
      <w:marLeft w:val="0"/>
      <w:marRight w:val="0"/>
      <w:marTop w:val="0"/>
      <w:marBottom w:val="0"/>
      <w:divBdr>
        <w:top w:val="none" w:sz="0" w:space="0" w:color="auto"/>
        <w:left w:val="none" w:sz="0" w:space="0" w:color="auto"/>
        <w:bottom w:val="none" w:sz="0" w:space="0" w:color="auto"/>
        <w:right w:val="none" w:sz="0" w:space="0" w:color="auto"/>
      </w:divBdr>
      <w:divsChild>
        <w:div w:id="1557008467">
          <w:marLeft w:val="0"/>
          <w:marRight w:val="0"/>
          <w:marTop w:val="0"/>
          <w:marBottom w:val="0"/>
          <w:divBdr>
            <w:top w:val="none" w:sz="0" w:space="0" w:color="auto"/>
            <w:left w:val="none" w:sz="0" w:space="0" w:color="auto"/>
            <w:bottom w:val="none" w:sz="0" w:space="0" w:color="auto"/>
            <w:right w:val="none" w:sz="0" w:space="0" w:color="auto"/>
          </w:divBdr>
          <w:divsChild>
            <w:div w:id="1557008501">
              <w:marLeft w:val="0"/>
              <w:marRight w:val="0"/>
              <w:marTop w:val="0"/>
              <w:marBottom w:val="0"/>
              <w:divBdr>
                <w:top w:val="none" w:sz="0" w:space="0" w:color="auto"/>
                <w:left w:val="none" w:sz="0" w:space="0" w:color="auto"/>
                <w:bottom w:val="none" w:sz="0" w:space="0" w:color="auto"/>
                <w:right w:val="none" w:sz="0" w:space="0" w:color="auto"/>
              </w:divBdr>
              <w:divsChild>
                <w:div w:id="1557008460">
                  <w:marLeft w:val="0"/>
                  <w:marRight w:val="0"/>
                  <w:marTop w:val="0"/>
                  <w:marBottom w:val="0"/>
                  <w:divBdr>
                    <w:top w:val="none" w:sz="0" w:space="0" w:color="auto"/>
                    <w:left w:val="none" w:sz="0" w:space="0" w:color="auto"/>
                    <w:bottom w:val="none" w:sz="0" w:space="0" w:color="auto"/>
                    <w:right w:val="none" w:sz="0" w:space="0" w:color="auto"/>
                  </w:divBdr>
                  <w:divsChild>
                    <w:div w:id="1557008439">
                      <w:marLeft w:val="0"/>
                      <w:marRight w:val="0"/>
                      <w:marTop w:val="0"/>
                      <w:marBottom w:val="0"/>
                      <w:divBdr>
                        <w:top w:val="single" w:sz="18" w:space="0" w:color="E8E8E8"/>
                        <w:left w:val="none" w:sz="0" w:space="0" w:color="auto"/>
                        <w:bottom w:val="none" w:sz="0" w:space="0" w:color="auto"/>
                        <w:right w:val="none" w:sz="0" w:space="0" w:color="auto"/>
                      </w:divBdr>
                      <w:divsChild>
                        <w:div w:id="1557008385">
                          <w:marLeft w:val="0"/>
                          <w:marRight w:val="3610"/>
                          <w:marTop w:val="0"/>
                          <w:marBottom w:val="0"/>
                          <w:divBdr>
                            <w:top w:val="none" w:sz="0" w:space="0" w:color="auto"/>
                            <w:left w:val="none" w:sz="0" w:space="0" w:color="auto"/>
                            <w:bottom w:val="none" w:sz="0" w:space="0" w:color="auto"/>
                            <w:right w:val="none" w:sz="0" w:space="0" w:color="auto"/>
                          </w:divBdr>
                          <w:divsChild>
                            <w:div w:id="1557008380">
                              <w:marLeft w:val="0"/>
                              <w:marRight w:val="0"/>
                              <w:marTop w:val="0"/>
                              <w:marBottom w:val="0"/>
                              <w:divBdr>
                                <w:top w:val="single" w:sz="4" w:space="0" w:color="9B9B9B"/>
                                <w:left w:val="none" w:sz="0" w:space="0" w:color="auto"/>
                                <w:bottom w:val="none" w:sz="0" w:space="0" w:color="auto"/>
                                <w:right w:val="none" w:sz="0" w:space="0" w:color="auto"/>
                              </w:divBdr>
                              <w:divsChild>
                                <w:div w:id="1557008502">
                                  <w:marLeft w:val="0"/>
                                  <w:marRight w:val="0"/>
                                  <w:marTop w:val="0"/>
                                  <w:marBottom w:val="0"/>
                                  <w:divBdr>
                                    <w:top w:val="single" w:sz="4" w:space="0" w:color="FFFFFF"/>
                                    <w:left w:val="none" w:sz="0" w:space="0" w:color="auto"/>
                                    <w:bottom w:val="none" w:sz="0" w:space="0" w:color="auto"/>
                                    <w:right w:val="none" w:sz="0" w:space="0" w:color="auto"/>
                                  </w:divBdr>
                                  <w:divsChild>
                                    <w:div w:id="1557008441">
                                      <w:marLeft w:val="0"/>
                                      <w:marRight w:val="0"/>
                                      <w:marTop w:val="0"/>
                                      <w:marBottom w:val="0"/>
                                      <w:divBdr>
                                        <w:top w:val="none" w:sz="0" w:space="0" w:color="auto"/>
                                        <w:left w:val="none" w:sz="0" w:space="0" w:color="auto"/>
                                        <w:bottom w:val="none" w:sz="0" w:space="0" w:color="auto"/>
                                        <w:right w:val="none" w:sz="0" w:space="0" w:color="auto"/>
                                      </w:divBdr>
                                      <w:divsChild>
                                        <w:div w:id="1557008408">
                                          <w:marLeft w:val="0"/>
                                          <w:marRight w:val="0"/>
                                          <w:marTop w:val="0"/>
                                          <w:marBottom w:val="0"/>
                                          <w:divBdr>
                                            <w:top w:val="none" w:sz="0" w:space="0" w:color="auto"/>
                                            <w:left w:val="none" w:sz="0" w:space="0" w:color="auto"/>
                                            <w:bottom w:val="none" w:sz="0" w:space="0" w:color="auto"/>
                                            <w:right w:val="none" w:sz="0" w:space="0" w:color="auto"/>
                                          </w:divBdr>
                                          <w:divsChild>
                                            <w:div w:id="1557008424">
                                              <w:marLeft w:val="0"/>
                                              <w:marRight w:val="0"/>
                                              <w:marTop w:val="0"/>
                                              <w:marBottom w:val="0"/>
                                              <w:divBdr>
                                                <w:top w:val="none" w:sz="0" w:space="0" w:color="auto"/>
                                                <w:left w:val="none" w:sz="0" w:space="0" w:color="auto"/>
                                                <w:bottom w:val="none" w:sz="0" w:space="0" w:color="auto"/>
                                                <w:right w:val="none" w:sz="0" w:space="0" w:color="auto"/>
                                              </w:divBdr>
                                              <w:divsChild>
                                                <w:div w:id="1557008410">
                                                  <w:marLeft w:val="30"/>
                                                  <w:marRight w:val="50"/>
                                                  <w:marTop w:val="0"/>
                                                  <w:marBottom w:val="0"/>
                                                  <w:divBdr>
                                                    <w:top w:val="none" w:sz="0" w:space="0" w:color="auto"/>
                                                    <w:left w:val="none" w:sz="0" w:space="0" w:color="auto"/>
                                                    <w:bottom w:val="none" w:sz="0" w:space="0" w:color="auto"/>
                                                    <w:right w:val="none" w:sz="0" w:space="0" w:color="auto"/>
                                                  </w:divBdr>
                                                  <w:divsChild>
                                                    <w:div w:id="1557008417">
                                                      <w:marLeft w:val="0"/>
                                                      <w:marRight w:val="0"/>
                                                      <w:marTop w:val="0"/>
                                                      <w:marBottom w:val="0"/>
                                                      <w:divBdr>
                                                        <w:top w:val="none" w:sz="0" w:space="0" w:color="auto"/>
                                                        <w:left w:val="none" w:sz="0" w:space="0" w:color="auto"/>
                                                        <w:bottom w:val="none" w:sz="0" w:space="0" w:color="auto"/>
                                                        <w:right w:val="none" w:sz="0" w:space="0" w:color="auto"/>
                                                      </w:divBdr>
                                                      <w:divsChild>
                                                        <w:div w:id="1557008469">
                                                          <w:marLeft w:val="0"/>
                                                          <w:marRight w:val="0"/>
                                                          <w:marTop w:val="0"/>
                                                          <w:marBottom w:val="0"/>
                                                          <w:divBdr>
                                                            <w:top w:val="none" w:sz="0" w:space="0" w:color="auto"/>
                                                            <w:left w:val="none" w:sz="0" w:space="0" w:color="auto"/>
                                                            <w:bottom w:val="none" w:sz="0" w:space="0" w:color="auto"/>
                                                            <w:right w:val="none" w:sz="0" w:space="0" w:color="auto"/>
                                                          </w:divBdr>
                                                          <w:divsChild>
                                                            <w:div w:id="1557008500">
                                                              <w:marLeft w:val="0"/>
                                                              <w:marRight w:val="0"/>
                                                              <w:marTop w:val="0"/>
                                                              <w:marBottom w:val="0"/>
                                                              <w:divBdr>
                                                                <w:top w:val="none" w:sz="0" w:space="0" w:color="auto"/>
                                                                <w:left w:val="none" w:sz="0" w:space="0" w:color="auto"/>
                                                                <w:bottom w:val="none" w:sz="0" w:space="0" w:color="auto"/>
                                                                <w:right w:val="none" w:sz="0" w:space="0" w:color="auto"/>
                                                              </w:divBdr>
                                                              <w:divsChild>
                                                                <w:div w:id="1557008391">
                                                                  <w:marLeft w:val="0"/>
                                                                  <w:marRight w:val="0"/>
                                                                  <w:marTop w:val="0"/>
                                                                  <w:marBottom w:val="0"/>
                                                                  <w:divBdr>
                                                                    <w:top w:val="none" w:sz="0" w:space="0" w:color="auto"/>
                                                                    <w:left w:val="none" w:sz="0" w:space="0" w:color="auto"/>
                                                                    <w:bottom w:val="none" w:sz="0" w:space="0" w:color="auto"/>
                                                                    <w:right w:val="none" w:sz="0" w:space="0" w:color="auto"/>
                                                                  </w:divBdr>
                                                                  <w:divsChild>
                                                                    <w:div w:id="1557008433">
                                                                      <w:marLeft w:val="0"/>
                                                                      <w:marRight w:val="0"/>
                                                                      <w:marTop w:val="0"/>
                                                                      <w:marBottom w:val="0"/>
                                                                      <w:divBdr>
                                                                        <w:top w:val="none" w:sz="0" w:space="0" w:color="auto"/>
                                                                        <w:left w:val="none" w:sz="0" w:space="0" w:color="auto"/>
                                                                        <w:bottom w:val="none" w:sz="0" w:space="0" w:color="auto"/>
                                                                        <w:right w:val="none" w:sz="0" w:space="0" w:color="auto"/>
                                                                      </w:divBdr>
                                                                      <w:divsChild>
                                                                        <w:div w:id="1557008459">
                                                                          <w:marLeft w:val="0"/>
                                                                          <w:marRight w:val="0"/>
                                                                          <w:marTop w:val="0"/>
                                                                          <w:marBottom w:val="0"/>
                                                                          <w:divBdr>
                                                                            <w:top w:val="single" w:sz="4" w:space="3" w:color="DEDEDE"/>
                                                                            <w:left w:val="single" w:sz="4" w:space="3" w:color="DEDEDE"/>
                                                                            <w:bottom w:val="single" w:sz="4" w:space="3" w:color="DEDEDE"/>
                                                                            <w:right w:val="single" w:sz="4" w:space="3" w:color="DEDEDE"/>
                                                                          </w:divBdr>
                                                                          <w:divsChild>
                                                                            <w:div w:id="1557008421">
                                                                              <w:marLeft w:val="0"/>
                                                                              <w:marRight w:val="0"/>
                                                                              <w:marTop w:val="0"/>
                                                                              <w:marBottom w:val="0"/>
                                                                              <w:divBdr>
                                                                                <w:top w:val="none" w:sz="0" w:space="0" w:color="auto"/>
                                                                                <w:left w:val="none" w:sz="0" w:space="0" w:color="auto"/>
                                                                                <w:bottom w:val="none" w:sz="0" w:space="0" w:color="auto"/>
                                                                                <w:right w:val="none" w:sz="0" w:space="0" w:color="auto"/>
                                                                              </w:divBdr>
                                                                            </w:div>
                                                                            <w:div w:id="155700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00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7008435">
      <w:marLeft w:val="0"/>
      <w:marRight w:val="0"/>
      <w:marTop w:val="0"/>
      <w:marBottom w:val="0"/>
      <w:divBdr>
        <w:top w:val="none" w:sz="0" w:space="0" w:color="auto"/>
        <w:left w:val="none" w:sz="0" w:space="0" w:color="auto"/>
        <w:bottom w:val="none" w:sz="0" w:space="0" w:color="auto"/>
        <w:right w:val="none" w:sz="0" w:space="0" w:color="auto"/>
      </w:divBdr>
    </w:div>
    <w:div w:id="1557008461">
      <w:marLeft w:val="0"/>
      <w:marRight w:val="0"/>
      <w:marTop w:val="0"/>
      <w:marBottom w:val="0"/>
      <w:divBdr>
        <w:top w:val="none" w:sz="0" w:space="0" w:color="auto"/>
        <w:left w:val="none" w:sz="0" w:space="0" w:color="auto"/>
        <w:bottom w:val="none" w:sz="0" w:space="0" w:color="auto"/>
        <w:right w:val="none" w:sz="0" w:space="0" w:color="auto"/>
      </w:divBdr>
      <w:divsChild>
        <w:div w:id="1557008526">
          <w:marLeft w:val="0"/>
          <w:marRight w:val="0"/>
          <w:marTop w:val="0"/>
          <w:marBottom w:val="0"/>
          <w:divBdr>
            <w:top w:val="none" w:sz="0" w:space="0" w:color="auto"/>
            <w:left w:val="none" w:sz="0" w:space="0" w:color="auto"/>
            <w:bottom w:val="none" w:sz="0" w:space="0" w:color="auto"/>
            <w:right w:val="none" w:sz="0" w:space="0" w:color="auto"/>
          </w:divBdr>
          <w:divsChild>
            <w:div w:id="1557008397">
              <w:marLeft w:val="0"/>
              <w:marRight w:val="0"/>
              <w:marTop w:val="150"/>
              <w:marBottom w:val="0"/>
              <w:divBdr>
                <w:top w:val="none" w:sz="0" w:space="0" w:color="auto"/>
                <w:left w:val="none" w:sz="0" w:space="0" w:color="auto"/>
                <w:bottom w:val="none" w:sz="0" w:space="0" w:color="auto"/>
                <w:right w:val="none" w:sz="0" w:space="0" w:color="auto"/>
              </w:divBdr>
              <w:divsChild>
                <w:div w:id="1557008394">
                  <w:marLeft w:val="0"/>
                  <w:marRight w:val="150"/>
                  <w:marTop w:val="0"/>
                  <w:marBottom w:val="0"/>
                  <w:divBdr>
                    <w:top w:val="none" w:sz="0" w:space="0" w:color="auto"/>
                    <w:left w:val="none" w:sz="0" w:space="0" w:color="auto"/>
                    <w:bottom w:val="none" w:sz="0" w:space="0" w:color="auto"/>
                    <w:right w:val="none" w:sz="0" w:space="0" w:color="auto"/>
                  </w:divBdr>
                  <w:divsChild>
                    <w:div w:id="1557008413">
                      <w:marLeft w:val="0"/>
                      <w:marRight w:val="0"/>
                      <w:marTop w:val="0"/>
                      <w:marBottom w:val="0"/>
                      <w:divBdr>
                        <w:top w:val="none" w:sz="0" w:space="0" w:color="auto"/>
                        <w:left w:val="none" w:sz="0" w:space="0" w:color="auto"/>
                        <w:bottom w:val="none" w:sz="0" w:space="0" w:color="auto"/>
                        <w:right w:val="none" w:sz="0" w:space="0" w:color="auto"/>
                      </w:divBdr>
                      <w:divsChild>
                        <w:div w:id="1557008382">
                          <w:marLeft w:val="3375"/>
                          <w:marRight w:val="0"/>
                          <w:marTop w:val="0"/>
                          <w:marBottom w:val="0"/>
                          <w:divBdr>
                            <w:top w:val="none" w:sz="0" w:space="0" w:color="auto"/>
                            <w:left w:val="none" w:sz="0" w:space="0" w:color="auto"/>
                            <w:bottom w:val="none" w:sz="0" w:space="0" w:color="auto"/>
                            <w:right w:val="none" w:sz="0" w:space="0" w:color="auto"/>
                          </w:divBdr>
                          <w:divsChild>
                            <w:div w:id="1557008418">
                              <w:marLeft w:val="0"/>
                              <w:marRight w:val="0"/>
                              <w:marTop w:val="0"/>
                              <w:marBottom w:val="0"/>
                              <w:divBdr>
                                <w:top w:val="single" w:sz="6" w:space="0" w:color="FCFCFC"/>
                                <w:left w:val="single" w:sz="6" w:space="0" w:color="FCFCFC"/>
                                <w:bottom w:val="single" w:sz="6" w:space="0" w:color="FCFCFC"/>
                                <w:right w:val="single" w:sz="6" w:space="0" w:color="FCFCFC"/>
                              </w:divBdr>
                              <w:divsChild>
                                <w:div w:id="1557008472">
                                  <w:marLeft w:val="0"/>
                                  <w:marRight w:val="0"/>
                                  <w:marTop w:val="0"/>
                                  <w:marBottom w:val="0"/>
                                  <w:divBdr>
                                    <w:top w:val="single" w:sz="6" w:space="0" w:color="EDEDED"/>
                                    <w:left w:val="single" w:sz="6" w:space="0" w:color="EDEDED"/>
                                    <w:bottom w:val="single" w:sz="6" w:space="0" w:color="EDEDED"/>
                                    <w:right w:val="single" w:sz="6" w:space="0" w:color="EDEDED"/>
                                  </w:divBdr>
                                  <w:divsChild>
                                    <w:div w:id="1557008517">
                                      <w:marLeft w:val="0"/>
                                      <w:marRight w:val="0"/>
                                      <w:marTop w:val="0"/>
                                      <w:marBottom w:val="0"/>
                                      <w:divBdr>
                                        <w:top w:val="single" w:sz="6" w:space="0" w:color="9B9B9B"/>
                                        <w:left w:val="single" w:sz="6" w:space="0" w:color="9B9B9B"/>
                                        <w:bottom w:val="single" w:sz="6" w:space="0" w:color="9B9B9B"/>
                                        <w:right w:val="single" w:sz="6" w:space="0" w:color="9B9B9B"/>
                                      </w:divBdr>
                                      <w:divsChild>
                                        <w:div w:id="1557008496">
                                          <w:marLeft w:val="0"/>
                                          <w:marRight w:val="0"/>
                                          <w:marTop w:val="0"/>
                                          <w:marBottom w:val="0"/>
                                          <w:divBdr>
                                            <w:top w:val="none" w:sz="0" w:space="0" w:color="auto"/>
                                            <w:left w:val="none" w:sz="0" w:space="0" w:color="auto"/>
                                            <w:bottom w:val="none" w:sz="0" w:space="0" w:color="auto"/>
                                            <w:right w:val="none" w:sz="0" w:space="0" w:color="auto"/>
                                          </w:divBdr>
                                          <w:divsChild>
                                            <w:div w:id="1557008479">
                                              <w:marLeft w:val="0"/>
                                              <w:marRight w:val="0"/>
                                              <w:marTop w:val="100"/>
                                              <w:marBottom w:val="100"/>
                                              <w:divBdr>
                                                <w:top w:val="none" w:sz="0" w:space="0" w:color="auto"/>
                                                <w:left w:val="none" w:sz="0" w:space="0" w:color="auto"/>
                                                <w:bottom w:val="none" w:sz="0" w:space="0" w:color="auto"/>
                                                <w:right w:val="none" w:sz="0" w:space="0" w:color="auto"/>
                                              </w:divBdr>
                                              <w:divsChild>
                                                <w:div w:id="155700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7008464">
      <w:marLeft w:val="0"/>
      <w:marRight w:val="0"/>
      <w:marTop w:val="0"/>
      <w:marBottom w:val="0"/>
      <w:divBdr>
        <w:top w:val="none" w:sz="0" w:space="0" w:color="auto"/>
        <w:left w:val="none" w:sz="0" w:space="0" w:color="auto"/>
        <w:bottom w:val="none" w:sz="0" w:space="0" w:color="auto"/>
        <w:right w:val="none" w:sz="0" w:space="0" w:color="auto"/>
      </w:divBdr>
      <w:divsChild>
        <w:div w:id="1557008495">
          <w:marLeft w:val="0"/>
          <w:marRight w:val="0"/>
          <w:marTop w:val="0"/>
          <w:marBottom w:val="0"/>
          <w:divBdr>
            <w:top w:val="none" w:sz="0" w:space="0" w:color="auto"/>
            <w:left w:val="none" w:sz="0" w:space="0" w:color="auto"/>
            <w:bottom w:val="none" w:sz="0" w:space="0" w:color="auto"/>
            <w:right w:val="none" w:sz="0" w:space="0" w:color="auto"/>
          </w:divBdr>
          <w:divsChild>
            <w:div w:id="1557008512">
              <w:marLeft w:val="0"/>
              <w:marRight w:val="0"/>
              <w:marTop w:val="150"/>
              <w:marBottom w:val="0"/>
              <w:divBdr>
                <w:top w:val="none" w:sz="0" w:space="0" w:color="auto"/>
                <w:left w:val="none" w:sz="0" w:space="0" w:color="auto"/>
                <w:bottom w:val="none" w:sz="0" w:space="0" w:color="auto"/>
                <w:right w:val="none" w:sz="0" w:space="0" w:color="auto"/>
              </w:divBdr>
              <w:divsChild>
                <w:div w:id="1557008452">
                  <w:marLeft w:val="0"/>
                  <w:marRight w:val="150"/>
                  <w:marTop w:val="0"/>
                  <w:marBottom w:val="0"/>
                  <w:divBdr>
                    <w:top w:val="none" w:sz="0" w:space="0" w:color="auto"/>
                    <w:left w:val="none" w:sz="0" w:space="0" w:color="auto"/>
                    <w:bottom w:val="none" w:sz="0" w:space="0" w:color="auto"/>
                    <w:right w:val="none" w:sz="0" w:space="0" w:color="auto"/>
                  </w:divBdr>
                  <w:divsChild>
                    <w:div w:id="1557008386">
                      <w:marLeft w:val="0"/>
                      <w:marRight w:val="0"/>
                      <w:marTop w:val="0"/>
                      <w:marBottom w:val="0"/>
                      <w:divBdr>
                        <w:top w:val="none" w:sz="0" w:space="0" w:color="auto"/>
                        <w:left w:val="none" w:sz="0" w:space="0" w:color="auto"/>
                        <w:bottom w:val="none" w:sz="0" w:space="0" w:color="auto"/>
                        <w:right w:val="none" w:sz="0" w:space="0" w:color="auto"/>
                      </w:divBdr>
                      <w:divsChild>
                        <w:div w:id="1557008423">
                          <w:marLeft w:val="3375"/>
                          <w:marRight w:val="0"/>
                          <w:marTop w:val="0"/>
                          <w:marBottom w:val="0"/>
                          <w:divBdr>
                            <w:top w:val="none" w:sz="0" w:space="0" w:color="auto"/>
                            <w:left w:val="none" w:sz="0" w:space="0" w:color="auto"/>
                            <w:bottom w:val="none" w:sz="0" w:space="0" w:color="auto"/>
                            <w:right w:val="none" w:sz="0" w:space="0" w:color="auto"/>
                          </w:divBdr>
                          <w:divsChild>
                            <w:div w:id="1557008431">
                              <w:marLeft w:val="0"/>
                              <w:marRight w:val="0"/>
                              <w:marTop w:val="0"/>
                              <w:marBottom w:val="0"/>
                              <w:divBdr>
                                <w:top w:val="single" w:sz="6" w:space="0" w:color="FCFCFC"/>
                                <w:left w:val="single" w:sz="6" w:space="0" w:color="FCFCFC"/>
                                <w:bottom w:val="single" w:sz="6" w:space="0" w:color="FCFCFC"/>
                                <w:right w:val="single" w:sz="6" w:space="0" w:color="FCFCFC"/>
                              </w:divBdr>
                              <w:divsChild>
                                <w:div w:id="1557008487">
                                  <w:marLeft w:val="0"/>
                                  <w:marRight w:val="0"/>
                                  <w:marTop w:val="0"/>
                                  <w:marBottom w:val="0"/>
                                  <w:divBdr>
                                    <w:top w:val="single" w:sz="6" w:space="0" w:color="EDEDED"/>
                                    <w:left w:val="single" w:sz="6" w:space="0" w:color="EDEDED"/>
                                    <w:bottom w:val="single" w:sz="6" w:space="0" w:color="EDEDED"/>
                                    <w:right w:val="single" w:sz="6" w:space="0" w:color="EDEDED"/>
                                  </w:divBdr>
                                  <w:divsChild>
                                    <w:div w:id="1557008454">
                                      <w:marLeft w:val="0"/>
                                      <w:marRight w:val="0"/>
                                      <w:marTop w:val="0"/>
                                      <w:marBottom w:val="0"/>
                                      <w:divBdr>
                                        <w:top w:val="single" w:sz="6" w:space="0" w:color="9B9B9B"/>
                                        <w:left w:val="single" w:sz="6" w:space="0" w:color="9B9B9B"/>
                                        <w:bottom w:val="single" w:sz="6" w:space="0" w:color="9B9B9B"/>
                                        <w:right w:val="single" w:sz="6" w:space="0" w:color="9B9B9B"/>
                                      </w:divBdr>
                                      <w:divsChild>
                                        <w:div w:id="1557008497">
                                          <w:marLeft w:val="0"/>
                                          <w:marRight w:val="0"/>
                                          <w:marTop w:val="0"/>
                                          <w:marBottom w:val="0"/>
                                          <w:divBdr>
                                            <w:top w:val="none" w:sz="0" w:space="0" w:color="auto"/>
                                            <w:left w:val="none" w:sz="0" w:space="0" w:color="auto"/>
                                            <w:bottom w:val="none" w:sz="0" w:space="0" w:color="auto"/>
                                            <w:right w:val="none" w:sz="0" w:space="0" w:color="auto"/>
                                          </w:divBdr>
                                          <w:divsChild>
                                            <w:div w:id="1557008407">
                                              <w:marLeft w:val="0"/>
                                              <w:marRight w:val="0"/>
                                              <w:marTop w:val="100"/>
                                              <w:marBottom w:val="100"/>
                                              <w:divBdr>
                                                <w:top w:val="none" w:sz="0" w:space="0" w:color="auto"/>
                                                <w:left w:val="none" w:sz="0" w:space="0" w:color="auto"/>
                                                <w:bottom w:val="none" w:sz="0" w:space="0" w:color="auto"/>
                                                <w:right w:val="none" w:sz="0" w:space="0" w:color="auto"/>
                                              </w:divBdr>
                                              <w:divsChild>
                                                <w:div w:id="155700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7008465">
      <w:marLeft w:val="0"/>
      <w:marRight w:val="0"/>
      <w:marTop w:val="0"/>
      <w:marBottom w:val="0"/>
      <w:divBdr>
        <w:top w:val="none" w:sz="0" w:space="0" w:color="auto"/>
        <w:left w:val="none" w:sz="0" w:space="0" w:color="auto"/>
        <w:bottom w:val="none" w:sz="0" w:space="0" w:color="auto"/>
        <w:right w:val="none" w:sz="0" w:space="0" w:color="auto"/>
      </w:divBdr>
      <w:divsChild>
        <w:div w:id="1557008462">
          <w:marLeft w:val="0"/>
          <w:marRight w:val="0"/>
          <w:marTop w:val="0"/>
          <w:marBottom w:val="0"/>
          <w:divBdr>
            <w:top w:val="none" w:sz="0" w:space="0" w:color="auto"/>
            <w:left w:val="none" w:sz="0" w:space="0" w:color="auto"/>
            <w:bottom w:val="none" w:sz="0" w:space="0" w:color="auto"/>
            <w:right w:val="none" w:sz="0" w:space="0" w:color="auto"/>
          </w:divBdr>
          <w:divsChild>
            <w:div w:id="1557008428">
              <w:marLeft w:val="0"/>
              <w:marRight w:val="0"/>
              <w:marTop w:val="150"/>
              <w:marBottom w:val="0"/>
              <w:divBdr>
                <w:top w:val="none" w:sz="0" w:space="0" w:color="auto"/>
                <w:left w:val="none" w:sz="0" w:space="0" w:color="auto"/>
                <w:bottom w:val="none" w:sz="0" w:space="0" w:color="auto"/>
                <w:right w:val="none" w:sz="0" w:space="0" w:color="auto"/>
              </w:divBdr>
              <w:divsChild>
                <w:div w:id="1557008456">
                  <w:marLeft w:val="0"/>
                  <w:marRight w:val="150"/>
                  <w:marTop w:val="0"/>
                  <w:marBottom w:val="0"/>
                  <w:divBdr>
                    <w:top w:val="none" w:sz="0" w:space="0" w:color="auto"/>
                    <w:left w:val="none" w:sz="0" w:space="0" w:color="auto"/>
                    <w:bottom w:val="none" w:sz="0" w:space="0" w:color="auto"/>
                    <w:right w:val="none" w:sz="0" w:space="0" w:color="auto"/>
                  </w:divBdr>
                  <w:divsChild>
                    <w:div w:id="1557008515">
                      <w:marLeft w:val="0"/>
                      <w:marRight w:val="0"/>
                      <w:marTop w:val="0"/>
                      <w:marBottom w:val="0"/>
                      <w:divBdr>
                        <w:top w:val="none" w:sz="0" w:space="0" w:color="auto"/>
                        <w:left w:val="none" w:sz="0" w:space="0" w:color="auto"/>
                        <w:bottom w:val="none" w:sz="0" w:space="0" w:color="auto"/>
                        <w:right w:val="none" w:sz="0" w:space="0" w:color="auto"/>
                      </w:divBdr>
                      <w:divsChild>
                        <w:div w:id="1557008401">
                          <w:marLeft w:val="3375"/>
                          <w:marRight w:val="0"/>
                          <w:marTop w:val="0"/>
                          <w:marBottom w:val="0"/>
                          <w:divBdr>
                            <w:top w:val="none" w:sz="0" w:space="0" w:color="auto"/>
                            <w:left w:val="none" w:sz="0" w:space="0" w:color="auto"/>
                            <w:bottom w:val="none" w:sz="0" w:space="0" w:color="auto"/>
                            <w:right w:val="none" w:sz="0" w:space="0" w:color="auto"/>
                          </w:divBdr>
                          <w:divsChild>
                            <w:div w:id="1557008392">
                              <w:marLeft w:val="0"/>
                              <w:marRight w:val="0"/>
                              <w:marTop w:val="0"/>
                              <w:marBottom w:val="0"/>
                              <w:divBdr>
                                <w:top w:val="single" w:sz="6" w:space="0" w:color="FCFCFC"/>
                                <w:left w:val="single" w:sz="6" w:space="0" w:color="FCFCFC"/>
                                <w:bottom w:val="single" w:sz="6" w:space="0" w:color="FCFCFC"/>
                                <w:right w:val="single" w:sz="6" w:space="0" w:color="FCFCFC"/>
                              </w:divBdr>
                              <w:divsChild>
                                <w:div w:id="1557008505">
                                  <w:marLeft w:val="0"/>
                                  <w:marRight w:val="0"/>
                                  <w:marTop w:val="0"/>
                                  <w:marBottom w:val="0"/>
                                  <w:divBdr>
                                    <w:top w:val="single" w:sz="6" w:space="0" w:color="EDEDED"/>
                                    <w:left w:val="single" w:sz="6" w:space="0" w:color="EDEDED"/>
                                    <w:bottom w:val="single" w:sz="6" w:space="0" w:color="EDEDED"/>
                                    <w:right w:val="single" w:sz="6" w:space="0" w:color="EDEDED"/>
                                  </w:divBdr>
                                  <w:divsChild>
                                    <w:div w:id="1557008518">
                                      <w:marLeft w:val="0"/>
                                      <w:marRight w:val="0"/>
                                      <w:marTop w:val="0"/>
                                      <w:marBottom w:val="0"/>
                                      <w:divBdr>
                                        <w:top w:val="single" w:sz="6" w:space="0" w:color="9B9B9B"/>
                                        <w:left w:val="single" w:sz="6" w:space="0" w:color="9B9B9B"/>
                                        <w:bottom w:val="single" w:sz="6" w:space="0" w:color="9B9B9B"/>
                                        <w:right w:val="single" w:sz="6" w:space="0" w:color="9B9B9B"/>
                                      </w:divBdr>
                                      <w:divsChild>
                                        <w:div w:id="1557008473">
                                          <w:marLeft w:val="0"/>
                                          <w:marRight w:val="0"/>
                                          <w:marTop w:val="0"/>
                                          <w:marBottom w:val="0"/>
                                          <w:divBdr>
                                            <w:top w:val="none" w:sz="0" w:space="0" w:color="auto"/>
                                            <w:left w:val="none" w:sz="0" w:space="0" w:color="auto"/>
                                            <w:bottom w:val="none" w:sz="0" w:space="0" w:color="auto"/>
                                            <w:right w:val="none" w:sz="0" w:space="0" w:color="auto"/>
                                          </w:divBdr>
                                          <w:divsChild>
                                            <w:div w:id="1557008477">
                                              <w:marLeft w:val="0"/>
                                              <w:marRight w:val="0"/>
                                              <w:marTop w:val="100"/>
                                              <w:marBottom w:val="100"/>
                                              <w:divBdr>
                                                <w:top w:val="none" w:sz="0" w:space="0" w:color="auto"/>
                                                <w:left w:val="none" w:sz="0" w:space="0" w:color="auto"/>
                                                <w:bottom w:val="none" w:sz="0" w:space="0" w:color="auto"/>
                                                <w:right w:val="none" w:sz="0" w:space="0" w:color="auto"/>
                                              </w:divBdr>
                                              <w:divsChild>
                                                <w:div w:id="155700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7008470">
      <w:marLeft w:val="0"/>
      <w:marRight w:val="0"/>
      <w:marTop w:val="0"/>
      <w:marBottom w:val="0"/>
      <w:divBdr>
        <w:top w:val="none" w:sz="0" w:space="0" w:color="auto"/>
        <w:left w:val="none" w:sz="0" w:space="0" w:color="auto"/>
        <w:bottom w:val="none" w:sz="0" w:space="0" w:color="auto"/>
        <w:right w:val="none" w:sz="0" w:space="0" w:color="auto"/>
      </w:divBdr>
      <w:divsChild>
        <w:div w:id="1557008445">
          <w:marLeft w:val="0"/>
          <w:marRight w:val="0"/>
          <w:marTop w:val="0"/>
          <w:marBottom w:val="0"/>
          <w:divBdr>
            <w:top w:val="none" w:sz="0" w:space="0" w:color="auto"/>
            <w:left w:val="none" w:sz="0" w:space="0" w:color="auto"/>
            <w:bottom w:val="none" w:sz="0" w:space="0" w:color="auto"/>
            <w:right w:val="none" w:sz="0" w:space="0" w:color="auto"/>
          </w:divBdr>
          <w:divsChild>
            <w:div w:id="1557008396">
              <w:marLeft w:val="0"/>
              <w:marRight w:val="0"/>
              <w:marTop w:val="0"/>
              <w:marBottom w:val="0"/>
              <w:divBdr>
                <w:top w:val="none" w:sz="0" w:space="0" w:color="auto"/>
                <w:left w:val="none" w:sz="0" w:space="0" w:color="auto"/>
                <w:bottom w:val="none" w:sz="0" w:space="0" w:color="auto"/>
                <w:right w:val="none" w:sz="0" w:space="0" w:color="auto"/>
              </w:divBdr>
              <w:divsChild>
                <w:div w:id="1557008442">
                  <w:marLeft w:val="0"/>
                  <w:marRight w:val="-6084"/>
                  <w:marTop w:val="0"/>
                  <w:marBottom w:val="0"/>
                  <w:divBdr>
                    <w:top w:val="none" w:sz="0" w:space="0" w:color="auto"/>
                    <w:left w:val="none" w:sz="0" w:space="0" w:color="auto"/>
                    <w:bottom w:val="none" w:sz="0" w:space="0" w:color="auto"/>
                    <w:right w:val="none" w:sz="0" w:space="0" w:color="auto"/>
                  </w:divBdr>
                  <w:divsChild>
                    <w:div w:id="1557008516">
                      <w:marLeft w:val="0"/>
                      <w:marRight w:val="5604"/>
                      <w:marTop w:val="0"/>
                      <w:marBottom w:val="0"/>
                      <w:divBdr>
                        <w:top w:val="none" w:sz="0" w:space="0" w:color="auto"/>
                        <w:left w:val="none" w:sz="0" w:space="0" w:color="auto"/>
                        <w:bottom w:val="none" w:sz="0" w:space="0" w:color="auto"/>
                        <w:right w:val="none" w:sz="0" w:space="0" w:color="auto"/>
                      </w:divBdr>
                      <w:divsChild>
                        <w:div w:id="1557008447">
                          <w:marLeft w:val="0"/>
                          <w:marRight w:val="0"/>
                          <w:marTop w:val="0"/>
                          <w:marBottom w:val="0"/>
                          <w:divBdr>
                            <w:top w:val="none" w:sz="0" w:space="0" w:color="auto"/>
                            <w:left w:val="none" w:sz="0" w:space="0" w:color="auto"/>
                            <w:bottom w:val="none" w:sz="0" w:space="0" w:color="auto"/>
                            <w:right w:val="none" w:sz="0" w:space="0" w:color="auto"/>
                          </w:divBdr>
                          <w:divsChild>
                            <w:div w:id="155700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7008476">
      <w:marLeft w:val="0"/>
      <w:marRight w:val="0"/>
      <w:marTop w:val="0"/>
      <w:marBottom w:val="0"/>
      <w:divBdr>
        <w:top w:val="none" w:sz="0" w:space="0" w:color="auto"/>
        <w:left w:val="none" w:sz="0" w:space="0" w:color="auto"/>
        <w:bottom w:val="none" w:sz="0" w:space="0" w:color="auto"/>
        <w:right w:val="none" w:sz="0" w:space="0" w:color="auto"/>
      </w:divBdr>
      <w:divsChild>
        <w:div w:id="1557008450">
          <w:marLeft w:val="0"/>
          <w:marRight w:val="0"/>
          <w:marTop w:val="0"/>
          <w:marBottom w:val="0"/>
          <w:divBdr>
            <w:top w:val="none" w:sz="0" w:space="0" w:color="auto"/>
            <w:left w:val="none" w:sz="0" w:space="0" w:color="auto"/>
            <w:bottom w:val="none" w:sz="0" w:space="0" w:color="auto"/>
            <w:right w:val="none" w:sz="0" w:space="0" w:color="auto"/>
          </w:divBdr>
          <w:divsChild>
            <w:div w:id="1557008471">
              <w:marLeft w:val="0"/>
              <w:marRight w:val="0"/>
              <w:marTop w:val="100"/>
              <w:marBottom w:val="100"/>
              <w:divBdr>
                <w:top w:val="none" w:sz="0" w:space="0" w:color="auto"/>
                <w:left w:val="none" w:sz="0" w:space="0" w:color="auto"/>
                <w:bottom w:val="none" w:sz="0" w:space="0" w:color="auto"/>
                <w:right w:val="none" w:sz="0" w:space="0" w:color="auto"/>
              </w:divBdr>
              <w:divsChild>
                <w:div w:id="1557008427">
                  <w:marLeft w:val="100"/>
                  <w:marRight w:val="100"/>
                  <w:marTop w:val="0"/>
                  <w:marBottom w:val="0"/>
                  <w:divBdr>
                    <w:top w:val="none" w:sz="0" w:space="0" w:color="auto"/>
                    <w:left w:val="none" w:sz="0" w:space="0" w:color="auto"/>
                    <w:bottom w:val="none" w:sz="0" w:space="0" w:color="auto"/>
                    <w:right w:val="none" w:sz="0" w:space="0" w:color="auto"/>
                  </w:divBdr>
                  <w:divsChild>
                    <w:div w:id="1557008491">
                      <w:marLeft w:val="0"/>
                      <w:marRight w:val="0"/>
                      <w:marTop w:val="0"/>
                      <w:marBottom w:val="0"/>
                      <w:divBdr>
                        <w:top w:val="none" w:sz="0" w:space="0" w:color="auto"/>
                        <w:left w:val="none" w:sz="0" w:space="0" w:color="auto"/>
                        <w:bottom w:val="none" w:sz="0" w:space="0" w:color="auto"/>
                        <w:right w:val="none" w:sz="0" w:space="0" w:color="auto"/>
                      </w:divBdr>
                      <w:divsChild>
                        <w:div w:id="1557008432">
                          <w:marLeft w:val="0"/>
                          <w:marRight w:val="3600"/>
                          <w:marTop w:val="0"/>
                          <w:marBottom w:val="0"/>
                          <w:divBdr>
                            <w:top w:val="none" w:sz="0" w:space="0" w:color="auto"/>
                            <w:left w:val="none" w:sz="0" w:space="0" w:color="auto"/>
                            <w:bottom w:val="none" w:sz="0" w:space="0" w:color="auto"/>
                            <w:right w:val="none" w:sz="0" w:space="0" w:color="auto"/>
                          </w:divBdr>
                          <w:divsChild>
                            <w:div w:id="1557008449">
                              <w:marLeft w:val="0"/>
                              <w:marRight w:val="0"/>
                              <w:marTop w:val="0"/>
                              <w:marBottom w:val="0"/>
                              <w:divBdr>
                                <w:top w:val="none" w:sz="0" w:space="0" w:color="auto"/>
                                <w:left w:val="none" w:sz="0" w:space="0" w:color="auto"/>
                                <w:bottom w:val="none" w:sz="0" w:space="0" w:color="auto"/>
                                <w:right w:val="none" w:sz="0" w:space="0" w:color="auto"/>
                              </w:divBdr>
                              <w:divsChild>
                                <w:div w:id="1557008485">
                                  <w:marLeft w:val="0"/>
                                  <w:marRight w:val="0"/>
                                  <w:marTop w:val="0"/>
                                  <w:marBottom w:val="0"/>
                                  <w:divBdr>
                                    <w:top w:val="none" w:sz="0" w:space="0" w:color="auto"/>
                                    <w:left w:val="none" w:sz="0" w:space="0" w:color="auto"/>
                                    <w:bottom w:val="none" w:sz="0" w:space="0" w:color="auto"/>
                                    <w:right w:val="none" w:sz="0" w:space="0" w:color="auto"/>
                                  </w:divBdr>
                                  <w:divsChild>
                                    <w:div w:id="1557008443">
                                      <w:marLeft w:val="0"/>
                                      <w:marRight w:val="0"/>
                                      <w:marTop w:val="0"/>
                                      <w:marBottom w:val="0"/>
                                      <w:divBdr>
                                        <w:top w:val="none" w:sz="0" w:space="0" w:color="auto"/>
                                        <w:left w:val="none" w:sz="0" w:space="0" w:color="auto"/>
                                        <w:bottom w:val="none" w:sz="0" w:space="0" w:color="auto"/>
                                        <w:right w:val="none" w:sz="0" w:space="0" w:color="auto"/>
                                      </w:divBdr>
                                      <w:divsChild>
                                        <w:div w:id="1557008379">
                                          <w:marLeft w:val="0"/>
                                          <w:marRight w:val="0"/>
                                          <w:marTop w:val="0"/>
                                          <w:marBottom w:val="0"/>
                                          <w:divBdr>
                                            <w:top w:val="none" w:sz="0" w:space="0" w:color="auto"/>
                                            <w:left w:val="none" w:sz="0" w:space="0" w:color="auto"/>
                                            <w:bottom w:val="none" w:sz="0" w:space="0" w:color="auto"/>
                                            <w:right w:val="none" w:sz="0" w:space="0" w:color="auto"/>
                                          </w:divBdr>
                                          <w:divsChild>
                                            <w:div w:id="155700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7008482">
      <w:marLeft w:val="0"/>
      <w:marRight w:val="0"/>
      <w:marTop w:val="0"/>
      <w:marBottom w:val="0"/>
      <w:divBdr>
        <w:top w:val="none" w:sz="0" w:space="0" w:color="auto"/>
        <w:left w:val="none" w:sz="0" w:space="0" w:color="auto"/>
        <w:bottom w:val="none" w:sz="0" w:space="0" w:color="auto"/>
        <w:right w:val="none" w:sz="0" w:space="0" w:color="auto"/>
      </w:divBdr>
      <w:divsChild>
        <w:div w:id="1557008463">
          <w:marLeft w:val="0"/>
          <w:marRight w:val="0"/>
          <w:marTop w:val="0"/>
          <w:marBottom w:val="0"/>
          <w:divBdr>
            <w:top w:val="none" w:sz="0" w:space="0" w:color="auto"/>
            <w:left w:val="none" w:sz="0" w:space="0" w:color="auto"/>
            <w:bottom w:val="none" w:sz="0" w:space="0" w:color="auto"/>
            <w:right w:val="none" w:sz="0" w:space="0" w:color="auto"/>
          </w:divBdr>
          <w:divsChild>
            <w:div w:id="1557008484">
              <w:marLeft w:val="0"/>
              <w:marRight w:val="0"/>
              <w:marTop w:val="150"/>
              <w:marBottom w:val="150"/>
              <w:divBdr>
                <w:top w:val="none" w:sz="0" w:space="0" w:color="auto"/>
                <w:left w:val="none" w:sz="0" w:space="0" w:color="auto"/>
                <w:bottom w:val="none" w:sz="0" w:space="0" w:color="auto"/>
                <w:right w:val="none" w:sz="0" w:space="0" w:color="auto"/>
              </w:divBdr>
              <w:divsChild>
                <w:div w:id="1557008509">
                  <w:marLeft w:val="150"/>
                  <w:marRight w:val="150"/>
                  <w:marTop w:val="0"/>
                  <w:marBottom w:val="0"/>
                  <w:divBdr>
                    <w:top w:val="none" w:sz="0" w:space="0" w:color="auto"/>
                    <w:left w:val="none" w:sz="0" w:space="0" w:color="auto"/>
                    <w:bottom w:val="none" w:sz="0" w:space="0" w:color="auto"/>
                    <w:right w:val="none" w:sz="0" w:space="0" w:color="auto"/>
                  </w:divBdr>
                  <w:divsChild>
                    <w:div w:id="1557008420">
                      <w:marLeft w:val="0"/>
                      <w:marRight w:val="0"/>
                      <w:marTop w:val="0"/>
                      <w:marBottom w:val="0"/>
                      <w:divBdr>
                        <w:top w:val="none" w:sz="0" w:space="0" w:color="auto"/>
                        <w:left w:val="none" w:sz="0" w:space="0" w:color="auto"/>
                        <w:bottom w:val="none" w:sz="0" w:space="0" w:color="auto"/>
                        <w:right w:val="none" w:sz="0" w:space="0" w:color="auto"/>
                      </w:divBdr>
                      <w:divsChild>
                        <w:div w:id="1557008425">
                          <w:marLeft w:val="0"/>
                          <w:marRight w:val="5400"/>
                          <w:marTop w:val="0"/>
                          <w:marBottom w:val="0"/>
                          <w:divBdr>
                            <w:top w:val="none" w:sz="0" w:space="0" w:color="auto"/>
                            <w:left w:val="none" w:sz="0" w:space="0" w:color="auto"/>
                            <w:bottom w:val="none" w:sz="0" w:space="0" w:color="auto"/>
                            <w:right w:val="none" w:sz="0" w:space="0" w:color="auto"/>
                          </w:divBdr>
                          <w:divsChild>
                            <w:div w:id="1557008486">
                              <w:marLeft w:val="0"/>
                              <w:marRight w:val="0"/>
                              <w:marTop w:val="0"/>
                              <w:marBottom w:val="0"/>
                              <w:divBdr>
                                <w:top w:val="none" w:sz="0" w:space="0" w:color="auto"/>
                                <w:left w:val="none" w:sz="0" w:space="0" w:color="auto"/>
                                <w:bottom w:val="none" w:sz="0" w:space="0" w:color="auto"/>
                                <w:right w:val="none" w:sz="0" w:space="0" w:color="auto"/>
                              </w:divBdr>
                              <w:divsChild>
                                <w:div w:id="1557008416">
                                  <w:marLeft w:val="0"/>
                                  <w:marRight w:val="0"/>
                                  <w:marTop w:val="0"/>
                                  <w:marBottom w:val="0"/>
                                  <w:divBdr>
                                    <w:top w:val="none" w:sz="0" w:space="0" w:color="auto"/>
                                    <w:left w:val="none" w:sz="0" w:space="0" w:color="auto"/>
                                    <w:bottom w:val="none" w:sz="0" w:space="0" w:color="auto"/>
                                    <w:right w:val="none" w:sz="0" w:space="0" w:color="auto"/>
                                  </w:divBdr>
                                  <w:divsChild>
                                    <w:div w:id="1557008507">
                                      <w:marLeft w:val="0"/>
                                      <w:marRight w:val="0"/>
                                      <w:marTop w:val="0"/>
                                      <w:marBottom w:val="0"/>
                                      <w:divBdr>
                                        <w:top w:val="none" w:sz="0" w:space="0" w:color="auto"/>
                                        <w:left w:val="none" w:sz="0" w:space="0" w:color="auto"/>
                                        <w:bottom w:val="none" w:sz="0" w:space="0" w:color="auto"/>
                                        <w:right w:val="none" w:sz="0" w:space="0" w:color="auto"/>
                                      </w:divBdr>
                                      <w:divsChild>
                                        <w:div w:id="1557008422">
                                          <w:marLeft w:val="0"/>
                                          <w:marRight w:val="0"/>
                                          <w:marTop w:val="0"/>
                                          <w:marBottom w:val="0"/>
                                          <w:divBdr>
                                            <w:top w:val="none" w:sz="0" w:space="0" w:color="auto"/>
                                            <w:left w:val="none" w:sz="0" w:space="0" w:color="auto"/>
                                            <w:bottom w:val="none" w:sz="0" w:space="0" w:color="auto"/>
                                            <w:right w:val="none" w:sz="0" w:space="0" w:color="auto"/>
                                          </w:divBdr>
                                          <w:divsChild>
                                            <w:div w:id="155700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7008490">
      <w:marLeft w:val="0"/>
      <w:marRight w:val="0"/>
      <w:marTop w:val="0"/>
      <w:marBottom w:val="0"/>
      <w:divBdr>
        <w:top w:val="none" w:sz="0" w:space="0" w:color="auto"/>
        <w:left w:val="none" w:sz="0" w:space="0" w:color="auto"/>
        <w:bottom w:val="none" w:sz="0" w:space="0" w:color="auto"/>
        <w:right w:val="none" w:sz="0" w:space="0" w:color="auto"/>
      </w:divBdr>
      <w:divsChild>
        <w:div w:id="1557008406">
          <w:marLeft w:val="0"/>
          <w:marRight w:val="0"/>
          <w:marTop w:val="0"/>
          <w:marBottom w:val="0"/>
          <w:divBdr>
            <w:top w:val="none" w:sz="0" w:space="0" w:color="auto"/>
            <w:left w:val="none" w:sz="0" w:space="0" w:color="auto"/>
            <w:bottom w:val="none" w:sz="0" w:space="0" w:color="auto"/>
            <w:right w:val="none" w:sz="0" w:space="0" w:color="auto"/>
          </w:divBdr>
          <w:divsChild>
            <w:div w:id="1557008499">
              <w:marLeft w:val="0"/>
              <w:marRight w:val="0"/>
              <w:marTop w:val="150"/>
              <w:marBottom w:val="0"/>
              <w:divBdr>
                <w:top w:val="none" w:sz="0" w:space="0" w:color="auto"/>
                <w:left w:val="none" w:sz="0" w:space="0" w:color="auto"/>
                <w:bottom w:val="none" w:sz="0" w:space="0" w:color="auto"/>
                <w:right w:val="none" w:sz="0" w:space="0" w:color="auto"/>
              </w:divBdr>
              <w:divsChild>
                <w:div w:id="1557008527">
                  <w:marLeft w:val="0"/>
                  <w:marRight w:val="150"/>
                  <w:marTop w:val="0"/>
                  <w:marBottom w:val="0"/>
                  <w:divBdr>
                    <w:top w:val="none" w:sz="0" w:space="0" w:color="auto"/>
                    <w:left w:val="none" w:sz="0" w:space="0" w:color="auto"/>
                    <w:bottom w:val="none" w:sz="0" w:space="0" w:color="auto"/>
                    <w:right w:val="none" w:sz="0" w:space="0" w:color="auto"/>
                  </w:divBdr>
                  <w:divsChild>
                    <w:div w:id="1557008412">
                      <w:marLeft w:val="0"/>
                      <w:marRight w:val="0"/>
                      <w:marTop w:val="0"/>
                      <w:marBottom w:val="0"/>
                      <w:divBdr>
                        <w:top w:val="none" w:sz="0" w:space="0" w:color="auto"/>
                        <w:left w:val="none" w:sz="0" w:space="0" w:color="auto"/>
                        <w:bottom w:val="none" w:sz="0" w:space="0" w:color="auto"/>
                        <w:right w:val="none" w:sz="0" w:space="0" w:color="auto"/>
                      </w:divBdr>
                      <w:divsChild>
                        <w:div w:id="1557008429">
                          <w:marLeft w:val="3375"/>
                          <w:marRight w:val="0"/>
                          <w:marTop w:val="0"/>
                          <w:marBottom w:val="0"/>
                          <w:divBdr>
                            <w:top w:val="none" w:sz="0" w:space="0" w:color="auto"/>
                            <w:left w:val="none" w:sz="0" w:space="0" w:color="auto"/>
                            <w:bottom w:val="none" w:sz="0" w:space="0" w:color="auto"/>
                            <w:right w:val="none" w:sz="0" w:space="0" w:color="auto"/>
                          </w:divBdr>
                          <w:divsChild>
                            <w:div w:id="1557008523">
                              <w:marLeft w:val="0"/>
                              <w:marRight w:val="0"/>
                              <w:marTop w:val="0"/>
                              <w:marBottom w:val="0"/>
                              <w:divBdr>
                                <w:top w:val="single" w:sz="6" w:space="0" w:color="FCFCFC"/>
                                <w:left w:val="single" w:sz="6" w:space="0" w:color="FCFCFC"/>
                                <w:bottom w:val="single" w:sz="6" w:space="0" w:color="FCFCFC"/>
                                <w:right w:val="single" w:sz="6" w:space="0" w:color="FCFCFC"/>
                              </w:divBdr>
                              <w:divsChild>
                                <w:div w:id="1557008494">
                                  <w:marLeft w:val="0"/>
                                  <w:marRight w:val="0"/>
                                  <w:marTop w:val="0"/>
                                  <w:marBottom w:val="0"/>
                                  <w:divBdr>
                                    <w:top w:val="single" w:sz="6" w:space="0" w:color="EDEDED"/>
                                    <w:left w:val="single" w:sz="6" w:space="0" w:color="EDEDED"/>
                                    <w:bottom w:val="single" w:sz="6" w:space="0" w:color="EDEDED"/>
                                    <w:right w:val="single" w:sz="6" w:space="0" w:color="EDEDED"/>
                                  </w:divBdr>
                                  <w:divsChild>
                                    <w:div w:id="1557008393">
                                      <w:marLeft w:val="0"/>
                                      <w:marRight w:val="0"/>
                                      <w:marTop w:val="0"/>
                                      <w:marBottom w:val="0"/>
                                      <w:divBdr>
                                        <w:top w:val="single" w:sz="6" w:space="0" w:color="9B9B9B"/>
                                        <w:left w:val="single" w:sz="6" w:space="0" w:color="9B9B9B"/>
                                        <w:bottom w:val="single" w:sz="6" w:space="0" w:color="9B9B9B"/>
                                        <w:right w:val="single" w:sz="6" w:space="0" w:color="9B9B9B"/>
                                      </w:divBdr>
                                      <w:divsChild>
                                        <w:div w:id="1557008388">
                                          <w:marLeft w:val="0"/>
                                          <w:marRight w:val="0"/>
                                          <w:marTop w:val="0"/>
                                          <w:marBottom w:val="0"/>
                                          <w:divBdr>
                                            <w:top w:val="none" w:sz="0" w:space="0" w:color="auto"/>
                                            <w:left w:val="none" w:sz="0" w:space="0" w:color="auto"/>
                                            <w:bottom w:val="none" w:sz="0" w:space="0" w:color="auto"/>
                                            <w:right w:val="none" w:sz="0" w:space="0" w:color="auto"/>
                                          </w:divBdr>
                                          <w:divsChild>
                                            <w:div w:id="1557008521">
                                              <w:marLeft w:val="0"/>
                                              <w:marRight w:val="0"/>
                                              <w:marTop w:val="100"/>
                                              <w:marBottom w:val="100"/>
                                              <w:divBdr>
                                                <w:top w:val="none" w:sz="0" w:space="0" w:color="auto"/>
                                                <w:left w:val="none" w:sz="0" w:space="0" w:color="auto"/>
                                                <w:bottom w:val="none" w:sz="0" w:space="0" w:color="auto"/>
                                                <w:right w:val="none" w:sz="0" w:space="0" w:color="auto"/>
                                              </w:divBdr>
                                              <w:divsChild>
                                                <w:div w:id="155700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7008504">
      <w:marLeft w:val="0"/>
      <w:marRight w:val="0"/>
      <w:marTop w:val="0"/>
      <w:marBottom w:val="0"/>
      <w:divBdr>
        <w:top w:val="none" w:sz="0" w:space="0" w:color="auto"/>
        <w:left w:val="none" w:sz="0" w:space="0" w:color="auto"/>
        <w:bottom w:val="none" w:sz="0" w:space="0" w:color="auto"/>
        <w:right w:val="none" w:sz="0" w:space="0" w:color="auto"/>
      </w:divBdr>
      <w:divsChild>
        <w:div w:id="1557008514">
          <w:marLeft w:val="0"/>
          <w:marRight w:val="0"/>
          <w:marTop w:val="0"/>
          <w:marBottom w:val="0"/>
          <w:divBdr>
            <w:top w:val="none" w:sz="0" w:space="0" w:color="auto"/>
            <w:left w:val="none" w:sz="0" w:space="0" w:color="auto"/>
            <w:bottom w:val="none" w:sz="0" w:space="0" w:color="auto"/>
            <w:right w:val="none" w:sz="0" w:space="0" w:color="auto"/>
          </w:divBdr>
          <w:divsChild>
            <w:div w:id="1557008402">
              <w:marLeft w:val="0"/>
              <w:marRight w:val="0"/>
              <w:marTop w:val="0"/>
              <w:marBottom w:val="0"/>
              <w:divBdr>
                <w:top w:val="single" w:sz="6" w:space="0" w:color="A2A2A2"/>
                <w:left w:val="single" w:sz="6" w:space="0" w:color="A2A2A2"/>
                <w:bottom w:val="single" w:sz="6" w:space="0" w:color="A2A2A2"/>
                <w:right w:val="single" w:sz="6" w:space="0" w:color="A2A2A2"/>
              </w:divBdr>
              <w:divsChild>
                <w:div w:id="1557008437">
                  <w:marLeft w:val="0"/>
                  <w:marRight w:val="0"/>
                  <w:marTop w:val="0"/>
                  <w:marBottom w:val="0"/>
                  <w:divBdr>
                    <w:top w:val="none" w:sz="0" w:space="0" w:color="auto"/>
                    <w:left w:val="none" w:sz="0" w:space="0" w:color="auto"/>
                    <w:bottom w:val="none" w:sz="0" w:space="0" w:color="auto"/>
                    <w:right w:val="none" w:sz="0" w:space="0" w:color="auto"/>
                  </w:divBdr>
                  <w:divsChild>
                    <w:div w:id="1557008390">
                      <w:marLeft w:val="0"/>
                      <w:marRight w:val="0"/>
                      <w:marTop w:val="0"/>
                      <w:marBottom w:val="0"/>
                      <w:divBdr>
                        <w:top w:val="none" w:sz="0" w:space="0" w:color="auto"/>
                        <w:left w:val="none" w:sz="0" w:space="0" w:color="auto"/>
                        <w:bottom w:val="single" w:sz="6" w:space="0" w:color="A4A4A4"/>
                        <w:right w:val="none" w:sz="0" w:space="0" w:color="auto"/>
                      </w:divBdr>
                      <w:divsChild>
                        <w:div w:id="1557008404">
                          <w:marLeft w:val="0"/>
                          <w:marRight w:val="0"/>
                          <w:marTop w:val="0"/>
                          <w:marBottom w:val="0"/>
                          <w:divBdr>
                            <w:top w:val="none" w:sz="0" w:space="0" w:color="auto"/>
                            <w:left w:val="none" w:sz="0" w:space="0" w:color="auto"/>
                            <w:bottom w:val="single" w:sz="18" w:space="11" w:color="E7E7E7"/>
                            <w:right w:val="none" w:sz="0" w:space="0" w:color="auto"/>
                          </w:divBdr>
                          <w:divsChild>
                            <w:div w:id="15570084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7008513">
      <w:marLeft w:val="0"/>
      <w:marRight w:val="0"/>
      <w:marTop w:val="0"/>
      <w:marBottom w:val="0"/>
      <w:divBdr>
        <w:top w:val="none" w:sz="0" w:space="0" w:color="auto"/>
        <w:left w:val="none" w:sz="0" w:space="0" w:color="auto"/>
        <w:bottom w:val="none" w:sz="0" w:space="0" w:color="auto"/>
        <w:right w:val="none" w:sz="0" w:space="0" w:color="auto"/>
      </w:divBdr>
      <w:divsChild>
        <w:div w:id="1557008466">
          <w:marLeft w:val="0"/>
          <w:marRight w:val="0"/>
          <w:marTop w:val="0"/>
          <w:marBottom w:val="0"/>
          <w:divBdr>
            <w:top w:val="none" w:sz="0" w:space="0" w:color="auto"/>
            <w:left w:val="none" w:sz="0" w:space="0" w:color="auto"/>
            <w:bottom w:val="none" w:sz="0" w:space="0" w:color="auto"/>
            <w:right w:val="none" w:sz="0" w:space="0" w:color="auto"/>
          </w:divBdr>
          <w:divsChild>
            <w:div w:id="1557008522">
              <w:marLeft w:val="0"/>
              <w:marRight w:val="0"/>
              <w:marTop w:val="0"/>
              <w:marBottom w:val="0"/>
              <w:divBdr>
                <w:top w:val="none" w:sz="0" w:space="0" w:color="auto"/>
                <w:left w:val="none" w:sz="0" w:space="0" w:color="auto"/>
                <w:bottom w:val="none" w:sz="0" w:space="0" w:color="auto"/>
                <w:right w:val="none" w:sz="0" w:space="0" w:color="auto"/>
              </w:divBdr>
              <w:divsChild>
                <w:div w:id="1557008498">
                  <w:marLeft w:val="0"/>
                  <w:marRight w:val="-6084"/>
                  <w:marTop w:val="0"/>
                  <w:marBottom w:val="0"/>
                  <w:divBdr>
                    <w:top w:val="none" w:sz="0" w:space="0" w:color="auto"/>
                    <w:left w:val="none" w:sz="0" w:space="0" w:color="auto"/>
                    <w:bottom w:val="none" w:sz="0" w:space="0" w:color="auto"/>
                    <w:right w:val="none" w:sz="0" w:space="0" w:color="auto"/>
                  </w:divBdr>
                  <w:divsChild>
                    <w:div w:id="1557008510">
                      <w:marLeft w:val="0"/>
                      <w:marRight w:val="5604"/>
                      <w:marTop w:val="0"/>
                      <w:marBottom w:val="0"/>
                      <w:divBdr>
                        <w:top w:val="none" w:sz="0" w:space="0" w:color="auto"/>
                        <w:left w:val="none" w:sz="0" w:space="0" w:color="auto"/>
                        <w:bottom w:val="none" w:sz="0" w:space="0" w:color="auto"/>
                        <w:right w:val="none" w:sz="0" w:space="0" w:color="auto"/>
                      </w:divBdr>
                      <w:divsChild>
                        <w:div w:id="1557008434">
                          <w:marLeft w:val="0"/>
                          <w:marRight w:val="0"/>
                          <w:marTop w:val="0"/>
                          <w:marBottom w:val="0"/>
                          <w:divBdr>
                            <w:top w:val="none" w:sz="0" w:space="0" w:color="auto"/>
                            <w:left w:val="none" w:sz="0" w:space="0" w:color="auto"/>
                            <w:bottom w:val="none" w:sz="0" w:space="0" w:color="auto"/>
                            <w:right w:val="none" w:sz="0" w:space="0" w:color="auto"/>
                          </w:divBdr>
                          <w:divsChild>
                            <w:div w:id="1557008525">
                              <w:marLeft w:val="0"/>
                              <w:marRight w:val="0"/>
                              <w:marTop w:val="120"/>
                              <w:marBottom w:val="360"/>
                              <w:divBdr>
                                <w:top w:val="none" w:sz="0" w:space="0" w:color="auto"/>
                                <w:left w:val="none" w:sz="0" w:space="0" w:color="auto"/>
                                <w:bottom w:val="none" w:sz="0" w:space="0" w:color="auto"/>
                                <w:right w:val="none" w:sz="0" w:space="0" w:color="auto"/>
                              </w:divBdr>
                              <w:divsChild>
                                <w:div w:id="1557008451">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6.tiff"/><Relationship Id="rId26" Type="http://schemas.openxmlformats.org/officeDocument/2006/relationships/image" Target="media/image14.tiff"/><Relationship Id="rId3" Type="http://schemas.openxmlformats.org/officeDocument/2006/relationships/styles" Target="styles.xml"/><Relationship Id="rId21" Type="http://schemas.openxmlformats.org/officeDocument/2006/relationships/image" Target="media/image9.tiff"/><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image" Target="media/image5.tiff"/><Relationship Id="rId25" Type="http://schemas.openxmlformats.org/officeDocument/2006/relationships/image" Target="media/image13.tiff"/><Relationship Id="rId2" Type="http://schemas.openxmlformats.org/officeDocument/2006/relationships/numbering" Target="numbering.xml"/><Relationship Id="rId16" Type="http://schemas.openxmlformats.org/officeDocument/2006/relationships/image" Target="media/image4.tiff"/><Relationship Id="rId20" Type="http://schemas.openxmlformats.org/officeDocument/2006/relationships/image" Target="media/image8.tif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2.tiff"/><Relationship Id="rId5" Type="http://schemas.openxmlformats.org/officeDocument/2006/relationships/settings" Target="settings.xml"/><Relationship Id="rId15" Type="http://schemas.openxmlformats.org/officeDocument/2006/relationships/hyperlink" Target="http://www-jmg.ch.cam.ac.uk/cinf/rig/recent/wj.html" TargetMode="External"/><Relationship Id="rId23" Type="http://schemas.openxmlformats.org/officeDocument/2006/relationships/image" Target="media/image11.tiff"/><Relationship Id="rId28" Type="http://schemas.openxmlformats.org/officeDocument/2006/relationships/footer" Target="footer2.xml"/><Relationship Id="rId10" Type="http://schemas.openxmlformats.org/officeDocument/2006/relationships/image" Target="media/image2.wmf"/><Relationship Id="rId19" Type="http://schemas.openxmlformats.org/officeDocument/2006/relationships/image" Target="media/image7.tif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fda.gov/downloads/Drugs/GuidanceComplianceRegulatoryInformation/Guidances/UCM070124.pdf" TargetMode="External"/><Relationship Id="rId22" Type="http://schemas.openxmlformats.org/officeDocument/2006/relationships/image" Target="media/image10.tiff"/><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6C48BB-1A80-475E-8516-EDD104F20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46</Pages>
  <Words>8873</Words>
  <Characters>50577</Characters>
  <Application>Microsoft Office Word</Application>
  <DocSecurity>0</DocSecurity>
  <Lines>421</Lines>
  <Paragraphs>118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Increasing Vinpocetine solubility through salt formation by mechanochemical process</vt:lpstr>
      <vt:lpstr>Increasing Vinpocetine solubility through salt formation by mechanochemical process</vt:lpstr>
    </vt:vector>
  </TitlesOfParts>
  <Company>Dip. Scienze Farmaceutiche</Company>
  <LinksUpToDate>false</LinksUpToDate>
  <CharactersWithSpaces>59332</CharactersWithSpaces>
  <SharedDoc>false</SharedDoc>
  <HLinks>
    <vt:vector size="12" baseType="variant">
      <vt:variant>
        <vt:i4>3670127</vt:i4>
      </vt:variant>
      <vt:variant>
        <vt:i4>6</vt:i4>
      </vt:variant>
      <vt:variant>
        <vt:i4>0</vt:i4>
      </vt:variant>
      <vt:variant>
        <vt:i4>5</vt:i4>
      </vt:variant>
      <vt:variant>
        <vt:lpwstr>http://www-jmg.ch.cam.ac.uk/cinf/rig/recent/wj.html</vt:lpwstr>
      </vt:variant>
      <vt:variant>
        <vt:lpwstr/>
      </vt:variant>
      <vt:variant>
        <vt:i4>7929907</vt:i4>
      </vt:variant>
      <vt:variant>
        <vt:i4>3</vt:i4>
      </vt:variant>
      <vt:variant>
        <vt:i4>0</vt:i4>
      </vt:variant>
      <vt:variant>
        <vt:i4>5</vt:i4>
      </vt:variant>
      <vt:variant>
        <vt:lpwstr>http://www.fda.gov/downloads/Drugs/GuidanceComplianceRegulatoryInformation/Guidances/UCM070124.pdf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Increasing Vinpocetine solubility through salt formation by mechanochemical process</dc:title>
  <dc:creator>Perissutti Beatrice</dc:creator>
  <cp:lastModifiedBy>michele</cp:lastModifiedBy>
  <cp:revision>7</cp:revision>
  <cp:lastPrinted>2012-04-03T08:47:00Z</cp:lastPrinted>
  <dcterms:created xsi:type="dcterms:W3CDTF">2016-10-17T07:12:00Z</dcterms:created>
  <dcterms:modified xsi:type="dcterms:W3CDTF">2016-10-17T07:34:00Z</dcterms:modified>
</cp:coreProperties>
</file>