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DC" w:rsidRPr="00E954DC" w:rsidRDefault="00E954DC" w:rsidP="00E954DC">
      <w:pPr>
        <w:spacing w:after="240" w:line="360" w:lineRule="atLeast"/>
        <w:rPr>
          <w:rFonts w:ascii="Times" w:hAnsi="Times" w:cs="Times New Roman"/>
          <w:sz w:val="20"/>
          <w:szCs w:val="20"/>
        </w:rPr>
      </w:pPr>
      <w:r w:rsidRPr="00E954DC">
        <w:rPr>
          <w:rFonts w:ascii="Times" w:hAnsi="Times" w:cs="Times New Roman"/>
          <w:sz w:val="20"/>
          <w:szCs w:val="20"/>
        </w:rPr>
        <w:t>Somatic mutations are one of the major drivers in the pathogenesis of myelodysplastic syndrome (MDS), some of which are associated with the clinical phenotype. Red blood cell (RBC) transfusions are an important component of supportive care in patients with lower</w:t>
      </w:r>
      <w:r w:rsidRPr="00E954DC">
        <w:rPr>
          <w:rFonts w:ascii="Noteworthy Light" w:hAnsi="Noteworthy Light" w:cs="Noteworthy Light"/>
          <w:sz w:val="20"/>
          <w:szCs w:val="20"/>
        </w:rPr>
        <w:t>‐</w:t>
      </w:r>
      <w:r w:rsidRPr="00E954DC">
        <w:rPr>
          <w:rFonts w:ascii="Times" w:hAnsi="Times" w:cs="Times New Roman"/>
          <w:sz w:val="20"/>
          <w:szCs w:val="20"/>
        </w:rPr>
        <w:t>risk MDS (LR</w:t>
      </w:r>
      <w:r w:rsidRPr="00E954DC">
        <w:rPr>
          <w:rFonts w:ascii="Noteworthy Light" w:hAnsi="Noteworthy Light" w:cs="Noteworthy Light"/>
          <w:sz w:val="20"/>
          <w:szCs w:val="20"/>
        </w:rPr>
        <w:t>‐</w:t>
      </w:r>
      <w:r w:rsidRPr="00E954DC">
        <w:rPr>
          <w:rFonts w:ascii="Times" w:hAnsi="Times" w:cs="Times New Roman"/>
          <w:sz w:val="20"/>
          <w:szCs w:val="20"/>
        </w:rPr>
        <w:t>MDS), but are associated with increased iron deposits and ferritin levels leading to iron overload, contributing to morbidity and mortality (Malcovati </w:t>
      </w:r>
      <w:r w:rsidRPr="00E954DC">
        <w:rPr>
          <w:rFonts w:ascii="Times" w:hAnsi="Times" w:cs="Times New Roman"/>
          <w:i/>
          <w:iCs/>
          <w:sz w:val="20"/>
          <w:szCs w:val="20"/>
        </w:rPr>
        <w:t>et al </w:t>
      </w:r>
      <w:r w:rsidRPr="00E954DC">
        <w:rPr>
          <w:rFonts w:ascii="Times" w:hAnsi="Times" w:cs="Times New Roman"/>
          <w:sz w:val="20"/>
          <w:szCs w:val="20"/>
        </w:rPr>
        <w:t>, </w:t>
      </w:r>
      <w:hyperlink r:id="rId6" w:anchor="bjh15655-bib-0005" w:history="1">
        <w:r w:rsidRPr="00E954DC">
          <w:rPr>
            <w:rFonts w:ascii="Times" w:hAnsi="Times" w:cs="Times New Roman"/>
            <w:b/>
            <w:bCs/>
            <w:color w:val="000000"/>
            <w:sz w:val="20"/>
            <w:szCs w:val="20"/>
            <w:u w:val="single"/>
          </w:rPr>
          <w:t>2011</w:t>
        </w:r>
      </w:hyperlink>
      <w:r w:rsidRPr="00E954DC">
        <w:rPr>
          <w:rFonts w:ascii="Times" w:hAnsi="Times" w:cs="Times New Roman"/>
          <w:sz w:val="20"/>
          <w:szCs w:val="20"/>
        </w:rPr>
        <w:t>). Increased ferritin levels have been reported in about 50% of patients at initial MDS diagnosis, across all different subtypes, prior to transfusion support, and play a significant prognostic role in survival (Voso </w:t>
      </w:r>
      <w:r w:rsidRPr="00E954DC">
        <w:rPr>
          <w:rFonts w:ascii="Times" w:hAnsi="Times" w:cs="Times New Roman"/>
          <w:i/>
          <w:iCs/>
          <w:sz w:val="20"/>
          <w:szCs w:val="20"/>
        </w:rPr>
        <w:t>et al </w:t>
      </w:r>
      <w:r w:rsidRPr="00E954DC">
        <w:rPr>
          <w:rFonts w:ascii="Times" w:hAnsi="Times" w:cs="Times New Roman"/>
          <w:sz w:val="20"/>
          <w:szCs w:val="20"/>
        </w:rPr>
        <w:t>, </w:t>
      </w:r>
      <w:hyperlink r:id="rId7" w:anchor="bjh15655-bib-0009" w:history="1">
        <w:r w:rsidRPr="00E954DC">
          <w:rPr>
            <w:rFonts w:ascii="Times" w:hAnsi="Times" w:cs="Times New Roman"/>
            <w:b/>
            <w:bCs/>
            <w:color w:val="000000"/>
            <w:sz w:val="20"/>
            <w:szCs w:val="20"/>
            <w:u w:val="single"/>
          </w:rPr>
          <w:t>2013a</w:t>
        </w:r>
      </w:hyperlink>
      <w:r w:rsidRPr="00E954DC">
        <w:rPr>
          <w:rFonts w:ascii="Times" w:hAnsi="Times" w:cs="Times New Roman"/>
          <w:sz w:val="20"/>
          <w:szCs w:val="20"/>
        </w:rPr>
        <w:t>). Iron accumulation in the mitochondria is the main feature of the specific MDS subtype ‘with ring sideroblasts’ (MDS</w:t>
      </w:r>
      <w:r w:rsidRPr="00E954DC">
        <w:rPr>
          <w:rFonts w:ascii="Noteworthy Light" w:hAnsi="Noteworthy Light" w:cs="Noteworthy Light"/>
          <w:sz w:val="20"/>
          <w:szCs w:val="20"/>
        </w:rPr>
        <w:t>‐</w:t>
      </w:r>
      <w:r w:rsidRPr="00E954DC">
        <w:rPr>
          <w:rFonts w:ascii="Times" w:hAnsi="Times" w:cs="Times New Roman"/>
          <w:sz w:val="20"/>
          <w:szCs w:val="20"/>
        </w:rPr>
        <w:t>RS), which is defined by the presence of either ≥15% RS in the bone marrow, or by the detection of mutations of the splicing factor SF3B1 in presence of ≥5% ring sideroblasts (Arber </w:t>
      </w:r>
      <w:r w:rsidRPr="00E954DC">
        <w:rPr>
          <w:rFonts w:ascii="Times" w:hAnsi="Times" w:cs="Times New Roman"/>
          <w:i/>
          <w:iCs/>
          <w:sz w:val="20"/>
          <w:szCs w:val="20"/>
        </w:rPr>
        <w:t>et al </w:t>
      </w:r>
      <w:r w:rsidRPr="00E954DC">
        <w:rPr>
          <w:rFonts w:ascii="Times" w:hAnsi="Times" w:cs="Times New Roman"/>
          <w:sz w:val="20"/>
          <w:szCs w:val="20"/>
        </w:rPr>
        <w:t>, </w:t>
      </w:r>
      <w:hyperlink r:id="rId8" w:anchor="bjh15655-bib-0002" w:history="1">
        <w:r w:rsidRPr="00E954DC">
          <w:rPr>
            <w:rFonts w:ascii="Times" w:hAnsi="Times" w:cs="Times New Roman"/>
            <w:b/>
            <w:bCs/>
            <w:color w:val="000000"/>
            <w:sz w:val="20"/>
            <w:szCs w:val="20"/>
            <w:u w:val="single"/>
          </w:rPr>
          <w:t>2016</w:t>
        </w:r>
      </w:hyperlink>
      <w:r w:rsidRPr="00E954DC">
        <w:rPr>
          <w:rFonts w:ascii="Times" w:hAnsi="Times" w:cs="Times New Roman"/>
          <w:sz w:val="20"/>
          <w:szCs w:val="20"/>
        </w:rPr>
        <w:t>). SF3B1 mutations have been detected in 70–80% of MDS</w:t>
      </w:r>
      <w:r w:rsidRPr="00E954DC">
        <w:rPr>
          <w:rFonts w:ascii="Noteworthy Light" w:hAnsi="Noteworthy Light" w:cs="Noteworthy Light"/>
          <w:sz w:val="20"/>
          <w:szCs w:val="20"/>
        </w:rPr>
        <w:t>‐</w:t>
      </w:r>
      <w:r w:rsidRPr="00E954DC">
        <w:rPr>
          <w:rFonts w:ascii="Times" w:hAnsi="Times" w:cs="Times New Roman"/>
          <w:sz w:val="20"/>
          <w:szCs w:val="20"/>
        </w:rPr>
        <w:t>RS.</w:t>
      </w:r>
    </w:p>
    <w:p w:rsidR="00E954DC" w:rsidRPr="00E954DC" w:rsidRDefault="00E954DC" w:rsidP="00E954DC">
      <w:pPr>
        <w:spacing w:before="75" w:after="240" w:line="360" w:lineRule="atLeast"/>
        <w:rPr>
          <w:rFonts w:ascii="Times" w:hAnsi="Times" w:cs="Times New Roman"/>
          <w:sz w:val="20"/>
          <w:szCs w:val="20"/>
        </w:rPr>
      </w:pPr>
      <w:r w:rsidRPr="00E954DC">
        <w:rPr>
          <w:rFonts w:ascii="Times" w:hAnsi="Times" w:cs="Times New Roman"/>
          <w:sz w:val="20"/>
          <w:szCs w:val="20"/>
        </w:rPr>
        <w:t>Due to the deleterious prognostic role of iron accumulation in MDS, iron</w:t>
      </w:r>
      <w:r w:rsidRPr="00E954DC">
        <w:rPr>
          <w:rFonts w:ascii="Noteworthy Light" w:hAnsi="Noteworthy Light" w:cs="Noteworthy Light"/>
          <w:sz w:val="20"/>
          <w:szCs w:val="20"/>
        </w:rPr>
        <w:t>‐</w:t>
      </w:r>
      <w:r w:rsidRPr="00E954DC">
        <w:rPr>
          <w:rFonts w:ascii="Times" w:hAnsi="Times" w:cs="Times New Roman"/>
          <w:sz w:val="20"/>
          <w:szCs w:val="20"/>
        </w:rPr>
        <w:t>chelating therapy (ICT) is indicated in LR</w:t>
      </w:r>
      <w:r w:rsidRPr="00E954DC">
        <w:rPr>
          <w:rFonts w:ascii="Noteworthy Light" w:hAnsi="Noteworthy Light" w:cs="Noteworthy Light"/>
          <w:sz w:val="20"/>
          <w:szCs w:val="20"/>
        </w:rPr>
        <w:t>‐</w:t>
      </w:r>
      <w:r w:rsidRPr="00E954DC">
        <w:rPr>
          <w:rFonts w:ascii="Times" w:hAnsi="Times" w:cs="Times New Roman"/>
          <w:sz w:val="20"/>
          <w:szCs w:val="20"/>
        </w:rPr>
        <w:t>MDS with ferritin levels over 1000 μg/l and/or a history of at least 20 prior RBC transfusions (Malcovati </w:t>
      </w:r>
      <w:r w:rsidRPr="00E954DC">
        <w:rPr>
          <w:rFonts w:ascii="Times" w:hAnsi="Times" w:cs="Times New Roman"/>
          <w:i/>
          <w:iCs/>
          <w:sz w:val="20"/>
          <w:szCs w:val="20"/>
        </w:rPr>
        <w:t>et al </w:t>
      </w:r>
      <w:r w:rsidRPr="00E954DC">
        <w:rPr>
          <w:rFonts w:ascii="Times" w:hAnsi="Times" w:cs="Times New Roman"/>
          <w:sz w:val="20"/>
          <w:szCs w:val="20"/>
        </w:rPr>
        <w:t>, </w:t>
      </w:r>
      <w:hyperlink r:id="rId9" w:anchor="bjh15655-bib-0006" w:history="1">
        <w:r w:rsidRPr="00E954DC">
          <w:rPr>
            <w:rFonts w:ascii="Times" w:hAnsi="Times" w:cs="Times New Roman"/>
            <w:b/>
            <w:bCs/>
            <w:color w:val="000000"/>
            <w:sz w:val="20"/>
            <w:szCs w:val="20"/>
            <w:u w:val="single"/>
          </w:rPr>
          <w:t>2013</w:t>
        </w:r>
      </w:hyperlink>
      <w:r w:rsidRPr="00E954DC">
        <w:rPr>
          <w:rFonts w:ascii="Times" w:hAnsi="Times" w:cs="Times New Roman"/>
          <w:sz w:val="20"/>
          <w:szCs w:val="20"/>
        </w:rPr>
        <w:t>). The oral iron chelator deferasirox (DFX), has been associated with prolonged survival in MDS, although this remains controversial (Gattermann </w:t>
      </w:r>
      <w:r w:rsidRPr="00E954DC">
        <w:rPr>
          <w:rFonts w:ascii="Times" w:hAnsi="Times" w:cs="Times New Roman"/>
          <w:i/>
          <w:iCs/>
          <w:sz w:val="20"/>
          <w:szCs w:val="20"/>
        </w:rPr>
        <w:t>et al </w:t>
      </w:r>
      <w:r w:rsidRPr="00E954DC">
        <w:rPr>
          <w:rFonts w:ascii="Times" w:hAnsi="Times" w:cs="Times New Roman"/>
          <w:sz w:val="20"/>
          <w:szCs w:val="20"/>
        </w:rPr>
        <w:t>, </w:t>
      </w:r>
      <w:hyperlink r:id="rId10" w:anchor="bjh15655-bib-0004" w:history="1">
        <w:r w:rsidRPr="00E954DC">
          <w:rPr>
            <w:rFonts w:ascii="Times" w:hAnsi="Times" w:cs="Times New Roman"/>
            <w:b/>
            <w:bCs/>
            <w:color w:val="000000"/>
            <w:sz w:val="20"/>
            <w:szCs w:val="20"/>
            <w:u w:val="single"/>
          </w:rPr>
          <w:t>2012</w:t>
        </w:r>
      </w:hyperlink>
      <w:r w:rsidRPr="00E954DC">
        <w:rPr>
          <w:rFonts w:ascii="Times" w:hAnsi="Times" w:cs="Times New Roman"/>
          <w:sz w:val="20"/>
          <w:szCs w:val="20"/>
        </w:rPr>
        <w:t>; Angelucci </w:t>
      </w:r>
      <w:r w:rsidRPr="00E954DC">
        <w:rPr>
          <w:rFonts w:ascii="Times" w:hAnsi="Times" w:cs="Times New Roman"/>
          <w:i/>
          <w:iCs/>
          <w:sz w:val="20"/>
          <w:szCs w:val="20"/>
        </w:rPr>
        <w:t>et al </w:t>
      </w:r>
      <w:r w:rsidRPr="00E954DC">
        <w:rPr>
          <w:rFonts w:ascii="Times" w:hAnsi="Times" w:cs="Times New Roman"/>
          <w:sz w:val="20"/>
          <w:szCs w:val="20"/>
        </w:rPr>
        <w:t>, </w:t>
      </w:r>
      <w:hyperlink r:id="rId11" w:anchor="bjh15655-bib-0001" w:history="1">
        <w:r w:rsidRPr="00E954DC">
          <w:rPr>
            <w:rFonts w:ascii="Times" w:hAnsi="Times" w:cs="Times New Roman"/>
            <w:b/>
            <w:bCs/>
            <w:color w:val="000000"/>
            <w:sz w:val="20"/>
            <w:szCs w:val="20"/>
            <w:u w:val="single"/>
          </w:rPr>
          <w:t>2014</w:t>
        </w:r>
      </w:hyperlink>
      <w:r w:rsidRPr="00E954DC">
        <w:rPr>
          <w:rFonts w:ascii="Times" w:hAnsi="Times" w:cs="Times New Roman"/>
          <w:sz w:val="20"/>
          <w:szCs w:val="20"/>
        </w:rPr>
        <w:t>). Several reports and clinical studies have shown that haematological improvement (HI) may occur during ICT in MDS (10–20% of cases)in the erythroid series, neutrophils and platelets (Gattermann </w:t>
      </w:r>
      <w:r w:rsidRPr="00E954DC">
        <w:rPr>
          <w:rFonts w:ascii="Times" w:hAnsi="Times" w:cs="Times New Roman"/>
          <w:i/>
          <w:iCs/>
          <w:sz w:val="20"/>
          <w:szCs w:val="20"/>
        </w:rPr>
        <w:t>et al </w:t>
      </w:r>
      <w:r w:rsidRPr="00E954DC">
        <w:rPr>
          <w:rFonts w:ascii="Times" w:hAnsi="Times" w:cs="Times New Roman"/>
          <w:sz w:val="20"/>
          <w:szCs w:val="20"/>
        </w:rPr>
        <w:t>, </w:t>
      </w:r>
      <w:hyperlink r:id="rId12" w:anchor="bjh15655-bib-0004" w:history="1">
        <w:r w:rsidRPr="00E954DC">
          <w:rPr>
            <w:rFonts w:ascii="Times" w:hAnsi="Times" w:cs="Times New Roman"/>
            <w:b/>
            <w:bCs/>
            <w:color w:val="000000"/>
            <w:sz w:val="20"/>
            <w:szCs w:val="20"/>
            <w:u w:val="single"/>
          </w:rPr>
          <w:t>2012</w:t>
        </w:r>
      </w:hyperlink>
      <w:r w:rsidRPr="00E954DC">
        <w:rPr>
          <w:rFonts w:ascii="Times" w:hAnsi="Times" w:cs="Times New Roman"/>
          <w:sz w:val="20"/>
          <w:szCs w:val="20"/>
        </w:rPr>
        <w:t> and Angelucci </w:t>
      </w:r>
      <w:r w:rsidRPr="00E954DC">
        <w:rPr>
          <w:rFonts w:ascii="Times" w:hAnsi="Times" w:cs="Times New Roman"/>
          <w:i/>
          <w:iCs/>
          <w:sz w:val="20"/>
          <w:szCs w:val="20"/>
        </w:rPr>
        <w:t>et al </w:t>
      </w:r>
      <w:r w:rsidRPr="00E954DC">
        <w:rPr>
          <w:rFonts w:ascii="Times" w:hAnsi="Times" w:cs="Times New Roman"/>
          <w:sz w:val="20"/>
          <w:szCs w:val="20"/>
        </w:rPr>
        <w:t>, </w:t>
      </w:r>
      <w:hyperlink r:id="rId13" w:anchor="bjh15655-bib-0001" w:history="1">
        <w:r w:rsidRPr="00E954DC">
          <w:rPr>
            <w:rFonts w:ascii="Times" w:hAnsi="Times" w:cs="Times New Roman"/>
            <w:b/>
            <w:bCs/>
            <w:color w:val="000000"/>
            <w:sz w:val="20"/>
            <w:szCs w:val="20"/>
            <w:u w:val="single"/>
          </w:rPr>
          <w:t>2014</w:t>
        </w:r>
      </w:hyperlink>
      <w:r w:rsidRPr="00E954DC">
        <w:rPr>
          <w:rFonts w:ascii="Times" w:hAnsi="Times" w:cs="Times New Roman"/>
          <w:sz w:val="20"/>
          <w:szCs w:val="20"/>
        </w:rPr>
        <w:t>).</w:t>
      </w:r>
    </w:p>
    <w:p w:rsidR="00E954DC" w:rsidRPr="00E954DC" w:rsidRDefault="00E954DC" w:rsidP="00E954DC">
      <w:pPr>
        <w:spacing w:before="75" w:after="240" w:line="360" w:lineRule="atLeast"/>
        <w:rPr>
          <w:rFonts w:ascii="Times" w:hAnsi="Times" w:cs="Times New Roman"/>
          <w:sz w:val="20"/>
          <w:szCs w:val="20"/>
        </w:rPr>
      </w:pPr>
      <w:r w:rsidRPr="00E954DC">
        <w:rPr>
          <w:rFonts w:ascii="Times" w:hAnsi="Times" w:cs="Times New Roman"/>
          <w:sz w:val="20"/>
          <w:szCs w:val="20"/>
        </w:rPr>
        <w:t>We were interested in the molecular mechanisms associated with HI (according to Cheson </w:t>
      </w:r>
      <w:r w:rsidRPr="00E954DC">
        <w:rPr>
          <w:rFonts w:ascii="Times" w:hAnsi="Times" w:cs="Times New Roman"/>
          <w:i/>
          <w:iCs/>
          <w:sz w:val="20"/>
          <w:szCs w:val="20"/>
        </w:rPr>
        <w:t>et al </w:t>
      </w:r>
      <w:r w:rsidRPr="00E954DC">
        <w:rPr>
          <w:rFonts w:ascii="Times" w:hAnsi="Times" w:cs="Times New Roman"/>
          <w:sz w:val="20"/>
          <w:szCs w:val="20"/>
        </w:rPr>
        <w:t>, </w:t>
      </w:r>
      <w:hyperlink r:id="rId14" w:anchor="bjh15655-bib-0003" w:history="1">
        <w:r w:rsidRPr="00E954DC">
          <w:rPr>
            <w:rFonts w:ascii="Times" w:hAnsi="Times" w:cs="Times New Roman"/>
            <w:b/>
            <w:bCs/>
            <w:color w:val="000000"/>
            <w:sz w:val="20"/>
            <w:szCs w:val="20"/>
            <w:u w:val="single"/>
          </w:rPr>
          <w:t>2006</w:t>
        </w:r>
      </w:hyperlink>
      <w:r w:rsidRPr="00E954DC">
        <w:rPr>
          <w:rFonts w:ascii="Times" w:hAnsi="Times" w:cs="Times New Roman"/>
          <w:sz w:val="20"/>
          <w:szCs w:val="20"/>
        </w:rPr>
        <w:t>) during iron chelating treatment in MDS. DFX was administered according to guidelines in patients with MDS or primary myelofibrosis (PMF). Patients were consecutively enrolled in the multicentre prospective translational study ‘Identification of erythroid response mechanisms in patients with MDS undergoing iron</w:t>
      </w:r>
      <w:r w:rsidRPr="00E954DC">
        <w:rPr>
          <w:rFonts w:ascii="Noteworthy Light" w:hAnsi="Noteworthy Light" w:cs="Noteworthy Light"/>
          <w:sz w:val="20"/>
          <w:szCs w:val="20"/>
        </w:rPr>
        <w:t>‐</w:t>
      </w:r>
      <w:r w:rsidRPr="00E954DC">
        <w:rPr>
          <w:rFonts w:ascii="Times" w:hAnsi="Times" w:cs="Times New Roman"/>
          <w:sz w:val="20"/>
          <w:szCs w:val="20"/>
        </w:rPr>
        <w:t>chelation therapy’, approved by the EC of San Luigi Gonzaga Hospital Orbassano, Italy (Approval N. 14/2013). Informed consent was obtained from all patients, according to the Declaration of Helsinki.</w:t>
      </w:r>
    </w:p>
    <w:p w:rsidR="00E954DC" w:rsidRPr="00E954DC" w:rsidRDefault="00E954DC" w:rsidP="00E954DC">
      <w:pPr>
        <w:spacing w:before="75" w:after="240" w:line="360" w:lineRule="atLeast"/>
        <w:rPr>
          <w:rFonts w:ascii="Times" w:hAnsi="Times" w:cs="Times New Roman"/>
          <w:sz w:val="20"/>
          <w:szCs w:val="20"/>
        </w:rPr>
      </w:pPr>
      <w:r w:rsidRPr="00E954DC">
        <w:rPr>
          <w:rFonts w:ascii="Times" w:hAnsi="Times" w:cs="Times New Roman"/>
          <w:sz w:val="20"/>
          <w:szCs w:val="20"/>
        </w:rPr>
        <w:t>The mutational status of critical genes was assessed in 58 LR</w:t>
      </w:r>
      <w:r w:rsidRPr="00E954DC">
        <w:rPr>
          <w:rFonts w:ascii="Noteworthy Light" w:hAnsi="Noteworthy Light" w:cs="Noteworthy Light"/>
          <w:sz w:val="20"/>
          <w:szCs w:val="20"/>
        </w:rPr>
        <w:t>‐</w:t>
      </w:r>
      <w:r w:rsidRPr="00E954DC">
        <w:rPr>
          <w:rFonts w:ascii="Times" w:hAnsi="Times" w:cs="Times New Roman"/>
          <w:sz w:val="20"/>
          <w:szCs w:val="20"/>
        </w:rPr>
        <w:t>MDS patients and 2 PMF patients undergoing DFX treatment. Table </w:t>
      </w:r>
      <w:hyperlink r:id="rId15" w:anchor="bjh15655-tbl-0001" w:tooltip="Link to table" w:history="1">
        <w:r w:rsidRPr="00E954DC">
          <w:rPr>
            <w:rFonts w:ascii="Times" w:hAnsi="Times" w:cs="Times New Roman"/>
            <w:b/>
            <w:bCs/>
            <w:color w:val="005274"/>
            <w:sz w:val="20"/>
            <w:szCs w:val="20"/>
            <w:u w:val="single"/>
          </w:rPr>
          <w:t>1</w:t>
        </w:r>
      </w:hyperlink>
      <w:r w:rsidRPr="00E954DC">
        <w:rPr>
          <w:rFonts w:ascii="Times" w:hAnsi="Times" w:cs="Times New Roman"/>
          <w:sz w:val="20"/>
          <w:szCs w:val="20"/>
        </w:rPr>
        <w:t> shows patient characteristics. Nineteen patients (31·7%) achieved HI during DFX treatment (10 HI</w:t>
      </w:r>
      <w:r w:rsidRPr="00E954DC">
        <w:rPr>
          <w:rFonts w:ascii="Noteworthy Light" w:hAnsi="Noteworthy Light" w:cs="Noteworthy Light"/>
          <w:sz w:val="20"/>
          <w:szCs w:val="20"/>
        </w:rPr>
        <w:t>‐</w:t>
      </w:r>
      <w:r w:rsidRPr="00E954DC">
        <w:rPr>
          <w:rFonts w:ascii="Times" w:hAnsi="Times" w:cs="Times New Roman"/>
          <w:sz w:val="20"/>
          <w:szCs w:val="20"/>
        </w:rPr>
        <w:t>erythroid, 1 trilinear improvement and 8 patients became transfusion independent). This apparently high HI rate to DFX may be related to a selection bias in the translational study and may not be representative of the real haematological response rates in MDS (Gattermann </w:t>
      </w:r>
      <w:r w:rsidRPr="00E954DC">
        <w:rPr>
          <w:rFonts w:ascii="Times" w:hAnsi="Times" w:cs="Times New Roman"/>
          <w:i/>
          <w:iCs/>
          <w:sz w:val="20"/>
          <w:szCs w:val="20"/>
        </w:rPr>
        <w:t>et al </w:t>
      </w:r>
      <w:r w:rsidRPr="00E954DC">
        <w:rPr>
          <w:rFonts w:ascii="Times" w:hAnsi="Times" w:cs="Times New Roman"/>
          <w:sz w:val="20"/>
          <w:szCs w:val="20"/>
        </w:rPr>
        <w:t>, </w:t>
      </w:r>
      <w:hyperlink r:id="rId16" w:anchor="bjh15655-bib-0004" w:history="1">
        <w:r w:rsidRPr="00E954DC">
          <w:rPr>
            <w:rFonts w:ascii="Times" w:hAnsi="Times" w:cs="Times New Roman"/>
            <w:b/>
            <w:bCs/>
            <w:color w:val="000000"/>
            <w:sz w:val="20"/>
            <w:szCs w:val="20"/>
            <w:u w:val="single"/>
          </w:rPr>
          <w:t>2012</w:t>
        </w:r>
      </w:hyperlink>
      <w:r w:rsidRPr="00E954DC">
        <w:rPr>
          <w:rFonts w:ascii="Times" w:hAnsi="Times" w:cs="Times New Roman"/>
          <w:sz w:val="20"/>
          <w:szCs w:val="20"/>
        </w:rPr>
        <w:t>; and Angelucci </w:t>
      </w:r>
      <w:r w:rsidRPr="00E954DC">
        <w:rPr>
          <w:rFonts w:ascii="Times" w:hAnsi="Times" w:cs="Times New Roman"/>
          <w:i/>
          <w:iCs/>
          <w:sz w:val="20"/>
          <w:szCs w:val="20"/>
        </w:rPr>
        <w:t>et al </w:t>
      </w:r>
      <w:r w:rsidRPr="00E954DC">
        <w:rPr>
          <w:rFonts w:ascii="Times" w:hAnsi="Times" w:cs="Times New Roman"/>
          <w:sz w:val="20"/>
          <w:szCs w:val="20"/>
        </w:rPr>
        <w:t>, </w:t>
      </w:r>
      <w:hyperlink r:id="rId17" w:anchor="bjh15655-bib-0001" w:history="1">
        <w:r w:rsidRPr="00E954DC">
          <w:rPr>
            <w:rFonts w:ascii="Times" w:hAnsi="Times" w:cs="Times New Roman"/>
            <w:b/>
            <w:bCs/>
            <w:color w:val="000000"/>
            <w:sz w:val="20"/>
            <w:szCs w:val="20"/>
            <w:u w:val="single"/>
          </w:rPr>
          <w:t>2014</w:t>
        </w:r>
      </w:hyperlink>
      <w:r w:rsidRPr="00E954DC">
        <w:rPr>
          <w:rFonts w:ascii="Times" w:hAnsi="Times" w:cs="Times New Roman"/>
          <w:sz w:val="20"/>
          <w:szCs w:val="20"/>
        </w:rPr>
        <w:t>). Mutational profiles were then compared to those of 41 patients who did not achieve HI.</w:t>
      </w:r>
    </w:p>
    <w:p w:rsidR="00E954DC" w:rsidRPr="00E954DC" w:rsidRDefault="00E954DC" w:rsidP="00E954DC">
      <w:pPr>
        <w:rPr>
          <w:rFonts w:ascii="Times" w:eastAsia="Times New Roman" w:hAnsi="Times" w:cs="Times New Roman"/>
          <w:sz w:val="20"/>
          <w:szCs w:val="20"/>
        </w:rPr>
      </w:pPr>
      <w:r w:rsidRPr="00E954DC">
        <w:rPr>
          <w:rFonts w:ascii="Times" w:eastAsia="Times New Roman" w:hAnsi="Times" w:cs="Times New Roman"/>
          <w:b/>
          <w:bCs/>
          <w:sz w:val="20"/>
          <w:szCs w:val="20"/>
        </w:rPr>
        <w:t>Table 1. </w:t>
      </w:r>
      <w:r w:rsidRPr="00E954DC">
        <w:rPr>
          <w:rFonts w:ascii="Times" w:eastAsia="Times New Roman" w:hAnsi="Times" w:cs="Times New Roman"/>
          <w:sz w:val="20"/>
          <w:szCs w:val="20"/>
        </w:rPr>
        <w:t>Patient characteristics</w:t>
      </w:r>
    </w:p>
    <w:tbl>
      <w:tblPr>
        <w:tblW w:w="10125" w:type="dxa"/>
        <w:tblBorders>
          <w:top w:val="single" w:sz="6" w:space="0" w:color="9E9E9E"/>
          <w:left w:val="single" w:sz="6" w:space="0" w:color="9E9E9E"/>
          <w:bottom w:val="single" w:sz="6" w:space="0" w:color="9E9E9E"/>
          <w:right w:val="single" w:sz="6" w:space="0" w:color="9E9E9E"/>
        </w:tblBorders>
        <w:tblCellMar>
          <w:top w:w="15" w:type="dxa"/>
          <w:left w:w="15" w:type="dxa"/>
          <w:bottom w:w="15" w:type="dxa"/>
          <w:right w:w="15" w:type="dxa"/>
        </w:tblCellMar>
        <w:tblLook w:val="04A0" w:firstRow="1" w:lastRow="0" w:firstColumn="1" w:lastColumn="0" w:noHBand="0" w:noVBand="1"/>
      </w:tblPr>
      <w:tblGrid>
        <w:gridCol w:w="1666"/>
        <w:gridCol w:w="1256"/>
        <w:gridCol w:w="3217"/>
        <w:gridCol w:w="3086"/>
        <w:gridCol w:w="900"/>
      </w:tblGrid>
      <w:tr w:rsidR="00E954DC" w:rsidRPr="00E954DC" w:rsidTr="00E954DC">
        <w:trPr>
          <w:tblHeader/>
        </w:trPr>
        <w:tc>
          <w:tcPr>
            <w:tcW w:w="0" w:type="auto"/>
            <w:tcBorders>
              <w:top w:val="nil"/>
              <w:left w:val="nil"/>
              <w:bottom w:val="nil"/>
              <w:right w:val="nil"/>
            </w:tcBorders>
            <w:shd w:val="clear" w:color="auto" w:fill="EEEEEE"/>
            <w:tcMar>
              <w:top w:w="120" w:type="dxa"/>
              <w:left w:w="120" w:type="dxa"/>
              <w:bottom w:w="120" w:type="dxa"/>
              <w:right w:w="120" w:type="dxa"/>
            </w:tcMar>
            <w:hideMark/>
          </w:tcPr>
          <w:p w:rsidR="00E954DC" w:rsidRPr="00E954DC" w:rsidRDefault="00E954DC" w:rsidP="00E954DC">
            <w:pPr>
              <w:spacing w:after="225" w:line="360" w:lineRule="atLeast"/>
              <w:rPr>
                <w:rFonts w:ascii="Times" w:eastAsia="Times New Roman" w:hAnsi="Times" w:cs="Times New Roman"/>
                <w:b/>
                <w:bCs/>
                <w:color w:val="000000"/>
                <w:sz w:val="20"/>
                <w:szCs w:val="20"/>
              </w:rPr>
            </w:pPr>
          </w:p>
        </w:tc>
        <w:tc>
          <w:tcPr>
            <w:tcW w:w="0" w:type="auto"/>
            <w:tcBorders>
              <w:top w:val="nil"/>
              <w:left w:val="nil"/>
              <w:bottom w:val="nil"/>
              <w:right w:val="nil"/>
            </w:tcBorders>
            <w:shd w:val="clear" w:color="auto" w:fill="EEEEEE"/>
            <w:tcMar>
              <w:top w:w="120" w:type="dxa"/>
              <w:left w:w="120" w:type="dxa"/>
              <w:bottom w:w="120" w:type="dxa"/>
              <w:right w:w="120" w:type="dxa"/>
            </w:tcMar>
            <w:hideMark/>
          </w:tcPr>
          <w:p w:rsidR="00E954DC" w:rsidRPr="00E954DC" w:rsidRDefault="00E954DC" w:rsidP="00E954DC">
            <w:pPr>
              <w:spacing w:after="225" w:line="360" w:lineRule="atLeast"/>
              <w:rPr>
                <w:rFonts w:ascii="Times" w:eastAsia="Times New Roman" w:hAnsi="Times" w:cs="Times New Roman"/>
                <w:b/>
                <w:bCs/>
                <w:color w:val="000000"/>
                <w:sz w:val="20"/>
                <w:szCs w:val="20"/>
              </w:rPr>
            </w:pPr>
            <w:r w:rsidRPr="00E954DC">
              <w:rPr>
                <w:rFonts w:ascii="Times" w:eastAsia="Times New Roman" w:hAnsi="Times" w:cs="Times New Roman"/>
                <w:b/>
                <w:bCs/>
                <w:color w:val="000000"/>
                <w:sz w:val="20"/>
                <w:szCs w:val="20"/>
              </w:rPr>
              <w:t>Total (</w:t>
            </w:r>
            <w:r w:rsidRPr="00E954DC">
              <w:rPr>
                <w:rFonts w:ascii="Times" w:eastAsia="Times New Roman" w:hAnsi="Times" w:cs="Times New Roman"/>
                <w:b/>
                <w:bCs/>
                <w:i/>
                <w:iCs/>
                <w:color w:val="000000"/>
                <w:sz w:val="20"/>
                <w:szCs w:val="20"/>
              </w:rPr>
              <w:t>n</w:t>
            </w:r>
            <w:r w:rsidRPr="00E954DC">
              <w:rPr>
                <w:rFonts w:ascii="Times" w:eastAsia="Times New Roman" w:hAnsi="Times" w:cs="Times New Roman"/>
                <w:b/>
                <w:bCs/>
                <w:color w:val="000000"/>
                <w:sz w:val="20"/>
                <w:szCs w:val="20"/>
              </w:rPr>
              <w:t> = 60)</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rsidR="00E954DC" w:rsidRPr="00E954DC" w:rsidRDefault="00E954DC" w:rsidP="00E954DC">
            <w:pPr>
              <w:spacing w:after="225" w:line="360" w:lineRule="atLeast"/>
              <w:rPr>
                <w:rFonts w:ascii="Times" w:eastAsia="Times New Roman" w:hAnsi="Times" w:cs="Times New Roman"/>
                <w:b/>
                <w:bCs/>
                <w:color w:val="000000"/>
                <w:sz w:val="20"/>
                <w:szCs w:val="20"/>
              </w:rPr>
            </w:pPr>
            <w:r w:rsidRPr="00E954DC">
              <w:rPr>
                <w:rFonts w:ascii="Times" w:eastAsia="Times New Roman" w:hAnsi="Times" w:cs="Times New Roman"/>
                <w:b/>
                <w:bCs/>
                <w:color w:val="000000"/>
                <w:sz w:val="20"/>
                <w:szCs w:val="20"/>
              </w:rPr>
              <w:t>Patients without haematological response (</w:t>
            </w:r>
            <w:r w:rsidRPr="00E954DC">
              <w:rPr>
                <w:rFonts w:ascii="Times" w:eastAsia="Times New Roman" w:hAnsi="Times" w:cs="Times New Roman"/>
                <w:b/>
                <w:bCs/>
                <w:i/>
                <w:iCs/>
                <w:color w:val="000000"/>
                <w:sz w:val="20"/>
                <w:szCs w:val="20"/>
              </w:rPr>
              <w:t>n</w:t>
            </w:r>
            <w:r w:rsidRPr="00E954DC">
              <w:rPr>
                <w:rFonts w:ascii="Times" w:eastAsia="Times New Roman" w:hAnsi="Times" w:cs="Times New Roman"/>
                <w:b/>
                <w:bCs/>
                <w:color w:val="000000"/>
                <w:sz w:val="20"/>
                <w:szCs w:val="20"/>
              </w:rPr>
              <w:t> = 41, 68·3%)</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rsidR="00E954DC" w:rsidRPr="00E954DC" w:rsidRDefault="00E954DC" w:rsidP="00E954DC">
            <w:pPr>
              <w:spacing w:after="225" w:line="360" w:lineRule="atLeast"/>
              <w:rPr>
                <w:rFonts w:ascii="Times" w:eastAsia="Times New Roman" w:hAnsi="Times" w:cs="Times New Roman"/>
                <w:b/>
                <w:bCs/>
                <w:color w:val="000000"/>
                <w:sz w:val="20"/>
                <w:szCs w:val="20"/>
              </w:rPr>
            </w:pPr>
            <w:r w:rsidRPr="00E954DC">
              <w:rPr>
                <w:rFonts w:ascii="Times" w:eastAsia="Times New Roman" w:hAnsi="Times" w:cs="Times New Roman"/>
                <w:b/>
                <w:bCs/>
                <w:color w:val="000000"/>
                <w:sz w:val="20"/>
                <w:szCs w:val="20"/>
              </w:rPr>
              <w:t>Patients with haematological response (</w:t>
            </w:r>
            <w:r w:rsidRPr="00E954DC">
              <w:rPr>
                <w:rFonts w:ascii="Times" w:eastAsia="Times New Roman" w:hAnsi="Times" w:cs="Times New Roman"/>
                <w:b/>
                <w:bCs/>
                <w:i/>
                <w:iCs/>
                <w:color w:val="000000"/>
                <w:sz w:val="20"/>
                <w:szCs w:val="20"/>
              </w:rPr>
              <w:t>n</w:t>
            </w:r>
            <w:r w:rsidRPr="00E954DC">
              <w:rPr>
                <w:rFonts w:ascii="Times" w:eastAsia="Times New Roman" w:hAnsi="Times" w:cs="Times New Roman"/>
                <w:b/>
                <w:bCs/>
                <w:color w:val="000000"/>
                <w:sz w:val="20"/>
                <w:szCs w:val="20"/>
              </w:rPr>
              <w:t> = 19, 31·7%)</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rsidR="00E954DC" w:rsidRPr="00E954DC" w:rsidRDefault="00E954DC" w:rsidP="00E954DC">
            <w:pPr>
              <w:spacing w:after="225" w:line="360" w:lineRule="atLeast"/>
              <w:rPr>
                <w:rFonts w:ascii="Times" w:eastAsia="Times New Roman" w:hAnsi="Times" w:cs="Times New Roman"/>
                <w:b/>
                <w:bCs/>
                <w:color w:val="000000"/>
                <w:sz w:val="20"/>
                <w:szCs w:val="20"/>
              </w:rPr>
            </w:pPr>
            <w:r w:rsidRPr="00E954DC">
              <w:rPr>
                <w:rFonts w:ascii="Times" w:eastAsia="Times New Roman" w:hAnsi="Times" w:cs="Times New Roman"/>
                <w:b/>
                <w:bCs/>
                <w:i/>
                <w:iCs/>
                <w:color w:val="000000"/>
                <w:sz w:val="20"/>
                <w:szCs w:val="20"/>
              </w:rPr>
              <w:t>P </w:t>
            </w:r>
            <w:r w:rsidRPr="00E954DC">
              <w:rPr>
                <w:rFonts w:ascii="Noteworthy Light" w:eastAsia="Times New Roman" w:hAnsi="Noteworthy Light" w:cs="Noteworthy Light"/>
                <w:b/>
                <w:bCs/>
                <w:color w:val="000000"/>
                <w:sz w:val="20"/>
                <w:szCs w:val="20"/>
              </w:rPr>
              <w:t>‐</w:t>
            </w:r>
            <w:r w:rsidRPr="00E954DC">
              <w:rPr>
                <w:rFonts w:ascii="Times" w:eastAsia="Times New Roman" w:hAnsi="Times" w:cs="Times New Roman"/>
                <w:b/>
                <w:bCs/>
                <w:color w:val="000000"/>
                <w:sz w:val="20"/>
                <w:szCs w:val="20"/>
              </w:rPr>
              <w:t>value</w:t>
            </w: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Age, years</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Median (range)</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72 (33–89)</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72 (55–89)</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72 (33–88)</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0·8576</w:t>
            </w: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lastRenderedPageBreak/>
              <w:t>Diagnosis</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RA</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15 (25·0%)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5</w:t>
            </w:r>
          </w:p>
        </w:tc>
        <w:tc>
          <w:tcPr>
            <w:tcW w:w="0" w:type="auto"/>
            <w:vMerge w:val="restart"/>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RARS</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9 (15·0%)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6</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3</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RCMD</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23 (38·3%)</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16</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7</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RAEB</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10 (16·7%)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8</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CMML</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 (1·7%)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PMF</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 (3·3%)</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Karyotype (</w:t>
            </w:r>
            <w:r w:rsidRPr="00E954DC">
              <w:rPr>
                <w:rFonts w:ascii="Times" w:eastAsia="Times New Roman" w:hAnsi="Times" w:cs="Times New Roman"/>
                <w:i/>
                <w:iCs/>
                <w:color w:val="000000"/>
                <w:sz w:val="18"/>
                <w:szCs w:val="18"/>
              </w:rPr>
              <w:t>n </w:t>
            </w:r>
            <w:r w:rsidRPr="00E954DC">
              <w:rPr>
                <w:rFonts w:ascii="Times" w:eastAsia="Times New Roman" w:hAnsi="Times" w:cs="Times New Roman"/>
                <w:color w:val="000000"/>
                <w:sz w:val="18"/>
                <w:szCs w:val="18"/>
              </w:rPr>
              <w:t> = 56)</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Normal</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47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34</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13</w:t>
            </w:r>
          </w:p>
        </w:tc>
        <w:tc>
          <w:tcPr>
            <w:tcW w:w="0" w:type="auto"/>
            <w:vMerge w:val="restart"/>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Del 20q</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Del 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Noteworthy Light" w:eastAsia="Times New Roman" w:hAnsi="Noteworthy Light" w:cs="Noteworthy Light"/>
                <w:color w:val="000000"/>
                <w:sz w:val="18"/>
                <w:szCs w:val="18"/>
              </w:rPr>
              <w:t>‐</w:t>
            </w:r>
            <w:r w:rsidRPr="00E954DC">
              <w:rPr>
                <w:rFonts w:ascii="Times" w:eastAsia="Times New Roman" w:hAnsi="Times" w:cs="Times New Roman"/>
                <w:color w:val="000000"/>
                <w:sz w:val="18"/>
                <w:szCs w:val="18"/>
              </w:rPr>
              <w:t>Y</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Trisomy 8</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5q</w:t>
            </w:r>
            <w:r w:rsidRPr="00E954DC">
              <w:rPr>
                <w:rFonts w:ascii="Noteworthy Light" w:eastAsia="Times New Roman" w:hAnsi="Noteworthy Light" w:cs="Noteworthy Light"/>
                <w:color w:val="000000"/>
                <w:sz w:val="18"/>
                <w:szCs w:val="18"/>
              </w:rPr>
              <w:t>‐</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Complex</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BM blasts, %</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Median (range)</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3·93 (1–18)</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3·86 (1–18)</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4·09 (1–16)</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0·8375</w:t>
            </w: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Hb, g/l</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Median (range)</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82·5 (30–108)</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85 (70–108)</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77·5 (30–105)</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0·0913</w:t>
            </w: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Neutrophil count, 10</w:t>
            </w:r>
            <w:r w:rsidRPr="00E954DC">
              <w:rPr>
                <w:rFonts w:ascii="Times" w:eastAsia="Times New Roman" w:hAnsi="Times" w:cs="Times New Roman"/>
                <w:color w:val="000000"/>
                <w:sz w:val="14"/>
                <w:szCs w:val="14"/>
                <w:vertAlign w:val="superscript"/>
              </w:rPr>
              <w:t>9</w:t>
            </w:r>
            <w:r w:rsidRPr="00E954DC">
              <w:rPr>
                <w:rFonts w:ascii="Times" w:eastAsia="Times New Roman" w:hAnsi="Times" w:cs="Times New Roman"/>
                <w:color w:val="000000"/>
                <w:sz w:val="18"/>
                <w:szCs w:val="18"/>
              </w:rPr>
              <w:t>/l</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Median (range)</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2·3 (0·5–8·7)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2·1 (0·5–7)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2·7 (0·5–8·7)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0·2830</w:t>
            </w: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Platelet count, 10</w:t>
            </w:r>
            <w:r w:rsidRPr="00E954DC">
              <w:rPr>
                <w:rFonts w:ascii="Times" w:eastAsia="Times New Roman" w:hAnsi="Times" w:cs="Times New Roman"/>
                <w:color w:val="000000"/>
                <w:sz w:val="14"/>
                <w:szCs w:val="14"/>
                <w:vertAlign w:val="superscript"/>
              </w:rPr>
              <w:t>9</w:t>
            </w:r>
            <w:r w:rsidRPr="00E954DC">
              <w:rPr>
                <w:rFonts w:ascii="Times" w:eastAsia="Times New Roman" w:hAnsi="Times" w:cs="Times New Roman"/>
                <w:color w:val="000000"/>
                <w:sz w:val="18"/>
                <w:szCs w:val="18"/>
              </w:rPr>
              <w:t>/l</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Median (range)</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213 (35–695)</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224 (35–695)</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191 (40–486)</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0·3761</w:t>
            </w: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IPSS</w:t>
            </w:r>
            <w:r w:rsidRPr="00E954DC">
              <w:rPr>
                <w:rFonts w:ascii="Noteworthy Light" w:eastAsia="Times New Roman" w:hAnsi="Noteworthy Light" w:cs="Noteworthy Light"/>
                <w:color w:val="000000"/>
                <w:sz w:val="18"/>
                <w:szCs w:val="18"/>
              </w:rPr>
              <w:t>‐</w:t>
            </w:r>
            <w:r w:rsidRPr="00E954DC">
              <w:rPr>
                <w:rFonts w:ascii="Times" w:eastAsia="Times New Roman" w:hAnsi="Times" w:cs="Times New Roman"/>
                <w:color w:val="000000"/>
                <w:sz w:val="18"/>
                <w:szCs w:val="18"/>
              </w:rPr>
              <w:t>R (</w:t>
            </w:r>
            <w:r w:rsidRPr="00E954DC">
              <w:rPr>
                <w:rFonts w:ascii="Times" w:eastAsia="Times New Roman" w:hAnsi="Times" w:cs="Times New Roman"/>
                <w:i/>
                <w:iCs/>
                <w:color w:val="000000"/>
                <w:sz w:val="18"/>
                <w:szCs w:val="18"/>
              </w:rPr>
              <w:t>n </w:t>
            </w:r>
            <w:r w:rsidRPr="00E954DC">
              <w:rPr>
                <w:rFonts w:ascii="Times" w:eastAsia="Times New Roman" w:hAnsi="Times" w:cs="Times New Roman"/>
                <w:color w:val="000000"/>
                <w:sz w:val="18"/>
                <w:szCs w:val="18"/>
              </w:rPr>
              <w:t> = 55)</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Very</w:t>
            </w:r>
            <w:r w:rsidRPr="00E954DC">
              <w:rPr>
                <w:rFonts w:ascii="Noteworthy Light" w:eastAsia="Times New Roman" w:hAnsi="Noteworthy Light" w:cs="Noteworthy Light"/>
                <w:color w:val="000000"/>
                <w:sz w:val="18"/>
                <w:szCs w:val="18"/>
              </w:rPr>
              <w:t>‐</w:t>
            </w:r>
            <w:r w:rsidRPr="00E954DC">
              <w:rPr>
                <w:rFonts w:ascii="Times" w:eastAsia="Times New Roman" w:hAnsi="Times" w:cs="Times New Roman"/>
                <w:color w:val="000000"/>
                <w:sz w:val="18"/>
                <w:szCs w:val="18"/>
              </w:rPr>
              <w:t>low</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3</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vMerge w:val="restart"/>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Low</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10</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Intermediate</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17</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13</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4</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High</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6</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4</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Very</w:t>
            </w:r>
            <w:r w:rsidRPr="00E954DC">
              <w:rPr>
                <w:rFonts w:ascii="Noteworthy Light" w:eastAsia="Times New Roman" w:hAnsi="Noteworthy Light" w:cs="Noteworthy Light"/>
                <w:color w:val="000000"/>
                <w:sz w:val="18"/>
                <w:szCs w:val="18"/>
              </w:rPr>
              <w:t>‐</w:t>
            </w:r>
            <w:r w:rsidRPr="00E954DC">
              <w:rPr>
                <w:rFonts w:ascii="Times" w:eastAsia="Times New Roman" w:hAnsi="Times" w:cs="Times New Roman"/>
                <w:color w:val="000000"/>
                <w:sz w:val="18"/>
                <w:szCs w:val="18"/>
              </w:rPr>
              <w:t>high</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w:t>
            </w:r>
          </w:p>
        </w:tc>
        <w:tc>
          <w:tcPr>
            <w:tcW w:w="0" w:type="auto"/>
            <w:vMerge/>
            <w:vAlign w:val="center"/>
            <w:hideMark/>
          </w:tcPr>
          <w:p w:rsidR="00E954DC" w:rsidRPr="00E954DC" w:rsidRDefault="00E954DC" w:rsidP="00E954DC">
            <w:pPr>
              <w:rPr>
                <w:rFonts w:ascii="Times" w:eastAsia="Times New Roman" w:hAnsi="Times" w:cs="Times New Roman"/>
                <w:color w:val="000000"/>
                <w:sz w:val="18"/>
                <w:szCs w:val="18"/>
              </w:rPr>
            </w:pP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Ferritin pre</w:t>
            </w:r>
            <w:r w:rsidRPr="00E954DC">
              <w:rPr>
                <w:rFonts w:ascii="Noteworthy Light" w:eastAsia="Times New Roman" w:hAnsi="Noteworthy Light" w:cs="Noteworthy Light"/>
                <w:color w:val="000000"/>
                <w:sz w:val="18"/>
                <w:szCs w:val="18"/>
              </w:rPr>
              <w:t>‐</w:t>
            </w:r>
            <w:r w:rsidRPr="00E954DC">
              <w:rPr>
                <w:rFonts w:ascii="Times" w:eastAsia="Times New Roman" w:hAnsi="Times" w:cs="Times New Roman"/>
                <w:color w:val="000000"/>
                <w:sz w:val="18"/>
                <w:szCs w:val="18"/>
              </w:rPr>
              <w:t>DFX, μg/l</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Median (range)</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2209 (649–5080)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2091 (693–4335)</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2437 (649–5080)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0·3254</w:t>
            </w: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Ferritin post</w:t>
            </w:r>
            <w:r w:rsidRPr="00E954DC">
              <w:rPr>
                <w:rFonts w:ascii="Noteworthy Light" w:eastAsia="Times New Roman" w:hAnsi="Noteworthy Light" w:cs="Noteworthy Light"/>
                <w:color w:val="000000"/>
                <w:sz w:val="18"/>
                <w:szCs w:val="18"/>
              </w:rPr>
              <w:t>‐</w:t>
            </w:r>
            <w:r w:rsidRPr="00E954DC">
              <w:rPr>
                <w:rFonts w:ascii="Times" w:eastAsia="Times New Roman" w:hAnsi="Times" w:cs="Times New Roman"/>
                <w:color w:val="000000"/>
                <w:sz w:val="18"/>
                <w:szCs w:val="18"/>
              </w:rPr>
              <w:t>DFX, μg/l</w:t>
            </w:r>
          </w:p>
        </w:tc>
      </w:tr>
      <w:tr w:rsidR="00E954DC" w:rsidRPr="00E954DC" w:rsidTr="00E954DC">
        <w:tc>
          <w:tcPr>
            <w:tcW w:w="0" w:type="auto"/>
            <w:tcMar>
              <w:top w:w="180" w:type="dxa"/>
              <w:left w:w="4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Median (range)</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1625 (199–3900)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1573 (400–3900)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1724 (199–3800)</w:t>
            </w:r>
          </w:p>
        </w:tc>
        <w:tc>
          <w:tcPr>
            <w:tcW w:w="0" w:type="auto"/>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0·7070</w:t>
            </w:r>
          </w:p>
        </w:tc>
      </w:tr>
      <w:tr w:rsidR="00E954DC" w:rsidRPr="00E954DC" w:rsidTr="00E954DC">
        <w:tc>
          <w:tcPr>
            <w:tcW w:w="0" w:type="auto"/>
            <w:gridSpan w:val="5"/>
            <w:tcMar>
              <w:top w:w="180" w:type="dxa"/>
              <w:left w:w="180" w:type="dxa"/>
              <w:bottom w:w="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Ratio Ferritin post</w:t>
            </w:r>
            <w:r w:rsidRPr="00E954DC">
              <w:rPr>
                <w:rFonts w:ascii="Noteworthy Light" w:eastAsia="Times New Roman" w:hAnsi="Noteworthy Light" w:cs="Noteworthy Light"/>
                <w:color w:val="000000"/>
                <w:sz w:val="18"/>
                <w:szCs w:val="18"/>
              </w:rPr>
              <w:t>‐</w:t>
            </w:r>
            <w:r w:rsidRPr="00E954DC">
              <w:rPr>
                <w:rFonts w:ascii="Times" w:eastAsia="Times New Roman" w:hAnsi="Times" w:cs="Times New Roman"/>
                <w:color w:val="000000"/>
                <w:sz w:val="18"/>
                <w:szCs w:val="18"/>
              </w:rPr>
              <w:t>/pre</w:t>
            </w:r>
            <w:r w:rsidRPr="00E954DC">
              <w:rPr>
                <w:rFonts w:ascii="Noteworthy Light" w:eastAsia="Times New Roman" w:hAnsi="Noteworthy Light" w:cs="Noteworthy Light"/>
                <w:color w:val="000000"/>
                <w:sz w:val="18"/>
                <w:szCs w:val="18"/>
              </w:rPr>
              <w:t>‐</w:t>
            </w:r>
            <w:r w:rsidRPr="00E954DC">
              <w:rPr>
                <w:rFonts w:ascii="Times" w:eastAsia="Times New Roman" w:hAnsi="Times" w:cs="Times New Roman"/>
                <w:color w:val="000000"/>
                <w:sz w:val="18"/>
                <w:szCs w:val="18"/>
              </w:rPr>
              <w:t>DFX</w:t>
            </w:r>
          </w:p>
        </w:tc>
      </w:tr>
      <w:tr w:rsidR="00E954DC" w:rsidRPr="00E954DC" w:rsidTr="00E954DC">
        <w:tc>
          <w:tcPr>
            <w:tcW w:w="0" w:type="auto"/>
            <w:tcMar>
              <w:top w:w="180" w:type="dxa"/>
              <w:left w:w="480" w:type="dxa"/>
              <w:bottom w:w="18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Median (range)</w:t>
            </w:r>
          </w:p>
        </w:tc>
        <w:tc>
          <w:tcPr>
            <w:tcW w:w="0" w:type="auto"/>
            <w:tcMar>
              <w:top w:w="180" w:type="dxa"/>
              <w:left w:w="180" w:type="dxa"/>
              <w:bottom w:w="18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0·86 (0·17–2·75)</w:t>
            </w:r>
          </w:p>
        </w:tc>
        <w:tc>
          <w:tcPr>
            <w:tcW w:w="0" w:type="auto"/>
            <w:tcMar>
              <w:top w:w="180" w:type="dxa"/>
              <w:left w:w="180" w:type="dxa"/>
              <w:bottom w:w="18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0·93 (0·17–2·75)</w:t>
            </w:r>
          </w:p>
        </w:tc>
        <w:tc>
          <w:tcPr>
            <w:tcW w:w="0" w:type="auto"/>
            <w:tcMar>
              <w:top w:w="180" w:type="dxa"/>
              <w:left w:w="180" w:type="dxa"/>
              <w:bottom w:w="18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0·75 (0·19–1·17)</w:t>
            </w:r>
          </w:p>
        </w:tc>
        <w:tc>
          <w:tcPr>
            <w:tcW w:w="0" w:type="auto"/>
            <w:tcMar>
              <w:top w:w="180" w:type="dxa"/>
              <w:left w:w="180" w:type="dxa"/>
              <w:bottom w:w="180" w:type="dxa"/>
              <w:right w:w="180" w:type="dxa"/>
            </w:tcMar>
            <w:hideMark/>
          </w:tcPr>
          <w:p w:rsidR="00E954DC" w:rsidRPr="00E954DC" w:rsidRDefault="00E954DC" w:rsidP="00E954DC">
            <w:pPr>
              <w:spacing w:after="225" w:line="360" w:lineRule="atLeast"/>
              <w:rPr>
                <w:rFonts w:ascii="Times" w:eastAsia="Times New Roman" w:hAnsi="Times" w:cs="Times New Roman"/>
                <w:color w:val="000000"/>
                <w:sz w:val="18"/>
                <w:szCs w:val="18"/>
              </w:rPr>
            </w:pPr>
            <w:r w:rsidRPr="00E954DC">
              <w:rPr>
                <w:rFonts w:ascii="Times" w:eastAsia="Times New Roman" w:hAnsi="Times" w:cs="Times New Roman"/>
                <w:color w:val="000000"/>
                <w:sz w:val="18"/>
                <w:szCs w:val="18"/>
              </w:rPr>
              <w:t>0·3322</w:t>
            </w:r>
          </w:p>
        </w:tc>
      </w:tr>
    </w:tbl>
    <w:p w:rsidR="00E954DC" w:rsidRPr="00E954DC" w:rsidRDefault="00E954DC" w:rsidP="00E954DC">
      <w:pPr>
        <w:numPr>
          <w:ilvl w:val="0"/>
          <w:numId w:val="1"/>
        </w:numPr>
        <w:spacing w:before="100" w:beforeAutospacing="1" w:after="100" w:afterAutospacing="1" w:line="390" w:lineRule="atLeast"/>
        <w:ind w:left="-450"/>
        <w:rPr>
          <w:rFonts w:ascii="Times" w:eastAsia="Times New Roman" w:hAnsi="Times" w:cs="Times New Roman"/>
          <w:sz w:val="20"/>
          <w:szCs w:val="20"/>
        </w:rPr>
      </w:pPr>
      <w:r w:rsidRPr="00E954DC">
        <w:rPr>
          <w:rFonts w:ascii="Times" w:eastAsia="Times New Roman" w:hAnsi="Times" w:cs="Times New Roman"/>
          <w:sz w:val="20"/>
          <w:szCs w:val="20"/>
        </w:rPr>
        <w:t>BM, bone marrow; CMML, chronic myelomonocytic leukaemia; DFX, Deferasirox; Hb, haemoglobin; IPSS</w:t>
      </w:r>
      <w:r w:rsidRPr="00E954DC">
        <w:rPr>
          <w:rFonts w:ascii="Noteworthy Light" w:eastAsia="Times New Roman" w:hAnsi="Noteworthy Light" w:cs="Noteworthy Light"/>
          <w:sz w:val="20"/>
          <w:szCs w:val="20"/>
        </w:rPr>
        <w:t>‐</w:t>
      </w:r>
      <w:r w:rsidRPr="00E954DC">
        <w:rPr>
          <w:rFonts w:ascii="Times" w:eastAsia="Times New Roman" w:hAnsi="Times" w:cs="Times New Roman"/>
          <w:sz w:val="20"/>
          <w:szCs w:val="20"/>
        </w:rPr>
        <w:t>R, revised international prognostic scoring system; PMF, primary myelofibrosis; RA, refractory anaemia; RAEB, refractory anaemia with excess of blasts; RARS, refractory anaemia with ring sideroblasts; RCMD, refractory cytopenia with multilineage dysplasia.</w:t>
      </w:r>
    </w:p>
    <w:p w:rsidR="00E954DC" w:rsidRPr="00E954DC" w:rsidRDefault="00E954DC" w:rsidP="00E954DC">
      <w:pPr>
        <w:spacing w:before="75" w:after="240" w:line="360" w:lineRule="atLeast"/>
        <w:rPr>
          <w:rFonts w:ascii="Times" w:hAnsi="Times" w:cs="Times New Roman"/>
          <w:sz w:val="20"/>
          <w:szCs w:val="20"/>
        </w:rPr>
      </w:pPr>
      <w:r w:rsidRPr="00E954DC">
        <w:rPr>
          <w:rFonts w:ascii="Times" w:hAnsi="Times" w:cs="Times New Roman"/>
          <w:sz w:val="20"/>
          <w:szCs w:val="20"/>
        </w:rPr>
        <w:t>At the time of MDS diagnosis, DNA was extracted from bone marrow mononuclear cells using the QIAamp DNA Mini Kit (QIAGEN, Hilden, Germany). Thirty genes, frequently mutated in myeloid malignancies, were screened for somatic mutations in 15 of the patients (7 responsive and 8 resistant), using next generation sequencing (NGS) and Myeloid Solution (SOPHiA GENETICS, Saint</w:t>
      </w:r>
      <w:r w:rsidRPr="00E954DC">
        <w:rPr>
          <w:rFonts w:ascii="American Typewriter" w:hAnsi="American Typewriter" w:cs="American Typewriter"/>
          <w:sz w:val="20"/>
          <w:szCs w:val="20"/>
        </w:rPr>
        <w:t>‐</w:t>
      </w:r>
      <w:r w:rsidRPr="00E954DC">
        <w:rPr>
          <w:rFonts w:ascii="Times" w:hAnsi="Times" w:cs="Times New Roman"/>
          <w:sz w:val="20"/>
          <w:szCs w:val="20"/>
        </w:rPr>
        <w:t>Sulpice, Switzerland). The resulting captured libraries were further processed on a HiSeq</w:t>
      </w:r>
      <w:r w:rsidRPr="00E954DC">
        <w:rPr>
          <w:rFonts w:ascii="Times" w:hAnsi="Times" w:cs="Times New Roman"/>
          <w:sz w:val="18"/>
          <w:szCs w:val="18"/>
          <w:vertAlign w:val="superscript"/>
        </w:rPr>
        <w:t>®</w:t>
      </w:r>
      <w:r w:rsidRPr="00E954DC">
        <w:rPr>
          <w:rFonts w:ascii="Times" w:hAnsi="Times" w:cs="Times New Roman"/>
          <w:sz w:val="20"/>
          <w:szCs w:val="20"/>
        </w:rPr>
        <w:t> sequencing platform (Illumina, San Diego, CA, USA). Generated FASTQ sequencing files were then uploaded on the SOPHiA DDM</w:t>
      </w:r>
      <w:r w:rsidRPr="00E954DC">
        <w:rPr>
          <w:rFonts w:ascii="Times" w:hAnsi="Times" w:cs="Times New Roman"/>
          <w:sz w:val="18"/>
          <w:szCs w:val="18"/>
          <w:vertAlign w:val="superscript"/>
        </w:rPr>
        <w:t>®</w:t>
      </w:r>
      <w:r w:rsidRPr="00E954DC">
        <w:rPr>
          <w:rFonts w:ascii="Times" w:hAnsi="Times" w:cs="Times New Roman"/>
          <w:sz w:val="20"/>
          <w:szCs w:val="20"/>
        </w:rPr>
        <w:t> platform for analysis by SOPHiA technology. Only mutations identified as highly or potentially pathogenic by the SOPHiA DDM</w:t>
      </w:r>
      <w:r w:rsidRPr="00E954DC">
        <w:rPr>
          <w:rFonts w:ascii="Times" w:hAnsi="Times" w:cs="Times New Roman"/>
          <w:sz w:val="18"/>
          <w:szCs w:val="18"/>
          <w:vertAlign w:val="superscript"/>
        </w:rPr>
        <w:t>®</w:t>
      </w:r>
      <w:r w:rsidRPr="00E954DC">
        <w:rPr>
          <w:rFonts w:ascii="Times" w:hAnsi="Times" w:cs="Times New Roman"/>
          <w:sz w:val="20"/>
          <w:szCs w:val="20"/>
        </w:rPr>
        <w:t> platform were considered for analysis. The sensitivity of this NGS method is about 1%. Associations between the prevalence of mutations and patient characteristics were studied using the Fisher's exact test. Non</w:t>
      </w:r>
      <w:r w:rsidRPr="00E954DC">
        <w:rPr>
          <w:rFonts w:ascii="American Typewriter" w:hAnsi="American Typewriter" w:cs="American Typewriter"/>
          <w:sz w:val="20"/>
          <w:szCs w:val="20"/>
        </w:rPr>
        <w:t>‐</w:t>
      </w:r>
      <w:r w:rsidRPr="00E954DC">
        <w:rPr>
          <w:rFonts w:ascii="Times" w:hAnsi="Times" w:cs="Times New Roman"/>
          <w:sz w:val="20"/>
          <w:szCs w:val="20"/>
        </w:rPr>
        <w:t>parametric </w:t>
      </w:r>
      <w:r w:rsidRPr="00E954DC">
        <w:rPr>
          <w:rFonts w:ascii="Times" w:hAnsi="Times" w:cs="Times New Roman"/>
          <w:i/>
          <w:iCs/>
          <w:sz w:val="20"/>
          <w:szCs w:val="20"/>
        </w:rPr>
        <w:t>t </w:t>
      </w:r>
      <w:r w:rsidRPr="00E954DC">
        <w:rPr>
          <w:rFonts w:ascii="American Typewriter" w:hAnsi="American Typewriter" w:cs="American Typewriter"/>
          <w:sz w:val="20"/>
          <w:szCs w:val="20"/>
        </w:rPr>
        <w:t>‐</w:t>
      </w:r>
      <w:r w:rsidRPr="00E954DC">
        <w:rPr>
          <w:rFonts w:ascii="Times" w:hAnsi="Times" w:cs="Times New Roman"/>
          <w:sz w:val="20"/>
          <w:szCs w:val="20"/>
        </w:rPr>
        <w:t>tests were performed in case of non</w:t>
      </w:r>
      <w:r w:rsidRPr="00E954DC">
        <w:rPr>
          <w:rFonts w:ascii="American Typewriter" w:hAnsi="American Typewriter" w:cs="American Typewriter"/>
          <w:sz w:val="20"/>
          <w:szCs w:val="20"/>
        </w:rPr>
        <w:t>‐</w:t>
      </w:r>
      <w:r w:rsidRPr="00E954DC">
        <w:rPr>
          <w:rFonts w:ascii="Times" w:hAnsi="Times" w:cs="Times New Roman"/>
          <w:sz w:val="20"/>
          <w:szCs w:val="20"/>
        </w:rPr>
        <w:t>Gaussian distribution (GraphPad Prism 6, GraphPad Software, San Diego, CA, USA).</w:t>
      </w:r>
    </w:p>
    <w:p w:rsidR="00E954DC" w:rsidRPr="00E954DC" w:rsidRDefault="00E954DC" w:rsidP="00E954DC">
      <w:pPr>
        <w:spacing w:before="75" w:after="240" w:line="360" w:lineRule="atLeast"/>
        <w:rPr>
          <w:rFonts w:ascii="Times" w:hAnsi="Times" w:cs="Times New Roman"/>
          <w:sz w:val="20"/>
          <w:szCs w:val="20"/>
        </w:rPr>
      </w:pPr>
      <w:r w:rsidRPr="00E954DC">
        <w:rPr>
          <w:rFonts w:ascii="Times" w:hAnsi="Times" w:cs="Times New Roman"/>
          <w:sz w:val="20"/>
          <w:szCs w:val="20"/>
        </w:rPr>
        <w:t>Treatment with DFX lead to a significant decrease in ferritin levels after 6 months when compared to basal levels (1625 μg/l vs. 2209 μg/l, </w:t>
      </w:r>
      <w:r w:rsidRPr="00E954DC">
        <w:rPr>
          <w:rFonts w:ascii="Times" w:hAnsi="Times" w:cs="Times New Roman"/>
          <w:i/>
          <w:iCs/>
          <w:sz w:val="20"/>
          <w:szCs w:val="20"/>
        </w:rPr>
        <w:t>P  </w:t>
      </w:r>
      <w:r w:rsidRPr="00E954DC">
        <w:rPr>
          <w:rFonts w:ascii="Times" w:hAnsi="Times" w:cs="Times New Roman"/>
          <w:sz w:val="20"/>
          <w:szCs w:val="20"/>
        </w:rPr>
        <w:t>= 0·0011, Table </w:t>
      </w:r>
      <w:hyperlink r:id="rId18" w:anchor="bjh15655-tbl-0001" w:tooltip="Link to table" w:history="1">
        <w:r w:rsidRPr="00E954DC">
          <w:rPr>
            <w:rFonts w:ascii="Times" w:hAnsi="Times" w:cs="Times New Roman"/>
            <w:b/>
            <w:bCs/>
            <w:color w:val="005274"/>
            <w:sz w:val="20"/>
            <w:szCs w:val="20"/>
            <w:u w:val="single"/>
          </w:rPr>
          <w:t>1</w:t>
        </w:r>
      </w:hyperlink>
      <w:r w:rsidRPr="00E954DC">
        <w:rPr>
          <w:rFonts w:ascii="Times" w:hAnsi="Times" w:cs="Times New Roman"/>
          <w:sz w:val="20"/>
          <w:szCs w:val="20"/>
        </w:rPr>
        <w:t>). However, there was no significant association between HI and patient characteristics (Table </w:t>
      </w:r>
      <w:hyperlink r:id="rId19" w:anchor="bjh15655-tbl-0001" w:tooltip="Link to table" w:history="1">
        <w:r w:rsidRPr="00E954DC">
          <w:rPr>
            <w:rFonts w:ascii="Times" w:hAnsi="Times" w:cs="Times New Roman"/>
            <w:b/>
            <w:bCs/>
            <w:color w:val="005274"/>
            <w:sz w:val="20"/>
            <w:szCs w:val="20"/>
            <w:u w:val="single"/>
          </w:rPr>
          <w:t>1</w:t>
        </w:r>
      </w:hyperlink>
      <w:r w:rsidRPr="00E954DC">
        <w:rPr>
          <w:rFonts w:ascii="Times" w:hAnsi="Times" w:cs="Times New Roman"/>
          <w:sz w:val="20"/>
          <w:szCs w:val="20"/>
        </w:rPr>
        <w:t>). Fifty</w:t>
      </w:r>
      <w:r w:rsidRPr="00E954DC">
        <w:rPr>
          <w:rFonts w:ascii="American Typewriter" w:hAnsi="American Typewriter" w:cs="American Typewriter"/>
          <w:sz w:val="20"/>
          <w:szCs w:val="20"/>
        </w:rPr>
        <w:t>‐</w:t>
      </w:r>
      <w:r w:rsidRPr="00E954DC">
        <w:rPr>
          <w:rFonts w:ascii="Times" w:hAnsi="Times" w:cs="Times New Roman"/>
          <w:sz w:val="20"/>
          <w:szCs w:val="20"/>
        </w:rPr>
        <w:t>three somatic mutations, were identified in 14 of 15 patients (93·3%) at a median variant allele frequency of 25·97% (range 1·13–99·14%). The median number of mutations per patient was 3·53 (range, 0–6). The most commonly mutated genes were: </w:t>
      </w:r>
      <w:r w:rsidRPr="00E954DC">
        <w:rPr>
          <w:rFonts w:ascii="Times" w:hAnsi="Times" w:cs="Times New Roman"/>
          <w:i/>
          <w:iCs/>
          <w:sz w:val="20"/>
          <w:szCs w:val="20"/>
        </w:rPr>
        <w:t>ASXL1 </w:t>
      </w:r>
      <w:r w:rsidRPr="00E954DC">
        <w:rPr>
          <w:rFonts w:ascii="Times" w:hAnsi="Times" w:cs="Times New Roman"/>
          <w:sz w:val="20"/>
          <w:szCs w:val="20"/>
        </w:rPr>
        <w:t>in 9 of 15 patients (60%), and </w:t>
      </w:r>
      <w:r w:rsidRPr="00E954DC">
        <w:rPr>
          <w:rFonts w:ascii="Times" w:hAnsi="Times" w:cs="Times New Roman"/>
          <w:i/>
          <w:iCs/>
          <w:sz w:val="20"/>
          <w:szCs w:val="20"/>
        </w:rPr>
        <w:t>RUNX1 </w:t>
      </w:r>
      <w:r w:rsidRPr="00E954DC">
        <w:rPr>
          <w:rFonts w:ascii="Times" w:hAnsi="Times" w:cs="Times New Roman"/>
          <w:sz w:val="20"/>
          <w:szCs w:val="20"/>
        </w:rPr>
        <w:t>,</w:t>
      </w:r>
      <w:r w:rsidRPr="00E954DC">
        <w:rPr>
          <w:rFonts w:ascii="Times" w:hAnsi="Times" w:cs="Times New Roman"/>
          <w:i/>
          <w:iCs/>
          <w:sz w:val="20"/>
          <w:szCs w:val="20"/>
        </w:rPr>
        <w:t> DNMT3A </w:t>
      </w:r>
      <w:r w:rsidRPr="00E954DC">
        <w:rPr>
          <w:rFonts w:ascii="Times" w:hAnsi="Times" w:cs="Times New Roman"/>
          <w:sz w:val="20"/>
          <w:szCs w:val="20"/>
        </w:rPr>
        <w:t>,</w:t>
      </w:r>
      <w:r w:rsidRPr="00E954DC">
        <w:rPr>
          <w:rFonts w:ascii="Times" w:hAnsi="Times" w:cs="Times New Roman"/>
          <w:i/>
          <w:iCs/>
          <w:sz w:val="20"/>
          <w:szCs w:val="20"/>
        </w:rPr>
        <w:t> SF3B1 </w:t>
      </w:r>
      <w:r w:rsidRPr="00E954DC">
        <w:rPr>
          <w:rFonts w:ascii="Times" w:hAnsi="Times" w:cs="Times New Roman"/>
          <w:sz w:val="20"/>
          <w:szCs w:val="20"/>
        </w:rPr>
        <w:t>and </w:t>
      </w:r>
      <w:r w:rsidRPr="00E954DC">
        <w:rPr>
          <w:rFonts w:ascii="Times" w:hAnsi="Times" w:cs="Times New Roman"/>
          <w:i/>
          <w:iCs/>
          <w:sz w:val="20"/>
          <w:szCs w:val="20"/>
        </w:rPr>
        <w:t>TET2 </w:t>
      </w:r>
      <w:r w:rsidRPr="00E954DC">
        <w:rPr>
          <w:rFonts w:ascii="Times" w:hAnsi="Times" w:cs="Times New Roman"/>
          <w:sz w:val="20"/>
          <w:szCs w:val="20"/>
        </w:rPr>
        <w:t>in 4 of 15 patients (27% each) (Fig </w:t>
      </w:r>
      <w:hyperlink r:id="rId20" w:anchor="bjh15655-fig-0001" w:history="1">
        <w:r w:rsidRPr="00E954DC">
          <w:rPr>
            <w:rFonts w:ascii="Times" w:hAnsi="Times" w:cs="Times New Roman"/>
            <w:b/>
            <w:bCs/>
            <w:color w:val="005274"/>
            <w:sz w:val="20"/>
            <w:szCs w:val="20"/>
            <w:u w:val="single"/>
          </w:rPr>
          <w:t>1</w:t>
        </w:r>
      </w:hyperlink>
      <w:r w:rsidRPr="00E954DC">
        <w:rPr>
          <w:rFonts w:ascii="Times" w:hAnsi="Times" w:cs="Times New Roman"/>
          <w:sz w:val="20"/>
          <w:szCs w:val="20"/>
        </w:rPr>
        <w:t>). In this analysis, no single gene mutation was predictive of HI, but mutation number was lower in DFX responders, as compared to resistant patients (mean 2·4 vs. 4·5 mutations/patient, respectively; </w:t>
      </w:r>
      <w:r w:rsidRPr="00E954DC">
        <w:rPr>
          <w:rFonts w:ascii="Times" w:hAnsi="Times" w:cs="Times New Roman"/>
          <w:i/>
          <w:iCs/>
          <w:sz w:val="20"/>
          <w:szCs w:val="20"/>
        </w:rPr>
        <w:t>P  </w:t>
      </w:r>
      <w:r w:rsidRPr="00E954DC">
        <w:rPr>
          <w:rFonts w:ascii="Times" w:hAnsi="Times" w:cs="Times New Roman"/>
          <w:sz w:val="20"/>
          <w:szCs w:val="20"/>
        </w:rPr>
        <w:t>= 0·0232). The mutational profile of the 2 PMF patients (both responders) was similar to that of MDS patients with HI following DFX.</w:t>
      </w:r>
    </w:p>
    <w:p w:rsidR="00E954DC" w:rsidRPr="00E954DC" w:rsidRDefault="00E954DC" w:rsidP="00E954DC">
      <w:pPr>
        <w:rPr>
          <w:rFonts w:ascii="Times" w:eastAsia="Times New Roman" w:hAnsi="Times" w:cs="Times New Roman"/>
          <w:sz w:val="20"/>
          <w:szCs w:val="20"/>
        </w:rPr>
      </w:pPr>
      <w:r>
        <w:rPr>
          <w:rFonts w:ascii="Times" w:eastAsia="Times New Roman" w:hAnsi="Times" w:cs="Times New Roman"/>
          <w:noProof/>
          <w:color w:val="005274"/>
          <w:sz w:val="20"/>
          <w:szCs w:val="20"/>
        </w:rPr>
        <mc:AlternateContent>
          <mc:Choice Requires="wps">
            <w:drawing>
              <wp:inline distT="0" distB="0" distL="0" distR="0">
                <wp:extent cx="304800" cy="304800"/>
                <wp:effectExtent l="0" t="0" r="0" b="0"/>
                <wp:docPr id="2" name="AutoShape 1" descr="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mage" href="https://onlinelibrary.wiley.com/cms/asset/cc519dee-9a2f-4ee0-a38e-7b283f12fced/bjh15655-fig-0001-m.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" o:button="t" filled="f" stroked="f">
                <v:fill o:detectmouseclick="t"/>
                <o:lock v:ext="edit" aspectratio="t"/>
                <w10:anchorlock/>
              </v:rect>
            </w:pict>
          </mc:Fallback>
        </mc:AlternateContent>
      </w:r>
    </w:p>
    <w:p w:rsidR="00E954DC" w:rsidRPr="00E954DC" w:rsidRDefault="00E954DC" w:rsidP="00E954DC">
      <w:pPr>
        <w:rPr>
          <w:rFonts w:ascii="Times" w:eastAsia="Times New Roman" w:hAnsi="Times" w:cs="Times New Roman"/>
          <w:sz w:val="20"/>
          <w:szCs w:val="20"/>
        </w:rPr>
      </w:pPr>
      <w:r w:rsidRPr="00E954DC">
        <w:rPr>
          <w:rFonts w:ascii="Times" w:eastAsia="Times New Roman" w:hAnsi="Times" w:cs="Times New Roman"/>
          <w:b/>
          <w:bCs/>
          <w:color w:val="212121"/>
          <w:sz w:val="20"/>
          <w:szCs w:val="20"/>
        </w:rPr>
        <w:t>Figure 1</w:t>
      </w:r>
    </w:p>
    <w:p w:rsidR="00E954DC" w:rsidRPr="00E954DC" w:rsidRDefault="00E954DC" w:rsidP="00E954DC">
      <w:pPr>
        <w:rPr>
          <w:rFonts w:ascii="Times" w:eastAsia="Times New Roman" w:hAnsi="Times" w:cs="Times New Roman"/>
          <w:sz w:val="20"/>
          <w:szCs w:val="20"/>
        </w:rPr>
      </w:pPr>
      <w:hyperlink r:id="rId22" w:history="1">
        <w:r w:rsidRPr="00E954DC">
          <w:rPr>
            <w:rFonts w:ascii="Times" w:eastAsia="Times New Roman" w:hAnsi="Times" w:cs="Times New Roman"/>
            <w:b/>
            <w:bCs/>
            <w:color w:val="005274"/>
            <w:sz w:val="20"/>
            <w:szCs w:val="20"/>
            <w:u w:val="single"/>
          </w:rPr>
          <w:t>Open in figure viewer</w:t>
        </w:r>
      </w:hyperlink>
      <w:hyperlink r:id="rId23" w:history="1">
        <w:r w:rsidRPr="00E954DC">
          <w:rPr>
            <w:rFonts w:ascii="Times" w:eastAsia="Times New Roman" w:hAnsi="Times" w:cs="Times New Roman"/>
            <w:b/>
            <w:bCs/>
            <w:color w:val="005274"/>
            <w:sz w:val="20"/>
            <w:szCs w:val="20"/>
            <w:u w:val="single"/>
          </w:rPr>
          <w:t>PowerPoint</w:t>
        </w:r>
      </w:hyperlink>
    </w:p>
    <w:p w:rsidR="00E954DC" w:rsidRPr="00E954DC" w:rsidRDefault="00E954DC" w:rsidP="00E954DC">
      <w:pPr>
        <w:rPr>
          <w:rFonts w:ascii="Times" w:eastAsia="Times New Roman" w:hAnsi="Times" w:cs="Times New Roman"/>
          <w:sz w:val="20"/>
          <w:szCs w:val="20"/>
        </w:rPr>
      </w:pPr>
      <w:r w:rsidRPr="00E954DC">
        <w:rPr>
          <w:rFonts w:ascii="Times" w:eastAsia="Times New Roman" w:hAnsi="Times" w:cs="Times New Roman"/>
          <w:sz w:val="20"/>
          <w:szCs w:val="20"/>
        </w:rPr>
        <w:t>Distribution of mutations identified by next generation sequencing in MDS patients treated with the iron</w:t>
      </w:r>
      <w:r w:rsidRPr="00E954DC">
        <w:rPr>
          <w:rFonts w:ascii="American Typewriter" w:eastAsia="Times New Roman" w:hAnsi="American Typewriter" w:cs="American Typewriter"/>
          <w:sz w:val="20"/>
          <w:szCs w:val="20"/>
        </w:rPr>
        <w:t>‐</w:t>
      </w:r>
      <w:r w:rsidRPr="00E954DC">
        <w:rPr>
          <w:rFonts w:ascii="Times" w:eastAsia="Times New Roman" w:hAnsi="Times" w:cs="Times New Roman"/>
          <w:sz w:val="20"/>
          <w:szCs w:val="20"/>
        </w:rPr>
        <w:t>chelator Deferasirox. Grey boxes represent mutated patients (light grey for responders and dark grey for resistant); white boxes indicate wild</w:t>
      </w:r>
      <w:r w:rsidRPr="00E954DC">
        <w:rPr>
          <w:rFonts w:ascii="American Typewriter" w:eastAsia="Times New Roman" w:hAnsi="American Typewriter" w:cs="American Typewriter"/>
          <w:sz w:val="20"/>
          <w:szCs w:val="20"/>
        </w:rPr>
        <w:t>‐</w:t>
      </w:r>
      <w:r w:rsidRPr="00E954DC">
        <w:rPr>
          <w:rFonts w:ascii="Times" w:eastAsia="Times New Roman" w:hAnsi="Times" w:cs="Times New Roman"/>
          <w:sz w:val="20"/>
          <w:szCs w:val="20"/>
        </w:rPr>
        <w:t>type patients. The numbers in boxes indicates the number of mutations identified in the same gene. Myelodysplastic syndrome (MDS ) subtypes, including RA , RARS , RCMD and RAEB are reported. The case series also included two patients with PMF . </w:t>
      </w:r>
      <w:r w:rsidRPr="00E954DC">
        <w:rPr>
          <w:rFonts w:ascii="Times" w:eastAsia="Times New Roman" w:hAnsi="Times" w:cs="Times New Roman"/>
          <w:i/>
          <w:iCs/>
          <w:sz w:val="20"/>
          <w:szCs w:val="20"/>
        </w:rPr>
        <w:t>ABL 1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BRAF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CALR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ETV 6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FLT 3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HRAS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IDH 1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IDH 2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KIT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NPM 1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NRAS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PTPN 11 </w:t>
      </w:r>
      <w:r w:rsidRPr="00E954DC">
        <w:rPr>
          <w:rFonts w:ascii="Times" w:eastAsia="Times New Roman" w:hAnsi="Times" w:cs="Times New Roman"/>
          <w:sz w:val="20"/>
          <w:szCs w:val="20"/>
        </w:rPr>
        <w:t>,</w:t>
      </w:r>
      <w:r w:rsidRPr="00E954DC">
        <w:rPr>
          <w:rFonts w:ascii="Times" w:eastAsia="Times New Roman" w:hAnsi="Times" w:cs="Times New Roman"/>
          <w:i/>
          <w:iCs/>
          <w:sz w:val="20"/>
          <w:szCs w:val="20"/>
        </w:rPr>
        <w:t> SRSF 2 </w:t>
      </w:r>
      <w:r w:rsidRPr="00E954DC">
        <w:rPr>
          <w:rFonts w:ascii="Times" w:eastAsia="Times New Roman" w:hAnsi="Times" w:cs="Times New Roman"/>
          <w:sz w:val="20"/>
          <w:szCs w:val="20"/>
        </w:rPr>
        <w:t>and </w:t>
      </w:r>
      <w:r w:rsidRPr="00E954DC">
        <w:rPr>
          <w:rFonts w:ascii="Times" w:eastAsia="Times New Roman" w:hAnsi="Times" w:cs="Times New Roman"/>
          <w:i/>
          <w:iCs/>
          <w:sz w:val="20"/>
          <w:szCs w:val="20"/>
        </w:rPr>
        <w:t>WT 1 </w:t>
      </w:r>
      <w:r w:rsidRPr="00E954DC">
        <w:rPr>
          <w:rFonts w:ascii="Times" w:eastAsia="Times New Roman" w:hAnsi="Times" w:cs="Times New Roman"/>
          <w:sz w:val="20"/>
          <w:szCs w:val="20"/>
        </w:rPr>
        <w:t>genes were also studied, but no mutations were found. PMF , primary myelofibrosis; RA , refractory anaemia; RAEB , refractory anaemia with excess of blasts; RARS , refractory anaemia with ring sideroblasts; RCMD , refractory cytopenia with multilineage dysplasia.</w:t>
      </w:r>
    </w:p>
    <w:p w:rsidR="00E954DC" w:rsidRPr="00E954DC" w:rsidRDefault="00E954DC" w:rsidP="00E954DC">
      <w:pPr>
        <w:spacing w:before="75" w:after="240" w:line="360" w:lineRule="atLeast"/>
        <w:rPr>
          <w:rFonts w:ascii="Times" w:hAnsi="Times" w:cs="Times New Roman"/>
          <w:sz w:val="20"/>
          <w:szCs w:val="20"/>
        </w:rPr>
      </w:pPr>
      <w:r w:rsidRPr="00E954DC">
        <w:rPr>
          <w:rFonts w:ascii="Times" w:hAnsi="Times" w:cs="Times New Roman"/>
          <w:sz w:val="20"/>
          <w:szCs w:val="20"/>
        </w:rPr>
        <w:t>We then screened an additional 45 patients, also enrolled in the translational study</w:t>
      </w:r>
      <w:r w:rsidRPr="00E954DC">
        <w:rPr>
          <w:rFonts w:ascii="Times" w:hAnsi="Times" w:cs="Times New Roman"/>
          <w:b/>
          <w:bCs/>
          <w:sz w:val="20"/>
          <w:szCs w:val="20"/>
        </w:rPr>
        <w:t>, </w:t>
      </w:r>
      <w:r w:rsidRPr="00E954DC">
        <w:rPr>
          <w:rFonts w:ascii="Times" w:hAnsi="Times" w:cs="Times New Roman"/>
          <w:sz w:val="20"/>
          <w:szCs w:val="20"/>
        </w:rPr>
        <w:t>for mutations in the gene hotspot regions of spliceosome machinery enzymes (</w:t>
      </w:r>
      <w:r w:rsidRPr="00E954DC">
        <w:rPr>
          <w:rFonts w:ascii="Times" w:hAnsi="Times" w:cs="Times New Roman"/>
          <w:i/>
          <w:iCs/>
          <w:sz w:val="20"/>
          <w:szCs w:val="20"/>
        </w:rPr>
        <w:t>SF3B1 </w:t>
      </w:r>
      <w:r w:rsidRPr="00E954DC">
        <w:rPr>
          <w:rFonts w:ascii="Times" w:hAnsi="Times" w:cs="Times New Roman"/>
          <w:sz w:val="20"/>
          <w:szCs w:val="20"/>
        </w:rPr>
        <w:t>,</w:t>
      </w:r>
      <w:r w:rsidRPr="00E954DC">
        <w:rPr>
          <w:rFonts w:ascii="Times" w:hAnsi="Times" w:cs="Times New Roman"/>
          <w:i/>
          <w:iCs/>
          <w:sz w:val="20"/>
          <w:szCs w:val="20"/>
        </w:rPr>
        <w:t> SRSF2 </w:t>
      </w:r>
      <w:r w:rsidRPr="00E954DC">
        <w:rPr>
          <w:rFonts w:ascii="Times" w:hAnsi="Times" w:cs="Times New Roman"/>
          <w:sz w:val="20"/>
          <w:szCs w:val="20"/>
        </w:rPr>
        <w:t>,</w:t>
      </w:r>
      <w:r w:rsidRPr="00E954DC">
        <w:rPr>
          <w:rFonts w:ascii="Times" w:hAnsi="Times" w:cs="Times New Roman"/>
          <w:i/>
          <w:iCs/>
          <w:sz w:val="20"/>
          <w:szCs w:val="20"/>
        </w:rPr>
        <w:t>U2AF1 </w:t>
      </w:r>
      <w:r w:rsidRPr="00E954DC">
        <w:rPr>
          <w:rFonts w:ascii="Times" w:hAnsi="Times" w:cs="Times New Roman"/>
          <w:sz w:val="20"/>
          <w:szCs w:val="20"/>
        </w:rPr>
        <w:t>) and epigenetic regulators (</w:t>
      </w:r>
      <w:r w:rsidRPr="00E954DC">
        <w:rPr>
          <w:rFonts w:ascii="Times" w:hAnsi="Times" w:cs="Times New Roman"/>
          <w:i/>
          <w:iCs/>
          <w:sz w:val="20"/>
          <w:szCs w:val="20"/>
        </w:rPr>
        <w:t>IDH1 </w:t>
      </w:r>
      <w:r w:rsidRPr="00E954DC">
        <w:rPr>
          <w:rFonts w:ascii="Times" w:hAnsi="Times" w:cs="Times New Roman"/>
          <w:sz w:val="20"/>
          <w:szCs w:val="20"/>
        </w:rPr>
        <w:t>,</w:t>
      </w:r>
      <w:r w:rsidRPr="00E954DC">
        <w:rPr>
          <w:rFonts w:ascii="Times" w:hAnsi="Times" w:cs="Times New Roman"/>
          <w:i/>
          <w:iCs/>
          <w:sz w:val="20"/>
          <w:szCs w:val="20"/>
        </w:rPr>
        <w:t> IDH2 </w:t>
      </w:r>
      <w:r w:rsidRPr="00E954DC">
        <w:rPr>
          <w:rFonts w:ascii="Times" w:hAnsi="Times" w:cs="Times New Roman"/>
          <w:sz w:val="20"/>
          <w:szCs w:val="20"/>
        </w:rPr>
        <w:t>and </w:t>
      </w:r>
      <w:r w:rsidRPr="00E954DC">
        <w:rPr>
          <w:rFonts w:ascii="Times" w:hAnsi="Times" w:cs="Times New Roman"/>
          <w:i/>
          <w:iCs/>
          <w:sz w:val="20"/>
          <w:szCs w:val="20"/>
        </w:rPr>
        <w:t>DNMT3A </w:t>
      </w:r>
      <w:r w:rsidRPr="00E954DC">
        <w:rPr>
          <w:rFonts w:ascii="Times" w:hAnsi="Times" w:cs="Times New Roman"/>
          <w:sz w:val="20"/>
          <w:szCs w:val="20"/>
        </w:rPr>
        <w:t>), using Sanger sequencing, as previously reported (Voso </w:t>
      </w:r>
      <w:r w:rsidRPr="00E954DC">
        <w:rPr>
          <w:rFonts w:ascii="Times" w:hAnsi="Times" w:cs="Times New Roman"/>
          <w:i/>
          <w:iCs/>
          <w:sz w:val="20"/>
          <w:szCs w:val="20"/>
        </w:rPr>
        <w:t>et al </w:t>
      </w:r>
      <w:r w:rsidRPr="00E954DC">
        <w:rPr>
          <w:rFonts w:ascii="Times" w:hAnsi="Times" w:cs="Times New Roman"/>
          <w:sz w:val="20"/>
          <w:szCs w:val="20"/>
        </w:rPr>
        <w:t>, </w:t>
      </w:r>
      <w:hyperlink r:id="rId24" w:anchor="bjh15655-bib-0010" w:history="1">
        <w:r w:rsidRPr="00E954DC">
          <w:rPr>
            <w:rFonts w:ascii="Times" w:hAnsi="Times" w:cs="Times New Roman"/>
            <w:b/>
            <w:bCs/>
            <w:color w:val="000000"/>
            <w:sz w:val="20"/>
            <w:szCs w:val="20"/>
            <w:u w:val="single"/>
          </w:rPr>
          <w:t>2013b</w:t>
        </w:r>
      </w:hyperlink>
      <w:r w:rsidRPr="00E954DC">
        <w:rPr>
          <w:rFonts w:ascii="Times" w:hAnsi="Times" w:cs="Times New Roman"/>
          <w:sz w:val="20"/>
          <w:szCs w:val="20"/>
        </w:rPr>
        <w:t>). In the additional cohort, </w:t>
      </w:r>
      <w:r w:rsidRPr="00E954DC">
        <w:rPr>
          <w:rFonts w:ascii="Times" w:hAnsi="Times" w:cs="Times New Roman"/>
          <w:i/>
          <w:iCs/>
          <w:sz w:val="20"/>
          <w:szCs w:val="20"/>
        </w:rPr>
        <w:t>SF3B1 </w:t>
      </w:r>
      <w:r w:rsidRPr="00E954DC">
        <w:rPr>
          <w:rFonts w:ascii="Times" w:hAnsi="Times" w:cs="Times New Roman"/>
          <w:sz w:val="20"/>
          <w:szCs w:val="20"/>
        </w:rPr>
        <w:t>was the most commonly mutated gene (19/45 patients, 42·2%), but there was no association between mutations and HI (14/33 resistant patients, 42% vs. 5/12 responsive patients, 42%). When considering the entire cohort of 60 patients, we did not find any association between HI and mutations in the spliceosome machinery. As previously reported (Malcovati </w:t>
      </w:r>
      <w:r w:rsidRPr="00E954DC">
        <w:rPr>
          <w:rFonts w:ascii="Times" w:hAnsi="Times" w:cs="Times New Roman"/>
          <w:i/>
          <w:iCs/>
          <w:sz w:val="20"/>
          <w:szCs w:val="20"/>
        </w:rPr>
        <w:t>et al </w:t>
      </w:r>
      <w:r w:rsidRPr="00E954DC">
        <w:rPr>
          <w:rFonts w:ascii="Times" w:hAnsi="Times" w:cs="Times New Roman"/>
          <w:sz w:val="20"/>
          <w:szCs w:val="20"/>
        </w:rPr>
        <w:t>, </w:t>
      </w:r>
      <w:hyperlink r:id="rId25" w:anchor="bjh15655-bib-0007" w:history="1">
        <w:r w:rsidRPr="00E954DC">
          <w:rPr>
            <w:rFonts w:ascii="Times" w:hAnsi="Times" w:cs="Times New Roman"/>
            <w:b/>
            <w:bCs/>
            <w:color w:val="000000"/>
            <w:sz w:val="20"/>
            <w:szCs w:val="20"/>
            <w:u w:val="single"/>
          </w:rPr>
          <w:t>2015</w:t>
        </w:r>
      </w:hyperlink>
      <w:r w:rsidRPr="00E954DC">
        <w:rPr>
          <w:rFonts w:ascii="Times" w:hAnsi="Times" w:cs="Times New Roman"/>
          <w:sz w:val="20"/>
          <w:szCs w:val="20"/>
        </w:rPr>
        <w:t>), </w:t>
      </w:r>
      <w:r w:rsidRPr="00E954DC">
        <w:rPr>
          <w:rFonts w:ascii="Times" w:hAnsi="Times" w:cs="Times New Roman"/>
          <w:i/>
          <w:iCs/>
          <w:sz w:val="20"/>
          <w:szCs w:val="20"/>
        </w:rPr>
        <w:t>SF3B1 </w:t>
      </w:r>
      <w:r w:rsidRPr="00E954DC">
        <w:rPr>
          <w:rFonts w:ascii="Times" w:hAnsi="Times" w:cs="Times New Roman"/>
          <w:sz w:val="20"/>
          <w:szCs w:val="20"/>
        </w:rPr>
        <w:t>mutations were prevalent in refractory anaemia with RS (8 out of 9 patients, 89%), but HI rate to DFX in this patient subgroup was similar to that of all other patients (3/9, 33% vs. 16/51, 31%). On the other hand, </w:t>
      </w:r>
      <w:r w:rsidRPr="00E954DC">
        <w:rPr>
          <w:rFonts w:ascii="Times" w:hAnsi="Times" w:cs="Times New Roman"/>
          <w:i/>
          <w:iCs/>
          <w:sz w:val="20"/>
          <w:szCs w:val="20"/>
        </w:rPr>
        <w:t>SF3B1 </w:t>
      </w:r>
      <w:r w:rsidRPr="00E954DC">
        <w:rPr>
          <w:rFonts w:ascii="Times" w:hAnsi="Times" w:cs="Times New Roman"/>
          <w:sz w:val="20"/>
          <w:szCs w:val="20"/>
        </w:rPr>
        <w:t>mutations were associated with higher platelet counts and a lower proportion of bone marrow blast at initial MDS diagnosis, as compared to wild type patients (</w:t>
      </w:r>
      <w:r w:rsidRPr="00E954DC">
        <w:rPr>
          <w:rFonts w:ascii="Times" w:hAnsi="Times" w:cs="Times New Roman"/>
          <w:i/>
          <w:iCs/>
          <w:sz w:val="20"/>
          <w:szCs w:val="20"/>
        </w:rPr>
        <w:t>P  </w:t>
      </w:r>
      <w:r w:rsidRPr="00E954DC">
        <w:rPr>
          <w:rFonts w:ascii="Times" w:hAnsi="Times" w:cs="Times New Roman"/>
          <w:sz w:val="20"/>
          <w:szCs w:val="20"/>
        </w:rPr>
        <w:t>= 0·0092, and </w:t>
      </w:r>
      <w:r w:rsidRPr="00E954DC">
        <w:rPr>
          <w:rFonts w:ascii="Times" w:hAnsi="Times" w:cs="Times New Roman"/>
          <w:i/>
          <w:iCs/>
          <w:sz w:val="20"/>
          <w:szCs w:val="20"/>
        </w:rPr>
        <w:t>P  </w:t>
      </w:r>
      <w:r w:rsidRPr="00E954DC">
        <w:rPr>
          <w:rFonts w:ascii="Times" w:hAnsi="Times" w:cs="Times New Roman"/>
          <w:sz w:val="20"/>
          <w:szCs w:val="20"/>
        </w:rPr>
        <w:t>= 0·0350, respectively).</w:t>
      </w:r>
    </w:p>
    <w:p w:rsidR="00E954DC" w:rsidRPr="00E954DC" w:rsidRDefault="00E954DC" w:rsidP="00E954DC">
      <w:pPr>
        <w:spacing w:before="75" w:after="240" w:line="360" w:lineRule="atLeast"/>
        <w:rPr>
          <w:rFonts w:ascii="Times" w:hAnsi="Times" w:cs="Times New Roman"/>
          <w:sz w:val="20"/>
          <w:szCs w:val="20"/>
        </w:rPr>
      </w:pPr>
      <w:r w:rsidRPr="00E954DC">
        <w:rPr>
          <w:rFonts w:ascii="Times" w:hAnsi="Times" w:cs="Times New Roman"/>
          <w:sz w:val="20"/>
          <w:szCs w:val="20"/>
        </w:rPr>
        <w:t>Our data are in line with the overall positive prognostic profile of a lower mutation burden in MDS, which has been associated with delayed leukaemic transformation and prolonged survival, and in our study predicted for HI after iron</w:t>
      </w:r>
      <w:r w:rsidRPr="00E954DC">
        <w:rPr>
          <w:rFonts w:ascii="American Typewriter" w:hAnsi="American Typewriter" w:cs="American Typewriter"/>
          <w:sz w:val="20"/>
          <w:szCs w:val="20"/>
        </w:rPr>
        <w:t>‐</w:t>
      </w:r>
      <w:r w:rsidRPr="00E954DC">
        <w:rPr>
          <w:rFonts w:ascii="Times" w:hAnsi="Times" w:cs="Times New Roman"/>
          <w:sz w:val="20"/>
          <w:szCs w:val="20"/>
        </w:rPr>
        <w:t>chelating treatment (Papaemmanuil </w:t>
      </w:r>
      <w:r w:rsidRPr="00E954DC">
        <w:rPr>
          <w:rFonts w:ascii="Times" w:hAnsi="Times" w:cs="Times New Roman"/>
          <w:i/>
          <w:iCs/>
          <w:sz w:val="20"/>
          <w:szCs w:val="20"/>
        </w:rPr>
        <w:t>et al </w:t>
      </w:r>
      <w:r w:rsidRPr="00E954DC">
        <w:rPr>
          <w:rFonts w:ascii="Times" w:hAnsi="Times" w:cs="Times New Roman"/>
          <w:sz w:val="20"/>
          <w:szCs w:val="20"/>
        </w:rPr>
        <w:t>, </w:t>
      </w:r>
      <w:hyperlink r:id="rId26" w:anchor="bjh15655-bib-0008" w:history="1">
        <w:r w:rsidRPr="00E954DC">
          <w:rPr>
            <w:rFonts w:ascii="Times" w:hAnsi="Times" w:cs="Times New Roman"/>
            <w:b/>
            <w:bCs/>
            <w:color w:val="000000"/>
            <w:sz w:val="20"/>
            <w:szCs w:val="20"/>
            <w:u w:val="single"/>
          </w:rPr>
          <w:t>2013</w:t>
        </w:r>
      </w:hyperlink>
      <w:r w:rsidRPr="00E954DC">
        <w:rPr>
          <w:rFonts w:ascii="Times" w:hAnsi="Times" w:cs="Times New Roman"/>
          <w:sz w:val="20"/>
          <w:szCs w:val="20"/>
        </w:rPr>
        <w:t>). In this setting, a low number of somatic mutations in bone marrow progenitors contributes to the positive effects of ICT regarding the overall haematopoietic function in MDS. Iron accumulation in RS and mutations of the spliceosome machinery are not predictive of HI after ICT, thereby supporting the different pathogenic mechanism and role of mitochondrial iron.</w:t>
      </w:r>
    </w:p>
    <w:p w:rsidR="00E954DC" w:rsidRPr="00E954DC" w:rsidRDefault="00E954DC" w:rsidP="00E954DC">
      <w:pPr>
        <w:spacing w:before="180" w:after="180"/>
        <w:outlineLvl w:val="1"/>
        <w:rPr>
          <w:rFonts w:ascii="Arial" w:eastAsia="Times New Roman" w:hAnsi="Arial" w:cs="Times New Roman"/>
          <w:b/>
          <w:bCs/>
          <w:color w:val="00A185"/>
          <w:sz w:val="39"/>
          <w:szCs w:val="39"/>
        </w:rPr>
      </w:pPr>
      <w:r w:rsidRPr="00E954DC">
        <w:rPr>
          <w:rFonts w:ascii="Arial" w:eastAsia="Times New Roman" w:hAnsi="Arial" w:cs="Times New Roman"/>
          <w:b/>
          <w:bCs/>
          <w:color w:val="00A185"/>
          <w:sz w:val="39"/>
          <w:szCs w:val="39"/>
        </w:rPr>
        <w:t>Acknowledgments</w:t>
      </w:r>
    </w:p>
    <w:p w:rsidR="00E954DC" w:rsidRPr="00E954DC" w:rsidRDefault="00E954DC" w:rsidP="00E954DC">
      <w:pPr>
        <w:spacing w:before="75" w:after="240" w:line="360" w:lineRule="atLeast"/>
        <w:rPr>
          <w:rFonts w:ascii="Times" w:hAnsi="Times" w:cs="Times New Roman"/>
        </w:rPr>
      </w:pPr>
      <w:r w:rsidRPr="00E954DC">
        <w:rPr>
          <w:rFonts w:ascii="Times" w:hAnsi="Times" w:cs="Times New Roman"/>
        </w:rPr>
        <w:t>This study was supported by Associazione Italiana Ricerca sul Cancro (AIRC, IG N.16952 to MTV), by Beat Leukaemia Foundation Milano and Società Italiana Ematologia Sperimentale (to GF).</w:t>
      </w:r>
    </w:p>
    <w:p w:rsidR="00E954DC" w:rsidRPr="00E954DC" w:rsidRDefault="00E954DC" w:rsidP="00E954DC">
      <w:pPr>
        <w:spacing w:before="180" w:after="180"/>
        <w:outlineLvl w:val="1"/>
        <w:rPr>
          <w:rFonts w:ascii="Arial" w:eastAsia="Times New Roman" w:hAnsi="Arial" w:cs="Times New Roman"/>
          <w:b/>
          <w:bCs/>
          <w:color w:val="00A185"/>
          <w:sz w:val="39"/>
          <w:szCs w:val="39"/>
        </w:rPr>
      </w:pPr>
      <w:r w:rsidRPr="00E954DC">
        <w:rPr>
          <w:rFonts w:ascii="Arial" w:eastAsia="Times New Roman" w:hAnsi="Arial" w:cs="Times New Roman"/>
          <w:b/>
          <w:bCs/>
          <w:color w:val="00A185"/>
          <w:sz w:val="39"/>
          <w:szCs w:val="39"/>
        </w:rPr>
        <w:t>Author contributions</w:t>
      </w:r>
    </w:p>
    <w:p w:rsidR="00E954DC" w:rsidRPr="00E954DC" w:rsidRDefault="00E954DC" w:rsidP="00E954DC">
      <w:pPr>
        <w:spacing w:before="75" w:after="240" w:line="360" w:lineRule="atLeast"/>
        <w:rPr>
          <w:rFonts w:ascii="Times" w:hAnsi="Times" w:cs="Times New Roman"/>
          <w:sz w:val="20"/>
          <w:szCs w:val="20"/>
        </w:rPr>
      </w:pPr>
      <w:r w:rsidRPr="00E954DC">
        <w:rPr>
          <w:rFonts w:ascii="Times" w:hAnsi="Times" w:cs="Times New Roman"/>
          <w:sz w:val="20"/>
          <w:szCs w:val="20"/>
        </w:rPr>
        <w:t xml:space="preserve">EF: performed the research, analysed the data and wrote the paper; CC, GF, SL: performed the research; PN, EB, AM, CF, LF, MC, FS, FB, LM: Enrolled patients; FLC, DC: Designed the research study and enrolled patients; MTV: </w:t>
      </w:r>
      <w:bookmarkStart w:id="0" w:name="_GoBack"/>
      <w:bookmarkEnd w:id="0"/>
    </w:p>
    <w:p w:rsidR="00E954DC" w:rsidRPr="00E954DC" w:rsidRDefault="00E954DC" w:rsidP="00E954DC">
      <w:pPr>
        <w:shd w:val="clear" w:color="auto" w:fill="003951"/>
        <w:rPr>
          <w:rFonts w:ascii="icomoon" w:eastAsia="Times New Roman" w:hAnsi="icomoon" w:cs="Times New Roman"/>
          <w:color w:val="FFFFFF"/>
        </w:rPr>
      </w:pPr>
    </w:p>
    <w:p w:rsidR="003E3D07" w:rsidRDefault="003E3D07"/>
    <w:sectPr w:rsidR="003E3D07" w:rsidSect="00417D9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icomoon">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6B"/>
    <w:multiLevelType w:val="multilevel"/>
    <w:tmpl w:val="772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C1207"/>
    <w:multiLevelType w:val="multilevel"/>
    <w:tmpl w:val="971C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4783C"/>
    <w:multiLevelType w:val="multilevel"/>
    <w:tmpl w:val="F300D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DC"/>
    <w:rsid w:val="003E3D07"/>
    <w:rsid w:val="00417D92"/>
    <w:rsid w:val="00E954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D0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954DC"/>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E954D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E954DC"/>
    <w:rPr>
      <w:rFonts w:ascii="Times" w:hAnsi="Times"/>
      <w:b/>
      <w:bCs/>
      <w:sz w:val="36"/>
      <w:szCs w:val="36"/>
    </w:rPr>
  </w:style>
  <w:style w:type="character" w:customStyle="1" w:styleId="Titolo3Carattere">
    <w:name w:val="Titolo 3 Carattere"/>
    <w:basedOn w:val="Caratterepredefinitoparagrafo"/>
    <w:link w:val="Titolo3"/>
    <w:uiPriority w:val="9"/>
    <w:rsid w:val="00E954DC"/>
    <w:rPr>
      <w:rFonts w:ascii="Times" w:hAnsi="Times"/>
      <w:b/>
      <w:bCs/>
      <w:sz w:val="27"/>
      <w:szCs w:val="27"/>
    </w:rPr>
  </w:style>
  <w:style w:type="paragraph" w:styleId="NormaleWeb">
    <w:name w:val="Normal (Web)"/>
    <w:basedOn w:val="Normale"/>
    <w:uiPriority w:val="99"/>
    <w:semiHidden/>
    <w:unhideWhenUsed/>
    <w:rsid w:val="00E954DC"/>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E954DC"/>
    <w:rPr>
      <w:color w:val="0000FF"/>
      <w:u w:val="single"/>
    </w:rPr>
  </w:style>
  <w:style w:type="character" w:customStyle="1" w:styleId="table-captionlabel">
    <w:name w:val="table-caption__label"/>
    <w:basedOn w:val="Caratterepredefinitoparagrafo"/>
    <w:rsid w:val="00E954DC"/>
  </w:style>
  <w:style w:type="character" w:styleId="Enfasigrassetto">
    <w:name w:val="Strong"/>
    <w:basedOn w:val="Caratterepredefinitoparagrafo"/>
    <w:uiPriority w:val="22"/>
    <w:qFormat/>
    <w:rsid w:val="00E954DC"/>
    <w:rPr>
      <w:b/>
      <w:bCs/>
    </w:rPr>
  </w:style>
  <w:style w:type="character" w:customStyle="1" w:styleId="sectiontitle">
    <w:name w:val="section__title"/>
    <w:basedOn w:val="Caratterepredefinitoparagrafo"/>
    <w:rsid w:val="00E954DC"/>
  </w:style>
  <w:style w:type="paragraph" w:customStyle="1" w:styleId="volume-issue">
    <w:name w:val="volume-issue"/>
    <w:basedOn w:val="Normale"/>
    <w:rsid w:val="00E954DC"/>
    <w:pPr>
      <w:spacing w:before="100" w:beforeAutospacing="1" w:after="100" w:afterAutospacing="1"/>
    </w:pPr>
    <w:rPr>
      <w:rFonts w:ascii="Times" w:hAnsi="Times"/>
      <w:sz w:val="20"/>
      <w:szCs w:val="20"/>
    </w:rPr>
  </w:style>
  <w:style w:type="character" w:customStyle="1" w:styleId="val">
    <w:name w:val="val"/>
    <w:basedOn w:val="Caratterepredefinitoparagrafo"/>
    <w:rsid w:val="00E954DC"/>
  </w:style>
  <w:style w:type="paragraph" w:customStyle="1" w:styleId="page-range">
    <w:name w:val="page-range"/>
    <w:basedOn w:val="Normale"/>
    <w:rsid w:val="00E954DC"/>
    <w:pPr>
      <w:spacing w:before="100" w:beforeAutospacing="1" w:after="100" w:afterAutospacing="1"/>
    </w:pPr>
    <w:rPr>
      <w:rFonts w:ascii="Times" w:hAnsi="Times"/>
      <w:sz w:val="20"/>
      <w:szCs w:val="20"/>
    </w:rPr>
  </w:style>
  <w:style w:type="paragraph" w:customStyle="1" w:styleId="copyright">
    <w:name w:val="copyright"/>
    <w:basedOn w:val="Normale"/>
    <w:rsid w:val="00E954DC"/>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E954D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954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954DC"/>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E954D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E954DC"/>
    <w:rPr>
      <w:rFonts w:ascii="Times" w:hAnsi="Times"/>
      <w:b/>
      <w:bCs/>
      <w:sz w:val="36"/>
      <w:szCs w:val="36"/>
    </w:rPr>
  </w:style>
  <w:style w:type="character" w:customStyle="1" w:styleId="Titolo3Carattere">
    <w:name w:val="Titolo 3 Carattere"/>
    <w:basedOn w:val="Caratterepredefinitoparagrafo"/>
    <w:link w:val="Titolo3"/>
    <w:uiPriority w:val="9"/>
    <w:rsid w:val="00E954DC"/>
    <w:rPr>
      <w:rFonts w:ascii="Times" w:hAnsi="Times"/>
      <w:b/>
      <w:bCs/>
      <w:sz w:val="27"/>
      <w:szCs w:val="27"/>
    </w:rPr>
  </w:style>
  <w:style w:type="paragraph" w:styleId="NormaleWeb">
    <w:name w:val="Normal (Web)"/>
    <w:basedOn w:val="Normale"/>
    <w:uiPriority w:val="99"/>
    <w:semiHidden/>
    <w:unhideWhenUsed/>
    <w:rsid w:val="00E954DC"/>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E954DC"/>
    <w:rPr>
      <w:color w:val="0000FF"/>
      <w:u w:val="single"/>
    </w:rPr>
  </w:style>
  <w:style w:type="character" w:customStyle="1" w:styleId="table-captionlabel">
    <w:name w:val="table-caption__label"/>
    <w:basedOn w:val="Caratterepredefinitoparagrafo"/>
    <w:rsid w:val="00E954DC"/>
  </w:style>
  <w:style w:type="character" w:styleId="Enfasigrassetto">
    <w:name w:val="Strong"/>
    <w:basedOn w:val="Caratterepredefinitoparagrafo"/>
    <w:uiPriority w:val="22"/>
    <w:qFormat/>
    <w:rsid w:val="00E954DC"/>
    <w:rPr>
      <w:b/>
      <w:bCs/>
    </w:rPr>
  </w:style>
  <w:style w:type="character" w:customStyle="1" w:styleId="sectiontitle">
    <w:name w:val="section__title"/>
    <w:basedOn w:val="Caratterepredefinitoparagrafo"/>
    <w:rsid w:val="00E954DC"/>
  </w:style>
  <w:style w:type="paragraph" w:customStyle="1" w:styleId="volume-issue">
    <w:name w:val="volume-issue"/>
    <w:basedOn w:val="Normale"/>
    <w:rsid w:val="00E954DC"/>
    <w:pPr>
      <w:spacing w:before="100" w:beforeAutospacing="1" w:after="100" w:afterAutospacing="1"/>
    </w:pPr>
    <w:rPr>
      <w:rFonts w:ascii="Times" w:hAnsi="Times"/>
      <w:sz w:val="20"/>
      <w:szCs w:val="20"/>
    </w:rPr>
  </w:style>
  <w:style w:type="character" w:customStyle="1" w:styleId="val">
    <w:name w:val="val"/>
    <w:basedOn w:val="Caratterepredefinitoparagrafo"/>
    <w:rsid w:val="00E954DC"/>
  </w:style>
  <w:style w:type="paragraph" w:customStyle="1" w:styleId="page-range">
    <w:name w:val="page-range"/>
    <w:basedOn w:val="Normale"/>
    <w:rsid w:val="00E954DC"/>
    <w:pPr>
      <w:spacing w:before="100" w:beforeAutospacing="1" w:after="100" w:afterAutospacing="1"/>
    </w:pPr>
    <w:rPr>
      <w:rFonts w:ascii="Times" w:hAnsi="Times"/>
      <w:sz w:val="20"/>
      <w:szCs w:val="20"/>
    </w:rPr>
  </w:style>
  <w:style w:type="paragraph" w:customStyle="1" w:styleId="copyright">
    <w:name w:val="copyright"/>
    <w:basedOn w:val="Normale"/>
    <w:rsid w:val="00E954DC"/>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E954D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954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3616">
      <w:bodyDiv w:val="1"/>
      <w:marLeft w:val="0"/>
      <w:marRight w:val="0"/>
      <w:marTop w:val="0"/>
      <w:marBottom w:val="0"/>
      <w:divBdr>
        <w:top w:val="none" w:sz="0" w:space="0" w:color="auto"/>
        <w:left w:val="none" w:sz="0" w:space="0" w:color="auto"/>
        <w:bottom w:val="none" w:sz="0" w:space="0" w:color="auto"/>
        <w:right w:val="none" w:sz="0" w:space="0" w:color="auto"/>
      </w:divBdr>
      <w:divsChild>
        <w:div w:id="1307317468">
          <w:marLeft w:val="0"/>
          <w:marRight w:val="0"/>
          <w:marTop w:val="0"/>
          <w:marBottom w:val="0"/>
          <w:divBdr>
            <w:top w:val="none" w:sz="0" w:space="0" w:color="auto"/>
            <w:left w:val="none" w:sz="0" w:space="0" w:color="auto"/>
            <w:bottom w:val="none" w:sz="0" w:space="0" w:color="auto"/>
            <w:right w:val="none" w:sz="0" w:space="0" w:color="auto"/>
          </w:divBdr>
          <w:divsChild>
            <w:div w:id="375200081">
              <w:marLeft w:val="0"/>
              <w:marRight w:val="0"/>
              <w:marTop w:val="0"/>
              <w:marBottom w:val="0"/>
              <w:divBdr>
                <w:top w:val="none" w:sz="0" w:space="0" w:color="auto"/>
                <w:left w:val="none" w:sz="0" w:space="0" w:color="auto"/>
                <w:bottom w:val="none" w:sz="0" w:space="0" w:color="auto"/>
                <w:right w:val="none" w:sz="0" w:space="0" w:color="auto"/>
              </w:divBdr>
              <w:divsChild>
                <w:div w:id="433793231">
                  <w:marLeft w:val="0"/>
                  <w:marRight w:val="0"/>
                  <w:marTop w:val="0"/>
                  <w:marBottom w:val="0"/>
                  <w:divBdr>
                    <w:top w:val="none" w:sz="0" w:space="0" w:color="auto"/>
                    <w:left w:val="none" w:sz="0" w:space="0" w:color="auto"/>
                    <w:bottom w:val="none" w:sz="0" w:space="0" w:color="auto"/>
                    <w:right w:val="none" w:sz="0" w:space="0" w:color="auto"/>
                  </w:divBdr>
                  <w:divsChild>
                    <w:div w:id="723605040">
                      <w:marLeft w:val="0"/>
                      <w:marRight w:val="0"/>
                      <w:marTop w:val="0"/>
                      <w:marBottom w:val="0"/>
                      <w:divBdr>
                        <w:top w:val="none" w:sz="0" w:space="0" w:color="auto"/>
                        <w:left w:val="none" w:sz="0" w:space="0" w:color="auto"/>
                        <w:bottom w:val="none" w:sz="0" w:space="0" w:color="auto"/>
                        <w:right w:val="none" w:sz="0" w:space="0" w:color="auto"/>
                      </w:divBdr>
                      <w:divsChild>
                        <w:div w:id="1646854672">
                          <w:marLeft w:val="-225"/>
                          <w:marRight w:val="-225"/>
                          <w:marTop w:val="0"/>
                          <w:marBottom w:val="0"/>
                          <w:divBdr>
                            <w:top w:val="none" w:sz="0" w:space="0" w:color="auto"/>
                            <w:left w:val="none" w:sz="0" w:space="0" w:color="auto"/>
                            <w:bottom w:val="none" w:sz="0" w:space="0" w:color="auto"/>
                            <w:right w:val="none" w:sz="0" w:space="0" w:color="auto"/>
                          </w:divBdr>
                          <w:divsChild>
                            <w:div w:id="1407922856">
                              <w:marLeft w:val="0"/>
                              <w:marRight w:val="0"/>
                              <w:marTop w:val="0"/>
                              <w:marBottom w:val="0"/>
                              <w:divBdr>
                                <w:top w:val="none" w:sz="0" w:space="0" w:color="auto"/>
                                <w:left w:val="none" w:sz="0" w:space="0" w:color="auto"/>
                                <w:bottom w:val="none" w:sz="0" w:space="0" w:color="auto"/>
                                <w:right w:val="none" w:sz="0" w:space="0" w:color="auto"/>
                              </w:divBdr>
                              <w:divsChild>
                                <w:div w:id="1446997779">
                                  <w:marLeft w:val="0"/>
                                  <w:marRight w:val="0"/>
                                  <w:marTop w:val="0"/>
                                  <w:marBottom w:val="0"/>
                                  <w:divBdr>
                                    <w:top w:val="none" w:sz="0" w:space="0" w:color="auto"/>
                                    <w:left w:val="none" w:sz="0" w:space="0" w:color="auto"/>
                                    <w:bottom w:val="none" w:sz="0" w:space="0" w:color="auto"/>
                                    <w:right w:val="none" w:sz="0" w:space="0" w:color="auto"/>
                                  </w:divBdr>
                                  <w:divsChild>
                                    <w:div w:id="1022129576">
                                      <w:marLeft w:val="-225"/>
                                      <w:marRight w:val="-225"/>
                                      <w:marTop w:val="0"/>
                                      <w:marBottom w:val="0"/>
                                      <w:divBdr>
                                        <w:top w:val="none" w:sz="0" w:space="0" w:color="auto"/>
                                        <w:left w:val="none" w:sz="0" w:space="0" w:color="auto"/>
                                        <w:bottom w:val="none" w:sz="0" w:space="0" w:color="auto"/>
                                        <w:right w:val="none" w:sz="0" w:space="0" w:color="auto"/>
                                      </w:divBdr>
                                      <w:divsChild>
                                        <w:div w:id="644361090">
                                          <w:marLeft w:val="0"/>
                                          <w:marRight w:val="0"/>
                                          <w:marTop w:val="0"/>
                                          <w:marBottom w:val="0"/>
                                          <w:divBdr>
                                            <w:top w:val="none" w:sz="0" w:space="0" w:color="auto"/>
                                            <w:left w:val="none" w:sz="0" w:space="0" w:color="auto"/>
                                            <w:bottom w:val="none" w:sz="0" w:space="0" w:color="auto"/>
                                            <w:right w:val="none" w:sz="0" w:space="0" w:color="auto"/>
                                          </w:divBdr>
                                          <w:divsChild>
                                            <w:div w:id="755593625">
                                              <w:marLeft w:val="0"/>
                                              <w:marRight w:val="0"/>
                                              <w:marTop w:val="300"/>
                                              <w:marBottom w:val="0"/>
                                              <w:divBdr>
                                                <w:top w:val="none" w:sz="0" w:space="0" w:color="auto"/>
                                                <w:left w:val="none" w:sz="0" w:space="0" w:color="auto"/>
                                                <w:bottom w:val="none" w:sz="0" w:space="0" w:color="auto"/>
                                                <w:right w:val="none" w:sz="0" w:space="0" w:color="auto"/>
                                              </w:divBdr>
                                              <w:divsChild>
                                                <w:div w:id="783692399">
                                                  <w:marLeft w:val="0"/>
                                                  <w:marRight w:val="0"/>
                                                  <w:marTop w:val="0"/>
                                                  <w:marBottom w:val="450"/>
                                                  <w:divBdr>
                                                    <w:top w:val="none" w:sz="0" w:space="0" w:color="auto"/>
                                                    <w:left w:val="none" w:sz="0" w:space="0" w:color="auto"/>
                                                    <w:bottom w:val="none" w:sz="0" w:space="0" w:color="auto"/>
                                                    <w:right w:val="none" w:sz="0" w:space="0" w:color="auto"/>
                                                  </w:divBdr>
                                                  <w:divsChild>
                                                    <w:div w:id="577062870">
                                                      <w:marLeft w:val="0"/>
                                                      <w:marRight w:val="0"/>
                                                      <w:marTop w:val="225"/>
                                                      <w:marBottom w:val="0"/>
                                                      <w:divBdr>
                                                        <w:top w:val="none" w:sz="0" w:space="0" w:color="auto"/>
                                                        <w:left w:val="none" w:sz="0" w:space="0" w:color="auto"/>
                                                        <w:bottom w:val="none" w:sz="0" w:space="0" w:color="auto"/>
                                                        <w:right w:val="none" w:sz="0" w:space="0" w:color="auto"/>
                                                      </w:divBdr>
                                                    </w:div>
                                                    <w:div w:id="2012874393">
                                                      <w:marLeft w:val="0"/>
                                                      <w:marRight w:val="0"/>
                                                      <w:marTop w:val="0"/>
                                                      <w:marBottom w:val="0"/>
                                                      <w:divBdr>
                                                        <w:top w:val="none" w:sz="0" w:space="0" w:color="auto"/>
                                                        <w:left w:val="none" w:sz="0" w:space="0" w:color="auto"/>
                                                        <w:bottom w:val="none" w:sz="0" w:space="0" w:color="auto"/>
                                                        <w:right w:val="none" w:sz="0" w:space="0" w:color="auto"/>
                                                      </w:divBdr>
                                                    </w:div>
                                                  </w:divsChild>
                                                </w:div>
                                                <w:div w:id="1308825629">
                                                  <w:marLeft w:val="0"/>
                                                  <w:marRight w:val="0"/>
                                                  <w:marTop w:val="0"/>
                                                  <w:marBottom w:val="0"/>
                                                  <w:divBdr>
                                                    <w:top w:val="none" w:sz="0" w:space="0" w:color="auto"/>
                                                    <w:left w:val="none" w:sz="0" w:space="0" w:color="auto"/>
                                                    <w:bottom w:val="none" w:sz="0" w:space="0" w:color="auto"/>
                                                    <w:right w:val="none" w:sz="0" w:space="0" w:color="auto"/>
                                                  </w:divBdr>
                                                  <w:divsChild>
                                                    <w:div w:id="1544249069">
                                                      <w:marLeft w:val="0"/>
                                                      <w:marRight w:val="0"/>
                                                      <w:marTop w:val="0"/>
                                                      <w:marBottom w:val="0"/>
                                                      <w:divBdr>
                                                        <w:top w:val="none" w:sz="0" w:space="0" w:color="auto"/>
                                                        <w:left w:val="none" w:sz="0" w:space="0" w:color="auto"/>
                                                        <w:bottom w:val="none" w:sz="0" w:space="0" w:color="auto"/>
                                                        <w:right w:val="none" w:sz="0" w:space="0" w:color="auto"/>
                                                      </w:divBdr>
                                                    </w:div>
                                                  </w:divsChild>
                                                </w:div>
                                                <w:div w:id="403836701">
                                                  <w:marLeft w:val="0"/>
                                                  <w:marRight w:val="0"/>
                                                  <w:marTop w:val="0"/>
                                                  <w:marBottom w:val="0"/>
                                                  <w:divBdr>
                                                    <w:top w:val="none" w:sz="0" w:space="0" w:color="auto"/>
                                                    <w:left w:val="none" w:sz="0" w:space="0" w:color="auto"/>
                                                    <w:bottom w:val="none" w:sz="0" w:space="0" w:color="auto"/>
                                                    <w:right w:val="none" w:sz="0" w:space="0" w:color="auto"/>
                                                  </w:divBdr>
                                                </w:div>
                                                <w:div w:id="1766612889">
                                                  <w:marLeft w:val="0"/>
                                                  <w:marRight w:val="0"/>
                                                  <w:marTop w:val="0"/>
                                                  <w:marBottom w:val="0"/>
                                                  <w:divBdr>
                                                    <w:top w:val="none" w:sz="0" w:space="0" w:color="auto"/>
                                                    <w:left w:val="none" w:sz="0" w:space="0" w:color="auto"/>
                                                    <w:bottom w:val="none" w:sz="0" w:space="0" w:color="auto"/>
                                                    <w:right w:val="none" w:sz="0" w:space="0" w:color="auto"/>
                                                  </w:divBdr>
                                                </w:div>
                                                <w:div w:id="1864320635">
                                                  <w:marLeft w:val="0"/>
                                                  <w:marRight w:val="0"/>
                                                  <w:marTop w:val="480"/>
                                                  <w:marBottom w:val="360"/>
                                                  <w:divBdr>
                                                    <w:top w:val="none" w:sz="0" w:space="0" w:color="auto"/>
                                                    <w:left w:val="none" w:sz="0" w:space="0" w:color="auto"/>
                                                    <w:bottom w:val="none" w:sz="0" w:space="0" w:color="auto"/>
                                                    <w:right w:val="none" w:sz="0" w:space="0" w:color="auto"/>
                                                  </w:divBdr>
                                                  <w:divsChild>
                                                    <w:div w:id="662123953">
                                                      <w:marLeft w:val="0"/>
                                                      <w:marRight w:val="0"/>
                                                      <w:marTop w:val="0"/>
                                                      <w:marBottom w:val="0"/>
                                                      <w:divBdr>
                                                        <w:top w:val="none" w:sz="0" w:space="0" w:color="auto"/>
                                                        <w:left w:val="none" w:sz="0" w:space="0" w:color="auto"/>
                                                        <w:bottom w:val="none" w:sz="0" w:space="0" w:color="auto"/>
                                                        <w:right w:val="none" w:sz="0" w:space="0" w:color="auto"/>
                                                      </w:divBdr>
                                                    </w:div>
                                                  </w:divsChild>
                                                </w:div>
                                                <w:div w:id="1810245012">
                                                  <w:marLeft w:val="0"/>
                                                  <w:marRight w:val="0"/>
                                                  <w:marTop w:val="0"/>
                                                  <w:marBottom w:val="0"/>
                                                  <w:divBdr>
                                                    <w:top w:val="none" w:sz="0" w:space="0" w:color="auto"/>
                                                    <w:left w:val="none" w:sz="0" w:space="0" w:color="auto"/>
                                                    <w:bottom w:val="none" w:sz="0" w:space="0" w:color="auto"/>
                                                    <w:right w:val="none" w:sz="0" w:space="0" w:color="auto"/>
                                                  </w:divBdr>
                                                  <w:divsChild>
                                                    <w:div w:id="1772771961">
                                                      <w:marLeft w:val="0"/>
                                                      <w:marRight w:val="0"/>
                                                      <w:marTop w:val="480"/>
                                                      <w:marBottom w:val="360"/>
                                                      <w:divBdr>
                                                        <w:top w:val="none" w:sz="0" w:space="0" w:color="auto"/>
                                                        <w:left w:val="none" w:sz="0" w:space="0" w:color="auto"/>
                                                        <w:bottom w:val="none" w:sz="0" w:space="0" w:color="auto"/>
                                                        <w:right w:val="none" w:sz="0" w:space="0" w:color="auto"/>
                                                      </w:divBdr>
                                                      <w:divsChild>
                                                        <w:div w:id="1232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07003">
                                          <w:marLeft w:val="0"/>
                                          <w:marRight w:val="0"/>
                                          <w:marTop w:val="0"/>
                                          <w:marBottom w:val="0"/>
                                          <w:divBdr>
                                            <w:top w:val="none" w:sz="0" w:space="0" w:color="auto"/>
                                            <w:left w:val="none" w:sz="0" w:space="0" w:color="auto"/>
                                            <w:bottom w:val="none" w:sz="0" w:space="0" w:color="auto"/>
                                            <w:right w:val="none" w:sz="0" w:space="0" w:color="auto"/>
                                          </w:divBdr>
                                          <w:divsChild>
                                            <w:div w:id="1725710828">
                                              <w:marLeft w:val="0"/>
                                              <w:marRight w:val="0"/>
                                              <w:marTop w:val="0"/>
                                              <w:marBottom w:val="300"/>
                                              <w:divBdr>
                                                <w:top w:val="none" w:sz="0" w:space="0" w:color="auto"/>
                                                <w:left w:val="none" w:sz="0" w:space="0" w:color="auto"/>
                                                <w:bottom w:val="none" w:sz="0" w:space="0" w:color="auto"/>
                                                <w:right w:val="none" w:sz="0" w:space="0" w:color="auto"/>
                                              </w:divBdr>
                                              <w:divsChild>
                                                <w:div w:id="848328486">
                                                  <w:marLeft w:val="0"/>
                                                  <w:marRight w:val="0"/>
                                                  <w:marTop w:val="0"/>
                                                  <w:marBottom w:val="0"/>
                                                  <w:divBdr>
                                                    <w:top w:val="none" w:sz="0" w:space="0" w:color="auto"/>
                                                    <w:left w:val="none" w:sz="0" w:space="0" w:color="auto"/>
                                                    <w:bottom w:val="none" w:sz="0" w:space="0" w:color="auto"/>
                                                    <w:right w:val="none" w:sz="0" w:space="0" w:color="auto"/>
                                                  </w:divBdr>
                                                </w:div>
                                                <w:div w:id="591623659">
                                                  <w:marLeft w:val="0"/>
                                                  <w:marRight w:val="0"/>
                                                  <w:marTop w:val="0"/>
                                                  <w:marBottom w:val="300"/>
                                                  <w:divBdr>
                                                    <w:top w:val="none" w:sz="0" w:space="0" w:color="auto"/>
                                                    <w:left w:val="none" w:sz="0" w:space="0" w:color="auto"/>
                                                    <w:bottom w:val="none" w:sz="0" w:space="0" w:color="auto"/>
                                                    <w:right w:val="none" w:sz="0" w:space="0" w:color="auto"/>
                                                  </w:divBdr>
                                                </w:div>
                                              </w:divsChild>
                                            </w:div>
                                            <w:div w:id="1859730688">
                                              <w:marLeft w:val="0"/>
                                              <w:marRight w:val="0"/>
                                              <w:marTop w:val="0"/>
                                              <w:marBottom w:val="0"/>
                                              <w:divBdr>
                                                <w:top w:val="none" w:sz="0" w:space="0" w:color="auto"/>
                                                <w:left w:val="none" w:sz="0" w:space="0" w:color="auto"/>
                                                <w:bottom w:val="none" w:sz="0" w:space="0" w:color="auto"/>
                                                <w:right w:val="none" w:sz="0" w:space="0" w:color="auto"/>
                                              </w:divBdr>
                                              <w:divsChild>
                                                <w:div w:id="76446615">
                                                  <w:marLeft w:val="0"/>
                                                  <w:marRight w:val="0"/>
                                                  <w:marTop w:val="0"/>
                                                  <w:marBottom w:val="0"/>
                                                  <w:divBdr>
                                                    <w:top w:val="none" w:sz="0" w:space="0" w:color="auto"/>
                                                    <w:left w:val="none" w:sz="0" w:space="0" w:color="auto"/>
                                                    <w:bottom w:val="none" w:sz="0" w:space="0" w:color="auto"/>
                                                    <w:right w:val="none" w:sz="0" w:space="0" w:color="auto"/>
                                                  </w:divBdr>
                                                  <w:divsChild>
                                                    <w:div w:id="229734989">
                                                      <w:marLeft w:val="0"/>
                                                      <w:marRight w:val="0"/>
                                                      <w:marTop w:val="0"/>
                                                      <w:marBottom w:val="0"/>
                                                      <w:divBdr>
                                                        <w:top w:val="none" w:sz="0" w:space="0" w:color="auto"/>
                                                        <w:left w:val="none" w:sz="0" w:space="0" w:color="auto"/>
                                                        <w:bottom w:val="none" w:sz="0" w:space="0" w:color="auto"/>
                                                        <w:right w:val="none" w:sz="0" w:space="0" w:color="auto"/>
                                                      </w:divBdr>
                                                      <w:divsChild>
                                                        <w:div w:id="1578976628">
                                                          <w:marLeft w:val="0"/>
                                                          <w:marRight w:val="0"/>
                                                          <w:marTop w:val="0"/>
                                                          <w:marBottom w:val="0"/>
                                                          <w:divBdr>
                                                            <w:top w:val="none" w:sz="0" w:space="0" w:color="auto"/>
                                                            <w:left w:val="none" w:sz="0" w:space="0" w:color="auto"/>
                                                            <w:bottom w:val="none" w:sz="0" w:space="0" w:color="auto"/>
                                                            <w:right w:val="none" w:sz="0" w:space="0" w:color="auto"/>
                                                          </w:divBdr>
                                                          <w:divsChild>
                                                            <w:div w:id="402873233">
                                                              <w:marLeft w:val="0"/>
                                                              <w:marRight w:val="0"/>
                                                              <w:marTop w:val="0"/>
                                                              <w:marBottom w:val="0"/>
                                                              <w:divBdr>
                                                                <w:top w:val="none" w:sz="0" w:space="0" w:color="auto"/>
                                                                <w:left w:val="none" w:sz="0" w:space="0" w:color="auto"/>
                                                                <w:bottom w:val="none" w:sz="0" w:space="0" w:color="auto"/>
                                                                <w:right w:val="none" w:sz="0" w:space="0" w:color="auto"/>
                                                              </w:divBdr>
                                                            </w:div>
                                                            <w:div w:id="110243058">
                                                              <w:marLeft w:val="0"/>
                                                              <w:marRight w:val="0"/>
                                                              <w:marTop w:val="0"/>
                                                              <w:marBottom w:val="0"/>
                                                              <w:divBdr>
                                                                <w:top w:val="none" w:sz="0" w:space="0" w:color="auto"/>
                                                                <w:left w:val="none" w:sz="0" w:space="0" w:color="auto"/>
                                                                <w:bottom w:val="none" w:sz="0" w:space="0" w:color="auto"/>
                                                                <w:right w:val="none" w:sz="0" w:space="0" w:color="auto"/>
                                                              </w:divBdr>
                                                              <w:divsChild>
                                                                <w:div w:id="1877041242">
                                                                  <w:marLeft w:val="0"/>
                                                                  <w:marRight w:val="0"/>
                                                                  <w:marTop w:val="21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862414">
              <w:marLeft w:val="0"/>
              <w:marRight w:val="0"/>
              <w:marTop w:val="0"/>
              <w:marBottom w:val="0"/>
              <w:divBdr>
                <w:top w:val="none" w:sz="0" w:space="0" w:color="auto"/>
                <w:left w:val="none" w:sz="0" w:space="0" w:color="auto"/>
                <w:bottom w:val="none" w:sz="0" w:space="0" w:color="auto"/>
                <w:right w:val="none" w:sz="0" w:space="0" w:color="auto"/>
              </w:divBdr>
              <w:divsChild>
                <w:div w:id="1209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2360">
          <w:marLeft w:val="0"/>
          <w:marRight w:val="0"/>
          <w:marTop w:val="0"/>
          <w:marBottom w:val="0"/>
          <w:divBdr>
            <w:top w:val="none" w:sz="0" w:space="0" w:color="auto"/>
            <w:left w:val="none" w:sz="0" w:space="0" w:color="auto"/>
            <w:bottom w:val="none" w:sz="0" w:space="0" w:color="auto"/>
            <w:right w:val="none" w:sz="0" w:space="0" w:color="auto"/>
          </w:divBdr>
          <w:divsChild>
            <w:div w:id="394013915">
              <w:marLeft w:val="0"/>
              <w:marRight w:val="0"/>
              <w:marTop w:val="0"/>
              <w:marBottom w:val="0"/>
              <w:divBdr>
                <w:top w:val="none" w:sz="0" w:space="0" w:color="auto"/>
                <w:left w:val="none" w:sz="0" w:space="0" w:color="auto"/>
                <w:bottom w:val="none" w:sz="0" w:space="0" w:color="auto"/>
                <w:right w:val="none" w:sz="0" w:space="0" w:color="auto"/>
              </w:divBdr>
              <w:divsChild>
                <w:div w:id="1800760401">
                  <w:marLeft w:val="0"/>
                  <w:marRight w:val="0"/>
                  <w:marTop w:val="0"/>
                  <w:marBottom w:val="0"/>
                  <w:divBdr>
                    <w:top w:val="none" w:sz="0" w:space="0" w:color="auto"/>
                    <w:left w:val="none" w:sz="0" w:space="0" w:color="auto"/>
                    <w:bottom w:val="none" w:sz="0" w:space="0" w:color="auto"/>
                    <w:right w:val="none" w:sz="0" w:space="0" w:color="auto"/>
                  </w:divBdr>
                  <w:divsChild>
                    <w:div w:id="796222240">
                      <w:marLeft w:val="0"/>
                      <w:marRight w:val="0"/>
                      <w:marTop w:val="0"/>
                      <w:marBottom w:val="0"/>
                      <w:divBdr>
                        <w:top w:val="none" w:sz="0" w:space="0" w:color="auto"/>
                        <w:left w:val="none" w:sz="0" w:space="0" w:color="auto"/>
                        <w:bottom w:val="none" w:sz="0" w:space="0" w:color="auto"/>
                        <w:right w:val="none" w:sz="0" w:space="0" w:color="auto"/>
                      </w:divBdr>
                      <w:divsChild>
                        <w:div w:id="241642200">
                          <w:marLeft w:val="0"/>
                          <w:marRight w:val="0"/>
                          <w:marTop w:val="0"/>
                          <w:marBottom w:val="0"/>
                          <w:divBdr>
                            <w:top w:val="none" w:sz="0" w:space="0" w:color="auto"/>
                            <w:left w:val="none" w:sz="0" w:space="0" w:color="auto"/>
                            <w:bottom w:val="none" w:sz="0" w:space="0" w:color="auto"/>
                            <w:right w:val="none" w:sz="0" w:space="0" w:color="auto"/>
                          </w:divBdr>
                          <w:divsChild>
                            <w:div w:id="1754817800">
                              <w:marLeft w:val="-225"/>
                              <w:marRight w:val="-225"/>
                              <w:marTop w:val="0"/>
                              <w:marBottom w:val="0"/>
                              <w:divBdr>
                                <w:top w:val="none" w:sz="0" w:space="0" w:color="auto"/>
                                <w:left w:val="none" w:sz="0" w:space="0" w:color="auto"/>
                                <w:bottom w:val="none" w:sz="0" w:space="0" w:color="auto"/>
                                <w:right w:val="none" w:sz="0" w:space="0" w:color="auto"/>
                              </w:divBdr>
                              <w:divsChild>
                                <w:div w:id="10706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nlinelibrary.wiley.com/doi/full/10.1111/bjh.15655" TargetMode="External"/><Relationship Id="rId20" Type="http://schemas.openxmlformats.org/officeDocument/2006/relationships/hyperlink" Target="https://onlinelibrary.wiley.com/doi/full/10.1111/bjh.15655" TargetMode="External"/><Relationship Id="rId21" Type="http://schemas.openxmlformats.org/officeDocument/2006/relationships/hyperlink" Target="https://onlinelibrary.wiley.com/cms/asset/cc519dee-9a2f-4ee0-a38e-7b283f12fced/bjh15655-fig-0001-m.jpg" TargetMode="External"/><Relationship Id="rId22" Type="http://schemas.openxmlformats.org/officeDocument/2006/relationships/hyperlink" Target="https://onlinelibrary.wiley.com/doi/full/10.1111/bjh.15655" TargetMode="External"/><Relationship Id="rId23" Type="http://schemas.openxmlformats.org/officeDocument/2006/relationships/hyperlink" Target="https://onlinelibrary.wiley.com/action/downloadFigures?id=bjh15655-fig-0001&amp;doi=10.1111%2Fbjh.15655" TargetMode="External"/><Relationship Id="rId24" Type="http://schemas.openxmlformats.org/officeDocument/2006/relationships/hyperlink" Target="https://onlinelibrary.wiley.com/doi/full/10.1111/bjh.15655" TargetMode="External"/><Relationship Id="rId25" Type="http://schemas.openxmlformats.org/officeDocument/2006/relationships/hyperlink" Target="https://onlinelibrary.wiley.com/doi/full/10.1111/bjh.15655" TargetMode="External"/><Relationship Id="rId26" Type="http://schemas.openxmlformats.org/officeDocument/2006/relationships/hyperlink" Target="https://onlinelibrary.wiley.com/doi/full/10.1111/bjh.15655"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onlinelibrary.wiley.com/doi/full/10.1111/bjh.15655" TargetMode="External"/><Relationship Id="rId11" Type="http://schemas.openxmlformats.org/officeDocument/2006/relationships/hyperlink" Target="https://onlinelibrary.wiley.com/doi/full/10.1111/bjh.15655" TargetMode="External"/><Relationship Id="rId12" Type="http://schemas.openxmlformats.org/officeDocument/2006/relationships/hyperlink" Target="https://onlinelibrary.wiley.com/doi/full/10.1111/bjh.15655" TargetMode="External"/><Relationship Id="rId13" Type="http://schemas.openxmlformats.org/officeDocument/2006/relationships/hyperlink" Target="https://onlinelibrary.wiley.com/doi/full/10.1111/bjh.15655" TargetMode="External"/><Relationship Id="rId14" Type="http://schemas.openxmlformats.org/officeDocument/2006/relationships/hyperlink" Target="https://onlinelibrary.wiley.com/doi/full/10.1111/bjh.15655" TargetMode="External"/><Relationship Id="rId15" Type="http://schemas.openxmlformats.org/officeDocument/2006/relationships/hyperlink" Target="https://onlinelibrary.wiley.com/doi/full/10.1111/bjh.15655" TargetMode="External"/><Relationship Id="rId16" Type="http://schemas.openxmlformats.org/officeDocument/2006/relationships/hyperlink" Target="https://onlinelibrary.wiley.com/doi/full/10.1111/bjh.15655" TargetMode="External"/><Relationship Id="rId17" Type="http://schemas.openxmlformats.org/officeDocument/2006/relationships/hyperlink" Target="https://onlinelibrary.wiley.com/doi/full/10.1111/bjh.15655" TargetMode="External"/><Relationship Id="rId18" Type="http://schemas.openxmlformats.org/officeDocument/2006/relationships/hyperlink" Target="https://onlinelibrary.wiley.com/doi/full/10.1111/bjh.15655" TargetMode="External"/><Relationship Id="rId19" Type="http://schemas.openxmlformats.org/officeDocument/2006/relationships/hyperlink" Target="https://onlinelibrary.wiley.com/doi/full/10.1111/bjh.1565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nlinelibrary.wiley.com/doi/full/10.1111/bjh.15655" TargetMode="External"/><Relationship Id="rId7" Type="http://schemas.openxmlformats.org/officeDocument/2006/relationships/hyperlink" Target="https://onlinelibrary.wiley.com/doi/full/10.1111/bjh.15655" TargetMode="External"/><Relationship Id="rId8" Type="http://schemas.openxmlformats.org/officeDocument/2006/relationships/hyperlink" Target="https://onlinelibrary.wiley.com/doi/full/10.1111/bjh.156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9941</Characters>
  <Application>Microsoft Macintosh Word</Application>
  <DocSecurity>0</DocSecurity>
  <Lines>82</Lines>
  <Paragraphs>23</Paragraphs>
  <ScaleCrop>false</ScaleCrop>
  <Company>san luigi</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Cilloni</dc:creator>
  <cp:keywords/>
  <dc:description/>
  <cp:lastModifiedBy>Daniela Cilloni</cp:lastModifiedBy>
  <cp:revision>1</cp:revision>
  <dcterms:created xsi:type="dcterms:W3CDTF">2020-07-01T13:49:00Z</dcterms:created>
  <dcterms:modified xsi:type="dcterms:W3CDTF">2020-07-01T13:49:00Z</dcterms:modified>
</cp:coreProperties>
</file>