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A5" w:rsidRDefault="001918A5" w:rsidP="001918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918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http://www.calabuig.it/la-lingua-di-abe-kazushige/</w:t>
      </w:r>
      <w:bookmarkStart w:id="0" w:name="_GoBack"/>
      <w:bookmarkEnd w:id="0"/>
    </w:p>
    <w:p w:rsidR="001918A5" w:rsidRDefault="001918A5" w:rsidP="001918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918A5" w:rsidRPr="001918A5" w:rsidRDefault="001918A5" w:rsidP="001918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918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La lingua di </w:t>
      </w:r>
      <w:proofErr w:type="spellStart"/>
      <w:r w:rsidRPr="001918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Abe</w:t>
      </w:r>
      <w:proofErr w:type="spellEnd"/>
      <w:r w:rsidRPr="001918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Kazushige</w:t>
      </w:r>
      <w:proofErr w:type="spellEnd"/>
    </w:p>
    <w:p w:rsidR="001918A5" w:rsidRPr="001918A5" w:rsidRDefault="001918A5" w:rsidP="0019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gramStart"/>
        <w:r w:rsidRPr="001918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proofErr w:type="gram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1918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 LINGUA DI</w:t>
        </w:r>
      </w:hyperlink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» La lingua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Abe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Kazushige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8A5" w:rsidRPr="001918A5" w:rsidRDefault="001918A5" w:rsidP="0019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A5">
        <w:rPr>
          <w:rFonts w:ascii="Times New Roman" w:eastAsia="Times New Roman" w:hAnsi="Times New Roman" w:cs="Times New Roman"/>
          <w:b/>
          <w:bCs/>
          <w:sz w:val="24"/>
          <w:szCs w:val="24"/>
        </w:rPr>
        <w:t>LA LINGUA DI ABE KAZUSHIGE: UN CROSSOVER DI STILI E LINGUAGGI</w:t>
      </w:r>
    </w:p>
    <w:p w:rsidR="001918A5" w:rsidRPr="001918A5" w:rsidRDefault="001918A5" w:rsidP="0019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Testo di </w:t>
      </w:r>
      <w:r w:rsidRPr="00191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Gianluca </w:t>
      </w:r>
      <w:proofErr w:type="spellStart"/>
      <w:r w:rsidRPr="001918A5">
        <w:rPr>
          <w:rFonts w:ascii="Times New Roman" w:eastAsia="Times New Roman" w:hAnsi="Times New Roman" w:cs="Times New Roman"/>
          <w:b/>
          <w:bCs/>
          <w:sz w:val="24"/>
          <w:szCs w:val="24"/>
        </w:rPr>
        <w:t>Coci</w:t>
      </w:r>
      <w:proofErr w:type="spellEnd"/>
    </w:p>
    <w:p w:rsidR="001918A5" w:rsidRPr="001918A5" w:rsidRDefault="001918A5" w:rsidP="0019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A5">
        <w:rPr>
          <w:rFonts w:ascii="Times New Roman" w:eastAsia="Times New Roman" w:hAnsi="Times New Roman" w:cs="Times New Roman"/>
          <w:sz w:val="24"/>
          <w:szCs w:val="24"/>
        </w:rPr>
        <w:br/>
        <w:t xml:space="preserve">Concreto, essenziale, vivido, asettico, rapido: il linguaggio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Abe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Kazushige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dà spesso al lettore la sensazione di assistere alle scene di un film. E non è un caso. Classe 1968, tra i più autorevoli rappresentanti della letteratura giapponese della generazione post-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murakamiana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Abe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ha alle spalle una formazione di taglio cinematografico. A metà anni Ottanta, abbandona il liceo e la sua remota cittadina di provincia nell’estremo nord del Giappone per trasferirsi a Tokyo e dare un senso concreto alla sua passione per la settima arte, che durante l’adolescenza non si era potuta spingere oltre la frequentazione dell’unico cinema della piccola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Jinmachi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dove tra un film hard e l’altro venivano proiettati in seconda e terza visione i grandi kolossal fantascientifici di Steven Spielberg e George Lucas, oppure famose pellicole della saga di Bruce Lee. Nella capitale frequenta la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Nihon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eiga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gakkō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(Japan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Moving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Image: fondata nel 1975 dal regista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Imamura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Shōhei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ha avuto tra i suoi allievi cineasti contemporanei del calibro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Miike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Takashi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), dove si diploma nel 1990, cominciando subito a scrivere sceneggiature e lavorando come aiuto regista. Nel corso di quegli anni risulta fondamentale, ai fini della sua formazione culturale, la frequentazione del quartiere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Shibuya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– negli anni Sessanta, Settanta e Ottanta principale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milieu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della nuova cultura alternativa e sperimentale – e in particolare della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Seed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Hall, uno spazio multimediale situato al decimo piano dei grandi magazzini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Seibu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sede di un teatro, di una galleria d’arte, di una sala per concerti e di un cinema, dove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Abe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lavora part-time. A contatto con scrittori, registi e artisti accomunati da un’indole sperimentatrice,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Abe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Kazushige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si insinua nella nuova corrente culturale dell’epoca e getta le basi della sua letteratura. Il cinema diventa uno dei leitmotiv dei suoi romanzi, a cominciare da </w:t>
      </w:r>
      <w:proofErr w:type="spellStart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Amerika</w:t>
      </w:r>
      <w:proofErr w:type="spellEnd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 </w:t>
      </w:r>
      <w:proofErr w:type="spellStart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yoru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La notte americana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1994), il cui titolo rappresenta un evidente omaggio a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Truffaut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e al cinema in genere. La storia racconta le vicende del giovane protagonista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Nakayama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Tadao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diplomato a una scuola di cinema e impiegato presso una vecchia sala cinematografica, il quale sogna di diventare un essere speciale ispirandosi a Bruce Lee. Il successivo </w:t>
      </w:r>
      <w:proofErr w:type="spellStart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proofErr w:type="spellEnd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sensō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La guerra dell’</w:t>
      </w:r>
      <w:proofErr w:type="spellStart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1995), spesso accostato ad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Arancia meccanica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è un lungo racconto sperimentale infarcito di dialoghi all’insegna del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nonsense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. Si svolge quasi interamente a bordo dei treni della linea ferroviaria locale nei dintorni della cittadina natale dell’autore ed è una sorta di cronaca in cui si raccontano gli scontri tra le bande di adolescenti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Jinmachi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e delle cittadine vicine, specificando toponimi e luoghi geografici di riferimento con un’accuratezza maniacale. Le dispute tra gli adolescenti, descritte con un piglio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pulp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a metà strada tra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Russ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Meyer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e Quentin Tarantino, offrono occasione per presentare uno straordinario spaccato semiologico e antropologico della vita di provincia, tra noia, perversioni e sogni di speranza. Un tratto peculiare, questo, di molti romanzi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Abe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spesso incentrati sul contrasto – anche linguistico – tra metropoli e provincia remota. Come avviene per esempio nel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Proiezionista 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(1997), dove al 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ritmo ossessivo e al linguaggio nervoso, tagliente e puntellato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black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humour delle parti ambientate a Tokyo, si contrappongono talvolta l’atmosfera visionaria e un idioma maggiormente rilassato e con spunti dialettali quando la vicenda si sposta in provincia.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Il Proiezionista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come buona parte dei romanzi di questo autore, è volutamente basato sull’antitesi stilistica e linguistica, sulla commistione dei generi: a tratti può apparire una storia in perfetto stile hard-boiled, in altri un racconto di formazione, in altri ancora addirittura un fantasy apocalittico in stile manga. Il romanzo è narrato in prima persona, sotto forma di una sorta di memorandum dallo stile volutamente cinico e asettico, tipico della scrittura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Abe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>, il quale a questo proposito e in merito allo scarso coinvolgimento dell’io narrante nella sfera sentimentale dei personaggi afferma: «Mi si rimprovera spesso un’assenza di empatia nei confronti dei protagonisti dei miei romanzi. Sì, è vero, ma d’altra parte non posso fare a meno di nutrire dei dubbi sull’incontro felice tra il lettore e il personaggio. Non è questa la mia concezione della narrativa» (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Libération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29.05.2013). La tendenza alla contrapposizione è evidente, in questo e in altri romanzi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Abe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(per esempio in </w:t>
      </w:r>
      <w:proofErr w:type="spellStart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Nipponia</w:t>
      </w:r>
      <w:proofErr w:type="spellEnd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Nippon</w:t>
      </w:r>
      <w:proofErr w:type="spellEnd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del 2001), anche nella descrizione accurata e minuziosa della psicologia spesso deviata dei protagonisti, che fa da contraltare alla dose massiccia di suspense e azione. E lo stesso vale anche per il capolavoro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Sin </w:t>
      </w:r>
      <w:proofErr w:type="spellStart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semilla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(2003), una lunga e complessa saga familiare in cui attraverso tre generazioni viene imbastita una storia trasversale del Giappone dal dopoguerra ai giorni nostri, basata da una parte sul racconto caustico e intrigante dei vizi, delle manie e delle ossessioni dei protagonisti, e dall’altra su inserti cronachistici che forniscono un sostrato importante di veridicità alle vicende talvolta persino surreali, con uno stile che ricorda le opere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Ōe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Kenzaburō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e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Nakagami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Kenji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così come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Cent’anni di solitudine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di García Márquez e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L’urlo e il furore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di Faulkner, e con atmosfere spesso reminiscenti dei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Segreti di Twin </w:t>
      </w:r>
      <w:proofErr w:type="spellStart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Peaks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di David Lynch.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Sin </w:t>
      </w:r>
      <w:proofErr w:type="spellStart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semilla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è un romanzo sorprendente come pochi anche dal punto di vista stilistico, apparendo come un crossover di generi che non ha eguali nella letteratura giapponese moderna e contemporanea. È questa una tendenza che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Abe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porta ai suoi estremi nel secondo romanzo della “trilogia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Jinmachi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>” (il terzo volume è annunciato entro il 2020),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Pisutoruzu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Pistilli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2011), poco meno lungo del predecessore e nel quale l’accento viene posto maggiormente sull’aspetto surreale, a evocare atmosfere molto anni Sessanta e Settanta e il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Flower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della stagione degli hippies. Lo stesso autore conferma la sua volontà di andare oltre la barriera dei generi, creando un mix ai limiti dell’impossibile: «Uno dei miei obiettivi, quando ho scritto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Pistilli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era far confluire diversi generi in uno stesso romanzo: fantascienza, mistery, romanzo storico, love story e così via. Volevo costruire uno spazio narrativo artificiale e minimale, in cui non esistessero barriere tra generi e dove tutto fosse possibile. Ho scelto accuratamente le parole, le espressioni e ogni altro elemento, a questo preciso scopo, e molto probabilmente è per questo che se ne ricava un’impressione come di distacco dal mondo» (intervista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Nakamata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Akio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. Cit. in Gianluca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Coci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JapanPop</w:t>
      </w:r>
      <w:proofErr w:type="spellEnd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. Parole, immagini, suoni dal Giappone contemporaneo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Aracne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Editrice, Roma 2013, p. 156). Nello stile e nella lingua di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Abe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Kazushige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infine, sono spesso presenti, accanto ai riferimenti cinematografici, anche continui rimandi al mondo della musica pop e rock. Le atmosfere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sixties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Pistilli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, ad esempio, vengono sapientemente evidenziate dalla “colonna sonora” del romanzo, basata su canzoni degli anni Sessanta e Settanta legate al movimento del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Flower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e della cultura hippy, con frequenti e suggestivi richiami alla mitica stagione “Love &amp;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Peace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>” e alla “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of Love ‘67” messi in evidenza con un tocco leggero e mai stucchevole. Tra l’altro va aggiunto che il linguaggio di questo romanzo, complice il fatto che per la prima volta </w:t>
      </w:r>
      <w:proofErr w:type="spellStart"/>
      <w:r w:rsidRPr="001918A5">
        <w:rPr>
          <w:rFonts w:ascii="Times New Roman" w:eastAsia="Times New Roman" w:hAnsi="Times New Roman" w:cs="Times New Roman"/>
          <w:sz w:val="24"/>
          <w:szCs w:val="24"/>
        </w:rPr>
        <w:t>Abe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ricorre a un io narrante femminile e a conferma della volontà di non porsi limiti, risulta più moderato e ricco dal punto di vista lessicale, rispetto alla durezza e all’irruenza dei lavori degli esordi, di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Sin </w:t>
      </w:r>
      <w:proofErr w:type="spellStart"/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semilla</w:t>
      </w:r>
      <w:proofErr w:type="spellEnd"/>
      <w:r w:rsidRPr="001918A5">
        <w:rPr>
          <w:rFonts w:ascii="Times New Roman" w:eastAsia="Times New Roman" w:hAnsi="Times New Roman" w:cs="Times New Roman"/>
          <w:sz w:val="24"/>
          <w:szCs w:val="24"/>
        </w:rPr>
        <w:t xml:space="preserve"> e dello stesso </w:t>
      </w:r>
      <w:r w:rsidRPr="001918A5">
        <w:rPr>
          <w:rFonts w:ascii="Times New Roman" w:eastAsia="Times New Roman" w:hAnsi="Times New Roman" w:cs="Times New Roman"/>
          <w:i/>
          <w:iCs/>
          <w:sz w:val="24"/>
          <w:szCs w:val="24"/>
        </w:rPr>
        <w:t>Il proiezionista</w:t>
      </w:r>
      <w:r w:rsidRPr="00191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B5A" w:rsidRDefault="00D70B5A"/>
    <w:sectPr w:rsidR="00D70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A5"/>
    <w:rsid w:val="001918A5"/>
    <w:rsid w:val="00D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050E1-1A38-450B-9EB2-FF7BD3C6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91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1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tbreadcrumbscontent">
    <w:name w:val="et_breadcrumbs_content"/>
    <w:basedOn w:val="Carpredefinitoparagrafo"/>
    <w:rsid w:val="001918A5"/>
  </w:style>
  <w:style w:type="character" w:styleId="Collegamentoipertestuale">
    <w:name w:val="Hyperlink"/>
    <w:basedOn w:val="Carpredefinitoparagrafo"/>
    <w:uiPriority w:val="99"/>
    <w:semiHidden/>
    <w:unhideWhenUsed/>
    <w:rsid w:val="001918A5"/>
    <w:rPr>
      <w:color w:val="0000FF"/>
      <w:u w:val="single"/>
    </w:rPr>
  </w:style>
  <w:style w:type="character" w:customStyle="1" w:styleId="raquo">
    <w:name w:val="raquo"/>
    <w:basedOn w:val="Carpredefinitoparagrafo"/>
    <w:rsid w:val="001918A5"/>
  </w:style>
  <w:style w:type="character" w:customStyle="1" w:styleId="etbreadcrumbstitle">
    <w:name w:val="et_breadcrumbs_title"/>
    <w:basedOn w:val="Carpredefinitoparagrafo"/>
    <w:rsid w:val="001918A5"/>
  </w:style>
  <w:style w:type="paragraph" w:styleId="NormaleWeb">
    <w:name w:val="Normal (Web)"/>
    <w:basedOn w:val="Normale"/>
    <w:uiPriority w:val="99"/>
    <w:semiHidden/>
    <w:unhideWhenUsed/>
    <w:rsid w:val="0019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91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abuig.it/category/la-lingua-di/" TargetMode="External"/><Relationship Id="rId4" Type="http://schemas.openxmlformats.org/officeDocument/2006/relationships/hyperlink" Target="http://www.calabui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2</cp:revision>
  <dcterms:created xsi:type="dcterms:W3CDTF">2015-11-28T17:15:00Z</dcterms:created>
  <dcterms:modified xsi:type="dcterms:W3CDTF">2015-11-28T17:16:00Z</dcterms:modified>
</cp:coreProperties>
</file>