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A1" w:rsidRPr="00231CF4" w:rsidRDefault="004F18A1" w:rsidP="0033641D">
      <w:pPr>
        <w:jc w:val="center"/>
        <w:rPr>
          <w:b/>
          <w:sz w:val="28"/>
          <w:szCs w:val="28"/>
        </w:rPr>
      </w:pPr>
      <w:r w:rsidRPr="0044754C">
        <w:rPr>
          <w:b/>
          <w:sz w:val="28"/>
          <w:szCs w:val="28"/>
        </w:rPr>
        <w:t xml:space="preserve">Linguistic, </w:t>
      </w:r>
      <w:proofErr w:type="spellStart"/>
      <w:r w:rsidRPr="0044754C">
        <w:rPr>
          <w:b/>
          <w:sz w:val="28"/>
          <w:szCs w:val="28"/>
        </w:rPr>
        <w:t>extralinguistic</w:t>
      </w:r>
      <w:proofErr w:type="spellEnd"/>
      <w:r w:rsidRPr="0044754C">
        <w:rPr>
          <w:b/>
          <w:sz w:val="28"/>
          <w:szCs w:val="28"/>
        </w:rPr>
        <w:t xml:space="preserve"> and paralinguistic abilities in patients with right hemisphere damage (RHD)</w:t>
      </w:r>
      <w:r w:rsidRPr="0044754C">
        <w:rPr>
          <w:b/>
          <w:sz w:val="28"/>
          <w:szCs w:val="28"/>
        </w:rPr>
        <w:br/>
      </w:r>
    </w:p>
    <w:p w:rsidR="004F18A1" w:rsidRPr="008B1AB9" w:rsidRDefault="004F18A1" w:rsidP="0033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/>
          <w:bCs/>
          <w:vertAlign w:val="superscript"/>
          <w:lang w:val="it-IT"/>
        </w:rPr>
      </w:pPr>
      <w:r w:rsidRPr="001B0997">
        <w:rPr>
          <w:b/>
          <w:sz w:val="22"/>
          <w:szCs w:val="22"/>
          <w:lang w:val="it-IT"/>
        </w:rPr>
        <w:t xml:space="preserve">Alberto Parola </w:t>
      </w:r>
      <w:r w:rsidRPr="008B1AB9">
        <w:rPr>
          <w:b/>
          <w:sz w:val="22"/>
          <w:szCs w:val="22"/>
          <w:lang w:val="it-IT"/>
        </w:rPr>
        <w:t>(</w:t>
      </w:r>
      <w:hyperlink r:id="rId8" w:history="1">
        <w:r w:rsidRPr="008B1AB9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alparola@unito.it</w:t>
        </w:r>
      </w:hyperlink>
      <w:r w:rsidRPr="008B1AB9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  <w:r w:rsidR="0033641D" w:rsidRPr="008B1AB9">
        <w:rPr>
          <w:b/>
          <w:bCs/>
          <w:vertAlign w:val="superscript"/>
          <w:lang w:val="it-IT"/>
        </w:rPr>
        <w:t xml:space="preserve"> </w:t>
      </w:r>
    </w:p>
    <w:p w:rsidR="000E4858" w:rsidRDefault="00D7654E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0"/>
        <w:jc w:val="center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 xml:space="preserve">Center for Cognitive Science and Department of Psychology, University of Turin, </w:t>
      </w:r>
      <w:r>
        <w:rPr>
          <w:rFonts w:eastAsia="Times New Roman"/>
          <w:lang w:eastAsia="it-IT"/>
        </w:rPr>
        <w:t>V</w:t>
      </w:r>
      <w:r w:rsidRPr="001B0997">
        <w:rPr>
          <w:rFonts w:eastAsia="Times New Roman"/>
          <w:lang w:eastAsia="it-IT"/>
        </w:rPr>
        <w:t>ia Po 14, Turin, Italy</w:t>
      </w:r>
    </w:p>
    <w:p w:rsidR="00752DF7" w:rsidRDefault="00752DF7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0"/>
        <w:jc w:val="center"/>
        <w:rPr>
          <w:rFonts w:eastAsia="Times New Roman"/>
          <w:lang w:eastAsia="it-IT"/>
        </w:rPr>
      </w:pPr>
    </w:p>
    <w:p w:rsidR="004F18A1" w:rsidRPr="000E4858" w:rsidRDefault="004F18A1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0"/>
        <w:jc w:val="center"/>
        <w:rPr>
          <w:b/>
          <w:bCs/>
          <w:sz w:val="22"/>
          <w:szCs w:val="22"/>
          <w:vertAlign w:val="superscript"/>
          <w:lang w:val="it-IT"/>
        </w:rPr>
      </w:pPr>
      <w:r w:rsidRPr="000E4858">
        <w:rPr>
          <w:b/>
          <w:sz w:val="22"/>
          <w:szCs w:val="22"/>
          <w:lang w:val="it-IT"/>
        </w:rPr>
        <w:t>Ilaria Gabbatore (</w:t>
      </w:r>
      <w:hyperlink r:id="rId9" w:history="1">
        <w:r w:rsidRPr="000E4858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ilaria.gabbatore@unito.it</w:t>
        </w:r>
      </w:hyperlink>
      <w:r w:rsidRPr="000E4858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</w:p>
    <w:p w:rsidR="00D7654E" w:rsidRDefault="00D7654E" w:rsidP="0033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 xml:space="preserve">Center for Cognitive Science, University of Turin, </w:t>
      </w:r>
      <w:r>
        <w:rPr>
          <w:rFonts w:eastAsia="Times New Roman"/>
          <w:lang w:eastAsia="it-IT"/>
        </w:rPr>
        <w:t>V</w:t>
      </w:r>
      <w:r w:rsidRPr="001B0997">
        <w:rPr>
          <w:rFonts w:eastAsia="Times New Roman"/>
          <w:lang w:eastAsia="it-IT"/>
        </w:rPr>
        <w:t>ia Po 14, Turin, Italy</w:t>
      </w:r>
      <w:r w:rsidR="000E4858">
        <w:rPr>
          <w:rFonts w:eastAsia="Times New Roman"/>
          <w:lang w:eastAsia="it-IT"/>
        </w:rPr>
        <w:t>;</w:t>
      </w:r>
    </w:p>
    <w:p w:rsidR="00E148B0" w:rsidRDefault="00E148B0" w:rsidP="00E1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eastAsia="Times New Roman"/>
          <w:lang w:eastAsia="it-IT"/>
        </w:rPr>
      </w:pPr>
      <w:r w:rsidRPr="00EC7D3F">
        <w:rPr>
          <w:rFonts w:eastAsia="Times New Roman"/>
          <w:lang w:eastAsia="it-IT"/>
        </w:rPr>
        <w:t>University of Oulu</w:t>
      </w:r>
      <w:r>
        <w:rPr>
          <w:rFonts w:eastAsia="Times New Roman"/>
          <w:lang w:eastAsia="it-IT"/>
        </w:rPr>
        <w:t xml:space="preserve">, </w:t>
      </w:r>
      <w:r w:rsidRPr="00EC7D3F">
        <w:rPr>
          <w:rFonts w:eastAsia="Times New Roman"/>
          <w:lang w:eastAsia="it-IT"/>
        </w:rPr>
        <w:t>Child Language Research Center</w:t>
      </w:r>
      <w:r>
        <w:rPr>
          <w:rFonts w:eastAsia="Times New Roman"/>
          <w:lang w:eastAsia="it-IT"/>
        </w:rPr>
        <w:t xml:space="preserve">, </w:t>
      </w:r>
      <w:r w:rsidRPr="00EC7D3F">
        <w:rPr>
          <w:rFonts w:eastAsia="Times New Roman"/>
          <w:lang w:eastAsia="it-IT"/>
        </w:rPr>
        <w:t>PO Box 1000</w:t>
      </w:r>
      <w:r>
        <w:rPr>
          <w:rFonts w:eastAsia="Times New Roman"/>
          <w:lang w:eastAsia="it-IT"/>
        </w:rPr>
        <w:t xml:space="preserve">, </w:t>
      </w:r>
      <w:r w:rsidRPr="00EC7D3F">
        <w:rPr>
          <w:rFonts w:eastAsia="Times New Roman"/>
          <w:lang w:eastAsia="it-IT"/>
        </w:rPr>
        <w:t>90014</w:t>
      </w:r>
      <w:r>
        <w:rPr>
          <w:rFonts w:eastAsia="Times New Roman"/>
          <w:lang w:eastAsia="it-IT"/>
        </w:rPr>
        <w:t>,</w:t>
      </w:r>
      <w:r w:rsidRPr="00EC7D3F">
        <w:rPr>
          <w:rFonts w:eastAsia="Times New Roman"/>
          <w:lang w:eastAsia="it-IT"/>
        </w:rPr>
        <w:t xml:space="preserve"> Oulu</w:t>
      </w:r>
      <w:r>
        <w:rPr>
          <w:rFonts w:eastAsia="Times New Roman"/>
          <w:lang w:eastAsia="it-IT"/>
        </w:rPr>
        <w:t xml:space="preserve">, </w:t>
      </w:r>
      <w:r w:rsidRPr="00EC7D3F">
        <w:rPr>
          <w:rFonts w:eastAsia="Times New Roman"/>
          <w:lang w:eastAsia="it-IT"/>
        </w:rPr>
        <w:t>Finland</w:t>
      </w:r>
    </w:p>
    <w:p w:rsidR="00752DF7" w:rsidRDefault="00752DF7" w:rsidP="0033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eastAsia="Times New Roman"/>
          <w:lang w:eastAsia="it-IT"/>
        </w:rPr>
      </w:pPr>
    </w:p>
    <w:p w:rsidR="004F18A1" w:rsidRPr="008B1AB9" w:rsidRDefault="004F18A1" w:rsidP="0033641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  <w:r w:rsidRPr="001B0997">
        <w:rPr>
          <w:b/>
          <w:sz w:val="22"/>
          <w:szCs w:val="22"/>
          <w:lang w:val="it-IT"/>
        </w:rPr>
        <w:t>Francesca</w:t>
      </w:r>
      <w:r w:rsidRPr="001B0997">
        <w:rPr>
          <w:sz w:val="22"/>
          <w:szCs w:val="22"/>
          <w:lang w:val="it-IT"/>
        </w:rPr>
        <w:t xml:space="preserve"> </w:t>
      </w:r>
      <w:r w:rsidRPr="001B0997">
        <w:rPr>
          <w:b/>
          <w:sz w:val="22"/>
          <w:szCs w:val="22"/>
          <w:lang w:val="it-IT"/>
        </w:rPr>
        <w:t xml:space="preserve">M. Bosco </w:t>
      </w:r>
      <w:r w:rsidRPr="008B1AB9">
        <w:rPr>
          <w:b/>
          <w:sz w:val="22"/>
          <w:szCs w:val="22"/>
          <w:lang w:val="it-IT"/>
        </w:rPr>
        <w:t>(</w:t>
      </w:r>
      <w:hyperlink r:id="rId10" w:history="1">
        <w:r w:rsidRPr="008B1AB9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francesca.bosco@unito.it</w:t>
        </w:r>
      </w:hyperlink>
      <w:r w:rsidRPr="008B1AB9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  <w:r w:rsidRPr="008B1AB9">
        <w:rPr>
          <w:b/>
          <w:bCs/>
          <w:sz w:val="22"/>
          <w:szCs w:val="22"/>
          <w:vertAlign w:val="superscript"/>
          <w:lang w:val="it-IT"/>
        </w:rPr>
        <w:t xml:space="preserve"> </w:t>
      </w:r>
    </w:p>
    <w:p w:rsidR="00D7654E" w:rsidRDefault="00D7654E" w:rsidP="0033641D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 xml:space="preserve">Center for Cognitive Science and Department of Psychology, University of Turin, </w:t>
      </w:r>
      <w:r>
        <w:rPr>
          <w:rFonts w:eastAsia="Times New Roman"/>
          <w:lang w:eastAsia="it-IT"/>
        </w:rPr>
        <w:t>V</w:t>
      </w:r>
      <w:r w:rsidRPr="001B0997">
        <w:rPr>
          <w:rFonts w:eastAsia="Times New Roman"/>
          <w:lang w:eastAsia="it-IT"/>
        </w:rPr>
        <w:t>ia Po 14, Turin, Italy</w:t>
      </w:r>
      <w:r w:rsidR="00EC7D3F">
        <w:rPr>
          <w:rFonts w:eastAsia="Times New Roman"/>
          <w:lang w:eastAsia="it-IT"/>
        </w:rPr>
        <w:t>;</w:t>
      </w:r>
    </w:p>
    <w:p w:rsidR="00752DF7" w:rsidRPr="007701E9" w:rsidRDefault="00752DF7" w:rsidP="0033641D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:rsidR="004F18A1" w:rsidRPr="008B1AB9" w:rsidRDefault="004F18A1" w:rsidP="0033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Cs/>
          <w:sz w:val="22"/>
          <w:szCs w:val="22"/>
          <w:vertAlign w:val="superscript"/>
          <w:lang w:val="it-IT"/>
        </w:rPr>
      </w:pPr>
      <w:r w:rsidRPr="001B0997">
        <w:rPr>
          <w:b/>
          <w:sz w:val="22"/>
          <w:szCs w:val="22"/>
          <w:lang w:val="it-IT"/>
        </w:rPr>
        <w:t xml:space="preserve">Federico M. </w:t>
      </w:r>
      <w:proofErr w:type="spellStart"/>
      <w:r w:rsidRPr="001B0997">
        <w:rPr>
          <w:b/>
          <w:sz w:val="22"/>
          <w:szCs w:val="22"/>
          <w:lang w:val="it-IT"/>
        </w:rPr>
        <w:t>Cossa</w:t>
      </w:r>
      <w:proofErr w:type="spellEnd"/>
      <w:r w:rsidRPr="001B0997">
        <w:rPr>
          <w:b/>
          <w:sz w:val="22"/>
          <w:szCs w:val="22"/>
          <w:lang w:val="it-IT"/>
        </w:rPr>
        <w:t xml:space="preserve"> </w:t>
      </w:r>
      <w:r w:rsidRPr="008B1AB9">
        <w:rPr>
          <w:b/>
          <w:sz w:val="22"/>
          <w:szCs w:val="22"/>
          <w:lang w:val="it-IT"/>
        </w:rPr>
        <w:t>(</w:t>
      </w:r>
      <w:hyperlink r:id="rId11" w:history="1">
        <w:r w:rsidRPr="008B1AB9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federico.cossa@fsm.it</w:t>
        </w:r>
      </w:hyperlink>
      <w:r w:rsidRPr="008B1AB9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  <w:r w:rsidR="0033641D" w:rsidRPr="008B1AB9">
        <w:rPr>
          <w:b/>
          <w:bCs/>
          <w:sz w:val="22"/>
          <w:szCs w:val="22"/>
          <w:vertAlign w:val="superscript"/>
          <w:lang w:val="it-IT"/>
        </w:rPr>
        <w:t xml:space="preserve"> </w:t>
      </w:r>
    </w:p>
    <w:p w:rsidR="00D7654E" w:rsidRDefault="00D7654E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eastAsia="Times New Roman"/>
          <w:lang w:val="it-IT" w:eastAsia="it-IT"/>
        </w:rPr>
      </w:pPr>
      <w:r w:rsidRPr="001B0997">
        <w:rPr>
          <w:rFonts w:eastAsia="Times New Roman"/>
          <w:lang w:val="it-IT" w:eastAsia="it-IT"/>
        </w:rPr>
        <w:t xml:space="preserve">Dipartimento di Riabilitazione Neurologica, </w:t>
      </w:r>
      <w:r>
        <w:rPr>
          <w:rFonts w:eastAsia="Times New Roman"/>
          <w:lang w:val="it-IT" w:eastAsia="it-IT"/>
        </w:rPr>
        <w:t>V</w:t>
      </w:r>
      <w:r w:rsidRPr="001B0997">
        <w:rPr>
          <w:rFonts w:eastAsia="Times New Roman"/>
          <w:lang w:val="it-IT" w:eastAsia="it-IT"/>
        </w:rPr>
        <w:t xml:space="preserve">ia Santa Giulia 60, Fondazione Salvatore </w:t>
      </w:r>
      <w:proofErr w:type="spellStart"/>
      <w:r w:rsidRPr="001B0997">
        <w:rPr>
          <w:rFonts w:eastAsia="Times New Roman"/>
          <w:lang w:val="it-IT" w:eastAsia="it-IT"/>
        </w:rPr>
        <w:t>Maugeri</w:t>
      </w:r>
      <w:proofErr w:type="spellEnd"/>
      <w:r w:rsidRPr="001B0997">
        <w:rPr>
          <w:rFonts w:eastAsia="Times New Roman"/>
          <w:lang w:val="it-IT" w:eastAsia="it-IT"/>
        </w:rPr>
        <w:t xml:space="preserve">, </w:t>
      </w:r>
      <w:proofErr w:type="spellStart"/>
      <w:r w:rsidRPr="001B0997">
        <w:rPr>
          <w:rFonts w:eastAsia="Times New Roman"/>
          <w:lang w:val="it-IT" w:eastAsia="it-IT"/>
        </w:rPr>
        <w:t>Turin</w:t>
      </w:r>
      <w:proofErr w:type="spellEnd"/>
      <w:r w:rsidRPr="001B0997">
        <w:rPr>
          <w:rFonts w:eastAsia="Times New Roman"/>
          <w:lang w:val="it-IT" w:eastAsia="it-IT"/>
        </w:rPr>
        <w:t>, Italy</w:t>
      </w:r>
    </w:p>
    <w:p w:rsidR="00752DF7" w:rsidRPr="001B0997" w:rsidRDefault="00752DF7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2"/>
          <w:szCs w:val="22"/>
          <w:lang w:val="it-IT"/>
        </w:rPr>
      </w:pPr>
    </w:p>
    <w:p w:rsidR="004F18A1" w:rsidRPr="008B1AB9" w:rsidRDefault="004F18A1" w:rsidP="0033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/>
          <w:bCs/>
          <w:sz w:val="22"/>
          <w:szCs w:val="22"/>
          <w:vertAlign w:val="superscript"/>
          <w:lang w:val="it-IT"/>
        </w:rPr>
      </w:pPr>
      <w:r w:rsidRPr="001B0997">
        <w:rPr>
          <w:b/>
          <w:sz w:val="22"/>
          <w:szCs w:val="22"/>
          <w:lang w:val="it-IT"/>
        </w:rPr>
        <w:t xml:space="preserve">Patrizia </w:t>
      </w:r>
      <w:proofErr w:type="spellStart"/>
      <w:r w:rsidRPr="001B0997">
        <w:rPr>
          <w:b/>
          <w:sz w:val="22"/>
          <w:szCs w:val="22"/>
          <w:lang w:val="it-IT"/>
        </w:rPr>
        <w:t>Gindri</w:t>
      </w:r>
      <w:proofErr w:type="spellEnd"/>
      <w:r w:rsidRPr="001B0997">
        <w:rPr>
          <w:b/>
          <w:sz w:val="22"/>
          <w:szCs w:val="22"/>
          <w:lang w:val="it-IT"/>
        </w:rPr>
        <w:t xml:space="preserve"> </w:t>
      </w:r>
      <w:r w:rsidRPr="008B1AB9">
        <w:rPr>
          <w:b/>
          <w:sz w:val="22"/>
          <w:szCs w:val="22"/>
          <w:lang w:val="it-IT"/>
        </w:rPr>
        <w:t>(</w:t>
      </w:r>
      <w:hyperlink r:id="rId12" w:history="1">
        <w:r w:rsidRPr="008B1AB9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p.gindri@h-sancamillo.to.it</w:t>
        </w:r>
      </w:hyperlink>
      <w:r w:rsidRPr="008B1AB9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  <w:r w:rsidR="0033641D" w:rsidRPr="008B1AB9">
        <w:rPr>
          <w:b/>
          <w:bCs/>
          <w:sz w:val="22"/>
          <w:szCs w:val="22"/>
          <w:vertAlign w:val="superscript"/>
          <w:lang w:val="it-IT"/>
        </w:rPr>
        <w:t xml:space="preserve"> </w:t>
      </w:r>
    </w:p>
    <w:p w:rsidR="00D7654E" w:rsidRDefault="00066C7D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lang w:val="it-IT" w:eastAsia="it-IT"/>
        </w:rPr>
      </w:pPr>
      <w:r>
        <w:rPr>
          <w:lang w:val="it-IT" w:eastAsia="it-IT"/>
        </w:rPr>
        <w:t xml:space="preserve">Presidio </w:t>
      </w:r>
      <w:r w:rsidR="00B31924" w:rsidRPr="001B0997">
        <w:rPr>
          <w:lang w:val="it-IT" w:eastAsia="it-IT"/>
        </w:rPr>
        <w:t xml:space="preserve">Sanitario San Camillo, </w:t>
      </w:r>
      <w:r w:rsidR="00B31924">
        <w:rPr>
          <w:lang w:val="it-IT" w:eastAsia="it-IT"/>
        </w:rPr>
        <w:t>S</w:t>
      </w:r>
      <w:r w:rsidR="00B31924" w:rsidRPr="001B0997">
        <w:rPr>
          <w:lang w:val="it-IT" w:eastAsia="it-IT"/>
        </w:rPr>
        <w:t xml:space="preserve">trada Santa Margherita 136, </w:t>
      </w:r>
      <w:proofErr w:type="spellStart"/>
      <w:r w:rsidR="00B31924" w:rsidRPr="001B0997">
        <w:rPr>
          <w:lang w:val="it-IT" w:eastAsia="it-IT"/>
        </w:rPr>
        <w:t>Turin</w:t>
      </w:r>
      <w:proofErr w:type="spellEnd"/>
      <w:r w:rsidR="00B31924" w:rsidRPr="001B0997">
        <w:rPr>
          <w:lang w:val="it-IT" w:eastAsia="it-IT"/>
        </w:rPr>
        <w:t>, Italy</w:t>
      </w:r>
    </w:p>
    <w:p w:rsidR="00752DF7" w:rsidRPr="001B0997" w:rsidRDefault="00752DF7" w:rsidP="000E4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2"/>
          <w:szCs w:val="22"/>
          <w:lang w:val="it-IT"/>
        </w:rPr>
      </w:pPr>
    </w:p>
    <w:p w:rsidR="004F18A1" w:rsidRPr="008B1AB9" w:rsidRDefault="004F18A1" w:rsidP="0033641D">
      <w:pPr>
        <w:pStyle w:val="Affiliation"/>
        <w:rPr>
          <w:bCs/>
          <w:sz w:val="22"/>
          <w:szCs w:val="22"/>
          <w:vertAlign w:val="superscript"/>
          <w:lang w:val="it-IT"/>
        </w:rPr>
      </w:pPr>
      <w:r w:rsidRPr="001B0997">
        <w:rPr>
          <w:b/>
          <w:sz w:val="22"/>
          <w:szCs w:val="22"/>
          <w:lang w:val="it-IT"/>
        </w:rPr>
        <w:t xml:space="preserve">Katiuscia Sacco </w:t>
      </w:r>
      <w:r w:rsidRPr="008B1AB9">
        <w:rPr>
          <w:b/>
          <w:sz w:val="22"/>
          <w:szCs w:val="22"/>
          <w:lang w:val="it-IT"/>
        </w:rPr>
        <w:t>(</w:t>
      </w:r>
      <w:hyperlink r:id="rId13" w:history="1">
        <w:r w:rsidRPr="008B1AB9">
          <w:rPr>
            <w:rStyle w:val="Collegamentoipertestuale"/>
            <w:b/>
            <w:color w:val="auto"/>
            <w:sz w:val="22"/>
            <w:szCs w:val="22"/>
            <w:u w:val="none"/>
            <w:lang w:val="it-IT"/>
          </w:rPr>
          <w:t>katiuscia.sacco@unito.it</w:t>
        </w:r>
      </w:hyperlink>
      <w:r w:rsidRPr="008B1AB9">
        <w:rPr>
          <w:rStyle w:val="Collegamentoipertestuale"/>
          <w:b/>
          <w:color w:val="auto"/>
          <w:sz w:val="22"/>
          <w:szCs w:val="22"/>
          <w:u w:val="none"/>
          <w:lang w:val="it-IT"/>
        </w:rPr>
        <w:t>)</w:t>
      </w:r>
      <w:r w:rsidR="0033641D" w:rsidRPr="008B1AB9">
        <w:rPr>
          <w:bCs/>
          <w:sz w:val="22"/>
          <w:szCs w:val="22"/>
          <w:vertAlign w:val="superscript"/>
          <w:lang w:val="it-IT"/>
        </w:rPr>
        <w:t xml:space="preserve"> </w:t>
      </w:r>
    </w:p>
    <w:p w:rsidR="004F18A1" w:rsidRDefault="0033641D" w:rsidP="00720EE5">
      <w:pPr>
        <w:pStyle w:val="Affiliation"/>
        <w:rPr>
          <w:lang w:eastAsia="it-IT"/>
        </w:rPr>
      </w:pPr>
      <w:r w:rsidRPr="001B0997">
        <w:rPr>
          <w:lang w:eastAsia="it-IT"/>
        </w:rPr>
        <w:t xml:space="preserve">Center for Cognitive Science and Department of Psychology, University of Turin, </w:t>
      </w:r>
      <w:r>
        <w:rPr>
          <w:lang w:eastAsia="it-IT"/>
        </w:rPr>
        <w:t>V</w:t>
      </w:r>
      <w:r w:rsidRPr="001B0997">
        <w:rPr>
          <w:lang w:eastAsia="it-IT"/>
        </w:rPr>
        <w:t>ia Po 14, Turin, Italy</w:t>
      </w:r>
    </w:p>
    <w:p w:rsidR="00720EE5" w:rsidRPr="00F3345C" w:rsidRDefault="00720EE5" w:rsidP="00720EE5">
      <w:pPr>
        <w:pStyle w:val="Affiliation"/>
        <w:rPr>
          <w:lang w:eastAsia="it-IT"/>
        </w:rPr>
      </w:pPr>
    </w:p>
    <w:p w:rsidR="004F18A1" w:rsidRPr="003C2669" w:rsidRDefault="004F18A1" w:rsidP="00720EE5">
      <w:pPr>
        <w:ind w:firstLine="0"/>
      </w:pPr>
    </w:p>
    <w:p w:rsidR="004F18A1" w:rsidRPr="003C2669" w:rsidRDefault="004F18A1">
      <w:pPr>
        <w:jc w:val="center"/>
        <w:sectPr w:rsidR="004F18A1" w:rsidRPr="003C2669" w:rsidSect="004F18A1">
          <w:type w:val="continuous"/>
          <w:pgSz w:w="12240" w:h="15840" w:code="1"/>
          <w:pgMar w:top="1440" w:right="1080" w:bottom="1080" w:left="1080" w:header="720" w:footer="720" w:gutter="0"/>
          <w:cols w:space="720"/>
        </w:sectPr>
      </w:pPr>
    </w:p>
    <w:p w:rsidR="004F18A1" w:rsidRPr="001B0997" w:rsidRDefault="004F18A1">
      <w:pPr>
        <w:pStyle w:val="Abstractheading"/>
        <w:spacing w:after="120"/>
      </w:pPr>
      <w:r w:rsidRPr="001B0997">
        <w:lastRenderedPageBreak/>
        <w:t>Abstract</w:t>
      </w:r>
    </w:p>
    <w:p w:rsidR="004F18A1" w:rsidRPr="001B0997" w:rsidRDefault="004F18A1">
      <w:pPr>
        <w:pStyle w:val="Abstracttext"/>
      </w:pPr>
      <w:r w:rsidRPr="001B0997">
        <w:t xml:space="preserve">Patients with right hemisphere damage (RHD) </w:t>
      </w:r>
      <w:r w:rsidR="001D4D5A">
        <w:t>often</w:t>
      </w:r>
      <w:r w:rsidRPr="001B0997">
        <w:t xml:space="preserve"> </w:t>
      </w:r>
      <w:r w:rsidR="001D4D5A">
        <w:t xml:space="preserve">show </w:t>
      </w:r>
      <w:r w:rsidRPr="001B0997">
        <w:t xml:space="preserve">communicative-pragmatic deficits </w:t>
      </w:r>
      <w:r w:rsidR="001D4D5A">
        <w:t xml:space="preserve">involving </w:t>
      </w:r>
      <w:r w:rsidRPr="001B0997">
        <w:t xml:space="preserve">different expressive modalities, i.e. linguistic, </w:t>
      </w:r>
      <w:proofErr w:type="spellStart"/>
      <w:r w:rsidRPr="001B0997">
        <w:t>extralinguistic</w:t>
      </w:r>
      <w:proofErr w:type="spellEnd"/>
      <w:r w:rsidRPr="001B0997">
        <w:t xml:space="preserve"> and paralinguistic. Most previous research</w:t>
      </w:r>
      <w:r w:rsidR="00987787">
        <w:t xml:space="preserve"> has </w:t>
      </w:r>
      <w:r w:rsidRPr="001B0997">
        <w:t>evaluated pragmatic ability using linguistic tasks</w:t>
      </w:r>
      <w:r w:rsidR="00987787">
        <w:t xml:space="preserve"> </w:t>
      </w:r>
      <w:r w:rsidR="00987787" w:rsidRPr="001B0997">
        <w:t>only</w:t>
      </w:r>
      <w:r w:rsidRPr="001B0997">
        <w:t xml:space="preserve">, while </w:t>
      </w:r>
      <w:r w:rsidR="00987787">
        <w:t xml:space="preserve">the </w:t>
      </w:r>
      <w:proofErr w:type="spellStart"/>
      <w:r w:rsidRPr="001B0997">
        <w:t>extralinguistic</w:t>
      </w:r>
      <w:proofErr w:type="spellEnd"/>
      <w:r w:rsidRPr="001B0997">
        <w:t xml:space="preserve"> aspects of communication </w:t>
      </w:r>
      <w:r w:rsidR="00987787">
        <w:t xml:space="preserve">have </w:t>
      </w:r>
      <w:r w:rsidRPr="001B0997">
        <w:t xml:space="preserve">received less attention. </w:t>
      </w:r>
      <w:r w:rsidR="00987787">
        <w:t>The a</w:t>
      </w:r>
      <w:r w:rsidRPr="001B0997">
        <w:t xml:space="preserve">im of the present study </w:t>
      </w:r>
      <w:r w:rsidR="00C05B1E">
        <w:t>was</w:t>
      </w:r>
      <w:r w:rsidR="00C05B1E" w:rsidRPr="001B0997">
        <w:t xml:space="preserve"> </w:t>
      </w:r>
      <w:r w:rsidRPr="001B0997">
        <w:t xml:space="preserve">to provide a multifocal assessment of communicative abilities in RHD patients, </w:t>
      </w:r>
      <w:r>
        <w:t>describing</w:t>
      </w:r>
      <w:r w:rsidRPr="001B0997">
        <w:t xml:space="preserve"> their communicative impairment and abilities, both in comprehension and production. </w:t>
      </w:r>
      <w:r w:rsidR="00987787">
        <w:t xml:space="preserve">The </w:t>
      </w:r>
      <w:r w:rsidR="00C05B1E">
        <w:t>study</w:t>
      </w:r>
      <w:r w:rsidR="00987787" w:rsidRPr="001B0997">
        <w:t xml:space="preserve"> </w:t>
      </w:r>
      <w:r w:rsidRPr="001B0997">
        <w:t xml:space="preserve">revealed communicative deficits </w:t>
      </w:r>
      <w:r w:rsidR="00C05B1E">
        <w:t xml:space="preserve">in </w:t>
      </w:r>
      <w:r w:rsidRPr="001B0997">
        <w:t xml:space="preserve">RHD patients </w:t>
      </w:r>
      <w:r>
        <w:t>in all the expressive modaliti</w:t>
      </w:r>
      <w:r w:rsidRPr="001B0997">
        <w:t xml:space="preserve">es investigated, </w:t>
      </w:r>
      <w:r w:rsidR="00987787" w:rsidRPr="001B0997">
        <w:t>i.e.</w:t>
      </w:r>
      <w:r w:rsidRPr="001B0997">
        <w:t xml:space="preserve"> linguistic, </w:t>
      </w:r>
      <w:proofErr w:type="spellStart"/>
      <w:r w:rsidRPr="001B0997">
        <w:t>extralinguistic</w:t>
      </w:r>
      <w:proofErr w:type="spellEnd"/>
      <w:r w:rsidRPr="001B0997">
        <w:t xml:space="preserve"> and paralinguistic, with patients performing worse in </w:t>
      </w:r>
      <w:proofErr w:type="spellStart"/>
      <w:r w:rsidRPr="001B0997">
        <w:t>extralinguistic</w:t>
      </w:r>
      <w:proofErr w:type="spellEnd"/>
      <w:r w:rsidRPr="001B0997">
        <w:t xml:space="preserve"> </w:t>
      </w:r>
      <w:r w:rsidR="00987787">
        <w:t xml:space="preserve">tasks </w:t>
      </w:r>
      <w:r w:rsidRPr="001B0997">
        <w:t xml:space="preserve">than </w:t>
      </w:r>
      <w:r w:rsidR="00C05B1E">
        <w:t xml:space="preserve">in </w:t>
      </w:r>
      <w:r w:rsidRPr="001B0997">
        <w:t>linguistic tasks.</w:t>
      </w:r>
    </w:p>
    <w:p w:rsidR="004F18A1" w:rsidRPr="001B0997" w:rsidRDefault="004F18A1" w:rsidP="004F18A1">
      <w:pPr>
        <w:pStyle w:val="Abstracttext"/>
        <w:spacing w:before="120"/>
        <w:ind w:right="187"/>
      </w:pPr>
      <w:r w:rsidRPr="001B0997">
        <w:rPr>
          <w:b/>
          <w:bCs/>
        </w:rPr>
        <w:t>Keywords:</w:t>
      </w:r>
      <w:r w:rsidRPr="001B0997">
        <w:rPr>
          <w:b/>
        </w:rPr>
        <w:t xml:space="preserve"> </w:t>
      </w:r>
      <w:r w:rsidRPr="001B0997">
        <w:rPr>
          <w:bCs/>
        </w:rPr>
        <w:t xml:space="preserve">Communication, right hemisphere damage, assessment, </w:t>
      </w:r>
      <w:proofErr w:type="spellStart"/>
      <w:r w:rsidRPr="001B0997">
        <w:rPr>
          <w:bCs/>
        </w:rPr>
        <w:t>extralinguistic</w:t>
      </w:r>
      <w:proofErr w:type="spellEnd"/>
    </w:p>
    <w:p w:rsidR="004F18A1" w:rsidRPr="001B0997" w:rsidRDefault="004F18A1" w:rsidP="005A4C97">
      <w:pPr>
        <w:pStyle w:val="Titolo1"/>
        <w:spacing w:beforeLines="100"/>
      </w:pPr>
      <w:r w:rsidRPr="001B0997">
        <w:t>Introduction</w:t>
      </w:r>
    </w:p>
    <w:p w:rsidR="004F18A1" w:rsidRPr="001B0997" w:rsidRDefault="004F18A1" w:rsidP="007540D2">
      <w:pPr>
        <w:ind w:firstLine="0"/>
        <w:rPr>
          <w:rFonts w:eastAsia="Times New Roman"/>
          <w:lang w:eastAsia="it-IT"/>
        </w:rPr>
      </w:pPr>
      <w:r w:rsidRPr="001B0997">
        <w:t>C</w:t>
      </w:r>
      <w:r>
        <w:t>ommunicative-pragmatic competence i</w:t>
      </w:r>
      <w:r w:rsidRPr="001B0997">
        <w:t xml:space="preserve">s the ability to draw </w:t>
      </w:r>
      <w:r>
        <w:t>appropriate</w:t>
      </w:r>
      <w:r w:rsidRPr="001B0997">
        <w:t xml:space="preserve"> inferences in order to recognize the par</w:t>
      </w:r>
      <w:r>
        <w:t xml:space="preserve">tner’s communicative intention </w:t>
      </w:r>
      <w:r w:rsidRPr="001B0997">
        <w:t>(</w:t>
      </w:r>
      <w:r w:rsidR="00E53254">
        <w:t>Levinson, 1983)</w:t>
      </w:r>
      <w:r>
        <w:t xml:space="preserve">. </w:t>
      </w:r>
      <w:r w:rsidRPr="001B0997">
        <w:t xml:space="preserve">The contribution of </w:t>
      </w:r>
      <w:r w:rsidR="00987787">
        <w:t xml:space="preserve">the </w:t>
      </w:r>
      <w:r w:rsidRPr="001B0997">
        <w:t>right hemisphere in sustaining communicative</w:t>
      </w:r>
      <w:r>
        <w:t>-pragmatic</w:t>
      </w:r>
      <w:r w:rsidRPr="001B0997">
        <w:t xml:space="preserve"> competence </w:t>
      </w:r>
      <w:r>
        <w:t>has been</w:t>
      </w:r>
      <w:r w:rsidRPr="001B0997">
        <w:t xml:space="preserve"> confirmed by a huge body of evidence, including neuropsychological and </w:t>
      </w:r>
      <w:proofErr w:type="spellStart"/>
      <w:r w:rsidRPr="001B0997">
        <w:t>neuroimaging</w:t>
      </w:r>
      <w:proofErr w:type="spellEnd"/>
      <w:r w:rsidRPr="001B0997">
        <w:t xml:space="preserve"> data (</w:t>
      </w:r>
      <w:r w:rsidRPr="001B0997">
        <w:rPr>
          <w:rFonts w:eastAsia="Times New Roman"/>
          <w:lang w:eastAsia="it-IT"/>
        </w:rPr>
        <w:t>e</w:t>
      </w:r>
      <w:r w:rsidRPr="001B0997">
        <w:rPr>
          <w:rFonts w:eastAsia="Times New Roman"/>
          <w:sz w:val="22"/>
          <w:szCs w:val="22"/>
          <w:lang w:eastAsia="it-IT"/>
        </w:rPr>
        <w:t>.</w:t>
      </w:r>
      <w:r w:rsidRPr="001B0997">
        <w:rPr>
          <w:rFonts w:eastAsia="Times New Roman"/>
          <w:lang w:eastAsia="it-IT"/>
        </w:rPr>
        <w:t>g</w:t>
      </w:r>
      <w:r w:rsidR="00987787">
        <w:rPr>
          <w:rFonts w:eastAsia="Times New Roman"/>
          <w:lang w:eastAsia="it-IT"/>
        </w:rPr>
        <w:t>.</w:t>
      </w:r>
      <w:r w:rsidRPr="001B0997">
        <w:rPr>
          <w:rFonts w:eastAsia="Times New Roman"/>
          <w:lang w:eastAsia="it-IT"/>
        </w:rPr>
        <w:t xml:space="preserve"> Tompkins, 1995; </w:t>
      </w:r>
      <w:proofErr w:type="spellStart"/>
      <w:r w:rsidRPr="001B0997">
        <w:rPr>
          <w:rFonts w:eastAsia="Times New Roman"/>
          <w:lang w:eastAsia="it-IT"/>
        </w:rPr>
        <w:t>Zaidel</w:t>
      </w:r>
      <w:proofErr w:type="spellEnd"/>
      <w:r w:rsidRPr="001B0997">
        <w:rPr>
          <w:rFonts w:eastAsia="Times New Roman"/>
          <w:lang w:eastAsia="it-IT"/>
        </w:rPr>
        <w:t xml:space="preserve"> et al., 2002</w:t>
      </w:r>
      <w:r w:rsidRPr="001B0997">
        <w:t>). While basic linguistic abilities, i.e</w:t>
      </w:r>
      <w:r w:rsidR="00987787">
        <w:t>.</w:t>
      </w:r>
      <w:r w:rsidRPr="001B0997">
        <w:t xml:space="preserve"> phonological, morphological and syntactical</w:t>
      </w:r>
      <w:r w:rsidR="008D5270">
        <w:t xml:space="preserve"> skills</w:t>
      </w:r>
      <w:r w:rsidRPr="001B0997">
        <w:t xml:space="preserve">, are </w:t>
      </w:r>
      <w:r w:rsidR="00E87042">
        <w:t>almost entirely</w:t>
      </w:r>
      <w:r w:rsidR="00987787">
        <w:t xml:space="preserve"> </w:t>
      </w:r>
      <w:r w:rsidRPr="001B0997">
        <w:t>preserved</w:t>
      </w:r>
      <w:r>
        <w:t xml:space="preserve"> after right hemisphere damage (RHD), impairment </w:t>
      </w:r>
      <w:r w:rsidRPr="001B0997">
        <w:t>affect</w:t>
      </w:r>
      <w:r w:rsidR="00987787">
        <w:t>s</w:t>
      </w:r>
      <w:r w:rsidRPr="001B0997">
        <w:t xml:space="preserve"> the ability to use language in social contexts (Cummings, 2009).</w:t>
      </w:r>
    </w:p>
    <w:p w:rsidR="004F18A1" w:rsidRPr="001B0997" w:rsidRDefault="004F18A1" w:rsidP="004F18A1">
      <w:r w:rsidRPr="001B0997">
        <w:t>Communicative</w:t>
      </w:r>
      <w:r>
        <w:t>-pragmatic</w:t>
      </w:r>
      <w:r w:rsidRPr="001B0997">
        <w:t xml:space="preserve"> competence can be considered as a complex high-order ability, encompassing different </w:t>
      </w:r>
      <w:r w:rsidRPr="001B0997">
        <w:lastRenderedPageBreak/>
        <w:t xml:space="preserve">skills that </w:t>
      </w:r>
      <w:r w:rsidR="00987787">
        <w:t>make it possible</w:t>
      </w:r>
      <w:r w:rsidR="00987787" w:rsidRPr="001B0997">
        <w:t xml:space="preserve"> </w:t>
      </w:r>
      <w:r w:rsidRPr="001B0997">
        <w:t xml:space="preserve">to comprehend and produce relevant messages in a flexible way, adapting them </w:t>
      </w:r>
      <w:r w:rsidR="00987787">
        <w:t xml:space="preserve">according </w:t>
      </w:r>
      <w:r w:rsidRPr="001B0997">
        <w:t xml:space="preserve">to the demands </w:t>
      </w:r>
      <w:r w:rsidR="00987787">
        <w:t>of</w:t>
      </w:r>
      <w:r w:rsidRPr="001B0997">
        <w:t xml:space="preserve"> a specific social context: almost </w:t>
      </w:r>
      <w:r w:rsidR="00987787">
        <w:t>all</w:t>
      </w:r>
      <w:r w:rsidRPr="001B0997">
        <w:t xml:space="preserve"> of these abilities can be impaired as a consequence of RHD. First of all, RHD can compromise conversational and discursive abilities: egocentric and tangential comments, </w:t>
      </w:r>
      <w:r w:rsidR="000E4858" w:rsidRPr="001B0997">
        <w:t>reduc</w:t>
      </w:r>
      <w:r w:rsidR="000E4858">
        <w:t>ed use</w:t>
      </w:r>
      <w:r w:rsidRPr="001B0997">
        <w:t xml:space="preserve"> of cohesive device</w:t>
      </w:r>
      <w:r w:rsidR="00987787">
        <w:t>s</w:t>
      </w:r>
      <w:r w:rsidRPr="001B0997">
        <w:t xml:space="preserve">, difficulties in maintaining </w:t>
      </w:r>
      <w:r w:rsidR="00987787">
        <w:t xml:space="preserve">the theme of a </w:t>
      </w:r>
      <w:r w:rsidRPr="001B0997">
        <w:t xml:space="preserve">discourse and in respecting turn-taking </w:t>
      </w:r>
      <w:r>
        <w:t xml:space="preserve">have been reported </w:t>
      </w:r>
      <w:r w:rsidRPr="001B0997">
        <w:t>(e.g. Myers; 1999;</w:t>
      </w:r>
      <w:r w:rsidR="00AB4767">
        <w:t xml:space="preserve"> </w:t>
      </w:r>
      <w:r w:rsidRPr="001B0997">
        <w:t xml:space="preserve">Marini et al., 2005; </w:t>
      </w:r>
      <w:proofErr w:type="spellStart"/>
      <w:r w:rsidRPr="001B0997">
        <w:t>Hird</w:t>
      </w:r>
      <w:proofErr w:type="spellEnd"/>
      <w:r w:rsidRPr="001B0997">
        <w:t xml:space="preserve"> &amp; </w:t>
      </w:r>
      <w:proofErr w:type="spellStart"/>
      <w:r w:rsidRPr="001B0997">
        <w:t>Kirsner</w:t>
      </w:r>
      <w:proofErr w:type="spellEnd"/>
      <w:r w:rsidRPr="001B0997">
        <w:t xml:space="preserve">, 2003). Patients can also lose knowledge of the rules that regulate communication in a social context: they are </w:t>
      </w:r>
      <w:r>
        <w:t>sometimes un</w:t>
      </w:r>
      <w:r w:rsidRPr="001B0997">
        <w:t xml:space="preserve">able to </w:t>
      </w:r>
      <w:r w:rsidR="008D5270">
        <w:t>attune their</w:t>
      </w:r>
      <w:r w:rsidR="00E87042">
        <w:t xml:space="preserve"> communicative regist</w:t>
      </w:r>
      <w:r w:rsidR="00E87042" w:rsidRPr="00E87042">
        <w:t>er</w:t>
      </w:r>
      <w:r w:rsidRPr="001B0997">
        <w:t xml:space="preserve"> to a specific situation, </w:t>
      </w:r>
      <w:r w:rsidR="008D5270">
        <w:t>or</w:t>
      </w:r>
      <w:r w:rsidR="008D5270" w:rsidRPr="001B0997">
        <w:t xml:space="preserve"> </w:t>
      </w:r>
      <w:r w:rsidRPr="001B0997">
        <w:t xml:space="preserve">to produce appropriate responses. Patients often fail to </w:t>
      </w:r>
      <w:r w:rsidR="00987787">
        <w:t>grasp</w:t>
      </w:r>
      <w:r w:rsidR="00987787" w:rsidRPr="001B0997">
        <w:t xml:space="preserve"> </w:t>
      </w:r>
      <w:r w:rsidRPr="001B0997">
        <w:t xml:space="preserve">the pragmatic </w:t>
      </w:r>
      <w:r w:rsidR="008D5270">
        <w:t>meaning of</w:t>
      </w:r>
      <w:r w:rsidRPr="001B0997">
        <w:t xml:space="preserve"> a communicative exchange, especially when the message expressed is indirect or ambiguous, remaining attached to a literal interpretation. This is the case of </w:t>
      </w:r>
      <w:r w:rsidR="00987787" w:rsidRPr="001B0997">
        <w:t>non</w:t>
      </w:r>
      <w:r w:rsidR="00987787">
        <w:t>-</w:t>
      </w:r>
      <w:r w:rsidRPr="001B0997">
        <w:t>literal and figurative forms of language, such as humor (</w:t>
      </w:r>
      <w:proofErr w:type="spellStart"/>
      <w:r w:rsidRPr="001B0997">
        <w:t>Cheang</w:t>
      </w:r>
      <w:proofErr w:type="spellEnd"/>
      <w:r w:rsidRPr="001B0997">
        <w:t xml:space="preserve"> &amp; Pell, 200</w:t>
      </w:r>
      <w:r>
        <w:t>6), idioms and metaphors (</w:t>
      </w:r>
      <w:proofErr w:type="spellStart"/>
      <w:r>
        <w:t>Papagno</w:t>
      </w:r>
      <w:proofErr w:type="spellEnd"/>
      <w:r>
        <w:t xml:space="preserve"> et al., 2006),</w:t>
      </w:r>
      <w:r w:rsidRPr="001B0997">
        <w:t xml:space="preserve"> sarcasm (McDonald, 2000) and lies (Winner et al., 1998). </w:t>
      </w:r>
    </w:p>
    <w:p w:rsidR="00132C62" w:rsidRDefault="004F18A1" w:rsidP="00132C62">
      <w:r w:rsidRPr="001B0997">
        <w:t xml:space="preserve">Another typical area of impairment traditionally associated with RHD is the management of paralinguistic components. </w:t>
      </w:r>
      <w:r w:rsidR="002F4CF6">
        <w:t>The term p</w:t>
      </w:r>
      <w:r w:rsidRPr="001B0997">
        <w:t>aralinguistic refers to those aspects that contribute to modify</w:t>
      </w:r>
      <w:r w:rsidR="002F4CF6">
        <w:t>ing</w:t>
      </w:r>
      <w:r w:rsidRPr="001B0997">
        <w:t>, marking or clarify</w:t>
      </w:r>
      <w:r w:rsidR="002F4CF6">
        <w:t>ing</w:t>
      </w:r>
      <w:r w:rsidRPr="001B0997">
        <w:t xml:space="preserve"> the content of a message, such as intonation of</w:t>
      </w:r>
      <w:r>
        <w:t xml:space="preserve"> voice, facial expressions, body</w:t>
      </w:r>
      <w:r w:rsidRPr="001B0997">
        <w:t xml:space="preserve"> and </w:t>
      </w:r>
      <w:r w:rsidR="00987787">
        <w:t>eye</w:t>
      </w:r>
      <w:r w:rsidR="00490850">
        <w:t>s</w:t>
      </w:r>
      <w:r w:rsidR="00987787" w:rsidRPr="001B0997">
        <w:t xml:space="preserve"> </w:t>
      </w:r>
      <w:r w:rsidRPr="001B0997">
        <w:t xml:space="preserve">movements. </w:t>
      </w:r>
      <w:r w:rsidR="00987787">
        <w:t>Such</w:t>
      </w:r>
      <w:r w:rsidR="00987787" w:rsidRPr="001B0997">
        <w:t xml:space="preserve"> </w:t>
      </w:r>
      <w:r w:rsidRPr="001B0997">
        <w:t xml:space="preserve">aspects can be compromised </w:t>
      </w:r>
      <w:r w:rsidR="00987787" w:rsidRPr="001B0997">
        <w:t>in many ways</w:t>
      </w:r>
      <w:r w:rsidR="00987787">
        <w:t xml:space="preserve"> </w:t>
      </w:r>
      <w:r w:rsidRPr="001B0997">
        <w:t xml:space="preserve">after RHD. </w:t>
      </w:r>
      <w:r w:rsidR="007650CA">
        <w:t xml:space="preserve">Patients with </w:t>
      </w:r>
      <w:r w:rsidRPr="001B0997">
        <w:t xml:space="preserve">RHD </w:t>
      </w:r>
      <w:r w:rsidR="007650CA">
        <w:t>have</w:t>
      </w:r>
      <w:r w:rsidRPr="001B0997">
        <w:t xml:space="preserve"> difficulties </w:t>
      </w:r>
      <w:r w:rsidR="002F4CF6">
        <w:t>in</w:t>
      </w:r>
      <w:r w:rsidR="002F4CF6" w:rsidRPr="001B0997">
        <w:t xml:space="preserve"> </w:t>
      </w:r>
      <w:r w:rsidRPr="001B0997">
        <w:t xml:space="preserve">the comprehension of emotional prosody (Pell, 2006) and, when compared with LHD (left hemisphere damaged) patients, they </w:t>
      </w:r>
      <w:r w:rsidR="00987787">
        <w:t>have been found to</w:t>
      </w:r>
      <w:r w:rsidRPr="001B0997">
        <w:t xml:space="preserve"> be more impaired in recognizing emotion</w:t>
      </w:r>
      <w:r w:rsidR="0051006A">
        <w:t>s</w:t>
      </w:r>
      <w:bookmarkStart w:id="0" w:name="_GoBack"/>
      <w:bookmarkEnd w:id="0"/>
      <w:r w:rsidRPr="001B0997">
        <w:t xml:space="preserve"> from tone </w:t>
      </w:r>
      <w:r>
        <w:t xml:space="preserve">of voice </w:t>
      </w:r>
      <w:r>
        <w:lastRenderedPageBreak/>
        <w:t xml:space="preserve">or facial expressions </w:t>
      </w:r>
      <w:r w:rsidR="00D773E4">
        <w:t>(</w:t>
      </w:r>
      <w:proofErr w:type="spellStart"/>
      <w:r w:rsidR="00D773E4">
        <w:t>Kucharska-Pietura</w:t>
      </w:r>
      <w:proofErr w:type="spellEnd"/>
      <w:r w:rsidR="00D773E4">
        <w:t xml:space="preserve"> et al., 2003</w:t>
      </w:r>
      <w:r w:rsidRPr="001B0997">
        <w:t xml:space="preserve">). </w:t>
      </w:r>
      <w:r w:rsidR="008B0F53">
        <w:t xml:space="preserve">Moreover, </w:t>
      </w:r>
      <w:r w:rsidRPr="001B0997">
        <w:t xml:space="preserve">patients </w:t>
      </w:r>
      <w:r w:rsidR="001C7270">
        <w:t>showed impairments</w:t>
      </w:r>
      <w:r w:rsidRPr="001B0997">
        <w:t xml:space="preserve"> in </w:t>
      </w:r>
      <w:r w:rsidR="00712C1A">
        <w:t>recognizing</w:t>
      </w:r>
      <w:r w:rsidR="00712C1A" w:rsidRPr="001B0997">
        <w:t xml:space="preserve"> </w:t>
      </w:r>
      <w:r w:rsidR="00712C1A">
        <w:t xml:space="preserve">and </w:t>
      </w:r>
      <w:r w:rsidR="000F741A">
        <w:t xml:space="preserve">distinguishing </w:t>
      </w:r>
      <w:r w:rsidR="00712C1A">
        <w:t>prosodic features</w:t>
      </w:r>
      <w:r w:rsidR="00E24AA2">
        <w:t xml:space="preserve"> </w:t>
      </w:r>
      <w:r w:rsidRPr="001B0997">
        <w:t>(Brownell et al., 1995)</w:t>
      </w:r>
      <w:r w:rsidR="006C3A25">
        <w:t xml:space="preserve"> and in</w:t>
      </w:r>
      <w:r w:rsidRPr="001B0997">
        <w:t xml:space="preserve"> adequately regulat</w:t>
      </w:r>
      <w:r w:rsidR="008B0F53">
        <w:t>ing</w:t>
      </w:r>
      <w:r w:rsidRPr="001B0997">
        <w:t xml:space="preserve"> </w:t>
      </w:r>
      <w:r w:rsidR="001C7270">
        <w:t xml:space="preserve">their own </w:t>
      </w:r>
      <w:r w:rsidR="008B0F53">
        <w:t>production</w:t>
      </w:r>
      <w:r w:rsidRPr="001B0997">
        <w:t xml:space="preserve">, with alterations in vocal frequencies in the production of prosodic elements (Pell, 1999). </w:t>
      </w:r>
    </w:p>
    <w:p w:rsidR="004F18A1" w:rsidRDefault="004F18A1" w:rsidP="00132C62">
      <w:r w:rsidRPr="001B0997">
        <w:t xml:space="preserve">Few studies </w:t>
      </w:r>
      <w:r w:rsidR="00987787">
        <w:t xml:space="preserve">have </w:t>
      </w:r>
      <w:r w:rsidRPr="001B0997">
        <w:t xml:space="preserve">investigated </w:t>
      </w:r>
      <w:proofErr w:type="spellStart"/>
      <w:r w:rsidRPr="001B0997">
        <w:t>extralinguistic</w:t>
      </w:r>
      <w:proofErr w:type="spellEnd"/>
      <w:r w:rsidRPr="001B0997">
        <w:t xml:space="preserve"> ability in patients with RHD. </w:t>
      </w:r>
      <w:proofErr w:type="spellStart"/>
      <w:r w:rsidRPr="001B0997">
        <w:t>Cutica</w:t>
      </w:r>
      <w:proofErr w:type="spellEnd"/>
      <w:r w:rsidRPr="001B0997">
        <w:t xml:space="preserve"> et al. (2006) reported that patients with RHD </w:t>
      </w:r>
      <w:r w:rsidR="00987787">
        <w:t>were</w:t>
      </w:r>
      <w:r w:rsidR="00987787" w:rsidRPr="001B0997">
        <w:t xml:space="preserve"> </w:t>
      </w:r>
      <w:r w:rsidRPr="001B0997">
        <w:t xml:space="preserve">more impaired than </w:t>
      </w:r>
      <w:r>
        <w:t>LHD</w:t>
      </w:r>
      <w:r w:rsidRPr="001B0997">
        <w:t xml:space="preserve"> patients in the comprehension of communicative gestures, </w:t>
      </w:r>
      <w:r w:rsidR="00987787">
        <w:t>and even had</w:t>
      </w:r>
      <w:r w:rsidR="00987787" w:rsidRPr="001B0997">
        <w:t xml:space="preserve"> </w:t>
      </w:r>
      <w:r w:rsidRPr="001B0997">
        <w:t xml:space="preserve">difficulties in comprehending the easiest form of communicative gesture. Cocks et al. (2007) </w:t>
      </w:r>
      <w:r w:rsidR="00987787">
        <w:t>reported</w:t>
      </w:r>
      <w:r w:rsidR="00987787" w:rsidRPr="001B0997">
        <w:t xml:space="preserve"> </w:t>
      </w:r>
      <w:r w:rsidRPr="001B0997">
        <w:t xml:space="preserve">that </w:t>
      </w:r>
      <w:r w:rsidR="000F741A">
        <w:t xml:space="preserve">RHD </w:t>
      </w:r>
      <w:r w:rsidRPr="001B0997">
        <w:t xml:space="preserve">patients </w:t>
      </w:r>
      <w:r w:rsidR="00987787">
        <w:t>produced fewer</w:t>
      </w:r>
      <w:r w:rsidRPr="001B0997">
        <w:t xml:space="preserve"> spontaneous gestures during a conversation, especially when </w:t>
      </w:r>
      <w:r w:rsidR="001154EC">
        <w:t>it referred</w:t>
      </w:r>
      <w:r w:rsidRPr="001B0997">
        <w:t xml:space="preserve"> to an emotional content. These studies </w:t>
      </w:r>
      <w:r>
        <w:t>revealed</w:t>
      </w:r>
      <w:r w:rsidRPr="001B0997">
        <w:t xml:space="preserve"> that RHD could seriously </w:t>
      </w:r>
      <w:r w:rsidR="000F741A">
        <w:t>undermine</w:t>
      </w:r>
      <w:r w:rsidR="000F741A" w:rsidRPr="001B0997">
        <w:t xml:space="preserve"> </w:t>
      </w:r>
      <w:r w:rsidRPr="001B0997">
        <w:t xml:space="preserve">the ability to communicate using </w:t>
      </w:r>
      <w:proofErr w:type="spellStart"/>
      <w:r w:rsidRPr="001B0997">
        <w:t>extralinguistic</w:t>
      </w:r>
      <w:proofErr w:type="spellEnd"/>
      <w:r w:rsidRPr="001B0997">
        <w:t xml:space="preserve"> pragmatic </w:t>
      </w:r>
      <w:r w:rsidR="000F741A">
        <w:t>skills</w:t>
      </w:r>
      <w:r w:rsidRPr="001B0997">
        <w:t>.</w:t>
      </w:r>
      <w:r w:rsidR="00437E31">
        <w:t xml:space="preserve"> </w:t>
      </w:r>
      <w:r w:rsidR="00987787">
        <w:t xml:space="preserve">The </w:t>
      </w:r>
      <w:r w:rsidRPr="001B0997">
        <w:t xml:space="preserve">Cognitive Pragmatic Theory (Bara, 2010) conceives </w:t>
      </w:r>
      <w:r w:rsidR="00096D06" w:rsidRPr="001B0997">
        <w:t>communicati</w:t>
      </w:r>
      <w:r w:rsidR="00096D06">
        <w:t>ve</w:t>
      </w:r>
      <w:r w:rsidR="00096D06" w:rsidRPr="001B0997">
        <w:t xml:space="preserve"> </w:t>
      </w:r>
      <w:r w:rsidRPr="001B0997">
        <w:t>competence as the ability to draw correct inferences in order to recognize the partner’s communicative intention. Communicative intentions can be expressed not only verbal</w:t>
      </w:r>
      <w:r w:rsidR="00987787">
        <w:t>ly</w:t>
      </w:r>
      <w:r w:rsidRPr="001B0997">
        <w:t xml:space="preserve">, but also using </w:t>
      </w:r>
      <w:proofErr w:type="spellStart"/>
      <w:r w:rsidRPr="001B0997">
        <w:t>extralinguistic</w:t>
      </w:r>
      <w:proofErr w:type="spellEnd"/>
      <w:r w:rsidRPr="001B0997">
        <w:t xml:space="preserve"> behavior, such as body gestures and hand movement</w:t>
      </w:r>
      <w:r w:rsidR="00987787">
        <w:t>s</w:t>
      </w:r>
      <w:r w:rsidRPr="001B0997">
        <w:t xml:space="preserve">. This model </w:t>
      </w:r>
      <w:r w:rsidR="00987787">
        <w:t>maintains</w:t>
      </w:r>
      <w:r w:rsidR="00987787" w:rsidRPr="001B0997">
        <w:t xml:space="preserve"> </w:t>
      </w:r>
      <w:r w:rsidRPr="001B0997">
        <w:t xml:space="preserve">that comparable processes, aimed at the pragmatic decoding of </w:t>
      </w:r>
      <w:r w:rsidR="00987787">
        <w:t xml:space="preserve">the </w:t>
      </w:r>
      <w:r w:rsidRPr="001B0997">
        <w:t xml:space="preserve">interlocutor’s communicative intention, </w:t>
      </w:r>
      <w:r w:rsidR="00096D06">
        <w:t>may</w:t>
      </w:r>
      <w:r w:rsidR="00096D06" w:rsidRPr="001B0997">
        <w:t xml:space="preserve"> </w:t>
      </w:r>
      <w:r w:rsidRPr="001B0997">
        <w:t xml:space="preserve">be recruited </w:t>
      </w:r>
      <w:r w:rsidR="00987787">
        <w:t xml:space="preserve">regardless of whether linguistic or </w:t>
      </w:r>
      <w:proofErr w:type="spellStart"/>
      <w:r w:rsidR="00987787">
        <w:t>extralinguistic</w:t>
      </w:r>
      <w:proofErr w:type="spellEnd"/>
      <w:r w:rsidR="00987787">
        <w:t xml:space="preserve"> </w:t>
      </w:r>
      <w:r w:rsidRPr="001B0997">
        <w:t>communicative modality</w:t>
      </w:r>
      <w:r w:rsidR="00987787">
        <w:t xml:space="preserve"> is </w:t>
      </w:r>
      <w:r w:rsidRPr="001B0997">
        <w:t>used to convey a meaning</w:t>
      </w:r>
      <w:r>
        <w:t>.</w:t>
      </w:r>
    </w:p>
    <w:p w:rsidR="004F18A1" w:rsidRPr="001B0997" w:rsidRDefault="00987787" w:rsidP="007C6EAB">
      <w:r>
        <w:t>Taken as a whole</w:t>
      </w:r>
      <w:r w:rsidR="004F18A1" w:rsidRPr="001B0997">
        <w:t xml:space="preserve">, these </w:t>
      </w:r>
      <w:r w:rsidR="00096D06">
        <w:t>studies</w:t>
      </w:r>
      <w:r w:rsidRPr="001B0997">
        <w:t xml:space="preserve"> </w:t>
      </w:r>
      <w:r>
        <w:t>have shown</w:t>
      </w:r>
      <w:r w:rsidRPr="001B0997">
        <w:t xml:space="preserve"> </w:t>
      </w:r>
      <w:r w:rsidR="004F18A1" w:rsidRPr="001B0997">
        <w:t xml:space="preserve">that </w:t>
      </w:r>
      <w:r w:rsidR="004F18A1">
        <w:t>communicative-</w:t>
      </w:r>
      <w:r w:rsidR="004F18A1" w:rsidRPr="001B0997">
        <w:t xml:space="preserve">pragmatic disorders represent a typical outcome after RHD. </w:t>
      </w:r>
      <w:r>
        <w:t>Such</w:t>
      </w:r>
      <w:r w:rsidRPr="001B0997">
        <w:t xml:space="preserve"> </w:t>
      </w:r>
      <w:r w:rsidR="004F18A1" w:rsidRPr="001B0997">
        <w:t xml:space="preserve">deficits </w:t>
      </w:r>
      <w:r w:rsidR="00E87042">
        <w:t xml:space="preserve">can seriously </w:t>
      </w:r>
      <w:r w:rsidR="00E87042" w:rsidRPr="00E87042">
        <w:t xml:space="preserve">undermine </w:t>
      </w:r>
      <w:r w:rsidR="00E87042">
        <w:t>social functioning, preventing pat</w:t>
      </w:r>
      <w:r w:rsidR="00384BC7" w:rsidRPr="00096D06">
        <w:t>ient</w:t>
      </w:r>
      <w:r w:rsidR="00E87042">
        <w:t>s’ full recovery and limiting</w:t>
      </w:r>
      <w:r w:rsidR="00F846A9">
        <w:t xml:space="preserve"> </w:t>
      </w:r>
      <w:r w:rsidR="00E87042" w:rsidRPr="00F846A9">
        <w:t xml:space="preserve">their prospects </w:t>
      </w:r>
      <w:r w:rsidR="00B97496">
        <w:t>for reintegration at</w:t>
      </w:r>
      <w:r w:rsidR="00E87042">
        <w:t xml:space="preserve"> work and </w:t>
      </w:r>
      <w:r w:rsidR="00B97496">
        <w:t>into family life</w:t>
      </w:r>
      <w:r w:rsidR="00E87042">
        <w:t xml:space="preserve"> (Lehman, 2006). A</w:t>
      </w:r>
      <w:r w:rsidR="004F18A1" w:rsidRPr="001B0997">
        <w:t xml:space="preserve"> comprehensive assessment of communicative deficits in </w:t>
      </w:r>
      <w:r>
        <w:t xml:space="preserve">the </w:t>
      </w:r>
      <w:r w:rsidR="004F18A1" w:rsidRPr="001B0997">
        <w:t xml:space="preserve">early stages is necessary to provide effective rehabilitative treatment. </w:t>
      </w:r>
    </w:p>
    <w:p w:rsidR="004F18A1" w:rsidRPr="00445EAD" w:rsidRDefault="0004138E" w:rsidP="005A4C97">
      <w:pPr>
        <w:spacing w:beforeLines="100" w:afterLines="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Clinical assessment of RHD</w:t>
      </w:r>
      <w:r w:rsidRPr="00AB384F">
        <w:rPr>
          <w:b/>
          <w:sz w:val="22"/>
          <w:szCs w:val="22"/>
        </w:rPr>
        <w:t xml:space="preserve"> patients</w:t>
      </w:r>
    </w:p>
    <w:p w:rsidR="004F18A1" w:rsidRPr="001B0997" w:rsidRDefault="004F18A1" w:rsidP="007540D2">
      <w:pPr>
        <w:ind w:firstLine="0"/>
      </w:pPr>
      <w:r w:rsidRPr="001B0997">
        <w:t xml:space="preserve">The assessment of communicative-pragmatic abilities </w:t>
      </w:r>
      <w:r w:rsidR="00987787">
        <w:t>in</w:t>
      </w:r>
      <w:r w:rsidR="00987787" w:rsidRPr="001B0997">
        <w:t xml:space="preserve"> </w:t>
      </w:r>
      <w:r w:rsidRPr="001B0997">
        <w:t>RHD patients present</w:t>
      </w:r>
      <w:r w:rsidR="00987787">
        <w:t>s</w:t>
      </w:r>
      <w:r w:rsidRPr="001B0997">
        <w:t xml:space="preserve"> some theoretical and methodological issues. First of all, although communicative deficits are frequently reported, RHD patients </w:t>
      </w:r>
      <w:r w:rsidR="00987787">
        <w:t>have</w:t>
      </w:r>
      <w:r w:rsidR="00987787" w:rsidRPr="001B0997">
        <w:t xml:space="preserve"> </w:t>
      </w:r>
      <w:r w:rsidRPr="001B0997">
        <w:t>heterogeneous clinical profiles. RHD do</w:t>
      </w:r>
      <w:r w:rsidR="00987787">
        <w:t>es</w:t>
      </w:r>
      <w:r w:rsidRPr="001B0997">
        <w:t xml:space="preserve"> not generate a predictable list of impairments: deficits can be subtle and limited to </w:t>
      </w:r>
      <w:r w:rsidR="00096D06">
        <w:t>certain</w:t>
      </w:r>
      <w:r w:rsidR="00096D06" w:rsidRPr="001B0997">
        <w:t xml:space="preserve"> </w:t>
      </w:r>
      <w:r w:rsidRPr="001B0997">
        <w:t>expressive modalities</w:t>
      </w:r>
      <w:r w:rsidR="00096D06">
        <w:t>. A</w:t>
      </w:r>
      <w:r w:rsidRPr="001B0997">
        <w:t xml:space="preserve">ssessment tools should </w:t>
      </w:r>
      <w:r w:rsidR="00096D06">
        <w:t xml:space="preserve">therefore </w:t>
      </w:r>
      <w:r w:rsidRPr="001B0997">
        <w:t xml:space="preserve">concomitantly evaluate all the expressive modalities </w:t>
      </w:r>
      <w:r w:rsidR="00096D06">
        <w:t>of</w:t>
      </w:r>
      <w:r w:rsidR="00096D06" w:rsidRPr="001B0997">
        <w:t xml:space="preserve"> </w:t>
      </w:r>
      <w:r w:rsidRPr="001B0997">
        <w:t xml:space="preserve">pragmatic competence, in order to avoid </w:t>
      </w:r>
      <w:r w:rsidR="00987787">
        <w:t>the risk of</w:t>
      </w:r>
      <w:r w:rsidR="00987787" w:rsidRPr="001B0997">
        <w:t xml:space="preserve"> underrat</w:t>
      </w:r>
      <w:r w:rsidR="00987787">
        <w:t>ing</w:t>
      </w:r>
      <w:r w:rsidR="00987787" w:rsidRPr="001B0997">
        <w:t xml:space="preserve"> </w:t>
      </w:r>
      <w:r w:rsidRPr="001B0997">
        <w:t>patients’ difficulties. Cote et al. (2007) and Champagne-</w:t>
      </w:r>
      <w:proofErr w:type="spellStart"/>
      <w:r w:rsidRPr="001B0997">
        <w:t>Lavau</w:t>
      </w:r>
      <w:proofErr w:type="spellEnd"/>
      <w:r w:rsidRPr="001B0997">
        <w:t xml:space="preserve"> et al. (2009) examined this problem, delineating subgroups of RHD patients characterized by different patterns of communic</w:t>
      </w:r>
      <w:r>
        <w:t>ative impairment</w:t>
      </w:r>
      <w:r w:rsidRPr="001B0997">
        <w:t>.</w:t>
      </w:r>
    </w:p>
    <w:p w:rsidR="004F18A1" w:rsidRPr="001B0997" w:rsidRDefault="004F18A1" w:rsidP="004F18A1">
      <w:r w:rsidRPr="001B0997">
        <w:t xml:space="preserve">This variability </w:t>
      </w:r>
      <w:r w:rsidR="00987787">
        <w:t xml:space="preserve">has </w:t>
      </w:r>
      <w:r w:rsidR="00987787" w:rsidRPr="001B0997">
        <w:t>contribute</w:t>
      </w:r>
      <w:r w:rsidR="00987787">
        <w:t>d</w:t>
      </w:r>
      <w:r w:rsidR="00987787" w:rsidRPr="001B0997">
        <w:t xml:space="preserve"> </w:t>
      </w:r>
      <w:r w:rsidRPr="001B0997">
        <w:t xml:space="preserve">to the lack of a univocal clinical label to identify communicative disorders following RHD, with serious consequences </w:t>
      </w:r>
      <w:r w:rsidR="00987787">
        <w:t>for</w:t>
      </w:r>
      <w:r w:rsidR="00987787" w:rsidRPr="001B0997">
        <w:t xml:space="preserve"> </w:t>
      </w:r>
      <w:r w:rsidRPr="001B0997">
        <w:t xml:space="preserve">assessment approaches. The </w:t>
      </w:r>
      <w:r w:rsidR="00096D06">
        <w:t>availability</w:t>
      </w:r>
      <w:r w:rsidR="00096D06" w:rsidRPr="001B0997">
        <w:t xml:space="preserve"> </w:t>
      </w:r>
      <w:r w:rsidRPr="001B0997">
        <w:t xml:space="preserve">of a label </w:t>
      </w:r>
      <w:r w:rsidR="00096D06">
        <w:t>for</w:t>
      </w:r>
      <w:r w:rsidR="00096D06" w:rsidRPr="001B0997">
        <w:t xml:space="preserve"> </w:t>
      </w:r>
      <w:r w:rsidRPr="001B0997">
        <w:t xml:space="preserve">a specific disorder, as </w:t>
      </w:r>
      <w:r w:rsidR="00987787">
        <w:t xml:space="preserve">in the case of </w:t>
      </w:r>
      <w:r w:rsidRPr="001B0997">
        <w:t>the term aphasia</w:t>
      </w:r>
      <w:r w:rsidR="00987787">
        <w:t xml:space="preserve"> to</w:t>
      </w:r>
      <w:r w:rsidRPr="001B0997">
        <w:t xml:space="preserve"> </w:t>
      </w:r>
      <w:r w:rsidR="00987787" w:rsidRPr="001B0997">
        <w:t xml:space="preserve">clearly </w:t>
      </w:r>
      <w:r w:rsidRPr="001B0997">
        <w:t xml:space="preserve">identify symbolic-language disorders after LHD, </w:t>
      </w:r>
      <w:r w:rsidR="00987787">
        <w:t>can be helpful for</w:t>
      </w:r>
      <w:r w:rsidRPr="001B0997">
        <w:t xml:space="preserve"> </w:t>
      </w:r>
      <w:r w:rsidR="00987787" w:rsidRPr="001B0997">
        <w:t>facilitat</w:t>
      </w:r>
      <w:r w:rsidR="00987787">
        <w:t>ing</w:t>
      </w:r>
      <w:r w:rsidR="00987787" w:rsidRPr="001B0997">
        <w:t xml:space="preserve"> </w:t>
      </w:r>
      <w:r w:rsidRPr="001B0997">
        <w:t xml:space="preserve">communication between </w:t>
      </w:r>
      <w:r w:rsidRPr="001B0997">
        <w:lastRenderedPageBreak/>
        <w:t xml:space="preserve">professionals, and </w:t>
      </w:r>
      <w:r w:rsidR="00987787" w:rsidRPr="001B0997">
        <w:t>creat</w:t>
      </w:r>
      <w:r w:rsidR="00987787">
        <w:t>ing</w:t>
      </w:r>
      <w:r w:rsidR="00987787" w:rsidRPr="001B0997">
        <w:t xml:space="preserve"> </w:t>
      </w:r>
      <w:r w:rsidRPr="001B0997">
        <w:t xml:space="preserve">assessment devices and rehabilitative treatments (Myers, 2001). Moreover, most of the tools for </w:t>
      </w:r>
      <w:r w:rsidR="00987787" w:rsidRPr="001B0997">
        <w:t>assess</w:t>
      </w:r>
      <w:r w:rsidR="00987787">
        <w:t>ing</w:t>
      </w:r>
      <w:r w:rsidR="00987787" w:rsidRPr="001B0997">
        <w:t xml:space="preserve"> </w:t>
      </w:r>
      <w:r w:rsidRPr="001B0997">
        <w:t xml:space="preserve">pragmatic abilities </w:t>
      </w:r>
      <w:r w:rsidR="00B97496">
        <w:t>are</w:t>
      </w:r>
      <w:r w:rsidR="00096D06" w:rsidRPr="001B0997">
        <w:t xml:space="preserve"> </w:t>
      </w:r>
      <w:r w:rsidRPr="001B0997">
        <w:t xml:space="preserve">not </w:t>
      </w:r>
      <w:r w:rsidR="00B97496">
        <w:t>based on</w:t>
      </w:r>
      <w:r w:rsidRPr="001B0997">
        <w:t xml:space="preserve"> a theoretical framework of communicative processes. As reported by Lehman (2006), </w:t>
      </w:r>
      <w:r w:rsidR="00C21630">
        <w:t xml:space="preserve">the </w:t>
      </w:r>
      <w:r w:rsidR="00105A8A">
        <w:t xml:space="preserve">use of </w:t>
      </w:r>
      <w:r w:rsidR="00C21630" w:rsidRPr="001B0997">
        <w:t xml:space="preserve">theoretical framework to identify the specific level </w:t>
      </w:r>
      <w:r w:rsidR="00B97496">
        <w:t>of the</w:t>
      </w:r>
      <w:r w:rsidR="00C21630" w:rsidRPr="001B0997">
        <w:t xml:space="preserve"> observed deficits </w:t>
      </w:r>
      <w:r w:rsidR="00C21630">
        <w:t xml:space="preserve">is fundamental </w:t>
      </w:r>
      <w:r w:rsidR="00987787">
        <w:t xml:space="preserve">in order </w:t>
      </w:r>
      <w:r w:rsidRPr="001B0997">
        <w:t xml:space="preserve">to plan an effective rehabilitative </w:t>
      </w:r>
      <w:r w:rsidR="00C21630">
        <w:t>program</w:t>
      </w:r>
      <w:r w:rsidR="00C21630" w:rsidRPr="001B0997">
        <w:t xml:space="preserve"> </w:t>
      </w:r>
      <w:r w:rsidR="00C21630">
        <w:t>focused</w:t>
      </w:r>
      <w:r w:rsidR="00C21630" w:rsidRPr="001B0997">
        <w:t xml:space="preserve"> </w:t>
      </w:r>
      <w:r w:rsidRPr="001B0997">
        <w:t xml:space="preserve">on </w:t>
      </w:r>
      <w:r w:rsidR="00C21630">
        <w:t xml:space="preserve">the </w:t>
      </w:r>
      <w:r w:rsidRPr="001B0997">
        <w:t>patient</w:t>
      </w:r>
      <w:r w:rsidR="00C21630">
        <w:t>’</w:t>
      </w:r>
      <w:r w:rsidRPr="001B0997">
        <w:t>s difficulties</w:t>
      </w:r>
      <w:r w:rsidR="00E87042">
        <w:t>.</w:t>
      </w:r>
      <w:r w:rsidRPr="001B0997">
        <w:t xml:space="preserve"> </w:t>
      </w:r>
    </w:p>
    <w:p w:rsidR="004F18A1" w:rsidRPr="001B0997" w:rsidRDefault="004F18A1" w:rsidP="004F18A1">
      <w:r w:rsidRPr="001B0997">
        <w:t>A limited number of assessment tools, such as the “Right Hemisphere Communication Battery” (RHCB, Gardner &amp; Brownell, 1986), the “Right Hemisphere Language Battery” (Bryan, 1995) and the “</w:t>
      </w:r>
      <w:proofErr w:type="spellStart"/>
      <w:r w:rsidRPr="001B0997">
        <w:t>Batteria</w:t>
      </w:r>
      <w:proofErr w:type="spellEnd"/>
      <w:r w:rsidRPr="001B0997">
        <w:t xml:space="preserve"> </w:t>
      </w:r>
      <w:proofErr w:type="spellStart"/>
      <w:r w:rsidRPr="001B0997">
        <w:t>sul</w:t>
      </w:r>
      <w:proofErr w:type="spellEnd"/>
      <w:r w:rsidRPr="001B0997">
        <w:t xml:space="preserve"> </w:t>
      </w:r>
      <w:proofErr w:type="spellStart"/>
      <w:r w:rsidRPr="001B0997">
        <w:t>Linguaggio</w:t>
      </w:r>
      <w:proofErr w:type="spellEnd"/>
      <w:r w:rsidRPr="001B0997">
        <w:t xml:space="preserve"> </w:t>
      </w:r>
      <w:proofErr w:type="spellStart"/>
      <w:r w:rsidRPr="001B0997">
        <w:t>dell’Emisfero</w:t>
      </w:r>
      <w:proofErr w:type="spellEnd"/>
      <w:r w:rsidRPr="001B0997">
        <w:t xml:space="preserve"> </w:t>
      </w:r>
      <w:proofErr w:type="spellStart"/>
      <w:r w:rsidRPr="001B0997">
        <w:t>Destro</w:t>
      </w:r>
      <w:proofErr w:type="spellEnd"/>
      <w:r w:rsidRPr="001B0997">
        <w:t>” (</w:t>
      </w:r>
      <w:proofErr w:type="spellStart"/>
      <w:r w:rsidRPr="001B0997">
        <w:t>Rinaldi</w:t>
      </w:r>
      <w:proofErr w:type="spellEnd"/>
      <w:r w:rsidR="00487C71">
        <w:t xml:space="preserve"> et al., </w:t>
      </w:r>
      <w:r w:rsidRPr="001B0997">
        <w:t xml:space="preserve"> 2004) </w:t>
      </w:r>
      <w:r w:rsidR="00C21630">
        <w:t>have been</w:t>
      </w:r>
      <w:r w:rsidR="00C21630" w:rsidRPr="001B0997">
        <w:t xml:space="preserve"> </w:t>
      </w:r>
      <w:r w:rsidRPr="001B0997">
        <w:t xml:space="preserve">developed specifically </w:t>
      </w:r>
      <w:r w:rsidR="00987787">
        <w:t>to</w:t>
      </w:r>
      <w:r w:rsidR="00987787" w:rsidRPr="001B0997">
        <w:t xml:space="preserve"> </w:t>
      </w:r>
      <w:r w:rsidRPr="001B0997">
        <w:t>assess communicative deficits after RHD.</w:t>
      </w:r>
      <w:r>
        <w:t xml:space="preserve"> </w:t>
      </w:r>
      <w:r w:rsidR="00987787">
        <w:t>Although t</w:t>
      </w:r>
      <w:r w:rsidRPr="001B0997">
        <w:t xml:space="preserve">hese batteries provide a comprehensive evaluation of communicative ability, </w:t>
      </w:r>
      <w:r w:rsidR="00987787">
        <w:t>they focus</w:t>
      </w:r>
      <w:r w:rsidRPr="001B0997">
        <w:t xml:space="preserve"> on </w:t>
      </w:r>
      <w:r>
        <w:t xml:space="preserve">the </w:t>
      </w:r>
      <w:r w:rsidRPr="001B0997">
        <w:t xml:space="preserve">comprehension of verbal aspects of communication, without providing </w:t>
      </w:r>
      <w:r w:rsidR="00987787">
        <w:t xml:space="preserve">a </w:t>
      </w:r>
      <w:r w:rsidRPr="001B0997">
        <w:t xml:space="preserve">detailed description of other important aspects of pragmatic ability such as </w:t>
      </w:r>
      <w:proofErr w:type="spellStart"/>
      <w:r w:rsidRPr="001B0997">
        <w:t>extralinguistic</w:t>
      </w:r>
      <w:proofErr w:type="spellEnd"/>
      <w:r w:rsidRPr="001B0997">
        <w:t xml:space="preserve"> </w:t>
      </w:r>
      <w:r w:rsidR="00C21630">
        <w:t>competence</w:t>
      </w:r>
      <w:r w:rsidRPr="001B0997">
        <w:t xml:space="preserve">. </w:t>
      </w:r>
      <w:r w:rsidR="00C21630">
        <w:t>R</w:t>
      </w:r>
      <w:r w:rsidRPr="001B0997">
        <w:t xml:space="preserve">ecent studies </w:t>
      </w:r>
      <w:r w:rsidR="00987787">
        <w:t>have</w:t>
      </w:r>
      <w:r w:rsidR="00987787" w:rsidRPr="001B0997">
        <w:t xml:space="preserve"> </w:t>
      </w:r>
      <w:r w:rsidR="00C21630">
        <w:t xml:space="preserve">in fact </w:t>
      </w:r>
      <w:r w:rsidRPr="001B0997">
        <w:t xml:space="preserve">clearly </w:t>
      </w:r>
      <w:r w:rsidR="00987787">
        <w:t xml:space="preserve">shown </w:t>
      </w:r>
      <w:r w:rsidRPr="001B0997">
        <w:t xml:space="preserve">that RHD patients </w:t>
      </w:r>
      <w:r w:rsidR="00987787">
        <w:t>have</w:t>
      </w:r>
      <w:r w:rsidR="00987787" w:rsidRPr="001B0997">
        <w:t xml:space="preserve"> </w:t>
      </w:r>
      <w:r w:rsidRPr="001B0997">
        <w:t>difficult</w:t>
      </w:r>
      <w:r w:rsidR="00987787">
        <w:t xml:space="preserve">y </w:t>
      </w:r>
      <w:r w:rsidRPr="001B0997">
        <w:t xml:space="preserve">using </w:t>
      </w:r>
      <w:proofErr w:type="spellStart"/>
      <w:r>
        <w:t>extralinguistic</w:t>
      </w:r>
      <w:proofErr w:type="spellEnd"/>
      <w:r w:rsidRPr="001B0997">
        <w:t xml:space="preserve"> components. </w:t>
      </w:r>
    </w:p>
    <w:p w:rsidR="004F18A1" w:rsidRPr="007C6EAB" w:rsidRDefault="004F18A1" w:rsidP="007C6EAB">
      <w:r w:rsidRPr="001B0997">
        <w:t>The Assessment Battery for Communication (</w:t>
      </w:r>
      <w:proofErr w:type="spellStart"/>
      <w:r w:rsidRPr="001B0997">
        <w:t>ABaCo</w:t>
      </w:r>
      <w:proofErr w:type="spellEnd"/>
      <w:r w:rsidRPr="001B0997">
        <w:t>, Sacco et al., 2008</w:t>
      </w:r>
      <w:r>
        <w:t xml:space="preserve">; </w:t>
      </w:r>
      <w:proofErr w:type="spellStart"/>
      <w:r>
        <w:t>Angeleri</w:t>
      </w:r>
      <w:proofErr w:type="spellEnd"/>
      <w:r>
        <w:t xml:space="preserve">, et al. 2012; </w:t>
      </w:r>
      <w:proofErr w:type="spellStart"/>
      <w:r>
        <w:t>Bosco</w:t>
      </w:r>
      <w:proofErr w:type="spellEnd"/>
      <w:r>
        <w:t xml:space="preserve"> et al. 2012</w:t>
      </w:r>
      <w:r w:rsidRPr="001B0997">
        <w:t xml:space="preserve">), </w:t>
      </w:r>
      <w:r>
        <w:t>developed within the frame</w:t>
      </w:r>
      <w:r w:rsidR="00987787">
        <w:t>work</w:t>
      </w:r>
      <w:r>
        <w:t xml:space="preserve"> of </w:t>
      </w:r>
      <w:r w:rsidR="00987787">
        <w:t xml:space="preserve">the </w:t>
      </w:r>
      <w:r w:rsidRPr="001B0997">
        <w:t xml:space="preserve">Cognitive Pragmatic Theory, was </w:t>
      </w:r>
      <w:r w:rsidR="00987787">
        <w:t>conceived</w:t>
      </w:r>
      <w:r w:rsidR="00987787" w:rsidRPr="001B0997">
        <w:t xml:space="preserve"> </w:t>
      </w:r>
      <w:r w:rsidRPr="001B0997">
        <w:t xml:space="preserve">to provide a systematic evaluation of pragmatic ability, both in comprehension and production, </w:t>
      </w:r>
      <w:r w:rsidR="00987787">
        <w:t>in order</w:t>
      </w:r>
      <w:r w:rsidR="00987787" w:rsidRPr="001B0997">
        <w:t xml:space="preserve"> </w:t>
      </w:r>
      <w:r w:rsidRPr="001B0997">
        <w:t xml:space="preserve">to determine </w:t>
      </w:r>
      <w:r w:rsidR="00987787">
        <w:t xml:space="preserve">the </w:t>
      </w:r>
      <w:r w:rsidRPr="001B0997">
        <w:t xml:space="preserve">profile of impairments in </w:t>
      </w:r>
      <w:r w:rsidR="00C21630">
        <w:t>various</w:t>
      </w:r>
      <w:r w:rsidR="00C21630" w:rsidRPr="001B0997">
        <w:t xml:space="preserve"> </w:t>
      </w:r>
      <w:r w:rsidRPr="001B0997">
        <w:t>clinical populations (</w:t>
      </w:r>
      <w:proofErr w:type="spellStart"/>
      <w:r w:rsidRPr="001B0997">
        <w:t>Angeleri</w:t>
      </w:r>
      <w:proofErr w:type="spellEnd"/>
      <w:r w:rsidRPr="001B0997">
        <w:t xml:space="preserve"> et al., 2008; </w:t>
      </w:r>
      <w:proofErr w:type="spellStart"/>
      <w:r w:rsidRPr="001B0997">
        <w:t>Gabbatore</w:t>
      </w:r>
      <w:proofErr w:type="spellEnd"/>
      <w:r w:rsidRPr="001B0997">
        <w:t xml:space="preserve"> et al., 2014; </w:t>
      </w:r>
      <w:proofErr w:type="spellStart"/>
      <w:r w:rsidRPr="001B0997">
        <w:t>Colle</w:t>
      </w:r>
      <w:proofErr w:type="spellEnd"/>
      <w:r w:rsidRPr="001B0997">
        <w:t xml:space="preserve"> et al., 2013).</w:t>
      </w:r>
      <w:r>
        <w:t xml:space="preserve">  </w:t>
      </w:r>
    </w:p>
    <w:p w:rsidR="004F18A1" w:rsidRPr="00445EAD" w:rsidRDefault="00F572C5" w:rsidP="005A4C97">
      <w:pPr>
        <w:spacing w:beforeLines="100" w:afterLines="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 Study</w:t>
      </w:r>
    </w:p>
    <w:p w:rsidR="004F18A1" w:rsidRPr="001B0997" w:rsidRDefault="00844355" w:rsidP="007C6EAB">
      <w:pPr>
        <w:ind w:firstLine="0"/>
      </w:pPr>
      <w:r>
        <w:t>The a</w:t>
      </w:r>
      <w:r w:rsidRPr="001B0997">
        <w:t xml:space="preserve">im </w:t>
      </w:r>
      <w:r w:rsidR="004F18A1" w:rsidRPr="001B0997">
        <w:t xml:space="preserve">of the present study </w:t>
      </w:r>
      <w:r w:rsidR="00C21630">
        <w:t>was</w:t>
      </w:r>
      <w:r w:rsidR="00C21630" w:rsidRPr="001B0997">
        <w:t xml:space="preserve"> </w:t>
      </w:r>
      <w:r w:rsidR="004F18A1" w:rsidRPr="001B0997">
        <w:t xml:space="preserve">to provide a detailed description of communicative impairments </w:t>
      </w:r>
      <w:r>
        <w:t>in</w:t>
      </w:r>
      <w:r w:rsidRPr="001B0997">
        <w:t xml:space="preserve"> </w:t>
      </w:r>
      <w:r w:rsidR="004F18A1" w:rsidRPr="001B0997">
        <w:t xml:space="preserve">a sample of RHD patients, </w:t>
      </w:r>
      <w:r w:rsidR="00C21630">
        <w:t xml:space="preserve">by </w:t>
      </w:r>
      <w:r w:rsidR="004F18A1" w:rsidRPr="001B0997">
        <w:t xml:space="preserve">examining </w:t>
      </w:r>
      <w:r w:rsidR="00C21630">
        <w:t xml:space="preserve">their </w:t>
      </w:r>
      <w:r w:rsidR="004F18A1" w:rsidRPr="001B0997">
        <w:t>pragmatic abilities expressed through different expressive modalities, i.e</w:t>
      </w:r>
      <w:r>
        <w:t>.</w:t>
      </w:r>
      <w:r w:rsidR="004F18A1" w:rsidRPr="001B0997">
        <w:t xml:space="preserve"> </w:t>
      </w:r>
      <w:r w:rsidR="00C21630">
        <w:t xml:space="preserve">the </w:t>
      </w:r>
      <w:r w:rsidR="004F18A1" w:rsidRPr="001B0997">
        <w:t xml:space="preserve">linguistic,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and paralinguistic modalities, both in comprehension and production. We expect</w:t>
      </w:r>
      <w:r>
        <w:t>ed</w:t>
      </w:r>
      <w:r w:rsidR="004F18A1" w:rsidRPr="001B0997">
        <w:t xml:space="preserve"> </w:t>
      </w:r>
      <w:r>
        <w:t xml:space="preserve">RHD </w:t>
      </w:r>
      <w:r w:rsidR="004F18A1" w:rsidRPr="001B0997">
        <w:t xml:space="preserve">patients to perform significantly worse than controls in all the </w:t>
      </w:r>
      <w:r w:rsidR="003F5CE1">
        <w:t xml:space="preserve">investigated </w:t>
      </w:r>
      <w:r w:rsidR="004F18A1" w:rsidRPr="001B0997">
        <w:t xml:space="preserve">abilities, consistently with previous research. In particular, we </w:t>
      </w:r>
      <w:r>
        <w:t>focused</w:t>
      </w:r>
      <w:r w:rsidR="004F18A1" w:rsidRPr="001B0997">
        <w:t xml:space="preserve"> on the analysis of comprehension and production of communicative gestures. In line with </w:t>
      </w:r>
      <w:proofErr w:type="spellStart"/>
      <w:r w:rsidR="004F18A1" w:rsidRPr="001B0997">
        <w:t>Cutica</w:t>
      </w:r>
      <w:proofErr w:type="spellEnd"/>
      <w:r w:rsidR="004F18A1" w:rsidRPr="001B0997">
        <w:t xml:space="preserve"> et al. (2006), we expect</w:t>
      </w:r>
      <w:r>
        <w:t>ed</w:t>
      </w:r>
      <w:r w:rsidR="004F18A1" w:rsidRPr="001B0997">
        <w:t xml:space="preserve"> </w:t>
      </w:r>
      <w:r>
        <w:t>RHD patients</w:t>
      </w:r>
      <w:r w:rsidR="003F5CE1">
        <w:t xml:space="preserve"> to be impaired in </w:t>
      </w:r>
      <w:r>
        <w:t>comprehend</w:t>
      </w:r>
      <w:r w:rsidR="003F5CE1">
        <w:t>ing</w:t>
      </w:r>
      <w:r w:rsidRPr="001B0997">
        <w:t xml:space="preserve"> </w:t>
      </w:r>
      <w:r w:rsidR="004F18A1" w:rsidRPr="001B0997">
        <w:t>communicative gestures</w:t>
      </w:r>
      <w:r w:rsidR="003F5CE1">
        <w:t>;</w:t>
      </w:r>
      <w:r w:rsidR="004F18A1" w:rsidRPr="001B0997">
        <w:t xml:space="preserve"> we also evaluated the production of communicative gestures, expecting </w:t>
      </w:r>
      <w:r w:rsidR="00C21630">
        <w:t xml:space="preserve">this ability to be </w:t>
      </w:r>
      <w:r w:rsidR="001951B5">
        <w:t xml:space="preserve">inadequate </w:t>
      </w:r>
      <w:r w:rsidR="00C21630">
        <w:t>as well</w:t>
      </w:r>
      <w:r w:rsidR="004F18A1" w:rsidRPr="001B0997">
        <w:t>. Finally, we expect</w:t>
      </w:r>
      <w:r>
        <w:t>ed</w:t>
      </w:r>
      <w:r w:rsidR="00C21630">
        <w:t xml:space="preserve"> the</w:t>
      </w:r>
      <w:r w:rsidR="004F18A1" w:rsidRPr="001B0997">
        <w:t xml:space="preserve"> impairment to be more evident in </w:t>
      </w:r>
      <w:r>
        <w:t xml:space="preserve">the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</w:t>
      </w:r>
      <w:r>
        <w:t>modality than in the</w:t>
      </w:r>
      <w:r w:rsidR="004F18A1" w:rsidRPr="001B0997">
        <w:t xml:space="preserve"> linguistic modality, in line with the view that RH </w:t>
      </w:r>
      <w:r w:rsidR="00E87042">
        <w:t xml:space="preserve">plays </w:t>
      </w:r>
      <w:r w:rsidR="00E87042" w:rsidRPr="007A263B">
        <w:t>a</w:t>
      </w:r>
      <w:r w:rsidR="00E87042">
        <w:t xml:space="preserve"> major role</w:t>
      </w:r>
      <w:r w:rsidR="004F18A1" w:rsidRPr="001B0997">
        <w:t xml:space="preserve"> in sustaining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an</w:t>
      </w:r>
      <w:r w:rsidR="004F18A1">
        <w:t>d</w:t>
      </w:r>
      <w:r w:rsidR="004F18A1" w:rsidRPr="001B0997">
        <w:t xml:space="preserve"> paralinguistic aspects of communication.</w:t>
      </w:r>
    </w:p>
    <w:p w:rsidR="004F18A1" w:rsidRPr="001B0997" w:rsidRDefault="0004138E" w:rsidP="005A4C97">
      <w:pPr>
        <w:pStyle w:val="Titolo1"/>
        <w:spacing w:beforeLines="100" w:afterLines="25"/>
      </w:pPr>
      <w:r>
        <w:t>P</w:t>
      </w:r>
      <w:r w:rsidRPr="001B0997">
        <w:t>articipants</w:t>
      </w:r>
    </w:p>
    <w:p w:rsidR="004F18A1" w:rsidRPr="001B0997" w:rsidRDefault="004F18A1" w:rsidP="004F18A1">
      <w:pPr>
        <w:pStyle w:val="NormalSectionStart"/>
      </w:pPr>
      <w:r w:rsidRPr="001B0997">
        <w:t xml:space="preserve">The sample comprised 17 patients (10 males, 7 females) with unilateral right hemisphere damage (RHD) due to a </w:t>
      </w:r>
      <w:r w:rsidR="00E87042">
        <w:t>sing</w:t>
      </w:r>
      <w:r w:rsidR="00E87042" w:rsidRPr="00E87042">
        <w:t>le</w:t>
      </w:r>
      <w:r w:rsidR="00E87042">
        <w:t xml:space="preserve"> v</w:t>
      </w:r>
      <w:r w:rsidRPr="001B0997">
        <w:t xml:space="preserve">ascular accident. Their age ranged from 43 to 72 </w:t>
      </w:r>
      <w:r w:rsidRPr="001B0997">
        <w:lastRenderedPageBreak/>
        <w:t>years (</w:t>
      </w:r>
      <w:r w:rsidRPr="001B0997">
        <w:rPr>
          <w:i/>
        </w:rPr>
        <w:t>M</w:t>
      </w:r>
      <w:r w:rsidRPr="001B0997">
        <w:t xml:space="preserve"> = 60.0</w:t>
      </w:r>
      <w:r w:rsidR="009376CD">
        <w:rPr>
          <w:i/>
        </w:rPr>
        <w:t xml:space="preserve">, </w:t>
      </w:r>
      <w:r w:rsidRPr="001B0997">
        <w:rPr>
          <w:i/>
        </w:rPr>
        <w:t>S</w:t>
      </w:r>
      <w:r w:rsidR="009376CD">
        <w:rPr>
          <w:i/>
        </w:rPr>
        <w:t>D</w:t>
      </w:r>
      <w:r w:rsidRPr="001B0997">
        <w:t xml:space="preserve"> = 8.68), and </w:t>
      </w:r>
      <w:r w:rsidR="00844355">
        <w:t xml:space="preserve">their years of </w:t>
      </w:r>
      <w:r w:rsidRPr="001B0997">
        <w:t xml:space="preserve">education from 5 </w:t>
      </w:r>
      <w:r w:rsidR="00E87042">
        <w:t xml:space="preserve">to </w:t>
      </w:r>
      <w:r w:rsidR="00E87042" w:rsidRPr="00E87042">
        <w:t xml:space="preserve">18 </w:t>
      </w:r>
      <w:r w:rsidR="00E87042">
        <w:t>years</w:t>
      </w:r>
      <w:r w:rsidRPr="001B0997">
        <w:t xml:space="preserve"> (</w:t>
      </w:r>
      <w:r w:rsidRPr="001B0997">
        <w:rPr>
          <w:i/>
        </w:rPr>
        <w:t>M</w:t>
      </w:r>
      <w:r w:rsidRPr="001B0997">
        <w:t xml:space="preserve"> = 11.58; </w:t>
      </w:r>
      <w:r w:rsidRPr="001B0997">
        <w:rPr>
          <w:i/>
        </w:rPr>
        <w:t>S</w:t>
      </w:r>
      <w:r w:rsidR="009376CD">
        <w:rPr>
          <w:i/>
        </w:rPr>
        <w:t>D</w:t>
      </w:r>
      <w:r w:rsidRPr="001B0997">
        <w:t xml:space="preserve"> = 4.44). Patients were recruited </w:t>
      </w:r>
      <w:r w:rsidR="00844355">
        <w:t>at</w:t>
      </w:r>
      <w:r w:rsidR="00844355" w:rsidRPr="001B0997">
        <w:t xml:space="preserve"> </w:t>
      </w:r>
      <w:r w:rsidRPr="001B0997">
        <w:t xml:space="preserve">rehabilitation centers </w:t>
      </w:r>
      <w:r>
        <w:t xml:space="preserve">in </w:t>
      </w:r>
      <w:r w:rsidR="00844355">
        <w:t xml:space="preserve">the </w:t>
      </w:r>
      <w:r>
        <w:t>Piedmont Region</w:t>
      </w:r>
      <w:r w:rsidRPr="001B0997">
        <w:t xml:space="preserve">, immediately after </w:t>
      </w:r>
      <w:r w:rsidR="006B6FAC">
        <w:t>being admitted</w:t>
      </w:r>
      <w:r w:rsidRPr="001B0997">
        <w:t xml:space="preserve"> </w:t>
      </w:r>
      <w:r w:rsidR="00844355">
        <w:t>to the</w:t>
      </w:r>
      <w:r w:rsidR="00844355" w:rsidRPr="001B0997">
        <w:t xml:space="preserve"> </w:t>
      </w:r>
      <w:r w:rsidRPr="001B0997">
        <w:t>rehabilitation center (</w:t>
      </w:r>
      <w:r w:rsidR="00212FB3">
        <w:t xml:space="preserve">months </w:t>
      </w:r>
      <w:r w:rsidRPr="001B0997">
        <w:t xml:space="preserve">post-onset </w:t>
      </w:r>
      <w:r w:rsidRPr="001B0997">
        <w:rPr>
          <w:i/>
        </w:rPr>
        <w:t>M</w:t>
      </w:r>
      <w:r w:rsidRPr="001B0997">
        <w:t xml:space="preserve"> = 2.47; </w:t>
      </w:r>
      <w:r w:rsidRPr="001B0997">
        <w:rPr>
          <w:i/>
        </w:rPr>
        <w:t>S</w:t>
      </w:r>
      <w:r w:rsidR="009376CD">
        <w:rPr>
          <w:i/>
        </w:rPr>
        <w:t>D</w:t>
      </w:r>
      <w:r w:rsidRPr="001B0997">
        <w:t xml:space="preserve"> = 1.45), in order to provide an early description of communicative impairments following RHD. </w:t>
      </w:r>
      <w:r w:rsidR="0024140A">
        <w:t>In addition to having a RHD, p</w:t>
      </w:r>
      <w:r w:rsidRPr="001B0997">
        <w:t xml:space="preserve">atients had to </w:t>
      </w:r>
      <w:r w:rsidR="006B6FAC">
        <w:t>meet</w:t>
      </w:r>
      <w:r w:rsidR="006B6FAC" w:rsidRPr="001B0997">
        <w:t xml:space="preserve"> </w:t>
      </w:r>
      <w:r w:rsidRPr="001B0997">
        <w:t>the following criteria</w:t>
      </w:r>
      <w:r w:rsidR="006B6FAC">
        <w:t xml:space="preserve"> for inclusion in the study</w:t>
      </w:r>
      <w:r w:rsidRPr="001B0997">
        <w:t xml:space="preserve">: (1) at least 18 years of age, (2) Italian native speakers, (3) right-handers and (4) basic cognitive and linguistic abilities, assessed by the achievement of a cut-off score in the following neuropsychological tests: Mini Mental State Examination: </w:t>
      </w:r>
      <w:r w:rsidR="006B6FAC" w:rsidRPr="001B0997">
        <w:t>cut</w:t>
      </w:r>
      <w:r w:rsidR="006B6FAC">
        <w:t>-</w:t>
      </w:r>
      <w:r w:rsidRPr="001B0997">
        <w:t xml:space="preserve">off score ≥ 24/30; Token Test: cut-off score ≥ 29/36; </w:t>
      </w:r>
      <w:proofErr w:type="spellStart"/>
      <w:r w:rsidRPr="001B0997">
        <w:t>Ideomotor</w:t>
      </w:r>
      <w:proofErr w:type="spellEnd"/>
      <w:r w:rsidRPr="001B0997">
        <w:t xml:space="preserve"> </w:t>
      </w:r>
      <w:proofErr w:type="spellStart"/>
      <w:r w:rsidRPr="001B0997">
        <w:t>Apraxia</w:t>
      </w:r>
      <w:proofErr w:type="spellEnd"/>
      <w:r w:rsidRPr="001B0997">
        <w:t xml:space="preserve"> Test: </w:t>
      </w:r>
      <w:r w:rsidR="006B6FAC" w:rsidRPr="001B0997">
        <w:t>cut</w:t>
      </w:r>
      <w:r w:rsidR="006B6FAC">
        <w:t>-</w:t>
      </w:r>
      <w:r w:rsidRPr="001B0997">
        <w:t xml:space="preserve">off score ≥ 19/20; The simple Test of Visual Neglect; cut-off score &gt; 34/36. A control group of healthy participants </w:t>
      </w:r>
      <w:r w:rsidR="00583D6C">
        <w:t>(n</w:t>
      </w:r>
      <w:r w:rsidR="0018760D">
        <w:t xml:space="preserve"> </w:t>
      </w:r>
      <w:r w:rsidR="00583D6C">
        <w:t>=</w:t>
      </w:r>
      <w:r w:rsidR="0018760D">
        <w:t xml:space="preserve"> </w:t>
      </w:r>
      <w:r w:rsidR="00583D6C">
        <w:t>17)</w:t>
      </w:r>
      <w:r w:rsidR="00F3345C">
        <w:t>,</w:t>
      </w:r>
      <w:r w:rsidR="00CC718F">
        <w:t xml:space="preserve"> </w:t>
      </w:r>
      <w:r w:rsidRPr="001B0997">
        <w:t>matched to the RHD g</w:t>
      </w:r>
      <w:r w:rsidR="00443BA3">
        <w:t>roup for age, sex and education</w:t>
      </w:r>
      <w:r w:rsidR="00F3345C">
        <w:t xml:space="preserve">, was recruited according to </w:t>
      </w:r>
      <w:r w:rsidR="005F679C">
        <w:t>the same inclusion criteria reported above</w:t>
      </w:r>
      <w:r w:rsidR="00F3345C">
        <w:t>.</w:t>
      </w:r>
    </w:p>
    <w:p w:rsidR="004F18A1" w:rsidRPr="001B0997" w:rsidRDefault="0004138E" w:rsidP="005A4C97">
      <w:pPr>
        <w:pStyle w:val="Titolo1"/>
        <w:spacing w:beforeLines="100" w:afterLines="25"/>
      </w:pPr>
      <w:r>
        <w:t>M</w:t>
      </w:r>
      <w:r w:rsidR="007F56A5">
        <w:t>at</w:t>
      </w:r>
      <w:r w:rsidRPr="001B0997">
        <w:t>erial and methods</w:t>
      </w:r>
    </w:p>
    <w:p w:rsidR="004F18A1" w:rsidRPr="001B0997" w:rsidRDefault="004F18A1" w:rsidP="00304F32">
      <w:pPr>
        <w:ind w:firstLine="0"/>
        <w:rPr>
          <w:i/>
        </w:rPr>
      </w:pPr>
      <w:r w:rsidRPr="001B0997">
        <w:rPr>
          <w:i/>
        </w:rPr>
        <w:t>Pragmatic assessment</w:t>
      </w:r>
      <w:r w:rsidRPr="001B0997">
        <w:t xml:space="preserve">: We administered </w:t>
      </w:r>
      <w:r w:rsidR="00844355">
        <w:t xml:space="preserve">the </w:t>
      </w:r>
      <w:r w:rsidRPr="001B0997">
        <w:t xml:space="preserve">(1) Linguistic (2) </w:t>
      </w:r>
      <w:proofErr w:type="spellStart"/>
      <w:r w:rsidRPr="001B0997">
        <w:t>Extralinguistic</w:t>
      </w:r>
      <w:proofErr w:type="spellEnd"/>
      <w:r w:rsidRPr="001B0997">
        <w:t xml:space="preserve"> and (3) Paralinguistic Scale</w:t>
      </w:r>
      <w:r w:rsidR="00844355">
        <w:t>s</w:t>
      </w:r>
      <w:r w:rsidRPr="001B0997">
        <w:t xml:space="preserve"> of the </w:t>
      </w:r>
      <w:r w:rsidRPr="001B0997">
        <w:rPr>
          <w:i/>
        </w:rPr>
        <w:t xml:space="preserve">Assessment Battery for Communication </w:t>
      </w:r>
      <w:r w:rsidRPr="001B0997">
        <w:t>(</w:t>
      </w:r>
      <w:proofErr w:type="spellStart"/>
      <w:r w:rsidRPr="001B0997">
        <w:rPr>
          <w:i/>
        </w:rPr>
        <w:t>ABaCo</w:t>
      </w:r>
      <w:proofErr w:type="spellEnd"/>
      <w:r w:rsidRPr="001B0997">
        <w:t xml:space="preserve">; Sacco et al., 2008; </w:t>
      </w:r>
      <w:proofErr w:type="spellStart"/>
      <w:r w:rsidRPr="001B0997">
        <w:t>Bosco</w:t>
      </w:r>
      <w:proofErr w:type="spellEnd"/>
      <w:r w:rsidRPr="001B0997">
        <w:t xml:space="preserve"> et al., 2012). </w:t>
      </w:r>
    </w:p>
    <w:p w:rsidR="004F18A1" w:rsidRPr="001B0997" w:rsidRDefault="004F18A1" w:rsidP="004F18A1">
      <w:r w:rsidRPr="001B0997">
        <w:rPr>
          <w:i/>
        </w:rPr>
        <w:t xml:space="preserve">Linguistic and </w:t>
      </w:r>
      <w:proofErr w:type="spellStart"/>
      <w:r w:rsidRPr="001B0997">
        <w:rPr>
          <w:i/>
        </w:rPr>
        <w:t>Extralinguistic</w:t>
      </w:r>
      <w:proofErr w:type="spellEnd"/>
      <w:r w:rsidRPr="001B0997">
        <w:rPr>
          <w:i/>
        </w:rPr>
        <w:t xml:space="preserve"> scales:</w:t>
      </w:r>
      <w:r w:rsidRPr="001B0997">
        <w:t xml:space="preserve"> Linguistic tasks evaluate the ability to comprehend and produce communicative acts expressed through </w:t>
      </w:r>
      <w:r w:rsidR="0076286D">
        <w:t xml:space="preserve">the </w:t>
      </w:r>
      <w:r w:rsidRPr="001B0997">
        <w:t xml:space="preserve">linguistic modality. </w:t>
      </w:r>
      <w:proofErr w:type="spellStart"/>
      <w:r w:rsidRPr="001B0997">
        <w:t>Extralinguistic</w:t>
      </w:r>
      <w:proofErr w:type="spellEnd"/>
      <w:r w:rsidRPr="001B0997">
        <w:t xml:space="preserve"> tasks evaluate the ability to comprehend and produce communicative acts expressed through gestures. The scales</w:t>
      </w:r>
      <w:r>
        <w:t xml:space="preserve"> comprise</w:t>
      </w:r>
      <w:r w:rsidRPr="001B0997">
        <w:t xml:space="preserve"> 48 items presented </w:t>
      </w:r>
      <w:r w:rsidR="0076286D">
        <w:t>in</w:t>
      </w:r>
      <w:r w:rsidR="0076286D" w:rsidRPr="001B0997">
        <w:t xml:space="preserve"> </w:t>
      </w:r>
      <w:r w:rsidRPr="001B0997">
        <w:t xml:space="preserve">videos in which two actors </w:t>
      </w:r>
      <w:r w:rsidR="0076286D">
        <w:t>play out</w:t>
      </w:r>
      <w:r w:rsidR="0076286D" w:rsidRPr="001B0997">
        <w:t xml:space="preserve"> </w:t>
      </w:r>
      <w:r w:rsidRPr="001B0997">
        <w:t xml:space="preserve">a communicative exchange, using linguistic or </w:t>
      </w:r>
      <w:proofErr w:type="spellStart"/>
      <w:r w:rsidRPr="001B0997">
        <w:t>extralinguistic</w:t>
      </w:r>
      <w:proofErr w:type="spellEnd"/>
      <w:r w:rsidRPr="001B0997">
        <w:t xml:space="preserve"> expressive </w:t>
      </w:r>
      <w:r w:rsidR="00844355" w:rsidRPr="001B0997">
        <w:t>modalit</w:t>
      </w:r>
      <w:r w:rsidR="00844355">
        <w:t>ies</w:t>
      </w:r>
      <w:r w:rsidRPr="001B0997">
        <w:t xml:space="preserve">. At the end of each scene the examiner evaluates the correct comprehension of the </w:t>
      </w:r>
      <w:r w:rsidR="0076286D" w:rsidRPr="001B0997">
        <w:t>protagonist</w:t>
      </w:r>
      <w:r w:rsidR="0076286D">
        <w:t xml:space="preserve">’s </w:t>
      </w:r>
      <w:r w:rsidRPr="001B0997">
        <w:t xml:space="preserve">conclusive sentence or gesture, or elicits the production of a communicative act in response to the protagonist’s </w:t>
      </w:r>
      <w:r w:rsidR="0037765B">
        <w:t xml:space="preserve">communicative </w:t>
      </w:r>
      <w:r w:rsidRPr="001B0997">
        <w:t>act. The scales evaluate</w:t>
      </w:r>
      <w:r w:rsidR="00844355">
        <w:t xml:space="preserve"> abilities to understand and produce</w:t>
      </w:r>
      <w:r w:rsidRPr="001B0997">
        <w:t xml:space="preserve"> different pragmatic phenomena: (1) standard communicative acts, i.e</w:t>
      </w:r>
      <w:r w:rsidR="00844355">
        <w:t>.,</w:t>
      </w:r>
      <w:r w:rsidRPr="001B0997">
        <w:t xml:space="preserve"> direct and indirect communicative acts (2) deceit</w:t>
      </w:r>
      <w:r w:rsidR="0037765B">
        <w:t>s</w:t>
      </w:r>
      <w:r w:rsidRPr="001B0997">
        <w:t xml:space="preserve"> and (3) </w:t>
      </w:r>
      <w:r w:rsidR="0076286D" w:rsidRPr="001B0997">
        <w:t>iron</w:t>
      </w:r>
      <w:r w:rsidR="0037765B">
        <w:t>ies</w:t>
      </w:r>
      <w:r w:rsidRPr="001B0997">
        <w:t>.</w:t>
      </w:r>
    </w:p>
    <w:p w:rsidR="004F18A1" w:rsidRPr="00AA2C75" w:rsidRDefault="004F18A1" w:rsidP="004F18A1">
      <w:pPr>
        <w:ind w:firstLine="227"/>
        <w:rPr>
          <w:i/>
        </w:rPr>
      </w:pPr>
      <w:r w:rsidRPr="001B0997">
        <w:rPr>
          <w:i/>
        </w:rPr>
        <w:t xml:space="preserve">Paralinguistic scale: </w:t>
      </w:r>
      <w:r w:rsidR="00844355">
        <w:t>The p</w:t>
      </w:r>
      <w:r w:rsidR="00844355" w:rsidRPr="001B0997">
        <w:t xml:space="preserve">aralinguistic </w:t>
      </w:r>
      <w:r w:rsidRPr="001B0997">
        <w:t xml:space="preserve">scale evaluates the ability to comprehend and produce paralinguistic aspects of communication, using the following tasks: (1) Basic </w:t>
      </w:r>
      <w:r w:rsidR="00B97496">
        <w:t>speech</w:t>
      </w:r>
      <w:r w:rsidR="00B97496" w:rsidRPr="001B0997">
        <w:t xml:space="preserve"> </w:t>
      </w:r>
      <w:r w:rsidRPr="001B0997">
        <w:t xml:space="preserve">acts: </w:t>
      </w:r>
      <w:r w:rsidR="00844355">
        <w:t xml:space="preserve">the </w:t>
      </w:r>
      <w:r w:rsidRPr="001B0997">
        <w:t xml:space="preserve">examiner shows </w:t>
      </w:r>
      <w:r w:rsidR="00844355">
        <w:t xml:space="preserve">the </w:t>
      </w:r>
      <w:r w:rsidRPr="001B0997">
        <w:t xml:space="preserve">subjects a video in which an actor, speaking an invented language, makes a </w:t>
      </w:r>
      <w:r w:rsidR="00844355">
        <w:t>statement</w:t>
      </w:r>
      <w:r w:rsidRPr="001B0997">
        <w:t xml:space="preserve">, asks a question, makes a request or gives a command. The subject has to comprehend the type of act conveyed </w:t>
      </w:r>
      <w:r w:rsidR="00844355">
        <w:t>by the</w:t>
      </w:r>
      <w:r w:rsidR="00844355" w:rsidRPr="001B0997">
        <w:t xml:space="preserve"> </w:t>
      </w:r>
      <w:r w:rsidRPr="001B0997">
        <w:t xml:space="preserve">paralinguistic components. </w:t>
      </w:r>
      <w:r w:rsidR="00844355">
        <w:t>To measure</w:t>
      </w:r>
      <w:r w:rsidR="00844355" w:rsidRPr="001B0997">
        <w:t xml:space="preserve"> </w:t>
      </w:r>
      <w:r w:rsidRPr="001B0997">
        <w:t>production</w:t>
      </w:r>
      <w:r w:rsidR="00844355">
        <w:t xml:space="preserve"> abilities</w:t>
      </w:r>
      <w:r w:rsidRPr="001B0997">
        <w:t xml:space="preserve">, </w:t>
      </w:r>
      <w:r w:rsidR="00844355">
        <w:t xml:space="preserve">the </w:t>
      </w:r>
      <w:r w:rsidRPr="001B0997">
        <w:t xml:space="preserve">examiner asks </w:t>
      </w:r>
      <w:r w:rsidR="00844355">
        <w:t xml:space="preserve">the </w:t>
      </w:r>
      <w:r w:rsidRPr="001B0997">
        <w:t xml:space="preserve">subjects to produce questions, </w:t>
      </w:r>
      <w:r w:rsidR="00844355">
        <w:t>statements</w:t>
      </w:r>
      <w:r w:rsidRPr="001B0997">
        <w:t>, requests or command</w:t>
      </w:r>
      <w:r w:rsidR="00844355">
        <w:t>s</w:t>
      </w:r>
      <w:r w:rsidRPr="001B0997">
        <w:t xml:space="preserve"> using the adequate paralinguistic indicators. (2) Basic emotions: the examiner </w:t>
      </w:r>
      <w:r>
        <w:t xml:space="preserve">evaluates comprehension </w:t>
      </w:r>
      <w:r w:rsidR="00844355">
        <w:t xml:space="preserve">by </w:t>
      </w:r>
      <w:r>
        <w:t>showing</w:t>
      </w:r>
      <w:r w:rsidRPr="001B0997">
        <w:t xml:space="preserve"> the subjects short videos in which an actor, speaking an invented language, conveys one of the basic emotions. The subject has to recognize the correct emotion using paralinguistic indicators.</w:t>
      </w:r>
      <w:r>
        <w:t xml:space="preserve"> The examiner investigates </w:t>
      </w:r>
      <w:r>
        <w:lastRenderedPageBreak/>
        <w:t>production</w:t>
      </w:r>
      <w:r w:rsidRPr="001B0997">
        <w:t xml:space="preserve"> </w:t>
      </w:r>
      <w:r w:rsidR="00844355">
        <w:t xml:space="preserve">by </w:t>
      </w:r>
      <w:r>
        <w:t xml:space="preserve">asking </w:t>
      </w:r>
      <w:r w:rsidR="0076286D">
        <w:t xml:space="preserve">the </w:t>
      </w:r>
      <w:r w:rsidRPr="001B0997">
        <w:t xml:space="preserve">subjects to pronounce a sentence conveying </w:t>
      </w:r>
      <w:r>
        <w:t>a specific emotional tone. (3) P</w:t>
      </w:r>
      <w:r w:rsidRPr="001B0997">
        <w:t>aralinguistic contradiction: the examiner</w:t>
      </w:r>
      <w:r>
        <w:t xml:space="preserve"> evaluates</w:t>
      </w:r>
      <w:r w:rsidRPr="001B0997">
        <w:t xml:space="preserve"> </w:t>
      </w:r>
      <w:r>
        <w:t xml:space="preserve">comprehension </w:t>
      </w:r>
      <w:r w:rsidR="00844355">
        <w:t xml:space="preserve">by </w:t>
      </w:r>
      <w:r>
        <w:t xml:space="preserve">showing </w:t>
      </w:r>
      <w:r w:rsidRPr="001B0997">
        <w:t xml:space="preserve">subjects short videos in which an actor verbally communicates a message that is </w:t>
      </w:r>
      <w:r>
        <w:t xml:space="preserve">in overt </w:t>
      </w:r>
      <w:r w:rsidRPr="001B0997">
        <w:t xml:space="preserve">contradiction with </w:t>
      </w:r>
      <w:r w:rsidR="00844355">
        <w:t xml:space="preserve">the </w:t>
      </w:r>
      <w:r w:rsidRPr="001B0997">
        <w:t xml:space="preserve">paralinguistic indicators. The subject has to recognize this </w:t>
      </w:r>
      <w:r w:rsidR="00CA0777">
        <w:t>discrepancy</w:t>
      </w:r>
      <w:r w:rsidRPr="001B0997">
        <w:t xml:space="preserve">. </w:t>
      </w:r>
    </w:p>
    <w:p w:rsidR="004F18A1" w:rsidRPr="001B0997" w:rsidRDefault="004F18A1" w:rsidP="004F18A1">
      <w:pPr>
        <w:ind w:firstLine="0"/>
      </w:pPr>
      <w:r w:rsidRPr="001B0997">
        <w:t xml:space="preserve">All participants performed the tasks individually </w:t>
      </w:r>
      <w:r w:rsidR="0076286D">
        <w:t>during</w:t>
      </w:r>
      <w:r w:rsidR="0076286D" w:rsidRPr="001B0997">
        <w:t xml:space="preserve"> </w:t>
      </w:r>
      <w:r w:rsidRPr="001B0997">
        <w:t>a single session lasting approximately 1 hour. The examiner video</w:t>
      </w:r>
      <w:r w:rsidR="007650CA">
        <w:t>-</w:t>
      </w:r>
      <w:r w:rsidRPr="001B0997">
        <w:t xml:space="preserve">recorded and </w:t>
      </w:r>
      <w:r w:rsidR="00844355" w:rsidRPr="001B0997">
        <w:t>transcri</w:t>
      </w:r>
      <w:r w:rsidR="00844355">
        <w:t>b</w:t>
      </w:r>
      <w:r w:rsidR="00844355" w:rsidRPr="001B0997">
        <w:t xml:space="preserve">ed </w:t>
      </w:r>
      <w:r w:rsidR="00844355">
        <w:t xml:space="preserve">each patient’s </w:t>
      </w:r>
      <w:r w:rsidRPr="001B0997">
        <w:t xml:space="preserve">performance. A trained rater, blind to </w:t>
      </w:r>
      <w:r w:rsidR="00844355">
        <w:t xml:space="preserve">the </w:t>
      </w:r>
      <w:r w:rsidRPr="001B0997">
        <w:t xml:space="preserve">experimental group composition and research aims, coded </w:t>
      </w:r>
      <w:r w:rsidR="00844355">
        <w:t xml:space="preserve">the </w:t>
      </w:r>
      <w:r w:rsidRPr="001B0997">
        <w:t xml:space="preserve">data individually. For each task, </w:t>
      </w:r>
      <w:r w:rsidR="00844355">
        <w:t>a score of</w:t>
      </w:r>
      <w:r w:rsidR="007650CA">
        <w:t xml:space="preserve"> </w:t>
      </w:r>
      <w:r w:rsidRPr="001B0997">
        <w:t xml:space="preserve">1 </w:t>
      </w:r>
      <w:r w:rsidR="00844355" w:rsidRPr="001B0997">
        <w:t xml:space="preserve">was assigned </w:t>
      </w:r>
      <w:r w:rsidRPr="001B0997">
        <w:t xml:space="preserve">to </w:t>
      </w:r>
      <w:r w:rsidR="00844355">
        <w:t>each</w:t>
      </w:r>
      <w:r w:rsidR="00844355" w:rsidRPr="001B0997">
        <w:t xml:space="preserve"> </w:t>
      </w:r>
      <w:r w:rsidRPr="001B0997">
        <w:t xml:space="preserve">correct response, and </w:t>
      </w:r>
      <w:r w:rsidR="00844355">
        <w:t xml:space="preserve">a score of </w:t>
      </w:r>
      <w:r w:rsidRPr="001B0997">
        <w:t xml:space="preserve">0 to </w:t>
      </w:r>
      <w:r w:rsidR="0076286D">
        <w:t>each</w:t>
      </w:r>
      <w:r w:rsidR="0076286D" w:rsidRPr="001B0997">
        <w:t xml:space="preserve"> </w:t>
      </w:r>
      <w:r w:rsidRPr="001B0997">
        <w:t xml:space="preserve">incorrect response.  </w:t>
      </w:r>
    </w:p>
    <w:p w:rsidR="004F18A1" w:rsidRPr="00445EAD" w:rsidRDefault="0004138E" w:rsidP="005A4C97">
      <w:pPr>
        <w:pStyle w:val="Titolo2"/>
        <w:spacing w:beforeLines="100" w:afterLines="25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AB384F">
        <w:rPr>
          <w:sz w:val="24"/>
          <w:szCs w:val="24"/>
        </w:rPr>
        <w:t>esults</w:t>
      </w:r>
    </w:p>
    <w:p w:rsidR="004F18A1" w:rsidRPr="001B0997" w:rsidRDefault="00E877E8" w:rsidP="00304F32">
      <w:pPr>
        <w:ind w:firstLine="0"/>
      </w:pPr>
      <w:r>
        <w:t>The overall</w:t>
      </w:r>
      <w:r w:rsidRPr="001B0997">
        <w:t xml:space="preserve"> </w:t>
      </w:r>
      <w:r w:rsidR="004F18A1" w:rsidRPr="001B0997">
        <w:t xml:space="preserve">performance of RHD patients </w:t>
      </w:r>
      <w:r w:rsidR="00706807">
        <w:t xml:space="preserve">on the </w:t>
      </w:r>
      <w:proofErr w:type="spellStart"/>
      <w:r w:rsidR="00706807">
        <w:t>ABaCo</w:t>
      </w:r>
      <w:proofErr w:type="spellEnd"/>
      <w:r w:rsidR="00706807">
        <w:t xml:space="preserve"> scales </w:t>
      </w:r>
      <w:r w:rsidR="004F18A1" w:rsidRPr="001B0997">
        <w:t xml:space="preserve">is summarized in Table 1. In line with our hypothesis, </w:t>
      </w:r>
      <w:r>
        <w:t xml:space="preserve">the </w:t>
      </w:r>
      <w:r w:rsidR="004F18A1" w:rsidRPr="001B0997">
        <w:t xml:space="preserve">results confirmed that RHD patients </w:t>
      </w:r>
      <w:r>
        <w:t>performed</w:t>
      </w:r>
      <w:r w:rsidR="004F18A1" w:rsidRPr="001B0997">
        <w:t xml:space="preserve"> significantly worse than healthy controls in </w:t>
      </w:r>
      <w:r>
        <w:t xml:space="preserve">both comprehension and production in </w:t>
      </w:r>
      <w:r w:rsidR="004F18A1" w:rsidRPr="001B0997">
        <w:t>all the tasks</w:t>
      </w:r>
      <w:r>
        <w:t xml:space="preserve"> considered</w:t>
      </w:r>
      <w:r w:rsidR="004F18A1" w:rsidRPr="001B0997">
        <w:t>, i.e</w:t>
      </w:r>
      <w:r>
        <w:t>.</w:t>
      </w:r>
      <w:r w:rsidR="004F18A1" w:rsidRPr="001B0997">
        <w:t xml:space="preserve"> linguistic,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and paralinguistic (T test: 2.48 &lt; t &lt; 3.64; .001 &lt; p &lt; .03). </w:t>
      </w:r>
      <w:r>
        <w:t>The</w:t>
      </w:r>
      <w:r w:rsidR="004F18A1" w:rsidRPr="001B0997">
        <w:t xml:space="preserve"> results of each scale </w:t>
      </w:r>
      <w:r>
        <w:t xml:space="preserve">are analyzed </w:t>
      </w:r>
      <w:r w:rsidR="004F18A1" w:rsidRPr="001B0997">
        <w:t xml:space="preserve">separately in the following section. </w:t>
      </w:r>
    </w:p>
    <w:p w:rsidR="004F18A1" w:rsidRPr="001B0997" w:rsidRDefault="004F18A1"/>
    <w:tbl>
      <w:tblPr>
        <w:tblW w:w="0" w:type="auto"/>
        <w:tblInd w:w="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2"/>
        <w:gridCol w:w="942"/>
        <w:gridCol w:w="1042"/>
        <w:gridCol w:w="160"/>
        <w:gridCol w:w="691"/>
        <w:gridCol w:w="677"/>
      </w:tblGrid>
      <w:tr w:rsidR="004F18A1" w:rsidRPr="001B0997">
        <w:trPr>
          <w:trHeight w:val="430"/>
        </w:trPr>
        <w:tc>
          <w:tcPr>
            <w:tcW w:w="4884" w:type="dxa"/>
            <w:gridSpan w:val="6"/>
            <w:tcBorders>
              <w:top w:val="nil"/>
              <w:bottom w:val="single" w:sz="4" w:space="0" w:color="auto"/>
            </w:tcBorders>
          </w:tcPr>
          <w:p w:rsidR="004F18A1" w:rsidRPr="001B0997" w:rsidRDefault="003D7CB2" w:rsidP="001405C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Table 1:</w:t>
            </w:r>
            <w:r w:rsidR="004F18A1" w:rsidRPr="001B0997">
              <w:rPr>
                <w:i/>
                <w:sz w:val="16"/>
                <w:szCs w:val="16"/>
              </w:rPr>
              <w:t xml:space="preserve"> Mean and standard deviation of Linguistic, </w:t>
            </w:r>
            <w:proofErr w:type="spellStart"/>
            <w:r w:rsidR="004F18A1" w:rsidRPr="001B0997">
              <w:rPr>
                <w:i/>
                <w:sz w:val="16"/>
                <w:szCs w:val="16"/>
              </w:rPr>
              <w:t>Extralinguistic</w:t>
            </w:r>
            <w:proofErr w:type="spellEnd"/>
            <w:r w:rsidR="004F18A1" w:rsidRPr="001B0997">
              <w:rPr>
                <w:i/>
                <w:sz w:val="16"/>
                <w:szCs w:val="16"/>
              </w:rPr>
              <w:t xml:space="preserve"> and Paralinguistic Scales</w:t>
            </w:r>
            <w:r w:rsidR="001405C3">
              <w:rPr>
                <w:i/>
                <w:sz w:val="16"/>
                <w:szCs w:val="16"/>
              </w:rPr>
              <w:t>.</w:t>
            </w:r>
          </w:p>
        </w:tc>
      </w:tr>
      <w:tr w:rsidR="004F18A1" w:rsidRPr="001B0997">
        <w:trPr>
          <w:trHeight w:val="181"/>
        </w:trPr>
        <w:tc>
          <w:tcPr>
            <w:tcW w:w="1372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Comprehension</w:t>
            </w:r>
          </w:p>
        </w:tc>
      </w:tr>
      <w:tr w:rsidR="004F18A1" w:rsidRPr="001B0997">
        <w:trPr>
          <w:trHeight w:val="70"/>
        </w:trPr>
        <w:tc>
          <w:tcPr>
            <w:tcW w:w="1372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Scale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163"/>
        </w:trPr>
        <w:tc>
          <w:tcPr>
            <w:tcW w:w="1372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Lingui</w:t>
            </w:r>
            <w:r w:rsidR="00E877E8">
              <w:rPr>
                <w:sz w:val="16"/>
                <w:szCs w:val="16"/>
              </w:rPr>
              <w:t>s</w:t>
            </w:r>
            <w:r w:rsidRPr="001B0997">
              <w:rPr>
                <w:sz w:val="16"/>
                <w:szCs w:val="16"/>
              </w:rPr>
              <w:t>tic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.79 (.14)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.92 (.12)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2.89</w:t>
            </w:r>
          </w:p>
        </w:tc>
        <w:tc>
          <w:tcPr>
            <w:tcW w:w="677" w:type="dxa"/>
            <w:tcBorders>
              <w:left w:val="nil"/>
              <w:bottom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.007</w:t>
            </w:r>
          </w:p>
        </w:tc>
      </w:tr>
      <w:tr w:rsidR="004F18A1" w:rsidRPr="001B0997">
        <w:trPr>
          <w:trHeight w:val="119"/>
        </w:trPr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proofErr w:type="spellStart"/>
            <w:r w:rsidRPr="001B0997">
              <w:rPr>
                <w:sz w:val="16"/>
                <w:szCs w:val="16"/>
              </w:rPr>
              <w:t>Extralinguistic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.65 (.16)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.84 (.19)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18A1" w:rsidRPr="001B0997" w:rsidRDefault="004F18A1" w:rsidP="004F18A1">
            <w:pPr>
              <w:tabs>
                <w:tab w:val="left" w:pos="933"/>
              </w:tabs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.004 </w:t>
            </w:r>
          </w:p>
        </w:tc>
      </w:tr>
      <w:tr w:rsidR="004F18A1" w:rsidRPr="001B0997" w:rsidTr="0035298A">
        <w:trPr>
          <w:trHeight w:val="87"/>
        </w:trPr>
        <w:tc>
          <w:tcPr>
            <w:tcW w:w="1372" w:type="dxa"/>
            <w:tcBorders>
              <w:top w:val="nil"/>
              <w:right w:val="nil"/>
            </w:tcBorders>
          </w:tcPr>
          <w:p w:rsidR="004F18A1" w:rsidRPr="001B0997" w:rsidRDefault="004F18A1" w:rsidP="00172C25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Paralinguistic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.76 (.09)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.84 (.07)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2.92</w:t>
            </w:r>
          </w:p>
        </w:tc>
        <w:tc>
          <w:tcPr>
            <w:tcW w:w="677" w:type="dxa"/>
            <w:tcBorders>
              <w:top w:val="nil"/>
              <w:lef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.006 </w:t>
            </w:r>
          </w:p>
        </w:tc>
      </w:tr>
      <w:tr w:rsidR="004F18A1" w:rsidRPr="001B0997">
        <w:trPr>
          <w:trHeight w:val="201"/>
        </w:trPr>
        <w:tc>
          <w:tcPr>
            <w:tcW w:w="1372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Production</w:t>
            </w:r>
          </w:p>
        </w:tc>
      </w:tr>
      <w:tr w:rsidR="004F18A1" w:rsidRPr="001B0997">
        <w:trPr>
          <w:trHeight w:val="171"/>
        </w:trPr>
        <w:tc>
          <w:tcPr>
            <w:tcW w:w="1372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</w:tcPr>
          <w:p w:rsidR="004F18A1" w:rsidRPr="001B0997" w:rsidRDefault="005D6835" w:rsidP="004F1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123"/>
        </w:trPr>
        <w:tc>
          <w:tcPr>
            <w:tcW w:w="1372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Linguistic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.83 (.10)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.92 (.11)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2.36</w:t>
            </w:r>
          </w:p>
        </w:tc>
        <w:tc>
          <w:tcPr>
            <w:tcW w:w="677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.025</w:t>
            </w:r>
          </w:p>
        </w:tc>
      </w:tr>
      <w:tr w:rsidR="004F18A1" w:rsidRPr="001B0997">
        <w:trPr>
          <w:trHeight w:val="155"/>
        </w:trPr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proofErr w:type="spellStart"/>
            <w:r w:rsidRPr="001B0997">
              <w:rPr>
                <w:sz w:val="16"/>
                <w:szCs w:val="16"/>
              </w:rPr>
              <w:t>Extralinguistic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.67 (.23)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.90 (.12)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.001 </w:t>
            </w:r>
          </w:p>
        </w:tc>
      </w:tr>
      <w:tr w:rsidR="004F18A1" w:rsidRPr="001B0997">
        <w:trPr>
          <w:trHeight w:val="182"/>
        </w:trPr>
        <w:tc>
          <w:tcPr>
            <w:tcW w:w="1372" w:type="dxa"/>
            <w:tcBorders>
              <w:top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Paralinguistic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.89 (.10)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.97 (.06)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2.91</w:t>
            </w:r>
          </w:p>
        </w:tc>
        <w:tc>
          <w:tcPr>
            <w:tcW w:w="677" w:type="dxa"/>
            <w:tcBorders>
              <w:top w:val="nil"/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.007 </w:t>
            </w:r>
          </w:p>
        </w:tc>
      </w:tr>
    </w:tbl>
    <w:p w:rsidR="004F18A1" w:rsidRPr="001B0997" w:rsidRDefault="004F18A1">
      <w:pPr>
        <w:rPr>
          <w:sz w:val="18"/>
        </w:rPr>
      </w:pPr>
    </w:p>
    <w:p w:rsidR="004F18A1" w:rsidRPr="001B0997" w:rsidRDefault="004F18A1">
      <w:pPr>
        <w:rPr>
          <w:sz w:val="16"/>
          <w:szCs w:val="16"/>
        </w:rPr>
      </w:pPr>
    </w:p>
    <w:p w:rsidR="004F18A1" w:rsidRPr="001B0997" w:rsidRDefault="004F18A1" w:rsidP="004F18A1">
      <w:pPr>
        <w:ind w:firstLine="284"/>
      </w:pPr>
      <w:r w:rsidRPr="001B0997">
        <w:rPr>
          <w:i/>
          <w:sz w:val="18"/>
        </w:rPr>
        <w:t xml:space="preserve">Linguistic </w:t>
      </w:r>
      <w:r w:rsidRPr="001B0997">
        <w:rPr>
          <w:i/>
        </w:rPr>
        <w:t xml:space="preserve">Scale: </w:t>
      </w:r>
      <w:r w:rsidRPr="001B0997">
        <w:t xml:space="preserve">A repeated measures ANOVA, with one between-subjects factor (type of subject, with two levels: patients and controls) and one within-subjects </w:t>
      </w:r>
      <w:r>
        <w:t xml:space="preserve">factor </w:t>
      </w:r>
      <w:r w:rsidRPr="001B0997">
        <w:t>(type of task, with thre</w:t>
      </w:r>
      <w:r w:rsidR="00B92421">
        <w:t>e levels: standard communicative</w:t>
      </w:r>
      <w:r w:rsidRPr="001B0997">
        <w:t xml:space="preserve"> acts, deceit and </w:t>
      </w:r>
      <w:r w:rsidR="00C445CC" w:rsidRPr="001B0997">
        <w:t>iron</w:t>
      </w:r>
      <w:r w:rsidR="0036154F">
        <w:t>y</w:t>
      </w:r>
      <w:r w:rsidRPr="001B0997">
        <w:t xml:space="preserve">) was conducted to analyze subjects’ performance. The same analyses were conducted for </w:t>
      </w:r>
      <w:r w:rsidR="00E64A51" w:rsidRPr="001B0997">
        <w:t xml:space="preserve">both </w:t>
      </w:r>
      <w:r w:rsidRPr="001B0997">
        <w:t xml:space="preserve">comprehension and production tasks. </w:t>
      </w:r>
    </w:p>
    <w:p w:rsidR="004F18A1" w:rsidRDefault="00C445CC" w:rsidP="0041591E">
      <w:pPr>
        <w:ind w:firstLine="284"/>
      </w:pPr>
      <w:r>
        <w:t>As regards</w:t>
      </w:r>
      <w:r w:rsidRPr="001B0997">
        <w:t xml:space="preserve"> </w:t>
      </w:r>
      <w:r w:rsidR="004F18A1" w:rsidRPr="001B0997">
        <w:t>comprehension abilit</w:t>
      </w:r>
      <w:r w:rsidR="00E64A51">
        <w:t>ies</w:t>
      </w:r>
      <w:r w:rsidR="004F18A1" w:rsidRPr="001B0997">
        <w:t xml:space="preserve">, </w:t>
      </w:r>
      <w:r w:rsidR="00E64A51">
        <w:t xml:space="preserve">the </w:t>
      </w:r>
      <w:r w:rsidR="004F18A1" w:rsidRPr="001B0997">
        <w:t>results revealed a main effect of the type of subject (F</w:t>
      </w:r>
      <w:r w:rsidR="004F18A1" w:rsidRPr="001B0997">
        <w:rPr>
          <w:vertAlign w:val="subscript"/>
        </w:rPr>
        <w:t>(1,32)</w:t>
      </w:r>
      <w:r w:rsidR="004F18A1" w:rsidRPr="001B0997">
        <w:t xml:space="preserve"> = 8.34; p = .007; η</w:t>
      </w:r>
      <w:r w:rsidR="004F18A1" w:rsidRPr="001B0997">
        <w:rPr>
          <w:vertAlign w:val="superscript"/>
        </w:rPr>
        <w:t>2</w:t>
      </w:r>
      <w:r w:rsidR="004F18A1" w:rsidRPr="001B0997">
        <w:t xml:space="preserve"> = .20): patients performed worse than control subjects. Moreover, there was a main effect of the type of task (F</w:t>
      </w:r>
      <w:r w:rsidR="004F18A1" w:rsidRPr="001B0997">
        <w:rPr>
          <w:vertAlign w:val="subscript"/>
        </w:rPr>
        <w:t>(2,64)</w:t>
      </w:r>
      <w:r w:rsidR="004F18A1" w:rsidRPr="001B0997">
        <w:t xml:space="preserve"> = 8.10; p = .001; η</w:t>
      </w:r>
      <w:r w:rsidR="004F18A1" w:rsidRPr="001B0997">
        <w:rPr>
          <w:vertAlign w:val="superscript"/>
        </w:rPr>
        <w:t>2</w:t>
      </w:r>
      <w:r w:rsidR="004F18A1" w:rsidRPr="001B0997">
        <w:t xml:space="preserve"> = .20). </w:t>
      </w:r>
      <w:r>
        <w:t>Concerning</w:t>
      </w:r>
      <w:r w:rsidRPr="001B0997">
        <w:t xml:space="preserve"> </w:t>
      </w:r>
      <w:r w:rsidR="004F18A1" w:rsidRPr="001B0997">
        <w:t>production</w:t>
      </w:r>
      <w:r w:rsidR="00E64A51">
        <w:t xml:space="preserve"> </w:t>
      </w:r>
      <w:r>
        <w:t>abilities</w:t>
      </w:r>
      <w:r w:rsidR="004F18A1" w:rsidRPr="001B0997">
        <w:t xml:space="preserve">, </w:t>
      </w:r>
      <w:r w:rsidR="00E64A51">
        <w:t xml:space="preserve">the </w:t>
      </w:r>
      <w:r w:rsidR="004F18A1" w:rsidRPr="001B0997">
        <w:t>results revealed a main effect of the type of subject (F</w:t>
      </w:r>
      <w:r w:rsidR="004F18A1" w:rsidRPr="001B0997">
        <w:rPr>
          <w:vertAlign w:val="subscript"/>
        </w:rPr>
        <w:t>(1,32)</w:t>
      </w:r>
      <w:r w:rsidR="004F18A1" w:rsidRPr="001B0997">
        <w:t xml:space="preserve"> = 5.55; p = .025; η</w:t>
      </w:r>
      <w:r w:rsidR="004F18A1" w:rsidRPr="001B0997">
        <w:rPr>
          <w:vertAlign w:val="superscript"/>
        </w:rPr>
        <w:t>2</w:t>
      </w:r>
      <w:r w:rsidR="004F18A1" w:rsidRPr="001B0997">
        <w:t xml:space="preserve"> = .14): patients performed worse than control subjects. Moreover, there was a main effect of the type of task (F</w:t>
      </w:r>
      <w:r w:rsidR="004F18A1" w:rsidRPr="001B0997">
        <w:rPr>
          <w:vertAlign w:val="subscript"/>
        </w:rPr>
        <w:t>(2,64)</w:t>
      </w:r>
      <w:r w:rsidR="004F18A1" w:rsidRPr="001B0997">
        <w:t xml:space="preserve"> = 7.41; p = .003; η</w:t>
      </w:r>
      <w:r w:rsidR="004F18A1" w:rsidRPr="001B0997">
        <w:rPr>
          <w:vertAlign w:val="superscript"/>
        </w:rPr>
        <w:t>2</w:t>
      </w:r>
      <w:r w:rsidR="002C2457">
        <w:t xml:space="preserve"> = .18)</w:t>
      </w:r>
      <w:r w:rsidR="004F18A1" w:rsidRPr="001B0997">
        <w:t xml:space="preserve"> (Table 2).</w:t>
      </w:r>
    </w:p>
    <w:p w:rsidR="0041591E" w:rsidRPr="001B0997" w:rsidRDefault="0041591E" w:rsidP="0041591E">
      <w:pPr>
        <w:ind w:firstLine="284"/>
      </w:pPr>
    </w:p>
    <w:tbl>
      <w:tblPr>
        <w:tblW w:w="4909" w:type="dxa"/>
        <w:tblInd w:w="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7"/>
        <w:gridCol w:w="876"/>
        <w:gridCol w:w="879"/>
        <w:gridCol w:w="178"/>
        <w:gridCol w:w="677"/>
        <w:gridCol w:w="792"/>
      </w:tblGrid>
      <w:tr w:rsidR="004F18A1" w:rsidRPr="001B0997">
        <w:trPr>
          <w:trHeight w:val="425"/>
        </w:trPr>
        <w:tc>
          <w:tcPr>
            <w:tcW w:w="4909" w:type="dxa"/>
            <w:gridSpan w:val="6"/>
            <w:tcBorders>
              <w:top w:val="nil"/>
              <w:bottom w:val="single" w:sz="4" w:space="0" w:color="auto"/>
            </w:tcBorders>
          </w:tcPr>
          <w:p w:rsidR="005E2E48" w:rsidRDefault="003D7CB2" w:rsidP="008E59B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Table 2:</w:t>
            </w:r>
            <w:r w:rsidR="004F18A1" w:rsidRPr="001B0997">
              <w:rPr>
                <w:i/>
                <w:sz w:val="16"/>
                <w:szCs w:val="16"/>
              </w:rPr>
              <w:t xml:space="preserve">  Linguistic Scale: mean and standard deviation of the scores obtained </w:t>
            </w:r>
            <w:r w:rsidR="00E64A51">
              <w:rPr>
                <w:i/>
                <w:sz w:val="16"/>
                <w:szCs w:val="16"/>
              </w:rPr>
              <w:t>for</w:t>
            </w:r>
            <w:r w:rsidR="00E64A51" w:rsidRPr="001B0997">
              <w:rPr>
                <w:i/>
                <w:sz w:val="16"/>
                <w:szCs w:val="16"/>
              </w:rPr>
              <w:t xml:space="preserve"> </w:t>
            </w:r>
            <w:r w:rsidR="004F18A1" w:rsidRPr="001B0997">
              <w:rPr>
                <w:i/>
                <w:sz w:val="16"/>
                <w:szCs w:val="16"/>
              </w:rPr>
              <w:t xml:space="preserve">standard communicative acts, deceit and </w:t>
            </w:r>
            <w:r w:rsidR="00C445CC" w:rsidRPr="001B0997">
              <w:rPr>
                <w:i/>
                <w:sz w:val="16"/>
                <w:szCs w:val="16"/>
              </w:rPr>
              <w:t>iron</w:t>
            </w:r>
            <w:r w:rsidR="00C445CC">
              <w:rPr>
                <w:i/>
                <w:sz w:val="16"/>
                <w:szCs w:val="16"/>
              </w:rPr>
              <w:t>y</w:t>
            </w:r>
            <w:r w:rsidR="001405C3">
              <w:rPr>
                <w:i/>
                <w:sz w:val="16"/>
                <w:szCs w:val="16"/>
              </w:rPr>
              <w:t>.</w:t>
            </w:r>
            <w:r w:rsidR="00C445CC" w:rsidRPr="001B099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F18A1" w:rsidRPr="001B0997">
        <w:trPr>
          <w:trHeight w:val="185"/>
        </w:trPr>
        <w:tc>
          <w:tcPr>
            <w:tcW w:w="1507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Comprehension</w:t>
            </w:r>
          </w:p>
        </w:tc>
      </w:tr>
      <w:tr w:rsidR="004F18A1" w:rsidRPr="001B0997">
        <w:trPr>
          <w:trHeight w:val="211"/>
        </w:trPr>
        <w:tc>
          <w:tcPr>
            <w:tcW w:w="1507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78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123"/>
        </w:trPr>
        <w:tc>
          <w:tcPr>
            <w:tcW w:w="1507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Standard acts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.95 (.08)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.96 (.12)</w:t>
            </w: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  .40</w:t>
            </w:r>
          </w:p>
        </w:tc>
        <w:tc>
          <w:tcPr>
            <w:tcW w:w="791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.69</w:t>
            </w:r>
          </w:p>
        </w:tc>
      </w:tr>
      <w:tr w:rsidR="004F18A1" w:rsidRPr="001B0997">
        <w:trPr>
          <w:trHeight w:val="94"/>
        </w:trPr>
        <w:tc>
          <w:tcPr>
            <w:tcW w:w="1507" w:type="dxa"/>
            <w:tcBorders>
              <w:top w:val="nil"/>
              <w:bottom w:val="nil"/>
              <w:right w:val="nil"/>
            </w:tcBorders>
          </w:tcPr>
          <w:p w:rsidR="005E2E48" w:rsidRDefault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Deceit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.76 (.30)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.90 (.13)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.074</w:t>
            </w:r>
          </w:p>
        </w:tc>
      </w:tr>
      <w:tr w:rsidR="004F18A1" w:rsidRPr="001B0997">
        <w:trPr>
          <w:trHeight w:val="167"/>
        </w:trPr>
        <w:tc>
          <w:tcPr>
            <w:tcW w:w="1507" w:type="dxa"/>
            <w:tcBorders>
              <w:top w:val="nil"/>
              <w:right w:val="nil"/>
            </w:tcBorders>
          </w:tcPr>
          <w:p w:rsidR="005E2E48" w:rsidRDefault="00C445CC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Iron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.66 (.21)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.88 (.27)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2.72</w:t>
            </w:r>
          </w:p>
        </w:tc>
        <w:tc>
          <w:tcPr>
            <w:tcW w:w="791" w:type="dxa"/>
            <w:tcBorders>
              <w:top w:val="nil"/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.011</w:t>
            </w:r>
          </w:p>
        </w:tc>
      </w:tr>
      <w:tr w:rsidR="004F18A1" w:rsidRPr="001B0997">
        <w:trPr>
          <w:trHeight w:val="161"/>
        </w:trPr>
        <w:tc>
          <w:tcPr>
            <w:tcW w:w="1507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Production</w:t>
            </w:r>
          </w:p>
        </w:tc>
      </w:tr>
      <w:tr w:rsidR="004F18A1" w:rsidRPr="001B0997">
        <w:trPr>
          <w:trHeight w:val="199"/>
        </w:trPr>
        <w:tc>
          <w:tcPr>
            <w:tcW w:w="1507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78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81"/>
        </w:trPr>
        <w:tc>
          <w:tcPr>
            <w:tcW w:w="1507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Standard acts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.95 (.11)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.99 (.04)</w:t>
            </w: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1.19</w:t>
            </w:r>
          </w:p>
        </w:tc>
        <w:tc>
          <w:tcPr>
            <w:tcW w:w="791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.244</w:t>
            </w:r>
          </w:p>
        </w:tc>
      </w:tr>
      <w:tr w:rsidR="004F18A1" w:rsidRPr="001B0997">
        <w:trPr>
          <w:trHeight w:val="137"/>
        </w:trPr>
        <w:tc>
          <w:tcPr>
            <w:tcW w:w="1507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Deceit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.82 (.25)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.94 (.14)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.097</w:t>
            </w:r>
          </w:p>
        </w:tc>
      </w:tr>
      <w:tr w:rsidR="004F18A1" w:rsidRPr="001B0997">
        <w:trPr>
          <w:trHeight w:val="139"/>
        </w:trPr>
        <w:tc>
          <w:tcPr>
            <w:tcW w:w="1507" w:type="dxa"/>
            <w:tcBorders>
              <w:top w:val="nil"/>
              <w:right w:val="nil"/>
            </w:tcBorders>
          </w:tcPr>
          <w:p w:rsidR="005E2E48" w:rsidRDefault="00C445CC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Iron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.71 (.29)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.82 (.29)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1.14</w:t>
            </w:r>
          </w:p>
        </w:tc>
        <w:tc>
          <w:tcPr>
            <w:tcW w:w="791" w:type="dxa"/>
            <w:tcBorders>
              <w:top w:val="nil"/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.265</w:t>
            </w:r>
          </w:p>
        </w:tc>
      </w:tr>
    </w:tbl>
    <w:p w:rsidR="004F18A1" w:rsidRPr="001B0997" w:rsidRDefault="004F18A1" w:rsidP="004F18A1">
      <w:pPr>
        <w:ind w:firstLine="284"/>
      </w:pPr>
    </w:p>
    <w:p w:rsidR="004F18A1" w:rsidRPr="001B0997" w:rsidRDefault="004F18A1" w:rsidP="004F18A1">
      <w:pPr>
        <w:ind w:firstLine="284"/>
      </w:pPr>
      <w:proofErr w:type="spellStart"/>
      <w:r w:rsidRPr="001B0997">
        <w:rPr>
          <w:i/>
        </w:rPr>
        <w:t>Extralinguistic</w:t>
      </w:r>
      <w:proofErr w:type="spellEnd"/>
      <w:r w:rsidRPr="001B0997">
        <w:rPr>
          <w:i/>
        </w:rPr>
        <w:t xml:space="preserve"> Scale</w:t>
      </w:r>
      <w:r w:rsidRPr="001B0997">
        <w:t xml:space="preserve">: A repeated measures ANOVA, with one between-subjects factor (type of subject, with two levels: patients and controls) and one within-subjects </w:t>
      </w:r>
      <w:r>
        <w:t>factor</w:t>
      </w:r>
      <w:r w:rsidRPr="001B0997">
        <w:t xml:space="preserve"> (type of task, with thre</w:t>
      </w:r>
      <w:r w:rsidR="004D1066">
        <w:t>e levels: standard communicative</w:t>
      </w:r>
      <w:r w:rsidRPr="001B0997">
        <w:t xml:space="preserve"> acts, deceit and </w:t>
      </w:r>
      <w:r w:rsidR="00C445CC" w:rsidRPr="001B0997">
        <w:t>iron</w:t>
      </w:r>
      <w:r w:rsidR="00C445CC">
        <w:t>y</w:t>
      </w:r>
      <w:r w:rsidRPr="001B0997">
        <w:t xml:space="preserve">) was conducted to analyze subjects’ performance in the </w:t>
      </w:r>
      <w:proofErr w:type="spellStart"/>
      <w:r w:rsidRPr="001B0997">
        <w:t>extralinguistic</w:t>
      </w:r>
      <w:proofErr w:type="spellEnd"/>
      <w:r w:rsidRPr="001B0997">
        <w:t xml:space="preserve"> tasks. The same analyses were conducted for </w:t>
      </w:r>
      <w:r w:rsidR="00C445CC" w:rsidRPr="001B0997">
        <w:t xml:space="preserve">both </w:t>
      </w:r>
      <w:r w:rsidRPr="001B0997">
        <w:t xml:space="preserve">comprehension and production tasks. </w:t>
      </w:r>
    </w:p>
    <w:p w:rsidR="004F18A1" w:rsidRPr="001B0997" w:rsidRDefault="00C445CC" w:rsidP="004F18A1">
      <w:pPr>
        <w:ind w:firstLine="284"/>
      </w:pPr>
      <w:r>
        <w:t>As regards</w:t>
      </w:r>
      <w:r w:rsidRPr="001B0997">
        <w:t xml:space="preserve"> </w:t>
      </w:r>
      <w:r w:rsidR="004F18A1" w:rsidRPr="001B0997">
        <w:t>comprehension</w:t>
      </w:r>
      <w:r>
        <w:t xml:space="preserve"> abilities</w:t>
      </w:r>
      <w:r w:rsidR="004F18A1" w:rsidRPr="001B0997">
        <w:t xml:space="preserve">, </w:t>
      </w:r>
      <w:r w:rsidR="00E64A51">
        <w:t xml:space="preserve">the </w:t>
      </w:r>
      <w:r w:rsidR="004F18A1" w:rsidRPr="001B0997">
        <w:t>results revealed a main effect of the type of subject (F</w:t>
      </w:r>
      <w:r w:rsidR="004F18A1" w:rsidRPr="001B0997">
        <w:rPr>
          <w:vertAlign w:val="subscript"/>
        </w:rPr>
        <w:t>(1,32)</w:t>
      </w:r>
      <w:r w:rsidR="004F18A1" w:rsidRPr="001B0997">
        <w:t xml:space="preserve"> = 9.48; p = .004; η</w:t>
      </w:r>
      <w:r w:rsidR="004F18A1" w:rsidRPr="001B0997">
        <w:rPr>
          <w:vertAlign w:val="superscript"/>
        </w:rPr>
        <w:t>2</w:t>
      </w:r>
      <w:r w:rsidR="004F18A1" w:rsidRPr="001B0997">
        <w:t xml:space="preserve"> = .22): patients performed worse than control subjects. There was also a main effect of the type of task (F</w:t>
      </w:r>
      <w:r w:rsidR="004F18A1" w:rsidRPr="001B0997">
        <w:rPr>
          <w:vertAlign w:val="subscript"/>
        </w:rPr>
        <w:t>(2,64)</w:t>
      </w:r>
      <w:r w:rsidR="004F18A1" w:rsidRPr="001B0997">
        <w:t xml:space="preserve"> = 4.60; p=.014; η</w:t>
      </w:r>
      <w:r w:rsidR="004F18A1" w:rsidRPr="001B0997">
        <w:rPr>
          <w:vertAlign w:val="superscript"/>
        </w:rPr>
        <w:t>2</w:t>
      </w:r>
      <w:r w:rsidR="004F18A1" w:rsidRPr="001B0997">
        <w:t xml:space="preserve"> = .12). </w:t>
      </w:r>
      <w:r>
        <w:t>Concerning</w:t>
      </w:r>
      <w:r w:rsidRPr="001B0997">
        <w:t xml:space="preserve"> </w:t>
      </w:r>
      <w:r w:rsidR="004F18A1" w:rsidRPr="001B0997">
        <w:t xml:space="preserve">production </w:t>
      </w:r>
      <w:r w:rsidR="00E64A51" w:rsidRPr="001B0997">
        <w:t>abilit</w:t>
      </w:r>
      <w:r w:rsidR="00E64A51">
        <w:t>ies</w:t>
      </w:r>
      <w:r w:rsidR="004F18A1" w:rsidRPr="001B0997">
        <w:t xml:space="preserve">, </w:t>
      </w:r>
      <w:r w:rsidR="00E64A51">
        <w:t xml:space="preserve">the </w:t>
      </w:r>
      <w:r w:rsidR="004F18A1" w:rsidRPr="001B0997">
        <w:t>results revealed a main effect of the type of subject (F</w:t>
      </w:r>
      <w:r w:rsidR="004F18A1" w:rsidRPr="001B0997">
        <w:rPr>
          <w:vertAlign w:val="subscript"/>
        </w:rPr>
        <w:t>(1,31)</w:t>
      </w:r>
      <w:r w:rsidR="004F18A1" w:rsidRPr="001B0997">
        <w:t xml:space="preserve"> = 17.22; p &lt; .0001; η</w:t>
      </w:r>
      <w:r w:rsidR="004F18A1" w:rsidRPr="001B0997">
        <w:rPr>
          <w:vertAlign w:val="superscript"/>
        </w:rPr>
        <w:t>2</w:t>
      </w:r>
      <w:r w:rsidR="004F18A1" w:rsidRPr="001B0997">
        <w:t xml:space="preserve"> = .46): patients performed worse than control subjects. There was also a main effect of the type of task (F</w:t>
      </w:r>
      <w:r w:rsidR="004F18A1" w:rsidRPr="001B0997">
        <w:rPr>
          <w:vertAlign w:val="subscript"/>
        </w:rPr>
        <w:t>(2,64)</w:t>
      </w:r>
      <w:r w:rsidR="004F18A1" w:rsidRPr="001B0997">
        <w:t xml:space="preserve"> = 27.37; p &lt; .0001; η</w:t>
      </w:r>
      <w:r w:rsidR="004F18A1" w:rsidRPr="001B0997">
        <w:rPr>
          <w:vertAlign w:val="superscript"/>
        </w:rPr>
        <w:t>2</w:t>
      </w:r>
      <w:r w:rsidR="002C2457">
        <w:t xml:space="preserve"> = .46) </w:t>
      </w:r>
      <w:r w:rsidR="004F18A1" w:rsidRPr="001B0997">
        <w:t>(Table 3).</w:t>
      </w:r>
    </w:p>
    <w:p w:rsidR="004F18A1" w:rsidRPr="001B0997" w:rsidRDefault="004F18A1" w:rsidP="004F18A1">
      <w:pPr>
        <w:ind w:firstLine="284"/>
      </w:pPr>
    </w:p>
    <w:tbl>
      <w:tblPr>
        <w:tblW w:w="0" w:type="auto"/>
        <w:tblInd w:w="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1084"/>
        <w:gridCol w:w="1042"/>
        <w:gridCol w:w="191"/>
        <w:gridCol w:w="639"/>
        <w:gridCol w:w="698"/>
      </w:tblGrid>
      <w:tr w:rsidR="004F18A1" w:rsidRPr="001B0997">
        <w:trPr>
          <w:trHeight w:val="430"/>
        </w:trPr>
        <w:tc>
          <w:tcPr>
            <w:tcW w:w="4884" w:type="dxa"/>
            <w:gridSpan w:val="6"/>
            <w:tcBorders>
              <w:top w:val="nil"/>
              <w:bottom w:val="single" w:sz="4" w:space="0" w:color="auto"/>
            </w:tcBorders>
          </w:tcPr>
          <w:p w:rsidR="005E2E48" w:rsidRDefault="003D7CB2" w:rsidP="00BE7F7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Table 3:</w:t>
            </w:r>
            <w:r w:rsidR="004F18A1" w:rsidRPr="001B099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F18A1" w:rsidRPr="001B0997">
              <w:rPr>
                <w:i/>
                <w:sz w:val="16"/>
                <w:szCs w:val="16"/>
              </w:rPr>
              <w:t>Extralinguistic</w:t>
            </w:r>
            <w:proofErr w:type="spellEnd"/>
            <w:r w:rsidR="004F18A1" w:rsidRPr="001B0997">
              <w:rPr>
                <w:i/>
                <w:sz w:val="16"/>
                <w:szCs w:val="16"/>
              </w:rPr>
              <w:t xml:space="preserve"> Scale: mean and standard deviation of standard communicative acts, deceit and iron</w:t>
            </w:r>
            <w:r w:rsidR="00C445CC">
              <w:rPr>
                <w:i/>
                <w:sz w:val="16"/>
                <w:szCs w:val="16"/>
              </w:rPr>
              <w:t>y</w:t>
            </w:r>
            <w:r w:rsidR="001405C3">
              <w:rPr>
                <w:i/>
                <w:sz w:val="16"/>
                <w:szCs w:val="16"/>
              </w:rPr>
              <w:t>.</w:t>
            </w:r>
          </w:p>
        </w:tc>
      </w:tr>
      <w:tr w:rsidR="004F18A1" w:rsidRPr="001B0997">
        <w:trPr>
          <w:trHeight w:val="181"/>
        </w:trPr>
        <w:tc>
          <w:tcPr>
            <w:tcW w:w="1230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Comprehension</w:t>
            </w:r>
          </w:p>
        </w:tc>
      </w:tr>
      <w:tr w:rsidR="004F18A1" w:rsidRPr="001B0997">
        <w:trPr>
          <w:trHeight w:val="210"/>
        </w:trPr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163"/>
        </w:trPr>
        <w:tc>
          <w:tcPr>
            <w:tcW w:w="1230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Standard acts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.82 (.20)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.85 (.22)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  .62</w:t>
            </w:r>
          </w:p>
        </w:tc>
        <w:tc>
          <w:tcPr>
            <w:tcW w:w="698" w:type="dxa"/>
            <w:tcBorders>
              <w:left w:val="nil"/>
              <w:bottom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.720</w:t>
            </w:r>
          </w:p>
        </w:tc>
      </w:tr>
      <w:tr w:rsidR="004F18A1" w:rsidRPr="001B0997">
        <w:trPr>
          <w:trHeight w:val="119"/>
        </w:trPr>
        <w:tc>
          <w:tcPr>
            <w:tcW w:w="1230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Deceit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.61 (.32)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.86 (.22)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18A1" w:rsidRPr="001B0997" w:rsidRDefault="004F18A1" w:rsidP="004F18A1">
            <w:pPr>
              <w:tabs>
                <w:tab w:val="left" w:pos="933"/>
              </w:tabs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.012 </w:t>
            </w:r>
          </w:p>
        </w:tc>
      </w:tr>
      <w:tr w:rsidR="004F18A1" w:rsidRPr="001B0997" w:rsidTr="003F7B3C">
        <w:trPr>
          <w:trHeight w:val="64"/>
        </w:trPr>
        <w:tc>
          <w:tcPr>
            <w:tcW w:w="1230" w:type="dxa"/>
            <w:tcBorders>
              <w:top w:val="nil"/>
              <w:right w:val="nil"/>
            </w:tcBorders>
          </w:tcPr>
          <w:p w:rsidR="005E2E48" w:rsidRDefault="00C445CC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Iron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.53 (.26)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.81 (.29)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3.00</w:t>
            </w:r>
          </w:p>
        </w:tc>
        <w:tc>
          <w:tcPr>
            <w:tcW w:w="698" w:type="dxa"/>
            <w:tcBorders>
              <w:top w:val="nil"/>
              <w:left w:val="nil"/>
            </w:tcBorders>
            <w:shd w:val="clear" w:color="auto" w:fill="auto"/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.005 </w:t>
            </w:r>
          </w:p>
        </w:tc>
      </w:tr>
      <w:tr w:rsidR="004F18A1" w:rsidRPr="001B0997">
        <w:trPr>
          <w:trHeight w:val="201"/>
        </w:trPr>
        <w:tc>
          <w:tcPr>
            <w:tcW w:w="1230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Production</w:t>
            </w:r>
          </w:p>
        </w:tc>
      </w:tr>
      <w:tr w:rsidR="004F18A1" w:rsidRPr="001B0997">
        <w:trPr>
          <w:trHeight w:val="98"/>
        </w:trPr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123"/>
        </w:trPr>
        <w:tc>
          <w:tcPr>
            <w:tcW w:w="1230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Standard acts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.89 (.22)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.99 (.06)</w:t>
            </w: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1.61</w:t>
            </w:r>
          </w:p>
        </w:tc>
        <w:tc>
          <w:tcPr>
            <w:tcW w:w="698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.117</w:t>
            </w:r>
          </w:p>
        </w:tc>
      </w:tr>
      <w:tr w:rsidR="004F18A1" w:rsidRPr="001B0997">
        <w:trPr>
          <w:trHeight w:val="155"/>
        </w:trPr>
        <w:tc>
          <w:tcPr>
            <w:tcW w:w="1230" w:type="dxa"/>
            <w:tcBorders>
              <w:top w:val="nil"/>
              <w:bottom w:val="nil"/>
              <w:right w:val="nil"/>
            </w:tcBorders>
          </w:tcPr>
          <w:p w:rsidR="005E2E48" w:rsidRDefault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Deceit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.70 (.27)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.96 (.13)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.002 </w:t>
            </w:r>
          </w:p>
        </w:tc>
      </w:tr>
      <w:tr w:rsidR="004F18A1" w:rsidRPr="001B0997">
        <w:trPr>
          <w:trHeight w:val="182"/>
        </w:trPr>
        <w:tc>
          <w:tcPr>
            <w:tcW w:w="1230" w:type="dxa"/>
            <w:tcBorders>
              <w:top w:val="nil"/>
              <w:right w:val="nil"/>
            </w:tcBorders>
          </w:tcPr>
          <w:p w:rsidR="005E2E48" w:rsidRDefault="00C445CC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Iron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.36 (.35)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.76 (.31)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3.50</w:t>
            </w:r>
          </w:p>
        </w:tc>
        <w:tc>
          <w:tcPr>
            <w:tcW w:w="698" w:type="dxa"/>
            <w:tcBorders>
              <w:top w:val="nil"/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.001 </w:t>
            </w:r>
          </w:p>
        </w:tc>
      </w:tr>
    </w:tbl>
    <w:p w:rsidR="004F18A1" w:rsidRPr="001B0997" w:rsidRDefault="004F18A1" w:rsidP="004F18A1">
      <w:pPr>
        <w:ind w:firstLine="284"/>
      </w:pPr>
    </w:p>
    <w:p w:rsidR="004F18A1" w:rsidRPr="001B0997" w:rsidRDefault="004F18A1" w:rsidP="004F18A1">
      <w:pPr>
        <w:ind w:firstLine="284"/>
      </w:pPr>
    </w:p>
    <w:p w:rsidR="004F18A1" w:rsidRPr="001B0997" w:rsidRDefault="004F18A1" w:rsidP="004F18A1">
      <w:pPr>
        <w:ind w:firstLine="284"/>
      </w:pPr>
      <w:r w:rsidRPr="001B0997">
        <w:rPr>
          <w:i/>
        </w:rPr>
        <w:t>Paralinguistic Scale</w:t>
      </w:r>
      <w:r w:rsidRPr="001B0997">
        <w:t xml:space="preserve">: We analyzed performance on Paralinguistic tasks in </w:t>
      </w:r>
      <w:r w:rsidR="00E64A51" w:rsidRPr="001B0997">
        <w:t xml:space="preserve">both </w:t>
      </w:r>
      <w:r w:rsidRPr="001B0997">
        <w:t xml:space="preserve">comprehension and production. To analyze comprehension abilities, we conducted a repeated measures ANOVA, with one between-subjects factor (type of subject, with two levels: patients and controls) and one within-subjects </w:t>
      </w:r>
      <w:r>
        <w:t>factor</w:t>
      </w:r>
      <w:r w:rsidRPr="001B0997">
        <w:t xml:space="preserve"> (type of task, with three levels: basic </w:t>
      </w:r>
      <w:r w:rsidR="00C445CC">
        <w:t>speech</w:t>
      </w:r>
      <w:r w:rsidR="00C445CC" w:rsidRPr="001B0997">
        <w:t xml:space="preserve"> </w:t>
      </w:r>
      <w:r w:rsidRPr="001B0997">
        <w:t xml:space="preserve">acts, basic emotion, paralinguistic contradiction). </w:t>
      </w:r>
      <w:r w:rsidR="00C445CC">
        <w:t>T</w:t>
      </w:r>
      <w:r w:rsidR="00E64A51">
        <w:t>he r</w:t>
      </w:r>
      <w:r w:rsidR="00E64A51" w:rsidRPr="001B0997">
        <w:t xml:space="preserve">esults </w:t>
      </w:r>
      <w:r w:rsidRPr="001B0997">
        <w:t>revealed a main effect of the type of subject (F</w:t>
      </w:r>
      <w:r w:rsidRPr="001B0997">
        <w:rPr>
          <w:vertAlign w:val="subscript"/>
        </w:rPr>
        <w:t>(1,32)</w:t>
      </w:r>
      <w:r w:rsidRPr="001B0997">
        <w:t xml:space="preserve"> = 8.54; p = .006; η</w:t>
      </w:r>
      <w:r w:rsidRPr="001B0997">
        <w:rPr>
          <w:vertAlign w:val="superscript"/>
        </w:rPr>
        <w:t>2</w:t>
      </w:r>
      <w:r w:rsidRPr="001B0997">
        <w:t xml:space="preserve"> = .21): patients performed worse than control subjects. There was also a main effect of the type of task (F</w:t>
      </w:r>
      <w:r w:rsidRPr="001B0997">
        <w:rPr>
          <w:vertAlign w:val="subscript"/>
        </w:rPr>
        <w:t>(2,64)</w:t>
      </w:r>
      <w:r w:rsidRPr="001B0997">
        <w:t xml:space="preserve"> = 19.23; p&lt;.0001; η</w:t>
      </w:r>
      <w:r w:rsidRPr="001B0997">
        <w:rPr>
          <w:vertAlign w:val="superscript"/>
        </w:rPr>
        <w:t>2</w:t>
      </w:r>
      <w:r w:rsidRPr="001B0997">
        <w:t xml:space="preserve"> = .37). Similar analyses were conducted for production abilities, using a repeated measures ANOVA, with one between-subjects factor (type of subject, with two levels: patients and controls) and one within-subject</w:t>
      </w:r>
      <w:r w:rsidR="002A6F50">
        <w:t xml:space="preserve"> factor</w:t>
      </w:r>
      <w:r w:rsidRPr="001B0997">
        <w:t xml:space="preserve"> (type of task, with two levels: basic </w:t>
      </w:r>
      <w:r w:rsidR="00C445CC">
        <w:t>speech</w:t>
      </w:r>
      <w:r w:rsidR="00C445CC" w:rsidRPr="001B0997">
        <w:t xml:space="preserve"> </w:t>
      </w:r>
      <w:r w:rsidRPr="001B0997">
        <w:t>acts and basic emotion)</w:t>
      </w:r>
      <w:r w:rsidR="002C2457">
        <w:t xml:space="preserve"> </w:t>
      </w:r>
      <w:r w:rsidRPr="001B0997">
        <w:t>(Table 4).</w:t>
      </w:r>
    </w:p>
    <w:p w:rsidR="004F18A1" w:rsidRPr="001B0997" w:rsidRDefault="004F18A1" w:rsidP="004F18A1">
      <w:pPr>
        <w:ind w:firstLine="284"/>
      </w:pPr>
    </w:p>
    <w:tbl>
      <w:tblPr>
        <w:tblW w:w="0" w:type="auto"/>
        <w:tblInd w:w="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5"/>
        <w:gridCol w:w="911"/>
        <w:gridCol w:w="944"/>
        <w:gridCol w:w="160"/>
        <w:gridCol w:w="611"/>
        <w:gridCol w:w="663"/>
      </w:tblGrid>
      <w:tr w:rsidR="004F18A1" w:rsidRPr="001B0997">
        <w:trPr>
          <w:trHeight w:val="430"/>
        </w:trPr>
        <w:tc>
          <w:tcPr>
            <w:tcW w:w="4884" w:type="dxa"/>
            <w:gridSpan w:val="6"/>
            <w:tcBorders>
              <w:top w:val="nil"/>
              <w:bottom w:val="single" w:sz="4" w:space="0" w:color="auto"/>
            </w:tcBorders>
          </w:tcPr>
          <w:p w:rsidR="004F18A1" w:rsidRPr="001B0997" w:rsidRDefault="003D7CB2" w:rsidP="004F18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Table 4:</w:t>
            </w:r>
            <w:r w:rsidR="004F18A1" w:rsidRPr="001B0997">
              <w:rPr>
                <w:i/>
                <w:sz w:val="16"/>
                <w:szCs w:val="16"/>
              </w:rPr>
              <w:t xml:space="preserve"> Paralinguistic Scale: mean and standard deviation of the obtained scores</w:t>
            </w:r>
            <w:r w:rsidR="002A651E">
              <w:rPr>
                <w:i/>
                <w:sz w:val="16"/>
                <w:szCs w:val="16"/>
              </w:rPr>
              <w:t xml:space="preserve"> for basic s</w:t>
            </w:r>
            <w:r w:rsidR="008170C3">
              <w:rPr>
                <w:i/>
                <w:sz w:val="16"/>
                <w:szCs w:val="16"/>
              </w:rPr>
              <w:t>peech</w:t>
            </w:r>
            <w:r w:rsidR="002A651E">
              <w:rPr>
                <w:i/>
                <w:sz w:val="16"/>
                <w:szCs w:val="16"/>
              </w:rPr>
              <w:t xml:space="preserve"> a</w:t>
            </w:r>
            <w:r w:rsidR="008170C3">
              <w:rPr>
                <w:i/>
                <w:sz w:val="16"/>
                <w:szCs w:val="16"/>
              </w:rPr>
              <w:t>ct</w:t>
            </w:r>
            <w:r w:rsidR="002A651E">
              <w:rPr>
                <w:i/>
                <w:sz w:val="16"/>
                <w:szCs w:val="16"/>
              </w:rPr>
              <w:t>s</w:t>
            </w:r>
            <w:r w:rsidR="008170C3">
              <w:rPr>
                <w:i/>
                <w:sz w:val="16"/>
                <w:szCs w:val="16"/>
              </w:rPr>
              <w:t xml:space="preserve"> (BSA)</w:t>
            </w:r>
            <w:r w:rsidR="002A651E">
              <w:rPr>
                <w:i/>
                <w:sz w:val="16"/>
                <w:szCs w:val="16"/>
              </w:rPr>
              <w:t>, basic emotion and paralinguistic c</w:t>
            </w:r>
            <w:r w:rsidR="008170C3">
              <w:rPr>
                <w:i/>
                <w:sz w:val="16"/>
                <w:szCs w:val="16"/>
              </w:rPr>
              <w:t>ontradiction (</w:t>
            </w:r>
            <w:proofErr w:type="spellStart"/>
            <w:r w:rsidR="008170C3">
              <w:rPr>
                <w:i/>
                <w:sz w:val="16"/>
                <w:szCs w:val="16"/>
              </w:rPr>
              <w:t>P.Contradiction</w:t>
            </w:r>
            <w:proofErr w:type="spellEnd"/>
            <w:r w:rsidR="008170C3">
              <w:rPr>
                <w:i/>
                <w:sz w:val="16"/>
                <w:szCs w:val="16"/>
              </w:rPr>
              <w:t>)</w:t>
            </w:r>
          </w:p>
        </w:tc>
      </w:tr>
      <w:tr w:rsidR="004F18A1" w:rsidRPr="001B0997">
        <w:trPr>
          <w:trHeight w:val="171"/>
        </w:trPr>
        <w:tc>
          <w:tcPr>
            <w:tcW w:w="1595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Comprehension</w:t>
            </w:r>
          </w:p>
        </w:tc>
      </w:tr>
      <w:tr w:rsidR="004F18A1" w:rsidRPr="001B0997">
        <w:trPr>
          <w:trHeight w:val="117"/>
        </w:trPr>
        <w:tc>
          <w:tcPr>
            <w:tcW w:w="1595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228"/>
        </w:trPr>
        <w:tc>
          <w:tcPr>
            <w:tcW w:w="1595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BSA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.63 (.20)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.69 (.15)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 xml:space="preserve">  .94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.353</w:t>
            </w:r>
          </w:p>
        </w:tc>
      </w:tr>
      <w:tr w:rsidR="004F18A1" w:rsidRPr="001B0997">
        <w:trPr>
          <w:trHeight w:val="223"/>
        </w:trPr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Basic Emotion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.81 (.14)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.89 (.14)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.101</w:t>
            </w:r>
          </w:p>
        </w:tc>
      </w:tr>
      <w:tr w:rsidR="004F18A1" w:rsidRPr="001B0997">
        <w:trPr>
          <w:trHeight w:val="155"/>
        </w:trPr>
        <w:tc>
          <w:tcPr>
            <w:tcW w:w="1595" w:type="dxa"/>
            <w:tcBorders>
              <w:top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P.</w:t>
            </w:r>
            <w:r w:rsidR="002A6F50">
              <w:rPr>
                <w:sz w:val="16"/>
                <w:szCs w:val="16"/>
              </w:rPr>
              <w:t xml:space="preserve"> </w:t>
            </w:r>
            <w:r w:rsidRPr="001B0997">
              <w:rPr>
                <w:sz w:val="16"/>
                <w:szCs w:val="16"/>
              </w:rPr>
              <w:t>Contradiction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.84 (.20)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.96 (.10)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2.07</w:t>
            </w: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.046</w:t>
            </w:r>
          </w:p>
        </w:tc>
      </w:tr>
      <w:tr w:rsidR="004F18A1" w:rsidRPr="001B0997">
        <w:trPr>
          <w:trHeight w:val="119"/>
        </w:trPr>
        <w:tc>
          <w:tcPr>
            <w:tcW w:w="1595" w:type="dxa"/>
            <w:tcBorders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5"/>
            <w:tcBorders>
              <w:lef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Production</w:t>
            </w:r>
          </w:p>
        </w:tc>
      </w:tr>
      <w:tr w:rsidR="004F18A1" w:rsidRPr="001B0997">
        <w:trPr>
          <w:trHeight w:val="207"/>
        </w:trPr>
        <w:tc>
          <w:tcPr>
            <w:tcW w:w="1595" w:type="dxa"/>
            <w:tcBorders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Patients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Controls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t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p</w:t>
            </w:r>
          </w:p>
        </w:tc>
      </w:tr>
      <w:tr w:rsidR="004F18A1" w:rsidRPr="001B0997">
        <w:trPr>
          <w:trHeight w:val="227"/>
        </w:trPr>
        <w:tc>
          <w:tcPr>
            <w:tcW w:w="1595" w:type="dxa"/>
            <w:tcBorders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BSA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.96 (.06)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.98 (.07)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1.01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.321</w:t>
            </w:r>
          </w:p>
        </w:tc>
      </w:tr>
      <w:tr w:rsidR="004F18A1" w:rsidRPr="001B0997">
        <w:trPr>
          <w:trHeight w:val="286"/>
        </w:trPr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4F18A1" w:rsidRPr="001B0997" w:rsidRDefault="004F18A1" w:rsidP="004F18A1">
            <w:pPr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Basic Emotion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.82 (.14)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.96 (.06)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3.59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4F18A1" w:rsidRPr="001B0997" w:rsidRDefault="004F18A1" w:rsidP="004F18A1">
            <w:pPr>
              <w:jc w:val="center"/>
              <w:rPr>
                <w:sz w:val="16"/>
                <w:szCs w:val="16"/>
              </w:rPr>
            </w:pPr>
            <w:r w:rsidRPr="001B0997">
              <w:rPr>
                <w:sz w:val="16"/>
                <w:szCs w:val="16"/>
              </w:rPr>
              <w:t>.002</w:t>
            </w:r>
          </w:p>
        </w:tc>
      </w:tr>
    </w:tbl>
    <w:p w:rsidR="004F18A1" w:rsidRPr="001B0997" w:rsidRDefault="004F18A1" w:rsidP="004F18A1">
      <w:pPr>
        <w:ind w:firstLine="0"/>
        <w:rPr>
          <w:sz w:val="18"/>
        </w:rPr>
      </w:pPr>
    </w:p>
    <w:p w:rsidR="005669F0" w:rsidRPr="007C6EAB" w:rsidRDefault="004F18A1" w:rsidP="007C6EAB">
      <w:pPr>
        <w:ind w:firstLine="284"/>
      </w:pPr>
      <w:r w:rsidRPr="001B0997">
        <w:rPr>
          <w:i/>
        </w:rPr>
        <w:t xml:space="preserve">Comparison between Linguistic and </w:t>
      </w:r>
      <w:proofErr w:type="spellStart"/>
      <w:r w:rsidRPr="001B0997">
        <w:rPr>
          <w:i/>
        </w:rPr>
        <w:t>Extralinguistic</w:t>
      </w:r>
      <w:proofErr w:type="spellEnd"/>
      <w:r w:rsidRPr="001B0997">
        <w:rPr>
          <w:i/>
        </w:rPr>
        <w:t xml:space="preserve"> task</w:t>
      </w:r>
      <w:r w:rsidR="002A6F50">
        <w:rPr>
          <w:i/>
        </w:rPr>
        <w:t>s</w:t>
      </w:r>
      <w:r w:rsidR="0025020E">
        <w:rPr>
          <w:i/>
        </w:rPr>
        <w:t>:</w:t>
      </w:r>
      <w:r w:rsidRPr="001B0997">
        <w:rPr>
          <w:i/>
        </w:rPr>
        <w:t xml:space="preserve"> </w:t>
      </w:r>
      <w:r w:rsidRPr="001B0997">
        <w:t>We performed a repeated measures ANOVA with one between-subjects factor (type of subject, with two levels: patients and controls) and one within-subjects</w:t>
      </w:r>
      <w:r w:rsidR="002A6F50">
        <w:t xml:space="preserve"> factor</w:t>
      </w:r>
      <w:r w:rsidRPr="001B0997">
        <w:t xml:space="preserve"> (type of task, with two levels: linguistic and </w:t>
      </w:r>
      <w:proofErr w:type="spellStart"/>
      <w:r w:rsidRPr="001B0997">
        <w:t>extralinguistic</w:t>
      </w:r>
      <w:proofErr w:type="spellEnd"/>
      <w:r w:rsidRPr="001B0997">
        <w:t xml:space="preserve"> tasks) to compare subjects’ performance on linguistic and </w:t>
      </w:r>
      <w:proofErr w:type="spellStart"/>
      <w:r w:rsidRPr="001B0997">
        <w:t>extralinguistic</w:t>
      </w:r>
      <w:proofErr w:type="spellEnd"/>
      <w:r w:rsidRPr="001B0997">
        <w:t xml:space="preserve"> tasks. The analyses revealed a main effect of the type of subject (F</w:t>
      </w:r>
      <w:r w:rsidRPr="001B0997">
        <w:rPr>
          <w:vertAlign w:val="subscript"/>
        </w:rPr>
        <w:t>(1,32)</w:t>
      </w:r>
      <w:r w:rsidRPr="001B0997">
        <w:t xml:space="preserve"> = 22.21; p &lt; .0001; η</w:t>
      </w:r>
      <w:r w:rsidRPr="001B0997">
        <w:rPr>
          <w:vertAlign w:val="superscript"/>
        </w:rPr>
        <w:t>2</w:t>
      </w:r>
      <w:r w:rsidRPr="001B0997">
        <w:t xml:space="preserve"> = .41): patients performed worse than controls. Moreover there was a main effect of type of task (F</w:t>
      </w:r>
      <w:r w:rsidRPr="001B0997">
        <w:rPr>
          <w:vertAlign w:val="subscript"/>
        </w:rPr>
        <w:t>(1,32)</w:t>
      </w:r>
      <w:r w:rsidRPr="001B0997">
        <w:t xml:space="preserve"> = 28.63; p &lt; .0001; η</w:t>
      </w:r>
      <w:r w:rsidRPr="001B0997">
        <w:rPr>
          <w:vertAlign w:val="superscript"/>
        </w:rPr>
        <w:t>2</w:t>
      </w:r>
      <w:r w:rsidRPr="001B0997">
        <w:t xml:space="preserve"> = .47): performance in </w:t>
      </w:r>
      <w:proofErr w:type="spellStart"/>
      <w:r w:rsidRPr="001B0997">
        <w:t>extralinguistic</w:t>
      </w:r>
      <w:proofErr w:type="spellEnd"/>
      <w:r w:rsidRPr="001B0997">
        <w:t xml:space="preserve"> tasks </w:t>
      </w:r>
      <w:r w:rsidR="002A6F50">
        <w:t>was</w:t>
      </w:r>
      <w:r w:rsidR="002A6F50" w:rsidRPr="001B0997">
        <w:t xml:space="preserve"> </w:t>
      </w:r>
      <w:r w:rsidRPr="001B0997">
        <w:t>significantly worse than performance in linguistic tasks. We found an interaction effect between the two main factors, type of subject and type of task (F</w:t>
      </w:r>
      <w:r w:rsidRPr="001B0997">
        <w:rPr>
          <w:vertAlign w:val="subscript"/>
        </w:rPr>
        <w:t>(1,32)</w:t>
      </w:r>
      <w:r w:rsidRPr="001B0997">
        <w:t xml:space="preserve"> = 7.48; p</w:t>
      </w:r>
      <w:r w:rsidR="0025020E">
        <w:t xml:space="preserve"> </w:t>
      </w:r>
      <w:r w:rsidRPr="001B0997">
        <w:t>= .010; η</w:t>
      </w:r>
      <w:r w:rsidRPr="001B0997">
        <w:rPr>
          <w:vertAlign w:val="superscript"/>
        </w:rPr>
        <w:t>2</w:t>
      </w:r>
      <w:r w:rsidRPr="001B0997">
        <w:t xml:space="preserve"> = .19). The interaction effect between subject and task show</w:t>
      </w:r>
      <w:r w:rsidR="002A6F50">
        <w:t>ed</w:t>
      </w:r>
      <w:r w:rsidRPr="001B0997">
        <w:t xml:space="preserve"> that only patients performed significantly worse </w:t>
      </w:r>
      <w:r w:rsidR="002A6F50">
        <w:t>on the</w:t>
      </w:r>
      <w:r w:rsidR="002A6F50" w:rsidRPr="001B0997">
        <w:t xml:space="preserve"> </w:t>
      </w:r>
      <w:proofErr w:type="spellStart"/>
      <w:r w:rsidRPr="001B0997">
        <w:t>Extralinguistic</w:t>
      </w:r>
      <w:proofErr w:type="spellEnd"/>
      <w:r w:rsidRPr="001B0997">
        <w:t xml:space="preserve"> </w:t>
      </w:r>
      <w:r w:rsidR="002A6F50">
        <w:t>Scale than on the</w:t>
      </w:r>
      <w:r w:rsidRPr="001B0997">
        <w:t xml:space="preserve"> Linguistic Scale. Patients exhibit</w:t>
      </w:r>
      <w:r w:rsidR="002A6F50">
        <w:t>ed</w:t>
      </w:r>
      <w:r w:rsidRPr="001B0997">
        <w:t xml:space="preserve"> difficulties in </w:t>
      </w:r>
      <w:proofErr w:type="spellStart"/>
      <w:r w:rsidRPr="001B0997">
        <w:t>extralinguistic</w:t>
      </w:r>
      <w:proofErr w:type="spellEnd"/>
      <w:r w:rsidRPr="001B0997">
        <w:t xml:space="preserve"> and linguistic tasks, but </w:t>
      </w:r>
      <w:r w:rsidR="002A6F50">
        <w:t>were</w:t>
      </w:r>
      <w:r w:rsidRPr="001B0997">
        <w:t xml:space="preserve"> more severely impaired in </w:t>
      </w:r>
      <w:proofErr w:type="spellStart"/>
      <w:r w:rsidRPr="001B0997">
        <w:t>extralinguistic</w:t>
      </w:r>
      <w:proofErr w:type="spellEnd"/>
      <w:r w:rsidRPr="001B0997">
        <w:t xml:space="preserve"> tasks compared to healthy controls.</w:t>
      </w:r>
    </w:p>
    <w:p w:rsidR="004F18A1" w:rsidRPr="00445EAD" w:rsidRDefault="007C6EAB" w:rsidP="005A4C97">
      <w:pPr>
        <w:pStyle w:val="Titolo2"/>
        <w:spacing w:beforeLines="100" w:afterLines="25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04138E" w:rsidRPr="00AB384F">
        <w:rPr>
          <w:sz w:val="24"/>
          <w:szCs w:val="24"/>
        </w:rPr>
        <w:t>iscussion and conclusion</w:t>
      </w:r>
    </w:p>
    <w:p w:rsidR="004F18A1" w:rsidRPr="001B0997" w:rsidRDefault="002A6F50" w:rsidP="00304F32">
      <w:pPr>
        <w:ind w:firstLine="0"/>
      </w:pPr>
      <w:r>
        <w:t>The a</w:t>
      </w:r>
      <w:r w:rsidRPr="001B0997">
        <w:t xml:space="preserve">im </w:t>
      </w:r>
      <w:r w:rsidR="004F18A1" w:rsidRPr="001B0997">
        <w:t>of the present study was to provide a detailed description of communicative deficits</w:t>
      </w:r>
      <w:r w:rsidR="004F18A1">
        <w:t xml:space="preserve"> following RHD. In line with previous</w:t>
      </w:r>
      <w:r w:rsidR="004F18A1" w:rsidRPr="001B0997">
        <w:t xml:space="preserve"> literature, RHD patients </w:t>
      </w:r>
      <w:r w:rsidR="00FA476A">
        <w:t>showed</w:t>
      </w:r>
      <w:r w:rsidR="00FA476A" w:rsidRPr="001B0997">
        <w:t xml:space="preserve"> </w:t>
      </w:r>
      <w:r w:rsidR="004F18A1" w:rsidRPr="001B0997">
        <w:t xml:space="preserve">a wide range of pragmatic disorders compared to healthy controls: they exhibited difficulties </w:t>
      </w:r>
      <w:r w:rsidRPr="001B0997">
        <w:t>in both comprehension and production</w:t>
      </w:r>
      <w:r>
        <w:t xml:space="preserve"> </w:t>
      </w:r>
      <w:r w:rsidR="004F18A1" w:rsidRPr="001B0997">
        <w:t>in all the task</w:t>
      </w:r>
      <w:r w:rsidR="004F18A1">
        <w:t>s</w:t>
      </w:r>
      <w:r w:rsidR="004F18A1" w:rsidRPr="001B0997">
        <w:t xml:space="preserve"> examined, i.e</w:t>
      </w:r>
      <w:r>
        <w:t>.</w:t>
      </w:r>
      <w:r w:rsidR="004F18A1" w:rsidRPr="001B0997">
        <w:t xml:space="preserve"> linguistic,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and paralinguistic.</w:t>
      </w:r>
    </w:p>
    <w:p w:rsidR="008C2EC9" w:rsidRDefault="004F18A1" w:rsidP="009C1518">
      <w:r w:rsidRPr="001B0997">
        <w:t>Previous studies suggested that RHD patients do not have difficulties in deal</w:t>
      </w:r>
      <w:r w:rsidR="002A6F50">
        <w:t>ing</w:t>
      </w:r>
      <w:r w:rsidRPr="001B0997">
        <w:t xml:space="preserve"> with literal forms of communication, but </w:t>
      </w:r>
      <w:r w:rsidR="00FA476A">
        <w:t>perform less well in</w:t>
      </w:r>
      <w:r w:rsidRPr="001B0997">
        <w:t xml:space="preserve"> </w:t>
      </w:r>
      <w:r w:rsidR="00FA476A" w:rsidRPr="001B0997">
        <w:t>high</w:t>
      </w:r>
      <w:r w:rsidR="00FA476A">
        <w:t>-</w:t>
      </w:r>
      <w:r w:rsidRPr="001B0997">
        <w:t>order tasks, that require the comprehension of non-literal, figurative and ambiguous forms of language: deficits in the comprehension of joke</w:t>
      </w:r>
      <w:r w:rsidR="002A6F50">
        <w:t>s</w:t>
      </w:r>
      <w:r w:rsidRPr="001B0997">
        <w:t>, irony, sarcasm, metaphor</w:t>
      </w:r>
      <w:r w:rsidR="002A6F50">
        <w:t>s</w:t>
      </w:r>
      <w:r w:rsidRPr="001B0997">
        <w:t xml:space="preserve">, idioms and lies </w:t>
      </w:r>
      <w:r>
        <w:t>have been</w:t>
      </w:r>
      <w:r w:rsidRPr="001B0997">
        <w:t xml:space="preserve"> reported extensively (e.g.</w:t>
      </w:r>
      <w:r w:rsidR="009C1518" w:rsidRPr="009C1518">
        <w:t xml:space="preserve"> </w:t>
      </w:r>
      <w:proofErr w:type="spellStart"/>
      <w:r w:rsidR="009C1518" w:rsidRPr="001B0997">
        <w:t>Cheang</w:t>
      </w:r>
      <w:proofErr w:type="spellEnd"/>
      <w:r w:rsidR="009C1518" w:rsidRPr="001B0997">
        <w:t xml:space="preserve"> &amp; Pell, 200</w:t>
      </w:r>
      <w:r w:rsidR="009C1518">
        <w:t xml:space="preserve">6; </w:t>
      </w:r>
      <w:r w:rsidR="009C1518" w:rsidRPr="001B0997">
        <w:t>McDonald, 2000</w:t>
      </w:r>
      <w:r w:rsidRPr="001B0997">
        <w:t>). Given that inferential deficits are frequently present after RHD (</w:t>
      </w:r>
      <w:r w:rsidR="000D6F0D">
        <w:t xml:space="preserve">e.g. </w:t>
      </w:r>
      <w:proofErr w:type="spellStart"/>
      <w:r w:rsidR="00C8337C">
        <w:t>Beeman</w:t>
      </w:r>
      <w:proofErr w:type="spellEnd"/>
      <w:r w:rsidR="00C8337C">
        <w:t>, 2000</w:t>
      </w:r>
      <w:r w:rsidRPr="001B0997">
        <w:rPr>
          <w:sz w:val="22"/>
          <w:szCs w:val="22"/>
        </w:rPr>
        <w:t>)</w:t>
      </w:r>
      <w:r w:rsidRPr="001B0997">
        <w:t xml:space="preserve"> it is not </w:t>
      </w:r>
      <w:r w:rsidR="00FF4129">
        <w:t xml:space="preserve">unexpected </w:t>
      </w:r>
      <w:r w:rsidRPr="001B0997">
        <w:t xml:space="preserve">that </w:t>
      </w:r>
      <w:r w:rsidR="002A6F50">
        <w:t xml:space="preserve">the </w:t>
      </w:r>
      <w:r w:rsidRPr="001B0997">
        <w:t xml:space="preserve">patients in our study reported </w:t>
      </w:r>
      <w:r>
        <w:t xml:space="preserve">such </w:t>
      </w:r>
      <w:r w:rsidRPr="001B0997">
        <w:t xml:space="preserve">difficulties with communicative tasks </w:t>
      </w:r>
      <w:r w:rsidR="002A6F50">
        <w:t>involving</w:t>
      </w:r>
      <w:r w:rsidR="002A6F50" w:rsidRPr="001B0997">
        <w:t xml:space="preserve"> </w:t>
      </w:r>
      <w:r w:rsidRPr="001B0997">
        <w:t>high inferential demands.</w:t>
      </w:r>
      <w:r w:rsidR="00A05B27">
        <w:t xml:space="preserve"> </w:t>
      </w:r>
      <w:r w:rsidR="00755C42">
        <w:t xml:space="preserve">The role </w:t>
      </w:r>
      <w:r w:rsidR="0043423E">
        <w:t xml:space="preserve">of neural regions </w:t>
      </w:r>
      <w:r w:rsidR="00755C42">
        <w:t xml:space="preserve">of right hemisphere in sustain the comprehension of </w:t>
      </w:r>
      <w:r w:rsidR="00C94688">
        <w:t>non-literal</w:t>
      </w:r>
      <w:r w:rsidR="00755C42">
        <w:t xml:space="preserve"> </w:t>
      </w:r>
      <w:r w:rsidR="00091561">
        <w:t xml:space="preserve">language has been confirmed </w:t>
      </w:r>
      <w:r w:rsidR="00DD1244">
        <w:t xml:space="preserve">by recent </w:t>
      </w:r>
      <w:proofErr w:type="spellStart"/>
      <w:r w:rsidR="00DD1244">
        <w:t>n</w:t>
      </w:r>
      <w:r w:rsidR="00091561">
        <w:t>e</w:t>
      </w:r>
      <w:r w:rsidR="00DD1244">
        <w:t>u</w:t>
      </w:r>
      <w:r w:rsidR="00091561">
        <w:t>roimaging</w:t>
      </w:r>
      <w:proofErr w:type="spellEnd"/>
      <w:r w:rsidR="00091561">
        <w:t xml:space="preserve"> </w:t>
      </w:r>
      <w:r w:rsidR="00737E2A">
        <w:t>studies</w:t>
      </w:r>
      <w:r w:rsidR="00091561">
        <w:t xml:space="preserve"> </w:t>
      </w:r>
      <w:r w:rsidR="00F97E36">
        <w:t xml:space="preserve">(e.g. </w:t>
      </w:r>
      <w:proofErr w:type="spellStart"/>
      <w:r w:rsidR="00F97E36">
        <w:t>Eviatar</w:t>
      </w:r>
      <w:proofErr w:type="spellEnd"/>
      <w:r w:rsidR="00F97E36">
        <w:t xml:space="preserve"> &amp; Just, 2006</w:t>
      </w:r>
      <w:r w:rsidR="00091561">
        <w:t>).</w:t>
      </w:r>
    </w:p>
    <w:p w:rsidR="00110575" w:rsidRDefault="006C09A5" w:rsidP="00B3768D">
      <w:r>
        <w:t xml:space="preserve">The main finding </w:t>
      </w:r>
      <w:r w:rsidR="001F6C11">
        <w:t>of</w:t>
      </w:r>
      <w:r>
        <w:t xml:space="preserve"> this paper refers to </w:t>
      </w:r>
      <w:r w:rsidR="00110575">
        <w:t>the impairment that RHD patients exhibit in</w:t>
      </w:r>
      <w:r>
        <w:t xml:space="preserve"> </w:t>
      </w:r>
      <w:proofErr w:type="spellStart"/>
      <w:r>
        <w:t>extralingustic</w:t>
      </w:r>
      <w:proofErr w:type="spellEnd"/>
      <w:r>
        <w:t xml:space="preserve"> moda</w:t>
      </w:r>
      <w:r w:rsidR="005D39CB">
        <w:t xml:space="preserve">lity, </w:t>
      </w:r>
      <w:r>
        <w:t xml:space="preserve">in  </w:t>
      </w:r>
      <w:r>
        <w:lastRenderedPageBreak/>
        <w:t xml:space="preserve">particular </w:t>
      </w:r>
      <w:r w:rsidR="00110575">
        <w:t xml:space="preserve">in </w:t>
      </w:r>
      <w:r>
        <w:t xml:space="preserve">comprehension </w:t>
      </w:r>
      <w:r w:rsidR="00F52C69">
        <w:t xml:space="preserve">and production </w:t>
      </w:r>
      <w:r>
        <w:t>of communicative gestures</w:t>
      </w:r>
      <w:r w:rsidR="00B3768D">
        <w:t xml:space="preserve">. </w:t>
      </w:r>
      <w:r w:rsidR="00044475">
        <w:t>T</w:t>
      </w:r>
      <w:r w:rsidR="002A6F50">
        <w:t>he r</w:t>
      </w:r>
      <w:r w:rsidR="002A6F50" w:rsidRPr="001B0997">
        <w:t xml:space="preserve">esults </w:t>
      </w:r>
      <w:r w:rsidR="002A6F50">
        <w:t>for</w:t>
      </w:r>
      <w:r w:rsidR="002A6F50" w:rsidRPr="001B0997">
        <w:t xml:space="preserve">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tasks showed that patients performed similarly to healthy controls in comprehending and producing standard </w:t>
      </w:r>
      <w:r w:rsidR="004D1066">
        <w:t>communicative</w:t>
      </w:r>
      <w:r w:rsidR="00441900">
        <w:t xml:space="preserve"> </w:t>
      </w:r>
      <w:r w:rsidR="004F18A1" w:rsidRPr="001B0997">
        <w:t>acts, while they performed significant</w:t>
      </w:r>
      <w:r w:rsidR="004F18A1">
        <w:t>ly</w:t>
      </w:r>
      <w:r w:rsidR="004F18A1" w:rsidRPr="001B0997">
        <w:t xml:space="preserve"> worse than controls in comprehending and producing deceit and </w:t>
      </w:r>
      <w:r w:rsidR="00FA476A" w:rsidRPr="001B0997">
        <w:t>iron</w:t>
      </w:r>
      <w:r w:rsidR="00FA476A">
        <w:t>y</w:t>
      </w:r>
      <w:r w:rsidR="004F18A1" w:rsidRPr="001B0997">
        <w:t xml:space="preserve">. These data confirmed those obtained by </w:t>
      </w:r>
      <w:proofErr w:type="spellStart"/>
      <w:r w:rsidR="004F18A1" w:rsidRPr="001B0997">
        <w:t>Cutica</w:t>
      </w:r>
      <w:proofErr w:type="spellEnd"/>
      <w:r w:rsidR="004F18A1" w:rsidRPr="001B0997">
        <w:t xml:space="preserve"> et al. (2006), suggesting that RHD patients are impaired in their ability to decode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aspects of communication; </w:t>
      </w:r>
      <w:r w:rsidR="002A6F50">
        <w:t xml:space="preserve">these </w:t>
      </w:r>
      <w:r w:rsidR="004F18A1" w:rsidRPr="001B0997">
        <w:t xml:space="preserve">data also </w:t>
      </w:r>
      <w:r w:rsidR="002A6F50" w:rsidRPr="001B0997">
        <w:t xml:space="preserve">allow </w:t>
      </w:r>
      <w:r w:rsidR="002A6F50">
        <w:t xml:space="preserve">us </w:t>
      </w:r>
      <w:r w:rsidR="004F18A1" w:rsidRPr="001B0997">
        <w:t xml:space="preserve">to extend </w:t>
      </w:r>
      <w:r w:rsidR="002A6F50">
        <w:t xml:space="preserve">the </w:t>
      </w:r>
      <w:r w:rsidR="004F18A1" w:rsidRPr="001B0997">
        <w:t xml:space="preserve">results </w:t>
      </w:r>
      <w:r w:rsidR="002A6F50">
        <w:t>reported by</w:t>
      </w:r>
      <w:r w:rsidR="002A6F50" w:rsidRPr="001B0997">
        <w:t xml:space="preserve"> </w:t>
      </w:r>
      <w:proofErr w:type="spellStart"/>
      <w:r w:rsidR="004F18A1" w:rsidRPr="001B0997">
        <w:t>Cutica</w:t>
      </w:r>
      <w:proofErr w:type="spellEnd"/>
      <w:r w:rsidR="004F18A1" w:rsidRPr="001B0997">
        <w:t xml:space="preserve"> and colleagues to the production of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aspects.</w:t>
      </w:r>
      <w:r w:rsidR="00A038C3">
        <w:t xml:space="preserve"> </w:t>
      </w:r>
    </w:p>
    <w:p w:rsidR="00637B43" w:rsidRDefault="009E353D" w:rsidP="0025020E">
      <w:pPr>
        <w:ind w:firstLine="0"/>
      </w:pPr>
      <w:r>
        <w:t>C</w:t>
      </w:r>
      <w:r w:rsidR="00A038C3">
        <w:t xml:space="preserve">ommunicative gestures </w:t>
      </w:r>
      <w:r>
        <w:t>could be important</w:t>
      </w:r>
      <w:r w:rsidR="00A038C3">
        <w:t xml:space="preserve"> </w:t>
      </w:r>
      <w:r>
        <w:t xml:space="preserve">during </w:t>
      </w:r>
      <w:r w:rsidR="00A038C3">
        <w:t>everyday life</w:t>
      </w:r>
      <w:r>
        <w:t xml:space="preserve"> </w:t>
      </w:r>
      <w:r w:rsidR="0025020E">
        <w:t>conversation, helping</w:t>
      </w:r>
      <w:r w:rsidR="00E554FE">
        <w:t xml:space="preserve"> people to c</w:t>
      </w:r>
      <w:r w:rsidR="00FD0DCE">
        <w:t>l</w:t>
      </w:r>
      <w:r w:rsidR="00E554FE">
        <w:t>a</w:t>
      </w:r>
      <w:r w:rsidR="00FD0DCE">
        <w:t xml:space="preserve">rify or enrich the verbal content of their message: </w:t>
      </w:r>
      <w:r w:rsidR="00A23C06">
        <w:t>describing</w:t>
      </w:r>
      <w:r w:rsidR="00FD0DCE">
        <w:t xml:space="preserve"> the nature of these de</w:t>
      </w:r>
      <w:r w:rsidR="0025020E">
        <w:t>fi</w:t>
      </w:r>
      <w:r w:rsidR="00FD0DCE">
        <w:t>cit</w:t>
      </w:r>
      <w:r w:rsidR="00B63903">
        <w:t>s</w:t>
      </w:r>
      <w:r w:rsidR="00FD0DCE">
        <w:t xml:space="preserve"> </w:t>
      </w:r>
      <w:r>
        <w:t xml:space="preserve">in RHD patients </w:t>
      </w:r>
      <w:r w:rsidR="00D368AF">
        <w:t>is a necessary</w:t>
      </w:r>
      <w:r w:rsidR="00FD0DCE">
        <w:t xml:space="preserve"> step</w:t>
      </w:r>
      <w:r w:rsidR="00D368AF">
        <w:t xml:space="preserve"> to </w:t>
      </w:r>
      <w:r w:rsidR="00967D95">
        <w:t xml:space="preserve">provide </w:t>
      </w:r>
      <w:r w:rsidR="00DF1C01">
        <w:t xml:space="preserve">an effective </w:t>
      </w:r>
      <w:r w:rsidR="00967D95">
        <w:t xml:space="preserve">rehabilitative treatment. </w:t>
      </w:r>
      <w:r w:rsidR="00A038C3">
        <w:t>In addition</w:t>
      </w:r>
      <w:r w:rsidR="004C7F82">
        <w:t>,</w:t>
      </w:r>
      <w:r w:rsidR="00A546EC">
        <w:t xml:space="preserve"> </w:t>
      </w:r>
      <w:r w:rsidR="003E22D5">
        <w:t xml:space="preserve">we have excluded </w:t>
      </w:r>
      <w:r w:rsidR="00967D95">
        <w:t xml:space="preserve">patients </w:t>
      </w:r>
      <w:r w:rsidR="008D3BC1">
        <w:t>with</w:t>
      </w:r>
      <w:r w:rsidR="003E22D5">
        <w:t xml:space="preserve"> </w:t>
      </w:r>
      <w:r w:rsidR="00967D95">
        <w:t>visual</w:t>
      </w:r>
      <w:r w:rsidR="00B3768D">
        <w:t xml:space="preserve"> or cognitive basic impairment, </w:t>
      </w:r>
      <w:r w:rsidR="00CA2C9C">
        <w:t xml:space="preserve">so the </w:t>
      </w:r>
      <w:r w:rsidR="008A7D16">
        <w:t xml:space="preserve">observed </w:t>
      </w:r>
      <w:proofErr w:type="spellStart"/>
      <w:r w:rsidR="003E22D5">
        <w:t>extralinguisti</w:t>
      </w:r>
      <w:r w:rsidR="00CA2C9C">
        <w:t>c</w:t>
      </w:r>
      <w:proofErr w:type="spellEnd"/>
      <w:r w:rsidR="00CA2C9C">
        <w:t xml:space="preserve"> deficits </w:t>
      </w:r>
      <w:r w:rsidR="00EE7D7D">
        <w:t>point to</w:t>
      </w:r>
      <w:r w:rsidR="003E22D5">
        <w:t xml:space="preserve"> a </w:t>
      </w:r>
      <w:r w:rsidR="00B3768D">
        <w:t xml:space="preserve">specificity of RH in </w:t>
      </w:r>
      <w:r w:rsidR="004C7F82">
        <w:t>sustain</w:t>
      </w:r>
      <w:r w:rsidR="0025020E">
        <w:t>ing</w:t>
      </w:r>
      <w:r w:rsidR="004C7F82">
        <w:t xml:space="preserve"> this </w:t>
      </w:r>
      <w:r w:rsidR="0025020E">
        <w:t xml:space="preserve">competence. </w:t>
      </w:r>
    </w:p>
    <w:p w:rsidR="00AA3E43" w:rsidRDefault="0025020E" w:rsidP="0025020E">
      <w:pPr>
        <w:ind w:firstLine="0"/>
      </w:pPr>
      <w:r>
        <w:t>This</w:t>
      </w:r>
      <w:r w:rsidR="004C7F82">
        <w:t xml:space="preserve"> finding</w:t>
      </w:r>
      <w:r w:rsidR="00956BC7">
        <w:t xml:space="preserve"> </w:t>
      </w:r>
      <w:r>
        <w:t>is</w:t>
      </w:r>
      <w:r w:rsidR="0063585C">
        <w:t xml:space="preserve"> </w:t>
      </w:r>
      <w:r>
        <w:t>relevant</w:t>
      </w:r>
      <w:r w:rsidR="0063585C">
        <w:t xml:space="preserve"> </w:t>
      </w:r>
      <w:r>
        <w:t>in</w:t>
      </w:r>
      <w:r w:rsidR="00D562A2">
        <w:t xml:space="preserve"> a theoretical perspective, given </w:t>
      </w:r>
      <w:r w:rsidR="004C7F82">
        <w:t xml:space="preserve">that </w:t>
      </w:r>
      <w:r w:rsidR="00D562A2">
        <w:t>model</w:t>
      </w:r>
      <w:r>
        <w:t>s</w:t>
      </w:r>
      <w:r w:rsidR="00D562A2">
        <w:t xml:space="preserve"> describing human communication rarely considered the role of gestural ability. We </w:t>
      </w:r>
      <w:r w:rsidR="004F18A1" w:rsidRPr="001B0997">
        <w:t xml:space="preserve">observed a similar pattern of performance characterizing linguistic and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tasks, with patients exhibiting difficulties in comprehending and producing </w:t>
      </w:r>
      <w:r w:rsidR="002A6F50" w:rsidRPr="001B0997">
        <w:t>non</w:t>
      </w:r>
      <w:r w:rsidR="002A6F50">
        <w:t>-</w:t>
      </w:r>
      <w:r w:rsidR="004F18A1" w:rsidRPr="001B0997">
        <w:t xml:space="preserve">standard forms of communication, such as </w:t>
      </w:r>
      <w:r w:rsidR="00FA476A" w:rsidRPr="001B0997">
        <w:t>iron</w:t>
      </w:r>
      <w:r w:rsidR="00FA476A">
        <w:t>y</w:t>
      </w:r>
      <w:r w:rsidR="00FA476A" w:rsidRPr="001B0997">
        <w:t xml:space="preserve"> </w:t>
      </w:r>
      <w:r w:rsidR="004F18A1" w:rsidRPr="001B0997">
        <w:t xml:space="preserve">and deceit. </w:t>
      </w:r>
      <w:r w:rsidR="005007D6">
        <w:t>T</w:t>
      </w:r>
      <w:r w:rsidR="004F18A1" w:rsidRPr="001B0997">
        <w:t xml:space="preserve">his common pattern </w:t>
      </w:r>
      <w:r w:rsidR="00337849">
        <w:t>is</w:t>
      </w:r>
      <w:r w:rsidR="00956BC7">
        <w:t xml:space="preserve"> in line with the tenets of Cognitive </w:t>
      </w:r>
      <w:r>
        <w:t>P</w:t>
      </w:r>
      <w:r w:rsidR="00956BC7">
        <w:t xml:space="preserve">ragmatics </w:t>
      </w:r>
      <w:r w:rsidR="005F679C">
        <w:t>(Bara, 2010)</w:t>
      </w:r>
      <w:r w:rsidR="00CF6B68">
        <w:t>: the theory proposes</w:t>
      </w:r>
      <w:r w:rsidR="00485511">
        <w:t xml:space="preserve"> a unified model of human communication</w:t>
      </w:r>
      <w:r w:rsidR="00CF6B68">
        <w:t xml:space="preserve"> where</w:t>
      </w:r>
      <w:r w:rsidR="008871AF">
        <w:t xml:space="preserve"> </w:t>
      </w:r>
      <w:r w:rsidR="004F18A1" w:rsidRPr="001B0997">
        <w:t xml:space="preserve">linguistic and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modalities rely on an underpinning communicative ability</w:t>
      </w:r>
      <w:r w:rsidR="002A6F50">
        <w:t xml:space="preserve"> </w:t>
      </w:r>
      <w:r w:rsidR="002A6F50" w:rsidRPr="001B0997">
        <w:t xml:space="preserve">to handle </w:t>
      </w:r>
      <w:r w:rsidR="002A6F50">
        <w:t xml:space="preserve">the </w:t>
      </w:r>
      <w:r w:rsidR="002A6F50" w:rsidRPr="001B0997">
        <w:t xml:space="preserve">mental representations and inferential processes involved in </w:t>
      </w:r>
      <w:r w:rsidR="002A6F50">
        <w:t xml:space="preserve">the </w:t>
      </w:r>
      <w:r w:rsidR="00CF6B68">
        <w:t>management</w:t>
      </w:r>
      <w:r w:rsidR="002A6F50" w:rsidRPr="001B0997">
        <w:t xml:space="preserve"> of a communicative act</w:t>
      </w:r>
      <w:r w:rsidR="00CF6B68">
        <w:t xml:space="preserve">. This ability seems to be impaired </w:t>
      </w:r>
      <w:r w:rsidR="004F18A1" w:rsidRPr="001B0997">
        <w:t>in RHD patients.</w:t>
      </w:r>
      <w:r w:rsidR="00485511">
        <w:t xml:space="preserve"> </w:t>
      </w:r>
    </w:p>
    <w:p w:rsidR="00AE1021" w:rsidRDefault="005F679C" w:rsidP="004F18A1">
      <w:r>
        <w:t xml:space="preserve"> P</w:t>
      </w:r>
      <w:r w:rsidR="004F18A1" w:rsidRPr="001B0997">
        <w:t xml:space="preserve">erformance </w:t>
      </w:r>
      <w:r>
        <w:t xml:space="preserve">comparison </w:t>
      </w:r>
      <w:r w:rsidR="004F18A1" w:rsidRPr="001B0997">
        <w:t xml:space="preserve">on linguistic and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tasks showed that patients presented deficits in linguistic and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tasks, but </w:t>
      </w:r>
      <w:r w:rsidR="00781879">
        <w:t xml:space="preserve">they </w:t>
      </w:r>
      <w:r w:rsidR="002A6F50">
        <w:t>were</w:t>
      </w:r>
      <w:r w:rsidR="004F18A1" w:rsidRPr="001B0997">
        <w:t xml:space="preserve"> more impaired in the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</w:t>
      </w:r>
      <w:r w:rsidR="002A6F50">
        <w:t>modality than in the</w:t>
      </w:r>
      <w:r w:rsidR="004F18A1" w:rsidRPr="001B0997">
        <w:t xml:space="preserve"> linguistic modality. These data are in </w:t>
      </w:r>
      <w:r w:rsidR="004F18A1">
        <w:t>line</w:t>
      </w:r>
      <w:r w:rsidR="004F18A1" w:rsidRPr="001B0997">
        <w:t xml:space="preserve"> with the view that </w:t>
      </w:r>
      <w:r w:rsidR="002A6F50">
        <w:t xml:space="preserve">primarily </w:t>
      </w:r>
      <w:r w:rsidR="004F18A1" w:rsidRPr="001B0997">
        <w:t xml:space="preserve">associates </w:t>
      </w:r>
      <w:r w:rsidR="00FA476A">
        <w:t xml:space="preserve">the </w:t>
      </w:r>
      <w:r w:rsidR="004F18A1" w:rsidRPr="001B0997">
        <w:t xml:space="preserve">RH </w:t>
      </w:r>
      <w:r w:rsidR="002A6F50">
        <w:t>with</w:t>
      </w:r>
      <w:r w:rsidR="002A6F50" w:rsidRPr="001B0997">
        <w:t xml:space="preserve"> non</w:t>
      </w:r>
      <w:r w:rsidR="002A6F50">
        <w:t>-</w:t>
      </w:r>
      <w:r w:rsidR="004F18A1" w:rsidRPr="001B0997">
        <w:t>linguistic aspects of communication, i.e</w:t>
      </w:r>
      <w:r w:rsidR="002A6F50">
        <w:t>.</w:t>
      </w:r>
      <w:r w:rsidR="004F18A1" w:rsidRPr="001B0997">
        <w:t xml:space="preserve"> </w:t>
      </w:r>
      <w:proofErr w:type="spellStart"/>
      <w:r w:rsidR="004F18A1" w:rsidRPr="001B0997">
        <w:t>extralinguistic</w:t>
      </w:r>
      <w:proofErr w:type="spellEnd"/>
      <w:r w:rsidR="004F18A1" w:rsidRPr="001B0997">
        <w:t xml:space="preserve"> and paralinguistic aspects (</w:t>
      </w:r>
      <w:r w:rsidR="004F18A1">
        <w:t>e</w:t>
      </w:r>
      <w:r w:rsidR="004F18A1" w:rsidRPr="001B0997">
        <w:rPr>
          <w:rFonts w:eastAsia="Times New Roman"/>
          <w:sz w:val="22"/>
          <w:szCs w:val="22"/>
          <w:lang w:eastAsia="it-IT"/>
        </w:rPr>
        <w:t>.</w:t>
      </w:r>
      <w:r w:rsidR="004F18A1" w:rsidRPr="001B0997">
        <w:rPr>
          <w:rFonts w:eastAsia="Times New Roman"/>
          <w:lang w:eastAsia="it-IT"/>
        </w:rPr>
        <w:t>g</w:t>
      </w:r>
      <w:r w:rsidR="00FA476A">
        <w:rPr>
          <w:rFonts w:eastAsia="Times New Roman"/>
          <w:lang w:eastAsia="it-IT"/>
        </w:rPr>
        <w:t>.</w:t>
      </w:r>
      <w:r w:rsidR="004F18A1" w:rsidRPr="001B0997">
        <w:rPr>
          <w:rFonts w:eastAsia="Times New Roman"/>
          <w:lang w:eastAsia="it-IT"/>
        </w:rPr>
        <w:t xml:space="preserve">; Tompkins, 1995; </w:t>
      </w:r>
      <w:proofErr w:type="spellStart"/>
      <w:r w:rsidR="004F18A1" w:rsidRPr="001B0997">
        <w:rPr>
          <w:rFonts w:eastAsia="Times New Roman"/>
          <w:lang w:eastAsia="it-IT"/>
        </w:rPr>
        <w:t>Zaidel</w:t>
      </w:r>
      <w:proofErr w:type="spellEnd"/>
      <w:r w:rsidR="004F18A1" w:rsidRPr="001B0997">
        <w:rPr>
          <w:rFonts w:eastAsia="Times New Roman"/>
          <w:lang w:eastAsia="it-IT"/>
        </w:rPr>
        <w:t xml:space="preserve"> et al., 2002)</w:t>
      </w:r>
      <w:r w:rsidR="004F18A1" w:rsidRPr="001B0997">
        <w:t>.</w:t>
      </w:r>
    </w:p>
    <w:p w:rsidR="004F18A1" w:rsidRPr="001B0997" w:rsidRDefault="004F18A1" w:rsidP="004F18A1">
      <w:r>
        <w:t>Indeed</w:t>
      </w:r>
      <w:r w:rsidRPr="001B0997">
        <w:t xml:space="preserve">, in our study patients </w:t>
      </w:r>
      <w:r w:rsidR="002A6F50" w:rsidRPr="001B0997">
        <w:t xml:space="preserve">also </w:t>
      </w:r>
      <w:r w:rsidRPr="001B0997">
        <w:t xml:space="preserve">performed worse than healthy controls in paralinguistic tasks. </w:t>
      </w:r>
      <w:r w:rsidR="00FA476A">
        <w:t>With regard to</w:t>
      </w:r>
      <w:r w:rsidR="00FA476A" w:rsidRPr="001B0997">
        <w:t xml:space="preserve"> </w:t>
      </w:r>
      <w:r w:rsidRPr="001B0997">
        <w:t xml:space="preserve">paralinguistic comprehension tasks, patients exhibited </w:t>
      </w:r>
      <w:r w:rsidR="00C94688">
        <w:t xml:space="preserve">deficits </w:t>
      </w:r>
      <w:r w:rsidRPr="001B0997">
        <w:t>in the comprehension o</w:t>
      </w:r>
      <w:r w:rsidR="000B76C2">
        <w:t>f paralinguistic contradictions.</w:t>
      </w:r>
      <w:r w:rsidRPr="001B0997">
        <w:t xml:space="preserve"> </w:t>
      </w:r>
      <w:r w:rsidR="004E06F6">
        <w:t>P</w:t>
      </w:r>
      <w:r w:rsidR="004C024B">
        <w:t>ati</w:t>
      </w:r>
      <w:r w:rsidR="004E06F6">
        <w:t>ents'</w:t>
      </w:r>
      <w:r w:rsidR="004C024B">
        <w:t xml:space="preserve"> performance in comprehension of basic emotion</w:t>
      </w:r>
      <w:r w:rsidR="00D44AD7">
        <w:t>s</w:t>
      </w:r>
      <w:r w:rsidR="004C024B">
        <w:t xml:space="preserve"> and basic speech acts did not result significantly different from healthy controls, </w:t>
      </w:r>
      <w:r w:rsidR="004E06F6">
        <w:t xml:space="preserve">however this could be due to the high heterogeneity that characterized </w:t>
      </w:r>
      <w:r w:rsidR="00AE4CD8">
        <w:t xml:space="preserve">RHD </w:t>
      </w:r>
      <w:r w:rsidR="004E06F6">
        <w:t>patients' impairment</w:t>
      </w:r>
      <w:r w:rsidR="004C024B">
        <w:t xml:space="preserve">. In fact, examining individual performance we found </w:t>
      </w:r>
      <w:r w:rsidR="00AE4CD8">
        <w:t>that about 35% patients showed</w:t>
      </w:r>
      <w:r w:rsidR="004C024B">
        <w:t xml:space="preserve"> </w:t>
      </w:r>
      <w:r w:rsidR="004E06F6">
        <w:t xml:space="preserve">a performance </w:t>
      </w:r>
      <w:r w:rsidR="004C024B">
        <w:t>a</w:t>
      </w:r>
      <w:r w:rsidR="004E06F6">
        <w:t>t least</w:t>
      </w:r>
      <w:r w:rsidR="004C024B">
        <w:t xml:space="preserve"> </w:t>
      </w:r>
      <w:r w:rsidR="004E06F6">
        <w:t xml:space="preserve">a SD below healthy </w:t>
      </w:r>
      <w:r w:rsidR="004C024B">
        <w:t>controls</w:t>
      </w:r>
      <w:r w:rsidR="00AE4CD8">
        <w:t xml:space="preserve"> in these tasks.</w:t>
      </w:r>
      <w:r w:rsidR="00D16FA4">
        <w:t xml:space="preserve"> </w:t>
      </w:r>
      <w:r w:rsidR="00FA476A">
        <w:t>T</w:t>
      </w:r>
      <w:r w:rsidR="002A6F50">
        <w:t>he r</w:t>
      </w:r>
      <w:r w:rsidR="002A6F50" w:rsidRPr="001B0997">
        <w:t xml:space="preserve">esults </w:t>
      </w:r>
      <w:r w:rsidR="002A6F50">
        <w:t>for</w:t>
      </w:r>
      <w:r w:rsidR="002A6F50" w:rsidRPr="001B0997">
        <w:t xml:space="preserve"> </w:t>
      </w:r>
      <w:r w:rsidRPr="001B0997">
        <w:t>paralinguistic production tasks revealed that patients were not able to use paralinguistic indicators, i.e</w:t>
      </w:r>
      <w:r w:rsidR="002A6F50">
        <w:t>.</w:t>
      </w:r>
      <w:r w:rsidRPr="001B0997">
        <w:t xml:space="preserve"> tone of voice and facial expressions, to convey an emotional content, while their ability to produce basic speech acts was preserved</w:t>
      </w:r>
      <w:r w:rsidR="004E06F6">
        <w:t>.</w:t>
      </w:r>
      <w:r w:rsidR="009C0597">
        <w:t xml:space="preserve"> </w:t>
      </w:r>
      <w:r w:rsidR="00156220">
        <w:t>These</w:t>
      </w:r>
      <w:r w:rsidR="00726770">
        <w:t xml:space="preserve"> results</w:t>
      </w:r>
      <w:r w:rsidRPr="001B0997">
        <w:t xml:space="preserve"> confirm th</w:t>
      </w:r>
      <w:r w:rsidR="002A6F50">
        <w:t xml:space="preserve">e </w:t>
      </w:r>
      <w:r w:rsidR="002A6F50">
        <w:lastRenderedPageBreak/>
        <w:t>possibility th</w:t>
      </w:r>
      <w:r w:rsidRPr="001B0997">
        <w:t xml:space="preserve">at deficits following RHD </w:t>
      </w:r>
      <w:r w:rsidR="00FA476A">
        <w:t>might</w:t>
      </w:r>
      <w:r w:rsidR="00FA476A" w:rsidRPr="001B0997">
        <w:t xml:space="preserve"> </w:t>
      </w:r>
      <w:r w:rsidRPr="001B0997">
        <w:t xml:space="preserve">impair both emotional and </w:t>
      </w:r>
      <w:r w:rsidR="002A6F50" w:rsidRPr="001B0997">
        <w:t>non</w:t>
      </w:r>
      <w:r w:rsidR="002A6F50">
        <w:t>-</w:t>
      </w:r>
      <w:r w:rsidRPr="001B0997">
        <w:t xml:space="preserve">emotional paralinguistic aspects, suggesting a widespread impairment </w:t>
      </w:r>
      <w:r w:rsidR="002A6F50">
        <w:t xml:space="preserve">that is </w:t>
      </w:r>
      <w:r w:rsidRPr="001B0997">
        <w:t>not only related to emotional difficulties</w:t>
      </w:r>
      <w:r w:rsidR="00C94688">
        <w:t>. These</w:t>
      </w:r>
      <w:r w:rsidR="004C0C64">
        <w:t xml:space="preserve"> d</w:t>
      </w:r>
      <w:r w:rsidR="00726770">
        <w:t>ata</w:t>
      </w:r>
      <w:r w:rsidR="004C0C64">
        <w:t xml:space="preserve"> are in line with those</w:t>
      </w:r>
      <w:r w:rsidR="00726770">
        <w:t xml:space="preserve"> coming from </w:t>
      </w:r>
      <w:r w:rsidR="00C532C7">
        <w:t>anatomical,</w:t>
      </w:r>
      <w:r w:rsidR="00726770">
        <w:t xml:space="preserve"> </w:t>
      </w:r>
      <w:proofErr w:type="spellStart"/>
      <w:r w:rsidR="00726770">
        <w:t>neuroimaging</w:t>
      </w:r>
      <w:proofErr w:type="spellEnd"/>
      <w:r w:rsidR="00C532C7">
        <w:t xml:space="preserve"> and brain stimulation </w:t>
      </w:r>
      <w:r w:rsidR="00726770">
        <w:t xml:space="preserve">studies </w:t>
      </w:r>
      <w:r w:rsidR="00765C87">
        <w:t>(</w:t>
      </w:r>
      <w:proofErr w:type="spellStart"/>
      <w:r w:rsidR="00765C87" w:rsidRPr="00F56487">
        <w:t>Witterman</w:t>
      </w:r>
      <w:proofErr w:type="spellEnd"/>
      <w:r w:rsidR="00765C87" w:rsidRPr="00F56487">
        <w:t xml:space="preserve"> et al., 2011; </w:t>
      </w:r>
      <w:proofErr w:type="spellStart"/>
      <w:r w:rsidR="00765C87" w:rsidRPr="00F56487">
        <w:t>Kraitewolf</w:t>
      </w:r>
      <w:proofErr w:type="spellEnd"/>
      <w:r w:rsidR="00765C87" w:rsidRPr="00F56487">
        <w:t xml:space="preserve"> et al., 2014)</w:t>
      </w:r>
      <w:r w:rsidR="00765C87">
        <w:t xml:space="preserve"> </w:t>
      </w:r>
      <w:r w:rsidR="0068526C">
        <w:t xml:space="preserve">and </w:t>
      </w:r>
      <w:r w:rsidR="00726770">
        <w:t>suggest</w:t>
      </w:r>
      <w:r w:rsidR="00B07E8C">
        <w:t xml:space="preserve"> that </w:t>
      </w:r>
      <w:r w:rsidR="00251F10">
        <w:t>both hemisphere</w:t>
      </w:r>
      <w:r w:rsidR="00666961">
        <w:t>s</w:t>
      </w:r>
      <w:r w:rsidR="00251F10">
        <w:t xml:space="preserve"> </w:t>
      </w:r>
      <w:r w:rsidR="00F56487">
        <w:t>contribute</w:t>
      </w:r>
      <w:r w:rsidR="00B07E8C">
        <w:t xml:space="preserve"> in sustain </w:t>
      </w:r>
      <w:r w:rsidR="00F56487">
        <w:t xml:space="preserve">recognition and production of </w:t>
      </w:r>
      <w:r w:rsidR="00B07E8C">
        <w:t xml:space="preserve">paralinguistic aspects, </w:t>
      </w:r>
      <w:r w:rsidR="00251F10">
        <w:t xml:space="preserve">but </w:t>
      </w:r>
      <w:r w:rsidR="00CB068B">
        <w:t xml:space="preserve">that </w:t>
      </w:r>
      <w:r w:rsidR="00251F10">
        <w:t xml:space="preserve">the role of the </w:t>
      </w:r>
      <w:r w:rsidR="00666961">
        <w:t>RH</w:t>
      </w:r>
      <w:r w:rsidR="0068526C">
        <w:t xml:space="preserve"> </w:t>
      </w:r>
      <w:r w:rsidR="00F56487">
        <w:t xml:space="preserve">is predominant </w:t>
      </w:r>
      <w:r w:rsidR="00B07E8C">
        <w:t xml:space="preserve">when </w:t>
      </w:r>
      <w:r w:rsidR="00C738CB">
        <w:t xml:space="preserve">an </w:t>
      </w:r>
      <w:r w:rsidR="00251F10">
        <w:t>emotional content is present</w:t>
      </w:r>
      <w:r w:rsidR="00BB080B">
        <w:t>.</w:t>
      </w:r>
      <w:r w:rsidR="00960027">
        <w:t xml:space="preserve"> </w:t>
      </w:r>
      <w:r>
        <w:t>In conclusion</w:t>
      </w:r>
      <w:r w:rsidRPr="001B0997">
        <w:t>, our results confirmed the importance of assessing prag</w:t>
      </w:r>
      <w:r>
        <w:t>matic abilities in RHD patients</w:t>
      </w:r>
      <w:r w:rsidRPr="001B0997">
        <w:t xml:space="preserve"> </w:t>
      </w:r>
      <w:r w:rsidR="00B63B5C">
        <w:t xml:space="preserve">by </w:t>
      </w:r>
      <w:r w:rsidRPr="001B0997">
        <w:t xml:space="preserve">considering </w:t>
      </w:r>
      <w:r w:rsidR="002A6F50" w:rsidRPr="001B0997">
        <w:t xml:space="preserve">both </w:t>
      </w:r>
      <w:r w:rsidR="002A6F50">
        <w:t xml:space="preserve">comprehension and production in </w:t>
      </w:r>
      <w:r w:rsidRPr="001B0997">
        <w:t>different expressive modalities</w:t>
      </w:r>
      <w:r>
        <w:t>:</w:t>
      </w:r>
      <w:r w:rsidRPr="001B0997">
        <w:t xml:space="preserve"> </w:t>
      </w:r>
      <w:r w:rsidR="00B63B5C">
        <w:t>a c</w:t>
      </w:r>
      <w:r w:rsidR="005B40EC">
        <w:t>omplete overview of the patient</w:t>
      </w:r>
      <w:r w:rsidR="00B63B5C">
        <w:t xml:space="preserve">s’ difficulties is necessary in order </w:t>
      </w:r>
      <w:r w:rsidRPr="001B0997">
        <w:t xml:space="preserve">to </w:t>
      </w:r>
      <w:r w:rsidR="00B63B5C">
        <w:t>obtain</w:t>
      </w:r>
      <w:r w:rsidR="00B63B5C" w:rsidRPr="001B0997">
        <w:t xml:space="preserve"> </w:t>
      </w:r>
      <w:r w:rsidRPr="001B0997">
        <w:t xml:space="preserve">a comprehensive profile of </w:t>
      </w:r>
      <w:r w:rsidR="007650CA">
        <w:t xml:space="preserve">their </w:t>
      </w:r>
      <w:r w:rsidRPr="001B0997">
        <w:t xml:space="preserve">impairment and, thus, </w:t>
      </w:r>
      <w:r w:rsidR="002A6F50">
        <w:t xml:space="preserve">develop </w:t>
      </w:r>
      <w:r w:rsidRPr="001B0997">
        <w:t xml:space="preserve">appropriate rehabilitative </w:t>
      </w:r>
      <w:r w:rsidR="002A6F50">
        <w:t>program</w:t>
      </w:r>
      <w:r w:rsidR="00C94688">
        <w:t>s</w:t>
      </w:r>
      <w:r w:rsidRPr="001B0997">
        <w:t xml:space="preserve">. Secondly, our study confirmed the importance </w:t>
      </w:r>
      <w:r w:rsidR="002A6F50">
        <w:t>of using</w:t>
      </w:r>
      <w:r w:rsidRPr="001B0997">
        <w:t xml:space="preserve"> a wide range of communicative phenomena </w:t>
      </w:r>
      <w:r w:rsidR="002A6F50">
        <w:t>varying in</w:t>
      </w:r>
      <w:r w:rsidRPr="001B0997">
        <w:t xml:space="preserve"> complexity: the heterogeneity characterizing </w:t>
      </w:r>
      <w:r w:rsidR="00C94688">
        <w:t>RHD patients’ communicative</w:t>
      </w:r>
      <w:r w:rsidR="002A6F50" w:rsidRPr="001B0997">
        <w:t xml:space="preserve"> </w:t>
      </w:r>
      <w:r w:rsidR="00B63B5C">
        <w:t>abilities</w:t>
      </w:r>
      <w:r w:rsidR="002A6F50">
        <w:t xml:space="preserve"> </w:t>
      </w:r>
      <w:r w:rsidRPr="001B0997">
        <w:t xml:space="preserve">could make </w:t>
      </w:r>
      <w:r w:rsidR="007650CA">
        <w:t>certain</w:t>
      </w:r>
      <w:r w:rsidR="007650CA" w:rsidRPr="001B0997">
        <w:t xml:space="preserve"> </w:t>
      </w:r>
      <w:r w:rsidRPr="001B0997">
        <w:t xml:space="preserve">deficits more difficult to identify, especially when the administered task </w:t>
      </w:r>
      <w:r w:rsidR="002A6F50">
        <w:t>is</w:t>
      </w:r>
      <w:r w:rsidR="002A6F50" w:rsidRPr="001B0997">
        <w:t xml:space="preserve"> </w:t>
      </w:r>
      <w:r w:rsidRPr="001B0997">
        <w:t xml:space="preserve">not </w:t>
      </w:r>
      <w:r w:rsidR="00B63B5C">
        <w:t>particularly</w:t>
      </w:r>
      <w:r w:rsidR="002A6F50">
        <w:t xml:space="preserve"> </w:t>
      </w:r>
      <w:r w:rsidRPr="001B0997">
        <w:t xml:space="preserve">demanding in terms of inferential ability. </w:t>
      </w:r>
    </w:p>
    <w:p w:rsidR="004F18A1" w:rsidRPr="007C6EAB" w:rsidRDefault="004F18A1" w:rsidP="007C6EAB">
      <w:r w:rsidRPr="001B0997">
        <w:t xml:space="preserve"> It will be useful </w:t>
      </w:r>
      <w:r w:rsidR="002A6F50">
        <w:t>for</w:t>
      </w:r>
      <w:r w:rsidR="002A6F50" w:rsidRPr="001B0997">
        <w:t xml:space="preserve"> </w:t>
      </w:r>
      <w:r w:rsidRPr="001B0997">
        <w:t xml:space="preserve">future studies to </w:t>
      </w:r>
      <w:r w:rsidR="002A6F50" w:rsidRPr="001B0997">
        <w:t xml:space="preserve">concomitantly </w:t>
      </w:r>
      <w:r w:rsidRPr="001B0997">
        <w:t xml:space="preserve">provide an evaluation of neuropsychological and theory of mind abilities, to investigate the cognitive functions that can contribute </w:t>
      </w:r>
      <w:r w:rsidR="002A6F50">
        <w:t>to</w:t>
      </w:r>
      <w:r w:rsidR="002A6F50" w:rsidRPr="001B0997">
        <w:t xml:space="preserve"> </w:t>
      </w:r>
      <w:r w:rsidRPr="001B0997">
        <w:t>sustain</w:t>
      </w:r>
      <w:r w:rsidR="002A6F50">
        <w:t>ing</w:t>
      </w:r>
      <w:r w:rsidRPr="001B0997">
        <w:t xml:space="preserve"> these deficits in </w:t>
      </w:r>
      <w:r w:rsidR="002A6F50">
        <w:t xml:space="preserve">the </w:t>
      </w:r>
      <w:r w:rsidRPr="001B0997">
        <w:t>RHD population.</w:t>
      </w:r>
    </w:p>
    <w:p w:rsidR="004F18A1" w:rsidRPr="009335D5" w:rsidRDefault="0004138E" w:rsidP="005A4C97">
      <w:pPr>
        <w:pStyle w:val="NormalSectionStart"/>
        <w:spacing w:beforeLines="100" w:afterLines="25"/>
        <w:jc w:val="center"/>
        <w:rPr>
          <w:b/>
          <w:sz w:val="24"/>
          <w:szCs w:val="24"/>
          <w:lang w:val="it-IT"/>
        </w:rPr>
      </w:pPr>
      <w:proofErr w:type="spellStart"/>
      <w:r w:rsidRPr="009335D5">
        <w:rPr>
          <w:b/>
          <w:sz w:val="24"/>
          <w:szCs w:val="24"/>
          <w:lang w:val="it-IT"/>
        </w:rPr>
        <w:t>References</w:t>
      </w:r>
      <w:proofErr w:type="spellEnd"/>
    </w:p>
    <w:p w:rsidR="00254840" w:rsidRPr="00C74399" w:rsidRDefault="004F18A1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jc w:val="left"/>
        <w:rPr>
          <w:rFonts w:eastAsia="ヒラギノ角ゴ Pro W3"/>
          <w:color w:val="000000"/>
          <w:lang w:val="it-IT" w:eastAsia="it-IT"/>
        </w:rPr>
      </w:pPr>
      <w:proofErr w:type="spellStart"/>
      <w:r w:rsidRPr="00E82CD8">
        <w:rPr>
          <w:rFonts w:eastAsia="ヒラギノ角ゴ Pro W3"/>
          <w:color w:val="000000"/>
          <w:lang w:val="it-IT" w:eastAsia="it-IT"/>
        </w:rPr>
        <w:t>Angeleri</w:t>
      </w:r>
      <w:proofErr w:type="spellEnd"/>
      <w:r w:rsidRPr="00E82CD8">
        <w:rPr>
          <w:rFonts w:eastAsia="ヒラギノ角ゴ Pro W3"/>
          <w:color w:val="000000"/>
          <w:lang w:val="it-IT" w:eastAsia="it-IT"/>
        </w:rPr>
        <w:t xml:space="preserve">, R., Bosco, F. M., </w:t>
      </w:r>
      <w:proofErr w:type="spellStart"/>
      <w:r w:rsidRPr="00E82CD8">
        <w:rPr>
          <w:rFonts w:eastAsia="ヒラギノ角ゴ Pro W3"/>
          <w:color w:val="000000"/>
          <w:lang w:val="it-IT" w:eastAsia="it-IT"/>
        </w:rPr>
        <w:t>Zettin</w:t>
      </w:r>
      <w:proofErr w:type="spellEnd"/>
      <w:r w:rsidRPr="00E82CD8">
        <w:rPr>
          <w:rFonts w:eastAsia="ヒラギノ角ゴ Pro W3"/>
          <w:color w:val="000000"/>
          <w:lang w:val="it-IT" w:eastAsia="it-IT"/>
        </w:rPr>
        <w:t xml:space="preserve">, M., Sacco, K., Colle, L., &amp; Bara B. G. (2008). </w:t>
      </w:r>
      <w:r w:rsidRPr="009D6156">
        <w:rPr>
          <w:rFonts w:eastAsia="ヒラギノ角ゴ Pro W3"/>
          <w:color w:val="000000"/>
          <w:lang w:eastAsia="it-IT"/>
        </w:rPr>
        <w:t xml:space="preserve">Communicative impairment in traumatic brain injury: A complete pragmatic assessment. </w:t>
      </w:r>
      <w:proofErr w:type="spellStart"/>
      <w:r w:rsidRPr="00C74399">
        <w:rPr>
          <w:rFonts w:eastAsia="ヒラギノ角ゴ Pro W3"/>
          <w:i/>
          <w:color w:val="000000"/>
          <w:lang w:val="it-IT" w:eastAsia="it-IT"/>
        </w:rPr>
        <w:t>Brain</w:t>
      </w:r>
      <w:proofErr w:type="spellEnd"/>
      <w:r w:rsidRPr="00C74399">
        <w:rPr>
          <w:rFonts w:eastAsia="ヒラギノ角ゴ Pro W3"/>
          <w:i/>
          <w:color w:val="000000"/>
          <w:lang w:val="it-IT" w:eastAsia="it-IT"/>
        </w:rPr>
        <w:t xml:space="preserve"> and </w:t>
      </w:r>
      <w:proofErr w:type="spellStart"/>
      <w:r w:rsidRPr="00C74399">
        <w:rPr>
          <w:rFonts w:eastAsia="ヒラギノ角ゴ Pro W3"/>
          <w:i/>
          <w:color w:val="000000"/>
          <w:lang w:val="it-IT" w:eastAsia="it-IT"/>
        </w:rPr>
        <w:t>Language</w:t>
      </w:r>
      <w:proofErr w:type="spellEnd"/>
      <w:r w:rsidRPr="00C74399">
        <w:rPr>
          <w:rFonts w:eastAsia="ヒラギノ角ゴ Pro W3"/>
          <w:color w:val="000000"/>
          <w:lang w:val="it-IT" w:eastAsia="it-IT"/>
        </w:rPr>
        <w:t>, 107, 229–245.</w:t>
      </w:r>
    </w:p>
    <w:p w:rsidR="00254840" w:rsidRPr="00254840" w:rsidRDefault="00254840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ヒラギノ角ゴ Pro W3"/>
          <w:color w:val="000000"/>
          <w:lang w:eastAsia="it-IT"/>
        </w:rPr>
      </w:pPr>
      <w:proofErr w:type="spellStart"/>
      <w:r w:rsidRPr="00254840">
        <w:rPr>
          <w:lang w:val="it-IT"/>
        </w:rPr>
        <w:t>Angeleri</w:t>
      </w:r>
      <w:proofErr w:type="spellEnd"/>
      <w:r w:rsidRPr="00254840">
        <w:rPr>
          <w:lang w:val="it-IT"/>
        </w:rPr>
        <w:t>, R., Bosco, F. M.,</w:t>
      </w:r>
      <w:r w:rsidR="009335D5">
        <w:rPr>
          <w:lang w:val="it-IT"/>
        </w:rPr>
        <w:t xml:space="preserve"> Gabbatore, I., Bara, B. G., &amp; </w:t>
      </w:r>
      <w:r w:rsidRPr="00254840">
        <w:rPr>
          <w:lang w:val="it-IT"/>
        </w:rPr>
        <w:t xml:space="preserve">Sacco, K. (2012). </w:t>
      </w:r>
      <w:r w:rsidRPr="00254840">
        <w:t>Assessment battery for communication (</w:t>
      </w:r>
      <w:proofErr w:type="spellStart"/>
      <w:r w:rsidRPr="00254840">
        <w:t>ABaCo</w:t>
      </w:r>
      <w:proofErr w:type="spellEnd"/>
      <w:r w:rsidRPr="00254840">
        <w:t xml:space="preserve">): normative data. </w:t>
      </w:r>
      <w:r w:rsidRPr="00254840">
        <w:rPr>
          <w:i/>
        </w:rPr>
        <w:t>Behavior research methods</w:t>
      </w:r>
      <w:r w:rsidRPr="00254840">
        <w:t>, 44(3), 845-861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</w:rPr>
        <w:t>Bara, B.G</w:t>
      </w:r>
      <w:r w:rsidRPr="001B0997">
        <w:rPr>
          <w:rFonts w:eastAsia="Calibri"/>
          <w:i/>
        </w:rPr>
        <w:t xml:space="preserve">. </w:t>
      </w:r>
      <w:r w:rsidRPr="001B0997">
        <w:rPr>
          <w:rFonts w:eastAsia="Calibri"/>
        </w:rPr>
        <w:t>(2010).</w:t>
      </w:r>
      <w:r w:rsidRPr="001B0997">
        <w:rPr>
          <w:rFonts w:eastAsia="Calibri"/>
          <w:i/>
        </w:rPr>
        <w:t xml:space="preserve"> Cognitive pragmatics: The mental processes of communication</w:t>
      </w:r>
      <w:r w:rsidRPr="001B0997">
        <w:rPr>
          <w:rFonts w:eastAsia="Calibri"/>
        </w:rPr>
        <w:t>. Cambridge: MIT Press.</w:t>
      </w:r>
    </w:p>
    <w:p w:rsidR="004F18A1" w:rsidRPr="001B0997" w:rsidRDefault="004F18A1" w:rsidP="00C77B7F">
      <w:pPr>
        <w:ind w:left="584" w:hanging="227"/>
        <w:rPr>
          <w:rFonts w:eastAsia="Calibri"/>
          <w:lang w:val="it-IT"/>
        </w:rPr>
      </w:pPr>
      <w:proofErr w:type="spellStart"/>
      <w:r w:rsidRPr="001B0997">
        <w:rPr>
          <w:rFonts w:eastAsia="Calibri"/>
        </w:rPr>
        <w:t>Beeman</w:t>
      </w:r>
      <w:proofErr w:type="spellEnd"/>
      <w:r w:rsidRPr="001B0997">
        <w:rPr>
          <w:rFonts w:eastAsia="Calibri"/>
        </w:rPr>
        <w:t xml:space="preserve">, M., Bowden, E., &amp; </w:t>
      </w:r>
      <w:proofErr w:type="spellStart"/>
      <w:r w:rsidRPr="001B0997">
        <w:rPr>
          <w:rFonts w:eastAsia="Calibri"/>
        </w:rPr>
        <w:t>Gernsbacher</w:t>
      </w:r>
      <w:proofErr w:type="spellEnd"/>
      <w:r w:rsidRPr="001B0997">
        <w:rPr>
          <w:rFonts w:eastAsia="Calibri"/>
        </w:rPr>
        <w:t xml:space="preserve">, M. A. (2000). Right and left hemisphere cooperation for drawing predictive and coherence inferences during normal story comprehension. </w:t>
      </w:r>
      <w:proofErr w:type="spellStart"/>
      <w:r w:rsidRPr="001B0997">
        <w:rPr>
          <w:rFonts w:eastAsia="Calibri"/>
          <w:i/>
          <w:iCs/>
          <w:lang w:val="it-IT"/>
        </w:rPr>
        <w:t>Brain</w:t>
      </w:r>
      <w:proofErr w:type="spellEnd"/>
      <w:r w:rsidRPr="001B0997">
        <w:rPr>
          <w:rFonts w:eastAsia="Calibri"/>
          <w:i/>
          <w:iCs/>
          <w:lang w:val="it-IT"/>
        </w:rPr>
        <w:t xml:space="preserve"> and </w:t>
      </w:r>
      <w:proofErr w:type="spellStart"/>
      <w:r w:rsidRPr="001B0997">
        <w:rPr>
          <w:rFonts w:eastAsia="Calibri"/>
          <w:i/>
          <w:iCs/>
          <w:lang w:val="it-IT"/>
        </w:rPr>
        <w:t>Language</w:t>
      </w:r>
      <w:proofErr w:type="spellEnd"/>
      <w:r w:rsidRPr="001B0997">
        <w:rPr>
          <w:rFonts w:eastAsia="Calibri"/>
          <w:i/>
          <w:iCs/>
          <w:lang w:val="it-IT"/>
        </w:rPr>
        <w:t>, 71</w:t>
      </w:r>
      <w:r w:rsidRPr="001B0997">
        <w:rPr>
          <w:rFonts w:eastAsia="Calibri"/>
          <w:lang w:val="it-IT"/>
        </w:rPr>
        <w:t>, 310–336.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  <w:iCs/>
          <w:lang w:val="it-IT"/>
        </w:rPr>
        <w:t>Bosco,</w:t>
      </w:r>
      <w:r w:rsidRPr="001B0997">
        <w:rPr>
          <w:rFonts w:eastAsia="Calibri"/>
          <w:i/>
          <w:lang w:val="it-IT"/>
        </w:rPr>
        <w:t xml:space="preserve"> F. </w:t>
      </w:r>
      <w:r w:rsidRPr="001B0997">
        <w:rPr>
          <w:rFonts w:eastAsia="Calibri"/>
          <w:lang w:val="it-IT"/>
        </w:rPr>
        <w:t xml:space="preserve">M., </w:t>
      </w:r>
      <w:proofErr w:type="spellStart"/>
      <w:r w:rsidRPr="001B0997">
        <w:rPr>
          <w:rFonts w:eastAsia="Calibri"/>
          <w:lang w:val="it-IT"/>
        </w:rPr>
        <w:t>Angeleri</w:t>
      </w:r>
      <w:proofErr w:type="spellEnd"/>
      <w:r w:rsidRPr="001B0997">
        <w:rPr>
          <w:rFonts w:eastAsia="Calibri"/>
          <w:lang w:val="it-IT"/>
        </w:rPr>
        <w:t xml:space="preserve">, R., </w:t>
      </w:r>
      <w:proofErr w:type="spellStart"/>
      <w:r w:rsidRPr="001B0997">
        <w:rPr>
          <w:rFonts w:eastAsia="Calibri"/>
          <w:lang w:val="it-IT"/>
        </w:rPr>
        <w:t>Zuffranieri</w:t>
      </w:r>
      <w:proofErr w:type="spellEnd"/>
      <w:r w:rsidRPr="001B0997">
        <w:rPr>
          <w:rFonts w:eastAsia="Calibri"/>
          <w:lang w:val="it-IT"/>
        </w:rPr>
        <w:t xml:space="preserve"> M, Bara, B. G, &amp; Sacco, K. (2012). </w:t>
      </w:r>
      <w:r w:rsidRPr="001B0997">
        <w:rPr>
          <w:rFonts w:eastAsia="Calibri"/>
        </w:rPr>
        <w:t>Assessment Battery for Communication: development of two equivalent forms.</w:t>
      </w:r>
      <w:r w:rsidRPr="001B0997">
        <w:rPr>
          <w:rFonts w:eastAsia="Calibri"/>
          <w:i/>
          <w:iCs/>
        </w:rPr>
        <w:t xml:space="preserve"> Journal of Communication Disorders</w:t>
      </w:r>
      <w:r w:rsidRPr="001B0997">
        <w:rPr>
          <w:rFonts w:eastAsia="Calibri"/>
        </w:rPr>
        <w:t>, 45, 290-303.</w:t>
      </w:r>
    </w:p>
    <w:p w:rsidR="004F18A1" w:rsidRPr="001B0997" w:rsidRDefault="004F18A1" w:rsidP="00C77B7F">
      <w:pPr>
        <w:ind w:left="584" w:hanging="227"/>
        <w:rPr>
          <w:rFonts w:eastAsia="TimesNewRoman"/>
        </w:rPr>
      </w:pPr>
      <w:r w:rsidRPr="001B0997">
        <w:rPr>
          <w:rFonts w:eastAsia="TimesNewRoman"/>
        </w:rPr>
        <w:t xml:space="preserve">Bryan, K. L. (1995). </w:t>
      </w:r>
      <w:r w:rsidRPr="001B0997">
        <w:rPr>
          <w:rFonts w:eastAsia="TimesNewRoman"/>
          <w:i/>
          <w:iCs/>
        </w:rPr>
        <w:t xml:space="preserve">The Right Hemisphere Language Battery </w:t>
      </w:r>
      <w:r w:rsidRPr="001B0997">
        <w:rPr>
          <w:rFonts w:eastAsia="TimesNewRoman"/>
        </w:rPr>
        <w:t xml:space="preserve">(2nd ed.). London: </w:t>
      </w:r>
      <w:proofErr w:type="spellStart"/>
      <w:r w:rsidRPr="001B0997">
        <w:rPr>
          <w:rFonts w:eastAsia="TimesNewRoman"/>
        </w:rPr>
        <w:t>Whurr</w:t>
      </w:r>
      <w:proofErr w:type="spellEnd"/>
      <w:r w:rsidRPr="001B0997">
        <w:rPr>
          <w:rFonts w:eastAsia="TimesNewRoman"/>
        </w:rPr>
        <w:t xml:space="preserve"> Publisher.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TimesNewRoman"/>
        </w:rPr>
        <w:t xml:space="preserve">Brownell, H., Gardner, H., Prather, P, &amp; Martino, G. (1995). Language, communication and the right hemisphere. In H. S. </w:t>
      </w:r>
      <w:proofErr w:type="spellStart"/>
      <w:r w:rsidRPr="001B0997">
        <w:rPr>
          <w:rFonts w:eastAsia="TimesNewRoman"/>
        </w:rPr>
        <w:t>Kirschener</w:t>
      </w:r>
      <w:proofErr w:type="spellEnd"/>
      <w:r w:rsidRPr="001B0997">
        <w:rPr>
          <w:rFonts w:eastAsia="TimesNewRoman"/>
        </w:rPr>
        <w:t xml:space="preserve"> (ed.), </w:t>
      </w:r>
      <w:r w:rsidRPr="001B0997">
        <w:rPr>
          <w:rFonts w:eastAsia="TimesNewRoman"/>
          <w:i/>
        </w:rPr>
        <w:t>Handbook of neurological speech and language disorders</w:t>
      </w:r>
      <w:r w:rsidRPr="001B0997">
        <w:rPr>
          <w:rFonts w:eastAsia="TimesNewRoman"/>
        </w:rPr>
        <w:t xml:space="preserve">. New York: Dekker. </w:t>
      </w:r>
      <w:proofErr w:type="spellStart"/>
      <w:r w:rsidRPr="001B0997">
        <w:rPr>
          <w:rFonts w:eastAsia="TimesNewRoman"/>
        </w:rPr>
        <w:t>Vol</w:t>
      </w:r>
      <w:proofErr w:type="spellEnd"/>
      <w:r w:rsidRPr="001B0997">
        <w:rPr>
          <w:rFonts w:eastAsia="TimesNewRoman"/>
        </w:rPr>
        <w:t xml:space="preserve"> 33, pp. 325-349.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9335D5">
        <w:rPr>
          <w:rFonts w:eastAsia="Calibri"/>
        </w:rPr>
        <w:lastRenderedPageBreak/>
        <w:t>Champagne-</w:t>
      </w:r>
      <w:proofErr w:type="spellStart"/>
      <w:r w:rsidRPr="009335D5">
        <w:rPr>
          <w:rFonts w:eastAsia="Calibri"/>
        </w:rPr>
        <w:t>Lavau</w:t>
      </w:r>
      <w:proofErr w:type="spellEnd"/>
      <w:r w:rsidRPr="009335D5">
        <w:rPr>
          <w:rFonts w:eastAsia="Calibri"/>
        </w:rPr>
        <w:t xml:space="preserve">, M., </w:t>
      </w:r>
      <w:proofErr w:type="spellStart"/>
      <w:r w:rsidRPr="009335D5">
        <w:rPr>
          <w:rFonts w:eastAsia="Calibri"/>
        </w:rPr>
        <w:t>Joanette</w:t>
      </w:r>
      <w:proofErr w:type="spellEnd"/>
      <w:r w:rsidRPr="009335D5">
        <w:rPr>
          <w:rFonts w:eastAsia="Calibri"/>
        </w:rPr>
        <w:t xml:space="preserve">, Y. (2009). </w:t>
      </w:r>
      <w:r w:rsidRPr="001B0997">
        <w:rPr>
          <w:rFonts w:eastAsia="Calibri"/>
        </w:rPr>
        <w:t xml:space="preserve">Pragmatics, theory of mind and executive functions after a right-hemisphere lesion: Different patterns of deficits. Journal of </w:t>
      </w:r>
      <w:proofErr w:type="spellStart"/>
      <w:r w:rsidRPr="001B0997">
        <w:rPr>
          <w:rFonts w:eastAsia="Calibri"/>
        </w:rPr>
        <w:t>Neurolinguistics</w:t>
      </w:r>
      <w:proofErr w:type="spellEnd"/>
      <w:r w:rsidRPr="001B0997">
        <w:rPr>
          <w:rFonts w:eastAsia="Calibri"/>
        </w:rPr>
        <w:t>. 22(5), 413–426.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proofErr w:type="spellStart"/>
      <w:r w:rsidRPr="001B0997">
        <w:rPr>
          <w:rFonts w:eastAsia="Times New Roman"/>
          <w:lang w:eastAsia="it-IT"/>
        </w:rPr>
        <w:t>Cheang</w:t>
      </w:r>
      <w:proofErr w:type="spellEnd"/>
      <w:r w:rsidRPr="001B0997">
        <w:rPr>
          <w:rFonts w:eastAsia="Times New Roman"/>
          <w:lang w:eastAsia="it-IT"/>
        </w:rPr>
        <w:t>, H., &amp; Pell, M. (</w:t>
      </w:r>
      <w:r w:rsidRPr="001B0997">
        <w:rPr>
          <w:rFonts w:eastAsia="Times New Roman"/>
          <w:iCs/>
          <w:lang w:eastAsia="it-IT"/>
        </w:rPr>
        <w:t>2006).</w:t>
      </w:r>
      <w:r w:rsidRPr="001B0997">
        <w:rPr>
          <w:rFonts w:eastAsia="Times New Roman"/>
          <w:lang w:eastAsia="it-IT"/>
        </w:rPr>
        <w:t xml:space="preserve"> A study of </w:t>
      </w:r>
      <w:proofErr w:type="spellStart"/>
      <w:r w:rsidRPr="001B0997">
        <w:rPr>
          <w:rFonts w:eastAsia="Times New Roman"/>
          <w:lang w:eastAsia="it-IT"/>
        </w:rPr>
        <w:t>humour</w:t>
      </w:r>
      <w:proofErr w:type="spellEnd"/>
      <w:r w:rsidRPr="001B0997">
        <w:rPr>
          <w:rFonts w:eastAsia="Times New Roman"/>
          <w:lang w:eastAsia="it-IT"/>
        </w:rPr>
        <w:t xml:space="preserve"> and communicative intention following right hemisphere stroke. </w:t>
      </w:r>
      <w:r w:rsidRPr="001B0997">
        <w:rPr>
          <w:rFonts w:eastAsia="Times New Roman"/>
          <w:i/>
          <w:iCs/>
          <w:lang w:eastAsia="it-IT"/>
        </w:rPr>
        <w:t>Clinical Linguistics &amp; Phonetics</w:t>
      </w:r>
      <w:r w:rsidRPr="001B0997">
        <w:rPr>
          <w:rFonts w:eastAsia="Times New Roman"/>
          <w:iCs/>
          <w:lang w:eastAsia="it-IT"/>
        </w:rPr>
        <w:t>,</w:t>
      </w:r>
      <w:r w:rsidRPr="001B0997">
        <w:rPr>
          <w:rFonts w:eastAsia="Times New Roman"/>
          <w:i/>
          <w:iCs/>
          <w:lang w:eastAsia="it-IT"/>
        </w:rPr>
        <w:t xml:space="preserve"> </w:t>
      </w:r>
      <w:r w:rsidRPr="001B0997">
        <w:rPr>
          <w:rFonts w:eastAsia="Times New Roman"/>
          <w:bCs/>
          <w:lang w:eastAsia="it-IT"/>
        </w:rPr>
        <w:t>20</w:t>
      </w:r>
      <w:r w:rsidRPr="001B0997">
        <w:rPr>
          <w:rFonts w:eastAsia="Times New Roman"/>
          <w:lang w:eastAsia="it-IT"/>
        </w:rPr>
        <w:t>(6), 447–462.</w:t>
      </w:r>
    </w:p>
    <w:p w:rsidR="004F18A1" w:rsidRPr="003C2669" w:rsidRDefault="004F18A1" w:rsidP="00C77B7F">
      <w:pPr>
        <w:ind w:left="584" w:hanging="227"/>
        <w:rPr>
          <w:rFonts w:eastAsia="Times New Roman"/>
          <w:lang w:val="it-IT" w:eastAsia="it-IT"/>
        </w:rPr>
      </w:pPr>
      <w:r w:rsidRPr="001B0997">
        <w:rPr>
          <w:rFonts w:eastAsia="Times New Roman"/>
          <w:lang w:eastAsia="it-IT"/>
        </w:rPr>
        <w:t xml:space="preserve">Cocks, N., </w:t>
      </w:r>
      <w:proofErr w:type="spellStart"/>
      <w:r w:rsidRPr="001B0997">
        <w:rPr>
          <w:rFonts w:eastAsia="Times New Roman"/>
          <w:lang w:eastAsia="it-IT"/>
        </w:rPr>
        <w:t>Hird</w:t>
      </w:r>
      <w:proofErr w:type="spellEnd"/>
      <w:r w:rsidRPr="001B0997">
        <w:rPr>
          <w:rFonts w:eastAsia="Times New Roman"/>
          <w:lang w:eastAsia="it-IT"/>
        </w:rPr>
        <w:t xml:space="preserve">, K., &amp; </w:t>
      </w:r>
      <w:proofErr w:type="spellStart"/>
      <w:r w:rsidRPr="001B0997">
        <w:rPr>
          <w:rFonts w:eastAsia="Times New Roman"/>
          <w:lang w:eastAsia="it-IT"/>
        </w:rPr>
        <w:t>Kirsner</w:t>
      </w:r>
      <w:proofErr w:type="spellEnd"/>
      <w:r w:rsidRPr="001B0997">
        <w:rPr>
          <w:rFonts w:eastAsia="Times New Roman"/>
          <w:lang w:eastAsia="it-IT"/>
        </w:rPr>
        <w:t xml:space="preserve">, K. (2007). The relationship between right hemisphere damage and gesture in spontaneous discourse. </w:t>
      </w:r>
      <w:proofErr w:type="spellStart"/>
      <w:r w:rsidRPr="003C2669">
        <w:rPr>
          <w:rFonts w:eastAsia="Times New Roman"/>
          <w:i/>
          <w:lang w:val="it-IT" w:eastAsia="it-IT"/>
        </w:rPr>
        <w:t>Aphasiology</w:t>
      </w:r>
      <w:proofErr w:type="spellEnd"/>
      <w:r w:rsidRPr="003C2669">
        <w:rPr>
          <w:rFonts w:eastAsia="Times New Roman"/>
          <w:lang w:val="it-IT" w:eastAsia="it-IT"/>
        </w:rPr>
        <w:t>, 21(3/4), 299-319.</w:t>
      </w:r>
    </w:p>
    <w:p w:rsidR="004F18A1" w:rsidRPr="001B0997" w:rsidRDefault="004F18A1" w:rsidP="00C77B7F">
      <w:pPr>
        <w:ind w:left="584" w:hanging="227"/>
        <w:rPr>
          <w:rFonts w:eastAsia="Times New Roman"/>
          <w:lang w:eastAsia="it-IT"/>
        </w:rPr>
      </w:pPr>
      <w:r w:rsidRPr="009D6156">
        <w:rPr>
          <w:rFonts w:eastAsia="Times New Roman"/>
          <w:bCs/>
          <w:lang w:val="it-IT" w:eastAsia="it-IT"/>
        </w:rPr>
        <w:t xml:space="preserve">Colle L., </w:t>
      </w:r>
      <w:proofErr w:type="spellStart"/>
      <w:r w:rsidRPr="009D6156">
        <w:rPr>
          <w:rFonts w:eastAsia="Times New Roman"/>
          <w:bCs/>
          <w:lang w:val="it-IT" w:eastAsia="it-IT"/>
        </w:rPr>
        <w:t>Angeleri</w:t>
      </w:r>
      <w:proofErr w:type="spellEnd"/>
      <w:r w:rsidRPr="009D6156">
        <w:rPr>
          <w:rFonts w:eastAsia="Times New Roman"/>
          <w:bCs/>
          <w:lang w:val="it-IT" w:eastAsia="it-IT"/>
        </w:rPr>
        <w:t xml:space="preserve"> R., </w:t>
      </w:r>
      <w:proofErr w:type="spellStart"/>
      <w:r w:rsidRPr="009D6156">
        <w:rPr>
          <w:rFonts w:eastAsia="Times New Roman"/>
          <w:bCs/>
          <w:lang w:val="it-IT" w:eastAsia="it-IT"/>
        </w:rPr>
        <w:t>Vallana</w:t>
      </w:r>
      <w:proofErr w:type="spellEnd"/>
      <w:r w:rsidRPr="009D6156">
        <w:rPr>
          <w:rFonts w:eastAsia="Times New Roman"/>
          <w:bCs/>
          <w:lang w:val="it-IT" w:eastAsia="it-IT"/>
        </w:rPr>
        <w:t xml:space="preserve"> M., Sacco K., Bara B. G., &amp; Bosco F. M.</w:t>
      </w:r>
      <w:r>
        <w:rPr>
          <w:rFonts w:eastAsia="Times New Roman"/>
          <w:lang w:val="it-IT" w:eastAsia="it-IT"/>
        </w:rPr>
        <w:t xml:space="preserve"> (2013). </w:t>
      </w:r>
      <w:r w:rsidRPr="009D6156">
        <w:rPr>
          <w:rFonts w:eastAsia="Times New Roman"/>
          <w:lang w:eastAsia="it-IT"/>
        </w:rPr>
        <w:t xml:space="preserve">Understanding the communicative impairments in schizophrenia: A preliminary study. </w:t>
      </w:r>
      <w:r w:rsidRPr="009D6156">
        <w:rPr>
          <w:rFonts w:eastAsia="Times New Roman"/>
          <w:i/>
          <w:iCs/>
          <w:lang w:eastAsia="it-IT"/>
        </w:rPr>
        <w:t>Journal of Communication Disorders</w:t>
      </w:r>
      <w:r w:rsidRPr="009D6156">
        <w:rPr>
          <w:rFonts w:eastAsia="Times New Roman"/>
          <w:lang w:eastAsia="it-IT"/>
        </w:rPr>
        <w:t>, 46, 294-308</w:t>
      </w:r>
    </w:p>
    <w:p w:rsidR="004F18A1" w:rsidRPr="001B0997" w:rsidRDefault="004F18A1" w:rsidP="00C77B7F">
      <w:pPr>
        <w:ind w:left="584" w:hanging="227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 xml:space="preserve">Cote, H., Payer, M., Giroux, F., &amp; </w:t>
      </w:r>
      <w:proofErr w:type="spellStart"/>
      <w:r w:rsidRPr="001B0997">
        <w:rPr>
          <w:rFonts w:eastAsia="Times New Roman"/>
          <w:lang w:eastAsia="it-IT"/>
        </w:rPr>
        <w:t>Joanette</w:t>
      </w:r>
      <w:proofErr w:type="spellEnd"/>
      <w:r w:rsidRPr="001B0997">
        <w:rPr>
          <w:rFonts w:eastAsia="Times New Roman"/>
          <w:lang w:eastAsia="it-IT"/>
        </w:rPr>
        <w:t xml:space="preserve">, Y. (2007). Towards a description of clinical communication impairment profiles following right-hemisphere damage. </w:t>
      </w:r>
      <w:proofErr w:type="spellStart"/>
      <w:r w:rsidRPr="001B0997">
        <w:rPr>
          <w:rFonts w:eastAsia="Times New Roman"/>
          <w:i/>
          <w:lang w:eastAsia="it-IT"/>
        </w:rPr>
        <w:t>Aphasiology</w:t>
      </w:r>
      <w:proofErr w:type="spellEnd"/>
      <w:r w:rsidRPr="001B0997">
        <w:rPr>
          <w:rFonts w:eastAsia="Times New Roman"/>
          <w:lang w:eastAsia="it-IT"/>
        </w:rPr>
        <w:t>, 21(6-8), 739-749.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</w:rPr>
        <w:t>Cummings, L. (2009</w:t>
      </w:r>
      <w:r w:rsidRPr="001B0997">
        <w:rPr>
          <w:rFonts w:eastAsia="Calibri"/>
          <w:i/>
        </w:rPr>
        <w:t>). Clinical Pragmatics</w:t>
      </w:r>
      <w:r w:rsidRPr="001B0997">
        <w:rPr>
          <w:rFonts w:eastAsia="Calibri"/>
        </w:rPr>
        <w:t>. Cambridge: Cambridge University Press.</w:t>
      </w:r>
    </w:p>
    <w:p w:rsidR="004F18A1" w:rsidRPr="0004306F" w:rsidRDefault="004F18A1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ヒラギノ角ゴ Pro W3"/>
          <w:color w:val="000000"/>
          <w:lang w:eastAsia="it-IT"/>
        </w:rPr>
      </w:pPr>
      <w:proofErr w:type="spellStart"/>
      <w:r w:rsidRPr="009335D5">
        <w:rPr>
          <w:rFonts w:eastAsia="ヒラギノ角ゴ Pro W3"/>
          <w:color w:val="000000"/>
          <w:lang w:eastAsia="it-IT"/>
        </w:rPr>
        <w:t>Cutica</w:t>
      </w:r>
      <w:proofErr w:type="spellEnd"/>
      <w:r w:rsidRPr="009335D5">
        <w:rPr>
          <w:rFonts w:eastAsia="ヒラギノ角ゴ Pro W3"/>
          <w:color w:val="000000"/>
          <w:lang w:eastAsia="it-IT"/>
        </w:rPr>
        <w:t xml:space="preserve">, I., </w:t>
      </w:r>
      <w:proofErr w:type="spellStart"/>
      <w:r w:rsidRPr="009335D5">
        <w:rPr>
          <w:rFonts w:eastAsia="ヒラギノ角ゴ Pro W3"/>
          <w:color w:val="000000"/>
          <w:lang w:eastAsia="it-IT"/>
        </w:rPr>
        <w:t>Bucciarelli</w:t>
      </w:r>
      <w:proofErr w:type="spellEnd"/>
      <w:r w:rsidRPr="009335D5">
        <w:rPr>
          <w:rFonts w:eastAsia="ヒラギノ角ゴ Pro W3"/>
          <w:color w:val="000000"/>
          <w:lang w:eastAsia="it-IT"/>
        </w:rPr>
        <w:t xml:space="preserve">, M., &amp; Bara, B. G. (2006). </w:t>
      </w:r>
      <w:proofErr w:type="spellStart"/>
      <w:r w:rsidRPr="001B0997">
        <w:rPr>
          <w:rFonts w:eastAsia="ヒラギノ角ゴ Pro W3"/>
          <w:color w:val="000000"/>
          <w:lang w:val="en-AU" w:eastAsia="it-IT"/>
        </w:rPr>
        <w:t>Neuropragmatics</w:t>
      </w:r>
      <w:proofErr w:type="spellEnd"/>
      <w:r w:rsidRPr="001B0997">
        <w:rPr>
          <w:rFonts w:eastAsia="ヒラギノ角ゴ Pro W3"/>
          <w:color w:val="000000"/>
          <w:lang w:val="en-AU" w:eastAsia="it-IT"/>
        </w:rPr>
        <w:t xml:space="preserve">: </w:t>
      </w:r>
      <w:proofErr w:type="spellStart"/>
      <w:r w:rsidRPr="001B0997">
        <w:rPr>
          <w:rFonts w:eastAsia="ヒラギノ角ゴ Pro W3"/>
          <w:color w:val="000000"/>
          <w:lang w:val="en-AU" w:eastAsia="it-IT"/>
        </w:rPr>
        <w:t>Extralinguistic</w:t>
      </w:r>
      <w:proofErr w:type="spellEnd"/>
      <w:r w:rsidRPr="001B0997">
        <w:rPr>
          <w:rFonts w:eastAsia="ヒラギノ角ゴ Pro W3"/>
          <w:color w:val="000000"/>
          <w:lang w:val="en-AU" w:eastAsia="it-IT"/>
        </w:rPr>
        <w:t xml:space="preserve"> pragmatic ability is better preserved in left-hemisphere-damaged patients than in right-hemisphere-damaged patients. </w:t>
      </w:r>
      <w:r w:rsidRPr="0004306F">
        <w:rPr>
          <w:rFonts w:eastAsia="ヒラギノ角ゴ Pro W3"/>
          <w:i/>
          <w:color w:val="000000"/>
          <w:lang w:eastAsia="it-IT"/>
        </w:rPr>
        <w:t>Brain and Language,</w:t>
      </w:r>
      <w:r w:rsidRPr="0004306F">
        <w:rPr>
          <w:rFonts w:eastAsia="ヒラギノ角ゴ Pro W3"/>
          <w:color w:val="000000"/>
          <w:lang w:eastAsia="it-IT"/>
        </w:rPr>
        <w:t xml:space="preserve"> 98, 12-25.</w:t>
      </w:r>
    </w:p>
    <w:p w:rsidR="00CD2837" w:rsidRPr="00CD2837" w:rsidRDefault="00CD2837" w:rsidP="00C77B7F">
      <w:pPr>
        <w:pStyle w:val="Default"/>
        <w:shd w:val="clear" w:color="auto" w:fill="FFFFFF" w:themeFill="background1"/>
        <w:ind w:left="584" w:hanging="227"/>
        <w:jc w:val="both"/>
        <w:rPr>
          <w:sz w:val="20"/>
          <w:szCs w:val="20"/>
          <w:shd w:val="clear" w:color="auto" w:fill="FFFFDD"/>
          <w:lang w:val="en-US"/>
        </w:rPr>
      </w:pPr>
      <w:proofErr w:type="spellStart"/>
      <w:r w:rsidRPr="00CD2837">
        <w:rPr>
          <w:rStyle w:val="googqs-tidbit"/>
          <w:sz w:val="20"/>
          <w:szCs w:val="20"/>
          <w:shd w:val="clear" w:color="auto" w:fill="FFFFFF" w:themeFill="background1"/>
          <w:lang w:val="en-US"/>
        </w:rPr>
        <w:t>Eviatar</w:t>
      </w:r>
      <w:proofErr w:type="spellEnd"/>
      <w:r w:rsidRPr="00CD2837">
        <w:rPr>
          <w:rStyle w:val="googqs-tidbit"/>
          <w:sz w:val="20"/>
          <w:szCs w:val="20"/>
          <w:shd w:val="clear" w:color="auto" w:fill="FFFFFF" w:themeFill="background1"/>
          <w:lang w:val="en-US"/>
        </w:rPr>
        <w:t xml:space="preserve">, Z., &amp; Just, M. (2006).  “Brain correlates of discourse processing: An </w:t>
      </w:r>
      <w:proofErr w:type="spellStart"/>
      <w:r w:rsidRPr="00CD2837">
        <w:rPr>
          <w:rStyle w:val="googqs-tidbit"/>
          <w:sz w:val="20"/>
          <w:szCs w:val="20"/>
          <w:shd w:val="clear" w:color="auto" w:fill="FFFFFF" w:themeFill="background1"/>
          <w:lang w:val="en-US"/>
        </w:rPr>
        <w:t>fMRI</w:t>
      </w:r>
      <w:proofErr w:type="spellEnd"/>
      <w:r w:rsidRPr="00CD2837">
        <w:rPr>
          <w:rStyle w:val="googqs-tidbit"/>
          <w:sz w:val="20"/>
          <w:szCs w:val="20"/>
          <w:shd w:val="clear" w:color="auto" w:fill="FFFFFF" w:themeFill="background1"/>
          <w:lang w:val="en-US"/>
        </w:rPr>
        <w:t xml:space="preserve"> investigation of irony and metaphor processing”, </w:t>
      </w:r>
      <w:r w:rsidRPr="00CD2837">
        <w:rPr>
          <w:rStyle w:val="apple-converted-space"/>
          <w:color w:val="000033"/>
          <w:sz w:val="20"/>
          <w:szCs w:val="20"/>
          <w:shd w:val="clear" w:color="auto" w:fill="FFFFFF" w:themeFill="background1"/>
          <w:lang w:val="en-US"/>
        </w:rPr>
        <w:t> </w:t>
      </w:r>
      <w:proofErr w:type="spellStart"/>
      <w:r w:rsidR="00A426D9">
        <w:fldChar w:fldCharType="begin"/>
      </w:r>
      <w:r w:rsidR="00A426D9" w:rsidRPr="005A4C97">
        <w:rPr>
          <w:lang w:val="en-US"/>
        </w:rPr>
        <w:instrText>HYPERLINK "http://dx.doi.org/10.1016/j.neuropsychologia.2006.05.007" \t "_self"</w:instrText>
      </w:r>
      <w:r w:rsidR="00A426D9">
        <w:fldChar w:fldCharType="separate"/>
      </w:r>
      <w:r w:rsidRPr="00CD2837">
        <w:rPr>
          <w:rStyle w:val="googqs-tidbit"/>
          <w:i/>
          <w:sz w:val="20"/>
          <w:szCs w:val="20"/>
          <w:u w:val="single"/>
          <w:shd w:val="clear" w:color="auto" w:fill="FFFFFF" w:themeFill="background1"/>
          <w:lang w:val="en-US"/>
        </w:rPr>
        <w:t>Neuropsychologia</w:t>
      </w:r>
      <w:proofErr w:type="spellEnd"/>
      <w:r w:rsidR="00A426D9">
        <w:fldChar w:fldCharType="end"/>
      </w:r>
      <w:r w:rsidRPr="00CD2837">
        <w:rPr>
          <w:rStyle w:val="googqs-tidbit"/>
          <w:sz w:val="20"/>
          <w:szCs w:val="20"/>
          <w:shd w:val="clear" w:color="auto" w:fill="FFFFFF" w:themeFill="background1"/>
          <w:lang w:val="en-US"/>
        </w:rPr>
        <w:t>, 44(12),</w:t>
      </w:r>
      <w:r w:rsidRPr="00CD2837">
        <w:rPr>
          <w:rStyle w:val="apple-converted-space"/>
          <w:color w:val="000033"/>
          <w:sz w:val="20"/>
          <w:szCs w:val="20"/>
          <w:shd w:val="clear" w:color="auto" w:fill="FFFFFF" w:themeFill="background1"/>
          <w:lang w:val="en-US"/>
        </w:rPr>
        <w:t> </w:t>
      </w:r>
      <w:r w:rsidRPr="00CD2837">
        <w:rPr>
          <w:color w:val="000033"/>
          <w:sz w:val="20"/>
          <w:szCs w:val="20"/>
          <w:shd w:val="clear" w:color="auto" w:fill="FFFFFF" w:themeFill="background1"/>
          <w:lang w:val="en-US"/>
        </w:rPr>
        <w:t>2348-2359</w:t>
      </w:r>
      <w:r w:rsidRPr="00CD2837">
        <w:rPr>
          <w:color w:val="000033"/>
          <w:sz w:val="20"/>
          <w:szCs w:val="20"/>
          <w:shd w:val="clear" w:color="auto" w:fill="FFFFFF"/>
          <w:lang w:val="en-US"/>
        </w:rPr>
        <w:t>.</w:t>
      </w:r>
    </w:p>
    <w:p w:rsidR="004F18A1" w:rsidRPr="009D6156" w:rsidRDefault="004F18A1" w:rsidP="00C77B7F">
      <w:pPr>
        <w:ind w:left="584" w:hanging="227"/>
        <w:rPr>
          <w:rFonts w:eastAsia="Times New Roman"/>
          <w:lang w:eastAsia="it-IT"/>
        </w:rPr>
      </w:pPr>
      <w:r w:rsidRPr="009D6156">
        <w:rPr>
          <w:rFonts w:eastAsia="Times New Roman"/>
          <w:lang w:val="it-IT" w:eastAsia="it-IT"/>
        </w:rPr>
        <w:t xml:space="preserve">Gabbatore, I., </w:t>
      </w:r>
      <w:proofErr w:type="spellStart"/>
      <w:r w:rsidRPr="009D6156">
        <w:rPr>
          <w:rFonts w:eastAsia="Times New Roman"/>
          <w:lang w:val="it-IT" w:eastAsia="it-IT"/>
        </w:rPr>
        <w:t>Angeleri</w:t>
      </w:r>
      <w:proofErr w:type="spellEnd"/>
      <w:r w:rsidRPr="009D6156">
        <w:rPr>
          <w:rFonts w:eastAsia="Times New Roman"/>
          <w:lang w:val="it-IT" w:eastAsia="it-IT"/>
        </w:rPr>
        <w:t xml:space="preserve">, R., Bosco F. M., </w:t>
      </w:r>
      <w:proofErr w:type="spellStart"/>
      <w:r w:rsidRPr="009D6156">
        <w:rPr>
          <w:rFonts w:eastAsia="Times New Roman"/>
          <w:lang w:val="it-IT" w:eastAsia="it-IT"/>
        </w:rPr>
        <w:t>Cossa</w:t>
      </w:r>
      <w:proofErr w:type="spellEnd"/>
      <w:r w:rsidRPr="009D6156">
        <w:rPr>
          <w:rFonts w:eastAsia="Times New Roman"/>
          <w:lang w:val="it-IT" w:eastAsia="it-IT"/>
        </w:rPr>
        <w:t>, F. M,</w:t>
      </w:r>
      <w:r w:rsidR="009008D7">
        <w:rPr>
          <w:rFonts w:eastAsia="Times New Roman"/>
          <w:lang w:val="it-IT" w:eastAsia="it-IT"/>
        </w:rPr>
        <w:t xml:space="preserve"> Bara, B. G., &amp; Sacco, K. (2014</w:t>
      </w:r>
      <w:r w:rsidRPr="009D6156">
        <w:rPr>
          <w:rFonts w:eastAsia="Times New Roman"/>
          <w:lang w:val="it-IT" w:eastAsia="it-IT"/>
        </w:rPr>
        <w:t xml:space="preserve">). </w:t>
      </w:r>
      <w:r>
        <w:rPr>
          <w:rFonts w:eastAsia="Times New Roman"/>
          <w:lang w:eastAsia="it-IT"/>
        </w:rPr>
        <w:t xml:space="preserve">Assessment of </w:t>
      </w:r>
      <w:proofErr w:type="spellStart"/>
      <w:r w:rsidRPr="009D6156">
        <w:rPr>
          <w:rFonts w:eastAsia="Times New Roman"/>
          <w:lang w:eastAsia="it-IT"/>
        </w:rPr>
        <w:t>comunicative</w:t>
      </w:r>
      <w:proofErr w:type="spellEnd"/>
      <w:r w:rsidRPr="009D6156">
        <w:rPr>
          <w:rFonts w:eastAsia="Times New Roman"/>
          <w:lang w:eastAsia="it-IT"/>
        </w:rPr>
        <w:t xml:space="preserve"> abilities in aphasic patients.</w:t>
      </w:r>
      <w:r w:rsidRPr="009D6156">
        <w:rPr>
          <w:rFonts w:eastAsia="Times New Roman"/>
          <w:i/>
          <w:lang w:eastAsia="it-IT"/>
        </w:rPr>
        <w:t xml:space="preserve"> Minerva </w:t>
      </w:r>
      <w:proofErr w:type="spellStart"/>
      <w:r w:rsidRPr="009D6156">
        <w:rPr>
          <w:rFonts w:eastAsia="Times New Roman"/>
          <w:i/>
          <w:lang w:eastAsia="it-IT"/>
        </w:rPr>
        <w:t>Psichiatrica</w:t>
      </w:r>
      <w:proofErr w:type="spellEnd"/>
      <w:r w:rsidRPr="009D6156">
        <w:rPr>
          <w:rFonts w:eastAsia="Times New Roman"/>
          <w:i/>
          <w:lang w:eastAsia="it-IT"/>
        </w:rPr>
        <w:t>,</w:t>
      </w:r>
      <w:r w:rsidRPr="009D6156">
        <w:rPr>
          <w:rFonts w:eastAsia="Times New Roman"/>
          <w:lang w:eastAsia="it-IT"/>
        </w:rPr>
        <w:t xml:space="preserve"> 55, 45-55.</w:t>
      </w:r>
    </w:p>
    <w:p w:rsidR="004F18A1" w:rsidRPr="001B0997" w:rsidRDefault="004F18A1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Times New Roman"/>
          <w:color w:val="000000"/>
          <w:lang w:eastAsia="it-IT"/>
        </w:rPr>
      </w:pPr>
      <w:r w:rsidRPr="001B0997">
        <w:rPr>
          <w:rFonts w:eastAsia="TimesNewRoman"/>
          <w:color w:val="000000"/>
          <w:lang w:eastAsia="it-IT"/>
        </w:rPr>
        <w:t xml:space="preserve">Gardner, H., &amp; Brownell, H. H. (1986). </w:t>
      </w:r>
      <w:r w:rsidRPr="001B0997">
        <w:rPr>
          <w:rFonts w:eastAsia="TimesNewRoman"/>
          <w:i/>
          <w:iCs/>
          <w:color w:val="000000"/>
          <w:lang w:eastAsia="it-IT"/>
        </w:rPr>
        <w:t>Right Hemisphere Communication Battery</w:t>
      </w:r>
      <w:r w:rsidRPr="001B0997">
        <w:rPr>
          <w:rFonts w:eastAsia="TimesNewRoman"/>
          <w:color w:val="000000"/>
          <w:lang w:eastAsia="it-IT"/>
        </w:rPr>
        <w:t>. Boston:</w:t>
      </w:r>
      <w:r w:rsidRPr="001B0997">
        <w:rPr>
          <w:rFonts w:eastAsia="Times New Roman"/>
          <w:color w:val="000000"/>
          <w:lang w:eastAsia="it-IT"/>
        </w:rPr>
        <w:t xml:space="preserve"> </w:t>
      </w:r>
      <w:r w:rsidRPr="001B0997">
        <w:rPr>
          <w:rFonts w:eastAsia="TimesNewRoman"/>
          <w:color w:val="000000"/>
          <w:lang w:val="en-AU" w:eastAsia="it-IT"/>
        </w:rPr>
        <w:t>Psychology Service.</w:t>
      </w:r>
    </w:p>
    <w:p w:rsidR="004F18A1" w:rsidRDefault="004F18A1" w:rsidP="00C77B7F">
      <w:pPr>
        <w:ind w:left="584" w:hanging="227"/>
        <w:rPr>
          <w:rFonts w:eastAsia="Calibri"/>
        </w:rPr>
      </w:pPr>
      <w:proofErr w:type="spellStart"/>
      <w:r w:rsidRPr="001B0997">
        <w:rPr>
          <w:rFonts w:eastAsia="Calibri"/>
        </w:rPr>
        <w:t>Hird</w:t>
      </w:r>
      <w:proofErr w:type="spellEnd"/>
      <w:r w:rsidRPr="001B0997">
        <w:rPr>
          <w:rFonts w:eastAsia="Calibri"/>
        </w:rPr>
        <w:t xml:space="preserve">, K., &amp; </w:t>
      </w:r>
      <w:proofErr w:type="spellStart"/>
      <w:r w:rsidRPr="001B0997">
        <w:rPr>
          <w:rFonts w:eastAsia="Calibri"/>
        </w:rPr>
        <w:t>Kirsner</w:t>
      </w:r>
      <w:proofErr w:type="spellEnd"/>
      <w:r w:rsidRPr="001B0997">
        <w:rPr>
          <w:rFonts w:eastAsia="Calibri"/>
        </w:rPr>
        <w:t xml:space="preserve">, K. (2003).The effect of right cerebral hemisphere damage on collaborative planning in conversation: an analysis of intentional structure. </w:t>
      </w:r>
      <w:r w:rsidRPr="001B0997">
        <w:rPr>
          <w:rFonts w:eastAsia="Calibri"/>
          <w:i/>
          <w:iCs/>
        </w:rPr>
        <w:t>Clinical Linguistics &amp; Phonetics</w:t>
      </w:r>
      <w:r w:rsidRPr="001B0997">
        <w:rPr>
          <w:rFonts w:eastAsia="Calibri"/>
          <w:iCs/>
        </w:rPr>
        <w:t>,</w:t>
      </w:r>
      <w:r w:rsidRPr="001B0997">
        <w:rPr>
          <w:rFonts w:eastAsia="Calibri"/>
          <w:i/>
          <w:iCs/>
        </w:rPr>
        <w:t xml:space="preserve"> </w:t>
      </w:r>
      <w:r w:rsidRPr="001B0997">
        <w:rPr>
          <w:rFonts w:eastAsia="Calibri"/>
          <w:bCs/>
        </w:rPr>
        <w:t>17</w:t>
      </w:r>
      <w:r w:rsidRPr="001B0997">
        <w:rPr>
          <w:rFonts w:eastAsia="Calibri"/>
        </w:rPr>
        <w:t>(4–5), 309–315.</w:t>
      </w:r>
    </w:p>
    <w:p w:rsidR="004D3AE1" w:rsidRPr="003072B1" w:rsidRDefault="004D3AE1" w:rsidP="00C77B7F">
      <w:pPr>
        <w:autoSpaceDE w:val="0"/>
        <w:autoSpaceDN w:val="0"/>
        <w:adjustRightInd w:val="0"/>
        <w:ind w:left="584" w:hanging="227"/>
        <w:rPr>
          <w:lang w:eastAsia="it-IT"/>
        </w:rPr>
      </w:pPr>
      <w:proofErr w:type="spellStart"/>
      <w:r>
        <w:rPr>
          <w:rFonts w:eastAsia="Calibri"/>
        </w:rPr>
        <w:t>Kreitewolf</w:t>
      </w:r>
      <w:proofErr w:type="spellEnd"/>
      <w:r>
        <w:rPr>
          <w:rFonts w:eastAsia="Calibri"/>
        </w:rPr>
        <w:t xml:space="preserve">; J., </w:t>
      </w:r>
      <w:proofErr w:type="spellStart"/>
      <w:r>
        <w:rPr>
          <w:rFonts w:eastAsia="Calibri"/>
        </w:rPr>
        <w:t>Friederici</w:t>
      </w:r>
      <w:proofErr w:type="spellEnd"/>
      <w:r>
        <w:rPr>
          <w:rFonts w:eastAsia="Calibri"/>
        </w:rPr>
        <w:t xml:space="preserve">, A.D., von </w:t>
      </w:r>
      <w:proofErr w:type="spellStart"/>
      <w:r>
        <w:rPr>
          <w:rFonts w:eastAsia="Calibri"/>
        </w:rPr>
        <w:t>Kriegstein</w:t>
      </w:r>
      <w:proofErr w:type="spellEnd"/>
      <w:r>
        <w:rPr>
          <w:rFonts w:eastAsia="Calibri"/>
        </w:rPr>
        <w:t xml:space="preserve">, K. </w:t>
      </w:r>
      <w:r w:rsidR="003072B1">
        <w:rPr>
          <w:rFonts w:eastAsia="Calibri"/>
        </w:rPr>
        <w:t xml:space="preserve">(2014). </w:t>
      </w:r>
      <w:r w:rsidR="003072B1" w:rsidRPr="003072B1">
        <w:rPr>
          <w:lang w:eastAsia="it-IT"/>
        </w:rPr>
        <w:t>Hemispheric lateralization of linguistic prosody recognition in</w:t>
      </w:r>
      <w:r w:rsidR="003072B1">
        <w:rPr>
          <w:lang w:eastAsia="it-IT"/>
        </w:rPr>
        <w:t xml:space="preserve"> </w:t>
      </w:r>
      <w:r w:rsidR="003072B1" w:rsidRPr="003072B1">
        <w:rPr>
          <w:lang w:eastAsia="it-IT"/>
        </w:rPr>
        <w:t>comparison to speech and speaker recognition</w:t>
      </w:r>
      <w:r w:rsidR="003072B1">
        <w:rPr>
          <w:lang w:eastAsia="it-IT"/>
        </w:rPr>
        <w:t xml:space="preserve">. </w:t>
      </w:r>
      <w:proofErr w:type="spellStart"/>
      <w:r w:rsidR="003072B1" w:rsidRPr="0079235B">
        <w:rPr>
          <w:i/>
          <w:lang w:eastAsia="it-IT"/>
        </w:rPr>
        <w:t>Neuroimage</w:t>
      </w:r>
      <w:proofErr w:type="spellEnd"/>
      <w:r w:rsidR="003072B1">
        <w:rPr>
          <w:lang w:eastAsia="it-IT"/>
        </w:rPr>
        <w:t>, 102, 332-244.</w:t>
      </w:r>
    </w:p>
    <w:p w:rsidR="004F18A1" w:rsidRPr="001B0997" w:rsidRDefault="004F18A1" w:rsidP="00C77B7F">
      <w:pPr>
        <w:autoSpaceDE w:val="0"/>
        <w:autoSpaceDN w:val="0"/>
        <w:adjustRightInd w:val="0"/>
        <w:ind w:left="584" w:hanging="227"/>
        <w:rPr>
          <w:rFonts w:eastAsia="Times New Roman"/>
          <w:lang w:eastAsia="it-IT"/>
        </w:rPr>
      </w:pPr>
      <w:proofErr w:type="spellStart"/>
      <w:r w:rsidRPr="001B0997">
        <w:rPr>
          <w:rFonts w:eastAsia="Times New Roman"/>
          <w:lang w:eastAsia="it-IT"/>
        </w:rPr>
        <w:t>Kucharska-Pietura</w:t>
      </w:r>
      <w:proofErr w:type="spellEnd"/>
      <w:r w:rsidRPr="001B0997">
        <w:rPr>
          <w:rFonts w:eastAsia="Times New Roman"/>
          <w:lang w:eastAsia="it-IT"/>
        </w:rPr>
        <w:t xml:space="preserve">, K., Phillips, M.L, </w:t>
      </w:r>
      <w:proofErr w:type="spellStart"/>
      <w:r w:rsidRPr="001B0997">
        <w:rPr>
          <w:rFonts w:eastAsia="Times New Roman"/>
          <w:lang w:eastAsia="it-IT"/>
        </w:rPr>
        <w:t>Gernand</w:t>
      </w:r>
      <w:proofErr w:type="spellEnd"/>
      <w:r w:rsidRPr="001B0997">
        <w:rPr>
          <w:rFonts w:eastAsia="Times New Roman"/>
          <w:lang w:eastAsia="it-IT"/>
        </w:rPr>
        <w:t xml:space="preserve">, W., &amp; David, A. (2003). Perceptions of emotion from faces and voices following unilateral brain damage. </w:t>
      </w:r>
      <w:proofErr w:type="spellStart"/>
      <w:r w:rsidRPr="001B0997">
        <w:rPr>
          <w:rFonts w:eastAsia="Times New Roman"/>
          <w:i/>
          <w:lang w:eastAsia="it-IT"/>
        </w:rPr>
        <w:t>Neuropsychologia</w:t>
      </w:r>
      <w:proofErr w:type="spellEnd"/>
      <w:r w:rsidRPr="001B0997">
        <w:rPr>
          <w:rFonts w:eastAsia="Times New Roman"/>
          <w:lang w:eastAsia="it-IT"/>
        </w:rPr>
        <w:t>, 41(8), 1082-1090.</w:t>
      </w:r>
    </w:p>
    <w:p w:rsidR="004F18A1" w:rsidRDefault="004F18A1" w:rsidP="00C77B7F">
      <w:pPr>
        <w:autoSpaceDE w:val="0"/>
        <w:autoSpaceDN w:val="0"/>
        <w:adjustRightInd w:val="0"/>
        <w:ind w:left="584" w:hanging="227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>Lehman, B. M. (</w:t>
      </w:r>
      <w:r w:rsidRPr="001B0997">
        <w:rPr>
          <w:rFonts w:eastAsia="Times New Roman"/>
          <w:iCs/>
          <w:lang w:eastAsia="it-IT"/>
        </w:rPr>
        <w:t>2006</w:t>
      </w:r>
      <w:r w:rsidRPr="001B0997">
        <w:rPr>
          <w:rFonts w:eastAsia="Times New Roman"/>
          <w:lang w:eastAsia="it-IT"/>
        </w:rPr>
        <w:t xml:space="preserve">). Clinical relevance of discourse characteristics after right hemisphere brain damage. </w:t>
      </w:r>
      <w:r w:rsidRPr="001B0997">
        <w:rPr>
          <w:rFonts w:eastAsia="Times New Roman"/>
          <w:i/>
          <w:iCs/>
          <w:lang w:eastAsia="it-IT"/>
        </w:rPr>
        <w:t>American Journal of Speech-Language Pathology</w:t>
      </w:r>
      <w:r w:rsidRPr="001B0997">
        <w:rPr>
          <w:rFonts w:eastAsia="Times New Roman"/>
          <w:iCs/>
          <w:lang w:eastAsia="it-IT"/>
        </w:rPr>
        <w:t xml:space="preserve">, </w:t>
      </w:r>
      <w:r w:rsidRPr="001B0997">
        <w:rPr>
          <w:rFonts w:eastAsia="Times New Roman"/>
          <w:bCs/>
          <w:lang w:eastAsia="it-IT"/>
        </w:rPr>
        <w:t>15</w:t>
      </w:r>
      <w:r w:rsidRPr="001B0997">
        <w:rPr>
          <w:rFonts w:eastAsia="Times New Roman"/>
          <w:lang w:eastAsia="it-IT"/>
        </w:rPr>
        <w:t>(3), 255–267.</w:t>
      </w:r>
    </w:p>
    <w:p w:rsidR="00B00579" w:rsidRPr="001B0997" w:rsidRDefault="00B00579" w:rsidP="00C77B7F">
      <w:pPr>
        <w:autoSpaceDE w:val="0"/>
        <w:autoSpaceDN w:val="0"/>
        <w:adjustRightInd w:val="0"/>
        <w:ind w:left="584" w:hanging="227"/>
        <w:rPr>
          <w:rFonts w:eastAsia="Times New Roman"/>
          <w:lang w:eastAsia="it-IT"/>
        </w:rPr>
      </w:pPr>
      <w:r>
        <w:lastRenderedPageBreak/>
        <w:t xml:space="preserve">Levinson, Stephen C. (1983). </w:t>
      </w:r>
      <w:r>
        <w:rPr>
          <w:i/>
          <w:iCs/>
        </w:rPr>
        <w:t>Pragmatics.</w:t>
      </w:r>
      <w:r>
        <w:t xml:space="preserve"> Cambridge, England: Cambridge University.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</w:rPr>
        <w:t xml:space="preserve">Marini, A., </w:t>
      </w:r>
      <w:proofErr w:type="spellStart"/>
      <w:r w:rsidRPr="001B0997">
        <w:rPr>
          <w:rFonts w:eastAsia="Calibri"/>
        </w:rPr>
        <w:t>Carlomagno</w:t>
      </w:r>
      <w:proofErr w:type="spellEnd"/>
      <w:r w:rsidRPr="001B0997">
        <w:rPr>
          <w:rFonts w:eastAsia="Calibri"/>
        </w:rPr>
        <w:t xml:space="preserve">, S., </w:t>
      </w:r>
      <w:proofErr w:type="spellStart"/>
      <w:r w:rsidRPr="001B0997">
        <w:rPr>
          <w:rFonts w:eastAsia="Calibri"/>
        </w:rPr>
        <w:t>Caltagirone</w:t>
      </w:r>
      <w:proofErr w:type="spellEnd"/>
      <w:r w:rsidRPr="001B0997">
        <w:rPr>
          <w:rFonts w:eastAsia="Calibri"/>
        </w:rPr>
        <w:t xml:space="preserve">, C., &amp; </w:t>
      </w:r>
      <w:proofErr w:type="spellStart"/>
      <w:r w:rsidRPr="001B0997">
        <w:rPr>
          <w:rFonts w:eastAsia="Calibri"/>
        </w:rPr>
        <w:t>Nocentini</w:t>
      </w:r>
      <w:proofErr w:type="spellEnd"/>
      <w:r w:rsidRPr="001B0997">
        <w:rPr>
          <w:rFonts w:eastAsia="Calibri"/>
        </w:rPr>
        <w:t xml:space="preserve">, U. (2005).The role played by the right hemisphere in the organization of complex textual structures. </w:t>
      </w:r>
      <w:r w:rsidRPr="001B0997">
        <w:rPr>
          <w:rFonts w:eastAsia="Calibri"/>
          <w:i/>
          <w:iCs/>
        </w:rPr>
        <w:t>Brain and Language</w:t>
      </w:r>
      <w:r w:rsidRPr="001B0997">
        <w:rPr>
          <w:rFonts w:eastAsia="Calibri"/>
          <w:iCs/>
        </w:rPr>
        <w:t>,</w:t>
      </w:r>
      <w:r w:rsidRPr="001B0997">
        <w:rPr>
          <w:rFonts w:eastAsia="Calibri"/>
          <w:i/>
          <w:iCs/>
        </w:rPr>
        <w:t xml:space="preserve"> </w:t>
      </w:r>
      <w:r w:rsidRPr="001B0997">
        <w:rPr>
          <w:rFonts w:eastAsia="Calibri"/>
          <w:bCs/>
        </w:rPr>
        <w:t>93</w:t>
      </w:r>
      <w:r w:rsidRPr="001B0997">
        <w:rPr>
          <w:rFonts w:eastAsia="Calibri"/>
        </w:rPr>
        <w:t>(1), 46–54.</w:t>
      </w:r>
    </w:p>
    <w:p w:rsidR="004F18A1" w:rsidRPr="001B0997" w:rsidRDefault="004F18A1" w:rsidP="00C77B7F">
      <w:pPr>
        <w:autoSpaceDE w:val="0"/>
        <w:autoSpaceDN w:val="0"/>
        <w:adjustRightInd w:val="0"/>
        <w:ind w:left="584" w:hanging="227"/>
        <w:rPr>
          <w:rFonts w:eastAsia="Times New Roman"/>
          <w:lang w:eastAsia="it-IT"/>
        </w:rPr>
      </w:pPr>
      <w:r w:rsidRPr="001B0997">
        <w:rPr>
          <w:rFonts w:eastAsia="Times New Roman"/>
          <w:lang w:eastAsia="it-IT"/>
        </w:rPr>
        <w:t>McDonald, S.</w:t>
      </w:r>
      <w:r w:rsidRPr="001B0997">
        <w:rPr>
          <w:rFonts w:eastAsia="Times New Roman"/>
          <w:iCs/>
          <w:lang w:eastAsia="it-IT"/>
        </w:rPr>
        <w:t xml:space="preserve"> (2000).</w:t>
      </w:r>
      <w:r w:rsidRPr="001B0997">
        <w:rPr>
          <w:rFonts w:eastAsia="Times New Roman"/>
          <w:lang w:eastAsia="it-IT"/>
        </w:rPr>
        <w:t xml:space="preserve"> Exploring  the cognitive basis of right-hemisphere pragmatic language disorders. </w:t>
      </w:r>
      <w:r w:rsidRPr="001B0997">
        <w:rPr>
          <w:rFonts w:eastAsia="Times New Roman"/>
          <w:i/>
          <w:iCs/>
          <w:lang w:eastAsia="it-IT"/>
        </w:rPr>
        <w:t xml:space="preserve">Brain and Language, </w:t>
      </w:r>
      <w:r w:rsidRPr="001B0997">
        <w:rPr>
          <w:rFonts w:eastAsia="Times New Roman"/>
          <w:bCs/>
          <w:lang w:eastAsia="it-IT"/>
        </w:rPr>
        <w:t>75(1)</w:t>
      </w:r>
      <w:r w:rsidRPr="001B0997">
        <w:rPr>
          <w:rFonts w:eastAsia="Times New Roman"/>
          <w:lang w:eastAsia="it-IT"/>
        </w:rPr>
        <w:t>, 82–107.</w:t>
      </w:r>
    </w:p>
    <w:p w:rsidR="004F18A1" w:rsidRPr="001B0997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</w:rPr>
        <w:t xml:space="preserve">Myers, P. (1999). </w:t>
      </w:r>
      <w:r w:rsidRPr="001B0997">
        <w:rPr>
          <w:rFonts w:eastAsia="Calibri"/>
          <w:i/>
        </w:rPr>
        <w:t>Right hemisphere disorder: Disorders of communication and cognition</w:t>
      </w:r>
      <w:r w:rsidRPr="001B0997">
        <w:rPr>
          <w:rFonts w:eastAsia="Calibri"/>
        </w:rPr>
        <w:t>. San Diego, CA: Singular Publishing Group.</w:t>
      </w:r>
    </w:p>
    <w:p w:rsidR="004F18A1" w:rsidRPr="001B0997" w:rsidRDefault="004F18A1" w:rsidP="00C77B7F">
      <w:pPr>
        <w:ind w:left="584" w:hanging="227"/>
        <w:rPr>
          <w:rFonts w:eastAsia="Calibri"/>
          <w:lang w:val="it-IT"/>
        </w:rPr>
      </w:pPr>
      <w:r w:rsidRPr="001B0997">
        <w:rPr>
          <w:rFonts w:eastAsia="Calibri"/>
        </w:rPr>
        <w:t xml:space="preserve">Myers, P. (2001). Toward a definition of RHD syndrome. </w:t>
      </w:r>
      <w:proofErr w:type="spellStart"/>
      <w:r w:rsidRPr="001B0997">
        <w:rPr>
          <w:rFonts w:eastAsia="Calibri"/>
          <w:i/>
          <w:lang w:val="it-IT"/>
        </w:rPr>
        <w:t>Aphasiology</w:t>
      </w:r>
      <w:proofErr w:type="spellEnd"/>
      <w:r w:rsidRPr="001B0997">
        <w:rPr>
          <w:rFonts w:eastAsia="Calibri"/>
          <w:lang w:val="it-IT"/>
        </w:rPr>
        <w:t>, 15(10/11), 913-918.</w:t>
      </w:r>
    </w:p>
    <w:p w:rsidR="004F18A1" w:rsidRPr="001B0997" w:rsidRDefault="004F18A1" w:rsidP="00C77B7F">
      <w:pPr>
        <w:autoSpaceDE w:val="0"/>
        <w:autoSpaceDN w:val="0"/>
        <w:adjustRightInd w:val="0"/>
        <w:ind w:left="584" w:hanging="227"/>
        <w:rPr>
          <w:rFonts w:eastAsia="Times New Roman"/>
          <w:lang w:eastAsia="it-IT"/>
        </w:rPr>
      </w:pPr>
      <w:proofErr w:type="spellStart"/>
      <w:r w:rsidRPr="001B0997">
        <w:rPr>
          <w:rFonts w:eastAsia="Times New Roman"/>
          <w:lang w:val="it-IT" w:eastAsia="it-IT"/>
        </w:rPr>
        <w:t>Papagno</w:t>
      </w:r>
      <w:proofErr w:type="spellEnd"/>
      <w:r w:rsidRPr="001B0997">
        <w:rPr>
          <w:rFonts w:eastAsia="Times New Roman"/>
          <w:lang w:val="it-IT" w:eastAsia="it-IT"/>
        </w:rPr>
        <w:t xml:space="preserve">, C., </w:t>
      </w:r>
      <w:proofErr w:type="spellStart"/>
      <w:r w:rsidRPr="001B0997">
        <w:rPr>
          <w:rFonts w:eastAsia="Times New Roman"/>
          <w:lang w:val="it-IT" w:eastAsia="it-IT"/>
        </w:rPr>
        <w:t>Curti</w:t>
      </w:r>
      <w:proofErr w:type="spellEnd"/>
      <w:r w:rsidRPr="001B0997">
        <w:rPr>
          <w:rFonts w:eastAsia="Times New Roman"/>
          <w:lang w:val="it-IT" w:eastAsia="it-IT"/>
        </w:rPr>
        <w:t>, R., Rizzo, S., Crippa, F., &amp; Colombo, M. (</w:t>
      </w:r>
      <w:r w:rsidRPr="001B0997">
        <w:rPr>
          <w:rFonts w:eastAsia="Times New Roman"/>
          <w:iCs/>
          <w:lang w:val="it-IT" w:eastAsia="it-IT"/>
        </w:rPr>
        <w:t xml:space="preserve">2006). </w:t>
      </w:r>
      <w:r w:rsidRPr="001B0997">
        <w:rPr>
          <w:rFonts w:eastAsia="Times New Roman"/>
          <w:lang w:eastAsia="it-IT"/>
        </w:rPr>
        <w:t xml:space="preserve">Is the right hemisphere involved in idiom comprehension? A neuropsychological study. </w:t>
      </w:r>
      <w:r w:rsidRPr="001B0997">
        <w:rPr>
          <w:rFonts w:eastAsia="Times New Roman"/>
          <w:i/>
          <w:iCs/>
          <w:lang w:eastAsia="it-IT"/>
        </w:rPr>
        <w:t>Neuropsychology</w:t>
      </w:r>
      <w:r w:rsidRPr="001B0997">
        <w:rPr>
          <w:rFonts w:eastAsia="Times New Roman"/>
          <w:iCs/>
          <w:lang w:eastAsia="it-IT"/>
        </w:rPr>
        <w:t xml:space="preserve">, </w:t>
      </w:r>
      <w:r w:rsidRPr="001B0997">
        <w:rPr>
          <w:rFonts w:eastAsia="Times New Roman"/>
          <w:bCs/>
          <w:lang w:eastAsia="it-IT"/>
        </w:rPr>
        <w:t>20</w:t>
      </w:r>
      <w:r w:rsidRPr="001B0997">
        <w:rPr>
          <w:rFonts w:eastAsia="Times New Roman"/>
          <w:lang w:eastAsia="it-IT"/>
        </w:rPr>
        <w:t>(5), 598–606.</w:t>
      </w:r>
    </w:p>
    <w:p w:rsidR="004F18A1" w:rsidRPr="001B0997" w:rsidRDefault="004F18A1" w:rsidP="00C77B7F">
      <w:pPr>
        <w:ind w:left="584" w:hanging="227"/>
        <w:outlineLvl w:val="0"/>
        <w:rPr>
          <w:rFonts w:eastAsia="Times New Roman"/>
          <w:bCs/>
          <w:kern w:val="36"/>
          <w:lang w:eastAsia="it-IT"/>
        </w:rPr>
      </w:pPr>
      <w:r w:rsidRPr="001B0997">
        <w:rPr>
          <w:rFonts w:eastAsia="Times New Roman"/>
          <w:bCs/>
          <w:kern w:val="36"/>
          <w:lang w:eastAsia="it-IT"/>
        </w:rPr>
        <w:t>Pell, M. D. (</w:t>
      </w:r>
      <w:r w:rsidRPr="001B0997">
        <w:rPr>
          <w:rFonts w:eastAsia="Calibri"/>
        </w:rPr>
        <w:t xml:space="preserve">1999). Fundamental frequency encoding of linguistic and emotional prosody by right hemisphere-damaged speakers. </w:t>
      </w:r>
      <w:r w:rsidRPr="001B0997">
        <w:rPr>
          <w:rFonts w:eastAsia="Calibri"/>
          <w:i/>
        </w:rPr>
        <w:t>Brain and Language</w:t>
      </w:r>
      <w:r w:rsidRPr="001B0997">
        <w:rPr>
          <w:rFonts w:eastAsia="Calibri"/>
        </w:rPr>
        <w:t>, 69(2), 161-192.</w:t>
      </w:r>
    </w:p>
    <w:p w:rsidR="004F18A1" w:rsidRPr="001B0997" w:rsidRDefault="004F18A1" w:rsidP="00C77B7F">
      <w:pPr>
        <w:ind w:left="584" w:hanging="227"/>
        <w:outlineLvl w:val="0"/>
        <w:rPr>
          <w:rFonts w:eastAsia="Times New Roman"/>
          <w:bCs/>
          <w:kern w:val="36"/>
          <w:lang w:val="it-IT" w:eastAsia="it-IT"/>
        </w:rPr>
      </w:pPr>
      <w:r w:rsidRPr="001B0997">
        <w:rPr>
          <w:rFonts w:eastAsia="Times New Roman"/>
          <w:bCs/>
          <w:kern w:val="36"/>
          <w:lang w:eastAsia="it-IT"/>
        </w:rPr>
        <w:t xml:space="preserve">Pell, M. D. (2006). Cerebral mechanisms for understanding emotional prosody in speech. </w:t>
      </w:r>
      <w:proofErr w:type="spellStart"/>
      <w:r w:rsidRPr="001B0997">
        <w:rPr>
          <w:rFonts w:eastAsia="Times New Roman"/>
          <w:bCs/>
          <w:i/>
          <w:kern w:val="36"/>
          <w:lang w:val="it-IT" w:eastAsia="it-IT"/>
        </w:rPr>
        <w:t>Brain</w:t>
      </w:r>
      <w:proofErr w:type="spellEnd"/>
      <w:r w:rsidRPr="001B0997">
        <w:rPr>
          <w:rFonts w:eastAsia="Times New Roman"/>
          <w:bCs/>
          <w:i/>
          <w:kern w:val="36"/>
          <w:lang w:val="it-IT" w:eastAsia="it-IT"/>
        </w:rPr>
        <w:t xml:space="preserve"> and </w:t>
      </w:r>
      <w:proofErr w:type="spellStart"/>
      <w:r w:rsidRPr="001B0997">
        <w:rPr>
          <w:rFonts w:eastAsia="Times New Roman"/>
          <w:bCs/>
          <w:i/>
          <w:kern w:val="36"/>
          <w:lang w:val="it-IT" w:eastAsia="it-IT"/>
        </w:rPr>
        <w:t>Language</w:t>
      </w:r>
      <w:proofErr w:type="spellEnd"/>
      <w:r w:rsidRPr="001B0997">
        <w:rPr>
          <w:rFonts w:eastAsia="Times New Roman"/>
          <w:bCs/>
          <w:kern w:val="36"/>
          <w:lang w:val="it-IT" w:eastAsia="it-IT"/>
        </w:rPr>
        <w:t xml:space="preserve">, 96(2), 221-234. </w:t>
      </w:r>
    </w:p>
    <w:p w:rsidR="004F18A1" w:rsidRPr="001B0997" w:rsidRDefault="004F18A1" w:rsidP="00C77B7F">
      <w:pPr>
        <w:ind w:left="584" w:hanging="227"/>
        <w:outlineLvl w:val="0"/>
        <w:rPr>
          <w:rFonts w:eastAsia="Times New Roman"/>
          <w:bCs/>
          <w:kern w:val="36"/>
          <w:lang w:eastAsia="it-IT"/>
        </w:rPr>
      </w:pPr>
      <w:proofErr w:type="spellStart"/>
      <w:r w:rsidRPr="001B0997">
        <w:rPr>
          <w:rFonts w:eastAsia="TimesNewRoman"/>
          <w:lang w:val="it-IT"/>
        </w:rPr>
        <w:t>Rinaldi</w:t>
      </w:r>
      <w:proofErr w:type="spellEnd"/>
      <w:r w:rsidRPr="001B0997">
        <w:rPr>
          <w:rFonts w:eastAsia="TimesNewRoman"/>
          <w:lang w:val="it-IT"/>
        </w:rPr>
        <w:t xml:space="preserve">, M. C., </w:t>
      </w:r>
      <w:proofErr w:type="spellStart"/>
      <w:r w:rsidRPr="001B0997">
        <w:rPr>
          <w:rFonts w:eastAsia="TimesNewRoman"/>
          <w:lang w:val="it-IT"/>
        </w:rPr>
        <w:t>Marangolo</w:t>
      </w:r>
      <w:proofErr w:type="spellEnd"/>
      <w:r w:rsidRPr="001B0997">
        <w:rPr>
          <w:rFonts w:eastAsia="TimesNewRoman"/>
          <w:lang w:val="it-IT"/>
        </w:rPr>
        <w:t xml:space="preserve">, P., &amp; </w:t>
      </w:r>
      <w:proofErr w:type="spellStart"/>
      <w:r w:rsidRPr="001B0997">
        <w:rPr>
          <w:rFonts w:eastAsia="TimesNewRoman"/>
          <w:lang w:val="it-IT"/>
        </w:rPr>
        <w:t>Lauriola</w:t>
      </w:r>
      <w:proofErr w:type="spellEnd"/>
      <w:r w:rsidRPr="001B0997">
        <w:rPr>
          <w:rFonts w:eastAsia="TimesNewRoman"/>
          <w:lang w:val="it-IT"/>
        </w:rPr>
        <w:t xml:space="preserve">, M. (2004). </w:t>
      </w:r>
      <w:r w:rsidRPr="001B0997">
        <w:rPr>
          <w:rFonts w:eastAsia="TimesNewRoman"/>
          <w:i/>
          <w:iCs/>
          <w:lang w:val="it-IT"/>
        </w:rPr>
        <w:t xml:space="preserve">BLED </w:t>
      </w:r>
      <w:proofErr w:type="spellStart"/>
      <w:r w:rsidRPr="001B0997">
        <w:rPr>
          <w:rFonts w:eastAsia="TimesNewRoman"/>
          <w:i/>
          <w:iCs/>
          <w:lang w:val="it-IT"/>
        </w:rPr>
        <w:t>SantaLucia</w:t>
      </w:r>
      <w:proofErr w:type="spellEnd"/>
      <w:r w:rsidRPr="001B0997">
        <w:rPr>
          <w:rFonts w:eastAsia="TimesNewRoman"/>
          <w:i/>
          <w:iCs/>
          <w:lang w:val="it-IT"/>
        </w:rPr>
        <w:t xml:space="preserve">. Batteria sul Linguaggio dell’Emisfero Destro </w:t>
      </w:r>
      <w:proofErr w:type="spellStart"/>
      <w:r w:rsidRPr="001B0997">
        <w:rPr>
          <w:rFonts w:eastAsia="TimesNewRoman"/>
          <w:i/>
          <w:iCs/>
          <w:lang w:val="it-IT"/>
        </w:rPr>
        <w:t>SantaLucia</w:t>
      </w:r>
      <w:proofErr w:type="spellEnd"/>
      <w:r w:rsidRPr="001B0997">
        <w:rPr>
          <w:rFonts w:eastAsia="TimesNewRoman"/>
          <w:lang w:val="it-IT"/>
        </w:rPr>
        <w:t xml:space="preserve">. </w:t>
      </w:r>
      <w:r w:rsidRPr="001B0997">
        <w:rPr>
          <w:rFonts w:eastAsia="TimesNewRoman"/>
        </w:rPr>
        <w:t xml:space="preserve">Firenze: </w:t>
      </w:r>
      <w:proofErr w:type="spellStart"/>
      <w:r w:rsidRPr="001B0997">
        <w:rPr>
          <w:rFonts w:eastAsia="TimesNewRoman"/>
        </w:rPr>
        <w:t>Giunti</w:t>
      </w:r>
      <w:proofErr w:type="spellEnd"/>
      <w:r w:rsidRPr="001B0997">
        <w:rPr>
          <w:rFonts w:eastAsia="TimesNewRoman"/>
        </w:rPr>
        <w:t xml:space="preserve"> O.S.</w:t>
      </w:r>
    </w:p>
    <w:p w:rsidR="00F1217A" w:rsidRDefault="004F18A1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Times New Roman"/>
          <w:color w:val="000000"/>
          <w:lang w:val="it-IT" w:eastAsia="it-IT"/>
        </w:rPr>
      </w:pPr>
      <w:proofErr w:type="spellStart"/>
      <w:r w:rsidRPr="001B0997">
        <w:rPr>
          <w:rFonts w:eastAsia="Times New Roman"/>
          <w:color w:val="000000"/>
          <w:lang w:eastAsia="it-IT"/>
        </w:rPr>
        <w:t>Sabbagh</w:t>
      </w:r>
      <w:proofErr w:type="spellEnd"/>
      <w:r w:rsidRPr="001B0997">
        <w:rPr>
          <w:rFonts w:eastAsia="Times New Roman"/>
          <w:color w:val="000000"/>
          <w:lang w:eastAsia="it-IT"/>
        </w:rPr>
        <w:t xml:space="preserve">, M. A. (1999). Communicative intentions and language: Evidence from right-hemisphere damage and autism. </w:t>
      </w:r>
      <w:proofErr w:type="spellStart"/>
      <w:r w:rsidRPr="00F1217A">
        <w:rPr>
          <w:rFonts w:eastAsia="Times New Roman"/>
          <w:i/>
          <w:color w:val="000000"/>
          <w:lang w:val="it-IT" w:eastAsia="it-IT"/>
        </w:rPr>
        <w:t>Brain</w:t>
      </w:r>
      <w:proofErr w:type="spellEnd"/>
      <w:r w:rsidRPr="00F1217A">
        <w:rPr>
          <w:rFonts w:eastAsia="Times New Roman"/>
          <w:i/>
          <w:color w:val="000000"/>
          <w:lang w:val="it-IT" w:eastAsia="it-IT"/>
        </w:rPr>
        <w:t xml:space="preserve"> and </w:t>
      </w:r>
      <w:proofErr w:type="spellStart"/>
      <w:r w:rsidRPr="00F1217A">
        <w:rPr>
          <w:rFonts w:eastAsia="Times New Roman"/>
          <w:i/>
          <w:color w:val="000000"/>
          <w:lang w:val="it-IT" w:eastAsia="it-IT"/>
        </w:rPr>
        <w:t>language</w:t>
      </w:r>
      <w:proofErr w:type="spellEnd"/>
      <w:r w:rsidR="009B5FA0" w:rsidRPr="00F1217A">
        <w:rPr>
          <w:rFonts w:eastAsia="Times New Roman"/>
          <w:color w:val="000000"/>
          <w:lang w:val="it-IT" w:eastAsia="it-IT"/>
        </w:rPr>
        <w:t>, 70, 29-69.</w:t>
      </w:r>
    </w:p>
    <w:p w:rsidR="00F1217A" w:rsidRDefault="00F1217A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Times New Roman"/>
          <w:color w:val="000000"/>
          <w:lang w:eastAsia="it-IT"/>
        </w:rPr>
      </w:pPr>
      <w:r w:rsidRPr="00F1217A">
        <w:rPr>
          <w:lang w:val="it-IT"/>
        </w:rPr>
        <w:t xml:space="preserve">Sacco, K., </w:t>
      </w:r>
      <w:proofErr w:type="spellStart"/>
      <w:r w:rsidRPr="00F1217A">
        <w:rPr>
          <w:lang w:val="it-IT"/>
        </w:rPr>
        <w:t>Angeleri</w:t>
      </w:r>
      <w:proofErr w:type="spellEnd"/>
      <w:r w:rsidRPr="00F1217A">
        <w:rPr>
          <w:lang w:val="it-IT"/>
        </w:rPr>
        <w:t xml:space="preserve">, R., Bosco, F. M., Colle, L., Mate,  D., &amp; Bara, B. G. (2008). </w:t>
      </w:r>
      <w:r w:rsidRPr="00F1217A">
        <w:t xml:space="preserve">Assessment Battery for Communication </w:t>
      </w:r>
      <w:proofErr w:type="spellStart"/>
      <w:r w:rsidRPr="00F1217A">
        <w:t>ABaCo</w:t>
      </w:r>
      <w:proofErr w:type="spellEnd"/>
      <w:r w:rsidRPr="00F1217A">
        <w:t xml:space="preserve">: a new instrument for the evaluation of pragmatic abilities. </w:t>
      </w:r>
      <w:r w:rsidRPr="00F1217A">
        <w:rPr>
          <w:i/>
        </w:rPr>
        <w:t>Journal of Cognitive Science,</w:t>
      </w:r>
      <w:r w:rsidRPr="00F1217A">
        <w:t xml:space="preserve"> 9, 111-115.</w:t>
      </w:r>
    </w:p>
    <w:p w:rsidR="009B5FA0" w:rsidRPr="009B5FA0" w:rsidRDefault="009B5FA0" w:rsidP="00C77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84" w:hanging="227"/>
        <w:rPr>
          <w:rFonts w:eastAsia="Times New Roman"/>
          <w:color w:val="000000"/>
          <w:lang w:eastAsia="it-IT"/>
        </w:rPr>
      </w:pPr>
      <w:r w:rsidRPr="0053673C">
        <w:rPr>
          <w:color w:val="000000"/>
        </w:rPr>
        <w:t xml:space="preserve">Tompkins, C.A. (1995). </w:t>
      </w:r>
      <w:r w:rsidRPr="0053673C">
        <w:rPr>
          <w:i/>
          <w:iCs/>
          <w:color w:val="000000"/>
        </w:rPr>
        <w:t>Right Hemisphere Communication</w:t>
      </w:r>
      <w:r w:rsidRPr="00BE54FC">
        <w:rPr>
          <w:i/>
          <w:iCs/>
          <w:color w:val="000000"/>
        </w:rPr>
        <w:t xml:space="preserve"> Disorders: Theory and Management</w:t>
      </w:r>
      <w:r w:rsidRPr="00BE54FC">
        <w:rPr>
          <w:color w:val="000000"/>
        </w:rPr>
        <w:t>. San Diego: Singular</w:t>
      </w:r>
    </w:p>
    <w:p w:rsidR="009B5FA0" w:rsidRDefault="004F18A1" w:rsidP="00C77B7F">
      <w:pPr>
        <w:ind w:left="584" w:hanging="227"/>
        <w:rPr>
          <w:rFonts w:eastAsia="Calibri"/>
        </w:rPr>
      </w:pPr>
      <w:r w:rsidRPr="001B0997">
        <w:rPr>
          <w:rFonts w:eastAsia="Calibri"/>
        </w:rPr>
        <w:t xml:space="preserve">Winner, E., Brownell, H., </w:t>
      </w:r>
      <w:proofErr w:type="spellStart"/>
      <w:r w:rsidRPr="001B0997">
        <w:rPr>
          <w:rFonts w:eastAsia="Calibri"/>
        </w:rPr>
        <w:t>Happe</w:t>
      </w:r>
      <w:proofErr w:type="spellEnd"/>
      <w:r w:rsidRPr="001B0997">
        <w:rPr>
          <w:rFonts w:eastAsia="Calibri"/>
        </w:rPr>
        <w:t xml:space="preserve">, F., Blum, A., &amp; </w:t>
      </w:r>
      <w:proofErr w:type="spellStart"/>
      <w:r w:rsidRPr="001B0997">
        <w:rPr>
          <w:rFonts w:eastAsia="Calibri"/>
        </w:rPr>
        <w:t>Pincus</w:t>
      </w:r>
      <w:proofErr w:type="spellEnd"/>
      <w:r w:rsidRPr="001B0997">
        <w:rPr>
          <w:rFonts w:eastAsia="Calibri"/>
        </w:rPr>
        <w:t xml:space="preserve">, D. (1998). Distinguishing lies from jokes: theory of mind deficits and discourse interpretation in right hemisphere brain damaged patients. </w:t>
      </w:r>
      <w:r w:rsidRPr="00734C64">
        <w:rPr>
          <w:rFonts w:eastAsia="Calibri"/>
          <w:i/>
        </w:rPr>
        <w:t>Brain and Language</w:t>
      </w:r>
      <w:r w:rsidRPr="00734C64">
        <w:rPr>
          <w:rFonts w:eastAsia="Calibri"/>
        </w:rPr>
        <w:t xml:space="preserve">, 62(1), 89-106. </w:t>
      </w:r>
    </w:p>
    <w:p w:rsidR="005E18AA" w:rsidRPr="00C47E5F" w:rsidRDefault="005E18AA" w:rsidP="00C77B7F">
      <w:pPr>
        <w:autoSpaceDE w:val="0"/>
        <w:autoSpaceDN w:val="0"/>
        <w:adjustRightInd w:val="0"/>
        <w:ind w:left="584" w:hanging="227"/>
        <w:rPr>
          <w:lang w:eastAsia="it-IT"/>
        </w:rPr>
      </w:pPr>
      <w:proofErr w:type="spellStart"/>
      <w:r>
        <w:rPr>
          <w:rFonts w:eastAsia="Calibri"/>
        </w:rPr>
        <w:t>Witterman</w:t>
      </w:r>
      <w:proofErr w:type="spellEnd"/>
      <w:r>
        <w:rPr>
          <w:rFonts w:eastAsia="Calibri"/>
        </w:rPr>
        <w:t xml:space="preserve">, J., van </w:t>
      </w:r>
      <w:proofErr w:type="spellStart"/>
      <w:r>
        <w:rPr>
          <w:rFonts w:eastAsia="Calibri"/>
        </w:rPr>
        <w:t>Ijzendoorn</w:t>
      </w:r>
      <w:proofErr w:type="spellEnd"/>
      <w:r>
        <w:rPr>
          <w:rFonts w:eastAsia="Calibri"/>
        </w:rPr>
        <w:t xml:space="preserve">, M.H., van de </w:t>
      </w:r>
      <w:proofErr w:type="spellStart"/>
      <w:r>
        <w:rPr>
          <w:rFonts w:eastAsia="Calibri"/>
        </w:rPr>
        <w:t>Velde</w:t>
      </w:r>
      <w:proofErr w:type="spellEnd"/>
      <w:r>
        <w:rPr>
          <w:rFonts w:eastAsia="Calibri"/>
        </w:rPr>
        <w:t xml:space="preserve">, D., van </w:t>
      </w:r>
      <w:proofErr w:type="spellStart"/>
      <w:r w:rsidRPr="005E18AA">
        <w:rPr>
          <w:rFonts w:eastAsia="Calibri"/>
        </w:rPr>
        <w:t>Heuven</w:t>
      </w:r>
      <w:proofErr w:type="spellEnd"/>
      <w:r w:rsidRPr="005E18AA">
        <w:rPr>
          <w:rFonts w:eastAsia="Calibri"/>
        </w:rPr>
        <w:t xml:space="preserve">, V.J, Schiller, N.O. </w:t>
      </w:r>
      <w:r w:rsidR="00C47E5F">
        <w:rPr>
          <w:rFonts w:eastAsia="Calibri"/>
        </w:rPr>
        <w:t xml:space="preserve">(2011). </w:t>
      </w:r>
      <w:r w:rsidRPr="005E18AA">
        <w:rPr>
          <w:lang w:eastAsia="it-IT"/>
        </w:rPr>
        <w:t>The nature of hemispheric specialization for linguistic and emotional prosodic</w:t>
      </w:r>
      <w:r w:rsidR="00C47E5F">
        <w:rPr>
          <w:lang w:eastAsia="it-IT"/>
        </w:rPr>
        <w:t xml:space="preserve"> </w:t>
      </w:r>
      <w:r w:rsidRPr="005E18AA">
        <w:rPr>
          <w:lang w:eastAsia="it-IT"/>
        </w:rPr>
        <w:t>perception: A meta-analysis of the lesion literature</w:t>
      </w:r>
      <w:r w:rsidR="00C47E5F">
        <w:rPr>
          <w:lang w:eastAsia="it-IT"/>
        </w:rPr>
        <w:t xml:space="preserve">. </w:t>
      </w:r>
      <w:proofErr w:type="spellStart"/>
      <w:r w:rsidR="00C47E5F" w:rsidRPr="0079235B">
        <w:rPr>
          <w:i/>
          <w:lang w:eastAsia="it-IT"/>
        </w:rPr>
        <w:t>Neuropsychologia</w:t>
      </w:r>
      <w:proofErr w:type="spellEnd"/>
      <w:r w:rsidR="00C47E5F">
        <w:rPr>
          <w:lang w:eastAsia="it-IT"/>
        </w:rPr>
        <w:t>, 49, 3722-3738.</w:t>
      </w:r>
    </w:p>
    <w:p w:rsidR="0004306F" w:rsidRPr="009D6156" w:rsidRDefault="009B5FA0" w:rsidP="005420B8">
      <w:pPr>
        <w:ind w:left="584" w:hanging="227"/>
        <w:rPr>
          <w:lang w:val="it-IT"/>
        </w:rPr>
      </w:pPr>
      <w:proofErr w:type="spellStart"/>
      <w:r w:rsidRPr="00BE54FC">
        <w:t>Zaidel</w:t>
      </w:r>
      <w:proofErr w:type="spellEnd"/>
      <w:r w:rsidRPr="00BE54FC">
        <w:t xml:space="preserve">, E., </w:t>
      </w:r>
      <w:proofErr w:type="spellStart"/>
      <w:r w:rsidRPr="00BE54FC">
        <w:t>Kasher</w:t>
      </w:r>
      <w:proofErr w:type="spellEnd"/>
      <w:r w:rsidRPr="00BE54FC">
        <w:t xml:space="preserve">, A., </w:t>
      </w:r>
      <w:proofErr w:type="spellStart"/>
      <w:r w:rsidRPr="00BE54FC">
        <w:t>Soroker</w:t>
      </w:r>
      <w:proofErr w:type="spellEnd"/>
      <w:r w:rsidRPr="00BE54FC">
        <w:t xml:space="preserve">, N., &amp; </w:t>
      </w:r>
      <w:proofErr w:type="spellStart"/>
      <w:r w:rsidRPr="00BE54FC">
        <w:t>Batori</w:t>
      </w:r>
      <w:proofErr w:type="spellEnd"/>
      <w:r w:rsidRPr="00BE54FC">
        <w:t xml:space="preserve">, G. (2002). Effects of right and left hemisphere damage on performance of the “Right </w:t>
      </w:r>
      <w:proofErr w:type="spellStart"/>
      <w:r w:rsidRPr="00BE54FC">
        <w:t>Hemipshere</w:t>
      </w:r>
      <w:proofErr w:type="spellEnd"/>
      <w:r w:rsidRPr="00BE54FC">
        <w:t xml:space="preserve"> Communication Battery”. </w:t>
      </w:r>
      <w:r w:rsidRPr="00BE54FC">
        <w:rPr>
          <w:i/>
        </w:rPr>
        <w:t>Brain and Language,</w:t>
      </w:r>
      <w:r w:rsidR="005420B8">
        <w:t xml:space="preserve"> 80, 510-535.</w:t>
      </w:r>
    </w:p>
    <w:sectPr w:rsidR="0004306F" w:rsidRPr="009D6156" w:rsidSect="004F18A1">
      <w:type w:val="continuous"/>
      <w:pgSz w:w="12240" w:h="15840" w:code="1"/>
      <w:pgMar w:top="1440" w:right="1080" w:bottom="1080" w:left="1080" w:header="720" w:footer="720" w:gutter="0"/>
      <w:cols w:num="2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A4" w:rsidRDefault="00843EA4">
      <w:r>
        <w:separator/>
      </w:r>
    </w:p>
  </w:endnote>
  <w:endnote w:type="continuationSeparator" w:id="0">
    <w:p w:rsidR="00843EA4" w:rsidRDefault="0084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A4" w:rsidRDefault="00843EA4">
      <w:r>
        <w:separator/>
      </w:r>
    </w:p>
  </w:footnote>
  <w:footnote w:type="continuationSeparator" w:id="0">
    <w:p w:rsidR="00843EA4" w:rsidRDefault="00843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2E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8604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3A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14C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D2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586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941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48C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C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4E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CD39BA"/>
    <w:multiLevelType w:val="hybridMultilevel"/>
    <w:tmpl w:val="877C2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E487E"/>
    <w:multiLevelType w:val="hybridMultilevel"/>
    <w:tmpl w:val="86668308"/>
    <w:lvl w:ilvl="0" w:tplc="0410000F">
      <w:start w:val="1"/>
      <w:numFmt w:val="decimal"/>
      <w:lvlText w:val="%1."/>
      <w:lvlJc w:val="left"/>
      <w:pPr>
        <w:ind w:left="541" w:hanging="360"/>
      </w:p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>
    <w:nsid w:val="6A4D601E"/>
    <w:multiLevelType w:val="hybridMultilevel"/>
    <w:tmpl w:val="3726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aria Gabbatore">
    <w15:presenceInfo w15:providerId="AD" w15:userId="S-1-5-21-520885676-241231727-2904406126-214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2C97"/>
    <w:rsid w:val="000075AB"/>
    <w:rsid w:val="00027C07"/>
    <w:rsid w:val="0004138E"/>
    <w:rsid w:val="0004306F"/>
    <w:rsid w:val="00044475"/>
    <w:rsid w:val="00066C7D"/>
    <w:rsid w:val="00091561"/>
    <w:rsid w:val="00094FFB"/>
    <w:rsid w:val="00096D06"/>
    <w:rsid w:val="000A2C97"/>
    <w:rsid w:val="000A3B88"/>
    <w:rsid w:val="000B2DF7"/>
    <w:rsid w:val="000B76C2"/>
    <w:rsid w:val="000D6F0D"/>
    <w:rsid w:val="000E4858"/>
    <w:rsid w:val="000F741A"/>
    <w:rsid w:val="00104EB9"/>
    <w:rsid w:val="00105A8A"/>
    <w:rsid w:val="00110575"/>
    <w:rsid w:val="001154EC"/>
    <w:rsid w:val="00117992"/>
    <w:rsid w:val="00120F38"/>
    <w:rsid w:val="00132C62"/>
    <w:rsid w:val="001405C3"/>
    <w:rsid w:val="00156220"/>
    <w:rsid w:val="00163A6F"/>
    <w:rsid w:val="00172840"/>
    <w:rsid w:val="00172C25"/>
    <w:rsid w:val="0018567A"/>
    <w:rsid w:val="0018760D"/>
    <w:rsid w:val="00187E33"/>
    <w:rsid w:val="00193B29"/>
    <w:rsid w:val="001951B5"/>
    <w:rsid w:val="001977FD"/>
    <w:rsid w:val="001A0929"/>
    <w:rsid w:val="001A3831"/>
    <w:rsid w:val="001C7270"/>
    <w:rsid w:val="001D4D5A"/>
    <w:rsid w:val="001F6C11"/>
    <w:rsid w:val="00212FB3"/>
    <w:rsid w:val="00217BFA"/>
    <w:rsid w:val="00223DB6"/>
    <w:rsid w:val="00231CF4"/>
    <w:rsid w:val="00235AC3"/>
    <w:rsid w:val="0024140A"/>
    <w:rsid w:val="0025020E"/>
    <w:rsid w:val="00251F10"/>
    <w:rsid w:val="00254840"/>
    <w:rsid w:val="00277CCB"/>
    <w:rsid w:val="00280ACE"/>
    <w:rsid w:val="002A651E"/>
    <w:rsid w:val="002A6F50"/>
    <w:rsid w:val="002A7BC2"/>
    <w:rsid w:val="002C2457"/>
    <w:rsid w:val="002C2780"/>
    <w:rsid w:val="002C3734"/>
    <w:rsid w:val="002E6205"/>
    <w:rsid w:val="002F4CF6"/>
    <w:rsid w:val="00304F32"/>
    <w:rsid w:val="003072B1"/>
    <w:rsid w:val="00310452"/>
    <w:rsid w:val="003128FA"/>
    <w:rsid w:val="003351F1"/>
    <w:rsid w:val="0033641D"/>
    <w:rsid w:val="00337849"/>
    <w:rsid w:val="0035298A"/>
    <w:rsid w:val="0036154F"/>
    <w:rsid w:val="0037765B"/>
    <w:rsid w:val="00381B40"/>
    <w:rsid w:val="00384BC7"/>
    <w:rsid w:val="00386017"/>
    <w:rsid w:val="003A28F8"/>
    <w:rsid w:val="003B540F"/>
    <w:rsid w:val="003C2669"/>
    <w:rsid w:val="003D7CB2"/>
    <w:rsid w:val="003E1B2D"/>
    <w:rsid w:val="003E22D5"/>
    <w:rsid w:val="003F5CE1"/>
    <w:rsid w:val="003F7B3C"/>
    <w:rsid w:val="0041591E"/>
    <w:rsid w:val="0043423E"/>
    <w:rsid w:val="004363A0"/>
    <w:rsid w:val="00437E31"/>
    <w:rsid w:val="00441900"/>
    <w:rsid w:val="00442C66"/>
    <w:rsid w:val="00443BA3"/>
    <w:rsid w:val="00445EAD"/>
    <w:rsid w:val="0044754C"/>
    <w:rsid w:val="004620D6"/>
    <w:rsid w:val="00471140"/>
    <w:rsid w:val="0047688F"/>
    <w:rsid w:val="004836E3"/>
    <w:rsid w:val="00485511"/>
    <w:rsid w:val="00487C71"/>
    <w:rsid w:val="00490850"/>
    <w:rsid w:val="004C024B"/>
    <w:rsid w:val="004C0C64"/>
    <w:rsid w:val="004C33D6"/>
    <w:rsid w:val="004C7F82"/>
    <w:rsid w:val="004D1066"/>
    <w:rsid w:val="004D3AE1"/>
    <w:rsid w:val="004E06F6"/>
    <w:rsid w:val="004F18A1"/>
    <w:rsid w:val="004F27D0"/>
    <w:rsid w:val="004F76E5"/>
    <w:rsid w:val="005007D6"/>
    <w:rsid w:val="0051006A"/>
    <w:rsid w:val="0053673C"/>
    <w:rsid w:val="005420B8"/>
    <w:rsid w:val="005518FB"/>
    <w:rsid w:val="00553BA7"/>
    <w:rsid w:val="00555082"/>
    <w:rsid w:val="005669F0"/>
    <w:rsid w:val="005700D5"/>
    <w:rsid w:val="00582117"/>
    <w:rsid w:val="00583D6C"/>
    <w:rsid w:val="00596445"/>
    <w:rsid w:val="005A4C97"/>
    <w:rsid w:val="005B40EC"/>
    <w:rsid w:val="005D1C2E"/>
    <w:rsid w:val="005D39CB"/>
    <w:rsid w:val="005D6835"/>
    <w:rsid w:val="005E18AA"/>
    <w:rsid w:val="005E2E48"/>
    <w:rsid w:val="005E71E1"/>
    <w:rsid w:val="005F679C"/>
    <w:rsid w:val="00620612"/>
    <w:rsid w:val="00623FE0"/>
    <w:rsid w:val="0063585C"/>
    <w:rsid w:val="00635F49"/>
    <w:rsid w:val="00637B43"/>
    <w:rsid w:val="006426EF"/>
    <w:rsid w:val="00654993"/>
    <w:rsid w:val="00666961"/>
    <w:rsid w:val="00670855"/>
    <w:rsid w:val="0068526C"/>
    <w:rsid w:val="006A658B"/>
    <w:rsid w:val="006B0CEB"/>
    <w:rsid w:val="006B6FAC"/>
    <w:rsid w:val="006C09A5"/>
    <w:rsid w:val="006C3A25"/>
    <w:rsid w:val="006D06FE"/>
    <w:rsid w:val="006E3AFA"/>
    <w:rsid w:val="00706807"/>
    <w:rsid w:val="00710FDC"/>
    <w:rsid w:val="00712C1A"/>
    <w:rsid w:val="00720EE5"/>
    <w:rsid w:val="0072424B"/>
    <w:rsid w:val="00726770"/>
    <w:rsid w:val="00734C64"/>
    <w:rsid w:val="00737E2A"/>
    <w:rsid w:val="0074659A"/>
    <w:rsid w:val="00751AF7"/>
    <w:rsid w:val="00752DF7"/>
    <w:rsid w:val="007540D2"/>
    <w:rsid w:val="007551D7"/>
    <w:rsid w:val="007554B4"/>
    <w:rsid w:val="00755C42"/>
    <w:rsid w:val="0076286D"/>
    <w:rsid w:val="007650CA"/>
    <w:rsid w:val="00765C87"/>
    <w:rsid w:val="007701E9"/>
    <w:rsid w:val="00781879"/>
    <w:rsid w:val="0079235B"/>
    <w:rsid w:val="00797D03"/>
    <w:rsid w:val="007A263B"/>
    <w:rsid w:val="007B3C7A"/>
    <w:rsid w:val="007B5562"/>
    <w:rsid w:val="007C4713"/>
    <w:rsid w:val="007C4A04"/>
    <w:rsid w:val="007C6EAB"/>
    <w:rsid w:val="007D343D"/>
    <w:rsid w:val="007F56A5"/>
    <w:rsid w:val="007F7574"/>
    <w:rsid w:val="008170C3"/>
    <w:rsid w:val="0082437D"/>
    <w:rsid w:val="00843EA4"/>
    <w:rsid w:val="00844355"/>
    <w:rsid w:val="00851C03"/>
    <w:rsid w:val="00854EC7"/>
    <w:rsid w:val="00866E1A"/>
    <w:rsid w:val="0088613C"/>
    <w:rsid w:val="00886A22"/>
    <w:rsid w:val="008871AF"/>
    <w:rsid w:val="00891B91"/>
    <w:rsid w:val="008A1789"/>
    <w:rsid w:val="008A7D16"/>
    <w:rsid w:val="008B0F53"/>
    <w:rsid w:val="008B1AB9"/>
    <w:rsid w:val="008B369E"/>
    <w:rsid w:val="008C2EC9"/>
    <w:rsid w:val="008D3BC1"/>
    <w:rsid w:val="008D5270"/>
    <w:rsid w:val="008E2B5B"/>
    <w:rsid w:val="008E59BD"/>
    <w:rsid w:val="009008D7"/>
    <w:rsid w:val="00901F3D"/>
    <w:rsid w:val="00913829"/>
    <w:rsid w:val="00915784"/>
    <w:rsid w:val="00915F10"/>
    <w:rsid w:val="00916AC9"/>
    <w:rsid w:val="00931976"/>
    <w:rsid w:val="009335D5"/>
    <w:rsid w:val="009369A8"/>
    <w:rsid w:val="009376CD"/>
    <w:rsid w:val="00945E38"/>
    <w:rsid w:val="009535A0"/>
    <w:rsid w:val="00956BC7"/>
    <w:rsid w:val="00960027"/>
    <w:rsid w:val="00967D95"/>
    <w:rsid w:val="009873F1"/>
    <w:rsid w:val="00987787"/>
    <w:rsid w:val="009B50AE"/>
    <w:rsid w:val="009B5FA0"/>
    <w:rsid w:val="009B7B70"/>
    <w:rsid w:val="009C0597"/>
    <w:rsid w:val="009C1518"/>
    <w:rsid w:val="009D176F"/>
    <w:rsid w:val="009D4D20"/>
    <w:rsid w:val="009E353D"/>
    <w:rsid w:val="00A016F1"/>
    <w:rsid w:val="00A038C3"/>
    <w:rsid w:val="00A05B27"/>
    <w:rsid w:val="00A112E8"/>
    <w:rsid w:val="00A23C06"/>
    <w:rsid w:val="00A27EFD"/>
    <w:rsid w:val="00A40E82"/>
    <w:rsid w:val="00A426D9"/>
    <w:rsid w:val="00A44FEF"/>
    <w:rsid w:val="00A546EC"/>
    <w:rsid w:val="00A63054"/>
    <w:rsid w:val="00A70B15"/>
    <w:rsid w:val="00A77CDE"/>
    <w:rsid w:val="00A82533"/>
    <w:rsid w:val="00A96606"/>
    <w:rsid w:val="00AA3E43"/>
    <w:rsid w:val="00AB384F"/>
    <w:rsid w:val="00AB4767"/>
    <w:rsid w:val="00AE1021"/>
    <w:rsid w:val="00AE3174"/>
    <w:rsid w:val="00AE4CD8"/>
    <w:rsid w:val="00AE5381"/>
    <w:rsid w:val="00AF4896"/>
    <w:rsid w:val="00B00579"/>
    <w:rsid w:val="00B07E8C"/>
    <w:rsid w:val="00B12367"/>
    <w:rsid w:val="00B31924"/>
    <w:rsid w:val="00B3768D"/>
    <w:rsid w:val="00B63903"/>
    <w:rsid w:val="00B63B5C"/>
    <w:rsid w:val="00B86276"/>
    <w:rsid w:val="00B91DD1"/>
    <w:rsid w:val="00B92421"/>
    <w:rsid w:val="00B9366A"/>
    <w:rsid w:val="00B97496"/>
    <w:rsid w:val="00BA35CE"/>
    <w:rsid w:val="00BB080B"/>
    <w:rsid w:val="00BC34D8"/>
    <w:rsid w:val="00BE7F70"/>
    <w:rsid w:val="00C05B1E"/>
    <w:rsid w:val="00C10AB6"/>
    <w:rsid w:val="00C21630"/>
    <w:rsid w:val="00C35EB8"/>
    <w:rsid w:val="00C42A98"/>
    <w:rsid w:val="00C445CC"/>
    <w:rsid w:val="00C47E5F"/>
    <w:rsid w:val="00C501A9"/>
    <w:rsid w:val="00C50E26"/>
    <w:rsid w:val="00C532C7"/>
    <w:rsid w:val="00C56875"/>
    <w:rsid w:val="00C620E8"/>
    <w:rsid w:val="00C622C1"/>
    <w:rsid w:val="00C664AC"/>
    <w:rsid w:val="00C738CB"/>
    <w:rsid w:val="00C74399"/>
    <w:rsid w:val="00C750AB"/>
    <w:rsid w:val="00C77B7F"/>
    <w:rsid w:val="00C811A8"/>
    <w:rsid w:val="00C8337C"/>
    <w:rsid w:val="00C83683"/>
    <w:rsid w:val="00C94688"/>
    <w:rsid w:val="00C97EFD"/>
    <w:rsid w:val="00CA0777"/>
    <w:rsid w:val="00CA2C9C"/>
    <w:rsid w:val="00CB068B"/>
    <w:rsid w:val="00CB72C1"/>
    <w:rsid w:val="00CC6532"/>
    <w:rsid w:val="00CC718F"/>
    <w:rsid w:val="00CD2837"/>
    <w:rsid w:val="00CF1D91"/>
    <w:rsid w:val="00CF64DC"/>
    <w:rsid w:val="00CF6B68"/>
    <w:rsid w:val="00D025D8"/>
    <w:rsid w:val="00D16FA4"/>
    <w:rsid w:val="00D1762F"/>
    <w:rsid w:val="00D368AF"/>
    <w:rsid w:val="00D44AD7"/>
    <w:rsid w:val="00D44FFB"/>
    <w:rsid w:val="00D562A2"/>
    <w:rsid w:val="00D66302"/>
    <w:rsid w:val="00D70FEF"/>
    <w:rsid w:val="00D718F6"/>
    <w:rsid w:val="00D7654E"/>
    <w:rsid w:val="00D773E4"/>
    <w:rsid w:val="00D80759"/>
    <w:rsid w:val="00DA4FD1"/>
    <w:rsid w:val="00DD1244"/>
    <w:rsid w:val="00DD4994"/>
    <w:rsid w:val="00DE7FD7"/>
    <w:rsid w:val="00DF1C01"/>
    <w:rsid w:val="00DF5C53"/>
    <w:rsid w:val="00E148B0"/>
    <w:rsid w:val="00E24AA2"/>
    <w:rsid w:val="00E53254"/>
    <w:rsid w:val="00E554FE"/>
    <w:rsid w:val="00E64A51"/>
    <w:rsid w:val="00E80556"/>
    <w:rsid w:val="00E87042"/>
    <w:rsid w:val="00E877E8"/>
    <w:rsid w:val="00EA16AA"/>
    <w:rsid w:val="00EA5366"/>
    <w:rsid w:val="00EA7C51"/>
    <w:rsid w:val="00EC1E05"/>
    <w:rsid w:val="00EC6BDB"/>
    <w:rsid w:val="00EC7D3F"/>
    <w:rsid w:val="00ED3D93"/>
    <w:rsid w:val="00EE0F30"/>
    <w:rsid w:val="00EE7D7D"/>
    <w:rsid w:val="00EF380C"/>
    <w:rsid w:val="00F010D5"/>
    <w:rsid w:val="00F1217A"/>
    <w:rsid w:val="00F3345C"/>
    <w:rsid w:val="00F52C69"/>
    <w:rsid w:val="00F56487"/>
    <w:rsid w:val="00F572C5"/>
    <w:rsid w:val="00F607D7"/>
    <w:rsid w:val="00F846A9"/>
    <w:rsid w:val="00F97E36"/>
    <w:rsid w:val="00FA476A"/>
    <w:rsid w:val="00FB096B"/>
    <w:rsid w:val="00FC3AE4"/>
    <w:rsid w:val="00FD02F4"/>
    <w:rsid w:val="00FD0DCE"/>
    <w:rsid w:val="00FE0EA3"/>
    <w:rsid w:val="00FF2495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64D1E"/>
    <w:pPr>
      <w:ind w:firstLine="181"/>
      <w:jc w:val="both"/>
    </w:pPr>
    <w:rPr>
      <w:rFonts w:ascii="Times New Roman" w:hAnsi="Times New Roman"/>
      <w:lang w:val="en-US" w:eastAsia="en-US"/>
    </w:rPr>
  </w:style>
  <w:style w:type="paragraph" w:styleId="Titolo1">
    <w:name w:val="heading 1"/>
    <w:basedOn w:val="NormalSectionStart"/>
    <w:next w:val="NormalSectionStart"/>
    <w:qFormat/>
    <w:rsid w:val="00384BC7"/>
    <w:pPr>
      <w:keepNext/>
      <w:spacing w:before="200" w:after="60"/>
      <w:jc w:val="center"/>
      <w:outlineLvl w:val="0"/>
    </w:pPr>
    <w:rPr>
      <w:b/>
      <w:sz w:val="24"/>
    </w:rPr>
  </w:style>
  <w:style w:type="paragraph" w:styleId="Titolo2">
    <w:name w:val="heading 2"/>
    <w:basedOn w:val="NormalSectionStart"/>
    <w:next w:val="NormalSectionStart"/>
    <w:qFormat/>
    <w:rsid w:val="00384BC7"/>
    <w:pPr>
      <w:keepNext/>
      <w:spacing w:before="200" w:after="60"/>
      <w:jc w:val="left"/>
      <w:outlineLvl w:val="1"/>
    </w:pPr>
    <w:rPr>
      <w:b/>
      <w:sz w:val="22"/>
    </w:rPr>
  </w:style>
  <w:style w:type="paragraph" w:styleId="Titolo3">
    <w:name w:val="heading 3"/>
    <w:basedOn w:val="NormalSectionStart"/>
    <w:next w:val="Normale"/>
    <w:qFormat/>
    <w:rsid w:val="00384BC7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ectionStart">
    <w:name w:val="Normal Section Start"/>
    <w:basedOn w:val="Normale"/>
    <w:next w:val="Normale"/>
    <w:rsid w:val="000A2C97"/>
    <w:pPr>
      <w:ind w:firstLine="0"/>
    </w:pPr>
    <w:rPr>
      <w:rFonts w:eastAsia="Times New Roman"/>
    </w:rPr>
  </w:style>
  <w:style w:type="paragraph" w:customStyle="1" w:styleId="ntranscript">
    <w:name w:val="ntranscript"/>
    <w:basedOn w:val="Normale"/>
    <w:rsid w:val="00384BC7"/>
    <w:pPr>
      <w:tabs>
        <w:tab w:val="left" w:pos="360"/>
      </w:tabs>
      <w:ind w:left="1440" w:hanging="1440"/>
    </w:pPr>
    <w:rPr>
      <w:rFonts w:ascii="Palatino" w:hAnsi="Palatino"/>
    </w:rPr>
  </w:style>
  <w:style w:type="paragraph" w:styleId="Testonotaapidipagina">
    <w:name w:val="footnote text"/>
    <w:basedOn w:val="Normale"/>
    <w:link w:val="TestonotaapidipaginaCarattere"/>
    <w:semiHidden/>
    <w:rsid w:val="00384BC7"/>
    <w:rPr>
      <w:sz w:val="18"/>
    </w:rPr>
  </w:style>
  <w:style w:type="character" w:styleId="Rimandonotaapidipagina">
    <w:name w:val="footnote reference"/>
    <w:semiHidden/>
    <w:rsid w:val="00384BC7"/>
    <w:rPr>
      <w:vertAlign w:val="superscript"/>
    </w:rPr>
  </w:style>
  <w:style w:type="paragraph" w:customStyle="1" w:styleId="Figure">
    <w:name w:val="Figure"/>
    <w:basedOn w:val="NormalSectionStart"/>
    <w:rsid w:val="00564D1E"/>
    <w:pPr>
      <w:ind w:firstLine="187"/>
      <w:jc w:val="center"/>
    </w:pPr>
  </w:style>
  <w:style w:type="paragraph" w:customStyle="1" w:styleId="NormalHeading3">
    <w:name w:val="Normal Heading 3"/>
    <w:basedOn w:val="NormalSectionStart"/>
    <w:next w:val="Normale"/>
    <w:rsid w:val="00564D1E"/>
    <w:pPr>
      <w:spacing w:before="240"/>
    </w:pPr>
  </w:style>
  <w:style w:type="paragraph" w:customStyle="1" w:styleId="TableContent">
    <w:name w:val="Table Content"/>
    <w:basedOn w:val="NormalSectionStart"/>
    <w:rsid w:val="00564D1E"/>
  </w:style>
  <w:style w:type="paragraph" w:customStyle="1" w:styleId="Reference">
    <w:name w:val="Reference"/>
    <w:basedOn w:val="Normale"/>
    <w:rsid w:val="00564D1E"/>
    <w:pPr>
      <w:ind w:left="181" w:hanging="181"/>
    </w:pPr>
    <w:rPr>
      <w:rFonts w:eastAsia="Times New Roman"/>
    </w:rPr>
  </w:style>
  <w:style w:type="paragraph" w:styleId="Mappadocumento">
    <w:name w:val="Document Map"/>
    <w:basedOn w:val="Normale"/>
    <w:semiHidden/>
    <w:rsid w:val="00384BC7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384BC7"/>
    <w:rPr>
      <w:color w:val="0000FF"/>
      <w:u w:val="single"/>
    </w:rPr>
  </w:style>
  <w:style w:type="paragraph" w:customStyle="1" w:styleId="Abstracttext">
    <w:name w:val="Abstract text"/>
    <w:basedOn w:val="NormalSectionStart"/>
    <w:rsid w:val="00BB4949"/>
    <w:pPr>
      <w:spacing w:line="200" w:lineRule="exact"/>
      <w:ind w:left="181" w:right="181"/>
    </w:pPr>
    <w:rPr>
      <w:sz w:val="18"/>
    </w:rPr>
  </w:style>
  <w:style w:type="paragraph" w:customStyle="1" w:styleId="Abstractheading">
    <w:name w:val="Abstract heading"/>
    <w:basedOn w:val="Titolo1"/>
    <w:next w:val="Abstracttext"/>
    <w:rsid w:val="00384BC7"/>
    <w:pPr>
      <w:spacing w:before="0" w:after="200"/>
    </w:pPr>
    <w:rPr>
      <w:sz w:val="20"/>
    </w:rPr>
  </w:style>
  <w:style w:type="paragraph" w:customStyle="1" w:styleId="Authorname">
    <w:name w:val="Author name"/>
    <w:basedOn w:val="NormalSectionStart"/>
    <w:next w:val="Affiliation"/>
    <w:rsid w:val="00384BC7"/>
    <w:pPr>
      <w:jc w:val="center"/>
      <w:outlineLvl w:val="0"/>
    </w:pPr>
    <w:rPr>
      <w:b/>
      <w:sz w:val="22"/>
    </w:rPr>
  </w:style>
  <w:style w:type="paragraph" w:customStyle="1" w:styleId="Affiliation">
    <w:name w:val="Affiliation"/>
    <w:basedOn w:val="NormalSectionStart"/>
    <w:rsid w:val="00384BC7"/>
    <w:pPr>
      <w:jc w:val="center"/>
      <w:outlineLvl w:val="0"/>
    </w:pPr>
  </w:style>
  <w:style w:type="paragraph" w:styleId="Titolo">
    <w:name w:val="Title"/>
    <w:basedOn w:val="NormalSectionStart"/>
    <w:next w:val="Authorname"/>
    <w:qFormat/>
    <w:rsid w:val="00384BC7"/>
    <w:pPr>
      <w:jc w:val="center"/>
      <w:outlineLvl w:val="0"/>
    </w:pPr>
    <w:rPr>
      <w:b/>
      <w:kern w:val="28"/>
      <w:sz w:val="28"/>
    </w:rPr>
  </w:style>
  <w:style w:type="paragraph" w:styleId="Didascalia">
    <w:name w:val="caption"/>
    <w:basedOn w:val="NormalSectionStart"/>
    <w:next w:val="NormalSectionStart"/>
    <w:qFormat/>
    <w:rsid w:val="000A2C97"/>
    <w:pPr>
      <w:jc w:val="center"/>
    </w:pPr>
  </w:style>
  <w:style w:type="character" w:styleId="Rimandocommento">
    <w:name w:val="annotation reference"/>
    <w:uiPriority w:val="99"/>
    <w:semiHidden/>
    <w:rsid w:val="008A3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A3B6C"/>
    <w:pPr>
      <w:ind w:firstLine="0"/>
      <w:jc w:val="left"/>
    </w:pPr>
    <w:rPr>
      <w:rFonts w:eastAsia="Times New Roman"/>
    </w:rPr>
  </w:style>
  <w:style w:type="character" w:customStyle="1" w:styleId="TestocommentoCarattere">
    <w:name w:val="Testo commento Carattere"/>
    <w:link w:val="Testocommento"/>
    <w:uiPriority w:val="99"/>
    <w:semiHidden/>
    <w:rsid w:val="008A3B6C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6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3B6C"/>
    <w:rPr>
      <w:rFonts w:ascii="Segoe UI" w:hAnsi="Segoe UI" w:cs="Segoe UI"/>
      <w:sz w:val="18"/>
      <w:szCs w:val="18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23707B"/>
    <w:rPr>
      <w:rFonts w:ascii="Times New Roman" w:hAnsi="Times New Roman"/>
      <w:sz w:val="18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3B12"/>
    <w:pPr>
      <w:ind w:firstLine="181"/>
      <w:jc w:val="both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E3B12"/>
    <w:rPr>
      <w:rFonts w:ascii="Times New Roman" w:eastAsia="Times New Roman" w:hAnsi="Times New Roman"/>
      <w:b/>
      <w:bCs/>
      <w:lang w:val="en-US" w:eastAsia="en-US"/>
    </w:rPr>
  </w:style>
  <w:style w:type="paragraph" w:customStyle="1" w:styleId="reference0">
    <w:name w:val="reference"/>
    <w:rsid w:val="009B5FA0"/>
    <w:pPr>
      <w:ind w:left="227" w:hanging="227"/>
      <w:jc w:val="both"/>
    </w:pPr>
    <w:rPr>
      <w:rFonts w:eastAsia="ヒラギノ角ゴ Pro W3"/>
      <w:color w:val="000000"/>
      <w:sz w:val="18"/>
      <w:lang w:val="en-AU"/>
    </w:rPr>
  </w:style>
  <w:style w:type="paragraph" w:customStyle="1" w:styleId="Default">
    <w:name w:val="Default"/>
    <w:rsid w:val="00CD283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D2837"/>
  </w:style>
  <w:style w:type="character" w:customStyle="1" w:styleId="googqs-tidbit">
    <w:name w:val="goog_qs-tidbit"/>
    <w:basedOn w:val="Carpredefinitoparagrafo"/>
    <w:rsid w:val="00CD2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arola@unito.it" TargetMode="External"/><Relationship Id="rId13" Type="http://schemas.openxmlformats.org/officeDocument/2006/relationships/hyperlink" Target="mailto:emailautore@e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Outlook\AppData\Bertolaso\Desktop\COGSCI_TORINO_DESTRI\p.gindri@h-sancamillo.to.i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Outlook\AppData\Bertolaso\Desktop\COGSCI_TORINO_DESTRI\federico.cossa@fs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ailautore@e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autore@email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CM%20Summer%20Proceedings\CogSci'05\CogSci-PrepFolder\cogsci-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72B2-42EB-47E0-B25C-881C7DB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cogsci-template</Template>
  <TotalTime>129</TotalTime>
  <Pages>6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 Test Excerpt</vt:lpstr>
    </vt:vector>
  </TitlesOfParts>
  <Company/>
  <LinksUpToDate>false</LinksUpToDate>
  <CharactersWithSpaces>33105</CharactersWithSpaces>
  <SharedDoc>false</SharedDoc>
  <HLinks>
    <vt:vector size="36" baseType="variant">
      <vt:variant>
        <vt:i4>7602243</vt:i4>
      </vt:variant>
      <vt:variant>
        <vt:i4>15</vt:i4>
      </vt:variant>
      <vt:variant>
        <vt:i4>0</vt:i4>
      </vt:variant>
      <vt:variant>
        <vt:i4>5</vt:i4>
      </vt:variant>
      <vt:variant>
        <vt:lpwstr>mailto:emailautore@email.it</vt:lpwstr>
      </vt:variant>
      <vt:variant>
        <vt:lpwstr/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../AppData/Bertolaso/Desktop/COGSCI_TORINO_DESTRI/p.gindri@h-sancamillo.to.it</vt:lpwstr>
      </vt:variant>
      <vt:variant>
        <vt:lpwstr/>
      </vt:variant>
      <vt:variant>
        <vt:i4>5439527</vt:i4>
      </vt:variant>
      <vt:variant>
        <vt:i4>9</vt:i4>
      </vt:variant>
      <vt:variant>
        <vt:i4>0</vt:i4>
      </vt:variant>
      <vt:variant>
        <vt:i4>5</vt:i4>
      </vt:variant>
      <vt:variant>
        <vt:lpwstr>../AppData/Bertolaso/Desktop/COGSCI_TORINO_DESTRI/federico.cossa@fsm.it</vt:lpwstr>
      </vt:variant>
      <vt:variant>
        <vt:lpwstr/>
      </vt:variant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mailto:emailautore@email.it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mailto:emailautore@email.it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mailto:alparola@unito.it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Test Excerpt</dc:title>
  <dc:creator>Bertolaso</dc:creator>
  <cp:lastModifiedBy>Parola Alberto</cp:lastModifiedBy>
  <cp:revision>61</cp:revision>
  <cp:lastPrinted>2015-05-18T06:13:00Z</cp:lastPrinted>
  <dcterms:created xsi:type="dcterms:W3CDTF">2015-05-18T10:59:00Z</dcterms:created>
  <dcterms:modified xsi:type="dcterms:W3CDTF">2015-05-25T08:17:00Z</dcterms:modified>
</cp:coreProperties>
</file>