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A1" w:rsidRDefault="002864A1" w:rsidP="002864A1">
      <w:r>
        <w:rPr>
          <w:noProof/>
          <w:lang w:eastAsia="it-IT"/>
        </w:rPr>
        <w:drawing>
          <wp:inline distT="0" distB="0" distL="0" distR="0" wp14:anchorId="595E9A3C" wp14:editId="1D4FC9CA">
            <wp:extent cx="6110605" cy="2289175"/>
            <wp:effectExtent l="0" t="0" r="4445" b="0"/>
            <wp:docPr id="1" name="Immagine 1"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_galle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0605" cy="2289175"/>
                    </a:xfrm>
                    <a:prstGeom prst="rect">
                      <a:avLst/>
                    </a:prstGeom>
                    <a:noFill/>
                    <a:ln>
                      <a:noFill/>
                    </a:ln>
                  </pic:spPr>
                </pic:pic>
              </a:graphicData>
            </a:graphic>
          </wp:inline>
        </w:drawing>
      </w:r>
    </w:p>
    <w:p w:rsidR="002864A1" w:rsidRDefault="002864A1" w:rsidP="002864A1"/>
    <w:p w:rsidR="002864A1" w:rsidRDefault="002864A1" w:rsidP="002864A1"/>
    <w:p w:rsidR="002864A1" w:rsidRDefault="002864A1" w:rsidP="002864A1"/>
    <w:p w:rsidR="002864A1" w:rsidRDefault="002864A1" w:rsidP="002864A1">
      <w:pPr>
        <w:jc w:val="center"/>
        <w:rPr>
          <w:iCs/>
          <w:sz w:val="28"/>
          <w:szCs w:val="28"/>
        </w:rPr>
      </w:pPr>
      <w:proofErr w:type="spellStart"/>
      <w:r w:rsidRPr="00650649">
        <w:rPr>
          <w:b/>
          <w:i/>
          <w:iCs/>
          <w:sz w:val="28"/>
          <w:szCs w:val="28"/>
        </w:rPr>
        <w:t>This</w:t>
      </w:r>
      <w:proofErr w:type="spellEnd"/>
      <w:r w:rsidRPr="00650649">
        <w:rPr>
          <w:b/>
          <w:i/>
          <w:iCs/>
          <w:sz w:val="28"/>
          <w:szCs w:val="28"/>
        </w:rPr>
        <w:t xml:space="preserve"> </w:t>
      </w:r>
      <w:proofErr w:type="spellStart"/>
      <w:r w:rsidRPr="00650649">
        <w:rPr>
          <w:b/>
          <w:i/>
          <w:iCs/>
          <w:sz w:val="28"/>
          <w:szCs w:val="28"/>
        </w:rPr>
        <w:t>is</w:t>
      </w:r>
      <w:proofErr w:type="spellEnd"/>
      <w:r w:rsidRPr="00650649">
        <w:rPr>
          <w:b/>
          <w:i/>
          <w:iCs/>
          <w:sz w:val="28"/>
          <w:szCs w:val="28"/>
        </w:rPr>
        <w:t xml:space="preserve"> an </w:t>
      </w:r>
      <w:proofErr w:type="spellStart"/>
      <w:r w:rsidRPr="00650649">
        <w:rPr>
          <w:b/>
          <w:i/>
          <w:iCs/>
          <w:sz w:val="28"/>
          <w:szCs w:val="28"/>
        </w:rPr>
        <w:t>author</w:t>
      </w:r>
      <w:proofErr w:type="spellEnd"/>
      <w:r w:rsidRPr="00650649">
        <w:rPr>
          <w:b/>
          <w:i/>
          <w:iCs/>
          <w:sz w:val="28"/>
          <w:szCs w:val="28"/>
        </w:rPr>
        <w:t xml:space="preserve"> </w:t>
      </w:r>
      <w:proofErr w:type="spellStart"/>
      <w:r w:rsidRPr="00650649">
        <w:rPr>
          <w:b/>
          <w:i/>
          <w:iCs/>
          <w:sz w:val="28"/>
          <w:szCs w:val="28"/>
        </w:rPr>
        <w:t>version</w:t>
      </w:r>
      <w:proofErr w:type="spellEnd"/>
      <w:r w:rsidRPr="00650649">
        <w:rPr>
          <w:b/>
          <w:i/>
          <w:iCs/>
          <w:sz w:val="28"/>
          <w:szCs w:val="28"/>
        </w:rPr>
        <w:t xml:space="preserve"> of the </w:t>
      </w:r>
      <w:proofErr w:type="spellStart"/>
      <w:r w:rsidRPr="00650649">
        <w:rPr>
          <w:b/>
          <w:i/>
          <w:iCs/>
          <w:sz w:val="28"/>
          <w:szCs w:val="28"/>
        </w:rPr>
        <w:t>contribution</w:t>
      </w:r>
      <w:proofErr w:type="spellEnd"/>
      <w:r w:rsidRPr="00650649">
        <w:rPr>
          <w:b/>
          <w:i/>
          <w:iCs/>
          <w:sz w:val="28"/>
          <w:szCs w:val="28"/>
        </w:rPr>
        <w:t xml:space="preserve"> </w:t>
      </w:r>
      <w:proofErr w:type="spellStart"/>
      <w:r w:rsidRPr="00650649">
        <w:rPr>
          <w:b/>
          <w:i/>
          <w:iCs/>
          <w:sz w:val="28"/>
          <w:szCs w:val="28"/>
        </w:rPr>
        <w:t>published</w:t>
      </w:r>
      <w:proofErr w:type="spellEnd"/>
      <w:r w:rsidRPr="00650649">
        <w:rPr>
          <w:b/>
          <w:i/>
          <w:iCs/>
          <w:sz w:val="28"/>
          <w:szCs w:val="28"/>
        </w:rPr>
        <w:t xml:space="preserve"> </w:t>
      </w:r>
      <w:proofErr w:type="gramStart"/>
      <w:r w:rsidRPr="00650649">
        <w:rPr>
          <w:b/>
          <w:i/>
          <w:iCs/>
          <w:sz w:val="28"/>
          <w:szCs w:val="28"/>
        </w:rPr>
        <w:t>on</w:t>
      </w:r>
      <w:r>
        <w:rPr>
          <w:i/>
          <w:iCs/>
          <w:sz w:val="28"/>
          <w:szCs w:val="28"/>
        </w:rPr>
        <w:t>:</w:t>
      </w:r>
      <w:r>
        <w:rPr>
          <w:i/>
          <w:iCs/>
          <w:sz w:val="28"/>
          <w:szCs w:val="28"/>
        </w:rPr>
        <w:br/>
      </w:r>
      <w:r w:rsidRPr="00903AC9">
        <w:rPr>
          <w:i/>
          <w:iCs/>
          <w:sz w:val="28"/>
          <w:szCs w:val="28"/>
        </w:rPr>
        <w:t>Questa</w:t>
      </w:r>
      <w:proofErr w:type="gramEnd"/>
      <w:r w:rsidRPr="00903AC9">
        <w:rPr>
          <w:i/>
          <w:iCs/>
          <w:sz w:val="28"/>
          <w:szCs w:val="28"/>
        </w:rPr>
        <w:t xml:space="preserve"> è la versione dell’autore dell’opera:</w:t>
      </w:r>
      <w:r>
        <w:rPr>
          <w:i/>
          <w:iCs/>
          <w:sz w:val="28"/>
          <w:szCs w:val="28"/>
        </w:rPr>
        <w:br/>
      </w:r>
      <w:r w:rsidRPr="00E773DB">
        <w:rPr>
          <w:iCs/>
          <w:sz w:val="28"/>
          <w:szCs w:val="28"/>
        </w:rPr>
        <w:t xml:space="preserve">M. LUPANO, </w:t>
      </w:r>
      <w:r>
        <w:rPr>
          <w:iCs/>
          <w:sz w:val="28"/>
          <w:szCs w:val="28"/>
        </w:rPr>
        <w:t>Sull’introduzione del processo secondo un modello formale errato</w:t>
      </w:r>
      <w:r w:rsidRPr="00E773DB">
        <w:rPr>
          <w:iCs/>
          <w:sz w:val="28"/>
          <w:szCs w:val="28"/>
        </w:rPr>
        <w:t>,</w:t>
      </w:r>
      <w:r>
        <w:rPr>
          <w:iCs/>
          <w:sz w:val="28"/>
          <w:szCs w:val="28"/>
        </w:rPr>
        <w:t xml:space="preserve"> </w:t>
      </w:r>
      <w:r w:rsidRPr="00E773DB">
        <w:rPr>
          <w:iCs/>
          <w:sz w:val="28"/>
          <w:szCs w:val="28"/>
        </w:rPr>
        <w:t xml:space="preserve">in </w:t>
      </w:r>
      <w:proofErr w:type="spellStart"/>
      <w:r>
        <w:rPr>
          <w:i/>
          <w:iCs/>
          <w:sz w:val="28"/>
          <w:szCs w:val="28"/>
        </w:rPr>
        <w:t>Riv</w:t>
      </w:r>
      <w:proofErr w:type="spellEnd"/>
      <w:r>
        <w:rPr>
          <w:i/>
          <w:iCs/>
          <w:sz w:val="28"/>
          <w:szCs w:val="28"/>
        </w:rPr>
        <w:t xml:space="preserve">. </w:t>
      </w:r>
      <w:r>
        <w:rPr>
          <w:i/>
          <w:iCs/>
          <w:sz w:val="28"/>
          <w:szCs w:val="28"/>
        </w:rPr>
        <w:t xml:space="preserve">trim. dir. </w:t>
      </w:r>
      <w:proofErr w:type="spellStart"/>
      <w:r>
        <w:rPr>
          <w:i/>
          <w:iCs/>
          <w:sz w:val="28"/>
          <w:szCs w:val="28"/>
        </w:rPr>
        <w:t>proc</w:t>
      </w:r>
      <w:proofErr w:type="spellEnd"/>
      <w:r>
        <w:rPr>
          <w:i/>
          <w:iCs/>
          <w:sz w:val="28"/>
          <w:szCs w:val="28"/>
        </w:rPr>
        <w:t xml:space="preserve">. </w:t>
      </w:r>
      <w:proofErr w:type="gramStart"/>
      <w:r>
        <w:rPr>
          <w:i/>
          <w:iCs/>
          <w:sz w:val="28"/>
          <w:szCs w:val="28"/>
        </w:rPr>
        <w:t>civ</w:t>
      </w:r>
      <w:r>
        <w:rPr>
          <w:i/>
          <w:iCs/>
          <w:sz w:val="28"/>
          <w:szCs w:val="28"/>
        </w:rPr>
        <w:t>.</w:t>
      </w:r>
      <w:r>
        <w:rPr>
          <w:iCs/>
          <w:sz w:val="28"/>
          <w:szCs w:val="28"/>
        </w:rPr>
        <w:t>,</w:t>
      </w:r>
      <w:proofErr w:type="gramEnd"/>
      <w:r>
        <w:rPr>
          <w:iCs/>
          <w:sz w:val="28"/>
          <w:szCs w:val="28"/>
        </w:rPr>
        <w:t xml:space="preserve"> 201</w:t>
      </w:r>
      <w:r>
        <w:rPr>
          <w:iCs/>
          <w:sz w:val="28"/>
          <w:szCs w:val="28"/>
        </w:rPr>
        <w:t>5</w:t>
      </w:r>
      <w:r>
        <w:rPr>
          <w:iCs/>
          <w:sz w:val="28"/>
          <w:szCs w:val="28"/>
        </w:rPr>
        <w:t xml:space="preserve">, </w:t>
      </w:r>
      <w:r>
        <w:rPr>
          <w:iCs/>
          <w:sz w:val="28"/>
          <w:szCs w:val="28"/>
        </w:rPr>
        <w:t>1</w:t>
      </w:r>
      <w:r>
        <w:rPr>
          <w:iCs/>
          <w:sz w:val="28"/>
          <w:szCs w:val="28"/>
        </w:rPr>
        <w:t>21 ss.</w:t>
      </w:r>
    </w:p>
    <w:p w:rsidR="002864A1" w:rsidRDefault="002864A1" w:rsidP="002864A1">
      <w:pPr>
        <w:jc w:val="center"/>
        <w:rPr>
          <w:iCs/>
          <w:sz w:val="28"/>
          <w:szCs w:val="28"/>
        </w:rPr>
      </w:pPr>
      <w:bookmarkStart w:id="0" w:name="_GoBack"/>
      <w:bookmarkEnd w:id="0"/>
    </w:p>
    <w:p w:rsidR="002864A1" w:rsidRPr="002864A1" w:rsidRDefault="002864A1" w:rsidP="002864A1">
      <w:pPr>
        <w:jc w:val="center"/>
        <w:rPr>
          <w:i/>
          <w:sz w:val="28"/>
          <w:szCs w:val="28"/>
          <w:lang w:val="en-US"/>
        </w:rPr>
      </w:pPr>
      <w:r w:rsidRPr="002864A1">
        <w:rPr>
          <w:b/>
          <w:i/>
          <w:sz w:val="28"/>
          <w:szCs w:val="28"/>
          <w:lang w:val="en-US"/>
        </w:rPr>
        <w:t xml:space="preserve">The definitive version is available </w:t>
      </w:r>
      <w:proofErr w:type="gramStart"/>
      <w:r w:rsidRPr="002864A1">
        <w:rPr>
          <w:b/>
          <w:i/>
          <w:sz w:val="28"/>
          <w:szCs w:val="28"/>
          <w:lang w:val="en-US"/>
        </w:rPr>
        <w:t>at:</w:t>
      </w:r>
      <w:proofErr w:type="gramEnd"/>
      <w:r w:rsidRPr="002864A1">
        <w:rPr>
          <w:i/>
          <w:sz w:val="28"/>
          <w:szCs w:val="28"/>
          <w:lang w:val="en-US"/>
        </w:rPr>
        <w:br/>
      </w:r>
      <w:r w:rsidRPr="002864A1">
        <w:rPr>
          <w:i/>
          <w:sz w:val="28"/>
          <w:szCs w:val="28"/>
          <w:lang w:val="en-US"/>
        </w:rPr>
        <w:t>-</w:t>
      </w:r>
    </w:p>
    <w:p w:rsidR="002864A1" w:rsidRPr="002864A1" w:rsidRDefault="002864A1" w:rsidP="002864A1">
      <w:pPr>
        <w:rPr>
          <w:lang w:val="en-US"/>
        </w:rPr>
      </w:pPr>
    </w:p>
    <w:p w:rsidR="002864A1" w:rsidRPr="002864A1" w:rsidRDefault="002864A1" w:rsidP="009E4AF0">
      <w:pPr>
        <w:spacing w:after="0" w:line="240" w:lineRule="auto"/>
        <w:jc w:val="both"/>
        <w:rPr>
          <w:sz w:val="28"/>
          <w:szCs w:val="28"/>
          <w:lang w:val="en-US"/>
        </w:rPr>
      </w:pPr>
      <w:r w:rsidRPr="002864A1">
        <w:rPr>
          <w:sz w:val="28"/>
          <w:szCs w:val="28"/>
          <w:lang w:val="en-US"/>
        </w:rPr>
        <w:br w:type="page"/>
      </w:r>
    </w:p>
    <w:p w:rsidR="006704C8" w:rsidRDefault="004B1578" w:rsidP="009E4AF0">
      <w:pPr>
        <w:spacing w:after="0" w:line="240" w:lineRule="auto"/>
        <w:jc w:val="both"/>
        <w:rPr>
          <w:sz w:val="28"/>
          <w:szCs w:val="28"/>
        </w:rPr>
      </w:pPr>
      <w:r w:rsidRPr="000A1715">
        <w:rPr>
          <w:sz w:val="28"/>
          <w:szCs w:val="28"/>
        </w:rPr>
        <w:lastRenderedPageBreak/>
        <w:t>S</w:t>
      </w:r>
      <w:r w:rsidR="006704C8" w:rsidRPr="000A1715">
        <w:rPr>
          <w:sz w:val="28"/>
          <w:szCs w:val="28"/>
        </w:rPr>
        <w:t>ull’</w:t>
      </w:r>
      <w:r w:rsidRPr="000A1715">
        <w:rPr>
          <w:sz w:val="28"/>
          <w:szCs w:val="28"/>
        </w:rPr>
        <w:t>introduzione del processo secondo un</w:t>
      </w:r>
      <w:r w:rsidR="006704C8" w:rsidRPr="000A1715">
        <w:rPr>
          <w:sz w:val="28"/>
          <w:szCs w:val="28"/>
        </w:rPr>
        <w:t xml:space="preserve"> modello formale errato</w:t>
      </w:r>
    </w:p>
    <w:p w:rsidR="005067B2" w:rsidRDefault="005067B2" w:rsidP="009E4AF0">
      <w:pPr>
        <w:spacing w:after="0" w:line="240" w:lineRule="auto"/>
        <w:jc w:val="both"/>
        <w:rPr>
          <w:b/>
        </w:rPr>
      </w:pPr>
    </w:p>
    <w:p w:rsidR="007E74D9" w:rsidRPr="000A1715" w:rsidRDefault="007E74D9" w:rsidP="000A1715">
      <w:pPr>
        <w:spacing w:after="0" w:line="240" w:lineRule="auto"/>
        <w:ind w:left="567" w:right="567"/>
        <w:jc w:val="both"/>
        <w:rPr>
          <w:sz w:val="20"/>
          <w:szCs w:val="20"/>
        </w:rPr>
      </w:pPr>
      <w:r w:rsidRPr="000A1715">
        <w:rPr>
          <w:smallCaps/>
          <w:sz w:val="20"/>
          <w:szCs w:val="20"/>
        </w:rPr>
        <w:t>Sommario:</w:t>
      </w:r>
      <w:r w:rsidRPr="000A1715">
        <w:rPr>
          <w:sz w:val="20"/>
          <w:szCs w:val="20"/>
        </w:rPr>
        <w:t xml:space="preserve"> 1. Introduzione. – 2. Conseguenze dell’erro</w:t>
      </w:r>
      <w:r w:rsidR="00B23BF9">
        <w:rPr>
          <w:sz w:val="20"/>
          <w:szCs w:val="20"/>
        </w:rPr>
        <w:t>re nella scelta del rito e del modello formale</w:t>
      </w:r>
      <w:r w:rsidRPr="000A1715">
        <w:rPr>
          <w:sz w:val="20"/>
          <w:szCs w:val="20"/>
        </w:rPr>
        <w:t xml:space="preserve"> d</w:t>
      </w:r>
      <w:r w:rsidR="00B23BF9">
        <w:rPr>
          <w:sz w:val="20"/>
          <w:szCs w:val="20"/>
        </w:rPr>
        <w:t xml:space="preserve">i </w:t>
      </w:r>
      <w:r w:rsidRPr="000A1715">
        <w:rPr>
          <w:sz w:val="20"/>
          <w:szCs w:val="20"/>
        </w:rPr>
        <w:t>atto introduttivo. – 3. Conseguenze dell’errore nella scelta del sol</w:t>
      </w:r>
      <w:r w:rsidR="00B23BF9">
        <w:rPr>
          <w:sz w:val="20"/>
          <w:szCs w:val="20"/>
        </w:rPr>
        <w:t>o modello</w:t>
      </w:r>
      <w:r w:rsidRPr="000A1715">
        <w:rPr>
          <w:sz w:val="20"/>
          <w:szCs w:val="20"/>
        </w:rPr>
        <w:t xml:space="preserve"> forma</w:t>
      </w:r>
      <w:r w:rsidR="00B23BF9">
        <w:rPr>
          <w:sz w:val="20"/>
          <w:szCs w:val="20"/>
        </w:rPr>
        <w:t>le</w:t>
      </w:r>
      <w:r w:rsidRPr="000A1715">
        <w:rPr>
          <w:sz w:val="20"/>
          <w:szCs w:val="20"/>
        </w:rPr>
        <w:t xml:space="preserve"> d</w:t>
      </w:r>
      <w:r w:rsidR="00B23BF9">
        <w:rPr>
          <w:sz w:val="20"/>
          <w:szCs w:val="20"/>
        </w:rPr>
        <w:t xml:space="preserve">i </w:t>
      </w:r>
      <w:r w:rsidRPr="000A1715">
        <w:rPr>
          <w:sz w:val="20"/>
          <w:szCs w:val="20"/>
        </w:rPr>
        <w:t>atto introduttivo. – 4. Ambito applicativo delle norme sul mutamento del rito e disparità di trattamento. – 5. Fondamento della conversione dell’atto processuale e sanatoria della nullità. Conclusioni.</w:t>
      </w:r>
    </w:p>
    <w:p w:rsidR="007E74D9" w:rsidRDefault="007E74D9" w:rsidP="009E4AF0">
      <w:pPr>
        <w:spacing w:after="0" w:line="240" w:lineRule="auto"/>
        <w:jc w:val="both"/>
        <w:rPr>
          <w:b/>
        </w:rPr>
      </w:pPr>
    </w:p>
    <w:p w:rsidR="000B3382" w:rsidRDefault="00233CD2" w:rsidP="009E4AF0">
      <w:pPr>
        <w:spacing w:after="0" w:line="240" w:lineRule="auto"/>
        <w:jc w:val="both"/>
      </w:pPr>
      <w:r>
        <w:t xml:space="preserve">1. – </w:t>
      </w:r>
      <w:r w:rsidR="00A17B83">
        <w:t xml:space="preserve">Nel nostro ordinamento esistono una molteplicità di riti </w:t>
      </w:r>
      <w:r w:rsidR="005332B3">
        <w:t>e due fondamentali modelli di atto introduttivo del processo, la citazione ed il ricorso</w:t>
      </w:r>
      <w:r w:rsidR="00A17B83">
        <w:t>. Ciò</w:t>
      </w:r>
      <w:r w:rsidR="005332B3">
        <w:t xml:space="preserve"> </w:t>
      </w:r>
      <w:r w:rsidR="000B3382">
        <w:t>comporta l’eventualità che talora la parte proponga la domanda secondo un rito errato o mediante un atto la cui forma è diversa da quella prevista per il rito corretto.</w:t>
      </w:r>
    </w:p>
    <w:p w:rsidR="006D010F" w:rsidRDefault="000B3382" w:rsidP="009E4AF0">
      <w:pPr>
        <w:spacing w:after="0" w:line="240" w:lineRule="auto"/>
        <w:jc w:val="both"/>
      </w:pPr>
      <w:r>
        <w:t xml:space="preserve">Le due tipologie d’errore non necessariamente </w:t>
      </w:r>
      <w:r w:rsidR="006D010F">
        <w:t>coesistono.</w:t>
      </w:r>
      <w:r>
        <w:t xml:space="preserve"> </w:t>
      </w:r>
      <w:r w:rsidR="008905F7">
        <w:t>S</w:t>
      </w:r>
      <w:r w:rsidR="006D010F">
        <w:t>i può</w:t>
      </w:r>
      <w:r w:rsidR="008905F7">
        <w:t xml:space="preserve"> infatti</w:t>
      </w:r>
      <w:r w:rsidR="006D010F">
        <w:t xml:space="preserve"> distinguere tra:</w:t>
      </w:r>
    </w:p>
    <w:p w:rsidR="00407CFC" w:rsidRDefault="00A134D9" w:rsidP="009E4AF0">
      <w:pPr>
        <w:spacing w:after="0" w:line="240" w:lineRule="auto"/>
        <w:jc w:val="both"/>
      </w:pPr>
      <w:r>
        <w:t>1)</w:t>
      </w:r>
      <w:r w:rsidR="00407CFC">
        <w:t xml:space="preserve"> errore nella scelta del rito che non incide sulla forma dell’atto introduttivo o, comunque, non coinvolge la </w:t>
      </w:r>
      <w:r w:rsidR="00407CFC">
        <w:rPr>
          <w:i/>
        </w:rPr>
        <w:t xml:space="preserve">summa </w:t>
      </w:r>
      <w:proofErr w:type="spellStart"/>
      <w:r w:rsidR="00407CFC">
        <w:rPr>
          <w:i/>
        </w:rPr>
        <w:t>divisio</w:t>
      </w:r>
      <w:proofErr w:type="spellEnd"/>
      <w:r w:rsidR="00407CFC">
        <w:rPr>
          <w:i/>
        </w:rPr>
        <w:t xml:space="preserve"> </w:t>
      </w:r>
      <w:r w:rsidR="00407CFC">
        <w:t>tra citazione e ricorso (ad es. la causa viene introdotta con ricorso, impiegando le forme del rito sommario di cognizione anziché quelle del rito del lavoro);</w:t>
      </w:r>
    </w:p>
    <w:p w:rsidR="00A134D9" w:rsidRDefault="00A134D9" w:rsidP="009E4AF0">
      <w:pPr>
        <w:spacing w:after="0" w:line="240" w:lineRule="auto"/>
        <w:jc w:val="both"/>
      </w:pPr>
      <w:r>
        <w:t>2)</w:t>
      </w:r>
      <w:r w:rsidR="006D010F">
        <w:t xml:space="preserve"> erro</w:t>
      </w:r>
      <w:r w:rsidR="00343953">
        <w:t xml:space="preserve">re nella scelta del rito che </w:t>
      </w:r>
      <w:r w:rsidR="00187E2F">
        <w:t>si ripercuote</w:t>
      </w:r>
      <w:r w:rsidR="00343953">
        <w:t xml:space="preserve"> </w:t>
      </w:r>
      <w:r w:rsidR="006D010F">
        <w:t xml:space="preserve">anche </w:t>
      </w:r>
      <w:r w:rsidR="00187E2F">
        <w:t>sul modello formale dell’atto introduttivo</w:t>
      </w:r>
      <w:r w:rsidR="006D010F">
        <w:t xml:space="preserve"> (ad es. </w:t>
      </w:r>
      <w:r w:rsidR="008905F7">
        <w:t>è pre</w:t>
      </w:r>
      <w:r w:rsidR="000B3382">
        <w:t>scelt</w:t>
      </w:r>
      <w:r w:rsidR="008905F7">
        <w:t>o</w:t>
      </w:r>
      <w:r w:rsidR="000B3382">
        <w:t xml:space="preserve"> </w:t>
      </w:r>
      <w:r w:rsidR="008905F7">
        <w:t>i</w:t>
      </w:r>
      <w:r w:rsidR="000B3382">
        <w:t>l rito del lavoro anziché quello ordinario</w:t>
      </w:r>
      <w:r w:rsidR="00343953">
        <w:t xml:space="preserve"> e conseguente</w:t>
      </w:r>
      <w:r w:rsidR="008905F7">
        <w:t>mente</w:t>
      </w:r>
      <w:r w:rsidR="00343953">
        <w:t xml:space="preserve"> </w:t>
      </w:r>
      <w:r w:rsidR="008905F7">
        <w:t xml:space="preserve">la domanda è proposta </w:t>
      </w:r>
      <w:r w:rsidR="00343953">
        <w:t>con ricorso anziché con citazione</w:t>
      </w:r>
      <w:r w:rsidR="006D010F">
        <w:t>);</w:t>
      </w:r>
    </w:p>
    <w:p w:rsidR="00B16D55" w:rsidRDefault="00A134D9" w:rsidP="009E4AF0">
      <w:pPr>
        <w:spacing w:after="0" w:line="240" w:lineRule="auto"/>
        <w:jc w:val="both"/>
      </w:pPr>
      <w:r>
        <w:t>3)</w:t>
      </w:r>
      <w:r w:rsidR="00FC4334">
        <w:t xml:space="preserve"> </w:t>
      </w:r>
      <w:r w:rsidR="00187E2F">
        <w:t xml:space="preserve">erroneo impiego della citazione o del ricorso che </w:t>
      </w:r>
      <w:r w:rsidR="00FC4334">
        <w:t xml:space="preserve">non </w:t>
      </w:r>
      <w:r w:rsidR="00343953">
        <w:t xml:space="preserve">discende </w:t>
      </w:r>
      <w:r w:rsidR="00335DB8">
        <w:t>dall’adozione di</w:t>
      </w:r>
      <w:r w:rsidR="001129E6">
        <w:t xml:space="preserve"> un rito</w:t>
      </w:r>
      <w:r w:rsidR="00FC4334">
        <w:t xml:space="preserve"> </w:t>
      </w:r>
      <w:r w:rsidR="00335DB8">
        <w:t>errato</w:t>
      </w:r>
      <w:r w:rsidR="007707C8">
        <w:t>.</w:t>
      </w:r>
    </w:p>
    <w:p w:rsidR="008905F7" w:rsidRDefault="00FE09CA" w:rsidP="009E4AF0">
      <w:pPr>
        <w:spacing w:after="0" w:line="240" w:lineRule="auto"/>
        <w:jc w:val="both"/>
      </w:pPr>
      <w:r>
        <w:t>Essendo nostra intenzione occuparci unicamente delle conseguenze dell’</w:t>
      </w:r>
      <w:r w:rsidR="00187E2F">
        <w:t>errore nella scelta del modello formale di atto introduttivo</w:t>
      </w:r>
      <w:r>
        <w:t>, trascureremo la prima ipotesi per occuparci delle restanti due.</w:t>
      </w:r>
    </w:p>
    <w:p w:rsidR="00CE7061" w:rsidRDefault="00187E2F" w:rsidP="009E4AF0">
      <w:pPr>
        <w:spacing w:after="0" w:line="240" w:lineRule="auto"/>
        <w:jc w:val="both"/>
      </w:pPr>
      <w:r>
        <w:t>N</w:t>
      </w:r>
      <w:r w:rsidR="00CE7061">
        <w:t>el</w:t>
      </w:r>
      <w:r w:rsidR="00A134D9">
        <w:t xml:space="preserve"> secondo caso</w:t>
      </w:r>
      <w:r>
        <w:t xml:space="preserve"> appena delineato</w:t>
      </w:r>
      <w:r w:rsidR="00A134D9">
        <w:t xml:space="preserve"> l’attore </w:t>
      </w:r>
      <w:r w:rsidR="00B953DC">
        <w:t xml:space="preserve">individua un </w:t>
      </w:r>
      <w:r w:rsidR="001E371F">
        <w:t>complesso di norme</w:t>
      </w:r>
      <w:r w:rsidR="00B953DC">
        <w:t xml:space="preserve"> che regolano il processo, ovvero un rito</w:t>
      </w:r>
      <w:r w:rsidR="001E371F">
        <w:t>,</w:t>
      </w:r>
      <w:r w:rsidR="00B953DC">
        <w:t xml:space="preserve"> ed agisce in giudizio osservandole, sennonché la causa</w:t>
      </w:r>
      <w:r w:rsidR="001E371F">
        <w:t xml:space="preserve"> </w:t>
      </w:r>
      <w:r w:rsidR="00CE7061">
        <w:t>a</w:t>
      </w:r>
      <w:r w:rsidR="00B953DC">
        <w:t xml:space="preserve">vrebbe dovuto </w:t>
      </w:r>
      <w:r w:rsidR="00CE7061">
        <w:t>e</w:t>
      </w:r>
      <w:r w:rsidR="00B953DC">
        <w:t>sser</w:t>
      </w:r>
      <w:r w:rsidR="00CE7061">
        <w:t>e trattata secondo un rito differente</w:t>
      </w:r>
      <w:r w:rsidR="007179CD">
        <w:t>. Si ha dunque</w:t>
      </w:r>
      <w:r w:rsidR="00CE7061">
        <w:t xml:space="preserve"> una </w:t>
      </w:r>
      <w:r w:rsidR="00CE7061" w:rsidRPr="00A27524">
        <w:t>falsa</w:t>
      </w:r>
      <w:r w:rsidR="00CE7061">
        <w:t xml:space="preserve"> applicazione </w:t>
      </w:r>
      <w:r w:rsidR="00A67FD7">
        <w:t>di quelle</w:t>
      </w:r>
      <w:r w:rsidR="00CE7061">
        <w:t xml:space="preserve"> norme</w:t>
      </w:r>
      <w:r w:rsidR="007361A1">
        <w:t xml:space="preserve">, </w:t>
      </w:r>
      <w:r w:rsidR="00A67FD7">
        <w:t>d</w:t>
      </w:r>
      <w:r w:rsidR="007361A1">
        <w:t xml:space="preserve">a cui scaturisce l’esigenza di un intervento del giudice </w:t>
      </w:r>
      <w:r w:rsidR="008D4A74">
        <w:t>mediante</w:t>
      </w:r>
      <w:r w:rsidR="00660A6F">
        <w:t xml:space="preserve"> il quale</w:t>
      </w:r>
      <w:r w:rsidR="007361A1">
        <w:t xml:space="preserve"> il processo </w:t>
      </w:r>
      <w:r w:rsidR="00660A6F">
        <w:t xml:space="preserve">è ricondotto </w:t>
      </w:r>
      <w:r w:rsidR="007361A1">
        <w:t xml:space="preserve">al tipo </w:t>
      </w:r>
      <w:r w:rsidR="00B953DC">
        <w:t xml:space="preserve">procedimentale </w:t>
      </w:r>
      <w:r w:rsidR="007361A1">
        <w:t xml:space="preserve">corretto, ovvero </w:t>
      </w:r>
      <w:r w:rsidR="003F62E7">
        <w:t>si opera</w:t>
      </w:r>
      <w:r w:rsidR="00660A6F">
        <w:t xml:space="preserve"> il mutamento del rito.</w:t>
      </w:r>
    </w:p>
    <w:p w:rsidR="00660A6F" w:rsidRDefault="00660A6F" w:rsidP="009E4AF0">
      <w:pPr>
        <w:spacing w:after="0" w:line="240" w:lineRule="auto"/>
        <w:jc w:val="both"/>
      </w:pPr>
      <w:r>
        <w:t xml:space="preserve">Nel terzo caso invece l’attore non </w:t>
      </w:r>
      <w:r w:rsidR="00D73878">
        <w:t>propone</w:t>
      </w:r>
      <w:r>
        <w:t xml:space="preserve"> la domanda </w:t>
      </w:r>
      <w:r w:rsidR="00505505">
        <w:t>secondo</w:t>
      </w:r>
      <w:r w:rsidR="00D73878">
        <w:t xml:space="preserve"> </w:t>
      </w:r>
      <w:r>
        <w:t xml:space="preserve">un rito </w:t>
      </w:r>
      <w:r w:rsidR="004F2332">
        <w:t>diverso da quello imposto dalla legge</w:t>
      </w:r>
      <w:r>
        <w:t>, bensì interpreta erroneamente</w:t>
      </w:r>
      <w:r w:rsidR="004F2332">
        <w:t xml:space="preserve"> e di conseguenza viola</w:t>
      </w:r>
      <w:r>
        <w:t xml:space="preserve"> le norme </w:t>
      </w:r>
      <w:r w:rsidR="005A7A75">
        <w:t xml:space="preserve">dettate per il rito </w:t>
      </w:r>
      <w:r w:rsidR="00624CC6">
        <w:t>(</w:t>
      </w:r>
      <w:r w:rsidR="005A7A75">
        <w:t>corretto</w:t>
      </w:r>
      <w:r w:rsidR="00624CC6">
        <w:t>) adottato</w:t>
      </w:r>
      <w:r w:rsidR="005A7A75">
        <w:t xml:space="preserve">, </w:t>
      </w:r>
      <w:r w:rsidR="003C48AD">
        <w:t xml:space="preserve">in particolare quelle </w:t>
      </w:r>
      <w:r w:rsidR="000011F6">
        <w:t>concernenti la forma da impiegare per l’atto introduttivo</w:t>
      </w:r>
      <w:r w:rsidR="004F2332">
        <w:t>.</w:t>
      </w:r>
    </w:p>
    <w:p w:rsidR="003F62E7" w:rsidRDefault="00FC4334" w:rsidP="009E4AF0">
      <w:pPr>
        <w:spacing w:after="0" w:line="240" w:lineRule="auto"/>
        <w:jc w:val="both"/>
      </w:pPr>
      <w:r>
        <w:t>La classificazione</w:t>
      </w:r>
      <w:r w:rsidR="005A7A75">
        <w:t xml:space="preserve"> appena proposta soffre</w:t>
      </w:r>
      <w:r w:rsidR="00A67FD7">
        <w:t xml:space="preserve"> certamente</w:t>
      </w:r>
      <w:r>
        <w:t xml:space="preserve"> di astrattezza in quanto</w:t>
      </w:r>
      <w:r w:rsidR="009C5833">
        <w:t>, in concreto, la distinzione</w:t>
      </w:r>
      <w:r>
        <w:t xml:space="preserve"> </w:t>
      </w:r>
      <w:r w:rsidR="007707C8">
        <w:t>tra errori che coinvolgono</w:t>
      </w:r>
      <w:r w:rsidR="00AE3CFC">
        <w:t xml:space="preserve"> </w:t>
      </w:r>
      <w:r w:rsidR="002F7BB1">
        <w:t xml:space="preserve">anche </w:t>
      </w:r>
      <w:r w:rsidR="007707C8">
        <w:t xml:space="preserve">il rito </w:t>
      </w:r>
      <w:r w:rsidR="006A5297">
        <w:t xml:space="preserve">ed </w:t>
      </w:r>
      <w:r w:rsidR="007707C8">
        <w:t>errori che concernono</w:t>
      </w:r>
      <w:r w:rsidR="00AE3CFC">
        <w:t xml:space="preserve"> </w:t>
      </w:r>
      <w:r w:rsidR="006A5297">
        <w:t>la</w:t>
      </w:r>
      <w:r w:rsidR="00A67FD7">
        <w:t xml:space="preserve"> sola</w:t>
      </w:r>
      <w:r w:rsidR="006A5297">
        <w:t xml:space="preserve"> forma dell’atto introduttivo</w:t>
      </w:r>
      <w:r w:rsidR="007707C8">
        <w:t xml:space="preserve"> non è affatto </w:t>
      </w:r>
      <w:r w:rsidR="009C5833">
        <w:t>netta</w:t>
      </w:r>
      <w:r w:rsidR="007707C8">
        <w:t>.</w:t>
      </w:r>
      <w:r w:rsidR="000011F6">
        <w:t xml:space="preserve"> </w:t>
      </w:r>
      <w:r w:rsidR="00A67FD7">
        <w:t>Talvolta</w:t>
      </w:r>
      <w:r w:rsidR="005A7A75">
        <w:t xml:space="preserve"> </w:t>
      </w:r>
      <w:r w:rsidR="006A5297">
        <w:t>la parte non dichiara espressamente sulla base di quale r</w:t>
      </w:r>
      <w:r w:rsidR="00A67FD7">
        <w:t>ito sta proponendo la domanda:</w:t>
      </w:r>
      <w:r w:rsidR="001768C6">
        <w:t xml:space="preserve"> in questi casi</w:t>
      </w:r>
      <w:r w:rsidR="009C5833">
        <w:t xml:space="preserve"> </w:t>
      </w:r>
      <w:r w:rsidR="001768C6">
        <w:t>la forma prescelta per l’atto introduttivo</w:t>
      </w:r>
      <w:r w:rsidR="005A7A75">
        <w:t xml:space="preserve"> viene considerata indicativa del rito prescelto e, dunque, l’eventuale errore è ricondotto ad un errore di rito – che si ripercuote sulla forma dell’atto introduttivo – </w:t>
      </w:r>
      <w:r w:rsidR="00965D2B">
        <w:t>anziché</w:t>
      </w:r>
      <w:r w:rsidR="005A7A75">
        <w:t xml:space="preserve"> ad un errore concernente la sola forma dell’atto</w:t>
      </w:r>
      <w:r w:rsidR="003F62E7">
        <w:t>.</w:t>
      </w:r>
    </w:p>
    <w:p w:rsidR="007707C8" w:rsidRDefault="002C1BE6" w:rsidP="009E4AF0">
      <w:pPr>
        <w:spacing w:after="0" w:line="240" w:lineRule="auto"/>
        <w:jc w:val="both"/>
      </w:pPr>
      <w:r>
        <w:t xml:space="preserve">Si immagini </w:t>
      </w:r>
      <w:r w:rsidR="008454B2">
        <w:t>l’eventualità</w:t>
      </w:r>
      <w:r>
        <w:t xml:space="preserve"> in cui</w:t>
      </w:r>
      <w:r w:rsidR="001768C6">
        <w:t xml:space="preserve"> l’attore propon</w:t>
      </w:r>
      <w:r>
        <w:t>ga</w:t>
      </w:r>
      <w:r w:rsidR="001768C6">
        <w:t xml:space="preserve"> con citazione </w:t>
      </w:r>
      <w:r>
        <w:t>una</w:t>
      </w:r>
      <w:r w:rsidR="001768C6">
        <w:t xml:space="preserve"> domanda avente ad oggetto le</w:t>
      </w:r>
      <w:r w:rsidR="00C82A8C">
        <w:t xml:space="preserve"> </w:t>
      </w:r>
      <w:r w:rsidR="0041333B">
        <w:t>provvigioni dovute</w:t>
      </w:r>
      <w:r w:rsidR="001768C6">
        <w:t xml:space="preserve"> </w:t>
      </w:r>
      <w:r>
        <w:t>per l’attività di agente di commercio,</w:t>
      </w:r>
      <w:r w:rsidR="001768C6">
        <w:t xml:space="preserve"> senza </w:t>
      </w:r>
      <w:r w:rsidR="009C5833">
        <w:t>offrire indicazioni esplicite in ordine al</w:t>
      </w:r>
      <w:r w:rsidR="001768C6">
        <w:t xml:space="preserve"> rito prescelto</w:t>
      </w:r>
      <w:r>
        <w:t xml:space="preserve">. </w:t>
      </w:r>
      <w:r w:rsidR="000011F6">
        <w:t>S</w:t>
      </w:r>
      <w:r>
        <w:t>i po</w:t>
      </w:r>
      <w:r w:rsidR="000011F6">
        <w:t>trebbero ipoteticamente</w:t>
      </w:r>
      <w:r>
        <w:t xml:space="preserve"> profilare due eventualità: l’attore ha ritenuto che la</w:t>
      </w:r>
      <w:r w:rsidR="006D010F">
        <w:t xml:space="preserve"> propria</w:t>
      </w:r>
      <w:r>
        <w:t xml:space="preserve"> domanda</w:t>
      </w:r>
      <w:r w:rsidR="001768C6">
        <w:t xml:space="preserve"> </w:t>
      </w:r>
      <w:r w:rsidR="009C5833">
        <w:t>vada</w:t>
      </w:r>
      <w:r>
        <w:t xml:space="preserve"> trattata secondo il rito ordinario (</w:t>
      </w:r>
      <w:r w:rsidR="003F62E7">
        <w:t>convincimento</w:t>
      </w:r>
      <w:r>
        <w:t xml:space="preserve"> in taluni casi corrett</w:t>
      </w:r>
      <w:r w:rsidR="003F62E7">
        <w:t>o</w:t>
      </w:r>
      <w:r>
        <w:t>, secondo la giurisprudenza</w:t>
      </w:r>
      <w:r w:rsidR="000011F6">
        <w:rPr>
          <w:rStyle w:val="Rimandonotaapidipagina"/>
        </w:rPr>
        <w:footnoteReference w:id="1"/>
      </w:r>
      <w:r w:rsidR="000011F6">
        <w:t xml:space="preserve">) </w:t>
      </w:r>
      <w:r w:rsidR="006D010F">
        <w:t>oppure, per totale sconoscenza dell’art. 414 c.p.c.,</w:t>
      </w:r>
      <w:r w:rsidR="009C5833">
        <w:t xml:space="preserve"> </w:t>
      </w:r>
      <w:r w:rsidR="003F62E7">
        <w:t xml:space="preserve">ha </w:t>
      </w:r>
      <w:r w:rsidR="00865D31">
        <w:t>ipotizza</w:t>
      </w:r>
      <w:r w:rsidR="003F62E7">
        <w:t>to</w:t>
      </w:r>
      <w:r w:rsidR="00865D31">
        <w:t xml:space="preserve"> </w:t>
      </w:r>
      <w:r w:rsidR="009C5833">
        <w:t>che nel rito del lavoro la domanda si debba proporre con citazione.</w:t>
      </w:r>
      <w:r w:rsidR="002D37D3">
        <w:t xml:space="preserve"> In una simile eventualità</w:t>
      </w:r>
      <w:r w:rsidR="006D010F">
        <w:t xml:space="preserve"> </w:t>
      </w:r>
      <w:r w:rsidR="001768C6">
        <w:t xml:space="preserve">il giudice sarà naturalmente portato a ritenere </w:t>
      </w:r>
      <w:r w:rsidR="006E13A2">
        <w:t xml:space="preserve">che </w:t>
      </w:r>
      <w:r w:rsidR="002D37D3">
        <w:t>si sia verificata la prima eventualità e non la seconda</w:t>
      </w:r>
      <w:r w:rsidR="001768C6">
        <w:t>,</w:t>
      </w:r>
      <w:r>
        <w:t xml:space="preserve"> </w:t>
      </w:r>
      <w:r w:rsidR="00A67FD7">
        <w:t>considerando</w:t>
      </w:r>
      <w:r>
        <w:t xml:space="preserve"> </w:t>
      </w:r>
      <w:r w:rsidR="002D37D3">
        <w:t>il secondo</w:t>
      </w:r>
      <w:r>
        <w:t xml:space="preserve"> errore</w:t>
      </w:r>
      <w:r w:rsidR="006E13A2">
        <w:t xml:space="preserve"> improbabile in quanto </w:t>
      </w:r>
      <w:r w:rsidR="003C48AD">
        <w:t xml:space="preserve">troppo </w:t>
      </w:r>
      <w:r w:rsidR="002D37D3">
        <w:t>macroscopico</w:t>
      </w:r>
      <w:r w:rsidR="006E13A2">
        <w:t>.</w:t>
      </w:r>
    </w:p>
    <w:p w:rsidR="00965D2B" w:rsidRDefault="008454B2" w:rsidP="009E4AF0">
      <w:pPr>
        <w:spacing w:after="0" w:line="240" w:lineRule="auto"/>
        <w:jc w:val="both"/>
      </w:pPr>
      <w:r>
        <w:t>U</w:t>
      </w:r>
      <w:r w:rsidR="00505505">
        <w:t>n errore nell’individuazi</w:t>
      </w:r>
      <w:r w:rsidR="009A2AB0">
        <w:t>one del rito</w:t>
      </w:r>
      <w:r>
        <w:t>, tuttavia, talvolta</w:t>
      </w:r>
      <w:r w:rsidR="009A2AB0">
        <w:t xml:space="preserve"> è </w:t>
      </w:r>
      <w:r w:rsidR="001F085D">
        <w:t xml:space="preserve">difficilmente </w:t>
      </w:r>
      <w:r w:rsidR="009A2AB0">
        <w:t>ipotizzabile.</w:t>
      </w:r>
      <w:r w:rsidR="00505505">
        <w:t xml:space="preserve"> </w:t>
      </w:r>
      <w:r w:rsidR="009A2AB0">
        <w:t>S</w:t>
      </w:r>
      <w:r w:rsidR="00505505">
        <w:t>i pensi all</w:t>
      </w:r>
      <w:r w:rsidR="009A2AB0">
        <w:t xml:space="preserve">e </w:t>
      </w:r>
      <w:r w:rsidR="00C371F3">
        <w:t>impugnazion</w:t>
      </w:r>
      <w:r w:rsidR="009A2AB0">
        <w:t>i</w:t>
      </w:r>
      <w:r w:rsidR="00C371F3">
        <w:t xml:space="preserve"> delle </w:t>
      </w:r>
      <w:r w:rsidR="006D699F">
        <w:t>delibere</w:t>
      </w:r>
      <w:r w:rsidR="00C371F3">
        <w:t xml:space="preserve"> dell’assemblea condominiale propost</w:t>
      </w:r>
      <w:r w:rsidR="009A2AB0">
        <w:t>e</w:t>
      </w:r>
      <w:r w:rsidR="00C371F3">
        <w:t xml:space="preserve"> con ricorso anziché con citazione</w:t>
      </w:r>
      <w:r w:rsidR="001F085D">
        <w:t xml:space="preserve"> alla luce delle ambiguità che l’art. 1137 c.c., nel testo vigente sino al giugno 2013, presentava</w:t>
      </w:r>
      <w:r w:rsidR="00505505">
        <w:rPr>
          <w:rStyle w:val="Rimandonotaapidipagina"/>
        </w:rPr>
        <w:footnoteReference w:id="2"/>
      </w:r>
      <w:r w:rsidR="00C371F3">
        <w:t xml:space="preserve">. </w:t>
      </w:r>
      <w:r w:rsidR="00B01A34">
        <w:t>L</w:t>
      </w:r>
      <w:r w:rsidR="001F085D">
        <w:t xml:space="preserve">a scelta </w:t>
      </w:r>
      <w:r w:rsidR="001F085D">
        <w:lastRenderedPageBreak/>
        <w:t>dell’attore di proporre la domanda con ricorso discendeva</w:t>
      </w:r>
      <w:r w:rsidR="00B01A34">
        <w:t>, di norma,</w:t>
      </w:r>
      <w:r w:rsidR="001F085D">
        <w:t xml:space="preserve"> non dall’</w:t>
      </w:r>
      <w:r w:rsidR="00E20E69">
        <w:t>adozione di un rito speciale</w:t>
      </w:r>
      <w:r w:rsidR="00B01A34">
        <w:t xml:space="preserve"> anziché di quello ordinario</w:t>
      </w:r>
      <w:r w:rsidR="00E20E69">
        <w:t xml:space="preserve">, bensì dall’adesione alla tesi – </w:t>
      </w:r>
      <w:r>
        <w:t xml:space="preserve">inizialmente sostenuta dalla </w:t>
      </w:r>
      <w:r w:rsidR="00E20E69">
        <w:t>Corte di cassazione</w:t>
      </w:r>
      <w:r>
        <w:t xml:space="preserve"> ed in seguito respinta dalle sezioni unite</w:t>
      </w:r>
      <w:r w:rsidR="00E20E69">
        <w:rPr>
          <w:rStyle w:val="Rimandonotaapidipagina"/>
        </w:rPr>
        <w:footnoteReference w:id="3"/>
      </w:r>
      <w:r w:rsidR="00E20E69">
        <w:t xml:space="preserve"> – </w:t>
      </w:r>
      <w:r w:rsidR="008F1E58">
        <w:t>secondo cui il ripetuto riferimento al “ricorso” contenuto all’art. 1137 c.c.</w:t>
      </w:r>
      <w:r w:rsidR="00113FCB">
        <w:t xml:space="preserve"> denotava un’opzione del legislatore per questa tipologia di atto introduttivo,</w:t>
      </w:r>
      <w:r w:rsidR="00F53539">
        <w:t xml:space="preserve"> </w:t>
      </w:r>
      <w:r w:rsidR="00D45FF8">
        <w:t xml:space="preserve">in deroga </w:t>
      </w:r>
      <w:r w:rsidR="00F53539">
        <w:t xml:space="preserve">alle norme </w:t>
      </w:r>
      <w:r w:rsidR="00D45FF8">
        <w:t>dettate p</w:t>
      </w:r>
      <w:r w:rsidR="00E20E69">
        <w:t>e</w:t>
      </w:r>
      <w:r w:rsidR="00D45FF8">
        <w:t>r i</w:t>
      </w:r>
      <w:r w:rsidR="00E20E69">
        <w:t>l rito ordinario.</w:t>
      </w:r>
    </w:p>
    <w:p w:rsidR="002634FD" w:rsidRDefault="00374136" w:rsidP="009E4AF0">
      <w:pPr>
        <w:spacing w:after="0" w:line="240" w:lineRule="auto"/>
        <w:jc w:val="both"/>
      </w:pPr>
      <w:r>
        <w:t>Vi sono infine ipotesi nelle quali, secondo</w:t>
      </w:r>
      <w:r w:rsidR="00D45FF8">
        <w:t xml:space="preserve"> numerosi interpreti</w:t>
      </w:r>
      <w:r>
        <w:t>,</w:t>
      </w:r>
      <w:r w:rsidR="00D45FF8">
        <w:t xml:space="preserve"> </w:t>
      </w:r>
      <w:r w:rsidR="00F7549E">
        <w:t xml:space="preserve">la possibilità di </w:t>
      </w:r>
      <w:r>
        <w:t>far discendere l’errore nella scelta del modello formale di atto introduttivo da</w:t>
      </w:r>
      <w:r w:rsidR="00D45FF8">
        <w:t xml:space="preserve"> un errore </w:t>
      </w:r>
      <w:r>
        <w:t>nell’individuazione del</w:t>
      </w:r>
      <w:r w:rsidR="00D45FF8">
        <w:t xml:space="preserve"> </w:t>
      </w:r>
      <w:r w:rsidR="00B01A34">
        <w:t>rito</w:t>
      </w:r>
      <w:r w:rsidR="00D45FF8">
        <w:t xml:space="preserve"> applicabile</w:t>
      </w:r>
      <w:r>
        <w:t xml:space="preserve"> va esclusa in radice. </w:t>
      </w:r>
      <w:r w:rsidR="002634FD">
        <w:t>La</w:t>
      </w:r>
      <w:r>
        <w:t xml:space="preserve"> posizione si fonda, co</w:t>
      </w:r>
      <w:r w:rsidR="002634FD">
        <w:t>me vedremo, su talune norme dalle quali si può evincere che</w:t>
      </w:r>
      <w:r w:rsidR="00B01A34">
        <w:t xml:space="preserve"> </w:t>
      </w:r>
      <w:r w:rsidR="00865D31">
        <w:t>l’errore nella</w:t>
      </w:r>
      <w:r w:rsidR="00F7549E">
        <w:t xml:space="preserve"> scelta</w:t>
      </w:r>
      <w:r w:rsidR="00B01A34">
        <w:t xml:space="preserve"> del rito</w:t>
      </w:r>
      <w:r w:rsidR="002634FD">
        <w:t xml:space="preserve"> cui consegue la possibilità, per il giudice, di disporne il mutamento,</w:t>
      </w:r>
      <w:r w:rsidR="00B01A34">
        <w:t xml:space="preserve"> può essere commesso solo introducendo il giudizio di primo grado</w:t>
      </w:r>
      <w:r w:rsidR="002634FD">
        <w:t>.</w:t>
      </w:r>
    </w:p>
    <w:p w:rsidR="00E12FFB" w:rsidRDefault="002634FD" w:rsidP="009E4AF0">
      <w:pPr>
        <w:spacing w:after="0" w:line="240" w:lineRule="auto"/>
        <w:jc w:val="both"/>
      </w:pPr>
      <w:r>
        <w:t>Secondo questa tesi è</w:t>
      </w:r>
      <w:r w:rsidR="00E12FFB">
        <w:t xml:space="preserve"> </w:t>
      </w:r>
      <w:r>
        <w:t>possibile</w:t>
      </w:r>
      <w:r w:rsidR="00B01A34">
        <w:t xml:space="preserve"> configurare unicamente un errore nella scelta del modello formale </w:t>
      </w:r>
      <w:r w:rsidR="006D699F">
        <w:t>di atto introduttivo</w:t>
      </w:r>
      <w:r w:rsidR="00F7549E">
        <w:t xml:space="preserve"> quando </w:t>
      </w:r>
      <w:r w:rsidR="00B01A34">
        <w:t xml:space="preserve">quest’ultimo </w:t>
      </w:r>
      <w:r w:rsidR="00F7549E">
        <w:t xml:space="preserve">ha la funzione di dare impulso ad una seconda fase del processo, meramente eventuale, </w:t>
      </w:r>
      <w:r w:rsidR="003C48AD">
        <w:t xml:space="preserve">o </w:t>
      </w:r>
      <w:r>
        <w:t>ad un grado di giudizio ulteriore</w:t>
      </w:r>
      <w:r w:rsidR="00952D9B">
        <w:t>. Rientrano nella prima categoria l’opposizione a decreto ingiuntivo proposta con citazione</w:t>
      </w:r>
      <w:r w:rsidR="008D4A74">
        <w:t xml:space="preserve"> anziché con ricorso</w:t>
      </w:r>
      <w:r w:rsidR="00952D9B">
        <w:t>, come si impone quando la contesa riguarda la materia del lavoro</w:t>
      </w:r>
      <w:r w:rsidR="00950A7B">
        <w:rPr>
          <w:rStyle w:val="Rimandonotaapidipagina"/>
        </w:rPr>
        <w:footnoteReference w:id="4"/>
      </w:r>
      <w:r w:rsidR="00950A7B">
        <w:t xml:space="preserve"> </w:t>
      </w:r>
      <w:r w:rsidR="00952D9B">
        <w:t>o quella</w:t>
      </w:r>
      <w:r w:rsidR="00950A7B">
        <w:t xml:space="preserve"> locatizia</w:t>
      </w:r>
      <w:r w:rsidR="00950A7B">
        <w:rPr>
          <w:rStyle w:val="Rimandonotaapidipagina"/>
        </w:rPr>
        <w:footnoteReference w:id="5"/>
      </w:r>
      <w:r w:rsidR="00952D9B">
        <w:t xml:space="preserve">, </w:t>
      </w:r>
      <w:r w:rsidR="00E12FFB">
        <w:t>e</w:t>
      </w:r>
      <w:r w:rsidR="00952D9B">
        <w:t xml:space="preserve"> viceversa, com</w:t>
      </w:r>
      <w:r w:rsidR="00AF594E">
        <w:t>e talvolta accade nelle opposizioni</w:t>
      </w:r>
      <w:r w:rsidR="00950A7B">
        <w:t xml:space="preserve"> </w:t>
      </w:r>
      <w:r w:rsidR="00AF594E">
        <w:t>al decreto ingiuntivo ottenuto dal difensore per il pagamento del compenso professionale</w:t>
      </w:r>
      <w:r w:rsidR="00950A7B">
        <w:rPr>
          <w:rStyle w:val="Rimandonotaapidipagina"/>
        </w:rPr>
        <w:footnoteReference w:id="6"/>
      </w:r>
      <w:r w:rsidR="00AF594E">
        <w:t>. Sono invece riconducibili alla seconda ipotesi gli errori commessi nell’introdurre il giudizio di appello</w:t>
      </w:r>
      <w:r w:rsidR="00E12FFB">
        <w:t xml:space="preserve">, ripetutamente emersi nella casistica giurisprudenziale, </w:t>
      </w:r>
      <w:r w:rsidR="006D699F">
        <w:t>ad esempio</w:t>
      </w:r>
      <w:r w:rsidR="00E12FFB">
        <w:t xml:space="preserve"> </w:t>
      </w:r>
      <w:r w:rsidR="00EA1846">
        <w:t>nei procedimenti di divorzio</w:t>
      </w:r>
      <w:r w:rsidR="00EA1846">
        <w:rPr>
          <w:rStyle w:val="Rimandonotaapidipagina"/>
        </w:rPr>
        <w:footnoteReference w:id="7"/>
      </w:r>
      <w:r w:rsidR="00AF594E">
        <w:t>.</w:t>
      </w:r>
    </w:p>
    <w:p w:rsidR="005D517F" w:rsidRDefault="005D517F" w:rsidP="009E4AF0">
      <w:pPr>
        <w:spacing w:after="0" w:line="240" w:lineRule="auto"/>
        <w:jc w:val="both"/>
      </w:pPr>
      <w:r w:rsidRPr="00B23BF9">
        <w:lastRenderedPageBreak/>
        <w:t xml:space="preserve">Nel prosieguo della trattazione vedremo quali conseguenze derivino, secondo dottrina e giurisprudenza, dalla commissione </w:t>
      </w:r>
      <w:r w:rsidR="0071033E" w:rsidRPr="00B23BF9">
        <w:t>di un errore che coinvolge anche la scelta del rito applicabile ovvero il solo modello formale di atto introduttivo, registrando come, secondo l’opinione prevalente, vi siano profonde differenze tra le une e le altre</w:t>
      </w:r>
      <w:r w:rsidRPr="00B23BF9">
        <w:t xml:space="preserve">. Ci interrogheremo quindi sulla legittimità di una tale </w:t>
      </w:r>
      <w:r w:rsidR="00B23BF9" w:rsidRPr="00B23BF9">
        <w:t>disparità</w:t>
      </w:r>
      <w:r w:rsidR="006F233D" w:rsidRPr="00B23BF9">
        <w:t xml:space="preserve"> e </w:t>
      </w:r>
      <w:r w:rsidR="00B23BF9" w:rsidRPr="00B23BF9">
        <w:t xml:space="preserve">proporremo </w:t>
      </w:r>
      <w:r w:rsidR="00B23BF9">
        <w:t xml:space="preserve">una </w:t>
      </w:r>
      <w:r w:rsidR="006F233D" w:rsidRPr="00B23BF9">
        <w:t>divers</w:t>
      </w:r>
      <w:r w:rsidR="00B23BF9">
        <w:t>a</w:t>
      </w:r>
      <w:r w:rsidR="006F233D" w:rsidRPr="00B23BF9">
        <w:t xml:space="preserve"> opzion</w:t>
      </w:r>
      <w:r w:rsidR="00B23BF9">
        <w:t>e</w:t>
      </w:r>
      <w:r w:rsidR="006F233D" w:rsidRPr="00B23BF9">
        <w:t xml:space="preserve"> interpretativ</w:t>
      </w:r>
      <w:r w:rsidR="00B23BF9">
        <w:t>a</w:t>
      </w:r>
      <w:r w:rsidR="006F233D" w:rsidRPr="00B23BF9">
        <w:t xml:space="preserve">, </w:t>
      </w:r>
      <w:r w:rsidR="00F01D3B" w:rsidRPr="00B23BF9">
        <w:t>che</w:t>
      </w:r>
      <w:r w:rsidR="006F233D" w:rsidRPr="00B23BF9">
        <w:t xml:space="preserve"> </w:t>
      </w:r>
      <w:r w:rsidR="00F01D3B" w:rsidRPr="00B23BF9">
        <w:t>assicuri maggiore</w:t>
      </w:r>
      <w:r w:rsidR="006F233D" w:rsidRPr="00B23BF9">
        <w:t xml:space="preserve"> uniformità</w:t>
      </w:r>
      <w:r w:rsidR="00F01D3B" w:rsidRPr="00B23BF9">
        <w:t xml:space="preserve"> e contemperi in maniera più soddisfacente gli interessi delle parti</w:t>
      </w:r>
      <w:r w:rsidR="006F233D" w:rsidRPr="00B23BF9">
        <w:t>.</w:t>
      </w:r>
    </w:p>
    <w:p w:rsidR="00311172" w:rsidRDefault="00311172" w:rsidP="009E4AF0">
      <w:pPr>
        <w:spacing w:after="0" w:line="240" w:lineRule="auto"/>
        <w:jc w:val="both"/>
      </w:pPr>
    </w:p>
    <w:p w:rsidR="00311172" w:rsidRDefault="00311172" w:rsidP="009E4AF0">
      <w:pPr>
        <w:spacing w:after="0" w:line="240" w:lineRule="auto"/>
        <w:jc w:val="both"/>
      </w:pPr>
    </w:p>
    <w:p w:rsidR="003C48AD" w:rsidRDefault="00233CD2" w:rsidP="009E4AF0">
      <w:pPr>
        <w:spacing w:after="0" w:line="240" w:lineRule="auto"/>
        <w:jc w:val="both"/>
      </w:pPr>
      <w:r>
        <w:t xml:space="preserve">2. – </w:t>
      </w:r>
      <w:r w:rsidR="00B23BF9">
        <w:t>In prima battuta</w:t>
      </w:r>
      <w:r w:rsidR="003C48AD" w:rsidRPr="002C6FC8">
        <w:t xml:space="preserve"> è indispensabile comprendere quali conseguenze </w:t>
      </w:r>
      <w:r w:rsidR="003C48AD">
        <w:t xml:space="preserve">derivino </w:t>
      </w:r>
      <w:r w:rsidR="00B23BF9">
        <w:t>da un errore</w:t>
      </w:r>
      <w:r w:rsidR="003C48AD" w:rsidRPr="002C6FC8">
        <w:t xml:space="preserve"> nella scelta del rito applicabile che si ripercuot</w:t>
      </w:r>
      <w:r w:rsidR="00B23BF9">
        <w:t>a</w:t>
      </w:r>
      <w:r w:rsidR="003C48AD" w:rsidRPr="002C6FC8">
        <w:t xml:space="preserve"> anche sulla forma dell’atto introduttivo.</w:t>
      </w:r>
    </w:p>
    <w:p w:rsidR="00DD70CE" w:rsidRDefault="003B1F0E" w:rsidP="009E4AF0">
      <w:pPr>
        <w:spacing w:after="0" w:line="240" w:lineRule="auto"/>
        <w:jc w:val="both"/>
      </w:pPr>
      <w:r>
        <w:t>Le norme in tema di mutamento del rito di più risalente applicazione sono contenute negli</w:t>
      </w:r>
      <w:r w:rsidR="00A24303">
        <w:t xml:space="preserve"> </w:t>
      </w:r>
      <w:r w:rsidR="00F90E27">
        <w:t>art</w:t>
      </w:r>
      <w:r w:rsidR="00A24303">
        <w:t>t</w:t>
      </w:r>
      <w:r w:rsidR="00F90E27">
        <w:t xml:space="preserve">. 426 </w:t>
      </w:r>
      <w:r w:rsidR="00A24303">
        <w:t xml:space="preserve">e 427 </w:t>
      </w:r>
      <w:r w:rsidR="00F90E27">
        <w:t>c.p.c.</w:t>
      </w:r>
      <w:r>
        <w:t>, che</w:t>
      </w:r>
      <w:r w:rsidR="00F90E27">
        <w:t xml:space="preserve"> </w:t>
      </w:r>
      <w:r w:rsidR="009C375A">
        <w:t>dettano le modalità per</w:t>
      </w:r>
      <w:r w:rsidR="00F90E27">
        <w:t xml:space="preserve"> </w:t>
      </w:r>
      <w:r w:rsidR="009C375A">
        <w:t>i</w:t>
      </w:r>
      <w:r w:rsidR="00F90E27">
        <w:t>l passaggio dal rito ordinario a quello del lavoro e viceversa</w:t>
      </w:r>
      <w:r>
        <w:t xml:space="preserve">. Le due disposizioni escludono </w:t>
      </w:r>
      <w:r w:rsidR="009C375A">
        <w:t xml:space="preserve">anzitutto </w:t>
      </w:r>
      <w:r>
        <w:t xml:space="preserve">implicitamente che il processo debba chiudersi </w:t>
      </w:r>
      <w:r w:rsidR="009C375A">
        <w:t>senza decisione nel merito</w:t>
      </w:r>
      <w:r>
        <w:t xml:space="preserve"> per il solo fatto di essere </w:t>
      </w:r>
      <w:r w:rsidR="006D699F">
        <w:t xml:space="preserve">stato </w:t>
      </w:r>
      <w:r>
        <w:t xml:space="preserve">iniziato </w:t>
      </w:r>
      <w:r w:rsidR="009C375A">
        <w:t>secondo un rito errato</w:t>
      </w:r>
      <w:r w:rsidR="0041237F">
        <w:t>, ossia che l’esattezza del rito costituisca un presupposto processuale</w:t>
      </w:r>
      <w:r w:rsidR="00B10247">
        <w:rPr>
          <w:rStyle w:val="Rimandonotaapidipagina"/>
        </w:rPr>
        <w:footnoteReference w:id="8"/>
      </w:r>
      <w:r w:rsidR="0041237F">
        <w:t>.</w:t>
      </w:r>
      <w:r w:rsidR="009C375A">
        <w:t xml:space="preserve"> </w:t>
      </w:r>
      <w:r w:rsidR="0041237F">
        <w:t xml:space="preserve">Quest’ultima </w:t>
      </w:r>
      <w:r w:rsidR="009C375A">
        <w:t>soluzione</w:t>
      </w:r>
      <w:r w:rsidR="0041237F">
        <w:t>,</w:t>
      </w:r>
      <w:r w:rsidR="009C375A">
        <w:t xml:space="preserve"> peraltro</w:t>
      </w:r>
      <w:r w:rsidR="0041237F">
        <w:t>,</w:t>
      </w:r>
      <w:r w:rsidR="009C375A">
        <w:t xml:space="preserve"> risulterebbe in forte contrasto con il principio di economia processuale.</w:t>
      </w:r>
    </w:p>
    <w:p w:rsidR="00746DB4" w:rsidRDefault="00746DB4" w:rsidP="009E4AF0">
      <w:pPr>
        <w:spacing w:after="0" w:line="240" w:lineRule="auto"/>
        <w:jc w:val="both"/>
      </w:pPr>
      <w:r>
        <w:t xml:space="preserve">L’art. 426 c.p.c. afferma che, se una causa promossa nelle forme ordinarie riguarda uno dei rapporti di cui all’art. 409, c.p.c., il giudice deve fissare un termine perentorio per integrare gli atti introduttivi mediante il deposito di una memoria e di eventuali documenti. </w:t>
      </w:r>
      <w:r w:rsidR="00F10F1B">
        <w:t>In questo modo il regime delle preclusioni, più elastico nel rito ordinario, viene ad allinearsi con quello proprio del rito del lavoro</w:t>
      </w:r>
      <w:r w:rsidR="00F10F1B">
        <w:rPr>
          <w:rStyle w:val="Rimandonotaapidipagina"/>
        </w:rPr>
        <w:footnoteReference w:id="9"/>
      </w:r>
      <w:r w:rsidR="00F10F1B">
        <w:t>.</w:t>
      </w:r>
    </w:p>
    <w:p w:rsidR="00290416" w:rsidRDefault="00E6784F" w:rsidP="009E4AF0">
      <w:pPr>
        <w:spacing w:after="0" w:line="240" w:lineRule="auto"/>
        <w:jc w:val="both"/>
      </w:pPr>
      <w:r>
        <w:t xml:space="preserve">La </w:t>
      </w:r>
      <w:r w:rsidR="00B64932">
        <w:t>previsione</w:t>
      </w:r>
      <w:r>
        <w:t xml:space="preserve"> consente di trarre un’importante conclusione: </w:t>
      </w:r>
      <w:r w:rsidR="0011610F">
        <w:t>se</w:t>
      </w:r>
      <w:r>
        <w:t xml:space="preserve"> un processo è iniziato per errore con il rito ordinario,</w:t>
      </w:r>
      <w:r w:rsidR="0011610F">
        <w:t xml:space="preserve"> vanno applicate</w:t>
      </w:r>
      <w:r>
        <w:t xml:space="preserve"> le regole proprie </w:t>
      </w:r>
      <w:r w:rsidR="00F23C25">
        <w:t>di quest’ultimo</w:t>
      </w:r>
      <w:r>
        <w:t xml:space="preserve"> </w:t>
      </w:r>
      <w:r w:rsidR="0011610F">
        <w:t xml:space="preserve">sino a che </w:t>
      </w:r>
      <w:r w:rsidR="00863F39">
        <w:t xml:space="preserve">il giudice non ne decide </w:t>
      </w:r>
      <w:r w:rsidR="0011610F">
        <w:t>il mutamento</w:t>
      </w:r>
      <w:r w:rsidR="00F23C25">
        <w:t>.</w:t>
      </w:r>
      <w:r>
        <w:t xml:space="preserve"> </w:t>
      </w:r>
      <w:r w:rsidR="00F23C25">
        <w:t>N</w:t>
      </w:r>
      <w:r>
        <w:t xml:space="preserve">on si verifica </w:t>
      </w:r>
      <w:r w:rsidR="0011610F">
        <w:t xml:space="preserve">quindi </w:t>
      </w:r>
      <w:r w:rsidR="00A55419">
        <w:t>alcuna</w:t>
      </w:r>
      <w:r w:rsidR="00157B40">
        <w:t xml:space="preserve"> </w:t>
      </w:r>
      <w:r w:rsidR="00A55419">
        <w:t xml:space="preserve">forma di </w:t>
      </w:r>
      <w:r>
        <w:t xml:space="preserve">conversione degli atti compiuti </w:t>
      </w:r>
      <w:r w:rsidR="0011610F">
        <w:t>nei corrispettivi atti propri</w:t>
      </w:r>
      <w:r>
        <w:t xml:space="preserve"> del rito del lavoro</w:t>
      </w:r>
      <w:r w:rsidR="00F23C25">
        <w:t>,</w:t>
      </w:r>
      <w:r w:rsidR="00E5149E">
        <w:t xml:space="preserve"> </w:t>
      </w:r>
      <w:r w:rsidR="00B64932">
        <w:t>n</w:t>
      </w:r>
      <w:r w:rsidR="00E5149E">
        <w:t>é</w:t>
      </w:r>
      <w:r w:rsidR="00B64932">
        <w:t xml:space="preserve"> si applicano</w:t>
      </w:r>
      <w:r w:rsidR="003F5220">
        <w:t>, prima del mutamento,</w:t>
      </w:r>
      <w:r w:rsidR="00B64932">
        <w:t xml:space="preserve"> regole</w:t>
      </w:r>
      <w:r w:rsidR="003F5220">
        <w:t xml:space="preserve"> dettate per la</w:t>
      </w:r>
      <w:r w:rsidR="00B64932">
        <w:t xml:space="preserve"> fase introduttiva del </w:t>
      </w:r>
      <w:r w:rsidR="00F23C25">
        <w:t>processo</w:t>
      </w:r>
      <w:r w:rsidR="00B64932">
        <w:t xml:space="preserve"> del lavoro</w:t>
      </w:r>
      <w:r w:rsidR="00290416">
        <w:rPr>
          <w:rStyle w:val="Rimandonotaapidipagina"/>
        </w:rPr>
        <w:footnoteReference w:id="10"/>
      </w:r>
      <w:r w:rsidR="003F5220">
        <w:t>. Se così fosse</w:t>
      </w:r>
      <w:r>
        <w:t>, non vi sarebbe ragione di imporre la fissazion</w:t>
      </w:r>
      <w:r w:rsidR="00FE192D">
        <w:t>e del termine appena menzionato</w:t>
      </w:r>
      <w:r>
        <w:t xml:space="preserve"> in quanto le preclusioni, anche istruttorie, </w:t>
      </w:r>
      <w:r w:rsidR="006D699F">
        <w:t>sarebbero maturate</w:t>
      </w:r>
      <w:r w:rsidR="00977B0D">
        <w:t xml:space="preserve"> sin dal</w:t>
      </w:r>
      <w:r>
        <w:t xml:space="preserve"> </w:t>
      </w:r>
      <w:r w:rsidR="00977B0D">
        <w:t>deposito</w:t>
      </w:r>
      <w:r>
        <w:t xml:space="preserve"> </w:t>
      </w:r>
      <w:r w:rsidR="00977B0D">
        <w:t>de</w:t>
      </w:r>
      <w:r>
        <w:t>gli atti introduttivi.</w:t>
      </w:r>
    </w:p>
    <w:p w:rsidR="003C48AD" w:rsidRDefault="00E5149E" w:rsidP="009E4AF0">
      <w:pPr>
        <w:spacing w:after="0" w:line="240" w:lineRule="auto"/>
        <w:jc w:val="both"/>
      </w:pPr>
      <w:r>
        <w:t xml:space="preserve">La giurisprudenza ha </w:t>
      </w:r>
      <w:r w:rsidR="00202991">
        <w:t>inol</w:t>
      </w:r>
      <w:r w:rsidR="00977B0D">
        <w:t>tre più volte affermato che</w:t>
      </w:r>
      <w:r w:rsidR="00863F39">
        <w:t>, quand’anche il processo si sia svolto secondo un rito errato,</w:t>
      </w:r>
      <w:r w:rsidR="003C48AD">
        <w:t xml:space="preserve"> l’impugnazione del</w:t>
      </w:r>
      <w:r w:rsidR="00863F39">
        <w:t xml:space="preserve">la sentenza </w:t>
      </w:r>
      <w:r w:rsidR="003C48AD">
        <w:t>deve avvenire con</w:t>
      </w:r>
      <w:r w:rsidR="00863F39">
        <w:t xml:space="preserve"> le forme previste per il rito seguito sino a quel momento</w:t>
      </w:r>
      <w:r w:rsidR="00202991">
        <w:rPr>
          <w:rStyle w:val="Rimandonotaapidipagina"/>
        </w:rPr>
        <w:footnoteReference w:id="11"/>
      </w:r>
      <w:r w:rsidR="00D76994">
        <w:t>; sarà in seguito il giudice dell’impugnazione, ove occorra, a dispor</w:t>
      </w:r>
      <w:r w:rsidR="00863F39">
        <w:t>n</w:t>
      </w:r>
      <w:r w:rsidR="00D76994">
        <w:t>e il mutamento</w:t>
      </w:r>
      <w:r w:rsidR="00202991">
        <w:t xml:space="preserve"> (c.d.</w:t>
      </w:r>
      <w:r w:rsidR="00D76994">
        <w:t xml:space="preserve"> regola </w:t>
      </w:r>
      <w:r w:rsidR="00D76994">
        <w:lastRenderedPageBreak/>
        <w:t>dell’</w:t>
      </w:r>
      <w:r w:rsidR="00202991">
        <w:t>ultrattività del rito</w:t>
      </w:r>
      <w:r w:rsidR="00901791">
        <w:t>, peraltro fonte essa stessa di</w:t>
      </w:r>
      <w:r w:rsidR="00202991">
        <w:t xml:space="preserve"> </w:t>
      </w:r>
      <w:r w:rsidR="003C48AD">
        <w:t>errori nella scelta della forma dell’atto da impiegare per introdu</w:t>
      </w:r>
      <w:r w:rsidR="00901791">
        <w:t>rre il giudizio di impugnazione</w:t>
      </w:r>
      <w:r w:rsidR="003C48AD">
        <w:t>).</w:t>
      </w:r>
    </w:p>
    <w:p w:rsidR="00D9272A" w:rsidRDefault="00900431" w:rsidP="009E4AF0">
      <w:pPr>
        <w:spacing w:after="0" w:line="240" w:lineRule="auto"/>
        <w:jc w:val="both"/>
      </w:pPr>
      <w:r>
        <w:t xml:space="preserve">L’art. 427 c.p.c., a proposito del passaggio dal rito del lavoro a quello ordinario, </w:t>
      </w:r>
      <w:r w:rsidR="00863F39">
        <w:t xml:space="preserve">si limita </w:t>
      </w:r>
      <w:r w:rsidR="003C48AD">
        <w:t xml:space="preserve">invece </w:t>
      </w:r>
      <w:r>
        <w:t>a prevedere che il giudice disponga la regolarizzazione degli atti con le disposizioni tributarie</w:t>
      </w:r>
      <w:r w:rsidR="0041237F">
        <w:t>, salvo il cas</w:t>
      </w:r>
      <w:r w:rsidR="0017560F">
        <w:t>o in cui, alla luce del</w:t>
      </w:r>
      <w:r w:rsidR="008C2C1D">
        <w:t>le norme proprie del</w:t>
      </w:r>
      <w:r w:rsidR="0017560F">
        <w:t xml:space="preserve"> rito corretto, debba dichiararsi incompetente. Quanto alle preclusioni, esse</w:t>
      </w:r>
      <w:r w:rsidR="006A5A2C">
        <w:t>,</w:t>
      </w:r>
      <w:r w:rsidR="0017560F">
        <w:t xml:space="preserve"> </w:t>
      </w:r>
      <w:r w:rsidR="00D9272A">
        <w:t>secondo l’opinione prevalente</w:t>
      </w:r>
      <w:r w:rsidR="006A5A2C">
        <w:t>,</w:t>
      </w:r>
      <w:r w:rsidR="00D9272A">
        <w:t xml:space="preserve"> </w:t>
      </w:r>
      <w:r w:rsidR="00DA6DD5">
        <w:t>vengono meno nella misura in cui non sarebbero ancora maturate qualora la causa si fosse svolta sin dall’origine secondo il rito ordinario</w:t>
      </w:r>
      <w:r w:rsidR="006A5A2C">
        <w:rPr>
          <w:rStyle w:val="Rimandonotaapidipagina"/>
        </w:rPr>
        <w:footnoteReference w:id="12"/>
      </w:r>
      <w:r w:rsidR="00D9272A">
        <w:t>.</w:t>
      </w:r>
      <w:r w:rsidR="000D1AE0">
        <w:t xml:space="preserve"> Questa soluzione tuttavia non </w:t>
      </w:r>
      <w:r w:rsidR="006A5A2C">
        <w:t>discende</w:t>
      </w:r>
      <w:r w:rsidR="000D1AE0">
        <w:t xml:space="preserve"> da</w:t>
      </w:r>
      <w:r w:rsidR="006A5A2C">
        <w:t>lla necessità di operare</w:t>
      </w:r>
      <w:r w:rsidR="000D1AE0">
        <w:t xml:space="preserve"> una qualche forma di conversione degli atti introduttivi nei loro omologhi ordinari</w:t>
      </w:r>
      <w:r w:rsidR="0017560F">
        <w:t xml:space="preserve"> o </w:t>
      </w:r>
      <w:r w:rsidR="006A5A2C">
        <w:t xml:space="preserve">di </w:t>
      </w:r>
      <w:r w:rsidR="0017560F">
        <w:t>applica</w:t>
      </w:r>
      <w:r w:rsidR="006A5A2C">
        <w:t>r</w:t>
      </w:r>
      <w:r w:rsidR="0017560F">
        <w:t>e norme proprie del rito ordinario ad un processo svoltosi, sino a quel momento, secondo il rito del lavoro</w:t>
      </w:r>
      <w:r w:rsidR="000D1AE0">
        <w:t xml:space="preserve">, </w:t>
      </w:r>
      <w:r w:rsidR="0017560F">
        <w:t>bensì</w:t>
      </w:r>
      <w:r w:rsidR="000D1AE0">
        <w:t xml:space="preserve"> dalla necessità di evitare che le parti, in conseguenza dell’adozione del rito errato, incorrano in un pregiudizio alle loro facoltà difensive.</w:t>
      </w:r>
    </w:p>
    <w:p w:rsidR="00157B40" w:rsidRDefault="00157B40" w:rsidP="009E4AF0">
      <w:pPr>
        <w:spacing w:after="0" w:line="240" w:lineRule="auto"/>
        <w:jc w:val="both"/>
      </w:pPr>
      <w:r>
        <w:t>L’errore commesso dall’attore nell’individuare il rito appl</w:t>
      </w:r>
      <w:r w:rsidR="00B21071">
        <w:t>icabile, con ripercussioni sul modello formale</w:t>
      </w:r>
      <w:r>
        <w:t xml:space="preserve"> </w:t>
      </w:r>
      <w:r w:rsidR="00B21071">
        <w:t xml:space="preserve">prescelto per </w:t>
      </w:r>
      <w:r>
        <w:t>l’atto introduttivo, è dunque corretto dal giudice senza che ciò comporti significativi pregiudizi per l’attore stesso, salvaguardando il diritto delle parti di difendersi</w:t>
      </w:r>
      <w:r w:rsidR="001976F7">
        <w:t xml:space="preserve"> e l’esigenza che il processo giunga ad una decisione sul merito.</w:t>
      </w:r>
    </w:p>
    <w:p w:rsidR="00202991" w:rsidRDefault="00CF4A6A" w:rsidP="009E4AF0">
      <w:pPr>
        <w:spacing w:after="0" w:line="240" w:lineRule="auto"/>
        <w:jc w:val="both"/>
      </w:pPr>
      <w:r w:rsidRPr="004435E1">
        <w:t>La disciplina contenuta neg</w:t>
      </w:r>
      <w:r w:rsidR="00CA4834" w:rsidRPr="004435E1">
        <w:t>li artt. 426 e 427 c.p.c.</w:t>
      </w:r>
      <w:r w:rsidRPr="004435E1">
        <w:t xml:space="preserve"> è in seguito divenuta</w:t>
      </w:r>
      <w:r w:rsidR="00B41320">
        <w:t xml:space="preserve"> applicabile anche ad altre ipotesi nelle quali</w:t>
      </w:r>
      <w:r w:rsidR="00E85302" w:rsidRPr="004435E1">
        <w:t xml:space="preserve"> </w:t>
      </w:r>
      <w:r w:rsidR="00B41320">
        <w:t>va disposto il passaggio dal</w:t>
      </w:r>
      <w:r w:rsidR="00E85302" w:rsidRPr="004435E1">
        <w:t xml:space="preserve"> rito ordinario </w:t>
      </w:r>
      <w:r w:rsidR="00B41320">
        <w:t>ad un</w:t>
      </w:r>
      <w:r w:rsidR="00E85302" w:rsidRPr="004435E1">
        <w:t xml:space="preserve"> rito speciale o </w:t>
      </w:r>
      <w:r w:rsidR="00B41320">
        <w:t>tra</w:t>
      </w:r>
      <w:r w:rsidR="00E85302" w:rsidRPr="004435E1">
        <w:t xml:space="preserve"> riti speciali diversi</w:t>
      </w:r>
      <w:r w:rsidR="00195B28" w:rsidRPr="004435E1">
        <w:rPr>
          <w:rStyle w:val="Rimandonotaapidipagina"/>
        </w:rPr>
        <w:footnoteReference w:id="13"/>
      </w:r>
      <w:r w:rsidR="00E85302" w:rsidRPr="004435E1">
        <w:t xml:space="preserve">. </w:t>
      </w:r>
      <w:r w:rsidRPr="004435E1">
        <w:t xml:space="preserve">La l. 26 novembre 1990, n. 353 ha infatti </w:t>
      </w:r>
      <w:r w:rsidR="00C510A9">
        <w:t>aggiunto</w:t>
      </w:r>
      <w:r w:rsidRPr="004435E1">
        <w:t xml:space="preserve"> all’art. 40 c.p.c. </w:t>
      </w:r>
      <w:r w:rsidR="005A1768" w:rsidRPr="004435E1">
        <w:t>due</w:t>
      </w:r>
      <w:r w:rsidRPr="004435E1">
        <w:t xml:space="preserve"> commi </w:t>
      </w:r>
      <w:r w:rsidR="005A1768" w:rsidRPr="004435E1">
        <w:t xml:space="preserve">(3° e 4°) </w:t>
      </w:r>
      <w:r w:rsidRPr="004435E1">
        <w:t>che individuano il rito applicabile alle cause connesse e</w:t>
      </w:r>
      <w:r w:rsidR="005A1768" w:rsidRPr="004435E1">
        <w:t>d uno (il 5°) che</w:t>
      </w:r>
      <w:r w:rsidRPr="004435E1">
        <w:t xml:space="preserve"> rinvia ai due articoli appena citati per il caso in cui </w:t>
      </w:r>
      <w:r w:rsidR="00FE192D">
        <w:t>il giudice debba provvedere al mutamento di rito</w:t>
      </w:r>
      <w:r w:rsidR="005A1768" w:rsidRPr="004435E1">
        <w:t>.</w:t>
      </w:r>
    </w:p>
    <w:p w:rsidR="00A60ABB" w:rsidRDefault="00E85302" w:rsidP="009E4AF0">
      <w:pPr>
        <w:spacing w:after="0" w:line="240" w:lineRule="auto"/>
        <w:jc w:val="both"/>
      </w:pPr>
      <w:r>
        <w:t xml:space="preserve">Una norma in tema di mutamento del rito è </w:t>
      </w:r>
      <w:r w:rsidR="00C510A9">
        <w:t>contemplata anche</w:t>
      </w:r>
      <w:r>
        <w:t xml:space="preserve"> nel </w:t>
      </w:r>
      <w:r w:rsidR="002D3720">
        <w:t>procedimento</w:t>
      </w:r>
      <w:r>
        <w:t xml:space="preserve"> sommario di cognizione</w:t>
      </w:r>
      <w:r w:rsidR="00C510A9">
        <w:t>, introdotto dalla l. 18 giugno 2009, n. 69</w:t>
      </w:r>
      <w:r w:rsidR="002D3720">
        <w:t>: l’art.</w:t>
      </w:r>
      <w:r>
        <w:t xml:space="preserve"> </w:t>
      </w:r>
      <w:r w:rsidR="00A60ABB">
        <w:t>702</w:t>
      </w:r>
      <w:r w:rsidR="008664D9">
        <w:t>-</w:t>
      </w:r>
      <w:r w:rsidR="00A60ABB" w:rsidRPr="008664D9">
        <w:rPr>
          <w:i/>
        </w:rPr>
        <w:t>ter</w:t>
      </w:r>
      <w:r w:rsidR="002D3720">
        <w:t xml:space="preserve">, comma 3°, c.p.c. prevede che, qualora la causa non possa essere istruita sommariamente, il giudice fissi l’udienza di cui all’art. 183 c.p.c. ed “in tal caso si applicano le disposizioni del libro II”. Il processo dunque prosegue </w:t>
      </w:r>
      <w:r w:rsidR="0038655B">
        <w:t xml:space="preserve">con le forme ordinarie </w:t>
      </w:r>
      <w:r w:rsidR="002D3720">
        <w:t xml:space="preserve">senza necessità di convertire l’atto introduttivo – che </w:t>
      </w:r>
      <w:r w:rsidR="0038655B">
        <w:t xml:space="preserve">nel procedimento sommario </w:t>
      </w:r>
      <w:r w:rsidR="002D3720">
        <w:t>riveste le forme del ricorso – in citazione</w:t>
      </w:r>
      <w:r w:rsidR="0061258F">
        <w:rPr>
          <w:rStyle w:val="Rimandonotaapidipagina"/>
        </w:rPr>
        <w:footnoteReference w:id="14"/>
      </w:r>
      <w:r w:rsidR="002D3720">
        <w:t>.</w:t>
      </w:r>
    </w:p>
    <w:p w:rsidR="0073374B" w:rsidRDefault="00A60ABB" w:rsidP="009E4AF0">
      <w:pPr>
        <w:spacing w:after="0" w:line="240" w:lineRule="auto"/>
        <w:jc w:val="both"/>
      </w:pPr>
      <w:r>
        <w:t>Da ultimo</w:t>
      </w:r>
      <w:r w:rsidR="00195B28">
        <w:t>,</w:t>
      </w:r>
      <w:r>
        <w:t xml:space="preserve"> all’art. 4 del d. lgs. 1 settembre 2011, n. 150</w:t>
      </w:r>
      <w:r w:rsidR="006D699F">
        <w:t>,</w:t>
      </w:r>
      <w:r w:rsidR="001449AA">
        <w:t xml:space="preserve"> </w:t>
      </w:r>
      <w:r w:rsidR="00C33E7D">
        <w:t xml:space="preserve">è stata dettata </w:t>
      </w:r>
      <w:r w:rsidR="0038655B">
        <w:t>una</w:t>
      </w:r>
      <w:r w:rsidR="00C33E7D">
        <w:t xml:space="preserve"> disciplina</w:t>
      </w:r>
      <w:r w:rsidR="0038655B">
        <w:t xml:space="preserve"> uniforme</w:t>
      </w:r>
      <w:r w:rsidR="00C33E7D">
        <w:t xml:space="preserve"> del mutamento di rito</w:t>
      </w:r>
      <w:r w:rsidR="0038655B">
        <w:t>,</w:t>
      </w:r>
      <w:r w:rsidR="00C33E7D">
        <w:t xml:space="preserve"> da adottare ogni qual volta una controversia assoggettata ad un rito </w:t>
      </w:r>
      <w:r w:rsidR="001449AA">
        <w:t xml:space="preserve">“semplificato”, ossia </w:t>
      </w:r>
      <w:r w:rsidR="00C33E7D">
        <w:t>regolato</w:t>
      </w:r>
      <w:r w:rsidR="001449AA">
        <w:t xml:space="preserve"> dal medesimo decreto</w:t>
      </w:r>
      <w:r w:rsidR="00C33E7D">
        <w:t>, sia introdotta con un rito errato</w:t>
      </w:r>
      <w:r w:rsidR="00C33E7D">
        <w:rPr>
          <w:rStyle w:val="Rimandonotaapidipagina"/>
        </w:rPr>
        <w:footnoteReference w:id="15"/>
      </w:r>
      <w:r w:rsidR="001449AA">
        <w:t>.</w:t>
      </w:r>
      <w:r w:rsidR="00C33E7D">
        <w:t xml:space="preserve"> </w:t>
      </w:r>
      <w:r w:rsidR="00AF6A3E">
        <w:t xml:space="preserve">La </w:t>
      </w:r>
      <w:r w:rsidR="001449AA">
        <w:t>norma</w:t>
      </w:r>
      <w:r w:rsidR="005B118E">
        <w:t xml:space="preserve"> </w:t>
      </w:r>
      <w:r w:rsidR="001449AA">
        <w:t>presenta</w:t>
      </w:r>
      <w:r>
        <w:t xml:space="preserve"> alcune differenze di non poco momento</w:t>
      </w:r>
      <w:r w:rsidR="001449AA">
        <w:t xml:space="preserve"> rispetto a quanto previsto dalle disposizioni viste sinora</w:t>
      </w:r>
      <w:r>
        <w:t xml:space="preserve">: si </w:t>
      </w:r>
      <w:r w:rsidR="00C82A8C">
        <w:t>prevede</w:t>
      </w:r>
      <w:r>
        <w:t xml:space="preserve"> </w:t>
      </w:r>
      <w:r w:rsidR="00C33E7D">
        <w:lastRenderedPageBreak/>
        <w:t xml:space="preserve">anzitutto </w:t>
      </w:r>
      <w:r>
        <w:t xml:space="preserve">che il rilievo dell’erroneità del rito non possa avvenire oltre la prima udienza, segno </w:t>
      </w:r>
      <w:r w:rsidR="00DA0B5F">
        <w:t>di come, nella disciplina più recente</w:t>
      </w:r>
      <w:r w:rsidR="0038655B">
        <w:t xml:space="preserve">, il legislatore ritenga i tre </w:t>
      </w:r>
      <w:r w:rsidR="00DA0B5F">
        <w:t>grandi modelli procedimentali, il rito ordinario, quello del lavoro e quello sommario</w:t>
      </w:r>
      <w:r w:rsidR="001449AA">
        <w:t xml:space="preserve"> (due dei quali introdotti con ricorso ed uno con citazione)</w:t>
      </w:r>
      <w:r w:rsidR="00DA0B5F">
        <w:t>, sostanzialmente equivalenti.</w:t>
      </w:r>
    </w:p>
    <w:p w:rsidR="00A1153C" w:rsidRDefault="001449AA" w:rsidP="009E4AF0">
      <w:pPr>
        <w:spacing w:after="0" w:line="240" w:lineRule="auto"/>
        <w:jc w:val="both"/>
      </w:pPr>
      <w:r>
        <w:t xml:space="preserve">L’art. 4, comma 5°, del </w:t>
      </w:r>
      <w:r w:rsidR="0073374B">
        <w:t xml:space="preserve">d.lgs. </w:t>
      </w:r>
      <w:r w:rsidR="008664D9">
        <w:t xml:space="preserve">n. </w:t>
      </w:r>
      <w:r w:rsidR="0073374B">
        <w:t>150</w:t>
      </w:r>
      <w:r w:rsidR="008664D9">
        <w:t xml:space="preserve"> del </w:t>
      </w:r>
      <w:r w:rsidR="0073374B">
        <w:t>2011</w:t>
      </w:r>
      <w:r>
        <w:t xml:space="preserve"> </w:t>
      </w:r>
      <w:r w:rsidR="00DA0B5F">
        <w:t xml:space="preserve">mantiene </w:t>
      </w:r>
      <w:r>
        <w:t xml:space="preserve">inoltre </w:t>
      </w:r>
      <w:r w:rsidR="00DA0B5F">
        <w:t xml:space="preserve">fermi sia gli effetti processuali e sostanziali della domanda prodottisi secondo il rito seguito prima del mutamento, sia le preclusioni maturate in base ad </w:t>
      </w:r>
      <w:r w:rsidR="00DA0B5F" w:rsidRPr="005B118E">
        <w:t>esso. La</w:t>
      </w:r>
      <w:r w:rsidR="005B118E" w:rsidRPr="005B118E">
        <w:t xml:space="preserve"> seconda previsione è decisamente innovativa</w:t>
      </w:r>
      <w:r w:rsidR="00A1153C">
        <w:t>. L</w:t>
      </w:r>
      <w:r w:rsidR="005B118E" w:rsidRPr="005B118E">
        <w:t>a prima</w:t>
      </w:r>
      <w:r w:rsidR="00A1153C">
        <w:t xml:space="preserve"> invece</w:t>
      </w:r>
      <w:r w:rsidR="00984B65">
        <w:t xml:space="preserve"> </w:t>
      </w:r>
      <w:r w:rsidR="005B118E" w:rsidRPr="005B118E">
        <w:t xml:space="preserve">è sostanzialmente in linea con </w:t>
      </w:r>
      <w:r w:rsidR="005B118E">
        <w:t>i risultati raggiunti nell’interpretazione degli artt. 426 e 427 c.p.c. di cui abbiamo dato conto poc’anzi</w:t>
      </w:r>
      <w:r w:rsidR="00A1153C">
        <w:t xml:space="preserve">, </w:t>
      </w:r>
      <w:r w:rsidR="00984B65">
        <w:t xml:space="preserve">ma </w:t>
      </w:r>
      <w:r w:rsidR="00A1153C">
        <w:t>trova espressamente applicazione anche in taluni giudizi di opposizione a decreto ingiuntivo (in particolare quelli in materia di compenso dovuto all’</w:t>
      </w:r>
      <w:r w:rsidR="00984B65">
        <w:t>avvocato per le prestazioni giudiziali</w:t>
      </w:r>
      <w:r w:rsidR="0087167B">
        <w:t xml:space="preserve"> civili</w:t>
      </w:r>
      <w:r w:rsidR="00984B65">
        <w:t xml:space="preserve">) </w:t>
      </w:r>
      <w:r w:rsidR="0093430B">
        <w:t>ne</w:t>
      </w:r>
      <w:r w:rsidR="00984B65">
        <w:t>i qual</w:t>
      </w:r>
      <w:r w:rsidR="00524D11">
        <w:t>i, come vedremo meglio nel prossimo paragrafo</w:t>
      </w:r>
      <w:r w:rsidR="00984B65">
        <w:t xml:space="preserve">, la possibilità di </w:t>
      </w:r>
      <w:r w:rsidR="0038655B">
        <w:t>configurare</w:t>
      </w:r>
      <w:r w:rsidR="00195B28">
        <w:t xml:space="preserve"> </w:t>
      </w:r>
      <w:r w:rsidR="0038655B">
        <w:t>l’</w:t>
      </w:r>
      <w:r w:rsidR="00984B65">
        <w:t>errore</w:t>
      </w:r>
      <w:r w:rsidR="0038655B">
        <w:t xml:space="preserve"> commesso dall’attore come errore di rito, con conseguente applicazione delle norme</w:t>
      </w:r>
      <w:r w:rsidR="00984B65">
        <w:t xml:space="preserve"> </w:t>
      </w:r>
      <w:r w:rsidR="00284528">
        <w:t>che</w:t>
      </w:r>
      <w:r w:rsidR="0038655B">
        <w:t xml:space="preserve"> ne regolano il mutamento, è generalmente esclusa dalla giurisprudenza</w:t>
      </w:r>
      <w:r w:rsidR="00984B65">
        <w:t>.</w:t>
      </w:r>
    </w:p>
    <w:p w:rsidR="00F01D3B" w:rsidRDefault="00F01D3B" w:rsidP="009E4AF0">
      <w:pPr>
        <w:spacing w:after="0" w:line="240" w:lineRule="auto"/>
        <w:jc w:val="both"/>
      </w:pPr>
    </w:p>
    <w:p w:rsidR="00F01D3B" w:rsidRDefault="00F01D3B" w:rsidP="009E4AF0">
      <w:pPr>
        <w:spacing w:after="0" w:line="240" w:lineRule="auto"/>
        <w:jc w:val="both"/>
      </w:pPr>
    </w:p>
    <w:p w:rsidR="007739A5" w:rsidRDefault="00233CD2" w:rsidP="009E4AF0">
      <w:pPr>
        <w:spacing w:after="0" w:line="240" w:lineRule="auto"/>
        <w:jc w:val="both"/>
      </w:pPr>
      <w:r w:rsidRPr="0093430B">
        <w:t xml:space="preserve">3. – </w:t>
      </w:r>
      <w:r w:rsidR="0093430B">
        <w:t>Vi sono</w:t>
      </w:r>
      <w:r w:rsidR="007739A5">
        <w:t xml:space="preserve"> ipotesi</w:t>
      </w:r>
      <w:r w:rsidR="0093430B">
        <w:t xml:space="preserve"> nelle quali</w:t>
      </w:r>
      <w:r w:rsidR="007739A5">
        <w:t xml:space="preserve"> la</w:t>
      </w:r>
      <w:r w:rsidR="0093430B">
        <w:t xml:space="preserve"> prevalente</w:t>
      </w:r>
      <w:r w:rsidR="007739A5">
        <w:t xml:space="preserve"> giurisprudenza</w:t>
      </w:r>
      <w:r w:rsidR="00D66BE3">
        <w:t xml:space="preserve"> e parte della dottrina</w:t>
      </w:r>
      <w:r w:rsidR="00D66BE3">
        <w:rPr>
          <w:rStyle w:val="Rimandonotaapidipagina"/>
        </w:rPr>
        <w:footnoteReference w:id="16"/>
      </w:r>
      <w:r w:rsidR="0093430B">
        <w:t xml:space="preserve"> reputa</w:t>
      </w:r>
      <w:r w:rsidR="00D66BE3">
        <w:t>no</w:t>
      </w:r>
      <w:r w:rsidR="005009E7">
        <w:t xml:space="preserve"> </w:t>
      </w:r>
      <w:r w:rsidR="0093430B">
        <w:t>im</w:t>
      </w:r>
      <w:r w:rsidR="005009E7">
        <w:t>possibile</w:t>
      </w:r>
      <w:r w:rsidR="0093430B">
        <w:t xml:space="preserve"> ricondurre l’errore nella scelta del modello formale di atto introduttivo ad un più generale fraintendimento in ordine al rito applicabile</w:t>
      </w:r>
      <w:r w:rsidR="00D80D01">
        <w:t xml:space="preserve"> e fare conseguentemente applicazione della disciplina esaminata nel precedente paragrafo</w:t>
      </w:r>
      <w:r w:rsidR="007739A5">
        <w:t xml:space="preserve">. Ciò accade </w:t>
      </w:r>
      <w:r w:rsidR="00E407FF">
        <w:t>perlopiù</w:t>
      </w:r>
      <w:r w:rsidR="007739A5">
        <w:t xml:space="preserve"> in due ambiti: </w:t>
      </w:r>
      <w:r w:rsidR="002751C3">
        <w:t>allorquando l’atto introduce la seconda fase, meramente eventuale, di un procedimento (</w:t>
      </w:r>
      <w:r w:rsidR="006D699F">
        <w:t>è il caso</w:t>
      </w:r>
      <w:r w:rsidR="002751C3">
        <w:t xml:space="preserve"> </w:t>
      </w:r>
      <w:r w:rsidR="006D699F">
        <w:t>del</w:t>
      </w:r>
      <w:r w:rsidR="002751C3">
        <w:t>l’</w:t>
      </w:r>
      <w:r w:rsidR="007739A5">
        <w:t>opposizion</w:t>
      </w:r>
      <w:r w:rsidR="002751C3">
        <w:t>e</w:t>
      </w:r>
      <w:r w:rsidR="007739A5">
        <w:t xml:space="preserve"> a decreto ingiuntivo</w:t>
      </w:r>
      <w:r w:rsidR="002751C3">
        <w:t>)</w:t>
      </w:r>
      <w:r w:rsidR="003855CC">
        <w:t xml:space="preserve"> </w:t>
      </w:r>
      <w:r w:rsidR="00D80D01">
        <w:t>oppure</w:t>
      </w:r>
      <w:r w:rsidR="002751C3">
        <w:t xml:space="preserve"> </w:t>
      </w:r>
      <w:r w:rsidR="00D80D01">
        <w:t>un</w:t>
      </w:r>
      <w:r w:rsidR="002751C3">
        <w:t xml:space="preserve"> giudizi</w:t>
      </w:r>
      <w:r w:rsidR="00D80D01">
        <w:t>o</w:t>
      </w:r>
      <w:r w:rsidR="002751C3">
        <w:t xml:space="preserve"> di impugnazione</w:t>
      </w:r>
      <w:r w:rsidR="003855CC">
        <w:t>.</w:t>
      </w:r>
    </w:p>
    <w:p w:rsidR="003855CC" w:rsidRDefault="00D80D01" w:rsidP="009E4AF0">
      <w:pPr>
        <w:spacing w:after="0" w:line="240" w:lineRule="auto"/>
        <w:jc w:val="both"/>
      </w:pPr>
      <w:r>
        <w:t>Per quanto concerne i</w:t>
      </w:r>
      <w:r w:rsidR="00D66BE3">
        <w:t xml:space="preserve"> giudizi di impugnazione, la</w:t>
      </w:r>
      <w:r w:rsidR="003855CC">
        <w:t xml:space="preserve"> posizione si fonda anzitutto sul dettato dell’art. 439 c.p.c. </w:t>
      </w:r>
      <w:r w:rsidR="00D66BE3">
        <w:t>La</w:t>
      </w:r>
      <w:r w:rsidR="003855CC">
        <w:t xml:space="preserve"> norma</w:t>
      </w:r>
      <w:r w:rsidR="00096A5C">
        <w:t xml:space="preserve"> </w:t>
      </w:r>
      <w:r w:rsidR="00480C8F">
        <w:t>afferma che il giudice d’appello deve provvedere</w:t>
      </w:r>
      <w:r w:rsidR="00096A5C">
        <w:t xml:space="preserve"> ai sensi degli artt. 426 e 427 c.p.c.</w:t>
      </w:r>
      <w:r w:rsidR="00480C8F">
        <w:t xml:space="preserve"> qualora ritenga che il giudizio di primo grado non si </w:t>
      </w:r>
      <w:r w:rsidR="00281C98">
        <w:t>sia</w:t>
      </w:r>
      <w:r w:rsidR="00480C8F">
        <w:t xml:space="preserve"> svolto secondo il rito prescritto. Essa non menziona invece la possibilità di porre rimedio ad un</w:t>
      </w:r>
      <w:r w:rsidR="00E407FF">
        <w:t xml:space="preserve"> errore </w:t>
      </w:r>
      <w:r w:rsidR="00480C8F">
        <w:t xml:space="preserve">di rito </w:t>
      </w:r>
      <w:r w:rsidR="00E407FF">
        <w:t xml:space="preserve">commesso </w:t>
      </w:r>
      <w:r w:rsidR="00096A5C">
        <w:t xml:space="preserve">nell’introdurre il giudizio </w:t>
      </w:r>
      <w:r w:rsidR="00480C8F">
        <w:t>d’appello</w:t>
      </w:r>
      <w:r w:rsidR="00281C98">
        <w:t xml:space="preserve">. Se ne deduce </w:t>
      </w:r>
      <w:r w:rsidR="00D66BE3">
        <w:t>l’inapplicabilità</w:t>
      </w:r>
      <w:r w:rsidR="00281C98">
        <w:t>, a quest’ultimo caso,</w:t>
      </w:r>
      <w:r w:rsidR="00096A5C">
        <w:t xml:space="preserve"> </w:t>
      </w:r>
      <w:r w:rsidR="00480C8F">
        <w:t>della disciplina del mutamento di rito</w:t>
      </w:r>
      <w:r w:rsidR="00D66BE3">
        <w:t>.</w:t>
      </w:r>
    </w:p>
    <w:p w:rsidR="003855CC" w:rsidRDefault="003855CC" w:rsidP="009E4AF0">
      <w:pPr>
        <w:spacing w:after="0" w:line="240" w:lineRule="auto"/>
        <w:jc w:val="both"/>
      </w:pPr>
      <w:r>
        <w:t xml:space="preserve">La conclusione </w:t>
      </w:r>
      <w:r w:rsidR="00281C98">
        <w:t>appare</w:t>
      </w:r>
      <w:r w:rsidR="00E407FF">
        <w:t xml:space="preserve"> </w:t>
      </w:r>
      <w:r>
        <w:t>espr</w:t>
      </w:r>
      <w:r w:rsidR="00281C98">
        <w:t xml:space="preserve">essione di una regola più ampia. Da una lettura sistematica delle norme in tema di mutamento del rito emerge </w:t>
      </w:r>
      <w:r w:rsidR="006D7D13">
        <w:t xml:space="preserve">infatti </w:t>
      </w:r>
      <w:r w:rsidR="00281C98">
        <w:t>come</w:t>
      </w:r>
      <w:r>
        <w:t xml:space="preserve"> </w:t>
      </w:r>
      <w:r w:rsidR="00281C98">
        <w:t xml:space="preserve">la scelta del rito spetti all’attore solo all’inizio del processo; </w:t>
      </w:r>
      <w:r>
        <w:t xml:space="preserve">quando </w:t>
      </w:r>
      <w:r w:rsidR="00281C98">
        <w:t>invece il procedimento è pendente ed</w:t>
      </w:r>
      <w:r>
        <w:t xml:space="preserve"> è già determinato il complesso di norme processuali ad esso applicabili</w:t>
      </w:r>
      <w:r w:rsidR="00DE1B79">
        <w:t xml:space="preserve">, </w:t>
      </w:r>
      <w:r w:rsidR="00281C98">
        <w:t xml:space="preserve">la materia è sottratta alla disponibilità delle parti </w:t>
      </w:r>
      <w:r w:rsidR="00DE1B79">
        <w:t xml:space="preserve">e </w:t>
      </w:r>
      <w:r w:rsidR="00281C98">
        <w:t>solo il giudice</w:t>
      </w:r>
      <w:r w:rsidR="00DE1B79">
        <w:t xml:space="preserve"> dispone del</w:t>
      </w:r>
      <w:r w:rsidR="00281C98">
        <w:t xml:space="preserve"> potere</w:t>
      </w:r>
      <w:r w:rsidR="00DE1B79">
        <w:t xml:space="preserve"> di mutar</w:t>
      </w:r>
      <w:r w:rsidR="00281C98">
        <w:t>e rito.</w:t>
      </w:r>
      <w:r w:rsidR="00CE19F5">
        <w:t xml:space="preserve"> </w:t>
      </w:r>
      <w:r w:rsidR="00281C98">
        <w:t>L</w:t>
      </w:r>
      <w:r w:rsidR="00CE19F5">
        <w:t xml:space="preserve">’adozione di una forma erronea per un atto </w:t>
      </w:r>
      <w:r w:rsidR="006D7D13">
        <w:t>di parte</w:t>
      </w:r>
      <w:r w:rsidR="00CE19F5">
        <w:t xml:space="preserve"> si risolve dunque in una violazione delle norme dettate per </w:t>
      </w:r>
      <w:r w:rsidR="006D7D13">
        <w:t>il</w:t>
      </w:r>
      <w:r w:rsidR="00CE19F5">
        <w:t xml:space="preserve"> rito</w:t>
      </w:r>
      <w:r w:rsidR="006D7D13">
        <w:t xml:space="preserve"> adottato</w:t>
      </w:r>
      <w:r w:rsidR="00CE19F5">
        <w:t xml:space="preserve"> e non può comportare </w:t>
      </w:r>
      <w:r w:rsidR="006D7D13">
        <w:t>il</w:t>
      </w:r>
      <w:r w:rsidR="00CE19F5">
        <w:t xml:space="preserve"> passaggio ad un rito diverso</w:t>
      </w:r>
      <w:r>
        <w:t>.</w:t>
      </w:r>
    </w:p>
    <w:p w:rsidR="00AE1258" w:rsidRDefault="006D7D13" w:rsidP="006D7D13">
      <w:pPr>
        <w:spacing w:after="0" w:line="240" w:lineRule="auto"/>
        <w:jc w:val="both"/>
      </w:pPr>
      <w:r>
        <w:t>Quanto abbiamo appena affermato consente di comprendere perché si escluda la possibilità di applicare le norme su</w:t>
      </w:r>
      <w:r w:rsidR="006D699F">
        <w:t>l mutamento di rito anche all’</w:t>
      </w:r>
      <w:r>
        <w:t>opposizion</w:t>
      </w:r>
      <w:r w:rsidR="006D699F">
        <w:t>e</w:t>
      </w:r>
      <w:r>
        <w:t xml:space="preserve"> a decreto ingiuntivo. L’opposizione è proposta a lite pendente (art. 643 c.p.c.), una lite che,</w:t>
      </w:r>
      <w:r w:rsidR="003273E3">
        <w:t xml:space="preserve"> tuttavia,</w:t>
      </w:r>
      <w:r>
        <w:t xml:space="preserve"> sotto il profilo del rito applicabile, presenta un’insidia: è caratterizzata da una prima fase “neutra”, quella monitoria, nella quale il ricorrente non opta espressamente per uno specifico rito da seguire nell’eventuale giudizio di</w:t>
      </w:r>
      <w:r w:rsidR="00AE1258">
        <w:t xml:space="preserve"> opposizione.</w:t>
      </w:r>
    </w:p>
    <w:p w:rsidR="003273E3" w:rsidRDefault="00507D90" w:rsidP="003273E3">
      <w:pPr>
        <w:spacing w:after="0" w:line="240" w:lineRule="auto"/>
        <w:jc w:val="both"/>
      </w:pPr>
      <w:r>
        <w:t>In tutti i casi appena veduti viene dunque ravvisato unicamente un</w:t>
      </w:r>
      <w:r w:rsidR="003273E3" w:rsidRPr="0093430B">
        <w:t xml:space="preserve"> errore nella scelta del modello formale di atto introduttivo</w:t>
      </w:r>
      <w:r>
        <w:t>,</w:t>
      </w:r>
      <w:r w:rsidR="003273E3" w:rsidRPr="0093430B">
        <w:t xml:space="preserve"> </w:t>
      </w:r>
      <w:r>
        <w:t>il cui trattamento</w:t>
      </w:r>
      <w:r w:rsidR="003273E3">
        <w:t xml:space="preserve"> è ben più severo di quello visto poc’anzi.</w:t>
      </w:r>
      <w:r>
        <w:t xml:space="preserve"> </w:t>
      </w:r>
      <w:r w:rsidR="003273E3">
        <w:t>Secondo la prevalente giurisprudenza (in particolare due recenti sentenze delle sezioni unite</w:t>
      </w:r>
      <w:r w:rsidR="003273E3">
        <w:rPr>
          <w:rStyle w:val="Rimandonotaapidipagina"/>
        </w:rPr>
        <w:footnoteReference w:id="17"/>
      </w:r>
      <w:r w:rsidR="003273E3">
        <w:t xml:space="preserve">), qualora l’attore commetta un </w:t>
      </w:r>
      <w:r>
        <w:t>simile sbaglio</w:t>
      </w:r>
      <w:r w:rsidR="003273E3">
        <w:t xml:space="preserve">, </w:t>
      </w:r>
      <w:r>
        <w:t xml:space="preserve">va </w:t>
      </w:r>
      <w:r w:rsidR="003273E3">
        <w:t xml:space="preserve">operata la conversione </w:t>
      </w:r>
      <w:r>
        <w:t>dell’atto introduttivo</w:t>
      </w:r>
      <w:r w:rsidR="003273E3">
        <w:t xml:space="preserve"> nella forma corretta: la citazione deve divenire ricorso e viceversa.</w:t>
      </w:r>
    </w:p>
    <w:p w:rsidR="003273E3" w:rsidRDefault="003273E3" w:rsidP="003273E3">
      <w:pPr>
        <w:spacing w:after="0" w:line="240" w:lineRule="auto"/>
        <w:jc w:val="both"/>
      </w:pPr>
      <w:r>
        <w:t xml:space="preserve">Sul fondamento della conversione degli atti processuali ci soffermeremo più diffusamente nel paragrafo 5. In questa sede è sufficiente ricordare che, secondo le decisioni appena citate, alla conversione consegue </w:t>
      </w:r>
      <w:r>
        <w:lastRenderedPageBreak/>
        <w:t>uno spostamento</w:t>
      </w:r>
      <w:r w:rsidR="00216E0A">
        <w:t xml:space="preserve"> in avanti del momento in cui l’atto produce i propri effetti, </w:t>
      </w:r>
      <w:r w:rsidR="00901791">
        <w:t>impedendo</w:t>
      </w:r>
      <w:r w:rsidR="00216E0A">
        <w:t xml:space="preserve"> il maturare di una decadenza</w:t>
      </w:r>
      <w:r>
        <w:t>. Si argomenta infatti che, se la domanda deve proporsi con ricorso, la pendenza della lite si ha al momento del deposito di quest’ultimo in cancelleria, pertanto la citazione erroneamente impiegata e soggetta a conversione in ricorso può produrre effetto solo al momento del suo deposito e non in quello, anteriore, della notificazione. Viceversa, il ricorso convertito in citazione si considera proposto solo al momento della sua notificazione unitamente al decreto di fissazione d’udienza.</w:t>
      </w:r>
    </w:p>
    <w:p w:rsidR="003273E3" w:rsidRDefault="003273E3" w:rsidP="003273E3">
      <w:pPr>
        <w:spacing w:after="0" w:line="240" w:lineRule="auto"/>
        <w:jc w:val="both"/>
      </w:pPr>
      <w:r>
        <w:t>I pregiudizi che possono derivare all’attore dall’adozione della tesi appena esposta sono evidenti: chi, ad esempio, propone appello con citazione anziché con un ricorso e ne richiede la notificazione in prossimità della scadenza del termine per impugnare, potrebbe vedersi dichiarata l’impugnazione tardiva, perché l’atto è stato depositato a termine ormai spirato. Il rischio è ancor più grave quando è prescelto per errore il ricorso: il decreto di fissazione d’udienza può essere pronunciato anche molti giorni dopo il deposito, rendendo impossibile la notificazione tempestiva dell’atto convertito.</w:t>
      </w:r>
    </w:p>
    <w:p w:rsidR="003273E3" w:rsidRDefault="003273E3" w:rsidP="003273E3">
      <w:pPr>
        <w:spacing w:after="0" w:line="240" w:lineRule="auto"/>
        <w:jc w:val="both"/>
      </w:pPr>
      <w:r>
        <w:t>Le conseguenze della conversione, per il resto, sono sostanzialmente irrisorie: la trasformazione della citazione in ricorso, ad esempio, dovrebbe comportare la caducazione della fissazione d’udienza in essa contenuta – poiché il ricorso non la prevede – ma, di regola, i giudici in questi casi non pronunciano alcun decreto di fissazione d’udienza, teso a mutare o confermare la data indicata dall’attore, tenendo invece valida quest’ultima</w:t>
      </w:r>
      <w:r>
        <w:rPr>
          <w:rStyle w:val="Rimandonotaapidipagina"/>
        </w:rPr>
        <w:footnoteReference w:id="18"/>
      </w:r>
      <w:r>
        <w:t>.</w:t>
      </w:r>
    </w:p>
    <w:p w:rsidR="00B766E3" w:rsidRDefault="00216E0A" w:rsidP="00B766E3">
      <w:pPr>
        <w:spacing w:after="0" w:line="240" w:lineRule="auto"/>
        <w:jc w:val="both"/>
      </w:pPr>
      <w:r>
        <w:t>Solo in talune ipotesi la giurisprudenza pare prescindere dalle regole appena illustrate.</w:t>
      </w:r>
      <w:r w:rsidR="00B766E3">
        <w:t xml:space="preserve"> In particolare si registrano significative differenze per quanto concerne il trattamento </w:t>
      </w:r>
      <w:r w:rsidR="006D7D13">
        <w:t xml:space="preserve">dell’errore </w:t>
      </w:r>
      <w:r w:rsidR="00B766E3">
        <w:t>commesso nella scelta</w:t>
      </w:r>
      <w:r w:rsidR="006D7D13">
        <w:t xml:space="preserve"> </w:t>
      </w:r>
      <w:r w:rsidR="00B766E3">
        <w:t>de</w:t>
      </w:r>
      <w:r w:rsidR="006D7D13">
        <w:t>l modello formale di atto da utilizzare per la riassunzione del processo interrotto o sospeso: si è infatti affermata in più occasioni l’equipollenza tra citazione e ricorso, escludendo la necessità di conversione e del conseguente spostamento in avanti del momento in cui l’atto produce i propri effetti, impedendo l’estinzione del processo</w:t>
      </w:r>
      <w:r w:rsidR="006D7D13">
        <w:rPr>
          <w:rStyle w:val="Rimandonotaapidipagina"/>
        </w:rPr>
        <w:footnoteReference w:id="19"/>
      </w:r>
      <w:r w:rsidR="006D7D13">
        <w:t>.</w:t>
      </w:r>
    </w:p>
    <w:p w:rsidR="006D7D13" w:rsidRPr="008454B2" w:rsidRDefault="00651C9E" w:rsidP="00B766E3">
      <w:pPr>
        <w:spacing w:after="0" w:line="240" w:lineRule="auto"/>
        <w:jc w:val="both"/>
      </w:pPr>
      <w:r>
        <w:t>La necessità di operare la conversione dell’atto introduttivo viene</w:t>
      </w:r>
      <w:r w:rsidR="003712DA">
        <w:t xml:space="preserve"> talvolta</w:t>
      </w:r>
      <w:r>
        <w:t xml:space="preserve"> </w:t>
      </w:r>
      <w:r w:rsidR="00452B58">
        <w:t>ravvisata</w:t>
      </w:r>
      <w:r>
        <w:t xml:space="preserve"> anche quando </w:t>
      </w:r>
      <w:r w:rsidR="00EB3294" w:rsidRPr="007662D7">
        <w:t xml:space="preserve">l’errore commesso dall’attore </w:t>
      </w:r>
      <w:r w:rsidR="00E56F8E" w:rsidRPr="007662D7">
        <w:t xml:space="preserve">è difficilmente riconducibile </w:t>
      </w:r>
      <w:r w:rsidR="00953816">
        <w:t>all’</w:t>
      </w:r>
      <w:r w:rsidR="00EB3294" w:rsidRPr="007662D7">
        <w:t xml:space="preserve">opzione per un diverso rito </w:t>
      </w:r>
      <w:r w:rsidR="00953816">
        <w:t xml:space="preserve">– essendo arduo comprendere quale altro rito l’attore abbia prescelto – </w:t>
      </w:r>
      <w:r w:rsidR="00EB3294" w:rsidRPr="007662D7">
        <w:t xml:space="preserve">anziché </w:t>
      </w:r>
      <w:r w:rsidR="00EB3294" w:rsidRPr="008454B2">
        <w:t xml:space="preserve">ad un semplice </w:t>
      </w:r>
      <w:r w:rsidR="00953816">
        <w:t>fraintendimento</w:t>
      </w:r>
      <w:r w:rsidR="00E56F8E" w:rsidRPr="008454B2">
        <w:t xml:space="preserve"> di singole </w:t>
      </w:r>
      <w:r w:rsidR="002F24BB" w:rsidRPr="008454B2">
        <w:t>norme dettate per il rito corretto</w:t>
      </w:r>
      <w:r w:rsidRPr="008454B2">
        <w:t>: è il caso</w:t>
      </w:r>
      <w:r w:rsidR="002F24BB" w:rsidRPr="008454B2">
        <w:t xml:space="preserve"> </w:t>
      </w:r>
      <w:r w:rsidRPr="008454B2">
        <w:t>dell’</w:t>
      </w:r>
      <w:r w:rsidR="00B00F43" w:rsidRPr="008454B2">
        <w:t xml:space="preserve">opposizione ad ordinanza ingiunzione proposta con citazione e non con </w:t>
      </w:r>
      <w:r w:rsidR="002F24BB" w:rsidRPr="008454B2">
        <w:t>ricorso</w:t>
      </w:r>
      <w:r w:rsidR="003273E3" w:rsidRPr="008454B2">
        <w:rPr>
          <w:rStyle w:val="Rimandonotaapidipagina"/>
        </w:rPr>
        <w:footnoteReference w:id="20"/>
      </w:r>
      <w:r w:rsidR="001E0B41" w:rsidRPr="008454B2">
        <w:t>.</w:t>
      </w:r>
      <w:r w:rsidRPr="008454B2">
        <w:t xml:space="preserve"> </w:t>
      </w:r>
      <w:r w:rsidR="003712DA" w:rsidRPr="008454B2">
        <w:t>C</w:t>
      </w:r>
      <w:r w:rsidRPr="008454B2">
        <w:t xml:space="preserve">onclusioni </w:t>
      </w:r>
      <w:r w:rsidR="003712DA" w:rsidRPr="008454B2">
        <w:t xml:space="preserve">opposte </w:t>
      </w:r>
      <w:r w:rsidR="00452B58" w:rsidRPr="008454B2">
        <w:t>sono</w:t>
      </w:r>
      <w:r w:rsidRPr="008454B2">
        <w:t xml:space="preserve"> state </w:t>
      </w:r>
      <w:r w:rsidR="003712DA" w:rsidRPr="008454B2">
        <w:t xml:space="preserve">tuttavia </w:t>
      </w:r>
      <w:r w:rsidRPr="008454B2">
        <w:t xml:space="preserve">tratte a più riprese </w:t>
      </w:r>
      <w:r w:rsidR="00452B58" w:rsidRPr="008454B2">
        <w:t>per</w:t>
      </w:r>
      <w:r w:rsidR="00E56F8E" w:rsidRPr="008454B2">
        <w:t xml:space="preserve"> </w:t>
      </w:r>
      <w:r w:rsidR="00BA47D7" w:rsidRPr="008454B2">
        <w:t>l</w:t>
      </w:r>
      <w:r w:rsidR="008454B2" w:rsidRPr="008454B2">
        <w:t>e impugnazioni</w:t>
      </w:r>
      <w:r w:rsidR="00BA47D7" w:rsidRPr="008454B2">
        <w:t xml:space="preserve"> delle delibere dell’assemblea condominiale</w:t>
      </w:r>
      <w:r w:rsidRPr="008454B2">
        <w:t xml:space="preserve"> propost</w:t>
      </w:r>
      <w:r w:rsidR="008454B2" w:rsidRPr="008454B2">
        <w:t>e</w:t>
      </w:r>
      <w:r w:rsidRPr="008454B2">
        <w:t xml:space="preserve"> secondo un modello formale errato</w:t>
      </w:r>
      <w:r w:rsidR="003712DA" w:rsidRPr="008454B2">
        <w:t xml:space="preserve">, </w:t>
      </w:r>
      <w:r w:rsidR="00452B58" w:rsidRPr="008454B2">
        <w:t>a proposito dell</w:t>
      </w:r>
      <w:r w:rsidR="008454B2" w:rsidRPr="008454B2">
        <w:t>e</w:t>
      </w:r>
      <w:r w:rsidR="00452B58" w:rsidRPr="008454B2">
        <w:t xml:space="preserve"> qual</w:t>
      </w:r>
      <w:r w:rsidR="008454B2" w:rsidRPr="008454B2">
        <w:t>i</w:t>
      </w:r>
      <w:r w:rsidR="00452B58" w:rsidRPr="008454B2">
        <w:t xml:space="preserve"> si è sostenuta l</w:t>
      </w:r>
      <w:r w:rsidR="008454B2">
        <w:t xml:space="preserve">a piena </w:t>
      </w:r>
      <w:r w:rsidR="00452B58" w:rsidRPr="008454B2">
        <w:t>equipollenza tra citazione e ricorso</w:t>
      </w:r>
      <w:r w:rsidR="00E556D3">
        <w:t>, con la conseguente possibilità di ritenere tempestiva tanto l’impugnazione proposta con citazione notificata entro trenta giorni quanto quella proposta con ricorso depositato nei medesimi termini</w:t>
      </w:r>
      <w:r w:rsidR="00C80408" w:rsidRPr="008454B2">
        <w:rPr>
          <w:rStyle w:val="Rimandonotaapidipagina"/>
        </w:rPr>
        <w:footnoteReference w:id="21"/>
      </w:r>
      <w:r w:rsidR="00452B58" w:rsidRPr="008454B2">
        <w:t>.</w:t>
      </w:r>
    </w:p>
    <w:p w:rsidR="00984B65" w:rsidRDefault="0007289A" w:rsidP="009E4AF0">
      <w:pPr>
        <w:spacing w:after="0" w:line="240" w:lineRule="auto"/>
        <w:jc w:val="both"/>
      </w:pPr>
      <w:r w:rsidRPr="0051631E">
        <w:lastRenderedPageBreak/>
        <w:t xml:space="preserve">Come vedremo nel prossimo paragrafo, è lecito nutrire dubbi in ordine all’impossibilità di equiparare l’errore commesso nel proporre opposizione a decreto ingiuntivo </w:t>
      </w:r>
      <w:r w:rsidR="000B68BD" w:rsidRPr="0051631E">
        <w:t>o, comunque, nel dare impulso alla seconda fase del procedimento</w:t>
      </w:r>
      <w:r w:rsidR="00901791">
        <w:t>,</w:t>
      </w:r>
      <w:r w:rsidR="000B68BD" w:rsidRPr="0051631E">
        <w:t xml:space="preserve"> </w:t>
      </w:r>
      <w:r w:rsidR="006B127C" w:rsidRPr="0051631E">
        <w:t>a quello</w:t>
      </w:r>
      <w:r w:rsidRPr="0051631E">
        <w:t xml:space="preserve"> </w:t>
      </w:r>
      <w:r w:rsidR="000B68BD" w:rsidRPr="0051631E">
        <w:t xml:space="preserve">concernente </w:t>
      </w:r>
      <w:r w:rsidRPr="0051631E">
        <w:t xml:space="preserve">l’introduzione di un giudizio di primo grado, mentre </w:t>
      </w:r>
      <w:r w:rsidR="00907215" w:rsidRPr="0051631E">
        <w:t>minori</w:t>
      </w:r>
      <w:r w:rsidRPr="0051631E">
        <w:t xml:space="preserve"> perplessità ci pare possano essere avanzate per </w:t>
      </w:r>
      <w:r w:rsidR="00907215" w:rsidRPr="0051631E">
        <w:t>le</w:t>
      </w:r>
      <w:r w:rsidRPr="0051631E">
        <w:t xml:space="preserve"> impugnazion</w:t>
      </w:r>
      <w:r w:rsidR="00907215" w:rsidRPr="0051631E">
        <w:t>i</w:t>
      </w:r>
      <w:r w:rsidRPr="0051631E">
        <w:t>.</w:t>
      </w:r>
      <w:r w:rsidR="00AB6B84" w:rsidRPr="0051631E">
        <w:t xml:space="preserve"> </w:t>
      </w:r>
      <w:r w:rsidR="006B127C" w:rsidRPr="0051631E">
        <w:t>Le conclusioni cui giunge la giurisprudenza, tuttavia, creano</w:t>
      </w:r>
      <w:r w:rsidR="00907215" w:rsidRPr="0051631E">
        <w:t xml:space="preserve"> </w:t>
      </w:r>
      <w:r w:rsidR="006B127C" w:rsidRPr="0051631E">
        <w:t xml:space="preserve">un intuibile </w:t>
      </w:r>
      <w:r w:rsidR="00524D11" w:rsidRPr="0051631E">
        <w:t>disagio all’interprete</w:t>
      </w:r>
      <w:r w:rsidR="006B127C" w:rsidRPr="0051631E">
        <w:t xml:space="preserve"> anche su un altro piano, più generale:</w:t>
      </w:r>
      <w:r w:rsidR="004F03C1">
        <w:t xml:space="preserve"> </w:t>
      </w:r>
      <w:r w:rsidR="004F03C1" w:rsidRPr="00F24340">
        <w:t xml:space="preserve">errori nella sostanza molto simili tra loro, se non identici, </w:t>
      </w:r>
      <w:r w:rsidR="006B127C" w:rsidRPr="00F24340">
        <w:t>ricevono un t</w:t>
      </w:r>
      <w:r w:rsidR="002133B9" w:rsidRPr="00F24340">
        <w:t xml:space="preserve">rattamento fortemente </w:t>
      </w:r>
      <w:r w:rsidR="00293855" w:rsidRPr="00F24340">
        <w:t>differenziato</w:t>
      </w:r>
      <w:r w:rsidR="0051631E" w:rsidRPr="00F24340">
        <w:t xml:space="preserve">, molto più severo </w:t>
      </w:r>
      <w:r w:rsidR="004F03C1" w:rsidRPr="00F24340">
        <w:t>in caso di</w:t>
      </w:r>
      <w:r w:rsidR="0051631E" w:rsidRPr="00F24340">
        <w:t xml:space="preserve"> conversione</w:t>
      </w:r>
      <w:r w:rsidR="004F03C1" w:rsidRPr="00F24340">
        <w:t xml:space="preserve"> dell’atto introduttivo di quanto non accada quando il giudice dispone il mutamento del rito</w:t>
      </w:r>
      <w:r w:rsidR="002133B9" w:rsidRPr="00F24340">
        <w:t>.</w:t>
      </w:r>
    </w:p>
    <w:p w:rsidR="00E110D1" w:rsidRDefault="00E110D1" w:rsidP="009E4AF0">
      <w:pPr>
        <w:spacing w:after="0" w:line="240" w:lineRule="auto"/>
        <w:jc w:val="both"/>
      </w:pPr>
    </w:p>
    <w:p w:rsidR="008C257D" w:rsidRDefault="008C257D" w:rsidP="009E4AF0">
      <w:pPr>
        <w:spacing w:after="0" w:line="240" w:lineRule="auto"/>
        <w:jc w:val="both"/>
      </w:pPr>
    </w:p>
    <w:p w:rsidR="002133B9" w:rsidRPr="00052E77" w:rsidRDefault="00233CD2" w:rsidP="009E4AF0">
      <w:pPr>
        <w:spacing w:after="0" w:line="240" w:lineRule="auto"/>
        <w:jc w:val="both"/>
      </w:pPr>
      <w:r>
        <w:t xml:space="preserve">4. – </w:t>
      </w:r>
      <w:r w:rsidR="00F4463A">
        <w:t>L</w:t>
      </w:r>
      <w:r w:rsidR="002133B9">
        <w:t>a Corte di cassazione a sezioni unite</w:t>
      </w:r>
      <w:r w:rsidR="00F4463A">
        <w:t>, come anticipato,</w:t>
      </w:r>
      <w:r w:rsidR="002133B9">
        <w:t xml:space="preserve"> </w:t>
      </w:r>
      <w:r w:rsidR="00A522A7">
        <w:t xml:space="preserve">nel 2013 </w:t>
      </w:r>
      <w:r w:rsidR="002133B9">
        <w:t xml:space="preserve">è intervenuta </w:t>
      </w:r>
      <w:r w:rsidR="00A522A7">
        <w:t xml:space="preserve">con due pronunce </w:t>
      </w:r>
      <w:r w:rsidR="002133B9">
        <w:t>sulla materia di cui ci occupiamo, ribadendo l’orientamento più tradizion</w:t>
      </w:r>
      <w:r w:rsidR="00052E77">
        <w:t xml:space="preserve">ale e consolidato in merito alla necessità di operare </w:t>
      </w:r>
      <w:r w:rsidR="002133B9">
        <w:t>la conversione dell’atto introduttivo</w:t>
      </w:r>
      <w:r w:rsidR="00052E77">
        <w:t xml:space="preserve"> ed alle conseguenze che ne derivano</w:t>
      </w:r>
      <w:r w:rsidR="00032A0D">
        <w:t xml:space="preserve"> ed affermando la portata generale di questo insegnamento</w:t>
      </w:r>
      <w:r w:rsidR="004B3FD0">
        <w:rPr>
          <w:rStyle w:val="Rimandonotaapidipagina"/>
        </w:rPr>
        <w:footnoteReference w:id="22"/>
      </w:r>
      <w:r w:rsidR="00A522A7" w:rsidRPr="00A522A7">
        <w:t>.</w:t>
      </w:r>
      <w:r w:rsidR="00052E77">
        <w:t xml:space="preserve"> Un orientamento difforme pareva invece </w:t>
      </w:r>
      <w:r w:rsidR="00C60208">
        <w:t>potersi</w:t>
      </w:r>
      <w:r w:rsidR="00DE1B79">
        <w:t xml:space="preserve"> fa</w:t>
      </w:r>
      <w:r w:rsidR="00C60208">
        <w:t>re</w:t>
      </w:r>
      <w:r w:rsidR="00052E77">
        <w:t xml:space="preserve"> strada</w:t>
      </w:r>
      <w:r w:rsidR="00C60208">
        <w:t xml:space="preserve"> anche al di fuori del ristretto ambito delle impugnazioni delle delibere condominiali quando,</w:t>
      </w:r>
      <w:r w:rsidR="00052E77">
        <w:t xml:space="preserve"> </w:t>
      </w:r>
      <w:r w:rsidR="004B3FD0">
        <w:t>come detto</w:t>
      </w:r>
      <w:r w:rsidR="00052E77">
        <w:t xml:space="preserve">, </w:t>
      </w:r>
      <w:r w:rsidR="00032A0D">
        <w:t>nel 2011 le stesse sezioni unite, risolvendo il contrasto sorto in ordine all’interpretazione dell’art. 1137 c.c.,</w:t>
      </w:r>
      <w:r w:rsidR="004B3FD0">
        <w:t xml:space="preserve"> </w:t>
      </w:r>
      <w:r w:rsidR="00032A0D">
        <w:t xml:space="preserve">erano </w:t>
      </w:r>
      <w:r w:rsidR="004B3FD0">
        <w:t>intervenute sul</w:t>
      </w:r>
      <w:r w:rsidR="00A522A7">
        <w:t>le conseguenze dell’errore nella scelta del modello formale di atto introduttivo</w:t>
      </w:r>
      <w:r w:rsidR="004B3FD0">
        <w:t xml:space="preserve">, sia pure con </w:t>
      </w:r>
      <w:r w:rsidR="00052E77">
        <w:t xml:space="preserve">un </w:t>
      </w:r>
      <w:r w:rsidR="00052E77">
        <w:rPr>
          <w:i/>
        </w:rPr>
        <w:t>obiter dictum</w:t>
      </w:r>
      <w:r w:rsidR="00052E77">
        <w:rPr>
          <w:rStyle w:val="Rimandonotaapidipagina"/>
        </w:rPr>
        <w:footnoteReference w:id="23"/>
      </w:r>
      <w:r w:rsidR="00052E77">
        <w:t>.</w:t>
      </w:r>
    </w:p>
    <w:p w:rsidR="003A40F5" w:rsidRDefault="002133B9" w:rsidP="009E4AF0">
      <w:pPr>
        <w:spacing w:after="0" w:line="240" w:lineRule="auto"/>
        <w:jc w:val="both"/>
      </w:pPr>
      <w:r>
        <w:t>Il</w:t>
      </w:r>
      <w:r w:rsidR="00190800">
        <w:t xml:space="preserve"> primo</w:t>
      </w:r>
      <w:r>
        <w:t xml:space="preserve"> caso portato all’attenzione della Corte</w:t>
      </w:r>
      <w:r w:rsidR="008A4A1A">
        <w:t xml:space="preserve"> nel 2013</w:t>
      </w:r>
      <w:r>
        <w:t xml:space="preserve"> riguardava un decreto </w:t>
      </w:r>
      <w:r w:rsidR="00D86F8E">
        <w:t xml:space="preserve">ingiuntivo </w:t>
      </w:r>
      <w:r>
        <w:t xml:space="preserve">emesso per il pagamento di prestazioni giudiziali </w:t>
      </w:r>
      <w:r w:rsidR="003A40F5">
        <w:t>rese da</w:t>
      </w:r>
      <w:r>
        <w:t>ll’avvocato</w:t>
      </w:r>
      <w:r w:rsidR="003A40F5">
        <w:t xml:space="preserve">, </w:t>
      </w:r>
      <w:r w:rsidR="00695CB2">
        <w:t>opposto con ricorso anziché con citazione in quanto la difesa del cliente era stata tratta in inganno dal riferimento al rito camerale contenuto nella</w:t>
      </w:r>
      <w:r w:rsidR="007161DF">
        <w:t xml:space="preserve"> l. 13 giugno 1942, n. 794</w:t>
      </w:r>
      <w:r w:rsidR="003A40F5">
        <w:t xml:space="preserve">. La materia è stata in seguito riformata dal già citato </w:t>
      </w:r>
      <w:r w:rsidR="00544249">
        <w:t>d.lgs. 1 settembre 2011, n. 150</w:t>
      </w:r>
      <w:r w:rsidR="008A4A1A">
        <w:rPr>
          <w:rStyle w:val="Rimandonotaapidipagina"/>
        </w:rPr>
        <w:footnoteReference w:id="24"/>
      </w:r>
      <w:r w:rsidR="00544249">
        <w:t xml:space="preserve"> </w:t>
      </w:r>
      <w:r w:rsidR="007161DF">
        <w:t>ed infatti i</w:t>
      </w:r>
      <w:r w:rsidR="003A40F5">
        <w:t xml:space="preserve"> giudici di legittimità </w:t>
      </w:r>
      <w:r w:rsidR="007161DF">
        <w:t xml:space="preserve">hanno </w:t>
      </w:r>
      <w:r w:rsidR="003A40F5">
        <w:t>precisa</w:t>
      </w:r>
      <w:r w:rsidR="007161DF">
        <w:t>to</w:t>
      </w:r>
      <w:r w:rsidR="00BF7737">
        <w:t xml:space="preserve"> che la soluzione adottata nella sentenza non </w:t>
      </w:r>
      <w:r w:rsidR="007161DF">
        <w:t xml:space="preserve">può </w:t>
      </w:r>
      <w:r w:rsidR="00BF7737">
        <w:t>trova</w:t>
      </w:r>
      <w:r w:rsidR="007161DF">
        <w:t>re</w:t>
      </w:r>
      <w:r w:rsidR="00BF7737">
        <w:t xml:space="preserve"> applicazione ai giudizi introdotti dopo l’entrata in vigore del decreto.</w:t>
      </w:r>
    </w:p>
    <w:p w:rsidR="007E2C52" w:rsidRDefault="008C1C35" w:rsidP="009E4AF0">
      <w:pPr>
        <w:spacing w:after="0" w:line="240" w:lineRule="auto"/>
        <w:jc w:val="both"/>
      </w:pPr>
      <w:r>
        <w:t xml:space="preserve">La ricostruzione della Corte tuttavia, a nostro avviso, </w:t>
      </w:r>
      <w:r w:rsidR="00D86F8E">
        <w:t>presta il fianco ad una critica</w:t>
      </w:r>
      <w:r>
        <w:t xml:space="preserve">: il d.lgs. </w:t>
      </w:r>
      <w:r w:rsidR="008664D9">
        <w:t xml:space="preserve">n. </w:t>
      </w:r>
      <w:r>
        <w:t>150</w:t>
      </w:r>
      <w:r w:rsidR="008664D9">
        <w:t xml:space="preserve"> del </w:t>
      </w:r>
      <w:r>
        <w:t xml:space="preserve">2011 </w:t>
      </w:r>
      <w:r w:rsidR="00C4634D">
        <w:t xml:space="preserve">detta una </w:t>
      </w:r>
      <w:r>
        <w:t>discip</w:t>
      </w:r>
      <w:r w:rsidR="004A64DA">
        <w:t>lina</w:t>
      </w:r>
      <w:r w:rsidR="00C4634D">
        <w:t xml:space="preserve"> unitaria</w:t>
      </w:r>
      <w:r w:rsidR="004A64DA">
        <w:t xml:space="preserve"> del mutamento di rito</w:t>
      </w:r>
      <w:r w:rsidR="00C4634D">
        <w:t xml:space="preserve">, </w:t>
      </w:r>
      <w:r w:rsidR="004D6FE2">
        <w:t xml:space="preserve">dichiarata espressamente </w:t>
      </w:r>
      <w:r w:rsidR="00C4634D">
        <w:t>applicabile</w:t>
      </w:r>
      <w:r w:rsidR="004A64DA">
        <w:t xml:space="preserve"> sia </w:t>
      </w:r>
      <w:r w:rsidR="00C4634D">
        <w:t>ai giudizi di primo grado che si svolgono in un’unica fase, sia all</w:t>
      </w:r>
      <w:r w:rsidR="008A4A1A">
        <w:t xml:space="preserve">e </w:t>
      </w:r>
      <w:r w:rsidR="00C4634D">
        <w:t>opposizion</w:t>
      </w:r>
      <w:r w:rsidR="008A4A1A">
        <w:t>i</w:t>
      </w:r>
      <w:r w:rsidR="00C4634D">
        <w:t xml:space="preserve"> a decreto ingiuntivo</w:t>
      </w:r>
      <w:r w:rsidR="008A4A1A">
        <w:t xml:space="preserve"> nelle materie oggetto del provvedimento</w:t>
      </w:r>
      <w:r w:rsidR="00C85EF3">
        <w:t>. Il legislatore</w:t>
      </w:r>
      <w:r w:rsidR="004A64DA">
        <w:t xml:space="preserve"> evidentemente </w:t>
      </w:r>
      <w:r w:rsidR="00C85EF3">
        <w:t xml:space="preserve">ha </w:t>
      </w:r>
      <w:r w:rsidR="004A64DA">
        <w:t>riten</w:t>
      </w:r>
      <w:r w:rsidR="00C85EF3">
        <w:t>uto</w:t>
      </w:r>
      <w:r w:rsidR="00C4634D">
        <w:t xml:space="preserve"> che</w:t>
      </w:r>
      <w:r w:rsidR="004A64DA">
        <w:t xml:space="preserve"> tutti</w:t>
      </w:r>
      <w:r w:rsidR="00C4634D">
        <w:t xml:space="preserve"> i</w:t>
      </w:r>
      <w:r w:rsidR="004A64DA">
        <w:t xml:space="preserve"> giudizi di primo grado </w:t>
      </w:r>
      <w:r w:rsidR="00C4634D">
        <w:t xml:space="preserve">siano, sotto questo punto di vista, </w:t>
      </w:r>
      <w:r w:rsidR="004A64DA">
        <w:t>meritevoli di</w:t>
      </w:r>
      <w:r w:rsidR="00C85EF3">
        <w:t xml:space="preserve"> un</w:t>
      </w:r>
      <w:r w:rsidR="004A64DA">
        <w:t xml:space="preserve"> identico trattamento.</w:t>
      </w:r>
    </w:p>
    <w:p w:rsidR="00DC5C46" w:rsidRDefault="004D6FE2" w:rsidP="009E4AF0">
      <w:pPr>
        <w:spacing w:after="0" w:line="240" w:lineRule="auto"/>
        <w:jc w:val="both"/>
      </w:pPr>
      <w:r>
        <w:t>Le disposizioni sul mutamento di rito contenute nel codice di procedura civile</w:t>
      </w:r>
      <w:r w:rsidR="002F28F4">
        <w:t>, come abbiamo visto in precedenza,</w:t>
      </w:r>
      <w:r w:rsidR="00953816">
        <w:t xml:space="preserve"> segnano una differenza tra il trattamento dell’errore in primo grado e in appello, ma</w:t>
      </w:r>
      <w:r>
        <w:t xml:space="preserve"> tacciono </w:t>
      </w:r>
      <w:r w:rsidR="00953816">
        <w:t>in merito al trattamento dell’errore commesso nel passaggio da una fase all’altra del procedimento</w:t>
      </w:r>
      <w:r w:rsidR="000A3A5C">
        <w:t>. Il silenzio normativo aveva già s</w:t>
      </w:r>
      <w:r w:rsidR="00D8574C">
        <w:t>pinto un autore</w:t>
      </w:r>
      <w:r w:rsidR="00DB1B4C">
        <w:rPr>
          <w:rStyle w:val="Rimandonotaapidipagina"/>
        </w:rPr>
        <w:footnoteReference w:id="25"/>
      </w:r>
      <w:r w:rsidR="00D8574C">
        <w:t xml:space="preserve"> a sostenere che</w:t>
      </w:r>
      <w:r w:rsidR="002F28F4">
        <w:t xml:space="preserve"> </w:t>
      </w:r>
      <w:r w:rsidR="00D8574C">
        <w:t>gli artt. 426 e 427 c.p.c.</w:t>
      </w:r>
      <w:r w:rsidR="00DB1B4C">
        <w:t xml:space="preserve"> </w:t>
      </w:r>
      <w:r w:rsidR="00DC5C46">
        <w:t xml:space="preserve">dovessero trovare applicazione anche nei giudizi di primo grado strutturati </w:t>
      </w:r>
      <w:r w:rsidR="00F2098C">
        <w:t>in</w:t>
      </w:r>
      <w:r w:rsidR="00DC5C46">
        <w:t xml:space="preserve"> due fasi</w:t>
      </w:r>
      <w:r w:rsidR="005C5E4E">
        <w:t>: una conclusione che</w:t>
      </w:r>
      <w:r w:rsidR="00DC5C46">
        <w:t>, a no</w:t>
      </w:r>
      <w:r w:rsidR="005C5E4E">
        <w:t>stro avviso, i</w:t>
      </w:r>
      <w:r w:rsidR="00DC5C46">
        <w:t xml:space="preserve">l </w:t>
      </w:r>
      <w:r w:rsidR="008664D9">
        <w:t xml:space="preserve">d.lgs. n. 150 del 2011 </w:t>
      </w:r>
      <w:r w:rsidR="005C5E4E">
        <w:t>avvalora</w:t>
      </w:r>
      <w:r w:rsidR="009917CB">
        <w:t>, ma le sezioni unite non hanno fatto propria</w:t>
      </w:r>
      <w:r w:rsidR="005C5E4E">
        <w:t>.</w:t>
      </w:r>
    </w:p>
    <w:p w:rsidR="00C00C0D" w:rsidRDefault="00485FC4" w:rsidP="009E4AF0">
      <w:pPr>
        <w:spacing w:after="0" w:line="240" w:lineRule="auto"/>
        <w:jc w:val="both"/>
      </w:pPr>
      <w:r>
        <w:t>La</w:t>
      </w:r>
      <w:r w:rsidR="005C5E4E">
        <w:t xml:space="preserve"> disciplina </w:t>
      </w:r>
      <w:r w:rsidR="00D46109">
        <w:t xml:space="preserve">contenuta nel </w:t>
      </w:r>
      <w:r w:rsidR="008664D9">
        <w:t xml:space="preserve">d.lgs. n. 150 del 2011 </w:t>
      </w:r>
      <w:r w:rsidR="005C5E4E">
        <w:t>fa</w:t>
      </w:r>
      <w:r w:rsidR="009917CB">
        <w:t xml:space="preserve"> tuttavia</w:t>
      </w:r>
      <w:r w:rsidR="005C5E4E">
        <w:t xml:space="preserve"> sorgere un </w:t>
      </w:r>
      <w:r>
        <w:t>interrogativo</w:t>
      </w:r>
      <w:r w:rsidR="001E53D3">
        <w:t xml:space="preserve"> ulteriore: per quale ragione all’attore </w:t>
      </w:r>
      <w:r>
        <w:t>è</w:t>
      </w:r>
      <w:r w:rsidR="001E53D3">
        <w:t xml:space="preserve"> riservata una tale disparità di trattamento non tra giudizio di primo grado e giudizio di opposizione a decreto ingiuntivo, </w:t>
      </w:r>
      <w:r w:rsidR="009917CB">
        <w:t xml:space="preserve">che assolve </w:t>
      </w:r>
      <w:r w:rsidR="00FB62B2">
        <w:t xml:space="preserve">anche </w:t>
      </w:r>
      <w:r w:rsidR="009917CB">
        <w:t xml:space="preserve">a funzioni </w:t>
      </w:r>
      <w:r w:rsidR="009917CB" w:rsidRPr="009917CB">
        <w:rPr>
          <w:i/>
        </w:rPr>
        <w:t xml:space="preserve">lato </w:t>
      </w:r>
      <w:proofErr w:type="spellStart"/>
      <w:r w:rsidR="009917CB" w:rsidRPr="009917CB">
        <w:rPr>
          <w:i/>
        </w:rPr>
        <w:t>sensu</w:t>
      </w:r>
      <w:proofErr w:type="spellEnd"/>
      <w:r w:rsidR="009917CB">
        <w:t xml:space="preserve"> </w:t>
      </w:r>
      <w:proofErr w:type="spellStart"/>
      <w:r w:rsidR="009917CB">
        <w:t>impugnatorie</w:t>
      </w:r>
      <w:proofErr w:type="spellEnd"/>
      <w:r w:rsidR="009917CB">
        <w:t xml:space="preserve">, </w:t>
      </w:r>
      <w:r w:rsidR="001E53D3">
        <w:t>ma tr</w:t>
      </w:r>
      <w:r w:rsidR="00987A02">
        <w:t xml:space="preserve">a opposizione e opposizione? </w:t>
      </w:r>
      <w:r w:rsidR="00FB62B2">
        <w:t>I principi affermati</w:t>
      </w:r>
      <w:r>
        <w:t xml:space="preserve"> nel 2013 </w:t>
      </w:r>
      <w:r w:rsidR="00987A02">
        <w:t>d</w:t>
      </w:r>
      <w:r>
        <w:t>a</w:t>
      </w:r>
      <w:r w:rsidR="00987A02">
        <w:t>ll</w:t>
      </w:r>
      <w:r>
        <w:t>e</w:t>
      </w:r>
      <w:r w:rsidR="00987A02">
        <w:t xml:space="preserve"> sezioni unite, infatti, ha</w:t>
      </w:r>
      <w:r w:rsidR="00FB62B2">
        <w:t>nno</w:t>
      </w:r>
      <w:r w:rsidR="00987A02">
        <w:t xml:space="preserve"> portata generale e</w:t>
      </w:r>
      <w:r w:rsidR="00C85EF3">
        <w:t>,</w:t>
      </w:r>
      <w:r w:rsidR="00987A02">
        <w:t xml:space="preserve"> se non trover</w:t>
      </w:r>
      <w:r w:rsidR="00FB62B2">
        <w:t>anno</w:t>
      </w:r>
      <w:r w:rsidR="00987A02">
        <w:t xml:space="preserve"> più </w:t>
      </w:r>
      <w:r w:rsidR="00D86F8E">
        <w:t xml:space="preserve">concreta </w:t>
      </w:r>
      <w:r w:rsidR="00987A02">
        <w:t>applicazione per le opposizioni a decreto ingiuntivo assoggettate ad un rito “semplificato”, potr</w:t>
      </w:r>
      <w:r w:rsidR="00FB62B2">
        <w:t>anno</w:t>
      </w:r>
      <w:r w:rsidR="00987A02">
        <w:t xml:space="preserve"> farlo </w:t>
      </w:r>
      <w:r w:rsidR="00D86F8E">
        <w:t>per altre.</w:t>
      </w:r>
    </w:p>
    <w:p w:rsidR="000660CC" w:rsidRDefault="000660CC" w:rsidP="009E4AF0">
      <w:pPr>
        <w:spacing w:after="0" w:line="240" w:lineRule="auto"/>
        <w:jc w:val="both"/>
      </w:pPr>
      <w:r>
        <w:t xml:space="preserve">La necessità di operare la conversione dell’atto introduttivo senza disporre il mutamento di rito, in altri termini, comporta un evidente pregiudizio alle possibilità di difesa dell’attore, ma viene oggi riconosciuta solo </w:t>
      </w:r>
      <w:r w:rsidR="00EF7D7D">
        <w:t>per</w:t>
      </w:r>
      <w:r w:rsidR="006E282B">
        <w:t xml:space="preserve"> alcuni procedimenti bifasici e</w:t>
      </w:r>
      <w:r>
        <w:t xml:space="preserve"> non </w:t>
      </w:r>
      <w:r w:rsidR="00EF7D7D">
        <w:t>per</w:t>
      </w:r>
      <w:r w:rsidR="006E282B">
        <w:t xml:space="preserve"> altri, nonostante questi ultimi</w:t>
      </w:r>
      <w:r w:rsidR="00E24F76">
        <w:t xml:space="preserve"> s</w:t>
      </w:r>
      <w:r w:rsidR="006E282B">
        <w:t>ia</w:t>
      </w:r>
      <w:r w:rsidR="00E24F76">
        <w:t>no</w:t>
      </w:r>
      <w:r>
        <w:t xml:space="preserve"> privi di peculiarità tali da </w:t>
      </w:r>
      <w:r>
        <w:lastRenderedPageBreak/>
        <w:t xml:space="preserve">giustificare una </w:t>
      </w:r>
      <w:r w:rsidR="00EF7D7D">
        <w:t xml:space="preserve">simile </w:t>
      </w:r>
      <w:r>
        <w:t>di</w:t>
      </w:r>
      <w:r w:rsidR="00DE7BB6">
        <w:t>scrasia</w:t>
      </w:r>
      <w:r w:rsidR="00AA7845">
        <w:rPr>
          <w:rStyle w:val="Rimandonotaapidipagina"/>
        </w:rPr>
        <w:footnoteReference w:id="26"/>
      </w:r>
      <w:r w:rsidR="006E282B">
        <w:t>.</w:t>
      </w:r>
      <w:r>
        <w:t xml:space="preserve"> </w:t>
      </w:r>
      <w:r w:rsidR="006E282B">
        <w:t>C</w:t>
      </w:r>
      <w:r w:rsidR="00E24F76">
        <w:t xml:space="preserve">i pare esemplare il raffronto tra l’opposizione a decreto ingiuntivo </w:t>
      </w:r>
      <w:r w:rsidR="00ED1D78">
        <w:t>riguardant</w:t>
      </w:r>
      <w:r w:rsidR="00CD3C04">
        <w:t>e</w:t>
      </w:r>
      <w:r w:rsidR="00ED1D78">
        <w:t xml:space="preserve"> i</w:t>
      </w:r>
      <w:r w:rsidR="00CD3C04">
        <w:t>l</w:t>
      </w:r>
      <w:r w:rsidR="00ED1D78">
        <w:t xml:space="preserve"> </w:t>
      </w:r>
      <w:r w:rsidR="00CD3C04">
        <w:t>compenso</w:t>
      </w:r>
      <w:r w:rsidR="00ED1D78">
        <w:t xml:space="preserve"> dovut</w:t>
      </w:r>
      <w:r w:rsidR="00CD3C04">
        <w:t>o</w:t>
      </w:r>
      <w:r w:rsidR="00ED1D78">
        <w:t xml:space="preserve"> all’avvocato per prestazioni giudiziali –</w:t>
      </w:r>
      <w:r w:rsidR="00CD3C04">
        <w:t xml:space="preserve"> la sola ad essere soggetta</w:t>
      </w:r>
      <w:r w:rsidR="00A87DDC">
        <w:t xml:space="preserve"> al </w:t>
      </w:r>
      <w:r w:rsidR="008664D9">
        <w:t>d.lgs. n. 150 del 2011</w:t>
      </w:r>
      <w:r w:rsidR="00FB62B2">
        <w:t xml:space="preserve"> – e quella</w:t>
      </w:r>
      <w:r w:rsidR="00A87DDC">
        <w:t xml:space="preserve"> </w:t>
      </w:r>
      <w:r w:rsidR="00ED1D78">
        <w:t>inerent</w:t>
      </w:r>
      <w:r w:rsidR="00CD3C04">
        <w:t>e</w:t>
      </w:r>
      <w:r w:rsidR="00ED1D78">
        <w:t xml:space="preserve"> </w:t>
      </w:r>
      <w:r w:rsidR="00ED1D78" w:rsidRPr="00FB62B2">
        <w:t>pr</w:t>
      </w:r>
      <w:r w:rsidR="00ED1D78">
        <w:t>estazioni stragiudiziali</w:t>
      </w:r>
      <w:r w:rsidR="00CD3C04">
        <w:t xml:space="preserve">. Si pensi anche all’opposizione in </w:t>
      </w:r>
      <w:r w:rsidR="00E24F76">
        <w:t>materia agraria</w:t>
      </w:r>
      <w:r w:rsidR="003C6923">
        <w:rPr>
          <w:rStyle w:val="Rimandonotaapidipagina"/>
        </w:rPr>
        <w:footnoteReference w:id="27"/>
      </w:r>
      <w:r w:rsidR="00E24F76">
        <w:t xml:space="preserve">, cui è applicabile l’art. 4 del </w:t>
      </w:r>
      <w:r w:rsidR="008664D9">
        <w:t>d.lgs. n. 150 del 2011</w:t>
      </w:r>
      <w:r w:rsidR="00E24F76">
        <w:t>, e</w:t>
      </w:r>
      <w:r w:rsidR="00CD3C04">
        <w:t>d a</w:t>
      </w:r>
      <w:r w:rsidR="003C6923">
        <w:t xml:space="preserve"> quella</w:t>
      </w:r>
      <w:r w:rsidR="00E24F76">
        <w:t xml:space="preserve"> in materia di lavoro, ove invece </w:t>
      </w:r>
      <w:r w:rsidR="00FB62B2">
        <w:t>l’operatività</w:t>
      </w:r>
      <w:r w:rsidR="00E24F76">
        <w:t xml:space="preserve"> della norma è esclusa</w:t>
      </w:r>
      <w:r w:rsidR="00D61C38">
        <w:t xml:space="preserve">. </w:t>
      </w:r>
      <w:r w:rsidR="00E24F76">
        <w:t xml:space="preserve">Crediamo che </w:t>
      </w:r>
      <w:r w:rsidR="00DE7BB6">
        <w:t>questa disparità</w:t>
      </w:r>
      <w:r w:rsidR="00CD3C04">
        <w:t xml:space="preserve"> di trattamento</w:t>
      </w:r>
      <w:r w:rsidR="00DE7BB6">
        <w:t xml:space="preserve"> non </w:t>
      </w:r>
      <w:r w:rsidR="00ED1D78">
        <w:t>sia</w:t>
      </w:r>
      <w:r w:rsidR="00DE7BB6">
        <w:t xml:space="preserve"> </w:t>
      </w:r>
      <w:r>
        <w:t>in linea con il principio di uguaglianza di cui all’art. 3 Cost.</w:t>
      </w:r>
    </w:p>
    <w:p w:rsidR="00BC0BE3" w:rsidRDefault="00343F49" w:rsidP="009E4AF0">
      <w:pPr>
        <w:spacing w:after="0" w:line="240" w:lineRule="auto"/>
        <w:jc w:val="both"/>
      </w:pPr>
      <w:r>
        <w:t xml:space="preserve">La soluzione fatta propria dalle sezioni unite </w:t>
      </w:r>
      <w:r w:rsidR="00CD3C04">
        <w:t>è</w:t>
      </w:r>
      <w:r>
        <w:t xml:space="preserve"> invece maggiormente condivisibile per quanto concerne i giudizi di impugnazione, sotto </w:t>
      </w:r>
      <w:r w:rsidR="00BC0BE3">
        <w:t>svariati</w:t>
      </w:r>
      <w:r>
        <w:t xml:space="preserve"> punti di vista.</w:t>
      </w:r>
    </w:p>
    <w:p w:rsidR="00140BBA" w:rsidRDefault="00343F49" w:rsidP="00AE1258">
      <w:pPr>
        <w:spacing w:after="0" w:line="240" w:lineRule="auto"/>
        <w:jc w:val="both"/>
      </w:pPr>
      <w:r>
        <w:t xml:space="preserve">Anzitutto </w:t>
      </w:r>
      <w:r w:rsidR="00140BBA">
        <w:t>l’</w:t>
      </w:r>
      <w:r w:rsidR="005706A4">
        <w:t xml:space="preserve">attore – </w:t>
      </w:r>
      <w:r w:rsidR="00140BBA">
        <w:t xml:space="preserve">o il giudice </w:t>
      </w:r>
      <w:r w:rsidR="005706A4">
        <w:t xml:space="preserve">– </w:t>
      </w:r>
      <w:r w:rsidR="00140BBA">
        <w:t>nel corso del primo grado di giudizio</w:t>
      </w:r>
      <w:r w:rsidR="00140BBA" w:rsidRPr="00140BBA">
        <w:t xml:space="preserve"> </w:t>
      </w:r>
      <w:r w:rsidR="008E7085">
        <w:t>ha</w:t>
      </w:r>
      <w:r w:rsidR="00140BBA">
        <w:t xml:space="preserve"> compiuto una scelta esplicita in ordine al rito applicabile, dunque non è presente </w:t>
      </w:r>
      <w:r w:rsidR="005E20DF">
        <w:t>quanto meno</w:t>
      </w:r>
      <w:r w:rsidR="0062457F">
        <w:rPr>
          <w:rStyle w:val="Rimandonotaapidipagina"/>
        </w:rPr>
        <w:footnoteReference w:id="28"/>
      </w:r>
      <w:r w:rsidR="005E20DF">
        <w:t xml:space="preserve"> </w:t>
      </w:r>
      <w:r w:rsidR="00140BBA">
        <w:t xml:space="preserve">l’insidia rappresentata dalla “neutralità” </w:t>
      </w:r>
      <w:r w:rsidR="00140BBA" w:rsidRPr="001165BF">
        <w:t>della prima fase del procedimento, vista sopra a proposito delle opposizioni a decreto ingiuntivo</w:t>
      </w:r>
      <w:r w:rsidR="00140BBA">
        <w:t>.</w:t>
      </w:r>
    </w:p>
    <w:p w:rsidR="001963BA" w:rsidRDefault="001963BA" w:rsidP="001963BA">
      <w:pPr>
        <w:spacing w:after="0" w:line="240" w:lineRule="auto"/>
        <w:jc w:val="both"/>
      </w:pPr>
      <w:r>
        <w:t>In secondo luogo</w:t>
      </w:r>
      <w:r w:rsidR="00565D60">
        <w:t xml:space="preserve">, proprio l’esistenza di </w:t>
      </w:r>
      <w:r w:rsidR="000223A2">
        <w:t>questa</w:t>
      </w:r>
      <w:r w:rsidR="00F2098C">
        <w:t xml:space="preserve"> esplicita </w:t>
      </w:r>
      <w:r w:rsidR="0062457F">
        <w:t>opzione</w:t>
      </w:r>
      <w:r w:rsidR="00565D60">
        <w:t xml:space="preserve"> preclude la possibilità di </w:t>
      </w:r>
      <w:r w:rsidR="005706A4">
        <w:t>qualificare</w:t>
      </w:r>
      <w:r w:rsidR="0062457F">
        <w:t xml:space="preserve"> l’errore </w:t>
      </w:r>
      <w:r w:rsidR="005706A4">
        <w:t>che concerne l</w:t>
      </w:r>
      <w:r w:rsidR="000223A2">
        <w:t>a forma dell’</w:t>
      </w:r>
      <w:r w:rsidR="005706A4">
        <w:t>atto di impugnazione</w:t>
      </w:r>
      <w:r w:rsidR="0062457F">
        <w:t xml:space="preserve"> </w:t>
      </w:r>
      <w:r w:rsidR="005706A4">
        <w:t>come conseguenza</w:t>
      </w:r>
      <w:r w:rsidR="00F2098C">
        <w:t xml:space="preserve"> </w:t>
      </w:r>
      <w:r w:rsidR="005706A4">
        <w:t>de</w:t>
      </w:r>
      <w:r w:rsidR="0062457F">
        <w:t xml:space="preserve">ll’adozione di un rito </w:t>
      </w:r>
      <w:r w:rsidR="000223A2">
        <w:t>errato</w:t>
      </w:r>
      <w:r w:rsidR="005706A4">
        <w:t>.</w:t>
      </w:r>
      <w:r w:rsidR="0062457F">
        <w:t xml:space="preserve"> </w:t>
      </w:r>
      <w:r w:rsidR="00565D60">
        <w:t>C</w:t>
      </w:r>
      <w:r>
        <w:t xml:space="preserve">ome abbiamo ricordato nel precedente paragrafo, </w:t>
      </w:r>
      <w:r w:rsidRPr="001165BF">
        <w:t xml:space="preserve">da un esame sistematico delle norme </w:t>
      </w:r>
      <w:r>
        <w:t xml:space="preserve">sul mutamento di rito emerge </w:t>
      </w:r>
      <w:r w:rsidR="00565D60">
        <w:t xml:space="preserve">infatti </w:t>
      </w:r>
      <w:r>
        <w:t>che</w:t>
      </w:r>
      <w:r w:rsidRPr="001165BF">
        <w:t xml:space="preserve"> il potere di mutare </w:t>
      </w:r>
      <w:r w:rsidR="00117303">
        <w:t xml:space="preserve">il </w:t>
      </w:r>
      <w:r w:rsidRPr="001165BF">
        <w:t>rito spetta unicamente al giudice</w:t>
      </w:r>
      <w:r w:rsidR="00565D60">
        <w:t>.</w:t>
      </w:r>
      <w:r w:rsidR="00117303">
        <w:t xml:space="preserve"> </w:t>
      </w:r>
      <w:r w:rsidRPr="001165BF">
        <w:t>Ammettere la possibilità che un errore di rito sia compiuto in gradi successivi al primo (essenzialmente nel giudizio d’appello, giacché per il giudizio</w:t>
      </w:r>
      <w:r>
        <w:t xml:space="preserve"> di cassazione il problema non si pone)</w:t>
      </w:r>
      <w:r w:rsidR="008E7085">
        <w:t xml:space="preserve">, </w:t>
      </w:r>
      <w:r>
        <w:t>signific</w:t>
      </w:r>
      <w:r w:rsidR="00565D60">
        <w:t>herebbe</w:t>
      </w:r>
      <w:r>
        <w:t xml:space="preserve"> invece introdurre in capo alla parte una vera e propria facoltà di operare il mutamento di sua iniziativa</w:t>
      </w:r>
      <w:r w:rsidR="00F2098C">
        <w:t xml:space="preserve">, </w:t>
      </w:r>
      <w:r w:rsidR="000223A2">
        <w:t xml:space="preserve">un’iniziativa </w:t>
      </w:r>
      <w:r w:rsidR="005706A4">
        <w:t xml:space="preserve">per di </w:t>
      </w:r>
      <w:r w:rsidR="00F2098C">
        <w:t xml:space="preserve">più </w:t>
      </w:r>
      <w:r w:rsidR="005706A4">
        <w:t>implicita</w:t>
      </w:r>
      <w:r w:rsidR="000D64F2">
        <w:t xml:space="preserve">, ossia che si dovrebbe </w:t>
      </w:r>
      <w:r w:rsidR="000223A2">
        <w:t xml:space="preserve">desumere </w:t>
      </w:r>
      <w:r w:rsidR="000D64F2">
        <w:t>dall</w:t>
      </w:r>
      <w:r w:rsidR="000223A2">
        <w:t>’</w:t>
      </w:r>
      <w:r w:rsidR="000D64F2">
        <w:t>adozione</w:t>
      </w:r>
      <w:r w:rsidR="000223A2">
        <w:t xml:space="preserve"> di un modello formale di atto introduttivo diverso da quello previsto per il rito seguito sino a quel momento.</w:t>
      </w:r>
    </w:p>
    <w:p w:rsidR="00565D60" w:rsidRDefault="000D64F2" w:rsidP="00AE1258">
      <w:pPr>
        <w:spacing w:after="0" w:line="240" w:lineRule="auto"/>
        <w:jc w:val="both"/>
      </w:pPr>
      <w:r>
        <w:t>Infine</w:t>
      </w:r>
      <w:r w:rsidR="00BC0BE3" w:rsidRPr="001165BF">
        <w:t xml:space="preserve"> non vi sono </w:t>
      </w:r>
      <w:r w:rsidR="000223A2">
        <w:t xml:space="preserve">trattamenti differenziati dell’errore commesso nel giudizio </w:t>
      </w:r>
      <w:r w:rsidR="00E9473B" w:rsidRPr="001165BF">
        <w:t>di impugnazione</w:t>
      </w:r>
      <w:r>
        <w:t>, non esiste dunque quella disparità veduta poc’anzi a proposito delle diverse tipologie di opposizione a decreto ingiuntivo</w:t>
      </w:r>
      <w:r w:rsidR="00BC0BE3" w:rsidRPr="001165BF">
        <w:t>.</w:t>
      </w:r>
      <w:r>
        <w:t xml:space="preserve"> </w:t>
      </w:r>
    </w:p>
    <w:p w:rsidR="009A5BC5" w:rsidRDefault="009A5BC5" w:rsidP="009E4AF0">
      <w:pPr>
        <w:spacing w:after="0" w:line="240" w:lineRule="auto"/>
        <w:jc w:val="both"/>
      </w:pPr>
      <w:r>
        <w:t xml:space="preserve">Resta </w:t>
      </w:r>
      <w:r w:rsidR="00590854">
        <w:t>ora</w:t>
      </w:r>
      <w:r>
        <w:t xml:space="preserve"> da comprendere </w:t>
      </w:r>
      <w:r w:rsidR="00590854">
        <w:t>se le conseguenze dell’</w:t>
      </w:r>
      <w:r>
        <w:t>errore che coinvolge</w:t>
      </w:r>
      <w:r w:rsidR="00A87DDC">
        <w:t xml:space="preserve"> </w:t>
      </w:r>
      <w:r w:rsidR="00590854">
        <w:t>il solo modello formale di atto introduttivo debbano essere quelle</w:t>
      </w:r>
      <w:r>
        <w:t xml:space="preserve"> </w:t>
      </w:r>
      <w:r w:rsidR="00590854">
        <w:t>individuate dalla giurisprudenza o se non sia</w:t>
      </w:r>
      <w:r w:rsidR="00565D60">
        <w:t xml:space="preserve"> invece preferibile aderire a</w:t>
      </w:r>
      <w:r w:rsidR="00590854">
        <w:t xml:space="preserve"> </w:t>
      </w:r>
      <w:r w:rsidR="00565D60">
        <w:t xml:space="preserve">soluzioni </w:t>
      </w:r>
      <w:r w:rsidR="003A4E02">
        <w:t xml:space="preserve">interpretative </w:t>
      </w:r>
      <w:r w:rsidR="00565D60">
        <w:t>differenti</w:t>
      </w:r>
      <w:r>
        <w:t>, argomento che affronteremo nel prossimo paragrafo.</w:t>
      </w:r>
    </w:p>
    <w:p w:rsidR="006A263C" w:rsidRDefault="006A263C" w:rsidP="009E4AF0">
      <w:pPr>
        <w:spacing w:after="0" w:line="240" w:lineRule="auto"/>
        <w:jc w:val="both"/>
      </w:pPr>
    </w:p>
    <w:p w:rsidR="004D6FE2" w:rsidRDefault="004D6FE2" w:rsidP="009E4AF0">
      <w:pPr>
        <w:spacing w:after="0" w:line="240" w:lineRule="auto"/>
        <w:jc w:val="both"/>
      </w:pPr>
    </w:p>
    <w:p w:rsidR="00C9024F" w:rsidRDefault="00233CD2" w:rsidP="009E4AF0">
      <w:pPr>
        <w:spacing w:after="0" w:line="240" w:lineRule="auto"/>
        <w:jc w:val="both"/>
      </w:pPr>
      <w:r>
        <w:t xml:space="preserve">5. – </w:t>
      </w:r>
      <w:r w:rsidR="00DE7BB6">
        <w:t>La conversione rappresenta un fenomeno ben noto nell’ambito sostanziale</w:t>
      </w:r>
      <w:r w:rsidR="00366C97">
        <w:t>:</w:t>
      </w:r>
      <w:r w:rsidR="00DE7BB6">
        <w:t xml:space="preserve"> si pensi all’art. 1424 c.c., a norma del quale il contratto nullo può produrre gli </w:t>
      </w:r>
      <w:r w:rsidR="00E9473B">
        <w:t xml:space="preserve">effetti di un contratto diverso se ne </w:t>
      </w:r>
      <w:r w:rsidR="00366C97">
        <w:t>soddisf</w:t>
      </w:r>
      <w:r w:rsidR="00E9473B">
        <w:t>a</w:t>
      </w:r>
      <w:r w:rsidR="00366C97">
        <w:t xml:space="preserve"> i</w:t>
      </w:r>
      <w:r w:rsidR="00DE7BB6" w:rsidRPr="00DE7BB6">
        <w:t xml:space="preserve"> requisiti di forma e sostanza, qualora</w:t>
      </w:r>
      <w:r w:rsidR="00366C97">
        <w:t xml:space="preserve"> risulti</w:t>
      </w:r>
      <w:r w:rsidR="00DE7BB6" w:rsidRPr="00DE7BB6">
        <w:t xml:space="preserve"> che </w:t>
      </w:r>
      <w:r w:rsidR="00366C97">
        <w:t>le parti</w:t>
      </w:r>
      <w:r w:rsidR="00DE7BB6" w:rsidRPr="00DE7BB6">
        <w:t xml:space="preserve"> lo avrebbero voluto</w:t>
      </w:r>
      <w:r w:rsidR="00366C97">
        <w:t>,</w:t>
      </w:r>
      <w:r w:rsidR="00DE7BB6" w:rsidRPr="00DE7BB6">
        <w:t xml:space="preserve"> se avessero conosciuto la nullità</w:t>
      </w:r>
      <w:r w:rsidR="00C9024F">
        <w:t>.</w:t>
      </w:r>
    </w:p>
    <w:p w:rsidR="00366C97" w:rsidRDefault="00366C97" w:rsidP="009E4AF0">
      <w:pPr>
        <w:spacing w:after="0" w:line="240" w:lineRule="auto"/>
        <w:jc w:val="both"/>
      </w:pPr>
      <w:r>
        <w:t xml:space="preserve">Nel codice di rito, al contrario, </w:t>
      </w:r>
      <w:r w:rsidR="00C9024F">
        <w:t>la conversione</w:t>
      </w:r>
      <w:r>
        <w:t xml:space="preserve"> non è espressamente </w:t>
      </w:r>
      <w:r w:rsidR="00C9024F">
        <w:t>disciplinata</w:t>
      </w:r>
      <w:r>
        <w:t xml:space="preserve"> da alcuna norma. </w:t>
      </w:r>
      <w:r w:rsidR="003A4E02">
        <w:t>La</w:t>
      </w:r>
      <w:r>
        <w:t xml:space="preserve"> dottrina ritiene nondimeno che </w:t>
      </w:r>
      <w:r w:rsidR="00C9024F">
        <w:t>essa</w:t>
      </w:r>
      <w:r>
        <w:t xml:space="preserve"> possa operare anche per gli atti proces</w:t>
      </w:r>
      <w:r w:rsidR="00E9473B">
        <w:t xml:space="preserve">suali, quale manifestazione dei principi </w:t>
      </w:r>
      <w:r>
        <w:t>di conservazione degli atti giuridici ovvero di economia processuale</w:t>
      </w:r>
      <w:r>
        <w:rPr>
          <w:rStyle w:val="Rimandonotaapidipagina"/>
        </w:rPr>
        <w:footnoteReference w:id="29"/>
      </w:r>
      <w:r>
        <w:t>.</w:t>
      </w:r>
      <w:r w:rsidR="00C9024F">
        <w:t xml:space="preserve"> Anche la giurisprudenza, come abbiamo visto, riconosce alla conversione diritto di </w:t>
      </w:r>
      <w:r w:rsidR="00C9024F" w:rsidRPr="001165BF">
        <w:t>cittadinanza in campo</w:t>
      </w:r>
      <w:r w:rsidR="00C9024F">
        <w:t xml:space="preserve"> processuale.</w:t>
      </w:r>
    </w:p>
    <w:p w:rsidR="00C9024F" w:rsidRDefault="00C9024F" w:rsidP="009E4AF0">
      <w:pPr>
        <w:spacing w:after="0" w:line="240" w:lineRule="auto"/>
        <w:jc w:val="both"/>
      </w:pPr>
      <w:r>
        <w:t>Il fondamento normativo e le con</w:t>
      </w:r>
      <w:r w:rsidR="001C5C8F">
        <w:t>seguenze della conversione</w:t>
      </w:r>
      <w:r w:rsidR="000B0628">
        <w:t>,</w:t>
      </w:r>
      <w:r w:rsidR="001C5C8F">
        <w:t xml:space="preserve"> tuttavia</w:t>
      </w:r>
      <w:r w:rsidR="000B0628">
        <w:t>,</w:t>
      </w:r>
      <w:r w:rsidR="001C5C8F">
        <w:t xml:space="preserve"> </w:t>
      </w:r>
      <w:r w:rsidR="00B459B0">
        <w:t>destano perplessità</w:t>
      </w:r>
      <w:r>
        <w:t xml:space="preserve">. </w:t>
      </w:r>
      <w:r w:rsidR="007E53DA">
        <w:t>La giurisprudenza prevalente richiama</w:t>
      </w:r>
      <w:r>
        <w:t xml:space="preserve"> l’art. 156, comma 3°, c.p.c., ovvero la sanatoria della nullità formale</w:t>
      </w:r>
      <w:r w:rsidR="007E53DA">
        <w:t xml:space="preserve"> per raggiungimento dello scopo.</w:t>
      </w:r>
      <w:r>
        <w:t xml:space="preserve"> </w:t>
      </w:r>
      <w:r w:rsidR="007E53DA">
        <w:t>I</w:t>
      </w:r>
      <w:r>
        <w:t>n altri</w:t>
      </w:r>
      <w:r w:rsidR="007E53DA">
        <w:t xml:space="preserve"> casi si menziona</w:t>
      </w:r>
      <w:r>
        <w:t xml:space="preserve"> l’art. 159</w:t>
      </w:r>
      <w:r w:rsidR="00BD63AA">
        <w:t>, comma 3°,</w:t>
      </w:r>
      <w:r>
        <w:t xml:space="preserve"> c.p.c.</w:t>
      </w:r>
      <w:r w:rsidR="00BD63AA">
        <w:t xml:space="preserve">, secondo cui l’atto </w:t>
      </w:r>
      <w:r w:rsidR="00BD63AA">
        <w:lastRenderedPageBreak/>
        <w:t>processuale, qualora non possa produrre un dato effetto perché</w:t>
      </w:r>
      <w:r w:rsidR="00E9473B">
        <w:t xml:space="preserve"> è</w:t>
      </w:r>
      <w:r w:rsidR="00BD63AA">
        <w:t xml:space="preserve"> viziato, può tuttavia produrne altri, per i quali risulta idoneo</w:t>
      </w:r>
      <w:r w:rsidR="00BD63AA">
        <w:rPr>
          <w:rStyle w:val="Rimandonotaapidipagina"/>
        </w:rPr>
        <w:footnoteReference w:id="30"/>
      </w:r>
      <w:r w:rsidR="00BD63AA">
        <w:t>.</w:t>
      </w:r>
    </w:p>
    <w:p w:rsidR="00CD06CE" w:rsidRDefault="00A33E25" w:rsidP="009E4AF0">
      <w:pPr>
        <w:spacing w:after="0" w:line="240" w:lineRule="auto"/>
        <w:jc w:val="both"/>
      </w:pPr>
      <w:r>
        <w:t>L</w:t>
      </w:r>
      <w:r w:rsidR="00CD06CE">
        <w:t>’art. 156, comma 3°, c.p.c., afferma che, in caso di raggiungimento dello scopo, “la nullità non può essere dichiarata”. Da questa locuzione si ricava la natura retroattiva della sanatoria</w:t>
      </w:r>
      <w:r w:rsidR="00CD06CE">
        <w:rPr>
          <w:rStyle w:val="Rimandonotaapidipagina"/>
        </w:rPr>
        <w:footnoteReference w:id="31"/>
      </w:r>
      <w:r w:rsidR="00CD06CE">
        <w:t>. Allorquando la citazione viene convertita in ricorso e si scrutina il momento del suo deposito anziché quello della notificazione</w:t>
      </w:r>
      <w:r w:rsidR="001C5C8F">
        <w:t xml:space="preserve"> </w:t>
      </w:r>
      <w:r w:rsidR="00CD06CE">
        <w:t xml:space="preserve">– </w:t>
      </w:r>
      <w:r w:rsidR="001C5C8F">
        <w:t xml:space="preserve">o viceversa, </w:t>
      </w:r>
      <w:r w:rsidR="00CD06CE">
        <w:t>come si è visto</w:t>
      </w:r>
      <w:r w:rsidR="00D9376B">
        <w:t xml:space="preserve"> </w:t>
      </w:r>
      <w:r w:rsidR="000B68BD">
        <w:t>ne</w:t>
      </w:r>
      <w:r w:rsidR="00CD06CE">
        <w:t xml:space="preserve">l paragrafo 3 – </w:t>
      </w:r>
      <w:r w:rsidR="00B42967">
        <w:t>la</w:t>
      </w:r>
      <w:r w:rsidR="00CD06CE">
        <w:t xml:space="preserve"> nullità dell’atto</w:t>
      </w:r>
      <w:r w:rsidR="003A4E02">
        <w:t xml:space="preserve"> è invece</w:t>
      </w:r>
      <w:r w:rsidR="00B42967">
        <w:t xml:space="preserve"> pronunciata</w:t>
      </w:r>
      <w:r w:rsidR="001C5C8F">
        <w:t xml:space="preserve"> e la sanatoria si considera opera</w:t>
      </w:r>
      <w:r w:rsidR="0067703E">
        <w:t>n</w:t>
      </w:r>
      <w:r w:rsidR="001C5C8F">
        <w:t>te in un momento successivo a quello in cui è stato compiuto l’atto invalido</w:t>
      </w:r>
      <w:r w:rsidR="00CD06CE">
        <w:t>.</w:t>
      </w:r>
    </w:p>
    <w:p w:rsidR="00E77258" w:rsidRDefault="00E77258" w:rsidP="009E4AF0">
      <w:pPr>
        <w:spacing w:after="0" w:line="240" w:lineRule="auto"/>
        <w:jc w:val="both"/>
      </w:pPr>
      <w:r>
        <w:t xml:space="preserve">Talvolta la giurisprudenza </w:t>
      </w:r>
      <w:r w:rsidR="000B0628">
        <w:t>sostiene</w:t>
      </w:r>
      <w:r>
        <w:rPr>
          <w:rStyle w:val="Rimandonotaapidipagina"/>
        </w:rPr>
        <w:footnoteReference w:id="32"/>
      </w:r>
      <w:r w:rsidR="000B0628">
        <w:t xml:space="preserve"> </w:t>
      </w:r>
      <w:r>
        <w:t xml:space="preserve">che la nullità derivante dall’impiego di una forma errata </w:t>
      </w:r>
      <w:r w:rsidR="00B42967">
        <w:t xml:space="preserve">per </w:t>
      </w:r>
      <w:r>
        <w:t>l’atto introduttivo si san</w:t>
      </w:r>
      <w:r w:rsidR="006710FB">
        <w:t>a</w:t>
      </w:r>
      <w:r w:rsidR="00AB2686">
        <w:t>, oltre che per la tempestiva notifica del ricorso impropriamente utilizzato dall’attore,</w:t>
      </w:r>
      <w:r>
        <w:t xml:space="preserve"> </w:t>
      </w:r>
      <w:r w:rsidR="00AB2686">
        <w:t xml:space="preserve">anche alla luce della scelta della </w:t>
      </w:r>
      <w:r>
        <w:t xml:space="preserve">controparte </w:t>
      </w:r>
      <w:r w:rsidR="00AB2686">
        <w:t xml:space="preserve">di costituirsi </w:t>
      </w:r>
      <w:r w:rsidR="00A33E25">
        <w:t>senza proporre alcuna eccezione</w:t>
      </w:r>
      <w:r w:rsidR="003A4E02">
        <w:t xml:space="preserve">; in questo modo viene </w:t>
      </w:r>
      <w:r w:rsidR="000B0628">
        <w:t xml:space="preserve">tuttavia </w:t>
      </w:r>
      <w:r w:rsidR="003A4E02">
        <w:t>a crearsi</w:t>
      </w:r>
      <w:r w:rsidR="00122830">
        <w:t xml:space="preserve"> una commistione tra</w:t>
      </w:r>
      <w:r>
        <w:t xml:space="preserve"> ragioni oggettive e soggettive</w:t>
      </w:r>
      <w:r w:rsidR="00122830">
        <w:t xml:space="preserve"> di sanatoria</w:t>
      </w:r>
      <w:r>
        <w:rPr>
          <w:rStyle w:val="Rimandonotaapidipagina"/>
        </w:rPr>
        <w:footnoteReference w:id="33"/>
      </w:r>
      <w:r>
        <w:t>.</w:t>
      </w:r>
      <w:r w:rsidR="000B0628">
        <w:t xml:space="preserve"> </w:t>
      </w:r>
      <w:r w:rsidR="00122830">
        <w:t>Il richiamo alla condotta dell’avversario</w:t>
      </w:r>
      <w:r w:rsidR="00A83466">
        <w:t xml:space="preserve"> in uno degli </w:t>
      </w:r>
      <w:proofErr w:type="spellStart"/>
      <w:r w:rsidR="00A83466">
        <w:t>àmbiti</w:t>
      </w:r>
      <w:proofErr w:type="spellEnd"/>
      <w:r w:rsidR="008B6077">
        <w:t xml:space="preserve"> in cui più spesso la giurisprudenza ricorre all’istituto della conversione</w:t>
      </w:r>
      <w:r w:rsidR="00A83466">
        <w:t>, i giudizi di impugnazione,</w:t>
      </w:r>
      <w:r w:rsidR="00122830">
        <w:t xml:space="preserve"> </w:t>
      </w:r>
      <w:r w:rsidR="00E34DEA">
        <w:t xml:space="preserve">non è </w:t>
      </w:r>
      <w:r w:rsidR="003A4E02">
        <w:t>inoltre</w:t>
      </w:r>
      <w:r w:rsidR="00122830">
        <w:t xml:space="preserve"> calzante in quanto</w:t>
      </w:r>
      <w:r>
        <w:t xml:space="preserve"> la tardività dell’impugnazione</w:t>
      </w:r>
      <w:r w:rsidR="00D3399C">
        <w:t xml:space="preserve"> e la conseguente formazione del giudicato</w:t>
      </w:r>
      <w:r>
        <w:t xml:space="preserve"> p</w:t>
      </w:r>
      <w:r w:rsidR="00D3399C">
        <w:t>ossono essere rilevate</w:t>
      </w:r>
      <w:r>
        <w:t xml:space="preserve"> d’ufficio</w:t>
      </w:r>
      <w:r w:rsidR="00E34DEA">
        <w:rPr>
          <w:rStyle w:val="Rimandonotaapidipagina"/>
        </w:rPr>
        <w:footnoteReference w:id="34"/>
      </w:r>
      <w:r w:rsidR="00352C76">
        <w:t>.</w:t>
      </w:r>
      <w:r>
        <w:t xml:space="preserve"> </w:t>
      </w:r>
      <w:r w:rsidR="006710FB">
        <w:t xml:space="preserve">Se </w:t>
      </w:r>
      <w:r w:rsidR="00D3399C">
        <w:t>davvero</w:t>
      </w:r>
      <w:r w:rsidR="00352C76">
        <w:t xml:space="preserve"> l’impugnazione</w:t>
      </w:r>
      <w:r>
        <w:t xml:space="preserve"> </w:t>
      </w:r>
      <w:r w:rsidR="00352C76">
        <w:t>proposta con citazione anziché con ricorso produce</w:t>
      </w:r>
      <w:r w:rsidR="006710FB">
        <w:t>sse</w:t>
      </w:r>
      <w:r w:rsidR="00352C76">
        <w:t xml:space="preserve"> effetto solo al momento del deposito dell’atto in cancelleria, il collocarsi di quest’ultimo incombente dopo lo spirare del termine imposto all’attore </w:t>
      </w:r>
      <w:r w:rsidR="006E64B3">
        <w:t>d</w:t>
      </w:r>
      <w:r w:rsidR="0059569C">
        <w:t>ovrebbe</w:t>
      </w:r>
      <w:r w:rsidR="00352C76">
        <w:t xml:space="preserve"> comportare una declaratoria di</w:t>
      </w:r>
      <w:r>
        <w:t xml:space="preserve"> inammissibil</w:t>
      </w:r>
      <w:r w:rsidR="00352C76">
        <w:t>ità anche</w:t>
      </w:r>
      <w:r>
        <w:t xml:space="preserve"> nel silenzio dell’altra parte.</w:t>
      </w:r>
      <w:r w:rsidR="005D2324">
        <w:t xml:space="preserve"> Identiche considerazioni valgono per l’opposizione a decreto ingiuntivo</w:t>
      </w:r>
      <w:r w:rsidR="005D2324">
        <w:rPr>
          <w:rStyle w:val="Rimandonotaapidipagina"/>
        </w:rPr>
        <w:footnoteReference w:id="35"/>
      </w:r>
      <w:r w:rsidR="005D2324">
        <w:t>.</w:t>
      </w:r>
    </w:p>
    <w:p w:rsidR="00FA4A5B" w:rsidRDefault="00FA4A5B" w:rsidP="009E4AF0">
      <w:pPr>
        <w:spacing w:after="0" w:line="240" w:lineRule="auto"/>
        <w:jc w:val="both"/>
      </w:pPr>
      <w:r>
        <w:t xml:space="preserve">Quanto poi all’art. 159 c.p.c., </w:t>
      </w:r>
      <w:r w:rsidR="005C3866">
        <w:t>la</w:t>
      </w:r>
      <w:r>
        <w:t xml:space="preserve"> conversione</w:t>
      </w:r>
      <w:r w:rsidR="005C3866">
        <w:t xml:space="preserve"> di cui ci occupiamo</w:t>
      </w:r>
      <w:r w:rsidR="001F3D8D">
        <w:t>, per come è delineata dalla giurisprudenza,</w:t>
      </w:r>
      <w:r>
        <w:t xml:space="preserve"> non </w:t>
      </w:r>
      <w:r w:rsidR="001F3D8D">
        <w:t>comporta</w:t>
      </w:r>
      <w:r>
        <w:t xml:space="preserve"> che un determinato atto, improduttivo di un effetto, ne realizzi tuttavia un altro</w:t>
      </w:r>
      <w:r w:rsidR="005C3866">
        <w:t xml:space="preserve"> o realizzi effetti quantitativamente ridotti</w:t>
      </w:r>
      <w:r w:rsidR="007776B4">
        <w:t>; semplicemente</w:t>
      </w:r>
      <w:r w:rsidR="002E3039">
        <w:t xml:space="preserve"> essa</w:t>
      </w:r>
      <w:r w:rsidR="007776B4">
        <w:t xml:space="preserve"> differisce il momento in cui l’atto produce l’unico effetto che qui rileva, ossia la proposizione d</w:t>
      </w:r>
      <w:r w:rsidR="002E74A9">
        <w:t>ella domanda o dell’impugnazione</w:t>
      </w:r>
      <w:r w:rsidR="007776B4">
        <w:t>.</w:t>
      </w:r>
    </w:p>
    <w:p w:rsidR="00352C76" w:rsidRDefault="00352C76" w:rsidP="009E4AF0">
      <w:pPr>
        <w:spacing w:after="0" w:line="240" w:lineRule="auto"/>
        <w:jc w:val="both"/>
      </w:pPr>
      <w:r>
        <w:t xml:space="preserve">I profili critici appena evidenziati crediamo dimostrino come </w:t>
      </w:r>
      <w:r w:rsidR="00E57FC4">
        <w:t xml:space="preserve">il ricorso alla figura della conversione dell’atto processuale e </w:t>
      </w:r>
      <w:r w:rsidR="004B607A">
        <w:t>le con</w:t>
      </w:r>
      <w:r w:rsidR="00E57FC4">
        <w:t>seguenze che da quest’ultima derivano secondo</w:t>
      </w:r>
      <w:r w:rsidR="004B607A">
        <w:t xml:space="preserve"> la prevalente giurisprudenza vadano complessivamente ripensate</w:t>
      </w:r>
      <w:r w:rsidR="00480768">
        <w:rPr>
          <w:rStyle w:val="Rimandonotaapidipagina"/>
        </w:rPr>
        <w:footnoteReference w:id="36"/>
      </w:r>
      <w:r w:rsidR="002E3039">
        <w:t>.</w:t>
      </w:r>
    </w:p>
    <w:p w:rsidR="00B622D5" w:rsidRDefault="00EA493D" w:rsidP="009E4AF0">
      <w:pPr>
        <w:spacing w:after="0" w:line="240" w:lineRule="auto"/>
        <w:jc w:val="both"/>
      </w:pPr>
      <w:r>
        <w:t>Il punto di partenza di una diversa ricostruzione deve, a nostro avviso, necessariamente essere una riflessione su</w:t>
      </w:r>
      <w:r w:rsidR="007F5ABA">
        <w:t>l</w:t>
      </w:r>
      <w:r>
        <w:t>l</w:t>
      </w:r>
      <w:r w:rsidR="007F5ABA">
        <w:t>e ragioni</w:t>
      </w:r>
      <w:r>
        <w:t xml:space="preserve"> </w:t>
      </w:r>
      <w:r w:rsidR="007F5ABA">
        <w:t xml:space="preserve">che inducono a collocare in un determinato momento gli effetti </w:t>
      </w:r>
      <w:r w:rsidR="00C61F06">
        <w:t>dell’atto introduttivo del giudizio</w:t>
      </w:r>
      <w:r w:rsidR="007F5ABA">
        <w:t>.</w:t>
      </w:r>
    </w:p>
    <w:p w:rsidR="006C1224" w:rsidRDefault="006C1224" w:rsidP="009E4AF0">
      <w:pPr>
        <w:spacing w:after="0" w:line="240" w:lineRule="auto"/>
        <w:jc w:val="both"/>
      </w:pPr>
      <w:r>
        <w:t>Di regola gli effetti della domanda si producono con la notificazione della citazion</w:t>
      </w:r>
      <w:r w:rsidR="009A41B8">
        <w:t xml:space="preserve">e o con il deposito del ricorso, come si evince dall’art. 39 </w:t>
      </w:r>
      <w:proofErr w:type="gramStart"/>
      <w:r w:rsidR="009A41B8">
        <w:t>c.p.c.</w:t>
      </w:r>
      <w:r w:rsidR="009A41B8">
        <w:rPr>
          <w:rStyle w:val="Rimandonotaapidipagina"/>
        </w:rPr>
        <w:footnoteReference w:id="37"/>
      </w:r>
      <w:r w:rsidR="009A41B8">
        <w:t>.</w:t>
      </w:r>
      <w:proofErr w:type="gramEnd"/>
      <w:r w:rsidR="009A41B8">
        <w:t xml:space="preserve"> Vi sono tuttavia alcu</w:t>
      </w:r>
      <w:r w:rsidR="000B0628">
        <w:t xml:space="preserve">ni giudizi di impugnazione nei quali l’atto </w:t>
      </w:r>
      <w:r w:rsidR="000B0628">
        <w:lastRenderedPageBreak/>
        <w:t>introduttivo riveste le forme del ricorso e nondimeno</w:t>
      </w:r>
      <w:r w:rsidR="009A41B8">
        <w:t xml:space="preserve"> la</w:t>
      </w:r>
      <w:r w:rsidR="004B607A">
        <w:t xml:space="preserve"> sua</w:t>
      </w:r>
      <w:r w:rsidR="009A41B8">
        <w:t xml:space="preserve"> tem</w:t>
      </w:r>
      <w:r w:rsidR="00A5523C">
        <w:t>pestività deve essere</w:t>
      </w:r>
      <w:r w:rsidR="009A41B8">
        <w:t xml:space="preserve"> valutata aven</w:t>
      </w:r>
      <w:r w:rsidR="00C61F06">
        <w:t>do riguardo alla notificazione,</w:t>
      </w:r>
      <w:r w:rsidR="009A41B8">
        <w:t xml:space="preserve"> non al deposito: è il caso del regolamento di competenza, per il quale l’art. </w:t>
      </w:r>
      <w:r w:rsidR="006B7E45">
        <w:t>47 molto chiaramente dispone</w:t>
      </w:r>
      <w:r w:rsidR="002E3039">
        <w:t>:</w:t>
      </w:r>
      <w:r w:rsidR="006B7E45">
        <w:t xml:space="preserve"> “i</w:t>
      </w:r>
      <w:r w:rsidR="006B7E45" w:rsidRPr="006B7E45">
        <w:t>l ricorso deve essere notificato alle parti che non vi hanno aderito entro il termine perentorio di trenta g</w:t>
      </w:r>
      <w:r w:rsidR="006B7E45">
        <w:t>iorni dalla comunicazione dell’</w:t>
      </w:r>
      <w:r w:rsidR="006B7E45" w:rsidRPr="006B7E45">
        <w:t>ordinanza che abbia pronunciato sulla competenza</w:t>
      </w:r>
      <w:r w:rsidR="006B7E45">
        <w:t xml:space="preserve">”. </w:t>
      </w:r>
      <w:r w:rsidR="00725E16">
        <w:t>Anche il</w:t>
      </w:r>
      <w:r w:rsidR="006B7E45">
        <w:t xml:space="preserve"> ricorso per cassazione </w:t>
      </w:r>
      <w:r w:rsidR="00725E16">
        <w:t xml:space="preserve">– </w:t>
      </w:r>
      <w:r w:rsidR="00FF4B33">
        <w:t>come si può ricavare dall’art. 369, comma 1°, c.p.c.</w:t>
      </w:r>
      <w:r w:rsidR="00725E16">
        <w:t xml:space="preserve"> – </w:t>
      </w:r>
      <w:r w:rsidR="006B7E45">
        <w:t>deve essere notificato</w:t>
      </w:r>
      <w:r w:rsidR="00725E16">
        <w:t xml:space="preserve"> e non depositato nei termini previsti dagli artt. 325 e 327 c.p.c. </w:t>
      </w:r>
      <w:r w:rsidR="00FF4B33">
        <w:t>Lo stesso accade per</w:t>
      </w:r>
      <w:r w:rsidR="00725E16">
        <w:t xml:space="preserve"> il ricorso incidentale: il termine per la sua proposizione si considera </w:t>
      </w:r>
      <w:r w:rsidR="000B0628">
        <w:t>rispettato</w:t>
      </w:r>
      <w:r w:rsidR="00725E16">
        <w:t xml:space="preserve"> con la notificazione e non con il successivo deposito dell’atto che lo contiene (artt. 370 e 371 c.p.c.).</w:t>
      </w:r>
    </w:p>
    <w:p w:rsidR="005F7BA6" w:rsidRDefault="002F1673" w:rsidP="009E4AF0">
      <w:pPr>
        <w:spacing w:after="0" w:line="240" w:lineRule="auto"/>
        <w:jc w:val="both"/>
      </w:pPr>
      <w:r>
        <w:t xml:space="preserve">La </w:t>
      </w:r>
      <w:r w:rsidRPr="00BB651D">
        <w:rPr>
          <w:i/>
        </w:rPr>
        <w:t>ratio</w:t>
      </w:r>
      <w:r>
        <w:t xml:space="preserve"> delle norme appena citate ci pare evidente: </w:t>
      </w:r>
      <w:r w:rsidR="002E3039">
        <w:t xml:space="preserve">l’impugnazione </w:t>
      </w:r>
      <w:r w:rsidR="00F92727">
        <w:t>s</w:t>
      </w:r>
      <w:r w:rsidR="002E3039">
        <w:t>i considera proposta</w:t>
      </w:r>
      <w:r>
        <w:t xml:space="preserve"> nel momento in cui l’atto che l</w:t>
      </w:r>
      <w:r w:rsidR="003F44B9">
        <w:t>a</w:t>
      </w:r>
      <w:r>
        <w:t xml:space="preserve"> contiene esce dalla sfera di disponibilità della parte, venendo comunicato ad uno degli altri soggetti del processo, sia esso il giudice o la con</w:t>
      </w:r>
      <w:r w:rsidR="00B8067B">
        <w:t>troparte</w:t>
      </w:r>
      <w:r w:rsidR="005F7BA6">
        <w:t>.</w:t>
      </w:r>
      <w:r w:rsidR="005F7BA6" w:rsidRPr="005F7BA6">
        <w:t xml:space="preserve"> </w:t>
      </w:r>
      <w:r w:rsidR="003F44B9">
        <w:t>Quando ciò avviene,</w:t>
      </w:r>
      <w:r w:rsidR="005F7BA6">
        <w:t xml:space="preserve"> il suo contenuto si cristallizza</w:t>
      </w:r>
      <w:r w:rsidR="003F44B9">
        <w:t xml:space="preserve"> e</w:t>
      </w:r>
      <w:r w:rsidR="005F7BA6">
        <w:t xml:space="preserve"> </w:t>
      </w:r>
      <w:r w:rsidR="007825B5">
        <w:t>chi</w:t>
      </w:r>
      <w:r w:rsidR="005F7BA6">
        <w:t xml:space="preserve"> ha compiuto </w:t>
      </w:r>
      <w:r w:rsidR="007825B5">
        <w:t xml:space="preserve">l’atto </w:t>
      </w:r>
      <w:r w:rsidR="005F7BA6">
        <w:t>non può pi</w:t>
      </w:r>
      <w:r w:rsidR="003F44B9">
        <w:t>ù integrarlo o correggerlo</w:t>
      </w:r>
      <w:r w:rsidR="005F7BA6">
        <w:t xml:space="preserve"> altera</w:t>
      </w:r>
      <w:r w:rsidR="00C61F06">
        <w:t>ndo</w:t>
      </w:r>
      <w:r w:rsidR="005F7BA6">
        <w:t xml:space="preserve"> materialmente </w:t>
      </w:r>
      <w:r w:rsidR="0003751B">
        <w:t>la</w:t>
      </w:r>
      <w:r w:rsidR="005F7BA6">
        <w:t xml:space="preserve"> citazione o il ricorso.</w:t>
      </w:r>
      <w:r w:rsidR="00B9505D">
        <w:t xml:space="preserve"> </w:t>
      </w:r>
      <w:r w:rsidR="0059569C">
        <w:t>L</w:t>
      </w:r>
      <w:r w:rsidR="007825B5">
        <w:t>a parte</w:t>
      </w:r>
      <w:r w:rsidR="00EC0E31">
        <w:t>, inoltre, in questo modo offre una inconfutabile manifestazione della propria volontà di compiere gli atti processuali che, nel documento, dichiara di porre in essere</w:t>
      </w:r>
      <w:r w:rsidR="00EC0E31">
        <w:rPr>
          <w:rStyle w:val="Rimandonotaapidipagina"/>
        </w:rPr>
        <w:footnoteReference w:id="38"/>
      </w:r>
      <w:r w:rsidR="00EC0E31">
        <w:t>.</w:t>
      </w:r>
    </w:p>
    <w:p w:rsidR="005A7F50" w:rsidRDefault="00107CAB" w:rsidP="009E4AF0">
      <w:pPr>
        <w:spacing w:after="0" w:line="240" w:lineRule="auto"/>
        <w:jc w:val="both"/>
      </w:pPr>
      <w:r>
        <w:t>Riprendendo le affermazioni d</w:t>
      </w:r>
      <w:r w:rsidR="001165BF">
        <w:t>i</w:t>
      </w:r>
      <w:r>
        <w:t xml:space="preserve"> </w:t>
      </w:r>
      <w:proofErr w:type="spellStart"/>
      <w:r w:rsidR="00124590">
        <w:t>Carnelutti</w:t>
      </w:r>
      <w:proofErr w:type="spellEnd"/>
      <w:r w:rsidR="00124590">
        <w:rPr>
          <w:rStyle w:val="Rimandonotaapidipagina"/>
        </w:rPr>
        <w:footnoteReference w:id="39"/>
      </w:r>
      <w:r w:rsidR="00124590">
        <w:t>,</w:t>
      </w:r>
      <w:r>
        <w:t xml:space="preserve"> si </w:t>
      </w:r>
      <w:r w:rsidR="00316B72">
        <w:t>può</w:t>
      </w:r>
      <w:r>
        <w:t xml:space="preserve"> concludere che </w:t>
      </w:r>
      <w:r w:rsidR="00F92727">
        <w:t>l’atto introduttivo produce i propri effetti</w:t>
      </w:r>
      <w:r>
        <w:t xml:space="preserve"> nel momento in cui</w:t>
      </w:r>
      <w:r w:rsidR="00124590">
        <w:t xml:space="preserve"> alla creazi</w:t>
      </w:r>
      <w:r w:rsidR="003F44B9">
        <w:t xml:space="preserve">one del documento </w:t>
      </w:r>
      <w:r w:rsidR="00F92727">
        <w:t>che lo</w:t>
      </w:r>
      <w:r w:rsidR="005A7C5A">
        <w:t xml:space="preserve"> contiene </w:t>
      </w:r>
      <w:r w:rsidR="003F44B9">
        <w:t xml:space="preserve">si aggiunge </w:t>
      </w:r>
      <w:r w:rsidR="003D002D">
        <w:t>la</w:t>
      </w:r>
      <w:r w:rsidR="009748C1">
        <w:t xml:space="preserve"> sua </w:t>
      </w:r>
      <w:r w:rsidR="00124590">
        <w:t>emissione</w:t>
      </w:r>
      <w:r w:rsidR="009748C1">
        <w:t xml:space="preserve"> (</w:t>
      </w:r>
      <w:r w:rsidR="0003751B">
        <w:t xml:space="preserve">nel nostro caso </w:t>
      </w:r>
      <w:r w:rsidR="001F6C4D">
        <w:t>qualificata, in quanto</w:t>
      </w:r>
      <w:r w:rsidR="003D002D">
        <w:t xml:space="preserve"> prevede,</w:t>
      </w:r>
      <w:r w:rsidR="009748C1">
        <w:t xml:space="preserve"> di norma</w:t>
      </w:r>
      <w:r w:rsidR="003D002D">
        <w:t>,</w:t>
      </w:r>
      <w:r w:rsidR="009748C1">
        <w:t xml:space="preserve"> l’intermediazione di un soggetto pubblico, il cancelliere o l’ufficiale giudiziario) </w:t>
      </w:r>
      <w:r w:rsidR="00124590">
        <w:t xml:space="preserve">e </w:t>
      </w:r>
      <w:r w:rsidR="007F5ABA">
        <w:t>l’insieme di questi due elementi fa</w:t>
      </w:r>
      <w:r w:rsidR="00124590">
        <w:t xml:space="preserve"> sorge</w:t>
      </w:r>
      <w:r w:rsidR="007F5ABA">
        <w:t>re</w:t>
      </w:r>
      <w:r w:rsidR="00124590">
        <w:t xml:space="preserve"> una dichiarazione</w:t>
      </w:r>
      <w:r w:rsidR="00C05B1E">
        <w:t xml:space="preserve">. </w:t>
      </w:r>
      <w:r w:rsidR="00333960">
        <w:t>L’emissione</w:t>
      </w:r>
      <w:r w:rsidR="003D002D">
        <w:t xml:space="preserve"> qualificata</w:t>
      </w:r>
      <w:r w:rsidR="00333960">
        <w:t xml:space="preserve"> del</w:t>
      </w:r>
      <w:r w:rsidR="00316B72">
        <w:t xml:space="preserve"> documento che contiene </w:t>
      </w:r>
      <w:r w:rsidR="00C152CD">
        <w:t>la domanda</w:t>
      </w:r>
      <w:r w:rsidR="003F44B9">
        <w:t xml:space="preserve"> o l’impugnazione</w:t>
      </w:r>
      <w:r w:rsidR="003D002D">
        <w:t xml:space="preserve"> può </w:t>
      </w:r>
      <w:r w:rsidR="00F92727">
        <w:t xml:space="preserve">tuttavia </w:t>
      </w:r>
      <w:r w:rsidR="003D002D">
        <w:t xml:space="preserve">avvenire </w:t>
      </w:r>
      <w:r w:rsidR="00F92727">
        <w:t>mediante l’impiego di</w:t>
      </w:r>
      <w:r w:rsidR="003D002D">
        <w:t xml:space="preserve"> due </w:t>
      </w:r>
      <w:r w:rsidR="00701B64">
        <w:t xml:space="preserve">strumenti imprescindibili se complessivamente considerati, ma tra loro equipollenti, ossia </w:t>
      </w:r>
      <w:r w:rsidR="0035166D">
        <w:t>la notificazione ed il</w:t>
      </w:r>
      <w:r w:rsidR="00701B64">
        <w:t xml:space="preserve"> deposito</w:t>
      </w:r>
      <w:r w:rsidR="00381A4F">
        <w:rPr>
          <w:rStyle w:val="Rimandonotaapidipagina"/>
        </w:rPr>
        <w:footnoteReference w:id="40"/>
      </w:r>
      <w:r w:rsidR="00117FE7">
        <w:t>.</w:t>
      </w:r>
      <w:r w:rsidR="002E74A9">
        <w:t xml:space="preserve"> </w:t>
      </w:r>
      <w:r w:rsidR="00117FE7">
        <w:t>N</w:t>
      </w:r>
      <w:r w:rsidR="0011404D">
        <w:t xml:space="preserve">on </w:t>
      </w:r>
      <w:r w:rsidR="002E74A9">
        <w:t xml:space="preserve">ci pare invece possibile </w:t>
      </w:r>
      <w:r w:rsidR="0011404D">
        <w:t xml:space="preserve">sostenere che, se l’atto ha forma di ricorso, ne è </w:t>
      </w:r>
      <w:r w:rsidR="001F6C4D">
        <w:t>i</w:t>
      </w:r>
      <w:r w:rsidR="008676C2">
        <w:t>ndispensabile</w:t>
      </w:r>
      <w:r w:rsidR="0011404D">
        <w:t xml:space="preserve"> il deposito mentre la sua notificazione non assolve </w:t>
      </w:r>
      <w:r w:rsidR="002E74A9">
        <w:t>allo</w:t>
      </w:r>
      <w:r w:rsidR="0011404D">
        <w:t xml:space="preserve"> scopo o viceversa.</w:t>
      </w:r>
      <w:r w:rsidR="00C152CD">
        <w:t xml:space="preserve"> </w:t>
      </w:r>
      <w:r w:rsidR="0011404D">
        <w:t>L</w:t>
      </w:r>
      <w:r w:rsidR="00C152CD">
        <w:t xml:space="preserve">a </w:t>
      </w:r>
      <w:r w:rsidR="00F92727">
        <w:t>riprova</w:t>
      </w:r>
      <w:r w:rsidR="00C152CD">
        <w:t xml:space="preserve"> di quanto sosteniamo deriva </w:t>
      </w:r>
      <w:r w:rsidR="00117FE7">
        <w:t>appunto</w:t>
      </w:r>
      <w:r w:rsidR="00C152CD">
        <w:t xml:space="preserve"> dalle norme citate poc’anzi</w:t>
      </w:r>
      <w:r w:rsidR="00D00781">
        <w:t>,</w:t>
      </w:r>
      <w:r w:rsidR="00117FE7">
        <w:t xml:space="preserve"> che</w:t>
      </w:r>
      <w:r w:rsidR="0011404D">
        <w:t xml:space="preserve"> talvolta</w:t>
      </w:r>
      <w:r w:rsidR="00C152CD">
        <w:t xml:space="preserve"> impongono di notificare un ricorso prima</w:t>
      </w:r>
      <w:r w:rsidR="0011404D">
        <w:t xml:space="preserve"> di depositarlo ed in tal caso </w:t>
      </w:r>
      <w:r w:rsidR="00A5523C">
        <w:t>ne</w:t>
      </w:r>
      <w:r w:rsidR="0011404D">
        <w:t xml:space="preserve"> giudican</w:t>
      </w:r>
      <w:r w:rsidR="00A5523C">
        <w:t>o</w:t>
      </w:r>
      <w:r w:rsidR="0011404D">
        <w:t xml:space="preserve"> la tempestività avendo riguardo alla data di notificazione.</w:t>
      </w:r>
    </w:p>
    <w:p w:rsidR="00107CAB" w:rsidRDefault="00CB63DC" w:rsidP="009E4AF0">
      <w:pPr>
        <w:spacing w:after="0" w:line="240" w:lineRule="auto"/>
        <w:jc w:val="both"/>
      </w:pPr>
      <w:r>
        <w:t>Veniamo ora alle conseguenze dell’</w:t>
      </w:r>
      <w:r w:rsidR="00F92727">
        <w:t xml:space="preserve">errore nella scelta del modello formale di </w:t>
      </w:r>
      <w:r w:rsidR="00A80EAC">
        <w:t xml:space="preserve">atto introduttivo. Qualora la domanda sia proposta con ricorso anziché con citazione, certamente </w:t>
      </w:r>
      <w:r w:rsidR="002E74A9">
        <w:t>l’a</w:t>
      </w:r>
      <w:r w:rsidR="00A80EAC">
        <w:t>tt</w:t>
      </w:r>
      <w:r w:rsidR="00AF027A">
        <w:t xml:space="preserve">o </w:t>
      </w:r>
      <w:r w:rsidR="00D33C01">
        <w:t>processuale</w:t>
      </w:r>
      <w:r w:rsidR="002E74A9">
        <w:t xml:space="preserve"> è affetto da</w:t>
      </w:r>
      <w:r w:rsidR="00D33C01">
        <w:t xml:space="preserve"> </w:t>
      </w:r>
      <w:r w:rsidR="00AF027A">
        <w:t>null</w:t>
      </w:r>
      <w:r w:rsidR="002E74A9">
        <w:t>ità</w:t>
      </w:r>
      <w:r w:rsidR="004239FC">
        <w:t>,</w:t>
      </w:r>
      <w:r w:rsidR="00AF027A">
        <w:t xml:space="preserve"> perché</w:t>
      </w:r>
      <w:r w:rsidR="004239FC">
        <w:t xml:space="preserve"> strutturalmente diverso da quello previsto dalla legge</w:t>
      </w:r>
      <w:r w:rsidR="004239FC">
        <w:rPr>
          <w:rStyle w:val="Rimandonotaapidipagina"/>
        </w:rPr>
        <w:footnoteReference w:id="41"/>
      </w:r>
      <w:r w:rsidR="00AF027A">
        <w:t xml:space="preserve"> </w:t>
      </w:r>
      <w:r w:rsidR="004239FC" w:rsidRPr="004239FC">
        <w:t xml:space="preserve">e </w:t>
      </w:r>
      <w:r w:rsidR="00AF027A" w:rsidRPr="004239FC">
        <w:t>privo di alcuni dei requisiti formali prescritti dall’art. 163 c.p.c.</w:t>
      </w:r>
      <w:r w:rsidR="00AF027A">
        <w:t xml:space="preserve"> Esso contiene tuttavia</w:t>
      </w:r>
      <w:r w:rsidR="00FE6AA3">
        <w:t xml:space="preserve"> </w:t>
      </w:r>
      <w:r w:rsidR="00AF027A">
        <w:t>l’</w:t>
      </w:r>
      <w:proofErr w:type="spellStart"/>
      <w:r w:rsidR="00AF027A">
        <w:rPr>
          <w:i/>
        </w:rPr>
        <w:t>editio</w:t>
      </w:r>
      <w:proofErr w:type="spellEnd"/>
      <w:r w:rsidR="00AF027A">
        <w:rPr>
          <w:i/>
        </w:rPr>
        <w:t xml:space="preserve"> </w:t>
      </w:r>
      <w:proofErr w:type="spellStart"/>
      <w:r w:rsidR="00AF027A">
        <w:rPr>
          <w:i/>
        </w:rPr>
        <w:t>actionis</w:t>
      </w:r>
      <w:proofErr w:type="spellEnd"/>
      <w:r w:rsidR="00AF027A">
        <w:t xml:space="preserve"> e, </w:t>
      </w:r>
      <w:r w:rsidR="00F14B22">
        <w:t>in conseguenza del deposito</w:t>
      </w:r>
      <w:r w:rsidR="00AF027A">
        <w:t>,</w:t>
      </w:r>
      <w:r w:rsidR="00992882">
        <w:t xml:space="preserve"> </w:t>
      </w:r>
      <w:r w:rsidR="00AF027A">
        <w:t>raggiunge</w:t>
      </w:r>
      <w:r w:rsidR="00FE6AA3">
        <w:t xml:space="preserve"> gli scopi perseguiti dal modello legale, quanto meno </w:t>
      </w:r>
      <w:r w:rsidR="006D5D57">
        <w:t>nella misura necessaria al prodursi degli effetti sostanziali e processuali della domanda</w:t>
      </w:r>
      <w:r w:rsidR="00834D8A">
        <w:t xml:space="preserve"> e</w:t>
      </w:r>
      <w:r w:rsidR="00CF4FE7">
        <w:t xml:space="preserve"> ad evitare la consumazione della facoltà di</w:t>
      </w:r>
      <w:r w:rsidR="00834D8A">
        <w:t xml:space="preserve"> impugnare la sentenza o</w:t>
      </w:r>
      <w:r w:rsidR="00CF4FE7">
        <w:t xml:space="preserve"> dare</w:t>
      </w:r>
      <w:r w:rsidR="00834D8A">
        <w:t xml:space="preserve"> altrimenti</w:t>
      </w:r>
      <w:r w:rsidR="00CF4FE7">
        <w:t xml:space="preserve"> impulso al processo</w:t>
      </w:r>
      <w:r w:rsidR="00834D8A">
        <w:t>.</w:t>
      </w:r>
      <w:r w:rsidR="007A2185">
        <w:t xml:space="preserve"> </w:t>
      </w:r>
      <w:r w:rsidR="00834D8A">
        <w:t>Il raggiungimento dello scopo comporta la</w:t>
      </w:r>
      <w:r w:rsidR="007A2185">
        <w:t xml:space="preserve"> sanatoria</w:t>
      </w:r>
      <w:r w:rsidR="00D33C01">
        <w:t xml:space="preserve"> (retroattiva)</w:t>
      </w:r>
      <w:r w:rsidR="007A2185">
        <w:t xml:space="preserve"> </w:t>
      </w:r>
      <w:r w:rsidR="00834D8A">
        <w:t xml:space="preserve">della nullità </w:t>
      </w:r>
      <w:r w:rsidR="007A2185">
        <w:t xml:space="preserve">ai sensi </w:t>
      </w:r>
      <w:r w:rsidR="00117FE7">
        <w:t>dell’art. 156, comma 3°, c.p.c.</w:t>
      </w:r>
      <w:r w:rsidR="00FE6AA3" w:rsidRPr="00FE6AA3">
        <w:t xml:space="preserve"> </w:t>
      </w:r>
      <w:r w:rsidR="00FE6AA3">
        <w:t xml:space="preserve">Lo stesso vale, </w:t>
      </w:r>
      <w:r w:rsidR="00FE6AA3">
        <w:rPr>
          <w:i/>
        </w:rPr>
        <w:t>mutatis mutandis</w:t>
      </w:r>
      <w:r w:rsidR="00FE6AA3">
        <w:t>,</w:t>
      </w:r>
      <w:r w:rsidR="00EC0E31">
        <w:t xml:space="preserve"> al momento della notificazione,</w:t>
      </w:r>
      <w:r w:rsidR="00FE6AA3">
        <w:t xml:space="preserve"> </w:t>
      </w:r>
      <w:r w:rsidR="008676C2">
        <w:t>ove</w:t>
      </w:r>
      <w:r w:rsidR="00FE6AA3">
        <w:t xml:space="preserve"> venga impiegata</w:t>
      </w:r>
      <w:r w:rsidR="00B04092">
        <w:t xml:space="preserve"> per errore</w:t>
      </w:r>
      <w:r w:rsidR="00FE6AA3">
        <w:t xml:space="preserve"> la forma della citazione</w:t>
      </w:r>
      <w:r w:rsidR="00B04092">
        <w:t>.</w:t>
      </w:r>
    </w:p>
    <w:p w:rsidR="005A7F50" w:rsidRPr="001F763A" w:rsidRDefault="007A2185" w:rsidP="009E4AF0">
      <w:pPr>
        <w:spacing w:after="0" w:line="240" w:lineRule="auto"/>
        <w:jc w:val="both"/>
      </w:pPr>
      <w:r>
        <w:lastRenderedPageBreak/>
        <w:t>A ben vedere, questa conclusione è in linea con il disposto dell’art. 156</w:t>
      </w:r>
      <w:r w:rsidR="00BC375D">
        <w:t>, comma 3°,</w:t>
      </w:r>
      <w:r>
        <w:t xml:space="preserve"> c.p.c.:</w:t>
      </w:r>
      <w:r w:rsidR="002E02EF">
        <w:t xml:space="preserve"> la sanatoria della nullità per raggiungimento dello scopo presuppone</w:t>
      </w:r>
      <w:r w:rsidR="00FE6AA3">
        <w:t xml:space="preserve"> infatti</w:t>
      </w:r>
      <w:r w:rsidR="002E02EF">
        <w:t xml:space="preserve"> che una nullità formale esista </w:t>
      </w:r>
      <w:r w:rsidR="00FE6AA3">
        <w:t>e</w:t>
      </w:r>
      <w:r w:rsidR="002E02EF">
        <w:t xml:space="preserve"> che lo scopo sia raggiunto a dispetto di questa carenza, ovvero che l’atto non sia stato compiuto con le forme prescritte, ma abbia raggiunto lo scopo </w:t>
      </w:r>
      <w:r w:rsidR="00FE6AA3">
        <w:t>pur rivestendo</w:t>
      </w:r>
      <w:r w:rsidR="002E02EF">
        <w:t xml:space="preserve"> forme differenti.</w:t>
      </w:r>
    </w:p>
    <w:p w:rsidR="00BC231D" w:rsidRDefault="001F763A" w:rsidP="009E4AF0">
      <w:pPr>
        <w:spacing w:after="0" w:line="240" w:lineRule="auto"/>
        <w:jc w:val="both"/>
      </w:pPr>
      <w:r>
        <w:t>I</w:t>
      </w:r>
      <w:r w:rsidR="00447214">
        <w:t xml:space="preserve">l ricorso </w:t>
      </w:r>
      <w:r>
        <w:t>depositato</w:t>
      </w:r>
      <w:r w:rsidR="005A7C5A">
        <w:t>, come detto,</w:t>
      </w:r>
      <w:r>
        <w:t xml:space="preserve"> </w:t>
      </w:r>
      <w:r w:rsidR="00447214">
        <w:t xml:space="preserve">non possiede tutti gli elementi che devono comporre </w:t>
      </w:r>
      <w:r w:rsidR="008676C2">
        <w:t>l’atto di citazione, in particolare quelli che assolvono alla funzione di</w:t>
      </w:r>
      <w:r>
        <w:t xml:space="preserve"> </w:t>
      </w:r>
      <w:proofErr w:type="spellStart"/>
      <w:r w:rsidR="00FE6AA3">
        <w:rPr>
          <w:i/>
        </w:rPr>
        <w:t>vocatio</w:t>
      </w:r>
      <w:proofErr w:type="spellEnd"/>
      <w:r w:rsidR="00FE6AA3">
        <w:rPr>
          <w:i/>
        </w:rPr>
        <w:t xml:space="preserve"> in </w:t>
      </w:r>
      <w:proofErr w:type="spellStart"/>
      <w:r w:rsidR="00FE6AA3">
        <w:rPr>
          <w:i/>
        </w:rPr>
        <w:t>ius</w:t>
      </w:r>
      <w:proofErr w:type="spellEnd"/>
      <w:r w:rsidR="008676C2">
        <w:t>, ma</w:t>
      </w:r>
      <w:r w:rsidR="005A4D40">
        <w:t xml:space="preserve"> </w:t>
      </w:r>
      <w:r w:rsidR="008676C2">
        <w:t>q</w:t>
      </w:r>
      <w:r w:rsidR="00FE6AA3">
        <w:t>uesta carenza affligge</w:t>
      </w:r>
      <w:r>
        <w:t xml:space="preserve"> anche </w:t>
      </w:r>
      <w:r w:rsidR="005A4D40">
        <w:t>il ricorso</w:t>
      </w:r>
      <w:r>
        <w:t xml:space="preserve"> notificato unitamente al decreto di fissazione d’udienza</w:t>
      </w:r>
      <w:r w:rsidR="00FE6AA3">
        <w:t xml:space="preserve">, che </w:t>
      </w:r>
      <w:r>
        <w:t xml:space="preserve">non contiene l’avvertimento di cui all’art. 163, n. 7, </w:t>
      </w:r>
      <w:proofErr w:type="gramStart"/>
      <w:r>
        <w:t>c.p.c.</w:t>
      </w:r>
      <w:r w:rsidR="005B0692">
        <w:rPr>
          <w:rStyle w:val="Rimandonotaapidipagina"/>
        </w:rPr>
        <w:footnoteReference w:id="42"/>
      </w:r>
      <w:r w:rsidR="00356206">
        <w:t>.</w:t>
      </w:r>
      <w:proofErr w:type="gramEnd"/>
      <w:r w:rsidR="00BC231D">
        <w:t xml:space="preserve"> L’udienza</w:t>
      </w:r>
      <w:r w:rsidR="007673D4">
        <w:t>,</w:t>
      </w:r>
      <w:r w:rsidR="00BC231D">
        <w:t xml:space="preserve"> inoltre</w:t>
      </w:r>
      <w:r w:rsidR="007673D4">
        <w:t>,</w:t>
      </w:r>
      <w:r w:rsidR="00BC231D">
        <w:t xml:space="preserve"> potrebbe essere stata fissata in violazione dei termini minimi a comparire di cui all’art. 163</w:t>
      </w:r>
      <w:r w:rsidR="008664D9">
        <w:t>-</w:t>
      </w:r>
      <w:r w:rsidR="00BC231D">
        <w:rPr>
          <w:i/>
        </w:rPr>
        <w:t xml:space="preserve">bis </w:t>
      </w:r>
      <w:r w:rsidR="00BC231D">
        <w:t>c.p.c., giacché anche il</w:t>
      </w:r>
      <w:r w:rsidR="00144704">
        <w:t xml:space="preserve"> giudice, tratto in inganno dall’impiego </w:t>
      </w:r>
      <w:r w:rsidR="00BC231D">
        <w:t xml:space="preserve">del ricorso, potrebbe </w:t>
      </w:r>
      <w:r w:rsidR="0057332E">
        <w:t xml:space="preserve">aver </w:t>
      </w:r>
      <w:r w:rsidR="00901791">
        <w:t>considerato</w:t>
      </w:r>
      <w:r w:rsidR="00BC231D">
        <w:t xml:space="preserve"> quelli, inferiori, enunciati all’art. 415 </w:t>
      </w:r>
      <w:r w:rsidR="00ED1B0E">
        <w:t xml:space="preserve">o all’art. 435 </w:t>
      </w:r>
      <w:r w:rsidR="00BC231D">
        <w:t>c.p.c.</w:t>
      </w:r>
    </w:p>
    <w:p w:rsidR="00986030" w:rsidRDefault="005A7C5A" w:rsidP="009E4AF0">
      <w:pPr>
        <w:spacing w:after="0" w:line="240" w:lineRule="auto"/>
        <w:jc w:val="both"/>
      </w:pPr>
      <w:r>
        <w:t>Le</w:t>
      </w:r>
      <w:r w:rsidR="009338E5">
        <w:t xml:space="preserve"> mancanze</w:t>
      </w:r>
      <w:r>
        <w:t xml:space="preserve"> appena vedute</w:t>
      </w:r>
      <w:r w:rsidR="009338E5">
        <w:t>, non attenendo a</w:t>
      </w:r>
      <w:r w:rsidR="005D0705">
        <w:t>ll’</w:t>
      </w:r>
      <w:proofErr w:type="spellStart"/>
      <w:r w:rsidR="005D0705">
        <w:rPr>
          <w:i/>
        </w:rPr>
        <w:t>editio</w:t>
      </w:r>
      <w:proofErr w:type="spellEnd"/>
      <w:r w:rsidR="005D0705">
        <w:rPr>
          <w:i/>
        </w:rPr>
        <w:t xml:space="preserve"> </w:t>
      </w:r>
      <w:proofErr w:type="spellStart"/>
      <w:r w:rsidR="005D0705">
        <w:rPr>
          <w:i/>
        </w:rPr>
        <w:t>actionis</w:t>
      </w:r>
      <w:proofErr w:type="spellEnd"/>
      <w:r w:rsidR="009338E5">
        <w:t xml:space="preserve">, possono </w:t>
      </w:r>
      <w:r w:rsidR="008676C2">
        <w:t xml:space="preserve">tuttavia </w:t>
      </w:r>
      <w:r w:rsidR="009338E5">
        <w:t>essere corrette nel corso del giudizio</w:t>
      </w:r>
      <w:r w:rsidR="0084302C">
        <w:rPr>
          <w:rStyle w:val="Rimandonotaapidipagina"/>
        </w:rPr>
        <w:footnoteReference w:id="43"/>
      </w:r>
      <w:r w:rsidR="00896298">
        <w:t>, così come accade per ogni altro atto di citazione nullo</w:t>
      </w:r>
      <w:r w:rsidR="0022417F">
        <w:t>. I</w:t>
      </w:r>
      <w:r w:rsidR="009338E5">
        <w:t>l giudice</w:t>
      </w:r>
      <w:r w:rsidR="0022417F">
        <w:t xml:space="preserve"> dunque</w:t>
      </w:r>
      <w:r w:rsidR="009338E5">
        <w:t xml:space="preserve"> ordinerà la rinnovazione dell’atto introduttivo (con le forme corrette</w:t>
      </w:r>
      <w:r w:rsidR="00A270F5">
        <w:t xml:space="preserve"> e con conseguente sanatoria retroattiva</w:t>
      </w:r>
      <w:r w:rsidR="009338E5">
        <w:t>) qualora il c</w:t>
      </w:r>
      <w:r w:rsidR="0022417F">
        <w:t>onvenuto sia rimasto contumace e</w:t>
      </w:r>
      <w:r w:rsidR="009338E5">
        <w:t xml:space="preserve"> </w:t>
      </w:r>
      <w:r w:rsidR="0022417F">
        <w:t>q</w:t>
      </w:r>
      <w:r w:rsidR="009338E5">
        <w:t>uest’ultimo</w:t>
      </w:r>
      <w:r w:rsidR="00A270F5">
        <w:t>, costituendosi,</w:t>
      </w:r>
      <w:r w:rsidR="009338E5">
        <w:t xml:space="preserve"> potrà lamentare l’esiguità dei termini a difesa</w:t>
      </w:r>
      <w:r w:rsidR="00A270F5">
        <w:t xml:space="preserve"> o l’assenza dell’avvertimento prescritto dalla legge</w:t>
      </w:r>
      <w:r w:rsidR="00BA0B6D">
        <w:t>, ottenendo la fissazione di una nuova udienza a norma dell’art. 164, comma 3°, c.p.c</w:t>
      </w:r>
      <w:r w:rsidR="0022417F">
        <w:t>.</w:t>
      </w:r>
    </w:p>
    <w:p w:rsidR="00697B1C" w:rsidRDefault="00697B1C" w:rsidP="00697B1C">
      <w:pPr>
        <w:spacing w:after="0" w:line="240" w:lineRule="auto"/>
        <w:jc w:val="both"/>
      </w:pPr>
      <w:r>
        <w:t>Non ci pare invece meritevole di tutela un ipotetico interesse del convenuto ad apprendere il contenuto dell’atto introduttivo avversario prima che esso sia portato a conoscenza del giudice. Il legislatore garantisce infatti unicamente il diritto del convenuto a godere di un determinato lasso di tempo per difendersi, come si ricava, tra l’altro, dalla circostanza che l’attore, richiesta la notificazione della citazione, può iscrivere la causa a ruolo sulla base della c.d. velina, prima che l’atto giunga a conoscenza del convenuto</w:t>
      </w:r>
      <w:r>
        <w:rPr>
          <w:rStyle w:val="Rimandonotaapidipagina"/>
        </w:rPr>
        <w:footnoteReference w:id="44"/>
      </w:r>
      <w:r w:rsidR="00901791">
        <w:t>,</w:t>
      </w:r>
      <w:r>
        <w:t xml:space="preserve"> o dall’eventualità, assolutamente fisiologica nel processo litisconsortile, che il deposito della citazione avvenga prima del perfezionarsi della notificazione nei confronti di tutti i convenuti</w:t>
      </w:r>
      <w:r>
        <w:rPr>
          <w:rStyle w:val="Rimandonotaapidipagina"/>
        </w:rPr>
        <w:footnoteReference w:id="45"/>
      </w:r>
      <w:r>
        <w:t>.</w:t>
      </w:r>
    </w:p>
    <w:p w:rsidR="00147C12" w:rsidRDefault="00EF7CCA" w:rsidP="009E4AF0">
      <w:pPr>
        <w:spacing w:after="0" w:line="240" w:lineRule="auto"/>
        <w:jc w:val="both"/>
      </w:pPr>
      <w:r>
        <w:t>Veniamo ora all</w:t>
      </w:r>
      <w:r w:rsidR="00DF67F9">
        <w:t>e conseguenze dell’erroneo impiego dell’</w:t>
      </w:r>
      <w:r w:rsidR="00541BE5">
        <w:t>atto di citazione</w:t>
      </w:r>
      <w:r>
        <w:t>. Esso</w:t>
      </w:r>
      <w:r w:rsidR="00697B1C">
        <w:t xml:space="preserve"> ha un contenuto più ampio</w:t>
      </w:r>
      <w:r>
        <w:t xml:space="preserve"> di quello prescritto dal legislatore e non più ridotto</w:t>
      </w:r>
      <w:r w:rsidR="00541BE5">
        <w:t xml:space="preserve">, </w:t>
      </w:r>
      <w:r>
        <w:t>contrariamente a quanto si è</w:t>
      </w:r>
      <w:r w:rsidR="00697B1C">
        <w:t xml:space="preserve"> visto </w:t>
      </w:r>
      <w:r>
        <w:t>a proposito della</w:t>
      </w:r>
      <w:r w:rsidR="00697B1C">
        <w:t xml:space="preserve"> precedente ipotesi</w:t>
      </w:r>
      <w:r w:rsidR="0044165F">
        <w:t>;</w:t>
      </w:r>
      <w:r w:rsidR="00541BE5">
        <w:t xml:space="preserve"> </w:t>
      </w:r>
      <w:r w:rsidR="0044165F">
        <w:t>i</w:t>
      </w:r>
      <w:r w:rsidR="00541BE5">
        <w:t>n particolare</w:t>
      </w:r>
      <w:r w:rsidR="0044165F">
        <w:t xml:space="preserve"> la prima udienza è fissata dall’attore e non d</w:t>
      </w:r>
      <w:r w:rsidR="00147C12">
        <w:t>al giudice.</w:t>
      </w:r>
    </w:p>
    <w:p w:rsidR="00541BE5" w:rsidRDefault="00541BE5" w:rsidP="009E4AF0">
      <w:pPr>
        <w:spacing w:after="0" w:line="240" w:lineRule="auto"/>
        <w:jc w:val="both"/>
      </w:pPr>
      <w:r>
        <w:t xml:space="preserve">L’esigenza sottesa al modello procedimentale introdotto dal ricorso, di organizzazione dell’ufficio, può essere tuttavia facilmente soddisfatta riconoscendo, solo in questo caso, l’applicabilità dell’art. 159, comma 3°, c.p.c. </w:t>
      </w:r>
      <w:r w:rsidR="00DF67F9">
        <w:t>Gli effetti dell’atto si producono al momento della sua notificazione, ma l</w:t>
      </w:r>
      <w:r>
        <w:t xml:space="preserve">a fissazione dell’udienza ad opera dell’attore </w:t>
      </w:r>
      <w:r w:rsidR="00E2086D">
        <w:t>è</w:t>
      </w:r>
      <w:r>
        <w:t xml:space="preserve"> caducata ed il giudice, se crede, ne fissa una nuova, disponendo che il decreto sia notificato al convenut</w:t>
      </w:r>
      <w:r w:rsidR="008B7DF3">
        <w:t>o.</w:t>
      </w:r>
      <w:r>
        <w:t xml:space="preserve"> </w:t>
      </w:r>
      <w:r w:rsidR="008B7DF3">
        <w:t>Q</w:t>
      </w:r>
      <w:r>
        <w:t>ualora</w:t>
      </w:r>
      <w:r w:rsidR="008B7DF3">
        <w:t xml:space="preserve"> invece il magistrato</w:t>
      </w:r>
      <w:r>
        <w:t xml:space="preserve"> non provveda</w:t>
      </w:r>
      <w:r w:rsidR="008B7DF3">
        <w:t xml:space="preserve"> in tal senso,</w:t>
      </w:r>
      <w:r>
        <w:t xml:space="preserve"> il regolare svolgimento dell’udienza nella data originariamente prevista </w:t>
      </w:r>
      <w:r w:rsidR="008B7DF3">
        <w:t>ha</w:t>
      </w:r>
      <w:r>
        <w:t xml:space="preserve"> certamente efficacia sanante.</w:t>
      </w:r>
      <w:r w:rsidR="00147C12">
        <w:t xml:space="preserve"> In questo </w:t>
      </w:r>
      <w:r w:rsidR="008B7DF3">
        <w:t xml:space="preserve">modo </w:t>
      </w:r>
      <w:r w:rsidR="00147C12">
        <w:t xml:space="preserve">risulta adeguatamente </w:t>
      </w:r>
      <w:r w:rsidR="00DF67F9">
        <w:t>garantito anche</w:t>
      </w:r>
      <w:r w:rsidR="00147C12">
        <w:t xml:space="preserve"> </w:t>
      </w:r>
      <w:r w:rsidR="00DF67F9">
        <w:t>il</w:t>
      </w:r>
      <w:r w:rsidR="00147C12">
        <w:t xml:space="preserve"> ce</w:t>
      </w:r>
      <w:r w:rsidR="0044165F">
        <w:t>le</w:t>
      </w:r>
      <w:r w:rsidR="00DF67F9">
        <w:t>re svolgersi del procedimento.</w:t>
      </w:r>
    </w:p>
    <w:p w:rsidR="00CE45B8" w:rsidRDefault="00541BE5" w:rsidP="009E4AF0">
      <w:pPr>
        <w:spacing w:after="0" w:line="240" w:lineRule="auto"/>
        <w:jc w:val="both"/>
      </w:pPr>
      <w:r>
        <w:t>Le conclusioni cui siamo giunti crediamo</w:t>
      </w:r>
      <w:r w:rsidR="008B7DF3">
        <w:t xml:space="preserve"> </w:t>
      </w:r>
      <w:r w:rsidR="00986030">
        <w:t>consentano</w:t>
      </w:r>
      <w:r w:rsidR="00923AC0">
        <w:t>, in ultima analisi,</w:t>
      </w:r>
      <w:r w:rsidR="00986030">
        <w:t xml:space="preserve"> di contemperare adeguatamente l’interesse dell’attore a che le proprie difese siano esaminate nel merito</w:t>
      </w:r>
      <w:r w:rsidR="00FF7D88">
        <w:t xml:space="preserve"> con</w:t>
      </w:r>
      <w:r w:rsidR="00342144">
        <w:t xml:space="preserve"> le esigenze di organizzazione degli uffici giudiziari e con il diritto </w:t>
      </w:r>
      <w:r w:rsidR="00986030">
        <w:t xml:space="preserve">del convenuto </w:t>
      </w:r>
      <w:r w:rsidR="00342144">
        <w:t>di</w:t>
      </w:r>
      <w:r w:rsidR="00CE45B8">
        <w:t xml:space="preserve"> godere appieno dei termini a difesa previsti dalla legge, senza</w:t>
      </w:r>
      <w:r w:rsidR="00986030">
        <w:t xml:space="preserve"> </w:t>
      </w:r>
      <w:r w:rsidR="00CE45B8">
        <w:t>patire</w:t>
      </w:r>
      <w:r w:rsidR="00986030">
        <w:t xml:space="preserve"> pregiudizi in conseguenza dell’errore commesso dall’avversario</w:t>
      </w:r>
      <w:r w:rsidR="00CE45B8">
        <w:t>.</w:t>
      </w:r>
      <w:r w:rsidR="00DB10CF">
        <w:t xml:space="preserve"> </w:t>
      </w:r>
      <w:r w:rsidR="00CE45B8">
        <w:t>E</w:t>
      </w:r>
      <w:r w:rsidR="00DB10CF">
        <w:t>rrore</w:t>
      </w:r>
      <w:r w:rsidR="00CE45B8">
        <w:t xml:space="preserve"> quest’ultimo</w:t>
      </w:r>
      <w:r w:rsidR="00DB10CF">
        <w:t xml:space="preserve"> che, peraltro, è</w:t>
      </w:r>
      <w:r w:rsidR="00F3751E">
        <w:t xml:space="preserve"> spesso</w:t>
      </w:r>
      <w:r w:rsidR="00DB10CF">
        <w:t xml:space="preserve"> </w:t>
      </w:r>
      <w:r w:rsidR="00CE45B8">
        <w:t xml:space="preserve">frutto non di incuria, ma </w:t>
      </w:r>
      <w:r w:rsidR="00DB10CF">
        <w:t>di oggettive incertezze interpretative, come dimostra</w:t>
      </w:r>
      <w:r w:rsidR="00CE45B8">
        <w:t>no</w:t>
      </w:r>
      <w:r w:rsidR="00DB10CF">
        <w:t xml:space="preserve"> la casistica giurisprudenziale citata in precedenza</w:t>
      </w:r>
      <w:r w:rsidR="003150D1">
        <w:t xml:space="preserve"> ed</w:t>
      </w:r>
      <w:r w:rsidR="00F3751E">
        <w:t xml:space="preserve"> i </w:t>
      </w:r>
      <w:r w:rsidR="00DB10CF">
        <w:t>contrasti sorti</w:t>
      </w:r>
      <w:r w:rsidR="00F3751E">
        <w:t xml:space="preserve"> a più riprese</w:t>
      </w:r>
      <w:r w:rsidR="00DB10CF">
        <w:t xml:space="preserve"> sul modello formale di atto introduttivo da impiegare</w:t>
      </w:r>
      <w:r w:rsidR="00F3751E">
        <w:t xml:space="preserve"> in determinati procedimenti</w:t>
      </w:r>
      <w:r w:rsidR="008F67F8">
        <w:t>, tali</w:t>
      </w:r>
      <w:r w:rsidR="003150D1">
        <w:t xml:space="preserve"> da suscitare</w:t>
      </w:r>
      <w:r w:rsidR="008F67F8">
        <w:t xml:space="preserve"> gli</w:t>
      </w:r>
      <w:r w:rsidR="00F15D8F">
        <w:t xml:space="preserve"> </w:t>
      </w:r>
      <w:r w:rsidR="003150D1">
        <w:t>intervent</w:t>
      </w:r>
      <w:r w:rsidR="008F67F8">
        <w:t>i</w:t>
      </w:r>
      <w:r w:rsidR="00EA3896">
        <w:t xml:space="preserve"> </w:t>
      </w:r>
      <w:r w:rsidR="00CE45B8">
        <w:t>d</w:t>
      </w:r>
      <w:r w:rsidR="00EA3896">
        <w:t>e</w:t>
      </w:r>
      <w:r w:rsidR="008F67F8">
        <w:t>lle</w:t>
      </w:r>
      <w:r w:rsidR="00CE45B8">
        <w:t xml:space="preserve"> sezioni unite</w:t>
      </w:r>
      <w:r w:rsidR="00F3751E">
        <w:t>.</w:t>
      </w:r>
    </w:p>
    <w:p w:rsidR="00541BE5" w:rsidRDefault="00954834" w:rsidP="009E4AF0">
      <w:pPr>
        <w:spacing w:after="0" w:line="240" w:lineRule="auto"/>
        <w:jc w:val="both"/>
      </w:pPr>
      <w:r>
        <w:t>L</w:t>
      </w:r>
      <w:r w:rsidR="00EA3896">
        <w:t>a</w:t>
      </w:r>
      <w:r>
        <w:t xml:space="preserve"> soluzion</w:t>
      </w:r>
      <w:r w:rsidR="00EA3896">
        <w:t>e</w:t>
      </w:r>
      <w:r>
        <w:t xml:space="preserve"> propost</w:t>
      </w:r>
      <w:r w:rsidR="00EA3896">
        <w:t>a</w:t>
      </w:r>
      <w:r>
        <w:t xml:space="preserve"> ha </w:t>
      </w:r>
      <w:r w:rsidR="00342144">
        <w:t>infine</w:t>
      </w:r>
      <w:r w:rsidR="00984295">
        <w:t xml:space="preserve"> </w:t>
      </w:r>
      <w:r w:rsidR="00841F9C">
        <w:t>il pregio di assicurare un</w:t>
      </w:r>
      <w:r>
        <w:t xml:space="preserve">a piena uniformità di trattamento tra tutte le tipologie di errore di cui ci siamo occupati, </w:t>
      </w:r>
      <w:r w:rsidR="003A04A2">
        <w:t xml:space="preserve">siano esse riconducibili all’errore di rito con conseguente esigenza di un suo mutamento, oppure all’errore nell’individuazione del solo modello formale di atto </w:t>
      </w:r>
      <w:r w:rsidR="003A04A2">
        <w:lastRenderedPageBreak/>
        <w:t>mediante il quale introdurre il giudizio</w:t>
      </w:r>
      <w:r>
        <w:t>.</w:t>
      </w:r>
      <w:r w:rsidR="00D44565">
        <w:t xml:space="preserve"> In </w:t>
      </w:r>
      <w:r w:rsidR="00D22C2E">
        <w:t>entrambi i casi</w:t>
      </w:r>
      <w:r w:rsidR="00D44565">
        <w:t xml:space="preserve"> infatti, vuoi facendo applicazione delle norme dettate per il mutamento del rito, vuoi ricorrendo alla sanatoria </w:t>
      </w:r>
      <w:r w:rsidR="003A04A2">
        <w:t>di cui</w:t>
      </w:r>
      <w:r w:rsidR="00D44565">
        <w:t xml:space="preserve"> </w:t>
      </w:r>
      <w:r w:rsidR="003A04A2">
        <w:t>a</w:t>
      </w:r>
      <w:r w:rsidR="00D44565">
        <w:t>ll’art. 156, comm</w:t>
      </w:r>
      <w:r w:rsidR="00342144">
        <w:t xml:space="preserve">a 3°, c.p.c., gli effetti dell’atto introduttivo </w:t>
      </w:r>
      <w:r w:rsidR="00D44565">
        <w:t xml:space="preserve">si producono nel momento in cui </w:t>
      </w:r>
      <w:r w:rsidR="00342144">
        <w:t>esso</w:t>
      </w:r>
      <w:r w:rsidR="00D44565">
        <w:t xml:space="preserve"> esce dalla sfera di disponibilità </w:t>
      </w:r>
      <w:r w:rsidR="006E64B3">
        <w:t>di chi lo pone in essere</w:t>
      </w:r>
      <w:r w:rsidR="001F6C4D">
        <w:t xml:space="preserve"> mediante una delle due forme di emissione qualificata contemplate dal legislatore, notificazione o deposito</w:t>
      </w:r>
      <w:r w:rsidR="00D44565">
        <w:t>.</w:t>
      </w:r>
    </w:p>
    <w:p w:rsidR="007E74D9" w:rsidRDefault="007E74D9" w:rsidP="009E4AF0">
      <w:pPr>
        <w:spacing w:after="0" w:line="240" w:lineRule="auto"/>
        <w:jc w:val="both"/>
      </w:pPr>
    </w:p>
    <w:p w:rsidR="007E74D9" w:rsidRPr="005E31BC" w:rsidRDefault="007E74D9" w:rsidP="007E74D9">
      <w:pPr>
        <w:spacing w:after="0" w:line="240" w:lineRule="auto"/>
        <w:jc w:val="right"/>
        <w:rPr>
          <w:smallCaps/>
        </w:rPr>
      </w:pPr>
      <w:r w:rsidRPr="005E31BC">
        <w:rPr>
          <w:smallCaps/>
        </w:rPr>
        <w:t>Matteo Lupano</w:t>
      </w:r>
    </w:p>
    <w:p w:rsidR="007E74D9" w:rsidRDefault="007E74D9" w:rsidP="007E74D9">
      <w:pPr>
        <w:spacing w:after="0" w:line="240" w:lineRule="auto"/>
        <w:jc w:val="right"/>
      </w:pPr>
      <w:r>
        <w:t>Ricercatore dell’Università di Torino</w:t>
      </w:r>
    </w:p>
    <w:sectPr w:rsidR="007E74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09" w:rsidRDefault="007E1109" w:rsidP="007707C8">
      <w:pPr>
        <w:spacing w:after="0" w:line="240" w:lineRule="auto"/>
      </w:pPr>
      <w:r>
        <w:separator/>
      </w:r>
    </w:p>
  </w:endnote>
  <w:endnote w:type="continuationSeparator" w:id="0">
    <w:p w:rsidR="007E1109" w:rsidRDefault="007E1109" w:rsidP="0077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09" w:rsidRDefault="007E1109" w:rsidP="007707C8">
      <w:pPr>
        <w:spacing w:after="0" w:line="240" w:lineRule="auto"/>
      </w:pPr>
      <w:r>
        <w:separator/>
      </w:r>
    </w:p>
  </w:footnote>
  <w:footnote w:type="continuationSeparator" w:id="0">
    <w:p w:rsidR="007E1109" w:rsidRDefault="007E1109" w:rsidP="007707C8">
      <w:pPr>
        <w:spacing w:after="0" w:line="240" w:lineRule="auto"/>
      </w:pPr>
      <w:r>
        <w:continuationSeparator/>
      </w:r>
    </w:p>
  </w:footnote>
  <w:footnote w:id="1">
    <w:p w:rsidR="000011F6" w:rsidRPr="00D17F8F" w:rsidRDefault="000011F6" w:rsidP="00441BE9">
      <w:pPr>
        <w:pStyle w:val="Testonotaapidipagina"/>
        <w:jc w:val="both"/>
      </w:pPr>
      <w:r>
        <w:rPr>
          <w:rStyle w:val="Rimandonotaapidipagina"/>
        </w:rPr>
        <w:footnoteRef/>
      </w:r>
      <w:r w:rsidRPr="00211EA2">
        <w:t xml:space="preserve"> </w:t>
      </w:r>
      <w:proofErr w:type="gramStart"/>
      <w:r w:rsidR="00D17F8F" w:rsidRPr="00211EA2">
        <w:t>Cass.,</w:t>
      </w:r>
      <w:proofErr w:type="gramEnd"/>
      <w:r w:rsidR="00D17F8F" w:rsidRPr="00211EA2">
        <w:t xml:space="preserve"> 19</w:t>
      </w:r>
      <w:r w:rsidR="00211EA2" w:rsidRPr="00211EA2">
        <w:t xml:space="preserve"> dicembre </w:t>
      </w:r>
      <w:r w:rsidR="00D17F8F" w:rsidRPr="00211EA2">
        <w:t>2000, n. 15922</w:t>
      </w:r>
      <w:r w:rsidR="00F2121E">
        <w:t xml:space="preserve">, in </w:t>
      </w:r>
      <w:r w:rsidR="00F2121E">
        <w:rPr>
          <w:i/>
        </w:rPr>
        <w:t xml:space="preserve">Mass. Giust. </w:t>
      </w:r>
      <w:proofErr w:type="gramStart"/>
      <w:r w:rsidR="00F2121E">
        <w:rPr>
          <w:i/>
        </w:rPr>
        <w:t>civ.</w:t>
      </w:r>
      <w:r w:rsidR="00087BB0">
        <w:t>,</w:t>
      </w:r>
      <w:proofErr w:type="gramEnd"/>
      <w:r w:rsidR="00087BB0">
        <w:t xml:space="preserve"> 2000</w:t>
      </w:r>
      <w:r w:rsidR="00F2121E">
        <w:t xml:space="preserve">, p. </w:t>
      </w:r>
      <w:r w:rsidR="00087BB0">
        <w:t>2620</w:t>
      </w:r>
      <w:r w:rsidR="00D17F8F" w:rsidRPr="00211EA2">
        <w:t xml:space="preserve">; </w:t>
      </w:r>
      <w:r w:rsidR="007424F9">
        <w:t>Cass.</w:t>
      </w:r>
      <w:r w:rsidR="00D17F8F" w:rsidRPr="00211EA2">
        <w:t>, 1</w:t>
      </w:r>
      <w:r w:rsidR="00211EA2" w:rsidRPr="00211EA2">
        <w:t xml:space="preserve"> dicembre </w:t>
      </w:r>
      <w:r w:rsidR="00D17F8F" w:rsidRPr="00211EA2">
        <w:t>2000, n. 15341</w:t>
      </w:r>
      <w:r w:rsidR="00F2121E">
        <w:t xml:space="preserve">, in </w:t>
      </w:r>
      <w:r w:rsidR="00F2121E">
        <w:rPr>
          <w:i/>
        </w:rPr>
        <w:t xml:space="preserve">Mass. Giust. </w:t>
      </w:r>
      <w:proofErr w:type="gramStart"/>
      <w:r w:rsidR="00F2121E">
        <w:rPr>
          <w:i/>
        </w:rPr>
        <w:t>civ.</w:t>
      </w:r>
      <w:r w:rsidR="00087BB0">
        <w:t>,</w:t>
      </w:r>
      <w:proofErr w:type="gramEnd"/>
      <w:r w:rsidR="00087BB0">
        <w:t xml:space="preserve"> 2000</w:t>
      </w:r>
      <w:r w:rsidR="00F2121E">
        <w:t xml:space="preserve">, p. </w:t>
      </w:r>
      <w:r w:rsidR="00087BB0">
        <w:t>2513</w:t>
      </w:r>
      <w:r w:rsidR="00D17F8F" w:rsidRPr="00211EA2">
        <w:t xml:space="preserve">; Trib. </w:t>
      </w:r>
      <w:r w:rsidR="00D17F8F">
        <w:t>Padova, 17</w:t>
      </w:r>
      <w:r w:rsidR="00211EA2">
        <w:t xml:space="preserve"> febbraio </w:t>
      </w:r>
      <w:r w:rsidR="00D17F8F">
        <w:t xml:space="preserve">2010, in </w:t>
      </w:r>
      <w:r w:rsidR="00D17F8F">
        <w:rPr>
          <w:i/>
        </w:rPr>
        <w:t xml:space="preserve">Foro </w:t>
      </w:r>
      <w:proofErr w:type="spellStart"/>
      <w:proofErr w:type="gramStart"/>
      <w:r w:rsidR="00D17F8F">
        <w:rPr>
          <w:i/>
        </w:rPr>
        <w:t>pad</w:t>
      </w:r>
      <w:proofErr w:type="spellEnd"/>
      <w:r w:rsidR="00D17F8F">
        <w:rPr>
          <w:i/>
        </w:rPr>
        <w:t>.</w:t>
      </w:r>
      <w:r w:rsidR="00D17F8F">
        <w:t>,</w:t>
      </w:r>
      <w:proofErr w:type="gramEnd"/>
      <w:r w:rsidR="00D17F8F">
        <w:t xml:space="preserve"> 2011, </w:t>
      </w:r>
      <w:r w:rsidR="00BD75B6">
        <w:t xml:space="preserve">p. </w:t>
      </w:r>
      <w:r w:rsidR="00D17F8F">
        <w:t>452; Trib. Chieti, 18</w:t>
      </w:r>
      <w:r w:rsidR="00211EA2">
        <w:t xml:space="preserve"> settembre </w:t>
      </w:r>
      <w:r w:rsidR="00D17F8F">
        <w:t xml:space="preserve">2006, in </w:t>
      </w:r>
      <w:r w:rsidR="00D17F8F" w:rsidRPr="00D17F8F">
        <w:rPr>
          <w:i/>
        </w:rPr>
        <w:t>PQM</w:t>
      </w:r>
      <w:r w:rsidR="00D17F8F">
        <w:t xml:space="preserve">, 2007, 3, </w:t>
      </w:r>
      <w:r w:rsidR="00BD75B6">
        <w:t xml:space="preserve">p. </w:t>
      </w:r>
      <w:r w:rsidR="00D17F8F">
        <w:t xml:space="preserve">65; </w:t>
      </w:r>
      <w:r w:rsidR="00D17F8F" w:rsidRPr="00D17F8F">
        <w:t>Trib</w:t>
      </w:r>
      <w:r w:rsidR="00D17F8F">
        <w:t>. Ivrea, 3</w:t>
      </w:r>
      <w:r w:rsidR="00211EA2">
        <w:t xml:space="preserve"> agosto </w:t>
      </w:r>
      <w:r w:rsidR="00D17F8F">
        <w:t xml:space="preserve">2005, in </w:t>
      </w:r>
      <w:r w:rsidR="00D17F8F">
        <w:rPr>
          <w:i/>
        </w:rPr>
        <w:t xml:space="preserve">Foro </w:t>
      </w:r>
      <w:proofErr w:type="gramStart"/>
      <w:r w:rsidR="00D17F8F">
        <w:rPr>
          <w:i/>
        </w:rPr>
        <w:t>it.</w:t>
      </w:r>
      <w:r w:rsidR="00D17F8F">
        <w:t>,</w:t>
      </w:r>
      <w:proofErr w:type="gramEnd"/>
      <w:r w:rsidR="00D17F8F">
        <w:t xml:space="preserve"> 2006, I, </w:t>
      </w:r>
      <w:r w:rsidR="00BD75B6">
        <w:t xml:space="preserve">c. </w:t>
      </w:r>
      <w:r w:rsidR="00D17F8F">
        <w:t>277.</w:t>
      </w:r>
    </w:p>
  </w:footnote>
  <w:footnote w:id="2">
    <w:p w:rsidR="00505505" w:rsidRPr="00AA5944" w:rsidRDefault="00505505" w:rsidP="00505505">
      <w:pPr>
        <w:pStyle w:val="Testonotaapidipagina"/>
        <w:jc w:val="both"/>
      </w:pPr>
      <w:r>
        <w:rPr>
          <w:rStyle w:val="Rimandonotaapidipagina"/>
        </w:rPr>
        <w:footnoteRef/>
      </w:r>
      <w:r>
        <w:t xml:space="preserve"> </w:t>
      </w:r>
      <w:r w:rsidRPr="00AE3CFC">
        <w:t>L’art. 1137 c.c., nel testo vigente prima della riforma operata dalla l. 11 dicembre 2012, n. 220, affermava</w:t>
      </w:r>
      <w:r>
        <w:t xml:space="preserve"> </w:t>
      </w:r>
      <w:r w:rsidRPr="00AE3CFC">
        <w:t>che</w:t>
      </w:r>
      <w:r>
        <w:t>,</w:t>
      </w:r>
      <w:r w:rsidRPr="00AE3CFC">
        <w:t xml:space="preserve"> contro le deliberazioni dell’assemblea condominiale</w:t>
      </w:r>
      <w:r>
        <w:t>,</w:t>
      </w:r>
      <w:r w:rsidRPr="00AE3CFC">
        <w:t xml:space="preserve"> </w:t>
      </w:r>
      <w:r>
        <w:t>era</w:t>
      </w:r>
      <w:r w:rsidRPr="00AE3CFC">
        <w:t xml:space="preserve"> possibile “fare ricorso all’autorità giudiziaria”, che “il ricorso non sospende l’esecuzione del provvedimento” e che “il ricorso deve essere proposto, sotto pena di decadenza, entro trenta giorni, che decorrono…”. Il ripetuto riferimento al ricorso </w:t>
      </w:r>
      <w:r>
        <w:t>faceva sorgere la questione se il</w:t>
      </w:r>
      <w:r w:rsidRPr="00AE3CFC">
        <w:t xml:space="preserve"> termine fosse</w:t>
      </w:r>
      <w:r>
        <w:t xml:space="preserve"> impiegato in senso a</w:t>
      </w:r>
      <w:r w:rsidRPr="00AE3CFC">
        <w:t>tecnico</w:t>
      </w:r>
      <w:r>
        <w:t xml:space="preserve"> o piuttosto</w:t>
      </w:r>
      <w:r w:rsidRPr="00AE3CFC">
        <w:t xml:space="preserve"> denotasse una precisa scelta del legislatore in ordine alla forma dell’atto introduttivo.</w:t>
      </w:r>
    </w:p>
  </w:footnote>
  <w:footnote w:id="3">
    <w:p w:rsidR="00E20E69" w:rsidRDefault="00E20E69" w:rsidP="00E20E69">
      <w:pPr>
        <w:pStyle w:val="Testonotaapidipagina"/>
        <w:jc w:val="both"/>
      </w:pPr>
      <w:r>
        <w:rPr>
          <w:rStyle w:val="Rimandonotaapidipagina"/>
        </w:rPr>
        <w:footnoteRef/>
      </w:r>
      <w:r>
        <w:t xml:space="preserve"> Sulla questione menzionata nel testo esisteva un contrasto di giurisprudenza, cui posero fine le sezioni unite con la sentenza </w:t>
      </w:r>
      <w:proofErr w:type="gramStart"/>
      <w:r>
        <w:t>Cass.,</w:t>
      </w:r>
      <w:proofErr w:type="gramEnd"/>
      <w:r>
        <w:t xml:space="preserve"> 14 aprile 2011, n. 8491, in </w:t>
      </w:r>
      <w:r>
        <w:rPr>
          <w:i/>
        </w:rPr>
        <w:t>Foro it.</w:t>
      </w:r>
      <w:r>
        <w:t xml:space="preserve">, 2011, I, </w:t>
      </w:r>
      <w:r w:rsidR="00B8025A">
        <w:t xml:space="preserve">c. </w:t>
      </w:r>
      <w:r>
        <w:t xml:space="preserve">1380, con nota di </w:t>
      </w:r>
      <w:r w:rsidRPr="00B07827">
        <w:rPr>
          <w:smallCaps/>
        </w:rPr>
        <w:t>Piombo</w:t>
      </w:r>
      <w:r>
        <w:t xml:space="preserve">; </w:t>
      </w:r>
      <w:r>
        <w:rPr>
          <w:i/>
        </w:rPr>
        <w:t>Corr. giur.</w:t>
      </w:r>
      <w:r>
        <w:t xml:space="preserve">, 2011, p. 1269, con nota di </w:t>
      </w:r>
      <w:r>
        <w:rPr>
          <w:smallCaps/>
        </w:rPr>
        <w:t>Izzo</w:t>
      </w:r>
      <w:r>
        <w:t xml:space="preserve">; </w:t>
      </w:r>
      <w:r>
        <w:rPr>
          <w:i/>
        </w:rPr>
        <w:t xml:space="preserve">Giur. </w:t>
      </w:r>
      <w:proofErr w:type="gramStart"/>
      <w:r>
        <w:rPr>
          <w:i/>
        </w:rPr>
        <w:t>it.</w:t>
      </w:r>
      <w:r>
        <w:t>,</w:t>
      </w:r>
      <w:proofErr w:type="gramEnd"/>
      <w:r>
        <w:t xml:space="preserve"> 2012, p. 298; </w:t>
      </w:r>
      <w:r w:rsidRPr="00AA5944">
        <w:rPr>
          <w:i/>
        </w:rPr>
        <w:t xml:space="preserve">Giust. </w:t>
      </w:r>
      <w:proofErr w:type="gramStart"/>
      <w:r w:rsidRPr="00AA5944">
        <w:rPr>
          <w:i/>
        </w:rPr>
        <w:t>civ.</w:t>
      </w:r>
      <w:r>
        <w:t>,</w:t>
      </w:r>
      <w:proofErr w:type="gramEnd"/>
      <w:r>
        <w:t xml:space="preserve"> 2011, I, p. 1163.</w:t>
      </w:r>
    </w:p>
  </w:footnote>
  <w:footnote w:id="4">
    <w:p w:rsidR="00950A7B" w:rsidRPr="00D4457D" w:rsidRDefault="00950A7B" w:rsidP="00441BE9">
      <w:pPr>
        <w:pStyle w:val="Testonotaapidipagina"/>
        <w:jc w:val="both"/>
      </w:pPr>
      <w:r>
        <w:rPr>
          <w:rStyle w:val="Rimandonotaapidipagina"/>
        </w:rPr>
        <w:footnoteRef/>
      </w:r>
      <w:r w:rsidRPr="00D4457D">
        <w:t xml:space="preserve"> </w:t>
      </w:r>
      <w:r w:rsidR="00D4457D" w:rsidRPr="00D4457D">
        <w:t xml:space="preserve">In dottrina </w:t>
      </w:r>
      <w:r w:rsidR="00D4457D">
        <w:t xml:space="preserve">vedi </w:t>
      </w:r>
      <w:proofErr w:type="spellStart"/>
      <w:r w:rsidR="00D4457D" w:rsidRPr="00917CE5">
        <w:rPr>
          <w:smallCaps/>
        </w:rPr>
        <w:t>Fazzalari</w:t>
      </w:r>
      <w:proofErr w:type="spellEnd"/>
      <w:r w:rsidR="00D4457D">
        <w:t xml:space="preserve">, </w:t>
      </w:r>
      <w:r w:rsidR="00D4457D">
        <w:rPr>
          <w:i/>
        </w:rPr>
        <w:t xml:space="preserve">Decreto ingiuntivo e nuovo rito del </w:t>
      </w:r>
      <w:r w:rsidR="00D4457D" w:rsidRPr="00D4457D">
        <w:rPr>
          <w:i/>
        </w:rPr>
        <w:t>lavoro</w:t>
      </w:r>
      <w:r w:rsidR="00D4457D">
        <w:t xml:space="preserve">, in </w:t>
      </w:r>
      <w:r w:rsidR="00D4457D">
        <w:rPr>
          <w:i/>
        </w:rPr>
        <w:t xml:space="preserve">Giur. </w:t>
      </w:r>
      <w:proofErr w:type="gramStart"/>
      <w:r w:rsidR="00D4457D">
        <w:rPr>
          <w:i/>
        </w:rPr>
        <w:t>it.</w:t>
      </w:r>
      <w:r w:rsidR="00D4457D">
        <w:t>,</w:t>
      </w:r>
      <w:proofErr w:type="gramEnd"/>
      <w:r w:rsidR="00D4457D">
        <w:t xml:space="preserve"> 1974, I, 2, </w:t>
      </w:r>
      <w:r w:rsidR="00BD75B6">
        <w:t xml:space="preserve">p. </w:t>
      </w:r>
      <w:r w:rsidR="00D4457D">
        <w:t>785</w:t>
      </w:r>
      <w:r w:rsidR="00677840">
        <w:t xml:space="preserve">; </w:t>
      </w:r>
      <w:proofErr w:type="spellStart"/>
      <w:r w:rsidR="00677840" w:rsidRPr="00917CE5">
        <w:rPr>
          <w:smallCaps/>
        </w:rPr>
        <w:t>Valitutti</w:t>
      </w:r>
      <w:proofErr w:type="spellEnd"/>
      <w:r w:rsidR="00677840" w:rsidRPr="00917CE5">
        <w:rPr>
          <w:smallCaps/>
        </w:rPr>
        <w:t>, De Stefano</w:t>
      </w:r>
      <w:r w:rsidR="00677840">
        <w:t xml:space="preserve">, </w:t>
      </w:r>
      <w:r w:rsidR="00677840" w:rsidRPr="00917CE5">
        <w:rPr>
          <w:i/>
        </w:rPr>
        <w:t>Il decreto ingiuntivo e la fase di opposizione</w:t>
      </w:r>
      <w:r w:rsidR="00677840">
        <w:t xml:space="preserve">, Padova, 2008, </w:t>
      </w:r>
      <w:r w:rsidR="00BD75B6">
        <w:t>p</w:t>
      </w:r>
      <w:r w:rsidR="005128F6">
        <w:t>p</w:t>
      </w:r>
      <w:r w:rsidR="00BD75B6">
        <w:t xml:space="preserve">. </w:t>
      </w:r>
      <w:r w:rsidR="00677840">
        <w:t>343 ss.;</w:t>
      </w:r>
      <w:r w:rsidR="00917CE5">
        <w:t xml:space="preserve"> </w:t>
      </w:r>
      <w:proofErr w:type="spellStart"/>
      <w:r w:rsidR="00917CE5" w:rsidRPr="00917CE5">
        <w:rPr>
          <w:smallCaps/>
        </w:rPr>
        <w:t>Garbagnati</w:t>
      </w:r>
      <w:proofErr w:type="spellEnd"/>
      <w:r w:rsidR="00917CE5">
        <w:t xml:space="preserve">, </w:t>
      </w:r>
      <w:r w:rsidR="00917CE5" w:rsidRPr="00917CE5">
        <w:rPr>
          <w:i/>
        </w:rPr>
        <w:t>Il procedimento di ingiunzione</w:t>
      </w:r>
      <w:r w:rsidR="00917CE5">
        <w:t xml:space="preserve">, Milano, </w:t>
      </w:r>
      <w:r w:rsidR="00677840">
        <w:t>2012</w:t>
      </w:r>
      <w:r w:rsidR="00917CE5">
        <w:t xml:space="preserve">, </w:t>
      </w:r>
      <w:r w:rsidR="00BD75B6">
        <w:t xml:space="preserve">p. </w:t>
      </w:r>
      <w:r w:rsidR="00677840">
        <w:t>337.</w:t>
      </w:r>
      <w:r w:rsidR="00917CE5">
        <w:t xml:space="preserve"> In giurisprudenza:</w:t>
      </w:r>
      <w:r w:rsidR="00D4457D">
        <w:t xml:space="preserve"> </w:t>
      </w:r>
      <w:proofErr w:type="gramStart"/>
      <w:r w:rsidR="00F76067" w:rsidRPr="00D4457D">
        <w:t>Cass.,</w:t>
      </w:r>
      <w:proofErr w:type="gramEnd"/>
      <w:r w:rsidR="00677840">
        <w:t xml:space="preserve"> 15</w:t>
      </w:r>
      <w:r w:rsidR="00211EA2">
        <w:t xml:space="preserve"> gennaio </w:t>
      </w:r>
      <w:r w:rsidR="00677840">
        <w:t>2013, n. 797</w:t>
      </w:r>
      <w:r w:rsidR="0008314D">
        <w:t xml:space="preserve">, </w:t>
      </w:r>
      <w:proofErr w:type="spellStart"/>
      <w:r w:rsidR="0008314D">
        <w:t>in</w:t>
      </w:r>
      <w:r w:rsidR="003B3109">
        <w:t>ed</w:t>
      </w:r>
      <w:proofErr w:type="spellEnd"/>
      <w:r w:rsidR="003B3109">
        <w:t>.</w:t>
      </w:r>
      <w:r w:rsidR="00677840">
        <w:t>;</w:t>
      </w:r>
      <w:r w:rsidR="00F76067" w:rsidRPr="00D4457D">
        <w:t xml:space="preserve"> </w:t>
      </w:r>
      <w:r w:rsidR="007424F9">
        <w:t>Cass.</w:t>
      </w:r>
      <w:r w:rsidR="00F76067" w:rsidRPr="00D4457D">
        <w:t>, 26</w:t>
      </w:r>
      <w:r w:rsidR="00211EA2">
        <w:t xml:space="preserve"> aprile </w:t>
      </w:r>
      <w:r w:rsidR="00F76067" w:rsidRPr="00D4457D">
        <w:t>1993, n. 4867</w:t>
      </w:r>
      <w:r w:rsidR="0008314D">
        <w:t xml:space="preserve">, in </w:t>
      </w:r>
      <w:r w:rsidR="0008314D">
        <w:rPr>
          <w:i/>
        </w:rPr>
        <w:t xml:space="preserve">Mass. Giust. </w:t>
      </w:r>
      <w:proofErr w:type="gramStart"/>
      <w:r w:rsidR="0008314D">
        <w:rPr>
          <w:i/>
        </w:rPr>
        <w:t>civ.</w:t>
      </w:r>
      <w:r w:rsidR="00A769A5">
        <w:t>,</w:t>
      </w:r>
      <w:proofErr w:type="gramEnd"/>
      <w:r w:rsidR="00A769A5">
        <w:t xml:space="preserve"> 1993</w:t>
      </w:r>
      <w:r w:rsidR="0008314D">
        <w:t xml:space="preserve">, p. </w:t>
      </w:r>
      <w:r w:rsidR="00A769A5">
        <w:t>743</w:t>
      </w:r>
      <w:r w:rsidR="00F76067" w:rsidRPr="00D4457D">
        <w:t xml:space="preserve">; </w:t>
      </w:r>
      <w:r w:rsidR="007424F9">
        <w:t>Cass.</w:t>
      </w:r>
      <w:r w:rsidR="00F76067" w:rsidRPr="00D4457D">
        <w:t>, 15</w:t>
      </w:r>
      <w:r w:rsidR="00211EA2">
        <w:t xml:space="preserve"> ottobre </w:t>
      </w:r>
      <w:r w:rsidR="00F76067" w:rsidRPr="00D4457D">
        <w:t>1992, n. 11318</w:t>
      </w:r>
      <w:r w:rsidR="0008314D">
        <w:t xml:space="preserve">, in </w:t>
      </w:r>
      <w:r w:rsidR="0008314D">
        <w:rPr>
          <w:i/>
        </w:rPr>
        <w:t xml:space="preserve">Mass. Giust. </w:t>
      </w:r>
      <w:proofErr w:type="gramStart"/>
      <w:r w:rsidR="0008314D">
        <w:rPr>
          <w:i/>
        </w:rPr>
        <w:t>civ.</w:t>
      </w:r>
      <w:r w:rsidR="0008314D">
        <w:t>,</w:t>
      </w:r>
      <w:proofErr w:type="gramEnd"/>
      <w:r w:rsidR="0008314D">
        <w:t xml:space="preserve"> </w:t>
      </w:r>
      <w:r w:rsidR="00A769A5">
        <w:t>1992</w:t>
      </w:r>
      <w:r w:rsidR="0008314D">
        <w:t xml:space="preserve">, p. </w:t>
      </w:r>
      <w:r w:rsidR="00A769A5">
        <w:t>1471</w:t>
      </w:r>
      <w:r w:rsidR="00F76067" w:rsidRPr="00D4457D">
        <w:t xml:space="preserve">; </w:t>
      </w:r>
      <w:proofErr w:type="spellStart"/>
      <w:r w:rsidR="00F76067" w:rsidRPr="00D4457D">
        <w:t>App</w:t>
      </w:r>
      <w:proofErr w:type="spellEnd"/>
      <w:r w:rsidR="00F76067" w:rsidRPr="00D4457D">
        <w:t>. Milano, 1</w:t>
      </w:r>
      <w:r w:rsidR="00211EA2">
        <w:t xml:space="preserve"> marzo </w:t>
      </w:r>
      <w:r w:rsidR="00F76067" w:rsidRPr="00D4457D">
        <w:t xml:space="preserve">2006, in </w:t>
      </w:r>
      <w:r w:rsidR="00F76067" w:rsidRPr="00D4457D">
        <w:rPr>
          <w:i/>
        </w:rPr>
        <w:t xml:space="preserve">Giur. </w:t>
      </w:r>
      <w:proofErr w:type="gramStart"/>
      <w:r w:rsidR="00F76067" w:rsidRPr="00D4457D">
        <w:rPr>
          <w:i/>
        </w:rPr>
        <w:t>merito</w:t>
      </w:r>
      <w:proofErr w:type="gramEnd"/>
      <w:r w:rsidR="00F76067" w:rsidRPr="00D4457D">
        <w:t xml:space="preserve">, 2007, </w:t>
      </w:r>
      <w:r w:rsidR="00BD75B6">
        <w:t xml:space="preserve">p. </w:t>
      </w:r>
      <w:r w:rsidR="00F76067" w:rsidRPr="00D4457D">
        <w:t>689.</w:t>
      </w:r>
    </w:p>
  </w:footnote>
  <w:footnote w:id="5">
    <w:p w:rsidR="00950A7B" w:rsidRPr="00AA5944" w:rsidRDefault="00950A7B" w:rsidP="00441BE9">
      <w:pPr>
        <w:pStyle w:val="Testonotaapidipagina"/>
        <w:jc w:val="both"/>
      </w:pPr>
      <w:r>
        <w:rPr>
          <w:rStyle w:val="Rimandonotaapidipagina"/>
        </w:rPr>
        <w:footnoteRef/>
      </w:r>
      <w:r w:rsidRPr="005707E4">
        <w:t xml:space="preserve"> </w:t>
      </w:r>
      <w:r w:rsidR="005707E4" w:rsidRPr="005707E4">
        <w:t>In dottrina vedi</w:t>
      </w:r>
      <w:r w:rsidR="005707E4">
        <w:t xml:space="preserve"> </w:t>
      </w:r>
      <w:r w:rsidR="00BE7E03" w:rsidRPr="00BE7E03">
        <w:rPr>
          <w:smallCaps/>
        </w:rPr>
        <w:t>Frasca</w:t>
      </w:r>
      <w:r w:rsidR="00BE7E03">
        <w:t xml:space="preserve">, </w:t>
      </w:r>
      <w:r w:rsidR="00BE7E03" w:rsidRPr="00BE7E03">
        <w:rPr>
          <w:i/>
        </w:rPr>
        <w:t>Il rito dell’opposizione a decreto ingiuntivo in materia locativa prima e dopo la riforma del processo civile e le questioni controverse</w:t>
      </w:r>
      <w:r w:rsidR="00BE7E03">
        <w:t xml:space="preserve">, in </w:t>
      </w:r>
      <w:r w:rsidR="00BE7E03" w:rsidRPr="00BE7E03">
        <w:rPr>
          <w:i/>
        </w:rPr>
        <w:t xml:space="preserve">Foro </w:t>
      </w:r>
      <w:proofErr w:type="gramStart"/>
      <w:r w:rsidR="00BE7E03" w:rsidRPr="00BE7E03">
        <w:rPr>
          <w:i/>
        </w:rPr>
        <w:t>it.</w:t>
      </w:r>
      <w:r w:rsidR="00BE7E03">
        <w:t>,</w:t>
      </w:r>
      <w:proofErr w:type="gramEnd"/>
      <w:r w:rsidR="00BE7E03">
        <w:t xml:space="preserve"> 1998, I, </w:t>
      </w:r>
      <w:r w:rsidR="00BD75B6">
        <w:t>c</w:t>
      </w:r>
      <w:r w:rsidR="005128F6">
        <w:t>c</w:t>
      </w:r>
      <w:r w:rsidR="00BD75B6">
        <w:t xml:space="preserve">. </w:t>
      </w:r>
      <w:r w:rsidR="00BE7E03">
        <w:t xml:space="preserve">3274 ss.; </w:t>
      </w:r>
      <w:proofErr w:type="spellStart"/>
      <w:r w:rsidR="00BE7E03" w:rsidRPr="00E60AA5">
        <w:rPr>
          <w:smallCaps/>
        </w:rPr>
        <w:t>Minetola</w:t>
      </w:r>
      <w:proofErr w:type="spellEnd"/>
      <w:r w:rsidR="00BE7E03" w:rsidRPr="00E60AA5">
        <w:rPr>
          <w:smallCaps/>
        </w:rPr>
        <w:t>, Murra</w:t>
      </w:r>
      <w:r w:rsidR="00BE7E03">
        <w:t xml:space="preserve">, </w:t>
      </w:r>
      <w:r w:rsidR="00BE7E03" w:rsidRPr="00E60AA5">
        <w:rPr>
          <w:i/>
        </w:rPr>
        <w:t>La conversione dell’atto processuale nullo: un caso di giurisprudenza normativa</w:t>
      </w:r>
      <w:r w:rsidR="00BE7E03">
        <w:t xml:space="preserve">, in </w:t>
      </w:r>
      <w:r w:rsidR="00BE7E03">
        <w:rPr>
          <w:i/>
        </w:rPr>
        <w:t xml:space="preserve">Giust. </w:t>
      </w:r>
      <w:proofErr w:type="gramStart"/>
      <w:r w:rsidR="00BE7E03">
        <w:rPr>
          <w:i/>
        </w:rPr>
        <w:t>civ.</w:t>
      </w:r>
      <w:r w:rsidR="00BE7E03">
        <w:t>,</w:t>
      </w:r>
      <w:proofErr w:type="gramEnd"/>
      <w:r w:rsidR="00BE7E03">
        <w:t xml:space="preserve"> 2001, I,</w:t>
      </w:r>
      <w:r w:rsidR="00BD75B6">
        <w:t xml:space="preserve"> </w:t>
      </w:r>
      <w:r w:rsidR="005128F6">
        <w:t>p</w:t>
      </w:r>
      <w:r w:rsidR="00BD75B6">
        <w:t>p.</w:t>
      </w:r>
      <w:r w:rsidR="00BE7E03">
        <w:t xml:space="preserve"> 2051 ss.; </w:t>
      </w:r>
      <w:r w:rsidR="00BE7E03" w:rsidRPr="00F76067">
        <w:rPr>
          <w:smallCaps/>
        </w:rPr>
        <w:t>Rossi</w:t>
      </w:r>
      <w:r w:rsidR="00BE7E03">
        <w:t xml:space="preserve">, </w:t>
      </w:r>
      <w:r w:rsidR="00BE7E03">
        <w:rPr>
          <w:i/>
        </w:rPr>
        <w:t>Sulle m</w:t>
      </w:r>
      <w:r w:rsidR="00BE7E03" w:rsidRPr="00F76067">
        <w:rPr>
          <w:i/>
        </w:rPr>
        <w:t>odalità di proposizione dell’opposizione a decreto ingiuntivo</w:t>
      </w:r>
      <w:r w:rsidR="00BE7E03">
        <w:rPr>
          <w:i/>
        </w:rPr>
        <w:t xml:space="preserve"> in materia locatizia</w:t>
      </w:r>
      <w:r w:rsidR="00BE7E03">
        <w:t xml:space="preserve">, in </w:t>
      </w:r>
      <w:r w:rsidR="00BE7E03" w:rsidRPr="00F76067">
        <w:rPr>
          <w:i/>
        </w:rPr>
        <w:t>Studi in onore di Modestino Acone</w:t>
      </w:r>
      <w:r w:rsidR="00BE7E03">
        <w:t>, Napoli, 2010,</w:t>
      </w:r>
      <w:r w:rsidR="00BD75B6">
        <w:t xml:space="preserve"> p</w:t>
      </w:r>
      <w:r w:rsidR="005128F6">
        <w:t>p</w:t>
      </w:r>
      <w:r w:rsidR="00BD75B6">
        <w:t>.</w:t>
      </w:r>
      <w:r w:rsidR="00BE7E03">
        <w:t xml:space="preserve"> 989 ss.</w:t>
      </w:r>
      <w:r w:rsidR="005707E4">
        <w:t xml:space="preserve"> In giurisprudenza</w:t>
      </w:r>
      <w:r w:rsidR="005707E4" w:rsidRPr="002518E9">
        <w:t xml:space="preserve">: </w:t>
      </w:r>
      <w:proofErr w:type="gramStart"/>
      <w:r w:rsidR="00C0403A" w:rsidRPr="002518E9">
        <w:t>Cass.,</w:t>
      </w:r>
      <w:proofErr w:type="gramEnd"/>
      <w:r w:rsidR="00C0403A" w:rsidRPr="002518E9">
        <w:t xml:space="preserve"> 2</w:t>
      </w:r>
      <w:r w:rsidR="00211EA2" w:rsidRPr="002518E9">
        <w:t xml:space="preserve"> aprile </w:t>
      </w:r>
      <w:r w:rsidR="00C0403A" w:rsidRPr="002518E9">
        <w:t>2009, n. 8014</w:t>
      </w:r>
      <w:r w:rsidR="0008314D" w:rsidRPr="002518E9">
        <w:t xml:space="preserve">, in </w:t>
      </w:r>
      <w:r w:rsidR="0008314D" w:rsidRPr="002518E9">
        <w:rPr>
          <w:i/>
        </w:rPr>
        <w:t xml:space="preserve">Mass. Giust. </w:t>
      </w:r>
      <w:proofErr w:type="gramStart"/>
      <w:r w:rsidR="0008314D" w:rsidRPr="002518E9">
        <w:rPr>
          <w:i/>
        </w:rPr>
        <w:t>civ.</w:t>
      </w:r>
      <w:r w:rsidR="0008314D" w:rsidRPr="002518E9">
        <w:t>,</w:t>
      </w:r>
      <w:proofErr w:type="gramEnd"/>
      <w:r w:rsidR="0008314D" w:rsidRPr="002518E9">
        <w:t xml:space="preserve"> </w:t>
      </w:r>
      <w:r w:rsidR="002518E9" w:rsidRPr="002518E9">
        <w:t>2009</w:t>
      </w:r>
      <w:r w:rsidR="0008314D" w:rsidRPr="002518E9">
        <w:t xml:space="preserve">, p. </w:t>
      </w:r>
      <w:r w:rsidR="002518E9" w:rsidRPr="002518E9">
        <w:t>568</w:t>
      </w:r>
      <w:r w:rsidR="00C0403A" w:rsidRPr="002518E9">
        <w:t xml:space="preserve">; </w:t>
      </w:r>
      <w:r w:rsidR="007424F9" w:rsidRPr="002518E9">
        <w:t>Cass</w:t>
      </w:r>
      <w:r w:rsidR="007424F9">
        <w:t>.</w:t>
      </w:r>
      <w:r w:rsidR="00C0403A" w:rsidRPr="005707E4">
        <w:t>, 1</w:t>
      </w:r>
      <w:r w:rsidR="00211EA2">
        <w:t xml:space="preserve"> giugno </w:t>
      </w:r>
      <w:r w:rsidR="00C0403A" w:rsidRPr="004D5D53">
        <w:t xml:space="preserve">2000, n. 7263, in </w:t>
      </w:r>
      <w:r w:rsidR="00C0403A" w:rsidRPr="004D5D53">
        <w:rPr>
          <w:i/>
        </w:rPr>
        <w:t>Foro it.</w:t>
      </w:r>
      <w:r w:rsidR="004336B8" w:rsidRPr="004D5D53">
        <w:t xml:space="preserve">, 2001, I, </w:t>
      </w:r>
      <w:r w:rsidR="00BD75B6" w:rsidRPr="004D5D53">
        <w:t xml:space="preserve">c. </w:t>
      </w:r>
      <w:r w:rsidR="004336B8" w:rsidRPr="004D5D53">
        <w:t>813</w:t>
      </w:r>
      <w:r w:rsidR="005707E4" w:rsidRPr="004D5D53">
        <w:t xml:space="preserve"> e,</w:t>
      </w:r>
      <w:r w:rsidR="004336B8" w:rsidRPr="004D5D53">
        <w:t xml:space="preserve"> </w:t>
      </w:r>
      <w:r w:rsidR="005707E4" w:rsidRPr="004D5D53">
        <w:t>n</w:t>
      </w:r>
      <w:r w:rsidR="004336B8" w:rsidRPr="004D5D53">
        <w:t>ella giurisprudenza di merito,</w:t>
      </w:r>
      <w:r w:rsidR="00ED4A5C" w:rsidRPr="004D5D53">
        <w:t xml:space="preserve"> Trib. Roma, 21</w:t>
      </w:r>
      <w:r w:rsidR="00211EA2" w:rsidRPr="004D5D53">
        <w:t xml:space="preserve"> ottobre </w:t>
      </w:r>
      <w:r w:rsidR="00ED4A5C" w:rsidRPr="004D5D53">
        <w:t>2013, n. 20984</w:t>
      </w:r>
      <w:r w:rsidR="004D5D53" w:rsidRPr="004D5D53">
        <w:t xml:space="preserve">, </w:t>
      </w:r>
      <w:proofErr w:type="spellStart"/>
      <w:proofErr w:type="gramStart"/>
      <w:r w:rsidR="004D5D53" w:rsidRPr="004D5D53">
        <w:t>ined</w:t>
      </w:r>
      <w:proofErr w:type="spellEnd"/>
      <w:r w:rsidR="004D5D53" w:rsidRPr="004D5D53">
        <w:t>.</w:t>
      </w:r>
      <w:r w:rsidR="00ED4A5C">
        <w:t>;</w:t>
      </w:r>
      <w:proofErr w:type="gramEnd"/>
      <w:r w:rsidR="004336B8" w:rsidRPr="00D17F8F">
        <w:t xml:space="preserve"> </w:t>
      </w:r>
      <w:r w:rsidR="00080BE8" w:rsidRPr="004336B8">
        <w:t xml:space="preserve">Trib. </w:t>
      </w:r>
      <w:r w:rsidR="00080BE8" w:rsidRPr="00080BE8">
        <w:t>Reggio Emilia, 19</w:t>
      </w:r>
      <w:r w:rsidR="00211EA2">
        <w:t xml:space="preserve"> aprile </w:t>
      </w:r>
      <w:r w:rsidR="00080BE8">
        <w:t>2012,</w:t>
      </w:r>
      <w:r w:rsidR="004336B8">
        <w:t xml:space="preserve"> n. 762,</w:t>
      </w:r>
      <w:r w:rsidR="00080BE8">
        <w:t xml:space="preserve"> in </w:t>
      </w:r>
      <w:r w:rsidR="00080BE8">
        <w:rPr>
          <w:i/>
        </w:rPr>
        <w:t>www.ilcaso.it</w:t>
      </w:r>
      <w:r w:rsidR="00080BE8">
        <w:t>;</w:t>
      </w:r>
      <w:r w:rsidR="00080BE8" w:rsidRPr="00080BE8">
        <w:t xml:space="preserve"> </w:t>
      </w:r>
      <w:r w:rsidR="004336B8">
        <w:t>Trib. Bari, 7</w:t>
      </w:r>
      <w:r w:rsidR="00211EA2">
        <w:t xml:space="preserve"> marzo </w:t>
      </w:r>
      <w:r w:rsidR="004336B8">
        <w:t xml:space="preserve">2012, n. 842; </w:t>
      </w:r>
      <w:r w:rsidR="004336B8" w:rsidRPr="004D5D53">
        <w:t>Trib. Modena, 30</w:t>
      </w:r>
      <w:r w:rsidR="00211EA2" w:rsidRPr="004D5D53">
        <w:t xml:space="preserve"> gennaio </w:t>
      </w:r>
      <w:r w:rsidR="004336B8" w:rsidRPr="0055552D">
        <w:t>2012, n. 239</w:t>
      </w:r>
      <w:r w:rsidR="004D5D53" w:rsidRPr="0055552D">
        <w:t xml:space="preserve">, in </w:t>
      </w:r>
      <w:r w:rsidR="004D5D53" w:rsidRPr="0055552D">
        <w:rPr>
          <w:i/>
        </w:rPr>
        <w:t xml:space="preserve">Giur. </w:t>
      </w:r>
      <w:proofErr w:type="spellStart"/>
      <w:r w:rsidR="004D5D53" w:rsidRPr="0055552D">
        <w:rPr>
          <w:i/>
        </w:rPr>
        <w:t>loc</w:t>
      </w:r>
      <w:proofErr w:type="spellEnd"/>
      <w:r w:rsidR="004D5D53" w:rsidRPr="0055552D">
        <w:rPr>
          <w:i/>
        </w:rPr>
        <w:t>.</w:t>
      </w:r>
      <w:r w:rsidR="004D5D53" w:rsidRPr="0055552D">
        <w:t>, 2012</w:t>
      </w:r>
      <w:r w:rsidR="004336B8" w:rsidRPr="0055552D">
        <w:t xml:space="preserve">; </w:t>
      </w:r>
      <w:r w:rsidR="00080BE8" w:rsidRPr="0055552D">
        <w:t>Trib. Salerno, 19</w:t>
      </w:r>
      <w:r w:rsidR="00211EA2" w:rsidRPr="0055552D">
        <w:t xml:space="preserve"> novembre </w:t>
      </w:r>
      <w:r w:rsidR="00080BE8" w:rsidRPr="0055552D">
        <w:t xml:space="preserve">2010, in </w:t>
      </w:r>
      <w:r w:rsidR="00080BE8" w:rsidRPr="0055552D">
        <w:rPr>
          <w:i/>
        </w:rPr>
        <w:t xml:space="preserve">Giur. </w:t>
      </w:r>
      <w:proofErr w:type="gramStart"/>
      <w:r w:rsidR="00080BE8" w:rsidRPr="0055552D">
        <w:rPr>
          <w:i/>
        </w:rPr>
        <w:t>merito</w:t>
      </w:r>
      <w:proofErr w:type="gramEnd"/>
      <w:r w:rsidR="00080BE8" w:rsidRPr="0055552D">
        <w:t xml:space="preserve">, 2011, </w:t>
      </w:r>
      <w:r w:rsidR="00BD75B6" w:rsidRPr="0055552D">
        <w:t xml:space="preserve">p. </w:t>
      </w:r>
      <w:r w:rsidR="00080BE8" w:rsidRPr="0055552D">
        <w:t xml:space="preserve">1048; </w:t>
      </w:r>
      <w:r w:rsidR="004336B8" w:rsidRPr="0055552D">
        <w:t>Trib. Genova, 22</w:t>
      </w:r>
      <w:r w:rsidR="00211EA2" w:rsidRPr="0055552D">
        <w:t xml:space="preserve"> gennaio </w:t>
      </w:r>
      <w:r w:rsidR="004336B8" w:rsidRPr="0055552D">
        <w:t>2009, n. 339</w:t>
      </w:r>
      <w:r w:rsidR="0055552D" w:rsidRPr="0055552D">
        <w:t xml:space="preserve">, </w:t>
      </w:r>
      <w:proofErr w:type="spellStart"/>
      <w:proofErr w:type="gramStart"/>
      <w:r w:rsidR="0055552D" w:rsidRPr="0055552D">
        <w:t>ined</w:t>
      </w:r>
      <w:proofErr w:type="spellEnd"/>
      <w:r w:rsidR="0055552D" w:rsidRPr="0055552D">
        <w:t>.</w:t>
      </w:r>
      <w:r w:rsidR="004336B8" w:rsidRPr="0055552D">
        <w:t>;</w:t>
      </w:r>
      <w:proofErr w:type="gramEnd"/>
      <w:r w:rsidR="004336B8" w:rsidRPr="0055552D">
        <w:t xml:space="preserve"> </w:t>
      </w:r>
      <w:r w:rsidR="00D17F8F" w:rsidRPr="0055552D">
        <w:t>Trib. Como, 1</w:t>
      </w:r>
      <w:r w:rsidR="00211EA2" w:rsidRPr="0055552D">
        <w:t xml:space="preserve"> giugno </w:t>
      </w:r>
      <w:r w:rsidR="00D17F8F" w:rsidRPr="0055552D">
        <w:t>2007</w:t>
      </w:r>
      <w:r w:rsidR="0055552D" w:rsidRPr="0055552D">
        <w:t xml:space="preserve">, </w:t>
      </w:r>
      <w:proofErr w:type="spellStart"/>
      <w:proofErr w:type="gramStart"/>
      <w:r w:rsidR="0055552D" w:rsidRPr="0055552D">
        <w:t>ined</w:t>
      </w:r>
      <w:proofErr w:type="spellEnd"/>
      <w:r w:rsidR="0055552D" w:rsidRPr="0055552D">
        <w:t>.</w:t>
      </w:r>
      <w:r w:rsidR="00D17F8F">
        <w:t>;</w:t>
      </w:r>
      <w:proofErr w:type="gramEnd"/>
      <w:r w:rsidR="00D17F8F">
        <w:t xml:space="preserve"> </w:t>
      </w:r>
      <w:r w:rsidR="00080BE8" w:rsidRPr="00080BE8">
        <w:t>Trib. Milano, 15</w:t>
      </w:r>
      <w:r w:rsidR="00211EA2">
        <w:t xml:space="preserve"> dicembre </w:t>
      </w:r>
      <w:r w:rsidR="00080BE8" w:rsidRPr="00080BE8">
        <w:t xml:space="preserve">1997, in </w:t>
      </w:r>
      <w:r w:rsidR="00080BE8" w:rsidRPr="00080BE8">
        <w:rPr>
          <w:i/>
        </w:rPr>
        <w:t xml:space="preserve">Foro </w:t>
      </w:r>
      <w:proofErr w:type="gramStart"/>
      <w:r w:rsidR="00080BE8" w:rsidRPr="00080BE8">
        <w:rPr>
          <w:i/>
        </w:rPr>
        <w:t>it.</w:t>
      </w:r>
      <w:r w:rsidR="00080BE8" w:rsidRPr="00080BE8">
        <w:t>,</w:t>
      </w:r>
      <w:proofErr w:type="gramEnd"/>
      <w:r w:rsidR="00080BE8" w:rsidRPr="00080BE8">
        <w:t xml:space="preserve"> 1998, I, </w:t>
      </w:r>
      <w:r w:rsidR="00BD75B6">
        <w:t xml:space="preserve">c. </w:t>
      </w:r>
      <w:r w:rsidR="00080BE8" w:rsidRPr="00080BE8">
        <w:t xml:space="preserve">3274 con nota di </w:t>
      </w:r>
      <w:r w:rsidR="00080BE8" w:rsidRPr="00080BE8">
        <w:rPr>
          <w:smallCaps/>
        </w:rPr>
        <w:t>Frasca</w:t>
      </w:r>
      <w:r w:rsidR="00E60AA5">
        <w:rPr>
          <w:smallCaps/>
        </w:rPr>
        <w:t xml:space="preserve"> </w:t>
      </w:r>
      <w:r w:rsidR="00E60AA5" w:rsidRPr="00E60AA5">
        <w:t>cit.</w:t>
      </w:r>
      <w:r w:rsidR="00E60AA5">
        <w:t xml:space="preserve"> Non mancano tuttavia alcune pronunce di segno opposto, che ritengono tempestiva l’opposizione notificata e non anche depositata in termini, sebbene tale orientamento appaia decisamente minoritario:</w:t>
      </w:r>
      <w:r w:rsidR="003420D5">
        <w:t xml:space="preserve"> </w:t>
      </w:r>
      <w:r w:rsidR="00E60AA5">
        <w:t>Trib. Cremona, 16</w:t>
      </w:r>
      <w:r w:rsidR="00211EA2">
        <w:t xml:space="preserve"> maggio </w:t>
      </w:r>
      <w:r w:rsidR="00E60AA5">
        <w:t xml:space="preserve">2005, in </w:t>
      </w:r>
      <w:r w:rsidR="00E60AA5">
        <w:rPr>
          <w:i/>
        </w:rPr>
        <w:t xml:space="preserve">Arch. </w:t>
      </w:r>
      <w:proofErr w:type="spellStart"/>
      <w:r w:rsidR="00E60AA5">
        <w:rPr>
          <w:i/>
        </w:rPr>
        <w:t>loc</w:t>
      </w:r>
      <w:proofErr w:type="spellEnd"/>
      <w:r w:rsidR="00E60AA5">
        <w:rPr>
          <w:i/>
        </w:rPr>
        <w:t>.</w:t>
      </w:r>
      <w:r w:rsidR="00E60AA5">
        <w:t>, 2005,</w:t>
      </w:r>
      <w:r w:rsidR="00BD75B6">
        <w:t xml:space="preserve"> p.</w:t>
      </w:r>
      <w:r w:rsidR="00E60AA5">
        <w:t xml:space="preserve"> 562</w:t>
      </w:r>
      <w:r w:rsidR="00ED4A5C">
        <w:t>; Trib. Napoli, 26</w:t>
      </w:r>
      <w:r w:rsidR="00211EA2">
        <w:t xml:space="preserve"> gennaio </w:t>
      </w:r>
      <w:r w:rsidR="00ED4A5C">
        <w:t xml:space="preserve">2005, in </w:t>
      </w:r>
      <w:r w:rsidR="00ED4A5C">
        <w:rPr>
          <w:i/>
        </w:rPr>
        <w:t xml:space="preserve">Giur. </w:t>
      </w:r>
      <w:proofErr w:type="gramStart"/>
      <w:r w:rsidR="00ED4A5C">
        <w:rPr>
          <w:i/>
        </w:rPr>
        <w:t>merito</w:t>
      </w:r>
      <w:proofErr w:type="gramEnd"/>
      <w:r w:rsidR="00ED4A5C">
        <w:t>, 2006,</w:t>
      </w:r>
      <w:r w:rsidR="00BD75B6">
        <w:t xml:space="preserve"> p.</w:t>
      </w:r>
      <w:r w:rsidR="00ED4A5C">
        <w:t xml:space="preserve"> 647</w:t>
      </w:r>
      <w:r w:rsidR="00E60AA5">
        <w:t xml:space="preserve">. </w:t>
      </w:r>
      <w:r w:rsidR="003420D5">
        <w:t xml:space="preserve">Vedi anche </w:t>
      </w:r>
      <w:proofErr w:type="gramStart"/>
      <w:r w:rsidR="003420D5" w:rsidRPr="00655777">
        <w:t>Cass.,</w:t>
      </w:r>
      <w:proofErr w:type="gramEnd"/>
      <w:r w:rsidR="003420D5" w:rsidRPr="00655777">
        <w:t xml:space="preserve"> 30</w:t>
      </w:r>
      <w:r w:rsidR="00211EA2" w:rsidRPr="00655777">
        <w:t xml:space="preserve"> dicembre </w:t>
      </w:r>
      <w:r w:rsidR="003420D5" w:rsidRPr="00655777">
        <w:t>2011, n. 30193</w:t>
      </w:r>
      <w:r w:rsidR="0008314D" w:rsidRPr="00655777">
        <w:t xml:space="preserve">, in </w:t>
      </w:r>
      <w:r w:rsidR="0008314D" w:rsidRPr="00655777">
        <w:rPr>
          <w:i/>
        </w:rPr>
        <w:t xml:space="preserve">Mass. Giust. </w:t>
      </w:r>
      <w:proofErr w:type="gramStart"/>
      <w:r w:rsidR="0008314D" w:rsidRPr="00655777">
        <w:rPr>
          <w:i/>
        </w:rPr>
        <w:t>civ.</w:t>
      </w:r>
      <w:r w:rsidR="0008314D" w:rsidRPr="00655777">
        <w:t>,</w:t>
      </w:r>
      <w:proofErr w:type="gramEnd"/>
      <w:r w:rsidR="0008314D" w:rsidRPr="00655777">
        <w:t xml:space="preserve"> </w:t>
      </w:r>
      <w:r w:rsidR="002518E9" w:rsidRPr="00655777">
        <w:t>2011</w:t>
      </w:r>
      <w:r w:rsidR="0008314D" w:rsidRPr="00655777">
        <w:t xml:space="preserve">, p. </w:t>
      </w:r>
      <w:r w:rsidR="002518E9" w:rsidRPr="00655777">
        <w:t>1914</w:t>
      </w:r>
      <w:r w:rsidR="003420D5" w:rsidRPr="00655777">
        <w:t xml:space="preserve">; </w:t>
      </w:r>
      <w:r w:rsidR="007424F9" w:rsidRPr="00655777">
        <w:t>Cass.</w:t>
      </w:r>
      <w:r w:rsidR="003420D5" w:rsidRPr="00655777">
        <w:t>, 18</w:t>
      </w:r>
      <w:r w:rsidR="00211EA2" w:rsidRPr="00655777">
        <w:t xml:space="preserve"> febbraio </w:t>
      </w:r>
      <w:r w:rsidR="003420D5" w:rsidRPr="00655777">
        <w:t>2010, n. 3917</w:t>
      </w:r>
      <w:r w:rsidR="0008314D" w:rsidRPr="00655777">
        <w:t xml:space="preserve">, in </w:t>
      </w:r>
      <w:r w:rsidR="0008314D" w:rsidRPr="00655777">
        <w:rPr>
          <w:i/>
        </w:rPr>
        <w:t xml:space="preserve">Mass. Giust. </w:t>
      </w:r>
      <w:proofErr w:type="gramStart"/>
      <w:r w:rsidR="0008314D" w:rsidRPr="00655777">
        <w:rPr>
          <w:i/>
        </w:rPr>
        <w:t>civ.</w:t>
      </w:r>
      <w:r w:rsidR="0008314D" w:rsidRPr="00655777">
        <w:t>,</w:t>
      </w:r>
      <w:proofErr w:type="gramEnd"/>
      <w:r w:rsidR="0008314D" w:rsidRPr="00655777">
        <w:t xml:space="preserve"> </w:t>
      </w:r>
      <w:r w:rsidR="00655777" w:rsidRPr="00655777">
        <w:t>2010</w:t>
      </w:r>
      <w:r w:rsidR="0008314D" w:rsidRPr="00655777">
        <w:t xml:space="preserve">, p. </w:t>
      </w:r>
      <w:r w:rsidR="00655777" w:rsidRPr="00655777">
        <w:t>3917</w:t>
      </w:r>
      <w:r w:rsidR="003420D5" w:rsidRPr="00655777">
        <w:t xml:space="preserve">; </w:t>
      </w:r>
      <w:r w:rsidR="007424F9" w:rsidRPr="00655777">
        <w:t>Cass.</w:t>
      </w:r>
      <w:r w:rsidR="003420D5" w:rsidRPr="00655777">
        <w:t>, 16</w:t>
      </w:r>
      <w:r w:rsidR="00211EA2" w:rsidRPr="00655777">
        <w:t xml:space="preserve"> novembre </w:t>
      </w:r>
      <w:r w:rsidR="003420D5" w:rsidRPr="00655777">
        <w:t xml:space="preserve">2007, n. 23813, in </w:t>
      </w:r>
      <w:r w:rsidR="003420D5" w:rsidRPr="00655777">
        <w:rPr>
          <w:i/>
        </w:rPr>
        <w:t>Foro it.</w:t>
      </w:r>
      <w:r w:rsidR="003420D5" w:rsidRPr="00655777">
        <w:t>, 2008, I,</w:t>
      </w:r>
      <w:r w:rsidR="00BD75B6">
        <w:t xml:space="preserve"> c.</w:t>
      </w:r>
      <w:r w:rsidR="003420D5">
        <w:t xml:space="preserve"> 113</w:t>
      </w:r>
      <w:r w:rsidR="00655777">
        <w:t>,</w:t>
      </w:r>
      <w:r w:rsidR="003420D5">
        <w:t xml:space="preserve"> secondo cui, qualora il decreto sia stato erroneamente richiesto e pronunciato dal giudice di pace, l’opposizione deve essere proposta con citazione, secondo il rito ordinario che va seguito davanti a tale ufficio e non con ricorso.</w:t>
      </w:r>
    </w:p>
  </w:footnote>
  <w:footnote w:id="6">
    <w:p w:rsidR="00950A7B" w:rsidRPr="00BA5E89" w:rsidRDefault="00950A7B" w:rsidP="00441BE9">
      <w:pPr>
        <w:pStyle w:val="Testonotaapidipagina"/>
        <w:jc w:val="both"/>
      </w:pPr>
      <w:r>
        <w:rPr>
          <w:rStyle w:val="Rimandonotaapidipagina"/>
        </w:rPr>
        <w:footnoteRef/>
      </w:r>
      <w:r w:rsidRPr="00211EA2">
        <w:t xml:space="preserve"> </w:t>
      </w:r>
      <w:proofErr w:type="gramStart"/>
      <w:r w:rsidR="004E6AA5" w:rsidRPr="004D5D53">
        <w:t>Cass.,</w:t>
      </w:r>
      <w:proofErr w:type="gramEnd"/>
      <w:r w:rsidR="004E6AA5" w:rsidRPr="004D5D53">
        <w:t xml:space="preserve"> 16</w:t>
      </w:r>
      <w:r w:rsidR="00211EA2" w:rsidRPr="004D5D53">
        <w:t xml:space="preserve"> febbraio </w:t>
      </w:r>
      <w:r w:rsidR="004E6AA5" w:rsidRPr="004D5D53">
        <w:t>1999, n. 1283</w:t>
      </w:r>
      <w:r w:rsidR="0008314D" w:rsidRPr="004D5D53">
        <w:t xml:space="preserve">, in </w:t>
      </w:r>
      <w:r w:rsidR="0008314D" w:rsidRPr="004D5D53">
        <w:rPr>
          <w:i/>
        </w:rPr>
        <w:t xml:space="preserve">Mass. Giust. </w:t>
      </w:r>
      <w:proofErr w:type="gramStart"/>
      <w:r w:rsidR="0008314D" w:rsidRPr="004D5D53">
        <w:rPr>
          <w:i/>
        </w:rPr>
        <w:t>civ.</w:t>
      </w:r>
      <w:r w:rsidR="0008314D" w:rsidRPr="004D5D53">
        <w:t>,</w:t>
      </w:r>
      <w:proofErr w:type="gramEnd"/>
      <w:r w:rsidR="0008314D" w:rsidRPr="004D5D53">
        <w:t xml:space="preserve"> </w:t>
      </w:r>
      <w:r w:rsidR="004D5D53" w:rsidRPr="004D5D53">
        <w:t>1999</w:t>
      </w:r>
      <w:r w:rsidR="0008314D" w:rsidRPr="004D5D53">
        <w:t xml:space="preserve">, p. </w:t>
      </w:r>
      <w:r w:rsidR="004D5D53" w:rsidRPr="004D5D53">
        <w:t>352</w:t>
      </w:r>
      <w:r w:rsidR="004E6AA5" w:rsidRPr="004D5D53">
        <w:t xml:space="preserve">; </w:t>
      </w:r>
      <w:r w:rsidR="007424F9" w:rsidRPr="004D5D53">
        <w:t>Cass.</w:t>
      </w:r>
      <w:r w:rsidR="00BA5E89" w:rsidRPr="004D5D53">
        <w:t>, 16</w:t>
      </w:r>
      <w:r w:rsidR="00211EA2" w:rsidRPr="004D5D53">
        <w:t xml:space="preserve"> maggio </w:t>
      </w:r>
      <w:r w:rsidR="00BA5E89" w:rsidRPr="004D5D53">
        <w:t>1981, n. 3225</w:t>
      </w:r>
      <w:r w:rsidR="0008314D" w:rsidRPr="004D5D53">
        <w:t xml:space="preserve">, in </w:t>
      </w:r>
      <w:r w:rsidR="0008314D" w:rsidRPr="004D5D53">
        <w:rPr>
          <w:i/>
        </w:rPr>
        <w:t xml:space="preserve">Mass. Giust. </w:t>
      </w:r>
      <w:proofErr w:type="gramStart"/>
      <w:r w:rsidR="0008314D" w:rsidRPr="004D5D53">
        <w:rPr>
          <w:i/>
        </w:rPr>
        <w:t>civ.</w:t>
      </w:r>
      <w:r w:rsidR="0008314D" w:rsidRPr="004D5D53">
        <w:t>,</w:t>
      </w:r>
      <w:proofErr w:type="gramEnd"/>
      <w:r w:rsidR="0008314D" w:rsidRPr="004D5D53">
        <w:t xml:space="preserve"> </w:t>
      </w:r>
      <w:r w:rsidR="003A63F5" w:rsidRPr="004D5D53">
        <w:t>1981</w:t>
      </w:r>
      <w:r w:rsidR="0008314D" w:rsidRPr="004D5D53">
        <w:t xml:space="preserve">, p. </w:t>
      </w:r>
      <w:r w:rsidR="003A63F5" w:rsidRPr="004D5D53">
        <w:t>1126</w:t>
      </w:r>
      <w:r w:rsidR="00BA5E89" w:rsidRPr="004D5D53">
        <w:t xml:space="preserve">; </w:t>
      </w:r>
      <w:r w:rsidR="004E6AA5" w:rsidRPr="004D5D53">
        <w:t>Trib. Roma, 30</w:t>
      </w:r>
      <w:r w:rsidR="00211EA2" w:rsidRPr="004D5D53">
        <w:t xml:space="preserve"> maggio </w:t>
      </w:r>
      <w:r w:rsidR="004E6AA5" w:rsidRPr="004D5D53">
        <w:t xml:space="preserve">1994, in </w:t>
      </w:r>
      <w:proofErr w:type="spellStart"/>
      <w:r w:rsidR="004E6AA5" w:rsidRPr="004D5D53">
        <w:rPr>
          <w:i/>
        </w:rPr>
        <w:t>Gius</w:t>
      </w:r>
      <w:proofErr w:type="spellEnd"/>
      <w:r w:rsidR="00BA5E89" w:rsidRPr="004D5D53">
        <w:t xml:space="preserve">, 1994, 14, </w:t>
      </w:r>
      <w:r w:rsidR="00BD75B6" w:rsidRPr="004D5D53">
        <w:t>p.</w:t>
      </w:r>
      <w:r w:rsidR="00BD75B6">
        <w:t xml:space="preserve"> </w:t>
      </w:r>
      <w:r w:rsidR="00BA5E89">
        <w:t xml:space="preserve">131 ma vedi anche la risalente </w:t>
      </w:r>
      <w:proofErr w:type="gramStart"/>
      <w:r w:rsidR="00BA5E89">
        <w:t>Cass.,</w:t>
      </w:r>
      <w:proofErr w:type="gramEnd"/>
      <w:r w:rsidR="00BA5E89">
        <w:t xml:space="preserve"> 9</w:t>
      </w:r>
      <w:r w:rsidR="00211EA2">
        <w:t xml:space="preserve"> maggio </w:t>
      </w:r>
      <w:r w:rsidR="00BA5E89">
        <w:t xml:space="preserve">1950, in </w:t>
      </w:r>
      <w:r w:rsidR="00BA5E89">
        <w:rPr>
          <w:i/>
        </w:rPr>
        <w:t>Foro it.</w:t>
      </w:r>
      <w:r w:rsidR="00BA5E89">
        <w:t xml:space="preserve">, 1951, I, </w:t>
      </w:r>
      <w:r w:rsidR="00BD75B6">
        <w:t xml:space="preserve">c. </w:t>
      </w:r>
      <w:r w:rsidR="00BA5E89">
        <w:t xml:space="preserve">114, con nota di </w:t>
      </w:r>
      <w:r w:rsidR="00BA5E89" w:rsidRPr="00BA5E89">
        <w:rPr>
          <w:smallCaps/>
        </w:rPr>
        <w:t>Andrioli</w:t>
      </w:r>
      <w:r w:rsidR="00BA5E89">
        <w:t>, che enunciava l’equipollenza della citazione e del ricorso per proporre l’opposizione a decreto ingiuntivo.</w:t>
      </w:r>
    </w:p>
  </w:footnote>
  <w:footnote w:id="7">
    <w:p w:rsidR="00EA1846" w:rsidRDefault="00EA1846" w:rsidP="00441BE9">
      <w:pPr>
        <w:pStyle w:val="Testonotaapidipagina"/>
        <w:jc w:val="both"/>
      </w:pPr>
      <w:r>
        <w:rPr>
          <w:rStyle w:val="Rimandonotaapidipagina"/>
        </w:rPr>
        <w:footnoteRef/>
      </w:r>
      <w:r>
        <w:t xml:space="preserve"> </w:t>
      </w:r>
      <w:r w:rsidR="00372758">
        <w:t xml:space="preserve">Sull’errore nella forma dell’atto introduttivo dell’appello divorzile vedi </w:t>
      </w:r>
      <w:r w:rsidR="00372758" w:rsidRPr="00C0403A">
        <w:rPr>
          <w:smallCaps/>
        </w:rPr>
        <w:t>Ronco</w:t>
      </w:r>
      <w:r w:rsidR="00372758">
        <w:t xml:space="preserve">, </w:t>
      </w:r>
      <w:r w:rsidR="00372758" w:rsidRPr="00C0403A">
        <w:rPr>
          <w:i/>
        </w:rPr>
        <w:t>Spunti di riflessione sulla fase introduttiva dell’appello divorzile</w:t>
      </w:r>
      <w:r w:rsidR="00372758">
        <w:t xml:space="preserve">, in </w:t>
      </w:r>
      <w:r w:rsidR="00372758" w:rsidRPr="00C0403A">
        <w:rPr>
          <w:i/>
        </w:rPr>
        <w:t xml:space="preserve">Giur. </w:t>
      </w:r>
      <w:proofErr w:type="gramStart"/>
      <w:r w:rsidR="00372758" w:rsidRPr="00C0403A">
        <w:rPr>
          <w:i/>
        </w:rPr>
        <w:t>it.</w:t>
      </w:r>
      <w:r w:rsidR="00372758">
        <w:t>,</w:t>
      </w:r>
      <w:proofErr w:type="gramEnd"/>
      <w:r w:rsidR="00372758">
        <w:t xml:space="preserve"> 1998,</w:t>
      </w:r>
      <w:r w:rsidR="00BD75B6">
        <w:t xml:space="preserve"> p</w:t>
      </w:r>
      <w:r w:rsidR="005128F6">
        <w:t>p</w:t>
      </w:r>
      <w:r w:rsidR="00BD75B6">
        <w:t>.</w:t>
      </w:r>
      <w:r w:rsidR="00372758">
        <w:t xml:space="preserve"> 1552</w:t>
      </w:r>
      <w:r w:rsidR="00601690">
        <w:t xml:space="preserve"> ss.</w:t>
      </w:r>
      <w:r w:rsidR="00372758">
        <w:t xml:space="preserve">; </w:t>
      </w:r>
      <w:proofErr w:type="spellStart"/>
      <w:r w:rsidR="00372758" w:rsidRPr="00C0403A">
        <w:rPr>
          <w:smallCaps/>
        </w:rPr>
        <w:t>Tommaseo</w:t>
      </w:r>
      <w:proofErr w:type="spellEnd"/>
      <w:r w:rsidR="00372758">
        <w:t xml:space="preserve">, </w:t>
      </w:r>
      <w:r w:rsidR="00372758" w:rsidRPr="00C0403A">
        <w:rPr>
          <w:i/>
        </w:rPr>
        <w:t>Sulla forma dell’appello nel divorzio: quale rimedio per l’errore scusabile?</w:t>
      </w:r>
      <w:r w:rsidR="00372758">
        <w:t xml:space="preserve">, in </w:t>
      </w:r>
      <w:r w:rsidR="00372758" w:rsidRPr="00C0403A">
        <w:rPr>
          <w:i/>
        </w:rPr>
        <w:t>Corr. giur.</w:t>
      </w:r>
      <w:r w:rsidR="00C0403A" w:rsidRPr="00C0403A">
        <w:t>,</w:t>
      </w:r>
      <w:r w:rsidR="00C0403A">
        <w:t xml:space="preserve"> </w:t>
      </w:r>
      <w:r w:rsidR="00372758">
        <w:t>1992,</w:t>
      </w:r>
      <w:r w:rsidR="00BD75B6">
        <w:t xml:space="preserve"> p</w:t>
      </w:r>
      <w:r w:rsidR="005128F6">
        <w:t>p</w:t>
      </w:r>
      <w:r w:rsidR="00BD75B6">
        <w:t>.</w:t>
      </w:r>
      <w:r w:rsidR="00372758">
        <w:t xml:space="preserve"> </w:t>
      </w:r>
      <w:r w:rsidR="00601690">
        <w:t xml:space="preserve">633 ss.; </w:t>
      </w:r>
      <w:r w:rsidR="00372758" w:rsidRPr="00C0403A">
        <w:rPr>
          <w:smallCaps/>
        </w:rPr>
        <w:t>Cipriani</w:t>
      </w:r>
      <w:r w:rsidR="00372758" w:rsidRPr="00C0403A">
        <w:t>,</w:t>
      </w:r>
      <w:r w:rsidR="00372758" w:rsidRPr="00C0403A">
        <w:rPr>
          <w:i/>
        </w:rPr>
        <w:t xml:space="preserve"> La decisione dell’appello nel processo di divorzio</w:t>
      </w:r>
      <w:r w:rsidR="00372758">
        <w:t xml:space="preserve">, in </w:t>
      </w:r>
      <w:r w:rsidR="00372758" w:rsidRPr="00C0403A">
        <w:rPr>
          <w:i/>
        </w:rPr>
        <w:t>Foro it.</w:t>
      </w:r>
      <w:r w:rsidR="00372758">
        <w:t xml:space="preserve">, 1991, I, </w:t>
      </w:r>
      <w:r w:rsidR="00BD75B6">
        <w:t>c</w:t>
      </w:r>
      <w:r w:rsidR="005128F6">
        <w:t>c</w:t>
      </w:r>
      <w:r w:rsidR="00BD75B6">
        <w:t xml:space="preserve">. </w:t>
      </w:r>
      <w:r w:rsidR="00372758">
        <w:t>1119</w:t>
      </w:r>
      <w:r w:rsidR="00601690">
        <w:t xml:space="preserve"> ss. In giurisprudenza</w:t>
      </w:r>
      <w:r w:rsidR="00C0403A">
        <w:t>, da ultimo</w:t>
      </w:r>
      <w:r w:rsidR="00601690">
        <w:t xml:space="preserve">: </w:t>
      </w:r>
      <w:proofErr w:type="gramStart"/>
      <w:r w:rsidR="00601690" w:rsidRPr="00AF3F0A">
        <w:t>Cass.,</w:t>
      </w:r>
      <w:proofErr w:type="gramEnd"/>
      <w:r w:rsidR="00601690" w:rsidRPr="00AF3F0A">
        <w:t xml:space="preserve"> </w:t>
      </w:r>
      <w:r w:rsidR="00FD5630" w:rsidRPr="00AF3F0A">
        <w:t>13</w:t>
      </w:r>
      <w:r w:rsidR="00211EA2" w:rsidRPr="00AF3F0A">
        <w:t xml:space="preserve"> ottobre </w:t>
      </w:r>
      <w:r w:rsidR="00FD5630" w:rsidRPr="00AF3F0A">
        <w:t>2011, n. 21161</w:t>
      </w:r>
      <w:r w:rsidR="0008314D" w:rsidRPr="00AF3F0A">
        <w:t xml:space="preserve">, in </w:t>
      </w:r>
      <w:r w:rsidR="0055552D" w:rsidRPr="00AF3F0A">
        <w:rPr>
          <w:i/>
        </w:rPr>
        <w:t>Guida dir.</w:t>
      </w:r>
      <w:r w:rsidR="0055552D" w:rsidRPr="00AF3F0A">
        <w:t>, 2011, 47, p. 74</w:t>
      </w:r>
      <w:r w:rsidR="00FD5630" w:rsidRPr="00AF3F0A">
        <w:t xml:space="preserve">; </w:t>
      </w:r>
      <w:r w:rsidR="007424F9" w:rsidRPr="00AF3F0A">
        <w:t>Cass.</w:t>
      </w:r>
      <w:r w:rsidR="00FD5630" w:rsidRPr="00AF3F0A">
        <w:t>, 11</w:t>
      </w:r>
      <w:r w:rsidR="00211EA2" w:rsidRPr="00AF3F0A">
        <w:t xml:space="preserve"> novembre </w:t>
      </w:r>
      <w:r w:rsidR="00FD5630" w:rsidRPr="00AF3F0A">
        <w:t>2009, n. 23907</w:t>
      </w:r>
      <w:r w:rsidR="0008314D" w:rsidRPr="00AF3F0A">
        <w:t xml:space="preserve">, in </w:t>
      </w:r>
      <w:r w:rsidR="0008314D" w:rsidRPr="00AF3F0A">
        <w:rPr>
          <w:i/>
        </w:rPr>
        <w:t xml:space="preserve">Mass. Giust. </w:t>
      </w:r>
      <w:proofErr w:type="gramStart"/>
      <w:r w:rsidR="0008314D" w:rsidRPr="00AF3F0A">
        <w:rPr>
          <w:i/>
        </w:rPr>
        <w:t>civ.</w:t>
      </w:r>
      <w:r w:rsidR="0008314D" w:rsidRPr="00AF3F0A">
        <w:t>,</w:t>
      </w:r>
      <w:proofErr w:type="gramEnd"/>
      <w:r w:rsidR="0008314D" w:rsidRPr="00AF3F0A">
        <w:t xml:space="preserve"> </w:t>
      </w:r>
      <w:r w:rsidR="0055552D" w:rsidRPr="00AF3F0A">
        <w:t>2009</w:t>
      </w:r>
      <w:r w:rsidR="0008314D" w:rsidRPr="00AF3F0A">
        <w:t xml:space="preserve">, p. </w:t>
      </w:r>
      <w:r w:rsidR="0055552D" w:rsidRPr="00AF3F0A">
        <w:t>1581</w:t>
      </w:r>
      <w:r w:rsidR="00FD5630" w:rsidRPr="00AF3F0A">
        <w:t xml:space="preserve">; </w:t>
      </w:r>
      <w:r w:rsidR="007424F9" w:rsidRPr="00AF3F0A">
        <w:t>Cass.</w:t>
      </w:r>
      <w:r w:rsidR="00FD5630" w:rsidRPr="00AF3F0A">
        <w:t>, 2</w:t>
      </w:r>
      <w:r w:rsidR="00211EA2" w:rsidRPr="00AF3F0A">
        <w:t xml:space="preserve"> ottobre </w:t>
      </w:r>
      <w:r w:rsidR="00FD5630" w:rsidRPr="00AF3F0A">
        <w:t>2007, n. 20704</w:t>
      </w:r>
      <w:r w:rsidR="0008314D" w:rsidRPr="00AF3F0A">
        <w:t xml:space="preserve">, in </w:t>
      </w:r>
      <w:r w:rsidR="0055552D" w:rsidRPr="00AF3F0A">
        <w:rPr>
          <w:i/>
        </w:rPr>
        <w:t xml:space="preserve">Dir. </w:t>
      </w:r>
      <w:proofErr w:type="spellStart"/>
      <w:r w:rsidR="0055552D" w:rsidRPr="00AF3F0A">
        <w:rPr>
          <w:i/>
        </w:rPr>
        <w:t>fam</w:t>
      </w:r>
      <w:proofErr w:type="spellEnd"/>
      <w:r w:rsidR="0055552D" w:rsidRPr="00AF3F0A">
        <w:rPr>
          <w:i/>
        </w:rPr>
        <w:t xml:space="preserve">. </w:t>
      </w:r>
      <w:proofErr w:type="gramStart"/>
      <w:r w:rsidR="0055552D" w:rsidRPr="00AF3F0A">
        <w:rPr>
          <w:i/>
        </w:rPr>
        <w:t>e</w:t>
      </w:r>
      <w:proofErr w:type="gramEnd"/>
      <w:r w:rsidR="0055552D" w:rsidRPr="00AF3F0A">
        <w:rPr>
          <w:i/>
        </w:rPr>
        <w:t xml:space="preserve"> </w:t>
      </w:r>
      <w:proofErr w:type="spellStart"/>
      <w:r w:rsidR="0055552D" w:rsidRPr="00AF3F0A">
        <w:rPr>
          <w:i/>
        </w:rPr>
        <w:t>pers</w:t>
      </w:r>
      <w:proofErr w:type="spellEnd"/>
      <w:r w:rsidR="0055552D" w:rsidRPr="00AF3F0A">
        <w:rPr>
          <w:i/>
        </w:rPr>
        <w:t>.</w:t>
      </w:r>
      <w:r w:rsidR="0008314D" w:rsidRPr="00AF3F0A">
        <w:t xml:space="preserve">, </w:t>
      </w:r>
      <w:r w:rsidR="00AF3F0A" w:rsidRPr="00AF3F0A">
        <w:t>2008</w:t>
      </w:r>
      <w:r w:rsidR="0008314D" w:rsidRPr="00AF3F0A">
        <w:t>,</w:t>
      </w:r>
      <w:r w:rsidR="00AF3F0A" w:rsidRPr="00AF3F0A">
        <w:t xml:space="preserve"> I,</w:t>
      </w:r>
      <w:r w:rsidR="0008314D" w:rsidRPr="00AF3F0A">
        <w:t xml:space="preserve"> </w:t>
      </w:r>
      <w:r w:rsidR="00AF3F0A" w:rsidRPr="00AF3F0A">
        <w:t>p. 1727</w:t>
      </w:r>
      <w:r w:rsidR="00FD5630" w:rsidRPr="00AF3F0A">
        <w:t xml:space="preserve">; </w:t>
      </w:r>
      <w:proofErr w:type="spellStart"/>
      <w:r w:rsidR="00693D81" w:rsidRPr="00AF3F0A">
        <w:t>App</w:t>
      </w:r>
      <w:proofErr w:type="spellEnd"/>
      <w:r w:rsidR="00693D81" w:rsidRPr="00AF3F0A">
        <w:t>. Bari, 5</w:t>
      </w:r>
      <w:r w:rsidR="00211EA2" w:rsidRPr="00AF3F0A">
        <w:t xml:space="preserve"> gennaio </w:t>
      </w:r>
      <w:r w:rsidR="00693D81" w:rsidRPr="00AF3F0A">
        <w:t>2012</w:t>
      </w:r>
      <w:r w:rsidR="00AF3F0A" w:rsidRPr="00AF3F0A">
        <w:t xml:space="preserve">, n. 3, in </w:t>
      </w:r>
      <w:r w:rsidR="00AF3F0A" w:rsidRPr="00AF3F0A">
        <w:rPr>
          <w:i/>
        </w:rPr>
        <w:t>www.giurisprudenzabarese.it</w:t>
      </w:r>
      <w:r w:rsidR="00601690" w:rsidRPr="00AF3F0A">
        <w:t>.</w:t>
      </w:r>
      <w:r w:rsidR="00693D81" w:rsidRPr="00AF3F0A">
        <w:t xml:space="preserve"> Vedi anche </w:t>
      </w:r>
      <w:proofErr w:type="gramStart"/>
      <w:r w:rsidR="00693D81" w:rsidRPr="00AF3F0A">
        <w:t>Cass.,</w:t>
      </w:r>
      <w:proofErr w:type="gramEnd"/>
      <w:r w:rsidR="00693D81" w:rsidRPr="00AF3F0A">
        <w:t xml:space="preserve"> 29</w:t>
      </w:r>
      <w:r w:rsidR="00211EA2" w:rsidRPr="00AF3F0A">
        <w:t xml:space="preserve"> dicembre </w:t>
      </w:r>
      <w:r w:rsidR="00693D81" w:rsidRPr="00AF3F0A">
        <w:t>2011, n. 29867</w:t>
      </w:r>
      <w:r w:rsidR="0008314D" w:rsidRPr="00AF3F0A">
        <w:t xml:space="preserve">, in </w:t>
      </w:r>
      <w:r w:rsidR="0008314D" w:rsidRPr="00AF3F0A">
        <w:rPr>
          <w:i/>
        </w:rPr>
        <w:t xml:space="preserve">Mass. Giust. </w:t>
      </w:r>
      <w:proofErr w:type="gramStart"/>
      <w:r w:rsidR="0008314D" w:rsidRPr="00AF3F0A">
        <w:rPr>
          <w:i/>
        </w:rPr>
        <w:t>civ.</w:t>
      </w:r>
      <w:r w:rsidR="0008314D" w:rsidRPr="00AF3F0A">
        <w:t>,</w:t>
      </w:r>
      <w:proofErr w:type="gramEnd"/>
      <w:r w:rsidR="0008314D" w:rsidRPr="00AF3F0A">
        <w:t xml:space="preserve"> </w:t>
      </w:r>
      <w:r w:rsidR="00AF3F0A" w:rsidRPr="00AF3F0A">
        <w:t>2011</w:t>
      </w:r>
      <w:r w:rsidR="0008314D" w:rsidRPr="00AF3F0A">
        <w:t xml:space="preserve">, p. </w:t>
      </w:r>
      <w:r w:rsidR="00AF3F0A" w:rsidRPr="00AF3F0A">
        <w:t>1901</w:t>
      </w:r>
      <w:r w:rsidR="0008314D" w:rsidRPr="00AF3F0A">
        <w:t>,</w:t>
      </w:r>
      <w:r w:rsidR="00693D81" w:rsidRPr="00AF3F0A">
        <w:t xml:space="preserve"> e </w:t>
      </w:r>
      <w:r w:rsidR="007424F9" w:rsidRPr="00AF3F0A">
        <w:t>Cass.</w:t>
      </w:r>
      <w:r w:rsidR="00693D81" w:rsidRPr="00AF3F0A">
        <w:t>, 19</w:t>
      </w:r>
      <w:r w:rsidR="00211EA2" w:rsidRPr="00AF3F0A">
        <w:t xml:space="preserve"> aprile </w:t>
      </w:r>
      <w:r w:rsidR="00693D81" w:rsidRPr="00AF3F0A">
        <w:t>1995, n. 4395</w:t>
      </w:r>
      <w:r w:rsidR="0008314D" w:rsidRPr="00AF3F0A">
        <w:t xml:space="preserve">, in </w:t>
      </w:r>
      <w:r w:rsidR="0008314D" w:rsidRPr="00AF3F0A">
        <w:rPr>
          <w:i/>
        </w:rPr>
        <w:t xml:space="preserve">Mass. Giust. </w:t>
      </w:r>
      <w:proofErr w:type="gramStart"/>
      <w:r w:rsidR="0008314D" w:rsidRPr="00AF3F0A">
        <w:rPr>
          <w:i/>
        </w:rPr>
        <w:t>civ.</w:t>
      </w:r>
      <w:r w:rsidR="0008314D" w:rsidRPr="00AF3F0A">
        <w:t>,</w:t>
      </w:r>
      <w:proofErr w:type="gramEnd"/>
      <w:r w:rsidR="0008314D" w:rsidRPr="00AF3F0A">
        <w:t xml:space="preserve"> </w:t>
      </w:r>
      <w:r w:rsidR="00A769A5" w:rsidRPr="00AF3F0A">
        <w:t>1995</w:t>
      </w:r>
      <w:r w:rsidR="0008314D" w:rsidRPr="00AF3F0A">
        <w:t xml:space="preserve">, p. </w:t>
      </w:r>
      <w:r w:rsidR="00A769A5" w:rsidRPr="00AF3F0A">
        <w:t>861</w:t>
      </w:r>
      <w:r w:rsidR="00693D81" w:rsidRPr="00AF3F0A">
        <w:t>, secondo cui, qualora venga impugnata una decisione relativa a capi di domanda diversi</w:t>
      </w:r>
      <w:r w:rsidR="00A46A9F" w:rsidRPr="00AF3F0A">
        <w:t xml:space="preserve"> ed autonomi rispetto </w:t>
      </w:r>
      <w:r w:rsidR="00693D81" w:rsidRPr="00AF3F0A">
        <w:t>a quello sul divorzio dei coniugi, non può verificarsi un effetto espansivo</w:t>
      </w:r>
      <w:r w:rsidR="00693D81">
        <w:t xml:space="preserve"> del rito speciale e pertanto la forma da impiegare per l’atto introduttivo è la citazione. </w:t>
      </w:r>
      <w:r w:rsidR="00601690">
        <w:t xml:space="preserve">Sull’appello in materia di separazione personale dei coniugi cfr. </w:t>
      </w:r>
      <w:proofErr w:type="gramStart"/>
      <w:r w:rsidR="00601690">
        <w:t>Cass.,</w:t>
      </w:r>
      <w:proofErr w:type="gramEnd"/>
      <w:r w:rsidR="00601690">
        <w:t xml:space="preserve"> 7</w:t>
      </w:r>
      <w:r w:rsidR="00211EA2">
        <w:t xml:space="preserve"> marzo </w:t>
      </w:r>
      <w:r w:rsidR="00601690">
        <w:t xml:space="preserve">2008, n. 6196, in </w:t>
      </w:r>
      <w:r w:rsidR="00601690" w:rsidRPr="00C0403A">
        <w:rPr>
          <w:i/>
        </w:rPr>
        <w:t xml:space="preserve">Dir. </w:t>
      </w:r>
      <w:proofErr w:type="spellStart"/>
      <w:r w:rsidR="00601690" w:rsidRPr="00C0403A">
        <w:rPr>
          <w:i/>
        </w:rPr>
        <w:t>fam</w:t>
      </w:r>
      <w:proofErr w:type="spellEnd"/>
      <w:r w:rsidR="00601690" w:rsidRPr="00C0403A">
        <w:rPr>
          <w:i/>
        </w:rPr>
        <w:t>.</w:t>
      </w:r>
      <w:r w:rsidR="00AF3F0A">
        <w:rPr>
          <w:i/>
        </w:rPr>
        <w:t xml:space="preserve"> </w:t>
      </w:r>
      <w:proofErr w:type="gramStart"/>
      <w:r w:rsidR="00AF3F0A">
        <w:rPr>
          <w:i/>
        </w:rPr>
        <w:t>e</w:t>
      </w:r>
      <w:proofErr w:type="gramEnd"/>
      <w:r w:rsidR="00AF3F0A">
        <w:rPr>
          <w:i/>
        </w:rPr>
        <w:t xml:space="preserve"> </w:t>
      </w:r>
      <w:proofErr w:type="spellStart"/>
      <w:r w:rsidR="00AF3F0A">
        <w:rPr>
          <w:i/>
        </w:rPr>
        <w:t>pers</w:t>
      </w:r>
      <w:proofErr w:type="spellEnd"/>
      <w:r w:rsidR="00AF3F0A">
        <w:rPr>
          <w:i/>
        </w:rPr>
        <w:t>.</w:t>
      </w:r>
      <w:r w:rsidR="00C0403A">
        <w:t>,</w:t>
      </w:r>
      <w:r w:rsidR="00601690">
        <w:t xml:space="preserve"> 2008, </w:t>
      </w:r>
      <w:r w:rsidR="00AF3F0A">
        <w:t xml:space="preserve">I, </w:t>
      </w:r>
      <w:r w:rsidR="00BD75B6">
        <w:t xml:space="preserve">p. </w:t>
      </w:r>
      <w:r w:rsidR="00601690">
        <w:t>1181</w:t>
      </w:r>
      <w:r w:rsidR="00F9562F">
        <w:t xml:space="preserve"> e </w:t>
      </w:r>
      <w:r w:rsidR="00F9562F">
        <w:rPr>
          <w:i/>
        </w:rPr>
        <w:t xml:space="preserve">Fam. </w:t>
      </w:r>
      <w:proofErr w:type="gramStart"/>
      <w:r w:rsidR="00F9562F">
        <w:rPr>
          <w:i/>
        </w:rPr>
        <w:t>e</w:t>
      </w:r>
      <w:proofErr w:type="gramEnd"/>
      <w:r w:rsidR="00F9562F">
        <w:rPr>
          <w:i/>
        </w:rPr>
        <w:t xml:space="preserve"> dir.</w:t>
      </w:r>
      <w:r w:rsidR="00F9562F">
        <w:t xml:space="preserve">, 2008, </w:t>
      </w:r>
      <w:r w:rsidR="00BD75B6">
        <w:t xml:space="preserve">p. </w:t>
      </w:r>
      <w:r w:rsidR="00F9562F">
        <w:t xml:space="preserve">511, con nota di </w:t>
      </w:r>
      <w:proofErr w:type="spellStart"/>
      <w:r w:rsidR="00F9562F" w:rsidRPr="00F9562F">
        <w:rPr>
          <w:smallCaps/>
        </w:rPr>
        <w:t>Batà</w:t>
      </w:r>
      <w:proofErr w:type="spellEnd"/>
      <w:r w:rsidR="00F9562F">
        <w:t xml:space="preserve"> e </w:t>
      </w:r>
      <w:r w:rsidR="00F9562F" w:rsidRPr="00F9562F">
        <w:rPr>
          <w:smallCaps/>
        </w:rPr>
        <w:t>Spirito</w:t>
      </w:r>
      <w:r w:rsidR="00601690">
        <w:t>.</w:t>
      </w:r>
    </w:p>
  </w:footnote>
  <w:footnote w:id="8">
    <w:p w:rsidR="00B10247" w:rsidRPr="00AB4194" w:rsidRDefault="00B10247" w:rsidP="00441BE9">
      <w:pPr>
        <w:pStyle w:val="Testonotaapidipagina"/>
        <w:jc w:val="both"/>
      </w:pPr>
      <w:r w:rsidRPr="006D2FE4">
        <w:rPr>
          <w:rStyle w:val="Rimandonotaapidipagina"/>
        </w:rPr>
        <w:footnoteRef/>
      </w:r>
      <w:r w:rsidRPr="006D2FE4">
        <w:t xml:space="preserve"> </w:t>
      </w:r>
      <w:r w:rsidRPr="00BF554A">
        <w:rPr>
          <w:smallCaps/>
        </w:rPr>
        <w:t>Luiso</w:t>
      </w:r>
      <w:r>
        <w:t xml:space="preserve">, </w:t>
      </w:r>
      <w:r w:rsidRPr="00BF554A">
        <w:rPr>
          <w:i/>
        </w:rPr>
        <w:t>Diritto processuale civile</w:t>
      </w:r>
      <w:r>
        <w:t xml:space="preserve">, IV, Milano, 2013, </w:t>
      </w:r>
      <w:r w:rsidR="00BD75B6">
        <w:t xml:space="preserve">p. </w:t>
      </w:r>
      <w:r>
        <w:t xml:space="preserve">26; </w:t>
      </w:r>
      <w:r w:rsidRPr="009909BE">
        <w:rPr>
          <w:smallCaps/>
        </w:rPr>
        <w:t>Balena</w:t>
      </w:r>
      <w:r w:rsidRPr="006D2FE4">
        <w:t xml:space="preserve">, </w:t>
      </w:r>
      <w:r w:rsidRPr="006D2FE4">
        <w:rPr>
          <w:i/>
        </w:rPr>
        <w:t xml:space="preserve">Le conseguenze dell’errore sul modello formale dell’atto introduttivo </w:t>
      </w:r>
      <w:r w:rsidRPr="00AB4194">
        <w:rPr>
          <w:i/>
        </w:rPr>
        <w:t xml:space="preserve">(traendo spunto da un </w:t>
      </w:r>
      <w:r w:rsidRPr="00AB4194">
        <w:t>obiter dictum</w:t>
      </w:r>
      <w:r w:rsidRPr="00AB4194">
        <w:rPr>
          <w:i/>
        </w:rPr>
        <w:t xml:space="preserve"> delle sezioni unite)</w:t>
      </w:r>
      <w:r w:rsidRPr="00AB4194">
        <w:t xml:space="preserve">, in </w:t>
      </w:r>
      <w:r w:rsidRPr="00AB4194">
        <w:rPr>
          <w:i/>
        </w:rPr>
        <w:t xml:space="preserve">Giusto proc. </w:t>
      </w:r>
      <w:proofErr w:type="gramStart"/>
      <w:r w:rsidRPr="00AB4194">
        <w:rPr>
          <w:i/>
        </w:rPr>
        <w:t>civ.</w:t>
      </w:r>
      <w:r w:rsidRPr="00AB4194">
        <w:t>,</w:t>
      </w:r>
      <w:proofErr w:type="gramEnd"/>
      <w:r w:rsidRPr="00AB4194">
        <w:t xml:space="preserve"> 2011, </w:t>
      </w:r>
      <w:r w:rsidR="00DA6247" w:rsidRPr="00AB4194">
        <w:t>p</w:t>
      </w:r>
      <w:r w:rsidR="00BD75B6" w:rsidRPr="00AB4194">
        <w:t xml:space="preserve">p. </w:t>
      </w:r>
      <w:r w:rsidRPr="00AB4194">
        <w:t>658 ss.</w:t>
      </w:r>
      <w:r w:rsidR="002238ED" w:rsidRPr="00AB4194">
        <w:t xml:space="preserve">; </w:t>
      </w:r>
      <w:r w:rsidR="002238ED" w:rsidRPr="00AB4194">
        <w:rPr>
          <w:smallCaps/>
        </w:rPr>
        <w:t>Tarzia</w:t>
      </w:r>
      <w:r w:rsidR="002238ED" w:rsidRPr="00AB4194">
        <w:t xml:space="preserve">, </w:t>
      </w:r>
      <w:r w:rsidR="002238ED" w:rsidRPr="00AB4194">
        <w:rPr>
          <w:i/>
        </w:rPr>
        <w:t>Manuale del processo del lavoro</w:t>
      </w:r>
      <w:r w:rsidR="002238ED" w:rsidRPr="00AB4194">
        <w:t>, Milano, 2008,</w:t>
      </w:r>
      <w:r w:rsidR="00234790" w:rsidRPr="00AB4194">
        <w:t xml:space="preserve"> </w:t>
      </w:r>
      <w:r w:rsidR="00BD75B6" w:rsidRPr="00AB4194">
        <w:t xml:space="preserve">p. </w:t>
      </w:r>
      <w:r w:rsidR="00234790" w:rsidRPr="00AB4194">
        <w:t>223</w:t>
      </w:r>
      <w:r w:rsidR="002238ED" w:rsidRPr="00AB4194">
        <w:t xml:space="preserve"> ss.</w:t>
      </w:r>
      <w:r w:rsidRPr="00AB4194">
        <w:t xml:space="preserve"> In giurisprudenza vedi la recente sentenza delle sezioni unite </w:t>
      </w:r>
      <w:proofErr w:type="gramStart"/>
      <w:r w:rsidRPr="00AB4194">
        <w:t>Cass.,</w:t>
      </w:r>
      <w:proofErr w:type="gramEnd"/>
      <w:r w:rsidRPr="00AB4194">
        <w:t xml:space="preserve"> 23</w:t>
      </w:r>
      <w:r w:rsidR="00211EA2" w:rsidRPr="00AB4194">
        <w:t xml:space="preserve"> settembre </w:t>
      </w:r>
      <w:r w:rsidRPr="00AB4194">
        <w:t>2013, n. 21675</w:t>
      </w:r>
      <w:r w:rsidR="002E2E9A" w:rsidRPr="00AB4194">
        <w:t xml:space="preserve">, in </w:t>
      </w:r>
      <w:r w:rsidR="00AB4194" w:rsidRPr="00AB4194">
        <w:rPr>
          <w:i/>
        </w:rPr>
        <w:t xml:space="preserve">Dir. e </w:t>
      </w:r>
      <w:proofErr w:type="spellStart"/>
      <w:r w:rsidR="00AB4194" w:rsidRPr="00AB4194">
        <w:rPr>
          <w:i/>
        </w:rPr>
        <w:t>giust</w:t>
      </w:r>
      <w:proofErr w:type="spellEnd"/>
      <w:r w:rsidR="00AB4194" w:rsidRPr="00AB4194">
        <w:rPr>
          <w:i/>
        </w:rPr>
        <w:t>.</w:t>
      </w:r>
      <w:r w:rsidR="002E2E9A" w:rsidRPr="00AB4194">
        <w:t xml:space="preserve">, </w:t>
      </w:r>
      <w:r w:rsidR="00AB4194" w:rsidRPr="00AB4194">
        <w:t>24.9.2013</w:t>
      </w:r>
      <w:r w:rsidRPr="00AB4194">
        <w:t>.</w:t>
      </w:r>
    </w:p>
  </w:footnote>
  <w:footnote w:id="9">
    <w:p w:rsidR="005C2A82" w:rsidRDefault="00F10F1B" w:rsidP="00441BE9">
      <w:pPr>
        <w:pStyle w:val="Testonotaapidipagina"/>
        <w:jc w:val="both"/>
      </w:pPr>
      <w:r w:rsidRPr="00AB4194">
        <w:rPr>
          <w:rStyle w:val="Rimandonotaapidipagina"/>
        </w:rPr>
        <w:footnoteRef/>
      </w:r>
      <w:r w:rsidRPr="00AB4194">
        <w:t xml:space="preserve"> Sul punto vedi, per tutti, </w:t>
      </w:r>
      <w:r w:rsidRPr="00AB4194">
        <w:rPr>
          <w:smallCaps/>
        </w:rPr>
        <w:t>Luiso</w:t>
      </w:r>
      <w:r w:rsidRPr="00AB4194">
        <w:t>,</w:t>
      </w:r>
      <w:r w:rsidR="00BF554A" w:rsidRPr="00AB4194">
        <w:t xml:space="preserve"> </w:t>
      </w:r>
      <w:r w:rsidR="00913D07" w:rsidRPr="00AB4194">
        <w:rPr>
          <w:i/>
        </w:rPr>
        <w:t>op.</w:t>
      </w:r>
      <w:r w:rsidR="007170BB" w:rsidRPr="00AB4194">
        <w:rPr>
          <w:i/>
        </w:rPr>
        <w:t xml:space="preserve"> </w:t>
      </w:r>
      <w:proofErr w:type="spellStart"/>
      <w:r w:rsidR="00995D86" w:rsidRPr="00AB4194">
        <w:rPr>
          <w:i/>
        </w:rPr>
        <w:t>loc</w:t>
      </w:r>
      <w:proofErr w:type="spellEnd"/>
      <w:r w:rsidR="00995D86" w:rsidRPr="00AB4194">
        <w:rPr>
          <w:i/>
        </w:rPr>
        <w:t xml:space="preserve">. </w:t>
      </w:r>
      <w:proofErr w:type="spellStart"/>
      <w:r w:rsidR="007170BB" w:rsidRPr="00AB4194">
        <w:rPr>
          <w:i/>
        </w:rPr>
        <w:t>ci</w:t>
      </w:r>
      <w:r w:rsidR="00995D86" w:rsidRPr="00AB4194">
        <w:rPr>
          <w:i/>
        </w:rPr>
        <w:t>t</w:t>
      </w:r>
      <w:r w:rsidR="007170BB" w:rsidRPr="00AB4194">
        <w:rPr>
          <w:i/>
        </w:rPr>
        <w:t>t</w:t>
      </w:r>
      <w:proofErr w:type="spellEnd"/>
      <w:r w:rsidR="007170BB" w:rsidRPr="00AB4194">
        <w:rPr>
          <w:i/>
        </w:rPr>
        <w:t>.</w:t>
      </w:r>
      <w:r w:rsidR="005C2A82" w:rsidRPr="00AB4194">
        <w:t xml:space="preserve"> Restano invece ferme le preclusioni già</w:t>
      </w:r>
      <w:r w:rsidR="005C2A82">
        <w:t xml:space="preserve"> maturate secondo il rito ordinario: vedi </w:t>
      </w:r>
      <w:proofErr w:type="gramStart"/>
      <w:r w:rsidR="005C2A82">
        <w:t>C</w:t>
      </w:r>
      <w:r w:rsidR="00BF554A">
        <w:t>ass.,</w:t>
      </w:r>
      <w:proofErr w:type="gramEnd"/>
      <w:r w:rsidR="005C2A82">
        <w:t xml:space="preserve"> </w:t>
      </w:r>
      <w:r w:rsidR="006F2A57">
        <w:t>7</w:t>
      </w:r>
      <w:r w:rsidR="00211EA2">
        <w:t xml:space="preserve"> novembre </w:t>
      </w:r>
      <w:r w:rsidR="005C2A82">
        <w:t>1987, n. 8256</w:t>
      </w:r>
      <w:r w:rsidR="002E2E9A">
        <w:t xml:space="preserve">, in </w:t>
      </w:r>
      <w:r w:rsidR="002E2E9A">
        <w:rPr>
          <w:i/>
        </w:rPr>
        <w:t xml:space="preserve">Mass. Giust. </w:t>
      </w:r>
      <w:proofErr w:type="gramStart"/>
      <w:r w:rsidR="002E2E9A">
        <w:rPr>
          <w:i/>
        </w:rPr>
        <w:t>civ.</w:t>
      </w:r>
      <w:r w:rsidR="002E2E9A">
        <w:t>,</w:t>
      </w:r>
      <w:proofErr w:type="gramEnd"/>
      <w:r w:rsidR="002E2E9A">
        <w:t xml:space="preserve"> </w:t>
      </w:r>
      <w:r w:rsidR="00CE7211">
        <w:t>1987</w:t>
      </w:r>
      <w:r w:rsidR="002E2E9A">
        <w:t xml:space="preserve">, p. </w:t>
      </w:r>
      <w:r w:rsidR="00CE7211">
        <w:t>2307</w:t>
      </w:r>
      <w:r w:rsidR="005C2A82">
        <w:t>;</w:t>
      </w:r>
      <w:r w:rsidR="00BF554A">
        <w:t xml:space="preserve"> </w:t>
      </w:r>
      <w:r w:rsidR="007424F9">
        <w:t>Cass.</w:t>
      </w:r>
      <w:r w:rsidR="00BF554A">
        <w:t>, 4</w:t>
      </w:r>
      <w:r w:rsidR="00211EA2">
        <w:t xml:space="preserve"> novembre </w:t>
      </w:r>
      <w:r w:rsidR="005C2A82">
        <w:t>1986, n. 6449</w:t>
      </w:r>
      <w:r w:rsidR="00BF554A">
        <w:t xml:space="preserve">, in </w:t>
      </w:r>
      <w:proofErr w:type="spellStart"/>
      <w:r w:rsidR="00BF554A">
        <w:rPr>
          <w:i/>
        </w:rPr>
        <w:t>Not</w:t>
      </w:r>
      <w:r w:rsidR="00E63F71">
        <w:rPr>
          <w:i/>
        </w:rPr>
        <w:t>iz</w:t>
      </w:r>
      <w:proofErr w:type="spellEnd"/>
      <w:r w:rsidR="00BF554A">
        <w:rPr>
          <w:i/>
        </w:rPr>
        <w:t xml:space="preserve">. </w:t>
      </w:r>
      <w:proofErr w:type="gramStart"/>
      <w:r w:rsidR="00BF554A">
        <w:rPr>
          <w:i/>
        </w:rPr>
        <w:t>giur</w:t>
      </w:r>
      <w:proofErr w:type="gramEnd"/>
      <w:r w:rsidR="00BF554A">
        <w:rPr>
          <w:i/>
        </w:rPr>
        <w:t>. lav.</w:t>
      </w:r>
      <w:r w:rsidR="00BF554A">
        <w:t xml:space="preserve">, 1987, </w:t>
      </w:r>
      <w:r w:rsidR="00BD75B6">
        <w:t xml:space="preserve">p. </w:t>
      </w:r>
      <w:r w:rsidR="00BF554A">
        <w:t>348</w:t>
      </w:r>
      <w:r w:rsidR="005C2A82">
        <w:t xml:space="preserve">; </w:t>
      </w:r>
      <w:proofErr w:type="gramStart"/>
      <w:r w:rsidR="007424F9">
        <w:t>Cass.</w:t>
      </w:r>
      <w:r w:rsidR="00BF554A">
        <w:t>,</w:t>
      </w:r>
      <w:proofErr w:type="gramEnd"/>
      <w:r w:rsidR="00BF554A">
        <w:t xml:space="preserve"> 7</w:t>
      </w:r>
      <w:r w:rsidR="00211EA2">
        <w:t xml:space="preserve"> aprile </w:t>
      </w:r>
      <w:r w:rsidR="005C2A82">
        <w:t>1981, n. 1978</w:t>
      </w:r>
      <w:r w:rsidR="002E2E9A">
        <w:t xml:space="preserve">, in </w:t>
      </w:r>
      <w:r w:rsidR="002E2E9A">
        <w:rPr>
          <w:i/>
        </w:rPr>
        <w:t xml:space="preserve">Mass. Giust. </w:t>
      </w:r>
      <w:proofErr w:type="gramStart"/>
      <w:r w:rsidR="002E2E9A">
        <w:rPr>
          <w:i/>
        </w:rPr>
        <w:t>civ.</w:t>
      </w:r>
      <w:r w:rsidR="003A63F5">
        <w:t>,</w:t>
      </w:r>
      <w:proofErr w:type="gramEnd"/>
      <w:r w:rsidR="003A63F5">
        <w:t xml:space="preserve"> 1981</w:t>
      </w:r>
      <w:r w:rsidR="002E2E9A">
        <w:t xml:space="preserve">, p. </w:t>
      </w:r>
      <w:r w:rsidR="003A63F5">
        <w:t>753</w:t>
      </w:r>
      <w:r w:rsidR="002E2E9A">
        <w:t>,</w:t>
      </w:r>
      <w:r w:rsidR="005C2A82">
        <w:t xml:space="preserve"> e, in dottrina, </w:t>
      </w:r>
      <w:r w:rsidR="00186FA1" w:rsidRPr="00BF554A">
        <w:rPr>
          <w:smallCaps/>
        </w:rPr>
        <w:t>Tarzia</w:t>
      </w:r>
      <w:r w:rsidR="00186FA1">
        <w:t xml:space="preserve">, </w:t>
      </w:r>
      <w:r w:rsidR="002238ED">
        <w:rPr>
          <w:i/>
        </w:rPr>
        <w:t>op. cit.</w:t>
      </w:r>
      <w:r w:rsidR="00186FA1">
        <w:t xml:space="preserve">, </w:t>
      </w:r>
      <w:r w:rsidR="00BD75B6">
        <w:t xml:space="preserve">p. </w:t>
      </w:r>
      <w:r w:rsidR="00186FA1">
        <w:t>228</w:t>
      </w:r>
      <w:r w:rsidR="006F2A57">
        <w:t xml:space="preserve">; </w:t>
      </w:r>
      <w:r w:rsidR="00186FA1" w:rsidRPr="00BF554A">
        <w:rPr>
          <w:smallCaps/>
        </w:rPr>
        <w:t>Montesano</w:t>
      </w:r>
      <w:r w:rsidR="00186FA1">
        <w:t xml:space="preserve">, </w:t>
      </w:r>
      <w:r w:rsidR="00186FA1" w:rsidRPr="00BF554A">
        <w:rPr>
          <w:smallCaps/>
        </w:rPr>
        <w:t>Vaccarella,</w:t>
      </w:r>
      <w:r w:rsidR="00186FA1">
        <w:t xml:space="preserve"> </w:t>
      </w:r>
      <w:r w:rsidR="00186FA1" w:rsidRPr="00BF554A">
        <w:rPr>
          <w:i/>
        </w:rPr>
        <w:t>Manuale</w:t>
      </w:r>
      <w:r w:rsidR="006F2A57" w:rsidRPr="00BF554A">
        <w:rPr>
          <w:i/>
        </w:rPr>
        <w:t xml:space="preserve"> di diritto processuale del lavoro</w:t>
      </w:r>
      <w:r w:rsidR="006F2A57">
        <w:t xml:space="preserve">, Napoli, 1996, </w:t>
      </w:r>
      <w:r w:rsidR="00BD75B6">
        <w:t xml:space="preserve">p. </w:t>
      </w:r>
      <w:r w:rsidR="00186FA1">
        <w:t>238</w:t>
      </w:r>
    </w:p>
  </w:footnote>
  <w:footnote w:id="10">
    <w:p w:rsidR="00290416" w:rsidRPr="00C33EAC" w:rsidRDefault="00290416" w:rsidP="00441BE9">
      <w:pPr>
        <w:pStyle w:val="Testonotaapidipagina"/>
        <w:jc w:val="both"/>
      </w:pPr>
      <w:r>
        <w:rPr>
          <w:rStyle w:val="Rimandonotaapidipagina"/>
        </w:rPr>
        <w:footnoteRef/>
      </w:r>
      <w:r w:rsidRPr="00290416">
        <w:t xml:space="preserve"> </w:t>
      </w:r>
      <w:r w:rsidR="00E5149E">
        <w:t xml:space="preserve">In giurisprudenza </w:t>
      </w:r>
      <w:proofErr w:type="gramStart"/>
      <w:r w:rsidRPr="00290416">
        <w:t>Cass.,</w:t>
      </w:r>
      <w:proofErr w:type="gramEnd"/>
      <w:r w:rsidRPr="00290416">
        <w:t xml:space="preserve"> 17</w:t>
      </w:r>
      <w:r w:rsidR="00211EA2">
        <w:t xml:space="preserve"> ottobre </w:t>
      </w:r>
      <w:r w:rsidRPr="00290416">
        <w:t xml:space="preserve">1985, n. 5122, in </w:t>
      </w:r>
      <w:proofErr w:type="spellStart"/>
      <w:r w:rsidRPr="00290416">
        <w:rPr>
          <w:i/>
        </w:rPr>
        <w:t>Not</w:t>
      </w:r>
      <w:proofErr w:type="spellEnd"/>
      <w:r w:rsidRPr="00290416">
        <w:rPr>
          <w:i/>
        </w:rPr>
        <w:t xml:space="preserve">. </w:t>
      </w:r>
      <w:proofErr w:type="gramStart"/>
      <w:r w:rsidRPr="00290416">
        <w:rPr>
          <w:i/>
        </w:rPr>
        <w:t>giur</w:t>
      </w:r>
      <w:proofErr w:type="gramEnd"/>
      <w:r w:rsidRPr="00290416">
        <w:rPr>
          <w:i/>
        </w:rPr>
        <w:t>. lav.</w:t>
      </w:r>
      <w:r w:rsidRPr="00290416">
        <w:t>, 1986,</w:t>
      </w:r>
      <w:r w:rsidR="00BD75B6">
        <w:t xml:space="preserve"> p. </w:t>
      </w:r>
      <w:r w:rsidRPr="00290416">
        <w:t xml:space="preserve">540, </w:t>
      </w:r>
      <w:r w:rsidR="008D4A74">
        <w:t>ha affermato che</w:t>
      </w:r>
      <w:r>
        <w:t xml:space="preserve"> </w:t>
      </w:r>
      <w:r w:rsidRPr="00290416">
        <w:t>la necessità per il convenuto che agisce in riconvenzionale di chiedere</w:t>
      </w:r>
      <w:r>
        <w:t>,</w:t>
      </w:r>
      <w:r w:rsidRPr="00290416">
        <w:t xml:space="preserve"> a pena di decadenza </w:t>
      </w:r>
      <w:r>
        <w:t xml:space="preserve">ex art. </w:t>
      </w:r>
      <w:r w:rsidRPr="00290416">
        <w:t>art. 418 c.p.c.</w:t>
      </w:r>
      <w:r>
        <w:t>,</w:t>
      </w:r>
      <w:r w:rsidRPr="00290416">
        <w:t xml:space="preserve"> </w:t>
      </w:r>
      <w:r>
        <w:t>la</w:t>
      </w:r>
      <w:r w:rsidRPr="00290416">
        <w:t xml:space="preserve"> fiss</w:t>
      </w:r>
      <w:r>
        <w:t>azione di</w:t>
      </w:r>
      <w:r w:rsidRPr="00290416">
        <w:t xml:space="preserve"> una nuova udienza di discussione non sussiste nel caso in cui, iniziato il giudizio</w:t>
      </w:r>
      <w:r>
        <w:t xml:space="preserve"> con</w:t>
      </w:r>
      <w:r w:rsidRPr="00290416">
        <w:t xml:space="preserve"> il rito ordinario e proposta in esso </w:t>
      </w:r>
      <w:r>
        <w:t>la domanda riconvenzionale, sia disposto il mutamento</w:t>
      </w:r>
      <w:r w:rsidRPr="00290416">
        <w:t xml:space="preserve"> del rito </w:t>
      </w:r>
      <w:r>
        <w:t>ai sensi</w:t>
      </w:r>
      <w:r w:rsidRPr="00290416">
        <w:t xml:space="preserve"> </w:t>
      </w:r>
      <w:r>
        <w:t>dell’</w:t>
      </w:r>
      <w:r w:rsidRPr="00290416">
        <w:t>art. 426 c.p.c.</w:t>
      </w:r>
      <w:r w:rsidR="002C6FC8">
        <w:t xml:space="preserve"> Del medesimo avviso anche Cass., 17</w:t>
      </w:r>
      <w:r w:rsidR="00211EA2">
        <w:t xml:space="preserve"> maggio </w:t>
      </w:r>
      <w:r w:rsidR="002C6FC8">
        <w:t>2005, n. 10335</w:t>
      </w:r>
      <w:r w:rsidR="00D618EF">
        <w:t>, secondo cui la richiesta di fissazione di nuova udienza è necessaria solo qualora la riconvenzionale sia proposta dopo il passaggio dal rito ordinario a quello del lavoro.</w:t>
      </w:r>
      <w:r w:rsidR="002238ED">
        <w:t xml:space="preserve"> In dottrina vedi </w:t>
      </w:r>
      <w:r w:rsidR="002238ED" w:rsidRPr="00C33EAC">
        <w:rPr>
          <w:smallCaps/>
        </w:rPr>
        <w:t>Luiso</w:t>
      </w:r>
      <w:r w:rsidR="00C33EAC">
        <w:t xml:space="preserve">, </w:t>
      </w:r>
      <w:r w:rsidR="00C33EAC">
        <w:rPr>
          <w:i/>
        </w:rPr>
        <w:t>Il processo del lavoro</w:t>
      </w:r>
      <w:r w:rsidR="00C33EAC">
        <w:t>, Torino, 1992,</w:t>
      </w:r>
      <w:r w:rsidR="00BD75B6">
        <w:t xml:space="preserve"> p.</w:t>
      </w:r>
      <w:r w:rsidR="00C33EAC">
        <w:t xml:space="preserve"> 95 e, con specifico riferimento al prodursi della litispendenza e degli effetti processuali e sostanziali della domanda, </w:t>
      </w:r>
      <w:r w:rsidR="00C33EAC" w:rsidRPr="00C33EAC">
        <w:rPr>
          <w:smallCaps/>
        </w:rPr>
        <w:t>Tarzia</w:t>
      </w:r>
      <w:r w:rsidR="00C33EAC">
        <w:t xml:space="preserve">, </w:t>
      </w:r>
      <w:r w:rsidR="00C33EAC">
        <w:rPr>
          <w:i/>
        </w:rPr>
        <w:t>op. cit.</w:t>
      </w:r>
      <w:r w:rsidR="00C33EAC">
        <w:t xml:space="preserve">, </w:t>
      </w:r>
      <w:r w:rsidR="00BD75B6">
        <w:t xml:space="preserve">p. </w:t>
      </w:r>
      <w:r w:rsidR="00234790">
        <w:t>229</w:t>
      </w:r>
      <w:r w:rsidR="00C33EAC">
        <w:t>.</w:t>
      </w:r>
    </w:p>
  </w:footnote>
  <w:footnote w:id="11">
    <w:p w:rsidR="00202991" w:rsidRPr="00650038" w:rsidRDefault="00202991" w:rsidP="00441BE9">
      <w:pPr>
        <w:pStyle w:val="Testonotaapidipagina"/>
        <w:jc w:val="both"/>
      </w:pPr>
      <w:r w:rsidRPr="00650038">
        <w:rPr>
          <w:rStyle w:val="Rimandonotaapidipagina"/>
        </w:rPr>
        <w:footnoteRef/>
      </w:r>
      <w:r w:rsidRPr="00650038">
        <w:t xml:space="preserve"> </w:t>
      </w:r>
      <w:proofErr w:type="gramStart"/>
      <w:r w:rsidR="00CA4834" w:rsidRPr="00650038">
        <w:t>Cass.,</w:t>
      </w:r>
      <w:proofErr w:type="gramEnd"/>
      <w:r w:rsidR="00AE3360" w:rsidRPr="00650038">
        <w:t xml:space="preserve"> 19</w:t>
      </w:r>
      <w:r w:rsidR="00211EA2" w:rsidRPr="00650038">
        <w:t xml:space="preserve"> gennaio </w:t>
      </w:r>
      <w:r w:rsidR="00AE3360" w:rsidRPr="00650038">
        <w:t>2012, n. 774</w:t>
      </w:r>
      <w:r w:rsidR="002E2E9A" w:rsidRPr="00650038">
        <w:t xml:space="preserve">, in </w:t>
      </w:r>
      <w:r w:rsidR="002E2E9A" w:rsidRPr="00650038">
        <w:rPr>
          <w:i/>
        </w:rPr>
        <w:t xml:space="preserve">Mass. Giust. </w:t>
      </w:r>
      <w:proofErr w:type="gramStart"/>
      <w:r w:rsidR="002E2E9A" w:rsidRPr="00650038">
        <w:rPr>
          <w:i/>
        </w:rPr>
        <w:t>civ.</w:t>
      </w:r>
      <w:r w:rsidR="002E2E9A" w:rsidRPr="00650038">
        <w:t>,</w:t>
      </w:r>
      <w:proofErr w:type="gramEnd"/>
      <w:r w:rsidR="002E2E9A" w:rsidRPr="00650038">
        <w:t xml:space="preserve"> </w:t>
      </w:r>
      <w:r w:rsidR="00E019F3" w:rsidRPr="00650038">
        <w:t>2012</w:t>
      </w:r>
      <w:r w:rsidR="002E2E9A" w:rsidRPr="00650038">
        <w:t xml:space="preserve">, p. </w:t>
      </w:r>
      <w:r w:rsidR="00E019F3" w:rsidRPr="00650038">
        <w:t>114</w:t>
      </w:r>
      <w:r w:rsidR="00AE3360" w:rsidRPr="00650038">
        <w:t xml:space="preserve">; </w:t>
      </w:r>
      <w:r w:rsidR="007424F9" w:rsidRPr="00650038">
        <w:t>Cass.</w:t>
      </w:r>
      <w:r w:rsidR="00AE3360" w:rsidRPr="00650038">
        <w:t>,</w:t>
      </w:r>
      <w:r w:rsidR="00CA4834" w:rsidRPr="00650038">
        <w:t xml:space="preserve"> </w:t>
      </w:r>
      <w:r w:rsidR="005A7394" w:rsidRPr="00650038">
        <w:t>7</w:t>
      </w:r>
      <w:r w:rsidR="00211EA2" w:rsidRPr="00650038">
        <w:t xml:space="preserve"> giugno </w:t>
      </w:r>
      <w:r w:rsidR="005A7394" w:rsidRPr="00650038">
        <w:t xml:space="preserve">2011, n. 12290, in </w:t>
      </w:r>
      <w:r w:rsidR="005A7394" w:rsidRPr="00650038">
        <w:rPr>
          <w:i/>
        </w:rPr>
        <w:t xml:space="preserve">Arch. </w:t>
      </w:r>
      <w:proofErr w:type="spellStart"/>
      <w:r w:rsidR="005A7394" w:rsidRPr="00650038">
        <w:rPr>
          <w:i/>
        </w:rPr>
        <w:t>loc</w:t>
      </w:r>
      <w:proofErr w:type="spellEnd"/>
      <w:r w:rsidR="005A7394" w:rsidRPr="00650038">
        <w:rPr>
          <w:i/>
        </w:rPr>
        <w:t>.</w:t>
      </w:r>
      <w:r w:rsidR="005A7394" w:rsidRPr="00650038">
        <w:t>, 2012,</w:t>
      </w:r>
      <w:r w:rsidR="00BD75B6" w:rsidRPr="00650038">
        <w:t xml:space="preserve"> p.</w:t>
      </w:r>
      <w:r w:rsidR="005A7394" w:rsidRPr="00650038">
        <w:t xml:space="preserve"> 61; </w:t>
      </w:r>
      <w:r w:rsidR="007424F9" w:rsidRPr="00650038">
        <w:t>Cass.</w:t>
      </w:r>
      <w:r w:rsidR="005A7394" w:rsidRPr="00650038">
        <w:t xml:space="preserve">, </w:t>
      </w:r>
      <w:r w:rsidR="00CA4834" w:rsidRPr="00650038">
        <w:t>27</w:t>
      </w:r>
      <w:r w:rsidR="00211EA2" w:rsidRPr="00650038">
        <w:t xml:space="preserve"> maggio </w:t>
      </w:r>
      <w:r w:rsidR="00CA4834" w:rsidRPr="00650038">
        <w:t>2010, n. 12990</w:t>
      </w:r>
      <w:r w:rsidR="002E2E9A" w:rsidRPr="00650038">
        <w:t xml:space="preserve">, in </w:t>
      </w:r>
      <w:r w:rsidR="002E2E9A" w:rsidRPr="00650038">
        <w:rPr>
          <w:i/>
        </w:rPr>
        <w:t xml:space="preserve">Mass. Giust. </w:t>
      </w:r>
      <w:proofErr w:type="gramStart"/>
      <w:r w:rsidR="002E2E9A" w:rsidRPr="00650038">
        <w:rPr>
          <w:i/>
        </w:rPr>
        <w:t>civ.</w:t>
      </w:r>
      <w:r w:rsidR="002E2E9A" w:rsidRPr="00650038">
        <w:t>,</w:t>
      </w:r>
      <w:proofErr w:type="gramEnd"/>
      <w:r w:rsidR="002E2E9A" w:rsidRPr="00650038">
        <w:t xml:space="preserve"> </w:t>
      </w:r>
      <w:r w:rsidR="00E019F3" w:rsidRPr="00650038">
        <w:t>2010</w:t>
      </w:r>
      <w:r w:rsidR="002E2E9A" w:rsidRPr="00650038">
        <w:t xml:space="preserve">, p. </w:t>
      </w:r>
      <w:r w:rsidR="00E019F3" w:rsidRPr="00650038">
        <w:t>825</w:t>
      </w:r>
      <w:r w:rsidR="00CA4834" w:rsidRPr="00650038">
        <w:t xml:space="preserve">; </w:t>
      </w:r>
      <w:r w:rsidR="007424F9" w:rsidRPr="00650038">
        <w:t>Cass.</w:t>
      </w:r>
      <w:r w:rsidR="00CA4834" w:rsidRPr="00650038">
        <w:t>, 23</w:t>
      </w:r>
      <w:r w:rsidR="00211EA2" w:rsidRPr="00650038">
        <w:t xml:space="preserve"> aprile </w:t>
      </w:r>
      <w:r w:rsidR="00CA4834" w:rsidRPr="00650038">
        <w:t>2010, n. 9694</w:t>
      </w:r>
      <w:r w:rsidR="002E2E9A" w:rsidRPr="00650038">
        <w:t xml:space="preserve">, in </w:t>
      </w:r>
      <w:r w:rsidR="002E2E9A" w:rsidRPr="00650038">
        <w:rPr>
          <w:i/>
        </w:rPr>
        <w:t xml:space="preserve">Mass. Giust. </w:t>
      </w:r>
      <w:proofErr w:type="gramStart"/>
      <w:r w:rsidR="002E2E9A" w:rsidRPr="00650038">
        <w:rPr>
          <w:i/>
        </w:rPr>
        <w:t>civ.</w:t>
      </w:r>
      <w:r w:rsidR="002E2E9A" w:rsidRPr="00650038">
        <w:t>,</w:t>
      </w:r>
      <w:proofErr w:type="gramEnd"/>
      <w:r w:rsidR="002E2E9A" w:rsidRPr="00650038">
        <w:t xml:space="preserve"> </w:t>
      </w:r>
      <w:r w:rsidR="00E019F3" w:rsidRPr="00650038">
        <w:t>2010</w:t>
      </w:r>
      <w:r w:rsidR="002E2E9A" w:rsidRPr="00650038">
        <w:t xml:space="preserve">, p. </w:t>
      </w:r>
      <w:r w:rsidR="00E019F3" w:rsidRPr="00650038">
        <w:t>591</w:t>
      </w:r>
      <w:r w:rsidR="00CA4834" w:rsidRPr="00650038">
        <w:t>;</w:t>
      </w:r>
      <w:r w:rsidR="00AE3360" w:rsidRPr="00650038">
        <w:t xml:space="preserve"> </w:t>
      </w:r>
      <w:r w:rsidR="007424F9" w:rsidRPr="00650038">
        <w:t>Cass.</w:t>
      </w:r>
      <w:r w:rsidR="00CA4834" w:rsidRPr="00650038">
        <w:t>, 18</w:t>
      </w:r>
      <w:r w:rsidR="00211EA2" w:rsidRPr="00650038">
        <w:t xml:space="preserve"> agosto </w:t>
      </w:r>
      <w:r w:rsidR="00CA4834" w:rsidRPr="00650038">
        <w:t>2006, n. 18201</w:t>
      </w:r>
      <w:r w:rsidR="002E2E9A" w:rsidRPr="00650038">
        <w:t xml:space="preserve">, in </w:t>
      </w:r>
      <w:r w:rsidR="002E2E9A" w:rsidRPr="00650038">
        <w:rPr>
          <w:i/>
        </w:rPr>
        <w:t xml:space="preserve">Mass. Giust. </w:t>
      </w:r>
      <w:proofErr w:type="gramStart"/>
      <w:r w:rsidR="002E2E9A" w:rsidRPr="00650038">
        <w:rPr>
          <w:i/>
        </w:rPr>
        <w:t>civ.</w:t>
      </w:r>
      <w:r w:rsidR="002E2E9A" w:rsidRPr="00650038">
        <w:t>,</w:t>
      </w:r>
      <w:proofErr w:type="gramEnd"/>
      <w:r w:rsidR="002E2E9A" w:rsidRPr="00650038">
        <w:t xml:space="preserve"> </w:t>
      </w:r>
      <w:r w:rsidR="00E019F3" w:rsidRPr="00650038">
        <w:t>2006</w:t>
      </w:r>
      <w:r w:rsidR="002E2E9A" w:rsidRPr="00650038">
        <w:t xml:space="preserve">, p. </w:t>
      </w:r>
      <w:r w:rsidR="00E019F3" w:rsidRPr="00650038">
        <w:t>1640</w:t>
      </w:r>
      <w:r w:rsidR="00CA4834" w:rsidRPr="00650038">
        <w:t xml:space="preserve">; </w:t>
      </w:r>
      <w:r w:rsidR="007424F9" w:rsidRPr="00650038">
        <w:t>Cass.</w:t>
      </w:r>
      <w:r w:rsidR="00CA4834" w:rsidRPr="00650038">
        <w:t xml:space="preserve"> 14</w:t>
      </w:r>
      <w:r w:rsidR="00211EA2" w:rsidRPr="00650038">
        <w:t xml:space="preserve"> gennaio </w:t>
      </w:r>
      <w:r w:rsidR="00CA4834" w:rsidRPr="00650038">
        <w:t>2005, n. 682</w:t>
      </w:r>
      <w:r w:rsidR="002E2E9A" w:rsidRPr="00650038">
        <w:t xml:space="preserve">, in </w:t>
      </w:r>
      <w:r w:rsidR="00650038" w:rsidRPr="00650038">
        <w:rPr>
          <w:i/>
        </w:rPr>
        <w:t xml:space="preserve">Arch. </w:t>
      </w:r>
      <w:proofErr w:type="spellStart"/>
      <w:r w:rsidR="00650038" w:rsidRPr="00650038">
        <w:rPr>
          <w:i/>
        </w:rPr>
        <w:t>loc</w:t>
      </w:r>
      <w:proofErr w:type="spellEnd"/>
      <w:r w:rsidR="00650038" w:rsidRPr="00650038">
        <w:rPr>
          <w:i/>
        </w:rPr>
        <w:t>.</w:t>
      </w:r>
      <w:r w:rsidR="00650038" w:rsidRPr="00650038">
        <w:t>, 2002005, p. 419</w:t>
      </w:r>
      <w:r w:rsidR="00CA4834" w:rsidRPr="00650038">
        <w:t xml:space="preserve">; </w:t>
      </w:r>
      <w:proofErr w:type="gramStart"/>
      <w:r w:rsidR="007424F9" w:rsidRPr="00650038">
        <w:t>Cass.</w:t>
      </w:r>
      <w:r w:rsidR="00CA4834" w:rsidRPr="00650038">
        <w:t>,</w:t>
      </w:r>
      <w:proofErr w:type="gramEnd"/>
      <w:r w:rsidR="00CA4834" w:rsidRPr="00650038">
        <w:t xml:space="preserve"> 16</w:t>
      </w:r>
      <w:r w:rsidR="00211EA2" w:rsidRPr="00650038">
        <w:t xml:space="preserve"> luglio </w:t>
      </w:r>
      <w:r w:rsidR="00CA4834" w:rsidRPr="00650038">
        <w:t>2002, n. 10278</w:t>
      </w:r>
      <w:r w:rsidR="002E2E9A" w:rsidRPr="00650038">
        <w:t xml:space="preserve">, in </w:t>
      </w:r>
      <w:r w:rsidR="002E2E9A" w:rsidRPr="00650038">
        <w:rPr>
          <w:i/>
        </w:rPr>
        <w:t xml:space="preserve">Mass. Giust. </w:t>
      </w:r>
      <w:proofErr w:type="gramStart"/>
      <w:r w:rsidR="002E2E9A" w:rsidRPr="00650038">
        <w:rPr>
          <w:i/>
        </w:rPr>
        <w:t>civ.</w:t>
      </w:r>
      <w:r w:rsidR="008F3B3E" w:rsidRPr="00650038">
        <w:t>,</w:t>
      </w:r>
      <w:proofErr w:type="gramEnd"/>
      <w:r w:rsidR="008F3B3E" w:rsidRPr="00650038">
        <w:t xml:space="preserve"> 2002</w:t>
      </w:r>
      <w:r w:rsidR="002E2E9A" w:rsidRPr="00650038">
        <w:t xml:space="preserve">, p. </w:t>
      </w:r>
      <w:r w:rsidR="008F3B3E" w:rsidRPr="00650038">
        <w:t>1229</w:t>
      </w:r>
      <w:r w:rsidR="005A7394" w:rsidRPr="00650038">
        <w:t xml:space="preserve">; </w:t>
      </w:r>
      <w:r w:rsidR="007424F9" w:rsidRPr="00650038">
        <w:t>Cass.</w:t>
      </w:r>
      <w:r w:rsidR="005A7394" w:rsidRPr="00650038">
        <w:t>, 20</w:t>
      </w:r>
      <w:r w:rsidR="00211EA2" w:rsidRPr="00650038">
        <w:t xml:space="preserve"> ottobre </w:t>
      </w:r>
      <w:r w:rsidR="005A7394" w:rsidRPr="00650038">
        <w:t>2000, n. 13918</w:t>
      </w:r>
      <w:r w:rsidR="002E2E9A" w:rsidRPr="00650038">
        <w:t xml:space="preserve">, in </w:t>
      </w:r>
      <w:r w:rsidR="002E2E9A" w:rsidRPr="00650038">
        <w:rPr>
          <w:i/>
        </w:rPr>
        <w:t xml:space="preserve">Mass. Giust. </w:t>
      </w:r>
      <w:proofErr w:type="gramStart"/>
      <w:r w:rsidR="002E2E9A" w:rsidRPr="00650038">
        <w:rPr>
          <w:i/>
        </w:rPr>
        <w:t>civ.</w:t>
      </w:r>
      <w:r w:rsidR="002E2E9A" w:rsidRPr="00650038">
        <w:t>,</w:t>
      </w:r>
      <w:proofErr w:type="gramEnd"/>
      <w:r w:rsidR="002E2E9A" w:rsidRPr="00650038">
        <w:t xml:space="preserve"> </w:t>
      </w:r>
      <w:r w:rsidR="00650038" w:rsidRPr="00650038">
        <w:t>2000</w:t>
      </w:r>
      <w:r w:rsidR="002E2E9A" w:rsidRPr="00650038">
        <w:t xml:space="preserve">, p. </w:t>
      </w:r>
      <w:r w:rsidR="00650038" w:rsidRPr="00650038">
        <w:t>2502</w:t>
      </w:r>
      <w:r w:rsidR="00CA4834" w:rsidRPr="00650038">
        <w:t>.</w:t>
      </w:r>
    </w:p>
  </w:footnote>
  <w:footnote w:id="12">
    <w:p w:rsidR="006A5A2C" w:rsidRPr="00F76843" w:rsidRDefault="006A5A2C" w:rsidP="00441BE9">
      <w:pPr>
        <w:pStyle w:val="Testonotaapidipagina"/>
        <w:jc w:val="both"/>
      </w:pPr>
      <w:r w:rsidRPr="00650038">
        <w:rPr>
          <w:rStyle w:val="Rimandonotaapidipagina"/>
        </w:rPr>
        <w:footnoteRef/>
      </w:r>
      <w:r w:rsidRPr="00650038">
        <w:t xml:space="preserve"> </w:t>
      </w:r>
      <w:r w:rsidRPr="00650038">
        <w:rPr>
          <w:smallCaps/>
        </w:rPr>
        <w:t>Andrioli</w:t>
      </w:r>
      <w:r w:rsidRPr="00650038">
        <w:t xml:space="preserve">, </w:t>
      </w:r>
      <w:r w:rsidRPr="00650038">
        <w:rPr>
          <w:i/>
        </w:rPr>
        <w:t>I mutamenti di rito</w:t>
      </w:r>
      <w:r w:rsidRPr="00650038">
        <w:t xml:space="preserve">, in </w:t>
      </w:r>
      <w:r w:rsidRPr="00650038">
        <w:rPr>
          <w:smallCaps/>
        </w:rPr>
        <w:t>Proto Pisani, Pezzano, Barone, Andrioli</w:t>
      </w:r>
      <w:r w:rsidRPr="00650038">
        <w:t>,</w:t>
      </w:r>
      <w:r w:rsidRPr="00650038">
        <w:rPr>
          <w:i/>
        </w:rPr>
        <w:t xml:space="preserve"> Le controversie in materia di lavoro</w:t>
      </w:r>
      <w:r w:rsidRPr="00650038">
        <w:t xml:space="preserve">, Bologna, 1974, </w:t>
      </w:r>
      <w:r w:rsidR="00BD75B6" w:rsidRPr="00650038">
        <w:t xml:space="preserve">p. </w:t>
      </w:r>
      <w:r w:rsidRPr="00650038">
        <w:t>146.</w:t>
      </w:r>
      <w:r w:rsidR="00736EB7" w:rsidRPr="00650038">
        <w:t xml:space="preserve"> Più di recente v. </w:t>
      </w:r>
      <w:r w:rsidR="007170BB" w:rsidRPr="00650038">
        <w:rPr>
          <w:smallCaps/>
        </w:rPr>
        <w:t>Luiso</w:t>
      </w:r>
      <w:r w:rsidR="007170BB" w:rsidRPr="00650038">
        <w:t xml:space="preserve">, </w:t>
      </w:r>
      <w:r w:rsidR="00F2121E" w:rsidRPr="00650038">
        <w:rPr>
          <w:i/>
        </w:rPr>
        <w:t xml:space="preserve">Il processo </w:t>
      </w:r>
      <w:r w:rsidR="00F2121E" w:rsidRPr="00650038">
        <w:t xml:space="preserve">cit., p. 97; </w:t>
      </w:r>
      <w:r w:rsidR="00F2121E" w:rsidRPr="00650038">
        <w:rPr>
          <w:smallCaps/>
        </w:rPr>
        <w:t>Id.</w:t>
      </w:r>
      <w:r w:rsidR="00F2121E" w:rsidRPr="00650038">
        <w:t xml:space="preserve">, </w:t>
      </w:r>
      <w:r w:rsidR="007170BB" w:rsidRPr="00650038">
        <w:rPr>
          <w:i/>
        </w:rPr>
        <w:t xml:space="preserve">Diritto </w:t>
      </w:r>
      <w:r w:rsidR="007170BB" w:rsidRPr="00650038">
        <w:t>cit.,</w:t>
      </w:r>
      <w:r w:rsidR="00F2121E" w:rsidRPr="00650038">
        <w:t xml:space="preserve"> IV,</w:t>
      </w:r>
      <w:r w:rsidR="00995D86" w:rsidRPr="00650038">
        <w:t xml:space="preserve"> p. 26</w:t>
      </w:r>
      <w:r w:rsidR="00C33EAC" w:rsidRPr="00650038">
        <w:t xml:space="preserve">; </w:t>
      </w:r>
      <w:r w:rsidR="00C33EAC" w:rsidRPr="00650038">
        <w:rPr>
          <w:smallCaps/>
        </w:rPr>
        <w:t>Tarzia</w:t>
      </w:r>
      <w:r w:rsidR="00C33EAC" w:rsidRPr="00650038">
        <w:t xml:space="preserve">, </w:t>
      </w:r>
      <w:r w:rsidR="00C33EAC" w:rsidRPr="00650038">
        <w:rPr>
          <w:i/>
        </w:rPr>
        <w:t>op. cit.</w:t>
      </w:r>
      <w:r w:rsidR="00C33EAC" w:rsidRPr="00650038">
        <w:t>,</w:t>
      </w:r>
      <w:r w:rsidR="00BD75B6" w:rsidRPr="00650038">
        <w:t xml:space="preserve"> p</w:t>
      </w:r>
      <w:r w:rsidR="00DA6247" w:rsidRPr="00650038">
        <w:t>p</w:t>
      </w:r>
      <w:r w:rsidR="00BD75B6" w:rsidRPr="00650038">
        <w:t xml:space="preserve">. </w:t>
      </w:r>
      <w:r w:rsidR="006E7E7D" w:rsidRPr="00650038">
        <w:t>232 s.</w:t>
      </w:r>
      <w:r w:rsidR="00C33EAC" w:rsidRPr="00650038">
        <w:t xml:space="preserve">; </w:t>
      </w:r>
      <w:r w:rsidR="00C33EAC" w:rsidRPr="00650038">
        <w:rPr>
          <w:smallCaps/>
        </w:rPr>
        <w:t>Montesano, Vaccarella</w:t>
      </w:r>
      <w:r w:rsidR="00C33EAC" w:rsidRPr="00650038">
        <w:t>,</w:t>
      </w:r>
      <w:r w:rsidR="00C33EAC" w:rsidRPr="00650038">
        <w:rPr>
          <w:i/>
        </w:rPr>
        <w:t xml:space="preserve"> op. cit.</w:t>
      </w:r>
      <w:r w:rsidR="00C33EAC" w:rsidRPr="00650038">
        <w:t xml:space="preserve">, </w:t>
      </w:r>
      <w:r w:rsidR="00BD75B6" w:rsidRPr="00650038">
        <w:t xml:space="preserve">p. </w:t>
      </w:r>
      <w:r w:rsidR="00C33EAC" w:rsidRPr="00650038">
        <w:t>242.</w:t>
      </w:r>
      <w:r w:rsidR="006E7E7D" w:rsidRPr="00650038">
        <w:t xml:space="preserve"> </w:t>
      </w:r>
      <w:r w:rsidR="00083F1B" w:rsidRPr="00650038">
        <w:t>Attualmente l</w:t>
      </w:r>
      <w:r w:rsidR="0065117F" w:rsidRPr="00650038">
        <w:t>e conseguenze dell’adeguamento del sistema delle preclusioni a quanto previsto per il rito ordinario sono, in concreto, piuttosto modeste</w:t>
      </w:r>
      <w:r w:rsidR="00773505" w:rsidRPr="00650038">
        <w:t>, essendo venuta meno la distinzione tra prima udienza di comparizione e prima udienza di trattazione (artt. 180 – 183 c.p.c.)</w:t>
      </w:r>
      <w:r w:rsidR="00083F1B" w:rsidRPr="00650038">
        <w:t xml:space="preserve"> e la </w:t>
      </w:r>
      <w:r w:rsidR="006102D9" w:rsidRPr="00650038">
        <w:t xml:space="preserve">possibilità di concedere, </w:t>
      </w:r>
      <w:r w:rsidR="00F76843" w:rsidRPr="00650038">
        <w:t>in una successiva udienza (</w:t>
      </w:r>
      <w:r w:rsidR="006102D9" w:rsidRPr="00650038">
        <w:t>art. 184 c.p.c.</w:t>
      </w:r>
      <w:r w:rsidR="00F76843" w:rsidRPr="00650038">
        <w:t>)</w:t>
      </w:r>
      <w:r w:rsidR="006102D9" w:rsidRPr="00650038">
        <w:t xml:space="preserve">, ulteriori termini per formulare istanze istruttorie. Secondo </w:t>
      </w:r>
      <w:r w:rsidR="006102D9" w:rsidRPr="00650038">
        <w:rPr>
          <w:smallCaps/>
        </w:rPr>
        <w:t>Tarzia</w:t>
      </w:r>
      <w:r w:rsidR="006102D9" w:rsidRPr="00650038">
        <w:t xml:space="preserve">, </w:t>
      </w:r>
      <w:r w:rsidR="006102D9" w:rsidRPr="00650038">
        <w:rPr>
          <w:i/>
        </w:rPr>
        <w:t>op. cit.</w:t>
      </w:r>
      <w:r w:rsidR="006102D9" w:rsidRPr="00650038">
        <w:t xml:space="preserve">, </w:t>
      </w:r>
      <w:r w:rsidR="00BD75B6" w:rsidRPr="00650038">
        <w:t xml:space="preserve">p. </w:t>
      </w:r>
      <w:r w:rsidR="006102D9" w:rsidRPr="00650038">
        <w:t>233</w:t>
      </w:r>
      <w:r w:rsidR="00F76843" w:rsidRPr="00650038">
        <w:t>,</w:t>
      </w:r>
      <w:r w:rsidR="006102D9" w:rsidRPr="00650038">
        <w:t xml:space="preserve"> </w:t>
      </w:r>
      <w:r w:rsidR="00F76843" w:rsidRPr="00650038">
        <w:t xml:space="preserve">qualora il mutamento avvenga in prima udienza, il giudice potrebbe dunque concedere i termini di cui all’attuale art. 183, comma 6°, c.p.c.; del medesimo avviso </w:t>
      </w:r>
      <w:r w:rsidR="00F76843" w:rsidRPr="00650038">
        <w:rPr>
          <w:smallCaps/>
        </w:rPr>
        <w:t>Luiso</w:t>
      </w:r>
      <w:r w:rsidR="00F76843" w:rsidRPr="00650038">
        <w:t xml:space="preserve">, </w:t>
      </w:r>
      <w:r w:rsidR="00F2121E" w:rsidRPr="00650038">
        <w:rPr>
          <w:i/>
        </w:rPr>
        <w:t xml:space="preserve">op. </w:t>
      </w:r>
      <w:proofErr w:type="spellStart"/>
      <w:r w:rsidR="00F2121E" w:rsidRPr="00650038">
        <w:rPr>
          <w:i/>
        </w:rPr>
        <w:t>loc</w:t>
      </w:r>
      <w:proofErr w:type="spellEnd"/>
      <w:r w:rsidR="00F2121E" w:rsidRPr="00650038">
        <w:rPr>
          <w:i/>
        </w:rPr>
        <w:t xml:space="preserve">. </w:t>
      </w:r>
      <w:proofErr w:type="spellStart"/>
      <w:r w:rsidR="00F2121E" w:rsidRPr="00650038">
        <w:rPr>
          <w:i/>
        </w:rPr>
        <w:t>ultt</w:t>
      </w:r>
      <w:proofErr w:type="spellEnd"/>
      <w:r w:rsidR="00F2121E" w:rsidRPr="00650038">
        <w:rPr>
          <w:i/>
        </w:rPr>
        <w:t xml:space="preserve">. </w:t>
      </w:r>
      <w:proofErr w:type="spellStart"/>
      <w:proofErr w:type="gramStart"/>
      <w:r w:rsidR="00F2121E" w:rsidRPr="00650038">
        <w:rPr>
          <w:i/>
        </w:rPr>
        <w:t>citt</w:t>
      </w:r>
      <w:proofErr w:type="spellEnd"/>
      <w:r w:rsidR="00F2121E" w:rsidRPr="00650038">
        <w:rPr>
          <w:i/>
        </w:rPr>
        <w:t>.</w:t>
      </w:r>
      <w:r w:rsidR="00995D86" w:rsidRPr="00650038">
        <w:t>,</w:t>
      </w:r>
      <w:proofErr w:type="gramEnd"/>
      <w:r w:rsidR="00F76843" w:rsidRPr="00650038">
        <w:t xml:space="preserve"> secondo</w:t>
      </w:r>
      <w:r w:rsidR="00F76843">
        <w:t xml:space="preserve"> cui, a partire dalla fase di ammissione dei mezzi di prova, non vi sono più differenze percepibili tra rito ordinario e del lavoro.</w:t>
      </w:r>
    </w:p>
  </w:footnote>
  <w:footnote w:id="13">
    <w:p w:rsidR="00195B28" w:rsidRPr="001D307E" w:rsidRDefault="00195B28" w:rsidP="00441BE9">
      <w:pPr>
        <w:pStyle w:val="Testonotaapidipagina"/>
        <w:jc w:val="both"/>
        <w:rPr>
          <w:highlight w:val="yellow"/>
        </w:rPr>
      </w:pPr>
      <w:r w:rsidRPr="00AA1D91">
        <w:rPr>
          <w:rStyle w:val="Rimandonotaapidipagina"/>
        </w:rPr>
        <w:footnoteRef/>
      </w:r>
      <w:r w:rsidRPr="00AA1D91">
        <w:t xml:space="preserve"> </w:t>
      </w:r>
      <w:r w:rsidR="007170BB" w:rsidRPr="00AA1D91">
        <w:t xml:space="preserve">Sul mutamento di rito di cui all’art. 40 c.p.c. </w:t>
      </w:r>
      <w:r w:rsidR="004435E1">
        <w:t>e sulla necessità, in taluni casi, di adattare le regole contenute negli artt. 426 e 427 c.p.c. alle peculiarità dei riti speciali che vengono in considerazione v.</w:t>
      </w:r>
      <w:r w:rsidR="007170BB" w:rsidRPr="00AA1D91">
        <w:t xml:space="preserve">, per tutti, </w:t>
      </w:r>
      <w:proofErr w:type="spellStart"/>
      <w:r w:rsidR="001D307E" w:rsidRPr="00C34ADE">
        <w:rPr>
          <w:smallCaps/>
        </w:rPr>
        <w:t>Mandrioli</w:t>
      </w:r>
      <w:proofErr w:type="spellEnd"/>
      <w:r w:rsidR="001D307E" w:rsidRPr="00AA1D91">
        <w:t>,</w:t>
      </w:r>
      <w:r w:rsidR="00A55419">
        <w:t xml:space="preserve"> </w:t>
      </w:r>
      <w:proofErr w:type="spellStart"/>
      <w:r w:rsidR="00A55419" w:rsidRPr="00A55419">
        <w:rPr>
          <w:smallCaps/>
        </w:rPr>
        <w:t>Carratta</w:t>
      </w:r>
      <w:proofErr w:type="spellEnd"/>
      <w:r w:rsidR="00A55419">
        <w:t>,</w:t>
      </w:r>
      <w:r w:rsidR="001D307E" w:rsidRPr="00AA1D91">
        <w:t xml:space="preserve"> </w:t>
      </w:r>
      <w:r w:rsidR="001D307E" w:rsidRPr="00AA1D91">
        <w:rPr>
          <w:i/>
        </w:rPr>
        <w:t>Diritto processuale civile</w:t>
      </w:r>
      <w:r w:rsidR="00C34ADE">
        <w:t>, I, Torino, 2014</w:t>
      </w:r>
      <w:r w:rsidR="001D307E" w:rsidRPr="00AA1D91">
        <w:t xml:space="preserve">, </w:t>
      </w:r>
      <w:r w:rsidR="00BD75B6">
        <w:t>p</w:t>
      </w:r>
      <w:r w:rsidR="00DA6247">
        <w:t>p</w:t>
      </w:r>
      <w:r w:rsidR="00BD75B6">
        <w:t xml:space="preserve">. </w:t>
      </w:r>
      <w:r w:rsidR="001D307E" w:rsidRPr="00AA1D91">
        <w:t>34</w:t>
      </w:r>
      <w:r w:rsidR="00C34ADE">
        <w:t>3</w:t>
      </w:r>
      <w:r w:rsidR="001D307E" w:rsidRPr="00AA1D91">
        <w:t xml:space="preserve"> s.; </w:t>
      </w:r>
      <w:r w:rsidR="001D307E" w:rsidRPr="00AA1D91">
        <w:rPr>
          <w:smallCaps/>
        </w:rPr>
        <w:t>Balena</w:t>
      </w:r>
      <w:r w:rsidR="001D307E" w:rsidRPr="00AA1D91">
        <w:t xml:space="preserve">, </w:t>
      </w:r>
      <w:r w:rsidR="001D307E" w:rsidRPr="00F36D42">
        <w:rPr>
          <w:i/>
        </w:rPr>
        <w:t>op. cit.</w:t>
      </w:r>
      <w:r w:rsidR="001D307E" w:rsidRPr="00AA1D91">
        <w:t xml:space="preserve">, </w:t>
      </w:r>
      <w:r w:rsidR="00BD75B6">
        <w:t xml:space="preserve">p. </w:t>
      </w:r>
      <w:r w:rsidR="001D307E" w:rsidRPr="00AA1D91">
        <w:t xml:space="preserve">662 s.; </w:t>
      </w:r>
      <w:r w:rsidR="001D307E" w:rsidRPr="00AA1D91">
        <w:rPr>
          <w:smallCaps/>
        </w:rPr>
        <w:t>Consolo, Luiso, Sassani</w:t>
      </w:r>
      <w:r w:rsidR="001D307E" w:rsidRPr="00AA1D91">
        <w:t xml:space="preserve">, </w:t>
      </w:r>
      <w:r w:rsidR="001D307E" w:rsidRPr="00AA1D91">
        <w:rPr>
          <w:i/>
        </w:rPr>
        <w:t>La riforma del processo civile</w:t>
      </w:r>
      <w:r w:rsidR="001D307E" w:rsidRPr="00AA1D91">
        <w:t>, I, Milano, 1991,</w:t>
      </w:r>
      <w:r w:rsidR="00BD75B6">
        <w:t xml:space="preserve"> p.</w:t>
      </w:r>
      <w:r w:rsidR="001D307E" w:rsidRPr="00AA1D91">
        <w:t xml:space="preserve"> 21</w:t>
      </w:r>
      <w:r w:rsidR="00AA1D91" w:rsidRPr="00AA1D91">
        <w:t>.</w:t>
      </w:r>
    </w:p>
  </w:footnote>
  <w:footnote w:id="14">
    <w:p w:rsidR="0061258F" w:rsidRPr="00D12782" w:rsidRDefault="0061258F" w:rsidP="00441BE9">
      <w:pPr>
        <w:pStyle w:val="Testonotaapidipagina"/>
        <w:jc w:val="both"/>
        <w:rPr>
          <w:highlight w:val="yellow"/>
        </w:rPr>
      </w:pPr>
      <w:r w:rsidRPr="007D1DB5">
        <w:rPr>
          <w:rStyle w:val="Rimandonotaapidipagina"/>
        </w:rPr>
        <w:footnoteRef/>
      </w:r>
      <w:r w:rsidRPr="007D1DB5">
        <w:t xml:space="preserve"> </w:t>
      </w:r>
      <w:r w:rsidR="00CB4D3B" w:rsidRPr="007D1DB5">
        <w:t>V. per tutti</w:t>
      </w:r>
      <w:r w:rsidR="007D1DB5" w:rsidRPr="007D1DB5">
        <w:t xml:space="preserve"> </w:t>
      </w:r>
      <w:r w:rsidR="007D1DB5" w:rsidRPr="007D1DB5">
        <w:rPr>
          <w:smallCaps/>
        </w:rPr>
        <w:t>Luiso</w:t>
      </w:r>
      <w:r w:rsidR="007D1DB5" w:rsidRPr="007D1DB5">
        <w:t xml:space="preserve">, </w:t>
      </w:r>
      <w:r w:rsidR="00F11139">
        <w:rPr>
          <w:i/>
        </w:rPr>
        <w:t>Diritto</w:t>
      </w:r>
      <w:r w:rsidR="007D1DB5" w:rsidRPr="007D1DB5">
        <w:rPr>
          <w:i/>
        </w:rPr>
        <w:t xml:space="preserve"> </w:t>
      </w:r>
      <w:r w:rsidR="007D1DB5" w:rsidRPr="00F36D42">
        <w:t>cit.</w:t>
      </w:r>
      <w:r w:rsidR="007D1DB5" w:rsidRPr="007D1DB5">
        <w:t xml:space="preserve">, IV, </w:t>
      </w:r>
      <w:r w:rsidR="00BD75B6">
        <w:t xml:space="preserve">p. </w:t>
      </w:r>
      <w:r w:rsidR="007D1DB5" w:rsidRPr="007D1DB5">
        <w:t>135;</w:t>
      </w:r>
      <w:r w:rsidR="00CB4D3B" w:rsidRPr="007D1DB5">
        <w:t xml:space="preserve"> </w:t>
      </w:r>
      <w:proofErr w:type="spellStart"/>
      <w:r w:rsidR="00CB4D3B" w:rsidRPr="00A55419">
        <w:rPr>
          <w:smallCaps/>
        </w:rPr>
        <w:t>Mandrioli</w:t>
      </w:r>
      <w:proofErr w:type="spellEnd"/>
      <w:r w:rsidR="00CB4D3B" w:rsidRPr="007D1DB5">
        <w:t>,</w:t>
      </w:r>
      <w:r w:rsidR="00A55419">
        <w:t xml:space="preserve"> </w:t>
      </w:r>
      <w:proofErr w:type="spellStart"/>
      <w:r w:rsidR="00A55419" w:rsidRPr="00A55419">
        <w:rPr>
          <w:smallCaps/>
        </w:rPr>
        <w:t>Carratta</w:t>
      </w:r>
      <w:proofErr w:type="spellEnd"/>
      <w:r w:rsidR="00A55419">
        <w:t>,</w:t>
      </w:r>
      <w:r w:rsidR="00CB4D3B" w:rsidRPr="007D1DB5">
        <w:t xml:space="preserve"> </w:t>
      </w:r>
      <w:r w:rsidR="00CB4D3B" w:rsidRPr="007D1DB5">
        <w:rPr>
          <w:i/>
        </w:rPr>
        <w:t>op. cit.</w:t>
      </w:r>
      <w:r w:rsidR="00D12782" w:rsidRPr="007D1DB5">
        <w:t>,</w:t>
      </w:r>
      <w:r w:rsidR="00CB4D3B" w:rsidRPr="007D1DB5">
        <w:t xml:space="preserve"> IV, </w:t>
      </w:r>
      <w:r w:rsidR="00DA6247">
        <w:t>p</w:t>
      </w:r>
      <w:r w:rsidR="00BD75B6">
        <w:t xml:space="preserve">p. </w:t>
      </w:r>
      <w:r w:rsidR="00CB4D3B" w:rsidRPr="007D1DB5">
        <w:t>3</w:t>
      </w:r>
      <w:r w:rsidR="00A55419">
        <w:t>8</w:t>
      </w:r>
      <w:r w:rsidR="00CB4D3B" w:rsidRPr="007D1DB5">
        <w:t>8</w:t>
      </w:r>
      <w:r w:rsidR="00A55419">
        <w:t xml:space="preserve"> s.</w:t>
      </w:r>
      <w:r w:rsidR="00CB4D3B" w:rsidRPr="007D1DB5">
        <w:t>;</w:t>
      </w:r>
      <w:r w:rsidR="00D12782" w:rsidRPr="007D1DB5">
        <w:t xml:space="preserve"> </w:t>
      </w:r>
      <w:r w:rsidR="00D12782" w:rsidRPr="007D1DB5">
        <w:rPr>
          <w:smallCaps/>
        </w:rPr>
        <w:t>Consolo</w:t>
      </w:r>
      <w:r w:rsidR="00D12782" w:rsidRPr="007D1DB5">
        <w:t xml:space="preserve">, </w:t>
      </w:r>
      <w:r w:rsidR="00D12782" w:rsidRPr="007D1DB5">
        <w:rPr>
          <w:i/>
        </w:rPr>
        <w:t>Spiegazioni di diritto processuale civile</w:t>
      </w:r>
      <w:r w:rsidR="00D12782" w:rsidRPr="007D1DB5">
        <w:t xml:space="preserve">, III, Torino, 2012, </w:t>
      </w:r>
      <w:r w:rsidR="00DA6247">
        <w:t>p</w:t>
      </w:r>
      <w:r w:rsidR="00BD75B6">
        <w:t xml:space="preserve">p. </w:t>
      </w:r>
      <w:r w:rsidR="00D12782" w:rsidRPr="007D1DB5">
        <w:t>195 s.</w:t>
      </w:r>
    </w:p>
  </w:footnote>
  <w:footnote w:id="15">
    <w:p w:rsidR="00C33E7D" w:rsidRPr="00AA1D91" w:rsidRDefault="00C33E7D" w:rsidP="00441BE9">
      <w:pPr>
        <w:pStyle w:val="Testonotaapidipagina"/>
        <w:jc w:val="both"/>
      </w:pPr>
      <w:r w:rsidRPr="00AA1D91">
        <w:rPr>
          <w:rStyle w:val="Rimandonotaapidipagina"/>
        </w:rPr>
        <w:footnoteRef/>
      </w:r>
      <w:r w:rsidRPr="00AA1D91">
        <w:t xml:space="preserve"> </w:t>
      </w:r>
      <w:r w:rsidR="00CB4D3B" w:rsidRPr="00AA1D91">
        <w:rPr>
          <w:smallCaps/>
        </w:rPr>
        <w:t>Farina</w:t>
      </w:r>
      <w:r w:rsidR="00CB4D3B" w:rsidRPr="00AA1D91">
        <w:t xml:space="preserve">, </w:t>
      </w:r>
      <w:r w:rsidR="00CB4D3B" w:rsidRPr="00AA1D91">
        <w:rPr>
          <w:i/>
        </w:rPr>
        <w:t>Art. 4</w:t>
      </w:r>
      <w:r w:rsidR="00CB4D3B" w:rsidRPr="00AA1D91">
        <w:t xml:space="preserve">, in </w:t>
      </w:r>
      <w:r w:rsidR="00CB4D3B" w:rsidRPr="00AA1D91">
        <w:rPr>
          <w:i/>
        </w:rPr>
        <w:t>Commentario alle riforme del processo civile dalla semplificazione dei riti al decreto sviluppo</w:t>
      </w:r>
      <w:r w:rsidR="00CB4D3B" w:rsidRPr="00AA1D91">
        <w:t xml:space="preserve">, </w:t>
      </w:r>
      <w:r w:rsidR="007B349E" w:rsidRPr="00AA1D91">
        <w:t xml:space="preserve">a cura di Martino e </w:t>
      </w:r>
      <w:proofErr w:type="spellStart"/>
      <w:r w:rsidR="007B349E" w:rsidRPr="00AA1D91">
        <w:t>Panzarola</w:t>
      </w:r>
      <w:proofErr w:type="spellEnd"/>
      <w:r w:rsidR="007B349E" w:rsidRPr="00AA1D91">
        <w:t xml:space="preserve">, </w:t>
      </w:r>
      <w:r w:rsidR="00CB4D3B" w:rsidRPr="00AA1D91">
        <w:t>Torino, 2013,</w:t>
      </w:r>
      <w:r w:rsidR="00EC1E4D">
        <w:t xml:space="preserve"> </w:t>
      </w:r>
      <w:r w:rsidR="00DA6247">
        <w:t>p</w:t>
      </w:r>
      <w:r w:rsidR="00EC1E4D">
        <w:t>p.</w:t>
      </w:r>
      <w:r w:rsidR="00CB4D3B" w:rsidRPr="00AA1D91">
        <w:t xml:space="preserve"> 30 ss.; </w:t>
      </w:r>
      <w:r w:rsidR="00CB4D3B" w:rsidRPr="00AA1D91">
        <w:rPr>
          <w:smallCaps/>
        </w:rPr>
        <w:t>Marino</w:t>
      </w:r>
      <w:r w:rsidR="00CB4D3B" w:rsidRPr="00AA1D91">
        <w:t xml:space="preserve">, </w:t>
      </w:r>
      <w:r w:rsidR="00CB4D3B" w:rsidRPr="00AA1D91">
        <w:rPr>
          <w:i/>
        </w:rPr>
        <w:t>La disciplina del mutamento del rito</w:t>
      </w:r>
      <w:r w:rsidR="00CB4D3B" w:rsidRPr="00AA1D91">
        <w:t xml:space="preserve">, in </w:t>
      </w:r>
      <w:r w:rsidR="00CB4D3B" w:rsidRPr="00AA1D91">
        <w:rPr>
          <w:i/>
        </w:rPr>
        <w:t>Riordino e semplificazione dei procedimenti civili</w:t>
      </w:r>
      <w:r w:rsidR="00CB4D3B" w:rsidRPr="00AA1D91">
        <w:t xml:space="preserve">, a cura di </w:t>
      </w:r>
      <w:proofErr w:type="spellStart"/>
      <w:r w:rsidR="00CB4D3B" w:rsidRPr="00AA1D91">
        <w:t>Santangeli</w:t>
      </w:r>
      <w:proofErr w:type="spellEnd"/>
      <w:r w:rsidR="00CB4D3B" w:rsidRPr="00AA1D91">
        <w:t>, Milano, 2012,</w:t>
      </w:r>
      <w:r w:rsidR="00B8025A">
        <w:t xml:space="preserve"> </w:t>
      </w:r>
      <w:r w:rsidR="00EC1E4D">
        <w:t>p</w:t>
      </w:r>
      <w:r w:rsidR="00DA6247">
        <w:t>p</w:t>
      </w:r>
      <w:r w:rsidR="00EC1E4D">
        <w:t xml:space="preserve">. </w:t>
      </w:r>
      <w:r w:rsidR="00CB4D3B" w:rsidRPr="00AA1D91">
        <w:t xml:space="preserve">80 ss.; </w:t>
      </w:r>
      <w:proofErr w:type="spellStart"/>
      <w:r w:rsidR="0040170C" w:rsidRPr="00AA1D91">
        <w:rPr>
          <w:smallCaps/>
        </w:rPr>
        <w:t>Carratta</w:t>
      </w:r>
      <w:proofErr w:type="spellEnd"/>
      <w:r w:rsidR="0040170C" w:rsidRPr="00AA1D91">
        <w:t xml:space="preserve">, </w:t>
      </w:r>
      <w:r w:rsidR="0040170C" w:rsidRPr="00AA1D91">
        <w:rPr>
          <w:i/>
        </w:rPr>
        <w:t>La “semplificazione” dei riti e le nuove modifiche del processo civile</w:t>
      </w:r>
      <w:r w:rsidR="0040170C" w:rsidRPr="00AA1D91">
        <w:t>, Torino, 2012,</w:t>
      </w:r>
      <w:r w:rsidR="00EC1E4D">
        <w:t xml:space="preserve"> p</w:t>
      </w:r>
      <w:r w:rsidR="00DA6247">
        <w:t>p</w:t>
      </w:r>
      <w:r w:rsidR="00EC1E4D">
        <w:t>.</w:t>
      </w:r>
      <w:r w:rsidR="0040170C" w:rsidRPr="00AA1D91">
        <w:t xml:space="preserve"> 75 ss.;</w:t>
      </w:r>
      <w:r w:rsidR="00F94313" w:rsidRPr="00AA1D91">
        <w:t xml:space="preserve"> Izzo, </w:t>
      </w:r>
      <w:r w:rsidR="00F94313" w:rsidRPr="00AA1D91">
        <w:rPr>
          <w:i/>
        </w:rPr>
        <w:t>Mutamento di rito</w:t>
      </w:r>
      <w:r w:rsidR="00F94313" w:rsidRPr="00AA1D91">
        <w:t xml:space="preserve">, in </w:t>
      </w:r>
      <w:r w:rsidR="00F94313" w:rsidRPr="00AA1D91">
        <w:rPr>
          <w:i/>
        </w:rPr>
        <w:t xml:space="preserve">Foro </w:t>
      </w:r>
      <w:proofErr w:type="gramStart"/>
      <w:r w:rsidR="00F94313" w:rsidRPr="00AA1D91">
        <w:rPr>
          <w:i/>
        </w:rPr>
        <w:t>it.</w:t>
      </w:r>
      <w:r w:rsidR="00F94313" w:rsidRPr="00AA1D91">
        <w:t>,</w:t>
      </w:r>
      <w:proofErr w:type="gramEnd"/>
      <w:r w:rsidR="00F94313" w:rsidRPr="00AA1D91">
        <w:t xml:space="preserve"> 2012, V, </w:t>
      </w:r>
      <w:r w:rsidR="00DA6247">
        <w:t>c</w:t>
      </w:r>
      <w:r w:rsidR="00EC1E4D">
        <w:t xml:space="preserve">c. </w:t>
      </w:r>
      <w:r w:rsidR="00F94313" w:rsidRPr="00AA1D91">
        <w:t>82 s.;</w:t>
      </w:r>
      <w:r w:rsidR="0040170C" w:rsidRPr="00AA1D91">
        <w:t xml:space="preserve"> </w:t>
      </w:r>
      <w:proofErr w:type="spellStart"/>
      <w:r w:rsidR="00F94313" w:rsidRPr="00AA1D91">
        <w:rPr>
          <w:smallCaps/>
        </w:rPr>
        <w:t>Panzarola</w:t>
      </w:r>
      <w:proofErr w:type="spellEnd"/>
      <w:r w:rsidR="00F94313" w:rsidRPr="00AA1D91">
        <w:t>,</w:t>
      </w:r>
      <w:r w:rsidR="007B349E" w:rsidRPr="00AA1D91">
        <w:t xml:space="preserve"> </w:t>
      </w:r>
      <w:r w:rsidR="007B349E" w:rsidRPr="00AA1D91">
        <w:rPr>
          <w:i/>
        </w:rPr>
        <w:t>Art. 4</w:t>
      </w:r>
      <w:r w:rsidR="007B349E" w:rsidRPr="00AA1D91">
        <w:t>,</w:t>
      </w:r>
      <w:r w:rsidR="00F94313" w:rsidRPr="00AA1D91">
        <w:t xml:space="preserve"> in </w:t>
      </w:r>
      <w:r w:rsidR="00F94313" w:rsidRPr="00AA1D91">
        <w:rPr>
          <w:i/>
        </w:rPr>
        <w:t>La semplificazione dei riti</w:t>
      </w:r>
      <w:r w:rsidR="00F94313" w:rsidRPr="00AA1D91">
        <w:t xml:space="preserve">, a cura di </w:t>
      </w:r>
      <w:r w:rsidR="0040170C" w:rsidRPr="00AA1D91">
        <w:t>Sassani</w:t>
      </w:r>
      <w:r w:rsidR="00F94313" w:rsidRPr="00AA1D91">
        <w:t xml:space="preserve"> e Tiscini, Roma, 2011, </w:t>
      </w:r>
      <w:r w:rsidR="00EC1E4D">
        <w:t>p</w:t>
      </w:r>
      <w:r w:rsidR="00DA6247">
        <w:t>p</w:t>
      </w:r>
      <w:r w:rsidR="00EC1E4D">
        <w:t xml:space="preserve">. </w:t>
      </w:r>
      <w:r w:rsidR="00F94313" w:rsidRPr="00AA1D91">
        <w:t>52 ss.</w:t>
      </w:r>
      <w:r w:rsidR="00F94313" w:rsidRPr="00AA1D91">
        <w:rPr>
          <w:smallCaps/>
        </w:rPr>
        <w:t xml:space="preserve"> Consolo</w:t>
      </w:r>
      <w:r w:rsidR="007B349E" w:rsidRPr="00AA1D91">
        <w:t xml:space="preserve">, </w:t>
      </w:r>
      <w:r w:rsidR="007B349E" w:rsidRPr="00AA1D91">
        <w:rPr>
          <w:i/>
        </w:rPr>
        <w:t>Prime considerazioni introduttive sul d. lgs. n. 150/2011 di riordino (e relativa “semplificazione”) dei riti settoriali</w:t>
      </w:r>
      <w:r w:rsidR="007B349E" w:rsidRPr="00AA1D91">
        <w:t xml:space="preserve">, in </w:t>
      </w:r>
      <w:r w:rsidR="007B349E" w:rsidRPr="00AA1D91">
        <w:rPr>
          <w:i/>
        </w:rPr>
        <w:t xml:space="preserve">Corr. </w:t>
      </w:r>
      <w:proofErr w:type="gramStart"/>
      <w:r w:rsidR="007B349E" w:rsidRPr="00AA1D91">
        <w:rPr>
          <w:i/>
        </w:rPr>
        <w:t>giur.</w:t>
      </w:r>
      <w:r w:rsidR="007B349E" w:rsidRPr="00AA1D91">
        <w:t>,</w:t>
      </w:r>
      <w:proofErr w:type="gramEnd"/>
      <w:r w:rsidR="007B349E" w:rsidRPr="00AA1D91">
        <w:t xml:space="preserve"> 2011</w:t>
      </w:r>
      <w:r w:rsidR="00F94313" w:rsidRPr="00AA1D91">
        <w:t xml:space="preserve">, </w:t>
      </w:r>
      <w:r w:rsidR="00EC1E4D">
        <w:t xml:space="preserve">p. </w:t>
      </w:r>
      <w:r w:rsidR="00F94313" w:rsidRPr="00AA1D91">
        <w:t>1490</w:t>
      </w:r>
      <w:r w:rsidR="007B349E" w:rsidRPr="00AA1D91">
        <w:t>;</w:t>
      </w:r>
      <w:r w:rsidR="00F94313" w:rsidRPr="00AA1D91">
        <w:t xml:space="preserve"> </w:t>
      </w:r>
      <w:r w:rsidR="00F94313" w:rsidRPr="00AA1D91">
        <w:rPr>
          <w:smallCaps/>
        </w:rPr>
        <w:t>Giordano</w:t>
      </w:r>
      <w:r w:rsidR="00F94313" w:rsidRPr="00AA1D91">
        <w:t xml:space="preserve">, </w:t>
      </w:r>
      <w:r w:rsidR="00F94313" w:rsidRPr="00AA1D91">
        <w:rPr>
          <w:i/>
          <w:iCs/>
        </w:rPr>
        <w:t>Note a prima lettura sulle previsioni generali del d. lgs. n. 150 del 2011 in tema di semplificazione dei riti civili</w:t>
      </w:r>
      <w:r w:rsidR="00F94313" w:rsidRPr="00AA1D91">
        <w:t xml:space="preserve">, in </w:t>
      </w:r>
      <w:r w:rsidR="00F94313" w:rsidRPr="00AA1D91">
        <w:rPr>
          <w:i/>
          <w:iCs/>
        </w:rPr>
        <w:t xml:space="preserve">Giust. </w:t>
      </w:r>
      <w:proofErr w:type="gramStart"/>
      <w:r w:rsidR="00F94313" w:rsidRPr="00AA1D91">
        <w:rPr>
          <w:i/>
          <w:iCs/>
        </w:rPr>
        <w:t>civ.</w:t>
      </w:r>
      <w:r w:rsidR="00F94313" w:rsidRPr="00AA1D91">
        <w:t>,</w:t>
      </w:r>
      <w:proofErr w:type="gramEnd"/>
      <w:r w:rsidR="00F94313" w:rsidRPr="00AA1D91">
        <w:t xml:space="preserve"> 2011, II, </w:t>
      </w:r>
      <w:r w:rsidR="00EC1E4D">
        <w:t xml:space="preserve">p. </w:t>
      </w:r>
      <w:r w:rsidR="00F94313" w:rsidRPr="00AA1D91">
        <w:t>435.</w:t>
      </w:r>
    </w:p>
  </w:footnote>
  <w:footnote w:id="16">
    <w:p w:rsidR="00D66BE3" w:rsidRDefault="00D66BE3" w:rsidP="00D66BE3">
      <w:pPr>
        <w:pStyle w:val="Testonotaapidipagina"/>
        <w:jc w:val="both"/>
      </w:pPr>
      <w:r>
        <w:rPr>
          <w:rStyle w:val="Rimandonotaapidipagina"/>
        </w:rPr>
        <w:footnoteRef/>
      </w:r>
      <w:r>
        <w:t xml:space="preserve"> La tesi illustrata nel testo è fatta propria dalla quasi totalità delle sentenze citate sopra, alle note 4 – 7, con le eccezioni ivi indicate. In dottrina v.</w:t>
      </w:r>
      <w:r w:rsidRPr="00D357BA">
        <w:t xml:space="preserve"> </w:t>
      </w:r>
      <w:proofErr w:type="spellStart"/>
      <w:r w:rsidRPr="00D357BA">
        <w:rPr>
          <w:smallCaps/>
        </w:rPr>
        <w:t>Salvaneschi</w:t>
      </w:r>
      <w:proofErr w:type="spellEnd"/>
      <w:r w:rsidRPr="00D357BA">
        <w:t xml:space="preserve">, </w:t>
      </w:r>
      <w:r w:rsidRPr="00D357BA">
        <w:rPr>
          <w:i/>
        </w:rPr>
        <w:t>Riflessioni sulla conversione degli atti processuali di parte</w:t>
      </w:r>
      <w:r w:rsidRPr="00D357BA">
        <w:t xml:space="preserve">, in </w:t>
      </w:r>
      <w:r w:rsidRPr="00D357BA">
        <w:rPr>
          <w:i/>
        </w:rPr>
        <w:t xml:space="preserve">Riv. </w:t>
      </w:r>
      <w:proofErr w:type="gramStart"/>
      <w:r w:rsidRPr="00D357BA">
        <w:rPr>
          <w:i/>
        </w:rPr>
        <w:t>dir</w:t>
      </w:r>
      <w:proofErr w:type="gramEnd"/>
      <w:r w:rsidRPr="00D357BA">
        <w:rPr>
          <w:i/>
        </w:rPr>
        <w:t xml:space="preserve">. </w:t>
      </w:r>
      <w:proofErr w:type="gramStart"/>
      <w:r w:rsidRPr="00D357BA">
        <w:rPr>
          <w:i/>
        </w:rPr>
        <w:t>proc.</w:t>
      </w:r>
      <w:r w:rsidRPr="00D357BA">
        <w:t>,</w:t>
      </w:r>
      <w:proofErr w:type="gramEnd"/>
      <w:r w:rsidRPr="00D357BA">
        <w:t xml:space="preserve"> 1984, </w:t>
      </w:r>
      <w:r>
        <w:t>p</w:t>
      </w:r>
      <w:r w:rsidR="00B8025A">
        <w:t>p</w:t>
      </w:r>
      <w:r>
        <w:t xml:space="preserve">. 135 ss.; </w:t>
      </w:r>
      <w:proofErr w:type="spellStart"/>
      <w:r w:rsidRPr="00EB3F75">
        <w:rPr>
          <w:smallCaps/>
        </w:rPr>
        <w:t>Minetola</w:t>
      </w:r>
      <w:proofErr w:type="spellEnd"/>
      <w:r w:rsidRPr="00EB3F75">
        <w:rPr>
          <w:smallCaps/>
        </w:rPr>
        <w:t>, Murra</w:t>
      </w:r>
      <w:r>
        <w:t xml:space="preserve">, </w:t>
      </w:r>
      <w:r w:rsidRPr="00EB3F75">
        <w:rPr>
          <w:i/>
        </w:rPr>
        <w:t xml:space="preserve">Considerazioni </w:t>
      </w:r>
      <w:proofErr w:type="spellStart"/>
      <w:r w:rsidRPr="00EB3F75">
        <w:rPr>
          <w:i/>
        </w:rPr>
        <w:t>su i</w:t>
      </w:r>
      <w:proofErr w:type="spellEnd"/>
      <w:r w:rsidRPr="00EB3F75">
        <w:rPr>
          <w:i/>
        </w:rPr>
        <w:t xml:space="preserve"> processi da ricorso introdotti con citazione</w:t>
      </w:r>
      <w:r>
        <w:t xml:space="preserve">, in </w:t>
      </w:r>
      <w:r w:rsidRPr="00EB3F75">
        <w:rPr>
          <w:i/>
        </w:rPr>
        <w:t xml:space="preserve">Giust. </w:t>
      </w:r>
      <w:proofErr w:type="gramStart"/>
      <w:r w:rsidRPr="00EB3F75">
        <w:rPr>
          <w:i/>
        </w:rPr>
        <w:t>civ.</w:t>
      </w:r>
      <w:r>
        <w:t>,</w:t>
      </w:r>
      <w:proofErr w:type="gramEnd"/>
      <w:r>
        <w:t xml:space="preserve"> 2001, I, p</w:t>
      </w:r>
      <w:r w:rsidR="00B8025A">
        <w:t>p</w:t>
      </w:r>
      <w:r>
        <w:t>. 1631 ss.</w:t>
      </w:r>
    </w:p>
  </w:footnote>
  <w:footnote w:id="17">
    <w:p w:rsidR="003273E3" w:rsidRPr="00412845" w:rsidRDefault="003273E3" w:rsidP="003273E3">
      <w:pPr>
        <w:pStyle w:val="Testonotaapidipagina"/>
        <w:jc w:val="both"/>
      </w:pPr>
      <w:r>
        <w:rPr>
          <w:rStyle w:val="Rimandonotaapidipagina"/>
        </w:rPr>
        <w:footnoteRef/>
      </w:r>
      <w:r>
        <w:t xml:space="preserve"> </w:t>
      </w:r>
      <w:proofErr w:type="gramStart"/>
      <w:r>
        <w:t>Cass.,</w:t>
      </w:r>
      <w:proofErr w:type="gramEnd"/>
      <w:r>
        <w:t xml:space="preserve"> 23 settembre 2013, n. 21675</w:t>
      </w:r>
      <w:r w:rsidR="00567A72">
        <w:t xml:space="preserve"> cit.</w:t>
      </w:r>
      <w:r w:rsidR="002E2E9A">
        <w:t>,</w:t>
      </w:r>
      <w:r>
        <w:t xml:space="preserve"> e Cass., 8 ottobre 2013, n. 22848</w:t>
      </w:r>
      <w:r w:rsidR="006D699F">
        <w:t xml:space="preserve">, in </w:t>
      </w:r>
      <w:r w:rsidR="006D699F">
        <w:rPr>
          <w:i/>
        </w:rPr>
        <w:t>Foro it.</w:t>
      </w:r>
      <w:r w:rsidR="006D699F">
        <w:t xml:space="preserve">, 2013, I, c. 3101 con nota di </w:t>
      </w:r>
      <w:r w:rsidR="006D699F" w:rsidRPr="006D699F">
        <w:rPr>
          <w:smallCaps/>
        </w:rPr>
        <w:t>Barone</w:t>
      </w:r>
      <w:r>
        <w:t>.</w:t>
      </w:r>
      <w:r w:rsidR="00544605" w:rsidRPr="00544605">
        <w:t xml:space="preserve"> </w:t>
      </w:r>
      <w:r w:rsidR="006D699F">
        <w:t xml:space="preserve">Sul punto v. anche la recentissima </w:t>
      </w:r>
      <w:proofErr w:type="gramStart"/>
      <w:r w:rsidR="006D699F">
        <w:t>Cass.,</w:t>
      </w:r>
      <w:proofErr w:type="gramEnd"/>
      <w:r w:rsidR="006D699F">
        <w:t xml:space="preserve"> 10 febbraio 2014, n. 2907, sulla forma da impiegare per l’appello avverso la sentenza resa in un giudizio di opposizione ad ordinanza ingiunzione, che riprende le posizioni già enunciate nel 2013 dalle sezioni </w:t>
      </w:r>
      <w:r w:rsidR="006D699F" w:rsidRPr="00412845">
        <w:t>unite.</w:t>
      </w:r>
    </w:p>
  </w:footnote>
  <w:footnote w:id="18">
    <w:p w:rsidR="003273E3" w:rsidRPr="00412845" w:rsidRDefault="003273E3" w:rsidP="003273E3">
      <w:pPr>
        <w:pStyle w:val="Testonotaapidipagina"/>
        <w:jc w:val="both"/>
      </w:pPr>
      <w:r w:rsidRPr="00412845">
        <w:rPr>
          <w:rStyle w:val="Rimandonotaapidipagina"/>
        </w:rPr>
        <w:footnoteRef/>
      </w:r>
      <w:r w:rsidRPr="00412845">
        <w:t xml:space="preserve"> </w:t>
      </w:r>
      <w:r w:rsidRPr="00412845">
        <w:rPr>
          <w:smallCaps/>
        </w:rPr>
        <w:t>Balena</w:t>
      </w:r>
      <w:r w:rsidRPr="00412845">
        <w:t xml:space="preserve">, </w:t>
      </w:r>
      <w:r w:rsidRPr="00412845">
        <w:rPr>
          <w:i/>
        </w:rPr>
        <w:t>op. cit.</w:t>
      </w:r>
      <w:r w:rsidRPr="00412845">
        <w:t>, p</w:t>
      </w:r>
      <w:r w:rsidR="00B8025A" w:rsidRPr="00412845">
        <w:t>p</w:t>
      </w:r>
      <w:r w:rsidRPr="00412845">
        <w:t>. 656 s.</w:t>
      </w:r>
    </w:p>
  </w:footnote>
  <w:footnote w:id="19">
    <w:p w:rsidR="006D7D13" w:rsidRPr="00A66008" w:rsidRDefault="006D7D13" w:rsidP="006D7D13">
      <w:pPr>
        <w:pStyle w:val="Testonotaapidipagina"/>
        <w:jc w:val="both"/>
      </w:pPr>
      <w:r w:rsidRPr="00412845">
        <w:rPr>
          <w:rStyle w:val="Rimandonotaapidipagina"/>
        </w:rPr>
        <w:footnoteRef/>
      </w:r>
      <w:r w:rsidRPr="00412845">
        <w:t xml:space="preserve"> </w:t>
      </w:r>
      <w:proofErr w:type="gramStart"/>
      <w:r w:rsidRPr="00412845">
        <w:t>Cass.,</w:t>
      </w:r>
      <w:proofErr w:type="gramEnd"/>
      <w:r w:rsidRPr="00412845">
        <w:t xml:space="preserve"> 6 febbraio 2013, n. 2830</w:t>
      </w:r>
      <w:r w:rsidR="002E2E9A" w:rsidRPr="00412845">
        <w:t xml:space="preserve">, in </w:t>
      </w:r>
      <w:r w:rsidR="00650038" w:rsidRPr="00412845">
        <w:rPr>
          <w:i/>
        </w:rPr>
        <w:t>Guida dir.</w:t>
      </w:r>
      <w:r w:rsidR="002E2E9A" w:rsidRPr="00412845">
        <w:t xml:space="preserve">, </w:t>
      </w:r>
      <w:r w:rsidR="00650038" w:rsidRPr="00412845">
        <w:t>2013</w:t>
      </w:r>
      <w:r w:rsidR="002E2E9A" w:rsidRPr="00412845">
        <w:t>,</w:t>
      </w:r>
      <w:r w:rsidR="00650038" w:rsidRPr="00412845">
        <w:t xml:space="preserve"> 19,</w:t>
      </w:r>
      <w:r w:rsidR="002E2E9A" w:rsidRPr="00412845">
        <w:t xml:space="preserve"> p. </w:t>
      </w:r>
      <w:r w:rsidR="00650038" w:rsidRPr="00412845">
        <w:t>67</w:t>
      </w:r>
      <w:r w:rsidRPr="00412845">
        <w:t>; Cass., 1 ottobre 2009, n. 21071</w:t>
      </w:r>
      <w:r w:rsidR="002E2E9A" w:rsidRPr="00412845">
        <w:t xml:space="preserve">, in </w:t>
      </w:r>
      <w:r w:rsidR="002E2E9A" w:rsidRPr="00412845">
        <w:rPr>
          <w:i/>
        </w:rPr>
        <w:t xml:space="preserve">Mass. Giust. </w:t>
      </w:r>
      <w:proofErr w:type="gramStart"/>
      <w:r w:rsidR="002E2E9A" w:rsidRPr="00412845">
        <w:rPr>
          <w:i/>
        </w:rPr>
        <w:t>civ.</w:t>
      </w:r>
      <w:r w:rsidR="002E2E9A" w:rsidRPr="00412845">
        <w:t>,</w:t>
      </w:r>
      <w:proofErr w:type="gramEnd"/>
      <w:r w:rsidR="002E2E9A" w:rsidRPr="00412845">
        <w:t xml:space="preserve"> </w:t>
      </w:r>
      <w:r w:rsidR="00650038" w:rsidRPr="00412845">
        <w:t>2009</w:t>
      </w:r>
      <w:r w:rsidR="002E2E9A" w:rsidRPr="00412845">
        <w:t xml:space="preserve">, p. </w:t>
      </w:r>
      <w:r w:rsidR="00650038" w:rsidRPr="00412845">
        <w:t>1396</w:t>
      </w:r>
      <w:r w:rsidRPr="00412845">
        <w:t>; Cass., 28 dicembre 2007, n. 27183</w:t>
      </w:r>
      <w:r w:rsidR="002E2E9A" w:rsidRPr="00412845">
        <w:t>, in</w:t>
      </w:r>
      <w:r w:rsidR="00650038" w:rsidRPr="00412845">
        <w:t xml:space="preserve"> </w:t>
      </w:r>
      <w:r w:rsidR="002E2E9A" w:rsidRPr="00412845">
        <w:rPr>
          <w:i/>
        </w:rPr>
        <w:t xml:space="preserve">Giust. </w:t>
      </w:r>
      <w:proofErr w:type="gramStart"/>
      <w:r w:rsidR="002E2E9A" w:rsidRPr="00412845">
        <w:rPr>
          <w:i/>
        </w:rPr>
        <w:t>civ.</w:t>
      </w:r>
      <w:r w:rsidR="002E2E9A" w:rsidRPr="00412845">
        <w:t>,</w:t>
      </w:r>
      <w:proofErr w:type="gramEnd"/>
      <w:r w:rsidR="002E2E9A" w:rsidRPr="00412845">
        <w:t xml:space="preserve"> </w:t>
      </w:r>
      <w:r w:rsidR="00650038" w:rsidRPr="00412845">
        <w:t>2008</w:t>
      </w:r>
      <w:r w:rsidR="002E2E9A" w:rsidRPr="00412845">
        <w:t>,</w:t>
      </w:r>
      <w:r w:rsidR="00650038" w:rsidRPr="00412845">
        <w:t xml:space="preserve"> I,</w:t>
      </w:r>
      <w:r w:rsidR="002E2E9A" w:rsidRPr="00412845">
        <w:t xml:space="preserve"> p. </w:t>
      </w:r>
      <w:r w:rsidR="00650038" w:rsidRPr="00412845">
        <w:t>888</w:t>
      </w:r>
      <w:r w:rsidRPr="00412845">
        <w:t xml:space="preserve">; Cass., 20 dicembre 2007, n. 26977, in </w:t>
      </w:r>
      <w:r w:rsidRPr="00412845">
        <w:rPr>
          <w:i/>
        </w:rPr>
        <w:t xml:space="preserve">Giur. </w:t>
      </w:r>
      <w:proofErr w:type="gramStart"/>
      <w:r w:rsidRPr="00412845">
        <w:rPr>
          <w:i/>
        </w:rPr>
        <w:t>it.</w:t>
      </w:r>
      <w:r w:rsidRPr="00412845">
        <w:t>,</w:t>
      </w:r>
      <w:proofErr w:type="gramEnd"/>
      <w:r w:rsidRPr="00412845">
        <w:t xml:space="preserve"> 2008, p. 2269 con nota di </w:t>
      </w:r>
      <w:proofErr w:type="spellStart"/>
      <w:r w:rsidRPr="00412845">
        <w:rPr>
          <w:smallCaps/>
        </w:rPr>
        <w:t>Frus</w:t>
      </w:r>
      <w:proofErr w:type="spellEnd"/>
      <w:r w:rsidRPr="00412845">
        <w:t xml:space="preserve">; </w:t>
      </w:r>
      <w:proofErr w:type="spellStart"/>
      <w:r w:rsidRPr="00412845">
        <w:t>Cass</w:t>
      </w:r>
      <w:proofErr w:type="spellEnd"/>
      <w:r w:rsidRPr="00412845">
        <w:t>., 8 febbraio 1989, n. 778</w:t>
      </w:r>
      <w:r w:rsidR="002E2E9A" w:rsidRPr="00412845">
        <w:t xml:space="preserve">, in </w:t>
      </w:r>
      <w:r w:rsidR="002E2E9A" w:rsidRPr="00412845">
        <w:rPr>
          <w:i/>
        </w:rPr>
        <w:t xml:space="preserve">Mass. Giust. </w:t>
      </w:r>
      <w:proofErr w:type="gramStart"/>
      <w:r w:rsidR="002E2E9A" w:rsidRPr="00412845">
        <w:rPr>
          <w:i/>
        </w:rPr>
        <w:t>civ.</w:t>
      </w:r>
      <w:r w:rsidR="002E2E9A" w:rsidRPr="00412845">
        <w:t>,</w:t>
      </w:r>
      <w:proofErr w:type="gramEnd"/>
      <w:r w:rsidR="002E2E9A" w:rsidRPr="00412845">
        <w:t xml:space="preserve"> </w:t>
      </w:r>
      <w:r w:rsidR="007105CC" w:rsidRPr="00412845">
        <w:t>1989</w:t>
      </w:r>
      <w:r w:rsidR="002E2E9A" w:rsidRPr="00412845">
        <w:t xml:space="preserve">, p. </w:t>
      </w:r>
      <w:r w:rsidR="007105CC" w:rsidRPr="00412845">
        <w:t>210</w:t>
      </w:r>
      <w:r w:rsidRPr="00412845">
        <w:t xml:space="preserve">; Cass., 7 febbraio 1979, n. 828, in </w:t>
      </w:r>
      <w:r w:rsidRPr="00412845">
        <w:rPr>
          <w:i/>
        </w:rPr>
        <w:t>Fall.</w:t>
      </w:r>
      <w:r w:rsidRPr="00412845">
        <w:t>, 1979, p. 761; Cass., 9 novembre 1977, n. 4816</w:t>
      </w:r>
      <w:r w:rsidR="002E2E9A" w:rsidRPr="00412845">
        <w:t xml:space="preserve">, in </w:t>
      </w:r>
      <w:r w:rsidR="002E2E9A" w:rsidRPr="00412845">
        <w:rPr>
          <w:i/>
        </w:rPr>
        <w:t xml:space="preserve">Mass. Giust. </w:t>
      </w:r>
      <w:proofErr w:type="gramStart"/>
      <w:r w:rsidR="002E2E9A" w:rsidRPr="00412845">
        <w:rPr>
          <w:i/>
        </w:rPr>
        <w:t>civ.</w:t>
      </w:r>
      <w:r w:rsidR="002E2E9A" w:rsidRPr="00412845">
        <w:t>,</w:t>
      </w:r>
      <w:proofErr w:type="gramEnd"/>
      <w:r w:rsidR="002E2E9A" w:rsidRPr="00412845">
        <w:t xml:space="preserve"> </w:t>
      </w:r>
      <w:r w:rsidR="003A63F5" w:rsidRPr="00412845">
        <w:t>1977</w:t>
      </w:r>
      <w:r w:rsidR="002E2E9A" w:rsidRPr="00412845">
        <w:t xml:space="preserve">, p. </w:t>
      </w:r>
      <w:r w:rsidR="003A63F5" w:rsidRPr="00412845">
        <w:t>1924</w:t>
      </w:r>
      <w:r w:rsidRPr="00412845">
        <w:t xml:space="preserve">. Le pronunce appena citate affermano che la riassunzione deve avvenire, a seconda dei casi, con ricorso o comparsa, ma assolve allo scopo anche un atto di citazione a comparire a udienza fissa notificato nei termini di cui agli artt. 297 o 305 c.p.c. Sostiene invece che al mancato deposito della citazione notificata nel termine per la riassunzione consegue l’estinzione del processo </w:t>
      </w:r>
      <w:proofErr w:type="gramStart"/>
      <w:r w:rsidRPr="00412845">
        <w:t>Cass.,</w:t>
      </w:r>
      <w:proofErr w:type="gramEnd"/>
      <w:r w:rsidRPr="00412845">
        <w:t xml:space="preserve"> 7 maggio 2007, n. 10291</w:t>
      </w:r>
      <w:r w:rsidR="002E2E9A" w:rsidRPr="00412845">
        <w:t xml:space="preserve">, in </w:t>
      </w:r>
      <w:r w:rsidR="00650038" w:rsidRPr="00412845">
        <w:rPr>
          <w:i/>
        </w:rPr>
        <w:t xml:space="preserve">Dir. e </w:t>
      </w:r>
      <w:proofErr w:type="spellStart"/>
      <w:r w:rsidR="00650038" w:rsidRPr="00412845">
        <w:rPr>
          <w:i/>
        </w:rPr>
        <w:t>giust</w:t>
      </w:r>
      <w:proofErr w:type="spellEnd"/>
      <w:r w:rsidR="002E2E9A" w:rsidRPr="00412845">
        <w:rPr>
          <w:i/>
        </w:rPr>
        <w:t>.</w:t>
      </w:r>
      <w:r w:rsidR="00412845" w:rsidRPr="00412845">
        <w:rPr>
          <w:i/>
        </w:rPr>
        <w:t xml:space="preserve"> </w:t>
      </w:r>
      <w:proofErr w:type="gramStart"/>
      <w:r w:rsidR="00412845" w:rsidRPr="00412845">
        <w:rPr>
          <w:i/>
        </w:rPr>
        <w:t>online</w:t>
      </w:r>
      <w:proofErr w:type="gramEnd"/>
      <w:r w:rsidRPr="00412845">
        <w:t>.</w:t>
      </w:r>
      <w:r w:rsidR="00A66008">
        <w:t xml:space="preserve"> Sul punto v. anche </w:t>
      </w:r>
      <w:proofErr w:type="spellStart"/>
      <w:r w:rsidR="00A66008" w:rsidRPr="00A66008">
        <w:rPr>
          <w:smallCaps/>
        </w:rPr>
        <w:t>Renzi</w:t>
      </w:r>
      <w:proofErr w:type="spellEnd"/>
      <w:r w:rsidR="00A66008">
        <w:t xml:space="preserve">, </w:t>
      </w:r>
      <w:r w:rsidR="00A66008">
        <w:rPr>
          <w:i/>
        </w:rPr>
        <w:t>Equivalenza delle forme per l’atto di riassunzione del processo ex art. 50 c.p.c. e principio di effettività della tutela giurisdizionale</w:t>
      </w:r>
      <w:r w:rsidR="00A66008">
        <w:t xml:space="preserve">, in </w:t>
      </w:r>
      <w:r w:rsidR="00A66008">
        <w:rPr>
          <w:i/>
        </w:rPr>
        <w:t xml:space="preserve">Giur. </w:t>
      </w:r>
      <w:proofErr w:type="gramStart"/>
      <w:r w:rsidR="00A66008">
        <w:rPr>
          <w:i/>
        </w:rPr>
        <w:t>it.</w:t>
      </w:r>
      <w:r w:rsidR="00A66008">
        <w:t>,</w:t>
      </w:r>
      <w:proofErr w:type="gramEnd"/>
      <w:r w:rsidR="00A66008">
        <w:t xml:space="preserve"> 2013, 899 ss.</w:t>
      </w:r>
    </w:p>
  </w:footnote>
  <w:footnote w:id="20">
    <w:p w:rsidR="003273E3" w:rsidRPr="00412845" w:rsidRDefault="003273E3" w:rsidP="003273E3">
      <w:pPr>
        <w:pStyle w:val="Testonotaapidipagina"/>
        <w:jc w:val="both"/>
      </w:pPr>
      <w:r w:rsidRPr="00412845">
        <w:rPr>
          <w:rStyle w:val="Rimandonotaapidipagina"/>
        </w:rPr>
        <w:footnoteRef/>
      </w:r>
      <w:r w:rsidRPr="00412845">
        <w:t xml:space="preserve"> L’impossibilità di applicare le disposizioni sul mutamento di rito è </w:t>
      </w:r>
      <w:r w:rsidR="00051364" w:rsidRPr="00412845">
        <w:t xml:space="preserve">stata </w:t>
      </w:r>
      <w:r w:rsidRPr="00412845">
        <w:t>affermata</w:t>
      </w:r>
      <w:r w:rsidR="00051364" w:rsidRPr="00412845">
        <w:t>,</w:t>
      </w:r>
      <w:r w:rsidRPr="00412845">
        <w:t xml:space="preserve"> per l’opposizione ad ordinanza ingiunzione</w:t>
      </w:r>
      <w:r w:rsidR="00922A24" w:rsidRPr="00412845">
        <w:t xml:space="preserve"> proposta a norma della l. 24 novembre 1981, n. 689 (anteriormente quindi alle modifiche apportate dal d. lgs. 150 del 2011)</w:t>
      </w:r>
      <w:r w:rsidR="00051364" w:rsidRPr="00412845">
        <w:t>,</w:t>
      </w:r>
      <w:r w:rsidRPr="00412845">
        <w:t xml:space="preserve"> </w:t>
      </w:r>
      <w:r w:rsidR="00051364" w:rsidRPr="00412845">
        <w:t>da</w:t>
      </w:r>
      <w:r w:rsidRPr="00412845">
        <w:t xml:space="preserve"> </w:t>
      </w:r>
      <w:proofErr w:type="gramStart"/>
      <w:r w:rsidRPr="00412845">
        <w:t>Cass.,</w:t>
      </w:r>
      <w:proofErr w:type="gramEnd"/>
      <w:r w:rsidRPr="00412845">
        <w:t xml:space="preserve"> 29 febbraio 2008, n. 5468</w:t>
      </w:r>
      <w:r w:rsidR="002E2E9A" w:rsidRPr="00412845">
        <w:t xml:space="preserve">, in </w:t>
      </w:r>
      <w:r w:rsidR="002E2E9A" w:rsidRPr="00412845">
        <w:rPr>
          <w:i/>
        </w:rPr>
        <w:t xml:space="preserve">Mass. Giust. </w:t>
      </w:r>
      <w:proofErr w:type="gramStart"/>
      <w:r w:rsidR="002E2E9A" w:rsidRPr="00412845">
        <w:rPr>
          <w:i/>
        </w:rPr>
        <w:t>civ.</w:t>
      </w:r>
      <w:r w:rsidR="002E2E9A" w:rsidRPr="00412845">
        <w:t>,</w:t>
      </w:r>
      <w:proofErr w:type="gramEnd"/>
      <w:r w:rsidR="002E2E9A" w:rsidRPr="00412845">
        <w:t xml:space="preserve"> </w:t>
      </w:r>
      <w:r w:rsidR="00412845" w:rsidRPr="00412845">
        <w:t>2008</w:t>
      </w:r>
      <w:r w:rsidR="002E2E9A" w:rsidRPr="00412845">
        <w:t xml:space="preserve">, p. </w:t>
      </w:r>
      <w:r w:rsidR="00412845" w:rsidRPr="00412845">
        <w:t>328</w:t>
      </w:r>
      <w:r w:rsidRPr="00412845">
        <w:t>; Cass., 2 agosto 2000, n. 10127</w:t>
      </w:r>
      <w:r w:rsidR="002E2E9A" w:rsidRPr="00412845">
        <w:t xml:space="preserve">, in </w:t>
      </w:r>
      <w:r w:rsidR="002E2E9A" w:rsidRPr="00412845">
        <w:rPr>
          <w:i/>
        </w:rPr>
        <w:t xml:space="preserve">Mass. Giust. </w:t>
      </w:r>
      <w:proofErr w:type="gramStart"/>
      <w:r w:rsidR="002E2E9A" w:rsidRPr="00412845">
        <w:rPr>
          <w:i/>
        </w:rPr>
        <w:t>civ.</w:t>
      </w:r>
      <w:r w:rsidR="00087BB0" w:rsidRPr="00412845">
        <w:t>,</w:t>
      </w:r>
      <w:proofErr w:type="gramEnd"/>
      <w:r w:rsidR="00087BB0" w:rsidRPr="00412845">
        <w:t xml:space="preserve"> 2000</w:t>
      </w:r>
      <w:r w:rsidR="002E2E9A" w:rsidRPr="00412845">
        <w:t xml:space="preserve">, p. </w:t>
      </w:r>
      <w:r w:rsidR="00087BB0" w:rsidRPr="00412845">
        <w:t>1688;</w:t>
      </w:r>
      <w:r w:rsidRPr="00412845">
        <w:t xml:space="preserve"> Cass., 15 dicembre 1999, n. 14113, in </w:t>
      </w:r>
      <w:r w:rsidRPr="00412845">
        <w:rPr>
          <w:i/>
        </w:rPr>
        <w:t>Nuova giur. civ. comm.</w:t>
      </w:r>
      <w:r w:rsidRPr="00412845">
        <w:t>, 2000, I, p. 751</w:t>
      </w:r>
      <w:r w:rsidR="00051364" w:rsidRPr="00412845">
        <w:t>.</w:t>
      </w:r>
      <w:r w:rsidRPr="00412845">
        <w:t xml:space="preserve"> </w:t>
      </w:r>
      <w:r w:rsidR="00051364" w:rsidRPr="00412845">
        <w:t>D</w:t>
      </w:r>
      <w:r w:rsidRPr="00412845">
        <w:t>i contrario avviso</w:t>
      </w:r>
      <w:r w:rsidR="00051364" w:rsidRPr="00412845">
        <w:t xml:space="preserve"> era</w:t>
      </w:r>
      <w:r w:rsidRPr="00412845">
        <w:t xml:space="preserve"> </w:t>
      </w:r>
      <w:r w:rsidR="000B68BD" w:rsidRPr="00412845">
        <w:t xml:space="preserve">stata </w:t>
      </w:r>
      <w:r w:rsidRPr="00412845">
        <w:t xml:space="preserve">però la pronuncia delle sezioni unite </w:t>
      </w:r>
      <w:proofErr w:type="gramStart"/>
      <w:r w:rsidRPr="00412845">
        <w:t>Cass.,</w:t>
      </w:r>
      <w:proofErr w:type="gramEnd"/>
      <w:r w:rsidRPr="00412845">
        <w:t xml:space="preserve"> 7 marzo 1985, n. 1876</w:t>
      </w:r>
      <w:r w:rsidR="002E2E9A" w:rsidRPr="00412845">
        <w:t xml:space="preserve">, in </w:t>
      </w:r>
      <w:r w:rsidR="002E2E9A" w:rsidRPr="00412845">
        <w:rPr>
          <w:i/>
        </w:rPr>
        <w:t xml:space="preserve">Mass. Giust. </w:t>
      </w:r>
      <w:proofErr w:type="gramStart"/>
      <w:r w:rsidR="002E2E9A" w:rsidRPr="00412845">
        <w:rPr>
          <w:i/>
        </w:rPr>
        <w:t>civ.</w:t>
      </w:r>
      <w:r w:rsidR="002E2E9A" w:rsidRPr="00412845">
        <w:t>,</w:t>
      </w:r>
      <w:proofErr w:type="gramEnd"/>
      <w:r w:rsidR="002E2E9A" w:rsidRPr="00412845">
        <w:t xml:space="preserve"> </w:t>
      </w:r>
      <w:r w:rsidR="00CE7211" w:rsidRPr="00412845">
        <w:t>1985</w:t>
      </w:r>
      <w:r w:rsidR="002E2E9A" w:rsidRPr="00412845">
        <w:t xml:space="preserve">, p. </w:t>
      </w:r>
      <w:r w:rsidR="00CE7211" w:rsidRPr="00412845">
        <w:t>581</w:t>
      </w:r>
      <w:r w:rsidRPr="00412845">
        <w:t>, secondo cui è sufficiente che l’opposizione sia notificata entro il termine previsto per il deposito dell’atto introduttivo, sotto forma di ricorso, in cancelleria.</w:t>
      </w:r>
    </w:p>
  </w:footnote>
  <w:footnote w:id="21">
    <w:p w:rsidR="00C80408" w:rsidRPr="009B4963" w:rsidRDefault="00C80408" w:rsidP="003712DA">
      <w:pPr>
        <w:pStyle w:val="Testonotaapidipagina"/>
        <w:jc w:val="both"/>
      </w:pPr>
      <w:r>
        <w:rPr>
          <w:rStyle w:val="Rimandonotaapidipagina"/>
        </w:rPr>
        <w:footnoteRef/>
      </w:r>
      <w:r>
        <w:t xml:space="preserve"> </w:t>
      </w:r>
      <w:r w:rsidR="00C60208">
        <w:t xml:space="preserve">Nel </w:t>
      </w:r>
      <w:r w:rsidR="00C60208" w:rsidRPr="009B4963">
        <w:t xml:space="preserve">senso indicato nel testo v., sia pure </w:t>
      </w:r>
      <w:r w:rsidR="00C60208" w:rsidRPr="009B4963">
        <w:rPr>
          <w:i/>
        </w:rPr>
        <w:t>obiter</w:t>
      </w:r>
      <w:r w:rsidR="00C60208" w:rsidRPr="009B4963">
        <w:t xml:space="preserve">, </w:t>
      </w:r>
      <w:proofErr w:type="gramStart"/>
      <w:r w:rsidR="00452B58" w:rsidRPr="009B4963">
        <w:t>Cass.,</w:t>
      </w:r>
      <w:proofErr w:type="gramEnd"/>
      <w:r w:rsidR="00452B58" w:rsidRPr="009B4963">
        <w:t xml:space="preserve"> 14 aprile 2011, n. 8491 cit. In precedenza </w:t>
      </w:r>
      <w:r w:rsidR="00C60208" w:rsidRPr="009B4963">
        <w:t>la tesi era stata fatta propria da</w:t>
      </w:r>
      <w:r w:rsidR="00452B58" w:rsidRPr="009B4963">
        <w:t xml:space="preserve"> </w:t>
      </w:r>
      <w:proofErr w:type="gramStart"/>
      <w:r w:rsidRPr="009B4963">
        <w:t>Cass.,</w:t>
      </w:r>
      <w:proofErr w:type="gramEnd"/>
      <w:r w:rsidRPr="009B4963">
        <w:t xml:space="preserve"> 28 maggio 2008, n. 14007</w:t>
      </w:r>
      <w:r w:rsidR="002E2E9A" w:rsidRPr="009B4963">
        <w:t>, in</w:t>
      </w:r>
      <w:r w:rsidR="002E2E9A" w:rsidRPr="009B4963">
        <w:rPr>
          <w:i/>
        </w:rPr>
        <w:t xml:space="preserve"> Giust. </w:t>
      </w:r>
      <w:proofErr w:type="gramStart"/>
      <w:r w:rsidR="002E2E9A" w:rsidRPr="009B4963">
        <w:rPr>
          <w:i/>
        </w:rPr>
        <w:t>civ.</w:t>
      </w:r>
      <w:r w:rsidR="002E2E9A" w:rsidRPr="009B4963">
        <w:t>,</w:t>
      </w:r>
      <w:proofErr w:type="gramEnd"/>
      <w:r w:rsidR="002E2E9A" w:rsidRPr="009B4963">
        <w:t xml:space="preserve"> </w:t>
      </w:r>
      <w:r w:rsidR="00412845" w:rsidRPr="009B4963">
        <w:t>2010</w:t>
      </w:r>
      <w:r w:rsidR="002E2E9A" w:rsidRPr="009B4963">
        <w:t>,</w:t>
      </w:r>
      <w:r w:rsidR="00412845" w:rsidRPr="009B4963">
        <w:t xml:space="preserve"> I,</w:t>
      </w:r>
      <w:r w:rsidR="002E2E9A" w:rsidRPr="009B4963">
        <w:t xml:space="preserve"> p. </w:t>
      </w:r>
      <w:r w:rsidR="00412845" w:rsidRPr="009B4963">
        <w:t>2295</w:t>
      </w:r>
      <w:r w:rsidRPr="009B4963">
        <w:t>; Cass., 11 aprile 2006, n. 8440</w:t>
      </w:r>
      <w:r w:rsidR="002E2E9A" w:rsidRPr="009B4963">
        <w:t xml:space="preserve">, in </w:t>
      </w:r>
      <w:r w:rsidR="00412845" w:rsidRPr="009B4963">
        <w:rPr>
          <w:i/>
        </w:rPr>
        <w:t>Foro it.</w:t>
      </w:r>
      <w:r w:rsidR="00412845" w:rsidRPr="009B4963">
        <w:t>, 2006, I, c. 2326</w:t>
      </w:r>
      <w:r w:rsidRPr="009B4963">
        <w:t>; Cass., 30 luglio 2004, n. 14560</w:t>
      </w:r>
      <w:r w:rsidR="002E2E9A" w:rsidRPr="009B4963">
        <w:t xml:space="preserve">, in </w:t>
      </w:r>
      <w:r w:rsidR="00412845" w:rsidRPr="009B4963">
        <w:rPr>
          <w:i/>
        </w:rPr>
        <w:t>Foro it.</w:t>
      </w:r>
      <w:r w:rsidR="002E2E9A" w:rsidRPr="009B4963">
        <w:t xml:space="preserve">, </w:t>
      </w:r>
      <w:r w:rsidR="00412845" w:rsidRPr="009B4963">
        <w:t>2004</w:t>
      </w:r>
      <w:r w:rsidR="002E2E9A" w:rsidRPr="009B4963">
        <w:t>,</w:t>
      </w:r>
      <w:r w:rsidR="00412845" w:rsidRPr="009B4963">
        <w:t xml:space="preserve"> I, c</w:t>
      </w:r>
      <w:r w:rsidR="002E2E9A" w:rsidRPr="009B4963">
        <w:t xml:space="preserve">. </w:t>
      </w:r>
      <w:r w:rsidR="00412845" w:rsidRPr="009B4963">
        <w:t>3004</w:t>
      </w:r>
      <w:r w:rsidR="00C60208" w:rsidRPr="009B4963">
        <w:t>; Cass., 16 febbraio 1988, n. 1662</w:t>
      </w:r>
      <w:r w:rsidR="002E2E9A" w:rsidRPr="009B4963">
        <w:t xml:space="preserve">, in </w:t>
      </w:r>
      <w:r w:rsidR="002E2E9A" w:rsidRPr="009B4963">
        <w:rPr>
          <w:i/>
        </w:rPr>
        <w:t xml:space="preserve">Mass. Giust. </w:t>
      </w:r>
      <w:proofErr w:type="gramStart"/>
      <w:r w:rsidR="002E2E9A" w:rsidRPr="009B4963">
        <w:rPr>
          <w:i/>
        </w:rPr>
        <w:t>civ.</w:t>
      </w:r>
      <w:r w:rsidR="007105CC" w:rsidRPr="009B4963">
        <w:t>,</w:t>
      </w:r>
      <w:proofErr w:type="gramEnd"/>
      <w:r w:rsidR="007105CC" w:rsidRPr="009B4963">
        <w:t xml:space="preserve"> 1988</w:t>
      </w:r>
      <w:r w:rsidR="002E2E9A" w:rsidRPr="009B4963">
        <w:t xml:space="preserve">, p. </w:t>
      </w:r>
      <w:r w:rsidR="007105CC" w:rsidRPr="009B4963">
        <w:t>400</w:t>
      </w:r>
      <w:r w:rsidRPr="009B4963">
        <w:t>.</w:t>
      </w:r>
      <w:r w:rsidR="003712DA" w:rsidRPr="009B4963">
        <w:t xml:space="preserve"> In </w:t>
      </w:r>
      <w:r w:rsidR="00C60208" w:rsidRPr="009B4963">
        <w:t xml:space="preserve">seguito v. </w:t>
      </w:r>
      <w:proofErr w:type="gramStart"/>
      <w:r w:rsidR="003712DA" w:rsidRPr="009B4963">
        <w:t>Cass.,</w:t>
      </w:r>
      <w:proofErr w:type="gramEnd"/>
      <w:r w:rsidR="003712DA" w:rsidRPr="009B4963">
        <w:t xml:space="preserve"> 26 luglio 2013, n. 18117, in </w:t>
      </w:r>
      <w:r w:rsidR="003712DA" w:rsidRPr="009B4963">
        <w:rPr>
          <w:i/>
        </w:rPr>
        <w:t>Foro it.</w:t>
      </w:r>
      <w:r w:rsidR="003712DA" w:rsidRPr="009B4963">
        <w:t xml:space="preserve">, 2013, I, </w:t>
      </w:r>
      <w:r w:rsidR="00DE1593" w:rsidRPr="009B4963">
        <w:t xml:space="preserve">c. </w:t>
      </w:r>
      <w:r w:rsidR="003712DA" w:rsidRPr="009B4963">
        <w:t>2785</w:t>
      </w:r>
      <w:r w:rsidR="00C60208" w:rsidRPr="009B4963">
        <w:t xml:space="preserve"> che</w:t>
      </w:r>
      <w:r w:rsidR="00452B58" w:rsidRPr="009B4963">
        <w:t xml:space="preserve">, in questa materia, </w:t>
      </w:r>
      <w:r w:rsidR="00C60208" w:rsidRPr="009B4963">
        <w:t xml:space="preserve">ha ritenuto equipollenti </w:t>
      </w:r>
      <w:r w:rsidR="003712DA" w:rsidRPr="009B4963">
        <w:t xml:space="preserve">citazione e ricorso </w:t>
      </w:r>
      <w:r w:rsidR="00C60208" w:rsidRPr="009B4963">
        <w:t>perfino</w:t>
      </w:r>
      <w:r w:rsidR="003712DA" w:rsidRPr="009B4963">
        <w:t xml:space="preserve"> per l’introduzione del giudizio d’appello.</w:t>
      </w:r>
    </w:p>
  </w:footnote>
  <w:footnote w:id="22">
    <w:p w:rsidR="004B3FD0" w:rsidRPr="009B4963" w:rsidRDefault="004B3FD0" w:rsidP="004B3FD0">
      <w:pPr>
        <w:pStyle w:val="Testonotaapidipagina"/>
        <w:jc w:val="both"/>
      </w:pPr>
      <w:r w:rsidRPr="009B4963">
        <w:rPr>
          <w:rStyle w:val="Rimandonotaapidipagina"/>
        </w:rPr>
        <w:footnoteRef/>
      </w:r>
      <w:r w:rsidRPr="009B4963">
        <w:t xml:space="preserve"> </w:t>
      </w:r>
      <w:proofErr w:type="gramStart"/>
      <w:r w:rsidRPr="009B4963">
        <w:t>Cass.,</w:t>
      </w:r>
      <w:proofErr w:type="gramEnd"/>
      <w:r w:rsidRPr="009B4963">
        <w:t xml:space="preserve"> 23 settembre 2013, n. 21675</w:t>
      </w:r>
      <w:r w:rsidR="002E2E9A" w:rsidRPr="009B4963">
        <w:t xml:space="preserve"> </w:t>
      </w:r>
      <w:r w:rsidR="009B4963" w:rsidRPr="009B4963">
        <w:t>cit.</w:t>
      </w:r>
      <w:r w:rsidRPr="009B4963">
        <w:t xml:space="preserve"> e Cass., 8 ottobre 2013, n. 22848</w:t>
      </w:r>
      <w:r w:rsidR="009B4963" w:rsidRPr="009B4963">
        <w:t xml:space="preserve"> cit</w:t>
      </w:r>
      <w:r w:rsidRPr="009B4963">
        <w:t>.</w:t>
      </w:r>
    </w:p>
  </w:footnote>
  <w:footnote w:id="23">
    <w:p w:rsidR="00052E77" w:rsidRPr="009B4963" w:rsidRDefault="00052E77" w:rsidP="00441BE9">
      <w:pPr>
        <w:pStyle w:val="Testonotaapidipagina"/>
        <w:jc w:val="both"/>
      </w:pPr>
      <w:r w:rsidRPr="009B4963">
        <w:rPr>
          <w:rStyle w:val="Rimandonotaapidipagina"/>
        </w:rPr>
        <w:footnoteRef/>
      </w:r>
      <w:r w:rsidRPr="009B4963">
        <w:t xml:space="preserve"> </w:t>
      </w:r>
      <w:proofErr w:type="gramStart"/>
      <w:r w:rsidR="00196678" w:rsidRPr="009B4963">
        <w:t>Cass.,</w:t>
      </w:r>
      <w:proofErr w:type="gramEnd"/>
      <w:r w:rsidR="00196678" w:rsidRPr="009B4963">
        <w:t xml:space="preserve"> 14</w:t>
      </w:r>
      <w:r w:rsidR="00211EA2" w:rsidRPr="009B4963">
        <w:t xml:space="preserve"> aprile </w:t>
      </w:r>
      <w:r w:rsidR="00196678" w:rsidRPr="009B4963">
        <w:t>2011, n. 8491 cit.</w:t>
      </w:r>
    </w:p>
  </w:footnote>
  <w:footnote w:id="24">
    <w:p w:rsidR="008A4A1A" w:rsidRPr="009B4963" w:rsidRDefault="008A4A1A" w:rsidP="00441BE9">
      <w:pPr>
        <w:pStyle w:val="Testonotaapidipagina"/>
        <w:jc w:val="both"/>
      </w:pPr>
      <w:r w:rsidRPr="009B4963">
        <w:rPr>
          <w:rStyle w:val="Rimandonotaapidipagina"/>
        </w:rPr>
        <w:footnoteRef/>
      </w:r>
      <w:r w:rsidRPr="009B4963">
        <w:t xml:space="preserve"> </w:t>
      </w:r>
      <w:r w:rsidR="00196678" w:rsidRPr="009B4963">
        <w:t xml:space="preserve">V. sopra, </w:t>
      </w:r>
      <w:r w:rsidR="00AA7845" w:rsidRPr="009B4963">
        <w:t>paragrafo 2.</w:t>
      </w:r>
    </w:p>
  </w:footnote>
  <w:footnote w:id="25">
    <w:p w:rsidR="00DB1B4C" w:rsidRDefault="00DB1B4C" w:rsidP="00441BE9">
      <w:pPr>
        <w:pStyle w:val="Testonotaapidipagina"/>
        <w:jc w:val="both"/>
      </w:pPr>
      <w:r w:rsidRPr="00196678">
        <w:rPr>
          <w:rStyle w:val="Rimandonotaapidipagina"/>
        </w:rPr>
        <w:footnoteRef/>
      </w:r>
      <w:r w:rsidRPr="00196678">
        <w:t xml:space="preserve"> </w:t>
      </w:r>
      <w:r w:rsidRPr="00AA7845">
        <w:rPr>
          <w:smallCaps/>
        </w:rPr>
        <w:t>Balena</w:t>
      </w:r>
      <w:r w:rsidRPr="00196678">
        <w:t>,</w:t>
      </w:r>
      <w:r w:rsidR="006D2FE4" w:rsidRPr="00196678">
        <w:t xml:space="preserve"> </w:t>
      </w:r>
      <w:r w:rsidR="006D2FE4" w:rsidRPr="00196678">
        <w:rPr>
          <w:i/>
        </w:rPr>
        <w:t>op. cit.</w:t>
      </w:r>
      <w:r w:rsidR="006D2FE4" w:rsidRPr="00196678">
        <w:t>,</w:t>
      </w:r>
      <w:r w:rsidRPr="00196678">
        <w:t xml:space="preserve"> </w:t>
      </w:r>
      <w:r w:rsidR="00EC1E4D">
        <w:t xml:space="preserve">p. </w:t>
      </w:r>
      <w:r w:rsidR="002F28F4" w:rsidRPr="00196678">
        <w:t>664</w:t>
      </w:r>
      <w:r w:rsidR="00196678" w:rsidRPr="00196678">
        <w:t>.</w:t>
      </w:r>
    </w:p>
  </w:footnote>
  <w:footnote w:id="26">
    <w:p w:rsidR="00AA7845" w:rsidRPr="00AA7845" w:rsidRDefault="00AA7845" w:rsidP="00441BE9">
      <w:pPr>
        <w:pStyle w:val="Testonotaapidipagina"/>
        <w:jc w:val="both"/>
      </w:pPr>
      <w:r>
        <w:rPr>
          <w:rStyle w:val="Rimandonotaapidipagina"/>
        </w:rPr>
        <w:footnoteRef/>
      </w:r>
      <w:r>
        <w:t xml:space="preserve"> Sul punto vedi anche </w:t>
      </w:r>
      <w:r w:rsidRPr="00441BE9">
        <w:rPr>
          <w:smallCaps/>
        </w:rPr>
        <w:t>Balena</w:t>
      </w:r>
      <w:r>
        <w:t xml:space="preserve">, </w:t>
      </w:r>
      <w:r>
        <w:rPr>
          <w:i/>
        </w:rPr>
        <w:t>op. cit.</w:t>
      </w:r>
      <w:r>
        <w:t xml:space="preserve">, </w:t>
      </w:r>
      <w:r w:rsidR="00EC1E4D">
        <w:t>p</w:t>
      </w:r>
      <w:r w:rsidR="00DA6247">
        <w:t>p</w:t>
      </w:r>
      <w:r w:rsidR="00EC1E4D">
        <w:t xml:space="preserve">. </w:t>
      </w:r>
      <w:r>
        <w:t xml:space="preserve">652 s. il quale, prima dell’emanazione del </w:t>
      </w:r>
      <w:r w:rsidR="008664D9" w:rsidRPr="008664D9">
        <w:t>d.lgs. n. 150 del 2011</w:t>
      </w:r>
      <w:r w:rsidR="00441BE9">
        <w:t>,</w:t>
      </w:r>
      <w:r>
        <w:t xml:space="preserve"> sottolineava l’esistenza di analoghe disparità </w:t>
      </w:r>
      <w:r w:rsidR="00441BE9">
        <w:t>tra il</w:t>
      </w:r>
      <w:r>
        <w:t xml:space="preserve"> trattamento </w:t>
      </w:r>
      <w:r w:rsidR="00441BE9">
        <w:t xml:space="preserve">dell’errore nella scelta della forma dell’atto introduttivo del processo e la disciplina del difetto di </w:t>
      </w:r>
      <w:r>
        <w:t xml:space="preserve">giurisdizione e conseguente </w:t>
      </w:r>
      <w:proofErr w:type="spellStart"/>
      <w:r>
        <w:rPr>
          <w:i/>
        </w:rPr>
        <w:t>translatio</w:t>
      </w:r>
      <w:proofErr w:type="spellEnd"/>
      <w:r>
        <w:rPr>
          <w:i/>
        </w:rPr>
        <w:t xml:space="preserve"> </w:t>
      </w:r>
      <w:proofErr w:type="spellStart"/>
      <w:r>
        <w:rPr>
          <w:i/>
        </w:rPr>
        <w:t>iudicii</w:t>
      </w:r>
      <w:proofErr w:type="spellEnd"/>
      <w:r w:rsidR="00441BE9">
        <w:t xml:space="preserve"> contenuta nell’art. 59 della l. 18</w:t>
      </w:r>
      <w:r w:rsidR="00211EA2">
        <w:t xml:space="preserve"> giugno </w:t>
      </w:r>
      <w:r w:rsidR="00441BE9">
        <w:t>2009, n. 69 e nell’art. 11 del codice del processo amministrativo (d.lgs. 2</w:t>
      </w:r>
      <w:r w:rsidR="00211EA2">
        <w:t xml:space="preserve"> luglio </w:t>
      </w:r>
      <w:r w:rsidR="00441BE9">
        <w:t>2010, n. 104).</w:t>
      </w:r>
    </w:p>
  </w:footnote>
  <w:footnote w:id="27">
    <w:p w:rsidR="003C6923" w:rsidRPr="003C6923" w:rsidRDefault="003C6923" w:rsidP="00441BE9">
      <w:pPr>
        <w:pStyle w:val="Testonotaapidipagina"/>
        <w:jc w:val="both"/>
        <w:rPr>
          <w:i/>
        </w:rPr>
      </w:pPr>
      <w:r>
        <w:rPr>
          <w:rStyle w:val="Rimandonotaapidipagina"/>
        </w:rPr>
        <w:footnoteRef/>
      </w:r>
      <w:r>
        <w:t xml:space="preserve"> Trib. Modena, 22</w:t>
      </w:r>
      <w:r w:rsidR="00211EA2">
        <w:t xml:space="preserve"> maggio </w:t>
      </w:r>
      <w:r>
        <w:t xml:space="preserve">2010, in </w:t>
      </w:r>
      <w:r>
        <w:rPr>
          <w:i/>
        </w:rPr>
        <w:t>www.giurisprudenzamodenese.it</w:t>
      </w:r>
    </w:p>
  </w:footnote>
  <w:footnote w:id="28">
    <w:p w:rsidR="0062457F" w:rsidRDefault="0062457F" w:rsidP="0062457F">
      <w:pPr>
        <w:pStyle w:val="Testonotaapidipagina"/>
        <w:jc w:val="both"/>
      </w:pPr>
      <w:r>
        <w:rPr>
          <w:rStyle w:val="Rimandonotaapidipagina"/>
        </w:rPr>
        <w:footnoteRef/>
      </w:r>
      <w:r>
        <w:t xml:space="preserve"> L’assenza di una prima fase “neutra” non elide in ogni caso la possibilità che sorgano significative incertezze in ordine alla forma da impiegare per l’atto introduttivo del giudizio d’appello: esemplari al riguardo sono i casi affrontati dalla giurisprudenza in tema di appello nei procedimenti di divorzio su cui ci siamo soffermati </w:t>
      </w:r>
      <w:r w:rsidR="00F2121E" w:rsidRPr="00F2121E">
        <w:rPr>
          <w:i/>
        </w:rPr>
        <w:t>retro</w:t>
      </w:r>
      <w:r>
        <w:t>, alla nota 7.</w:t>
      </w:r>
    </w:p>
  </w:footnote>
  <w:footnote w:id="29">
    <w:p w:rsidR="00366C97" w:rsidRPr="002A530A" w:rsidRDefault="00366C97" w:rsidP="00441BE9">
      <w:pPr>
        <w:pStyle w:val="Testonotaapidipagina"/>
        <w:jc w:val="both"/>
        <w:rPr>
          <w:highlight w:val="yellow"/>
        </w:rPr>
      </w:pPr>
      <w:r w:rsidRPr="00D357BA">
        <w:rPr>
          <w:rStyle w:val="Rimandonotaapidipagina"/>
        </w:rPr>
        <w:footnoteRef/>
      </w:r>
      <w:r w:rsidRPr="00D357BA">
        <w:t xml:space="preserve"> </w:t>
      </w:r>
      <w:proofErr w:type="spellStart"/>
      <w:r w:rsidR="002A530A" w:rsidRPr="00D357BA">
        <w:rPr>
          <w:smallCaps/>
        </w:rPr>
        <w:t>Furno</w:t>
      </w:r>
      <w:proofErr w:type="spellEnd"/>
      <w:r w:rsidR="002A530A" w:rsidRPr="00D357BA">
        <w:t>,</w:t>
      </w:r>
      <w:r w:rsidR="00D357BA" w:rsidRPr="00D357BA">
        <w:t xml:space="preserve"> </w:t>
      </w:r>
      <w:r w:rsidR="00D357BA" w:rsidRPr="00D357BA">
        <w:rPr>
          <w:i/>
        </w:rPr>
        <w:t>Nullità e rinnovazione degli atti processuali</w:t>
      </w:r>
      <w:r w:rsidR="00D357BA" w:rsidRPr="00D357BA">
        <w:t xml:space="preserve">, in </w:t>
      </w:r>
      <w:r w:rsidR="00D357BA" w:rsidRPr="00D357BA">
        <w:rPr>
          <w:i/>
        </w:rPr>
        <w:t>Studi in onore di Redenti</w:t>
      </w:r>
      <w:r w:rsidR="00D357BA" w:rsidRPr="00D357BA">
        <w:t xml:space="preserve">, Milano, 1951, </w:t>
      </w:r>
      <w:r w:rsidR="00DA6247">
        <w:t>p</w:t>
      </w:r>
      <w:r w:rsidR="00EC1E4D">
        <w:t>p.</w:t>
      </w:r>
      <w:r w:rsidR="002A530A" w:rsidRPr="00D357BA">
        <w:t xml:space="preserve"> 427 s.; </w:t>
      </w:r>
      <w:r w:rsidR="00D357BA" w:rsidRPr="00D357BA">
        <w:rPr>
          <w:smallCaps/>
        </w:rPr>
        <w:t>Denti</w:t>
      </w:r>
      <w:r w:rsidR="00D357BA" w:rsidRPr="00D357BA">
        <w:t xml:space="preserve">, voce “Nullità degli atti processuali civili”, in </w:t>
      </w:r>
      <w:proofErr w:type="spellStart"/>
      <w:r w:rsidR="00D357BA" w:rsidRPr="00D357BA">
        <w:rPr>
          <w:i/>
        </w:rPr>
        <w:t>Noviss</w:t>
      </w:r>
      <w:proofErr w:type="spellEnd"/>
      <w:r w:rsidR="00D357BA" w:rsidRPr="00D357BA">
        <w:rPr>
          <w:i/>
        </w:rPr>
        <w:t xml:space="preserve">. </w:t>
      </w:r>
      <w:proofErr w:type="spellStart"/>
      <w:proofErr w:type="gramStart"/>
      <w:r w:rsidR="00D357BA" w:rsidRPr="00D357BA">
        <w:rPr>
          <w:i/>
        </w:rPr>
        <w:t>dig</w:t>
      </w:r>
      <w:proofErr w:type="spellEnd"/>
      <w:proofErr w:type="gramEnd"/>
      <w:r w:rsidR="00D357BA" w:rsidRPr="00D357BA">
        <w:rPr>
          <w:i/>
        </w:rPr>
        <w:t xml:space="preserve">. </w:t>
      </w:r>
      <w:proofErr w:type="gramStart"/>
      <w:r w:rsidR="00D357BA" w:rsidRPr="00D357BA">
        <w:rPr>
          <w:i/>
        </w:rPr>
        <w:t>it.</w:t>
      </w:r>
      <w:r w:rsidR="00D357BA" w:rsidRPr="00D357BA">
        <w:t>,</w:t>
      </w:r>
      <w:proofErr w:type="gramEnd"/>
      <w:r w:rsidR="00D357BA" w:rsidRPr="00D357BA">
        <w:t xml:space="preserve"> XI, Torino, 1965, </w:t>
      </w:r>
      <w:r w:rsidR="00EC1E4D">
        <w:t xml:space="preserve">p. </w:t>
      </w:r>
      <w:r w:rsidR="00D357BA" w:rsidRPr="00D357BA">
        <w:t xml:space="preserve">481; </w:t>
      </w:r>
      <w:r w:rsidR="00D357BA" w:rsidRPr="00D357BA">
        <w:rPr>
          <w:smallCaps/>
        </w:rPr>
        <w:t>Andrioli</w:t>
      </w:r>
      <w:r w:rsidR="00D357BA" w:rsidRPr="00D357BA">
        <w:t xml:space="preserve">, </w:t>
      </w:r>
      <w:r w:rsidR="00D357BA" w:rsidRPr="00D357BA">
        <w:rPr>
          <w:i/>
        </w:rPr>
        <w:t>Diritto processuale civile</w:t>
      </w:r>
      <w:r w:rsidR="00D357BA" w:rsidRPr="00D357BA">
        <w:t>, I, Napoli, 1979,</w:t>
      </w:r>
      <w:r w:rsidR="00EC1E4D">
        <w:t xml:space="preserve"> p.</w:t>
      </w:r>
      <w:r w:rsidR="00D357BA" w:rsidRPr="00D357BA">
        <w:t xml:space="preserve"> 547; </w:t>
      </w:r>
      <w:proofErr w:type="spellStart"/>
      <w:r w:rsidR="002A530A" w:rsidRPr="00D357BA">
        <w:rPr>
          <w:smallCaps/>
        </w:rPr>
        <w:t>Salvaneschi</w:t>
      </w:r>
      <w:proofErr w:type="spellEnd"/>
      <w:r w:rsidR="002A530A" w:rsidRPr="00D357BA">
        <w:t xml:space="preserve">, </w:t>
      </w:r>
      <w:r w:rsidR="00EB3F75">
        <w:rPr>
          <w:i/>
        </w:rPr>
        <w:t>op. cit.</w:t>
      </w:r>
      <w:r w:rsidR="00D357BA" w:rsidRPr="00D357BA">
        <w:t xml:space="preserve">, </w:t>
      </w:r>
      <w:r w:rsidR="00DA6247">
        <w:t>p</w:t>
      </w:r>
      <w:r w:rsidR="00EC1E4D">
        <w:t xml:space="preserve">p. </w:t>
      </w:r>
      <w:r w:rsidR="002A530A" w:rsidRPr="00D357BA">
        <w:t xml:space="preserve">121 ss.; </w:t>
      </w:r>
      <w:r w:rsidR="002A530A" w:rsidRPr="00D357BA">
        <w:rPr>
          <w:smallCaps/>
        </w:rPr>
        <w:t>Oriani</w:t>
      </w:r>
      <w:r w:rsidR="002A530A" w:rsidRPr="00D357BA">
        <w:t xml:space="preserve">, voce “Nullità degli atti processuali (dir. </w:t>
      </w:r>
      <w:proofErr w:type="gramStart"/>
      <w:r w:rsidR="002A530A" w:rsidRPr="00D357BA">
        <w:t>proc</w:t>
      </w:r>
      <w:proofErr w:type="gramEnd"/>
      <w:r w:rsidR="002A530A" w:rsidRPr="00D357BA">
        <w:t xml:space="preserve">. civ.)”, in </w:t>
      </w:r>
      <w:proofErr w:type="spellStart"/>
      <w:r w:rsidR="002A530A" w:rsidRPr="00D357BA">
        <w:rPr>
          <w:i/>
        </w:rPr>
        <w:t>Enc</w:t>
      </w:r>
      <w:proofErr w:type="spellEnd"/>
      <w:r w:rsidR="002A530A" w:rsidRPr="00D357BA">
        <w:rPr>
          <w:i/>
        </w:rPr>
        <w:t xml:space="preserve">. </w:t>
      </w:r>
      <w:proofErr w:type="gramStart"/>
      <w:r w:rsidR="002A530A" w:rsidRPr="00D357BA">
        <w:rPr>
          <w:i/>
        </w:rPr>
        <w:t>giur</w:t>
      </w:r>
      <w:proofErr w:type="gramEnd"/>
      <w:r w:rsidR="002A530A" w:rsidRPr="00D357BA">
        <w:rPr>
          <w:i/>
        </w:rPr>
        <w:t>.</w:t>
      </w:r>
      <w:r w:rsidR="00E63F71">
        <w:rPr>
          <w:i/>
        </w:rPr>
        <w:t xml:space="preserve"> Treccani</w:t>
      </w:r>
      <w:r w:rsidR="002A530A" w:rsidRPr="00D357BA">
        <w:t xml:space="preserve">, XXI, Roma, 1990, </w:t>
      </w:r>
      <w:r w:rsidR="00EC1E4D">
        <w:t>p</w:t>
      </w:r>
      <w:r w:rsidR="00DA6247">
        <w:t>p</w:t>
      </w:r>
      <w:r w:rsidR="00EC1E4D">
        <w:t xml:space="preserve">. </w:t>
      </w:r>
      <w:r w:rsidR="002A530A" w:rsidRPr="00D357BA">
        <w:t>14 s.</w:t>
      </w:r>
      <w:r w:rsidR="00B777BF">
        <w:t>;</w:t>
      </w:r>
      <w:r w:rsidR="00550DC1">
        <w:t xml:space="preserve"> </w:t>
      </w:r>
      <w:r w:rsidR="00550DC1" w:rsidRPr="00550DC1">
        <w:rPr>
          <w:smallCaps/>
        </w:rPr>
        <w:t>Auletta</w:t>
      </w:r>
      <w:r w:rsidR="00550DC1">
        <w:t xml:space="preserve">, </w:t>
      </w:r>
      <w:r w:rsidR="00550DC1" w:rsidRPr="00550DC1">
        <w:rPr>
          <w:i/>
        </w:rPr>
        <w:t>Nullità e inesistenza degli atti processuali civili</w:t>
      </w:r>
      <w:r w:rsidR="0000484D">
        <w:t xml:space="preserve">, Padova, 1999, </w:t>
      </w:r>
      <w:r w:rsidR="00EC1E4D">
        <w:t>p</w:t>
      </w:r>
      <w:r w:rsidR="00DA6247">
        <w:t>p</w:t>
      </w:r>
      <w:r w:rsidR="00EC1E4D">
        <w:t xml:space="preserve">. </w:t>
      </w:r>
      <w:r w:rsidR="0000484D">
        <w:t>186 s.</w:t>
      </w:r>
      <w:r w:rsidR="00550DC1">
        <w:t>;</w:t>
      </w:r>
      <w:r w:rsidR="00B777BF">
        <w:t xml:space="preserve"> </w:t>
      </w:r>
      <w:r w:rsidR="00B777BF" w:rsidRPr="0018001B">
        <w:rPr>
          <w:smallCaps/>
        </w:rPr>
        <w:t>Marelli</w:t>
      </w:r>
      <w:r w:rsidR="00B777BF" w:rsidRPr="0018001B">
        <w:t xml:space="preserve">, </w:t>
      </w:r>
      <w:r w:rsidR="00B777BF" w:rsidRPr="0018001B">
        <w:rPr>
          <w:i/>
        </w:rPr>
        <w:t>La conservazione degli atti invalidi nel processo civile</w:t>
      </w:r>
      <w:r w:rsidR="00B777BF">
        <w:t xml:space="preserve">, Padova, 2000, </w:t>
      </w:r>
      <w:r w:rsidR="00EC1E4D">
        <w:t>p</w:t>
      </w:r>
      <w:r w:rsidR="00DA6247">
        <w:t>p</w:t>
      </w:r>
      <w:r w:rsidR="00EC1E4D">
        <w:t xml:space="preserve">. </w:t>
      </w:r>
      <w:r w:rsidR="00B777BF">
        <w:t>10</w:t>
      </w:r>
      <w:r w:rsidR="00B777BF" w:rsidRPr="0018001B">
        <w:t>2 ss.</w:t>
      </w:r>
      <w:r w:rsidR="00B777BF">
        <w:t xml:space="preserve">; </w:t>
      </w:r>
      <w:r w:rsidR="00B777BF" w:rsidRPr="0018001B">
        <w:rPr>
          <w:smallCaps/>
        </w:rPr>
        <w:t>Poli</w:t>
      </w:r>
      <w:r w:rsidR="00B777BF" w:rsidRPr="0018001B">
        <w:t xml:space="preserve">, </w:t>
      </w:r>
      <w:r w:rsidR="00B777BF" w:rsidRPr="0018001B">
        <w:rPr>
          <w:i/>
        </w:rPr>
        <w:t>Invalidità ed equipollenza degli atti processuali</w:t>
      </w:r>
      <w:r w:rsidR="00B777BF" w:rsidRPr="0018001B">
        <w:t xml:space="preserve">, Torino, 2012, </w:t>
      </w:r>
      <w:r w:rsidR="00DA6247">
        <w:t>p</w:t>
      </w:r>
      <w:r w:rsidR="00EC1E4D">
        <w:t xml:space="preserve">p. </w:t>
      </w:r>
      <w:r w:rsidR="00B777BF" w:rsidRPr="0018001B">
        <w:t>5</w:t>
      </w:r>
      <w:r w:rsidR="00B777BF">
        <w:t>25</w:t>
      </w:r>
      <w:r w:rsidR="00B777BF" w:rsidRPr="0018001B">
        <w:t xml:space="preserve"> ss.</w:t>
      </w:r>
    </w:p>
  </w:footnote>
  <w:footnote w:id="30">
    <w:p w:rsidR="00BD63AA" w:rsidRPr="00C65427" w:rsidRDefault="00BD63AA" w:rsidP="00441BE9">
      <w:pPr>
        <w:pStyle w:val="Testonotaapidipagina"/>
        <w:jc w:val="both"/>
        <w:rPr>
          <w:highlight w:val="yellow"/>
        </w:rPr>
      </w:pPr>
      <w:r w:rsidRPr="00982D5D">
        <w:rPr>
          <w:rStyle w:val="Rimandonotaapidipagina"/>
        </w:rPr>
        <w:footnoteRef/>
      </w:r>
      <w:r w:rsidR="00B777BF" w:rsidRPr="00982D5D">
        <w:t xml:space="preserve"> Richiama ad esempio tanto l’art. 156, comma 3°</w:t>
      </w:r>
      <w:r w:rsidR="00AE3F2D" w:rsidRPr="00982D5D">
        <w:t xml:space="preserve"> quanto l’art. 159, comma 3°, c.p.c.</w:t>
      </w:r>
      <w:r w:rsidRPr="00982D5D">
        <w:t xml:space="preserve"> </w:t>
      </w:r>
      <w:proofErr w:type="gramStart"/>
      <w:r w:rsidR="00B777BF" w:rsidRPr="00982D5D">
        <w:t>Cass.,</w:t>
      </w:r>
      <w:proofErr w:type="gramEnd"/>
      <w:r w:rsidR="00B777BF" w:rsidRPr="00982D5D">
        <w:t xml:space="preserve"> 7</w:t>
      </w:r>
      <w:r w:rsidR="00211EA2">
        <w:t xml:space="preserve"> marzo </w:t>
      </w:r>
      <w:r w:rsidR="00B777BF" w:rsidRPr="00982D5D">
        <w:t>2008, n. 6196</w:t>
      </w:r>
      <w:r w:rsidR="002E2E9A">
        <w:t xml:space="preserve"> cit</w:t>
      </w:r>
      <w:r w:rsidR="00B777BF" w:rsidRPr="00982D5D">
        <w:t>.</w:t>
      </w:r>
      <w:r w:rsidR="00AE3F2D" w:rsidRPr="00982D5D">
        <w:t xml:space="preserve"> </w:t>
      </w:r>
      <w:r w:rsidR="00982D5D" w:rsidRPr="00982D5D">
        <w:t>Menziona</w:t>
      </w:r>
      <w:r w:rsidR="00A266D4" w:rsidRPr="00982D5D">
        <w:t xml:space="preserve"> il solo art. 159 c.p.c. Cass., 6</w:t>
      </w:r>
      <w:r w:rsidR="00211EA2">
        <w:t xml:space="preserve"> giugno </w:t>
      </w:r>
      <w:r w:rsidR="00A266D4" w:rsidRPr="00982D5D">
        <w:t>1988, n. 3828</w:t>
      </w:r>
      <w:r w:rsidR="00567A72">
        <w:t xml:space="preserve">, in </w:t>
      </w:r>
      <w:r w:rsidR="00567A72">
        <w:rPr>
          <w:i/>
        </w:rPr>
        <w:t xml:space="preserve">Mass. Giust. </w:t>
      </w:r>
      <w:proofErr w:type="gramStart"/>
      <w:r w:rsidR="00567A72">
        <w:rPr>
          <w:i/>
        </w:rPr>
        <w:t>civ.</w:t>
      </w:r>
      <w:r w:rsidR="007105CC">
        <w:t>,</w:t>
      </w:r>
      <w:proofErr w:type="gramEnd"/>
      <w:r w:rsidR="007105CC">
        <w:t xml:space="preserve"> 1988</w:t>
      </w:r>
      <w:r w:rsidR="00567A72">
        <w:t xml:space="preserve">, p. </w:t>
      </w:r>
      <w:r w:rsidR="007105CC">
        <w:t>916</w:t>
      </w:r>
      <w:r w:rsidR="00567A72">
        <w:t>.</w:t>
      </w:r>
      <w:r w:rsidR="00A266D4" w:rsidRPr="00982D5D">
        <w:t xml:space="preserve"> </w:t>
      </w:r>
      <w:r w:rsidR="00AE3F2D" w:rsidRPr="00982D5D">
        <w:t xml:space="preserve">Si fondano </w:t>
      </w:r>
      <w:r w:rsidR="004C7D30" w:rsidRPr="00982D5D">
        <w:t xml:space="preserve">invece </w:t>
      </w:r>
      <w:r w:rsidR="00AE3F2D" w:rsidRPr="00982D5D">
        <w:t xml:space="preserve">sul disposto del solo art. 156 c.p.c. </w:t>
      </w:r>
      <w:proofErr w:type="gramStart"/>
      <w:r w:rsidR="00AE3F2D" w:rsidRPr="00982D5D">
        <w:t>Cass.,</w:t>
      </w:r>
      <w:proofErr w:type="gramEnd"/>
      <w:r w:rsidR="00AE3F2D" w:rsidRPr="00982D5D">
        <w:t xml:space="preserve"> </w:t>
      </w:r>
      <w:r w:rsidR="004C7D30" w:rsidRPr="00982D5D">
        <w:t>8</w:t>
      </w:r>
      <w:r w:rsidR="00211EA2">
        <w:t xml:space="preserve"> ottobre </w:t>
      </w:r>
      <w:r w:rsidR="004C7D30" w:rsidRPr="00982D5D">
        <w:t>2013, n. 22848</w:t>
      </w:r>
      <w:r w:rsidR="002E2E9A">
        <w:t xml:space="preserve"> cit.</w:t>
      </w:r>
      <w:r w:rsidR="004C7D30" w:rsidRPr="00982D5D">
        <w:t xml:space="preserve">; </w:t>
      </w:r>
      <w:r w:rsidR="007424F9">
        <w:t>Cass.</w:t>
      </w:r>
      <w:r w:rsidR="004C7D30" w:rsidRPr="00982D5D">
        <w:t>, 23</w:t>
      </w:r>
      <w:r w:rsidR="00211EA2">
        <w:t xml:space="preserve"> settembre </w:t>
      </w:r>
      <w:r w:rsidR="004C7D30" w:rsidRPr="00982D5D">
        <w:t>2013, n. 21675</w:t>
      </w:r>
      <w:r w:rsidR="002E2E9A">
        <w:t xml:space="preserve"> cit.</w:t>
      </w:r>
      <w:r w:rsidR="004C7D30" w:rsidRPr="00982D5D">
        <w:t xml:space="preserve">; </w:t>
      </w:r>
      <w:r w:rsidR="007424F9">
        <w:t>Cass.</w:t>
      </w:r>
      <w:r w:rsidR="0067618F" w:rsidRPr="00982D5D">
        <w:t>, 11</w:t>
      </w:r>
      <w:r w:rsidR="00211EA2">
        <w:t xml:space="preserve"> novembre </w:t>
      </w:r>
      <w:r w:rsidR="0067618F" w:rsidRPr="00982D5D">
        <w:t>2009, n. 23907</w:t>
      </w:r>
      <w:r w:rsidR="002E2E9A">
        <w:t xml:space="preserve"> cit.</w:t>
      </w:r>
      <w:r w:rsidR="0067618F" w:rsidRPr="00982D5D">
        <w:t xml:space="preserve">; </w:t>
      </w:r>
      <w:r w:rsidR="007424F9">
        <w:t>Cass.</w:t>
      </w:r>
      <w:r w:rsidR="004C7D30" w:rsidRPr="00982D5D">
        <w:t xml:space="preserve">, </w:t>
      </w:r>
      <w:r w:rsidR="00AE3F2D" w:rsidRPr="00982D5D">
        <w:t>18</w:t>
      </w:r>
      <w:r w:rsidR="00211EA2">
        <w:t xml:space="preserve"> agosto </w:t>
      </w:r>
      <w:r w:rsidR="00AE3F2D" w:rsidRPr="00982D5D">
        <w:t>2006, n. 18201</w:t>
      </w:r>
      <w:r w:rsidR="002E2E9A">
        <w:t xml:space="preserve"> cit</w:t>
      </w:r>
      <w:r w:rsidR="004C7D30" w:rsidRPr="00982D5D">
        <w:t>.</w:t>
      </w:r>
    </w:p>
  </w:footnote>
  <w:footnote w:id="31">
    <w:p w:rsidR="00CD06CE" w:rsidRPr="009B4963" w:rsidRDefault="00CD06CE" w:rsidP="00441BE9">
      <w:pPr>
        <w:pStyle w:val="Testonotaapidipagina"/>
        <w:jc w:val="both"/>
      </w:pPr>
      <w:r w:rsidRPr="003A189A">
        <w:rPr>
          <w:rStyle w:val="Rimandonotaapidipagina"/>
        </w:rPr>
        <w:footnoteRef/>
      </w:r>
      <w:r w:rsidRPr="003A189A">
        <w:t xml:space="preserve"> </w:t>
      </w:r>
      <w:r w:rsidR="003A189A" w:rsidRPr="003A189A">
        <w:rPr>
          <w:smallCaps/>
        </w:rPr>
        <w:t>Martinetto</w:t>
      </w:r>
      <w:r w:rsidR="003A189A" w:rsidRPr="003A189A">
        <w:t xml:space="preserve">, </w:t>
      </w:r>
      <w:r w:rsidR="003A189A" w:rsidRPr="003A189A">
        <w:rPr>
          <w:i/>
        </w:rPr>
        <w:t>Della nullità degli atti</w:t>
      </w:r>
      <w:r w:rsidR="003A189A" w:rsidRPr="003A189A">
        <w:t xml:space="preserve">, in </w:t>
      </w:r>
      <w:r w:rsidR="003A189A" w:rsidRPr="003A189A">
        <w:rPr>
          <w:i/>
        </w:rPr>
        <w:t xml:space="preserve">Comm. </w:t>
      </w:r>
      <w:r w:rsidR="00F11139">
        <w:rPr>
          <w:i/>
        </w:rPr>
        <w:t>c.p.c.</w:t>
      </w:r>
      <w:r w:rsidR="003A189A" w:rsidRPr="003A189A">
        <w:t>,</w:t>
      </w:r>
      <w:r w:rsidR="00F11139">
        <w:t xml:space="preserve"> a cura di </w:t>
      </w:r>
      <w:proofErr w:type="spellStart"/>
      <w:r w:rsidR="00F11139">
        <w:t>Allorio</w:t>
      </w:r>
      <w:proofErr w:type="spellEnd"/>
      <w:r w:rsidR="00F11139">
        <w:t>,</w:t>
      </w:r>
      <w:r w:rsidR="003A189A" w:rsidRPr="003A189A">
        <w:t xml:space="preserve"> I, Torino, 1973, </w:t>
      </w:r>
      <w:r w:rsidR="00EC1E4D">
        <w:t xml:space="preserve">p. </w:t>
      </w:r>
      <w:r w:rsidR="003A189A" w:rsidRPr="003A189A">
        <w:t xml:space="preserve">1594; </w:t>
      </w:r>
      <w:r w:rsidR="003A189A" w:rsidRPr="003A189A">
        <w:rPr>
          <w:smallCaps/>
        </w:rPr>
        <w:t>Proto Pisani</w:t>
      </w:r>
      <w:r w:rsidR="003A189A" w:rsidRPr="003A189A">
        <w:t xml:space="preserve">, </w:t>
      </w:r>
      <w:r w:rsidR="003A189A" w:rsidRPr="003A189A">
        <w:rPr>
          <w:i/>
        </w:rPr>
        <w:t>Lezioni di diritto processuale civile</w:t>
      </w:r>
      <w:r w:rsidR="003A189A" w:rsidRPr="003A189A">
        <w:t xml:space="preserve">, </w:t>
      </w:r>
      <w:r w:rsidR="003A189A" w:rsidRPr="009B4963">
        <w:t xml:space="preserve">2006, </w:t>
      </w:r>
      <w:r w:rsidR="00EC1E4D" w:rsidRPr="009B4963">
        <w:t>p</w:t>
      </w:r>
      <w:r w:rsidR="00DA6247" w:rsidRPr="009B4963">
        <w:t>p</w:t>
      </w:r>
      <w:r w:rsidR="00EC1E4D" w:rsidRPr="009B4963">
        <w:t xml:space="preserve">. </w:t>
      </w:r>
      <w:r w:rsidR="003A189A" w:rsidRPr="009B4963">
        <w:t xml:space="preserve">215 s. In giurisprudenza la retroattività della sanatoria di cui all’art. 156, comma 3°, c.p.c., è affermata (principalmente in caso di vizi della notificazione) da svariate pronunce, ad es. </w:t>
      </w:r>
      <w:proofErr w:type="gramStart"/>
      <w:r w:rsidR="003A189A" w:rsidRPr="009B4963">
        <w:t>Cass.,</w:t>
      </w:r>
      <w:proofErr w:type="gramEnd"/>
      <w:r w:rsidR="003A189A" w:rsidRPr="009B4963">
        <w:t xml:space="preserve"> 30</w:t>
      </w:r>
      <w:r w:rsidR="00211EA2" w:rsidRPr="009B4963">
        <w:t xml:space="preserve"> agosto </w:t>
      </w:r>
      <w:r w:rsidR="003A189A" w:rsidRPr="009B4963">
        <w:t>2011, n. 17804</w:t>
      </w:r>
      <w:r w:rsidR="00567A72" w:rsidRPr="009B4963">
        <w:t xml:space="preserve">, in </w:t>
      </w:r>
      <w:r w:rsidR="00567A72" w:rsidRPr="009B4963">
        <w:rPr>
          <w:i/>
        </w:rPr>
        <w:t xml:space="preserve">Mass. Giust. </w:t>
      </w:r>
      <w:proofErr w:type="gramStart"/>
      <w:r w:rsidR="00567A72" w:rsidRPr="009B4963">
        <w:rPr>
          <w:i/>
        </w:rPr>
        <w:t>civ.</w:t>
      </w:r>
      <w:r w:rsidR="00567A72" w:rsidRPr="009B4963">
        <w:t>,</w:t>
      </w:r>
      <w:proofErr w:type="gramEnd"/>
      <w:r w:rsidR="00567A72" w:rsidRPr="009B4963">
        <w:t xml:space="preserve"> </w:t>
      </w:r>
      <w:r w:rsidR="009B4963" w:rsidRPr="009B4963">
        <w:t>2011</w:t>
      </w:r>
      <w:r w:rsidR="00567A72" w:rsidRPr="009B4963">
        <w:t xml:space="preserve">, p. </w:t>
      </w:r>
      <w:r w:rsidR="009B4963" w:rsidRPr="009B4963">
        <w:t>1189</w:t>
      </w:r>
      <w:r w:rsidR="003A189A" w:rsidRPr="009B4963">
        <w:t xml:space="preserve">; </w:t>
      </w:r>
      <w:r w:rsidR="007424F9" w:rsidRPr="009B4963">
        <w:t>Cass.</w:t>
      </w:r>
      <w:r w:rsidR="003A189A" w:rsidRPr="009B4963">
        <w:t>, 21</w:t>
      </w:r>
      <w:r w:rsidR="00211EA2" w:rsidRPr="009B4963">
        <w:t xml:space="preserve"> marzo </w:t>
      </w:r>
      <w:r w:rsidR="003A189A" w:rsidRPr="009B4963">
        <w:t>2011, n. 6470</w:t>
      </w:r>
      <w:r w:rsidR="00567A72" w:rsidRPr="009B4963">
        <w:t xml:space="preserve">, in </w:t>
      </w:r>
      <w:r w:rsidR="00567A72" w:rsidRPr="009B4963">
        <w:rPr>
          <w:i/>
        </w:rPr>
        <w:t xml:space="preserve">Mass. Giust. </w:t>
      </w:r>
      <w:proofErr w:type="gramStart"/>
      <w:r w:rsidR="00567A72" w:rsidRPr="009B4963">
        <w:rPr>
          <w:i/>
        </w:rPr>
        <w:t>civ.</w:t>
      </w:r>
      <w:r w:rsidR="00567A72" w:rsidRPr="009B4963">
        <w:t>,</w:t>
      </w:r>
      <w:proofErr w:type="gramEnd"/>
      <w:r w:rsidR="00567A72" w:rsidRPr="009B4963">
        <w:t xml:space="preserve"> </w:t>
      </w:r>
      <w:r w:rsidR="009B4963" w:rsidRPr="009B4963">
        <w:t>2011</w:t>
      </w:r>
      <w:r w:rsidR="00567A72" w:rsidRPr="009B4963">
        <w:t xml:space="preserve">, p. </w:t>
      </w:r>
      <w:r w:rsidR="009B4963" w:rsidRPr="009B4963">
        <w:t>436</w:t>
      </w:r>
      <w:r w:rsidR="003A189A" w:rsidRPr="009B4963">
        <w:t xml:space="preserve">; </w:t>
      </w:r>
      <w:r w:rsidR="007424F9" w:rsidRPr="009B4963">
        <w:t>Cass.</w:t>
      </w:r>
      <w:r w:rsidR="003A189A" w:rsidRPr="009B4963">
        <w:t>, 25</w:t>
      </w:r>
      <w:r w:rsidR="00211EA2" w:rsidRPr="009B4963">
        <w:t xml:space="preserve"> settembre </w:t>
      </w:r>
      <w:r w:rsidR="003A189A" w:rsidRPr="009B4963">
        <w:t>2009, n. 20666</w:t>
      </w:r>
      <w:r w:rsidR="00567A72" w:rsidRPr="009B4963">
        <w:t>, in</w:t>
      </w:r>
      <w:r w:rsidR="00567A72" w:rsidRPr="009B4963">
        <w:rPr>
          <w:i/>
        </w:rPr>
        <w:t xml:space="preserve"> G</w:t>
      </w:r>
      <w:r w:rsidR="009B4963" w:rsidRPr="009B4963">
        <w:rPr>
          <w:i/>
        </w:rPr>
        <w:t>uida dir.</w:t>
      </w:r>
      <w:r w:rsidR="00567A72" w:rsidRPr="009B4963">
        <w:t xml:space="preserve">, </w:t>
      </w:r>
      <w:r w:rsidR="009B4963" w:rsidRPr="009B4963">
        <w:t>2010, 9,</w:t>
      </w:r>
      <w:r w:rsidR="00567A72" w:rsidRPr="009B4963">
        <w:t xml:space="preserve"> p. </w:t>
      </w:r>
      <w:r w:rsidR="009B4963" w:rsidRPr="009B4963">
        <w:t>72</w:t>
      </w:r>
      <w:r w:rsidR="003A189A" w:rsidRPr="009B4963">
        <w:t xml:space="preserve">; </w:t>
      </w:r>
      <w:r w:rsidR="007424F9" w:rsidRPr="009B4963">
        <w:t>Cass.</w:t>
      </w:r>
      <w:r w:rsidR="003A189A" w:rsidRPr="009B4963">
        <w:t>, 11</w:t>
      </w:r>
      <w:r w:rsidR="00211EA2" w:rsidRPr="009B4963">
        <w:t xml:space="preserve"> agosto </w:t>
      </w:r>
      <w:r w:rsidR="003A189A" w:rsidRPr="009B4963">
        <w:t>2004, n. 15530</w:t>
      </w:r>
      <w:r w:rsidR="00567A72" w:rsidRPr="009B4963">
        <w:t>, in</w:t>
      </w:r>
      <w:r w:rsidR="009B4963" w:rsidRPr="009B4963">
        <w:t xml:space="preserve"> </w:t>
      </w:r>
      <w:r w:rsidR="00567A72" w:rsidRPr="009B4963">
        <w:rPr>
          <w:i/>
        </w:rPr>
        <w:t xml:space="preserve">Giust. </w:t>
      </w:r>
      <w:proofErr w:type="gramStart"/>
      <w:r w:rsidR="00567A72" w:rsidRPr="009B4963">
        <w:rPr>
          <w:i/>
        </w:rPr>
        <w:t>civ.</w:t>
      </w:r>
      <w:r w:rsidR="00567A72" w:rsidRPr="009B4963">
        <w:t>,</w:t>
      </w:r>
      <w:proofErr w:type="gramEnd"/>
      <w:r w:rsidR="00567A72" w:rsidRPr="009B4963">
        <w:t xml:space="preserve"> </w:t>
      </w:r>
      <w:r w:rsidR="009B4963" w:rsidRPr="009B4963">
        <w:t>2005</w:t>
      </w:r>
      <w:r w:rsidR="00567A72" w:rsidRPr="009B4963">
        <w:t>,</w:t>
      </w:r>
      <w:r w:rsidR="009B4963" w:rsidRPr="009B4963">
        <w:t xml:space="preserve"> I,</w:t>
      </w:r>
      <w:r w:rsidR="00567A72" w:rsidRPr="009B4963">
        <w:t xml:space="preserve"> p. </w:t>
      </w:r>
      <w:r w:rsidR="009B4963" w:rsidRPr="009B4963">
        <w:t>1015</w:t>
      </w:r>
      <w:r w:rsidR="003A189A" w:rsidRPr="009B4963">
        <w:t>.</w:t>
      </w:r>
    </w:p>
  </w:footnote>
  <w:footnote w:id="32">
    <w:p w:rsidR="00E77258" w:rsidRPr="009B4963" w:rsidRDefault="00E77258" w:rsidP="00441BE9">
      <w:pPr>
        <w:pStyle w:val="Testonotaapidipagina"/>
        <w:jc w:val="both"/>
      </w:pPr>
      <w:r w:rsidRPr="009B4963">
        <w:rPr>
          <w:rStyle w:val="Rimandonotaapidipagina"/>
        </w:rPr>
        <w:footnoteRef/>
      </w:r>
      <w:r w:rsidRPr="009B4963">
        <w:t xml:space="preserve"> C</w:t>
      </w:r>
      <w:r w:rsidR="00E57FC4" w:rsidRPr="009B4963">
        <w:t xml:space="preserve">fr. </w:t>
      </w:r>
      <w:proofErr w:type="gramStart"/>
      <w:r w:rsidR="00E57FC4" w:rsidRPr="009B4963">
        <w:t>C</w:t>
      </w:r>
      <w:r w:rsidR="008859E2" w:rsidRPr="009B4963">
        <w:t>ass.,</w:t>
      </w:r>
      <w:proofErr w:type="gramEnd"/>
      <w:r w:rsidR="008859E2" w:rsidRPr="009B4963">
        <w:t xml:space="preserve"> 23</w:t>
      </w:r>
      <w:r w:rsidR="00211EA2" w:rsidRPr="009B4963">
        <w:t xml:space="preserve"> settembre </w:t>
      </w:r>
      <w:r w:rsidR="008859E2" w:rsidRPr="009B4963">
        <w:t>2013, n. 21675</w:t>
      </w:r>
      <w:r w:rsidR="00567A72" w:rsidRPr="009B4963">
        <w:t xml:space="preserve"> cit.</w:t>
      </w:r>
      <w:r w:rsidR="008859E2" w:rsidRPr="009B4963">
        <w:t xml:space="preserve"> e </w:t>
      </w:r>
      <w:r w:rsidR="007424F9" w:rsidRPr="009B4963">
        <w:t>Cass.</w:t>
      </w:r>
      <w:r w:rsidR="008859E2" w:rsidRPr="009B4963">
        <w:t>, 16</w:t>
      </w:r>
      <w:r w:rsidR="00211EA2" w:rsidRPr="009B4963">
        <w:t xml:space="preserve"> febbraio </w:t>
      </w:r>
      <w:r w:rsidR="008859E2" w:rsidRPr="009B4963">
        <w:t>1999,</w:t>
      </w:r>
      <w:r w:rsidR="00567A72" w:rsidRPr="009B4963">
        <w:t xml:space="preserve"> n. 1283 cit.</w:t>
      </w:r>
    </w:p>
  </w:footnote>
  <w:footnote w:id="33">
    <w:p w:rsidR="00E77258" w:rsidRPr="00D41816" w:rsidRDefault="00E77258" w:rsidP="00441BE9">
      <w:pPr>
        <w:pStyle w:val="Testonotaapidipagina"/>
        <w:jc w:val="both"/>
      </w:pPr>
      <w:r w:rsidRPr="009B4963">
        <w:rPr>
          <w:rStyle w:val="Rimandonotaapidipagina"/>
        </w:rPr>
        <w:footnoteRef/>
      </w:r>
      <w:r w:rsidR="00122830" w:rsidRPr="009B4963">
        <w:t xml:space="preserve"> La sanatoria della nullità fondata sul</w:t>
      </w:r>
      <w:r w:rsidR="00122830">
        <w:t xml:space="preserve"> raggiungimento dello scopo dell’atto ha un fondamento oggettivo, dunque opera anche quando l’altra parte si costituisce in giudizio facendo valere la nullità </w:t>
      </w:r>
      <w:proofErr w:type="gramStart"/>
      <w:r w:rsidR="00122830">
        <w:t xml:space="preserve">stessa: </w:t>
      </w:r>
      <w:r w:rsidR="00360581" w:rsidRPr="003705A9">
        <w:t xml:space="preserve"> </w:t>
      </w:r>
      <w:r w:rsidR="004606AA" w:rsidRPr="003A189A">
        <w:rPr>
          <w:smallCaps/>
        </w:rPr>
        <w:t>Martinetto</w:t>
      </w:r>
      <w:proofErr w:type="gramEnd"/>
      <w:r w:rsidR="004606AA" w:rsidRPr="003A189A">
        <w:t xml:space="preserve">, </w:t>
      </w:r>
      <w:r w:rsidR="004606AA">
        <w:rPr>
          <w:i/>
        </w:rPr>
        <w:t xml:space="preserve">op. </w:t>
      </w:r>
      <w:proofErr w:type="spellStart"/>
      <w:r w:rsidR="00995D86">
        <w:rPr>
          <w:i/>
        </w:rPr>
        <w:t>loc</w:t>
      </w:r>
      <w:proofErr w:type="spellEnd"/>
      <w:r w:rsidR="00995D86">
        <w:rPr>
          <w:i/>
        </w:rPr>
        <w:t xml:space="preserve">. </w:t>
      </w:r>
      <w:proofErr w:type="spellStart"/>
      <w:r w:rsidR="004606AA">
        <w:rPr>
          <w:i/>
        </w:rPr>
        <w:t>ci</w:t>
      </w:r>
      <w:r w:rsidR="00995D86">
        <w:rPr>
          <w:i/>
        </w:rPr>
        <w:t>t</w:t>
      </w:r>
      <w:r w:rsidR="004606AA">
        <w:rPr>
          <w:i/>
        </w:rPr>
        <w:t>t</w:t>
      </w:r>
      <w:proofErr w:type="spellEnd"/>
      <w:r w:rsidR="004606AA">
        <w:rPr>
          <w:i/>
        </w:rPr>
        <w:t>.</w:t>
      </w:r>
      <w:r w:rsidR="004606AA">
        <w:t xml:space="preserve">; </w:t>
      </w:r>
      <w:r w:rsidR="00F41DE3" w:rsidRPr="0018001B">
        <w:rPr>
          <w:smallCaps/>
        </w:rPr>
        <w:t>Poli</w:t>
      </w:r>
      <w:r w:rsidR="00F41DE3" w:rsidRPr="0018001B">
        <w:t xml:space="preserve">, </w:t>
      </w:r>
      <w:r w:rsidR="00AD2BAA">
        <w:rPr>
          <w:i/>
        </w:rPr>
        <w:t>op. cit.</w:t>
      </w:r>
      <w:r w:rsidR="00F41DE3">
        <w:t xml:space="preserve">, </w:t>
      </w:r>
      <w:r w:rsidR="00EC1E4D">
        <w:t>p</w:t>
      </w:r>
      <w:r w:rsidR="00DA6247">
        <w:t>p</w:t>
      </w:r>
      <w:r w:rsidR="00EC1E4D">
        <w:t xml:space="preserve">. </w:t>
      </w:r>
      <w:r w:rsidR="00F41DE3">
        <w:t xml:space="preserve">415 ss. </w:t>
      </w:r>
      <w:r w:rsidR="003A189A">
        <w:t>V.</w:t>
      </w:r>
      <w:r w:rsidR="004606AA">
        <w:t xml:space="preserve"> anche</w:t>
      </w:r>
      <w:r w:rsidR="003A189A">
        <w:t xml:space="preserve"> la giurispru</w:t>
      </w:r>
      <w:r w:rsidR="00566EC9">
        <w:t xml:space="preserve">denza citata </w:t>
      </w:r>
      <w:r w:rsidR="00F2121E" w:rsidRPr="00F2121E">
        <w:rPr>
          <w:i/>
        </w:rPr>
        <w:t>retro</w:t>
      </w:r>
      <w:r w:rsidR="00566EC9">
        <w:t xml:space="preserve">, alla nota </w:t>
      </w:r>
      <w:r w:rsidR="000B0628">
        <w:t>31</w:t>
      </w:r>
      <w:r w:rsidR="00122830">
        <w:t>, in tema di</w:t>
      </w:r>
      <w:r w:rsidR="003A189A">
        <w:t xml:space="preserve"> sanatoria della notificazione </w:t>
      </w:r>
      <w:r w:rsidR="003A189A" w:rsidRPr="00D41816">
        <w:t>nulla.</w:t>
      </w:r>
    </w:p>
  </w:footnote>
  <w:footnote w:id="34">
    <w:p w:rsidR="00E34DEA" w:rsidRPr="005104FF" w:rsidRDefault="00E34DEA" w:rsidP="00E34DEA">
      <w:pPr>
        <w:pStyle w:val="Testonotaapidipagina"/>
        <w:jc w:val="both"/>
      </w:pPr>
      <w:r w:rsidRPr="00D41816">
        <w:rPr>
          <w:rStyle w:val="Rimandonotaapidipagina"/>
        </w:rPr>
        <w:footnoteRef/>
      </w:r>
      <w:r w:rsidRPr="00D41816">
        <w:t xml:space="preserve"> </w:t>
      </w:r>
      <w:proofErr w:type="gramStart"/>
      <w:r w:rsidRPr="00D41816">
        <w:t>Cass.,</w:t>
      </w:r>
      <w:proofErr w:type="gramEnd"/>
      <w:r w:rsidRPr="00D41816">
        <w:t xml:space="preserve"> 22</w:t>
      </w:r>
      <w:r w:rsidR="00211EA2" w:rsidRPr="00D41816">
        <w:t xml:space="preserve"> giugno </w:t>
      </w:r>
      <w:r w:rsidRPr="00D41816">
        <w:t>2007, n. 14591</w:t>
      </w:r>
      <w:r w:rsidR="00567A72" w:rsidRPr="00D41816">
        <w:t xml:space="preserve">, in </w:t>
      </w:r>
      <w:r w:rsidR="009B4963" w:rsidRPr="00D41816">
        <w:rPr>
          <w:i/>
        </w:rPr>
        <w:t>Dir</w:t>
      </w:r>
      <w:r w:rsidR="00567A72" w:rsidRPr="00D41816">
        <w:rPr>
          <w:i/>
        </w:rPr>
        <w:t>.</w:t>
      </w:r>
      <w:r w:rsidR="009B4963" w:rsidRPr="00D41816">
        <w:rPr>
          <w:i/>
        </w:rPr>
        <w:t xml:space="preserve"> e</w:t>
      </w:r>
      <w:r w:rsidR="00567A72" w:rsidRPr="00D41816">
        <w:rPr>
          <w:i/>
        </w:rPr>
        <w:t xml:space="preserve"> </w:t>
      </w:r>
      <w:proofErr w:type="spellStart"/>
      <w:r w:rsidR="009B4963" w:rsidRPr="00D41816">
        <w:rPr>
          <w:i/>
        </w:rPr>
        <w:t>g</w:t>
      </w:r>
      <w:r w:rsidR="00567A72" w:rsidRPr="00D41816">
        <w:rPr>
          <w:i/>
        </w:rPr>
        <w:t>iust</w:t>
      </w:r>
      <w:proofErr w:type="spellEnd"/>
      <w:r w:rsidR="00567A72" w:rsidRPr="00D41816">
        <w:rPr>
          <w:i/>
        </w:rPr>
        <w:t>.</w:t>
      </w:r>
      <w:r w:rsidR="009B4963" w:rsidRPr="00D41816">
        <w:rPr>
          <w:i/>
        </w:rPr>
        <w:t xml:space="preserve"> </w:t>
      </w:r>
      <w:proofErr w:type="gramStart"/>
      <w:r w:rsidR="009B4963" w:rsidRPr="00D41816">
        <w:rPr>
          <w:i/>
        </w:rPr>
        <w:t>online</w:t>
      </w:r>
      <w:proofErr w:type="gramEnd"/>
      <w:r w:rsidRPr="00D41816">
        <w:t xml:space="preserve">; </w:t>
      </w:r>
      <w:r w:rsidR="007424F9" w:rsidRPr="00D41816">
        <w:t>Cass.</w:t>
      </w:r>
      <w:r w:rsidRPr="00D41816">
        <w:t>, 5</w:t>
      </w:r>
      <w:r w:rsidR="00211EA2" w:rsidRPr="00D41816">
        <w:t xml:space="preserve"> aprile </w:t>
      </w:r>
      <w:r w:rsidRPr="00D41816">
        <w:t>2005, 6983</w:t>
      </w:r>
      <w:r w:rsidR="00567A72" w:rsidRPr="00D41816">
        <w:t xml:space="preserve">, in </w:t>
      </w:r>
      <w:r w:rsidR="00567A72" w:rsidRPr="00D41816">
        <w:rPr>
          <w:i/>
        </w:rPr>
        <w:t xml:space="preserve">Mass. Giust. </w:t>
      </w:r>
      <w:proofErr w:type="gramStart"/>
      <w:r w:rsidR="00567A72" w:rsidRPr="00D41816">
        <w:rPr>
          <w:i/>
        </w:rPr>
        <w:t>civ.</w:t>
      </w:r>
      <w:r w:rsidR="00567A72" w:rsidRPr="00D41816">
        <w:t>,</w:t>
      </w:r>
      <w:proofErr w:type="gramEnd"/>
      <w:r w:rsidR="00567A72" w:rsidRPr="00D41816">
        <w:t xml:space="preserve"> </w:t>
      </w:r>
      <w:r w:rsidR="009B4963" w:rsidRPr="00D41816">
        <w:t>2005</w:t>
      </w:r>
      <w:r w:rsidR="00567A72" w:rsidRPr="00D41816">
        <w:t xml:space="preserve">, p. </w:t>
      </w:r>
      <w:r w:rsidR="00D41816" w:rsidRPr="00D41816">
        <w:t>612</w:t>
      </w:r>
      <w:r w:rsidRPr="00D41816">
        <w:t xml:space="preserve">; </w:t>
      </w:r>
      <w:r w:rsidR="007424F9" w:rsidRPr="00D41816">
        <w:t>Cass.</w:t>
      </w:r>
      <w:r w:rsidRPr="00D41816">
        <w:t>, 11</w:t>
      </w:r>
      <w:r w:rsidR="00211EA2" w:rsidRPr="00D41816">
        <w:t xml:space="preserve"> aprile </w:t>
      </w:r>
      <w:r w:rsidRPr="00D41816">
        <w:t>2000, n. 4601</w:t>
      </w:r>
      <w:r w:rsidR="00567A72" w:rsidRPr="00D41816">
        <w:t xml:space="preserve">, in </w:t>
      </w:r>
      <w:r w:rsidR="00567A72" w:rsidRPr="00D41816">
        <w:rPr>
          <w:i/>
        </w:rPr>
        <w:t xml:space="preserve">Mass. Giust. </w:t>
      </w:r>
      <w:proofErr w:type="gramStart"/>
      <w:r w:rsidR="00567A72" w:rsidRPr="00D41816">
        <w:rPr>
          <w:i/>
        </w:rPr>
        <w:t>civ.</w:t>
      </w:r>
      <w:r w:rsidR="00087BB0" w:rsidRPr="00D41816">
        <w:t>,</w:t>
      </w:r>
      <w:proofErr w:type="gramEnd"/>
      <w:r w:rsidR="00087BB0" w:rsidRPr="00D41816">
        <w:t xml:space="preserve"> 2000</w:t>
      </w:r>
      <w:r w:rsidR="00567A72" w:rsidRPr="00D41816">
        <w:t xml:space="preserve">, p. </w:t>
      </w:r>
      <w:r w:rsidR="00087BB0" w:rsidRPr="00D41816">
        <w:t>781</w:t>
      </w:r>
      <w:r w:rsidRPr="00D41816">
        <w:t xml:space="preserve">. Specificamente sull’appello divorzile: </w:t>
      </w:r>
      <w:proofErr w:type="gramStart"/>
      <w:r w:rsidRPr="00D41816">
        <w:t>Cass.,</w:t>
      </w:r>
      <w:proofErr w:type="gramEnd"/>
      <w:r w:rsidRPr="00D41816">
        <w:t xml:space="preserve"> 11</w:t>
      </w:r>
      <w:r w:rsidR="00211EA2" w:rsidRPr="00D41816">
        <w:t xml:space="preserve"> novembre </w:t>
      </w:r>
      <w:r w:rsidRPr="00D41816">
        <w:t>2009, n. 23907</w:t>
      </w:r>
      <w:r w:rsidR="00567A72" w:rsidRPr="00D41816">
        <w:t xml:space="preserve"> cit</w:t>
      </w:r>
      <w:r w:rsidRPr="00D41816">
        <w:t>.</w:t>
      </w:r>
    </w:p>
  </w:footnote>
  <w:footnote w:id="35">
    <w:p w:rsidR="005D2324" w:rsidRPr="00D07045" w:rsidRDefault="005D2324" w:rsidP="00441BE9">
      <w:pPr>
        <w:pStyle w:val="Testonotaapidipagina"/>
        <w:jc w:val="both"/>
      </w:pPr>
      <w:r>
        <w:rPr>
          <w:rStyle w:val="Rimandonotaapidipagina"/>
        </w:rPr>
        <w:footnoteRef/>
      </w:r>
      <w:r>
        <w:t xml:space="preserve"> La tardività dell’opposizione a decreto ingiuntivo </w:t>
      </w:r>
      <w:r w:rsidRPr="00D41816">
        <w:t>conseguente all’errore commesso nell’individuare la forma dell’atto introduttivo va</w:t>
      </w:r>
      <w:r w:rsidR="00C65427" w:rsidRPr="00D41816">
        <w:t>, secondo numerose pronunce,</w:t>
      </w:r>
      <w:r w:rsidRPr="00D41816">
        <w:t xml:space="preserve"> rilevata d'ufficio</w:t>
      </w:r>
      <w:r w:rsidR="00C65427" w:rsidRPr="00D41816">
        <w:t>: v.</w:t>
      </w:r>
      <w:r w:rsidR="00B7187D" w:rsidRPr="00D41816">
        <w:t xml:space="preserve"> ad es.</w:t>
      </w:r>
      <w:r w:rsidRPr="00D41816">
        <w:t xml:space="preserve"> </w:t>
      </w:r>
      <w:proofErr w:type="gramStart"/>
      <w:r w:rsidRPr="00D41816">
        <w:t>Cass.,</w:t>
      </w:r>
      <w:proofErr w:type="gramEnd"/>
      <w:r w:rsidRPr="00D41816">
        <w:t xml:space="preserve"> 6</w:t>
      </w:r>
      <w:r w:rsidR="00211EA2" w:rsidRPr="00D41816">
        <w:t xml:space="preserve"> giugno </w:t>
      </w:r>
      <w:r w:rsidRPr="00D41816">
        <w:t>2006, n.</w:t>
      </w:r>
      <w:r w:rsidR="00E17DEB" w:rsidRPr="00D41816">
        <w:t xml:space="preserve"> 13252</w:t>
      </w:r>
      <w:r w:rsidR="00567A72" w:rsidRPr="00D41816">
        <w:t>, in</w:t>
      </w:r>
      <w:r w:rsidR="00567A72" w:rsidRPr="00D41816">
        <w:rPr>
          <w:i/>
        </w:rPr>
        <w:t xml:space="preserve"> </w:t>
      </w:r>
      <w:r w:rsidR="00D41816" w:rsidRPr="00D41816">
        <w:rPr>
          <w:i/>
        </w:rPr>
        <w:t>Foro</w:t>
      </w:r>
      <w:r w:rsidR="00567A72" w:rsidRPr="00D41816">
        <w:rPr>
          <w:i/>
        </w:rPr>
        <w:t xml:space="preserve"> </w:t>
      </w:r>
      <w:r w:rsidR="00D41816" w:rsidRPr="00D41816">
        <w:rPr>
          <w:i/>
        </w:rPr>
        <w:t>it</w:t>
      </w:r>
      <w:r w:rsidR="00567A72" w:rsidRPr="00D41816">
        <w:rPr>
          <w:i/>
        </w:rPr>
        <w:t>.</w:t>
      </w:r>
      <w:r w:rsidR="00567A72" w:rsidRPr="00D41816">
        <w:t xml:space="preserve">, </w:t>
      </w:r>
      <w:r w:rsidR="00D41816" w:rsidRPr="00D41816">
        <w:t>2006, I,</w:t>
      </w:r>
      <w:r w:rsidR="00567A72" w:rsidRPr="00D41816">
        <w:t xml:space="preserve"> </w:t>
      </w:r>
      <w:r w:rsidR="00D41816" w:rsidRPr="00D41816">
        <w:t>c</w:t>
      </w:r>
      <w:r w:rsidR="00567A72" w:rsidRPr="00D41816">
        <w:t xml:space="preserve">. </w:t>
      </w:r>
      <w:r w:rsidR="00D41816" w:rsidRPr="00D41816">
        <w:t>3082 (in materia di ordinanza ingiunzione di cui all’art. 186-</w:t>
      </w:r>
      <w:r w:rsidR="00D41816" w:rsidRPr="00D41816">
        <w:rPr>
          <w:i/>
        </w:rPr>
        <w:t xml:space="preserve">ter </w:t>
      </w:r>
      <w:r w:rsidR="00D41816" w:rsidRPr="00D41816">
        <w:t>c.p.c.)</w:t>
      </w:r>
      <w:r w:rsidR="00E17DEB" w:rsidRPr="00D41816">
        <w:t xml:space="preserve">; </w:t>
      </w:r>
      <w:r w:rsidR="007424F9" w:rsidRPr="00D41816">
        <w:t>Cass.</w:t>
      </w:r>
      <w:r w:rsidR="00E17DEB" w:rsidRPr="00D41816">
        <w:t>, 26</w:t>
      </w:r>
      <w:r w:rsidR="00211EA2" w:rsidRPr="00D41816">
        <w:t xml:space="preserve"> marzo </w:t>
      </w:r>
      <w:r w:rsidR="00E17DEB" w:rsidRPr="00D41816">
        <w:t>1991, n. 3258</w:t>
      </w:r>
      <w:r w:rsidR="00567A72" w:rsidRPr="00D41816">
        <w:t xml:space="preserve">, in </w:t>
      </w:r>
      <w:r w:rsidR="00567A72" w:rsidRPr="00D41816">
        <w:rPr>
          <w:i/>
        </w:rPr>
        <w:t xml:space="preserve">Mass. Giust. </w:t>
      </w:r>
      <w:proofErr w:type="gramStart"/>
      <w:r w:rsidR="00567A72" w:rsidRPr="00D41816">
        <w:rPr>
          <w:i/>
        </w:rPr>
        <w:t>civ.</w:t>
      </w:r>
      <w:r w:rsidR="007105CC" w:rsidRPr="00D41816">
        <w:t>,</w:t>
      </w:r>
      <w:proofErr w:type="gramEnd"/>
      <w:r w:rsidR="007105CC" w:rsidRPr="00D41816">
        <w:t xml:space="preserve"> 1991</w:t>
      </w:r>
      <w:r w:rsidR="00567A72" w:rsidRPr="00D41816">
        <w:t xml:space="preserve">, p. </w:t>
      </w:r>
      <w:r w:rsidR="007105CC" w:rsidRPr="00D41816">
        <w:t>428</w:t>
      </w:r>
      <w:r w:rsidR="00E17DEB" w:rsidRPr="00D41816">
        <w:t>;</w:t>
      </w:r>
      <w:r w:rsidRPr="00D41816">
        <w:t xml:space="preserve"> </w:t>
      </w:r>
      <w:r w:rsidR="00B7187D" w:rsidRPr="00D41816">
        <w:t>Trib. Reggio Emilia, 19</w:t>
      </w:r>
      <w:r w:rsidR="00211EA2" w:rsidRPr="00D41816">
        <w:t xml:space="preserve"> aprile</w:t>
      </w:r>
      <w:r w:rsidR="00211EA2">
        <w:t xml:space="preserve"> </w:t>
      </w:r>
      <w:r w:rsidR="00B7187D">
        <w:t>2012, n. 762</w:t>
      </w:r>
      <w:r w:rsidR="00567A72">
        <w:t xml:space="preserve"> cit.</w:t>
      </w:r>
      <w:r w:rsidR="00B7187D">
        <w:t xml:space="preserve">; </w:t>
      </w:r>
      <w:proofErr w:type="spellStart"/>
      <w:r>
        <w:t>App</w:t>
      </w:r>
      <w:proofErr w:type="spellEnd"/>
      <w:r>
        <w:t>. Milano, 1</w:t>
      </w:r>
      <w:r w:rsidR="00211EA2">
        <w:t xml:space="preserve"> marzo </w:t>
      </w:r>
      <w:r>
        <w:t xml:space="preserve">2006, in </w:t>
      </w:r>
      <w:r>
        <w:rPr>
          <w:i/>
        </w:rPr>
        <w:t xml:space="preserve">Giur. </w:t>
      </w:r>
      <w:proofErr w:type="gramStart"/>
      <w:r>
        <w:rPr>
          <w:i/>
        </w:rPr>
        <w:t>merito</w:t>
      </w:r>
      <w:proofErr w:type="gramEnd"/>
      <w:r>
        <w:t xml:space="preserve">, 2007, </w:t>
      </w:r>
      <w:r w:rsidR="00C84EA5">
        <w:t xml:space="preserve">p. </w:t>
      </w:r>
      <w:r>
        <w:t>689.</w:t>
      </w:r>
    </w:p>
  </w:footnote>
  <w:footnote w:id="36">
    <w:p w:rsidR="00480768" w:rsidRPr="00FE40AC" w:rsidRDefault="00480768" w:rsidP="00480768">
      <w:pPr>
        <w:pStyle w:val="Testonotaapidipagina"/>
        <w:jc w:val="both"/>
        <w:rPr>
          <w:highlight w:val="yellow"/>
        </w:rPr>
      </w:pPr>
      <w:r w:rsidRPr="00FE40AC">
        <w:rPr>
          <w:rStyle w:val="Rimandonotaapidipagina"/>
        </w:rPr>
        <w:footnoteRef/>
      </w:r>
      <w:r w:rsidRPr="00FE40AC">
        <w:t xml:space="preserve"> </w:t>
      </w:r>
      <w:r>
        <w:t xml:space="preserve">Considerazioni sostanzialmente analoghe si rinvengono </w:t>
      </w:r>
      <w:proofErr w:type="gramStart"/>
      <w:r>
        <w:t xml:space="preserve">in  </w:t>
      </w:r>
      <w:r w:rsidRPr="00E57FC4">
        <w:rPr>
          <w:smallCaps/>
        </w:rPr>
        <w:t>Balena</w:t>
      </w:r>
      <w:proofErr w:type="gramEnd"/>
      <w:r>
        <w:t xml:space="preserve">, </w:t>
      </w:r>
      <w:r>
        <w:rPr>
          <w:i/>
        </w:rPr>
        <w:t>op. cit.</w:t>
      </w:r>
      <w:r>
        <w:t xml:space="preserve">, </w:t>
      </w:r>
      <w:r w:rsidR="00DA6247">
        <w:t>p</w:t>
      </w:r>
      <w:r w:rsidR="00C84EA5">
        <w:t xml:space="preserve">p. </w:t>
      </w:r>
      <w:r w:rsidR="00E34DEA">
        <w:t>654 ss.</w:t>
      </w:r>
      <w:r>
        <w:t xml:space="preserve"> e </w:t>
      </w:r>
      <w:r w:rsidRPr="00E57FC4">
        <w:rPr>
          <w:smallCaps/>
        </w:rPr>
        <w:t>Poli</w:t>
      </w:r>
      <w:r>
        <w:t xml:space="preserve">, </w:t>
      </w:r>
      <w:r>
        <w:rPr>
          <w:i/>
        </w:rPr>
        <w:t>op. cit.</w:t>
      </w:r>
      <w:r>
        <w:t>,</w:t>
      </w:r>
      <w:r w:rsidR="00C84EA5">
        <w:t xml:space="preserve"> </w:t>
      </w:r>
      <w:r w:rsidR="00DA6247">
        <w:t>p</w:t>
      </w:r>
      <w:r w:rsidR="00C84EA5">
        <w:t>p.</w:t>
      </w:r>
      <w:r>
        <w:t xml:space="preserve"> 535 s.</w:t>
      </w:r>
    </w:p>
  </w:footnote>
  <w:footnote w:id="37">
    <w:p w:rsidR="009A41B8" w:rsidRPr="00FE40AC" w:rsidRDefault="009A41B8" w:rsidP="00441BE9">
      <w:pPr>
        <w:pStyle w:val="Testonotaapidipagina"/>
        <w:jc w:val="both"/>
        <w:rPr>
          <w:highlight w:val="yellow"/>
        </w:rPr>
      </w:pPr>
      <w:r w:rsidRPr="00FE40AC">
        <w:rPr>
          <w:rStyle w:val="Rimandonotaapidipagina"/>
        </w:rPr>
        <w:footnoteRef/>
      </w:r>
      <w:r w:rsidRPr="00FE40AC">
        <w:t xml:space="preserve"> </w:t>
      </w:r>
      <w:r w:rsidR="00584B91" w:rsidRPr="00FE40AC">
        <w:t xml:space="preserve">Per tutti v. </w:t>
      </w:r>
      <w:proofErr w:type="spellStart"/>
      <w:r w:rsidR="00A40F73" w:rsidRPr="00FE40AC">
        <w:rPr>
          <w:smallCaps/>
        </w:rPr>
        <w:t>Colesanti</w:t>
      </w:r>
      <w:proofErr w:type="spellEnd"/>
      <w:r w:rsidR="00A40F73" w:rsidRPr="00FE40AC">
        <w:t xml:space="preserve">, voce “Litispendenza (dir. </w:t>
      </w:r>
      <w:proofErr w:type="gramStart"/>
      <w:r w:rsidR="00A40F73" w:rsidRPr="00FE40AC">
        <w:t>proc</w:t>
      </w:r>
      <w:proofErr w:type="gramEnd"/>
      <w:r w:rsidR="00A40F73" w:rsidRPr="00FE40AC">
        <w:t xml:space="preserve">. civ.)”, in </w:t>
      </w:r>
      <w:proofErr w:type="spellStart"/>
      <w:r w:rsidR="00A40F73" w:rsidRPr="00FE40AC">
        <w:rPr>
          <w:i/>
        </w:rPr>
        <w:t>Noviss</w:t>
      </w:r>
      <w:proofErr w:type="spellEnd"/>
      <w:r w:rsidR="00A40F73" w:rsidRPr="00FE40AC">
        <w:rPr>
          <w:i/>
        </w:rPr>
        <w:t xml:space="preserve">. </w:t>
      </w:r>
      <w:proofErr w:type="spellStart"/>
      <w:proofErr w:type="gramStart"/>
      <w:r w:rsidR="00A40F73" w:rsidRPr="00FE40AC">
        <w:rPr>
          <w:i/>
        </w:rPr>
        <w:t>dig</w:t>
      </w:r>
      <w:proofErr w:type="spellEnd"/>
      <w:proofErr w:type="gramEnd"/>
      <w:r w:rsidR="00A40F73" w:rsidRPr="00FE40AC">
        <w:rPr>
          <w:i/>
        </w:rPr>
        <w:t xml:space="preserve">. </w:t>
      </w:r>
      <w:proofErr w:type="gramStart"/>
      <w:r w:rsidR="00A40F73" w:rsidRPr="00FE40AC">
        <w:rPr>
          <w:i/>
        </w:rPr>
        <w:t>it.</w:t>
      </w:r>
      <w:r w:rsidR="00A40F73" w:rsidRPr="00FE40AC">
        <w:t>,</w:t>
      </w:r>
      <w:proofErr w:type="gramEnd"/>
      <w:r w:rsidR="00A40F73" w:rsidRPr="00FE40AC">
        <w:t xml:space="preserve"> IX, Torino, 1963, </w:t>
      </w:r>
      <w:r w:rsidR="00C84EA5">
        <w:t xml:space="preserve">p. </w:t>
      </w:r>
      <w:r w:rsidR="00A40F73" w:rsidRPr="00FE40AC">
        <w:t xml:space="preserve">977; </w:t>
      </w:r>
      <w:r w:rsidR="00584B91" w:rsidRPr="00FE40AC">
        <w:rPr>
          <w:smallCaps/>
        </w:rPr>
        <w:t>Cerino Canova</w:t>
      </w:r>
      <w:r w:rsidR="00584B91" w:rsidRPr="00FE40AC">
        <w:t xml:space="preserve">, </w:t>
      </w:r>
      <w:r w:rsidR="00584B91" w:rsidRPr="00FE40AC">
        <w:rPr>
          <w:i/>
        </w:rPr>
        <w:t>Dell’introduzione della causa</w:t>
      </w:r>
      <w:r w:rsidR="00F11139">
        <w:t xml:space="preserve">, in </w:t>
      </w:r>
      <w:r w:rsidR="00F11139" w:rsidRPr="003A189A">
        <w:rPr>
          <w:i/>
        </w:rPr>
        <w:t xml:space="preserve">Comm. </w:t>
      </w:r>
      <w:r w:rsidR="00F11139">
        <w:rPr>
          <w:i/>
        </w:rPr>
        <w:t>c.p.c.</w:t>
      </w:r>
      <w:r w:rsidR="00F11139" w:rsidRPr="003A189A">
        <w:t>,</w:t>
      </w:r>
      <w:r w:rsidR="00F11139">
        <w:t xml:space="preserve"> a cura di </w:t>
      </w:r>
      <w:proofErr w:type="spellStart"/>
      <w:r w:rsidR="00F11139">
        <w:t>Allorio</w:t>
      </w:r>
      <w:proofErr w:type="spellEnd"/>
      <w:r w:rsidR="00F11139">
        <w:t>,</w:t>
      </w:r>
      <w:r w:rsidR="00A40F73" w:rsidRPr="00FE40AC">
        <w:t xml:space="preserve"> II, Torino, 1980,</w:t>
      </w:r>
      <w:r w:rsidR="00584B91" w:rsidRPr="00FE40AC">
        <w:t xml:space="preserve"> </w:t>
      </w:r>
      <w:r w:rsidR="00C84EA5">
        <w:t>p</w:t>
      </w:r>
      <w:r w:rsidR="00DA6247">
        <w:t>p</w:t>
      </w:r>
      <w:r w:rsidR="00C84EA5">
        <w:t xml:space="preserve">. </w:t>
      </w:r>
      <w:r w:rsidR="00584B91" w:rsidRPr="00FE40AC">
        <w:t>278 ss.</w:t>
      </w:r>
      <w:r w:rsidR="00A40F73" w:rsidRPr="00FE40AC">
        <w:t>;</w:t>
      </w:r>
      <w:r w:rsidR="00FE40AC" w:rsidRPr="00FE40AC">
        <w:t xml:space="preserve"> </w:t>
      </w:r>
      <w:r w:rsidR="00FE40AC" w:rsidRPr="00FE40AC">
        <w:rPr>
          <w:smallCaps/>
        </w:rPr>
        <w:t>Consolo</w:t>
      </w:r>
      <w:r w:rsidR="00FE40AC" w:rsidRPr="00FE40AC">
        <w:t xml:space="preserve">, voce “Domanda giudiziale (dir. </w:t>
      </w:r>
      <w:proofErr w:type="gramStart"/>
      <w:r w:rsidR="00FE40AC" w:rsidRPr="00FE40AC">
        <w:t>proc</w:t>
      </w:r>
      <w:proofErr w:type="gramEnd"/>
      <w:r w:rsidR="00FE40AC" w:rsidRPr="00FE40AC">
        <w:t xml:space="preserve">. civ.)”, in </w:t>
      </w:r>
      <w:proofErr w:type="spellStart"/>
      <w:proofErr w:type="gramStart"/>
      <w:r w:rsidR="00FE40AC" w:rsidRPr="00FE40AC">
        <w:rPr>
          <w:i/>
        </w:rPr>
        <w:t>Dig</w:t>
      </w:r>
      <w:proofErr w:type="spellEnd"/>
      <w:r w:rsidR="00FE40AC" w:rsidRPr="00FE40AC">
        <w:rPr>
          <w:i/>
        </w:rPr>
        <w:t>.</w:t>
      </w:r>
      <w:r w:rsidR="00913D07">
        <w:rPr>
          <w:i/>
        </w:rPr>
        <w:t>,</w:t>
      </w:r>
      <w:proofErr w:type="gramEnd"/>
      <w:r w:rsidR="00913D07">
        <w:rPr>
          <w:i/>
        </w:rPr>
        <w:t xml:space="preserve"> disc. </w:t>
      </w:r>
      <w:proofErr w:type="spellStart"/>
      <w:proofErr w:type="gramStart"/>
      <w:r w:rsidR="00913D07">
        <w:rPr>
          <w:i/>
        </w:rPr>
        <w:t>priv</w:t>
      </w:r>
      <w:proofErr w:type="spellEnd"/>
      <w:r w:rsidR="00913D07">
        <w:rPr>
          <w:i/>
        </w:rPr>
        <w:t>.,</w:t>
      </w:r>
      <w:proofErr w:type="gramEnd"/>
      <w:r w:rsidR="00913D07">
        <w:rPr>
          <w:i/>
        </w:rPr>
        <w:t xml:space="preserve"> sez.</w:t>
      </w:r>
      <w:r w:rsidR="00FE40AC" w:rsidRPr="00FE40AC">
        <w:rPr>
          <w:i/>
        </w:rPr>
        <w:t xml:space="preserve"> civ.</w:t>
      </w:r>
      <w:r w:rsidR="00FE40AC" w:rsidRPr="00FE40AC">
        <w:t>, VII, Torino, 1991,</w:t>
      </w:r>
      <w:r w:rsidR="00C84EA5">
        <w:t xml:space="preserve"> p</w:t>
      </w:r>
      <w:r w:rsidR="00DA6247">
        <w:t>p</w:t>
      </w:r>
      <w:r w:rsidR="00C84EA5">
        <w:t>.</w:t>
      </w:r>
      <w:r w:rsidR="00FE40AC" w:rsidRPr="00FE40AC">
        <w:t xml:space="preserve"> 87 ss.</w:t>
      </w:r>
      <w:r w:rsidR="00E17DEB">
        <w:t xml:space="preserve"> e le considerazioni di </w:t>
      </w:r>
      <w:proofErr w:type="spellStart"/>
      <w:r w:rsidR="00E17DEB" w:rsidRPr="00E17DEB">
        <w:rPr>
          <w:smallCaps/>
        </w:rPr>
        <w:t>Punzi</w:t>
      </w:r>
      <w:proofErr w:type="spellEnd"/>
      <w:r w:rsidR="00E17DEB">
        <w:t xml:space="preserve">, </w:t>
      </w:r>
      <w:r w:rsidR="00E17DEB" w:rsidRPr="00E17DEB">
        <w:rPr>
          <w:i/>
        </w:rPr>
        <w:t>Notificazione degli atti nel processo civile</w:t>
      </w:r>
      <w:r w:rsidR="00E17DEB">
        <w:t xml:space="preserve">, Milano, 1959, </w:t>
      </w:r>
      <w:r w:rsidR="00C84EA5">
        <w:t xml:space="preserve">p. </w:t>
      </w:r>
      <w:r w:rsidR="00E17DEB">
        <w:t>46.</w:t>
      </w:r>
    </w:p>
  </w:footnote>
  <w:footnote w:id="38">
    <w:p w:rsidR="00EC0E31" w:rsidRDefault="00EC0E31" w:rsidP="00441BE9">
      <w:pPr>
        <w:pStyle w:val="Testonotaapidipagina"/>
        <w:jc w:val="both"/>
      </w:pPr>
      <w:r w:rsidRPr="0018001B">
        <w:rPr>
          <w:rStyle w:val="Rimandonotaapidipagina"/>
        </w:rPr>
        <w:footnoteRef/>
      </w:r>
      <w:r w:rsidRPr="0018001B">
        <w:t xml:space="preserve"> </w:t>
      </w:r>
      <w:r w:rsidR="00525F7A" w:rsidRPr="0018001B">
        <w:t>Posizioni analoghe a quelle espresse del testo sono fatte proprie da</w:t>
      </w:r>
      <w:r w:rsidR="008D0D54" w:rsidRPr="0018001B">
        <w:t xml:space="preserve"> </w:t>
      </w:r>
      <w:r w:rsidR="0018001B" w:rsidRPr="0018001B">
        <w:rPr>
          <w:smallCaps/>
        </w:rPr>
        <w:t>Ronco</w:t>
      </w:r>
      <w:r w:rsidR="0018001B" w:rsidRPr="0018001B">
        <w:t xml:space="preserve">, </w:t>
      </w:r>
      <w:r w:rsidR="0018001B" w:rsidRPr="0018001B">
        <w:rPr>
          <w:i/>
        </w:rPr>
        <w:t>op. cit.</w:t>
      </w:r>
      <w:r w:rsidR="0018001B" w:rsidRPr="0018001B">
        <w:t xml:space="preserve">, </w:t>
      </w:r>
      <w:r w:rsidR="00C84EA5">
        <w:t xml:space="preserve">p. </w:t>
      </w:r>
      <w:r w:rsidR="0018001B" w:rsidRPr="0018001B">
        <w:t xml:space="preserve">1554; </w:t>
      </w:r>
      <w:r w:rsidR="0018001B" w:rsidRPr="0018001B">
        <w:rPr>
          <w:smallCaps/>
        </w:rPr>
        <w:t>Marelli</w:t>
      </w:r>
      <w:r w:rsidR="0018001B" w:rsidRPr="0018001B">
        <w:t xml:space="preserve">, </w:t>
      </w:r>
      <w:r w:rsidR="0018001B" w:rsidRPr="0018001B">
        <w:rPr>
          <w:i/>
        </w:rPr>
        <w:t>La conservazione degli atti invalidi nel processo civile</w:t>
      </w:r>
      <w:r w:rsidR="0018001B" w:rsidRPr="0018001B">
        <w:t xml:space="preserve">, Padova, 2000, </w:t>
      </w:r>
      <w:r w:rsidR="00C84EA5">
        <w:t>p</w:t>
      </w:r>
      <w:r w:rsidR="00DA6247">
        <w:t>p</w:t>
      </w:r>
      <w:r w:rsidR="00C84EA5">
        <w:t xml:space="preserve">. </w:t>
      </w:r>
      <w:r w:rsidR="0018001B" w:rsidRPr="0018001B">
        <w:t xml:space="preserve">112 ss.; </w:t>
      </w:r>
      <w:r w:rsidR="0018001B" w:rsidRPr="0018001B">
        <w:rPr>
          <w:smallCaps/>
        </w:rPr>
        <w:t>Rossi</w:t>
      </w:r>
      <w:r w:rsidR="0018001B" w:rsidRPr="0018001B">
        <w:t xml:space="preserve">, </w:t>
      </w:r>
      <w:r w:rsidR="0018001B" w:rsidRPr="0018001B">
        <w:rPr>
          <w:i/>
        </w:rPr>
        <w:t>op. cit.</w:t>
      </w:r>
      <w:r w:rsidR="0018001B" w:rsidRPr="0018001B">
        <w:t xml:space="preserve">, </w:t>
      </w:r>
      <w:r w:rsidR="00C84EA5">
        <w:t>p</w:t>
      </w:r>
      <w:r w:rsidR="00DA6247">
        <w:t>p</w:t>
      </w:r>
      <w:r w:rsidR="00C84EA5">
        <w:t xml:space="preserve">. </w:t>
      </w:r>
      <w:r w:rsidR="0018001B" w:rsidRPr="0018001B">
        <w:t xml:space="preserve">1005 ss.; </w:t>
      </w:r>
      <w:r w:rsidR="00525F7A" w:rsidRPr="0018001B">
        <w:rPr>
          <w:smallCaps/>
        </w:rPr>
        <w:t>Poli</w:t>
      </w:r>
      <w:r w:rsidR="00525F7A" w:rsidRPr="0018001B">
        <w:t xml:space="preserve">, </w:t>
      </w:r>
      <w:r w:rsidR="00C1667D">
        <w:rPr>
          <w:i/>
        </w:rPr>
        <w:t>op. cit.</w:t>
      </w:r>
      <w:r w:rsidR="0018001B" w:rsidRPr="0018001B">
        <w:t>,</w:t>
      </w:r>
      <w:r w:rsidR="00C84EA5">
        <w:t xml:space="preserve"> p.</w:t>
      </w:r>
      <w:r w:rsidR="0018001B" w:rsidRPr="0018001B">
        <w:t xml:space="preserve"> </w:t>
      </w:r>
      <w:r w:rsidR="00794329">
        <w:t>539</w:t>
      </w:r>
      <w:r w:rsidR="0018001B" w:rsidRPr="0018001B">
        <w:t xml:space="preserve"> ss.</w:t>
      </w:r>
      <w:r w:rsidR="00467F70">
        <w:t xml:space="preserve"> e </w:t>
      </w:r>
      <w:r w:rsidR="00467F70" w:rsidRPr="00A66008">
        <w:rPr>
          <w:smallCaps/>
        </w:rPr>
        <w:t>Id</w:t>
      </w:r>
      <w:r w:rsidR="00467F70">
        <w:t xml:space="preserve">., </w:t>
      </w:r>
      <w:r w:rsidR="00467F70">
        <w:rPr>
          <w:i/>
        </w:rPr>
        <w:t>Le Sezioni Unite sul regime del ricorso proposto erroneamente al posto della citazione e viceversa</w:t>
      </w:r>
      <w:r w:rsidR="00467F70">
        <w:t xml:space="preserve">, in </w:t>
      </w:r>
      <w:r w:rsidR="00467F70">
        <w:rPr>
          <w:i/>
        </w:rPr>
        <w:t xml:space="preserve">Riv. </w:t>
      </w:r>
      <w:proofErr w:type="gramStart"/>
      <w:r w:rsidR="00467F70">
        <w:rPr>
          <w:i/>
        </w:rPr>
        <w:t>dir</w:t>
      </w:r>
      <w:proofErr w:type="gramEnd"/>
      <w:r w:rsidR="00467F70">
        <w:rPr>
          <w:i/>
        </w:rPr>
        <w:t xml:space="preserve">. </w:t>
      </w:r>
      <w:proofErr w:type="gramStart"/>
      <w:r w:rsidR="00467F70">
        <w:rPr>
          <w:i/>
        </w:rPr>
        <w:t>proc.</w:t>
      </w:r>
      <w:r w:rsidR="00467F70">
        <w:t>,</w:t>
      </w:r>
      <w:proofErr w:type="gramEnd"/>
      <w:r w:rsidR="00467F70">
        <w:t xml:space="preserve"> 2014, p. 1205 e ss.</w:t>
      </w:r>
      <w:r w:rsidR="00525F7A" w:rsidRPr="0018001B">
        <w:t xml:space="preserve"> </w:t>
      </w:r>
      <w:r w:rsidR="008D0D54" w:rsidRPr="0018001B">
        <w:t xml:space="preserve">Cenni </w:t>
      </w:r>
      <w:r w:rsidR="008D0D54" w:rsidRPr="00D75461">
        <w:t xml:space="preserve">anche in </w:t>
      </w:r>
      <w:r w:rsidR="008D0D54" w:rsidRPr="00D75461">
        <w:rPr>
          <w:smallCaps/>
        </w:rPr>
        <w:t>Cipriani</w:t>
      </w:r>
      <w:r w:rsidR="008D0D54" w:rsidRPr="00D75461">
        <w:t xml:space="preserve">, </w:t>
      </w:r>
      <w:r w:rsidR="00B401D2" w:rsidRPr="00D75461">
        <w:rPr>
          <w:i/>
        </w:rPr>
        <w:t>Vecchie e nuove vittime del formalismo processuale</w:t>
      </w:r>
      <w:r w:rsidR="00B401D2" w:rsidRPr="00D75461">
        <w:t xml:space="preserve">, in </w:t>
      </w:r>
      <w:r w:rsidR="00B401D2" w:rsidRPr="00D75461">
        <w:rPr>
          <w:i/>
        </w:rPr>
        <w:t xml:space="preserve">Foro </w:t>
      </w:r>
      <w:proofErr w:type="gramStart"/>
      <w:r w:rsidR="00B401D2" w:rsidRPr="00D75461">
        <w:rPr>
          <w:i/>
        </w:rPr>
        <w:t>it.</w:t>
      </w:r>
      <w:r w:rsidR="00B401D2" w:rsidRPr="00D75461">
        <w:t>,</w:t>
      </w:r>
      <w:proofErr w:type="gramEnd"/>
      <w:r w:rsidR="00B401D2" w:rsidRPr="00D75461">
        <w:t xml:space="preserve"> 1994, I,</w:t>
      </w:r>
      <w:r w:rsidR="00C84EA5">
        <w:t xml:space="preserve"> c</w:t>
      </w:r>
      <w:r w:rsidR="00DA6247">
        <w:t>c</w:t>
      </w:r>
      <w:r w:rsidR="00C84EA5">
        <w:t>.</w:t>
      </w:r>
      <w:r w:rsidR="00B401D2" w:rsidRPr="00D75461">
        <w:t xml:space="preserve"> 725 s.</w:t>
      </w:r>
    </w:p>
  </w:footnote>
  <w:footnote w:id="39">
    <w:p w:rsidR="00124590" w:rsidRDefault="00124590" w:rsidP="00441BE9">
      <w:pPr>
        <w:pStyle w:val="Testonotaapidipagina"/>
        <w:jc w:val="both"/>
      </w:pPr>
      <w:r>
        <w:rPr>
          <w:rStyle w:val="Rimandonotaapidipagina"/>
        </w:rPr>
        <w:footnoteRef/>
      </w:r>
      <w:r>
        <w:t xml:space="preserve"> </w:t>
      </w:r>
      <w:proofErr w:type="spellStart"/>
      <w:r w:rsidRPr="00C65427">
        <w:rPr>
          <w:smallCaps/>
        </w:rPr>
        <w:t>Carnelutti</w:t>
      </w:r>
      <w:proofErr w:type="spellEnd"/>
      <w:r>
        <w:t xml:space="preserve">, </w:t>
      </w:r>
      <w:r w:rsidRPr="00C65427">
        <w:rPr>
          <w:i/>
        </w:rPr>
        <w:t>Sistema del diritto processuale civile</w:t>
      </w:r>
      <w:r w:rsidR="001F6C4D">
        <w:t xml:space="preserve">, II, Padova, 1938, </w:t>
      </w:r>
      <w:r w:rsidR="00C84EA5">
        <w:t>p</w:t>
      </w:r>
      <w:r w:rsidR="00DA6247">
        <w:t>p</w:t>
      </w:r>
      <w:r w:rsidR="00C84EA5">
        <w:t xml:space="preserve">. </w:t>
      </w:r>
      <w:r w:rsidR="001F6C4D">
        <w:t>100 s</w:t>
      </w:r>
      <w:r>
        <w:t>.</w:t>
      </w:r>
      <w:r w:rsidR="00C05B1E">
        <w:t xml:space="preserve"> V. però anche le considerazioni di </w:t>
      </w:r>
      <w:proofErr w:type="spellStart"/>
      <w:r w:rsidR="00C05B1E" w:rsidRPr="00200A60">
        <w:rPr>
          <w:smallCaps/>
        </w:rPr>
        <w:t>Punzi</w:t>
      </w:r>
      <w:proofErr w:type="spellEnd"/>
      <w:r w:rsidR="00C05B1E">
        <w:t xml:space="preserve">, </w:t>
      </w:r>
      <w:r w:rsidR="00C05B1E">
        <w:rPr>
          <w:i/>
        </w:rPr>
        <w:t>Delle comunicazioni e notificazioni</w:t>
      </w:r>
      <w:r w:rsidR="00C05B1E">
        <w:t xml:space="preserve">, in </w:t>
      </w:r>
      <w:r w:rsidR="00F11139" w:rsidRPr="003A189A">
        <w:rPr>
          <w:i/>
        </w:rPr>
        <w:t xml:space="preserve">Comm. </w:t>
      </w:r>
      <w:r w:rsidR="00F11139">
        <w:rPr>
          <w:i/>
        </w:rPr>
        <w:t>c.p.c.</w:t>
      </w:r>
      <w:r w:rsidR="00F11139" w:rsidRPr="003A189A">
        <w:t>,</w:t>
      </w:r>
      <w:r w:rsidR="00F11139">
        <w:t xml:space="preserve"> a cura di </w:t>
      </w:r>
      <w:proofErr w:type="spellStart"/>
      <w:r w:rsidR="00F11139">
        <w:t>Allorio</w:t>
      </w:r>
      <w:proofErr w:type="spellEnd"/>
      <w:r w:rsidR="00F11139">
        <w:t>, I, Torino, 1973,</w:t>
      </w:r>
      <w:r w:rsidR="00C05B1E">
        <w:t xml:space="preserve"> </w:t>
      </w:r>
      <w:r w:rsidR="00C84EA5">
        <w:t>p</w:t>
      </w:r>
      <w:r w:rsidR="00DA6247">
        <w:t>p</w:t>
      </w:r>
      <w:r w:rsidR="00C84EA5">
        <w:t xml:space="preserve">. </w:t>
      </w:r>
      <w:r w:rsidR="00C05B1E">
        <w:t>1452 ss.</w:t>
      </w:r>
    </w:p>
  </w:footnote>
  <w:footnote w:id="40">
    <w:p w:rsidR="00381A4F" w:rsidRPr="00381A4F" w:rsidRDefault="00381A4F" w:rsidP="00AB6574">
      <w:pPr>
        <w:pStyle w:val="Testonotaapidipagina"/>
        <w:jc w:val="both"/>
      </w:pPr>
      <w:r>
        <w:rPr>
          <w:rStyle w:val="Rimandonotaapidipagina"/>
        </w:rPr>
        <w:footnoteRef/>
      </w:r>
      <w:r>
        <w:t xml:space="preserve"> </w:t>
      </w:r>
      <w:r w:rsidR="00200A60">
        <w:t>Sulla</w:t>
      </w:r>
      <w:r w:rsidR="004051A5">
        <w:t xml:space="preserve"> possibilità che </w:t>
      </w:r>
      <w:r w:rsidR="00324B61">
        <w:t xml:space="preserve">la citazione possa produrre effetti, seppure non notificata, quando, “per una anomalia, sia seguita dal giudizio”,  v. </w:t>
      </w:r>
      <w:r w:rsidR="00324B61" w:rsidRPr="00324B61">
        <w:rPr>
          <w:smallCaps/>
        </w:rPr>
        <w:t>Satta</w:t>
      </w:r>
      <w:r w:rsidR="00324B61">
        <w:t xml:space="preserve">, </w:t>
      </w:r>
      <w:r w:rsidR="00324B61" w:rsidRPr="00D75461">
        <w:rPr>
          <w:i/>
        </w:rPr>
        <w:t>Commentario al codice di procedura civile</w:t>
      </w:r>
      <w:r w:rsidR="00324B61">
        <w:t xml:space="preserve">, I, Milano, 1959, </w:t>
      </w:r>
      <w:r w:rsidR="00C84EA5">
        <w:t xml:space="preserve">p. </w:t>
      </w:r>
      <w:r w:rsidR="00324B61">
        <w:t>511 e</w:t>
      </w:r>
      <w:r w:rsidR="00AB6574">
        <w:t>,</w:t>
      </w:r>
      <w:r w:rsidR="00324B61">
        <w:t xml:space="preserve"> </w:t>
      </w:r>
      <w:r w:rsidR="00AB6574">
        <w:t>s</w:t>
      </w:r>
      <w:r w:rsidR="00324B61" w:rsidRPr="00D75461">
        <w:t>ulle conseguenze dell’equipollenza tra citazione e ricorso</w:t>
      </w:r>
      <w:r w:rsidR="00AB6574">
        <w:t>,</w:t>
      </w:r>
      <w:r w:rsidR="00324B61">
        <w:t xml:space="preserve"> </w:t>
      </w:r>
      <w:r w:rsidR="00C84EA5">
        <w:rPr>
          <w:smallCaps/>
        </w:rPr>
        <w:t>Id</w:t>
      </w:r>
      <w:r w:rsidR="007424F9">
        <w:rPr>
          <w:smallCaps/>
        </w:rPr>
        <w:t>.</w:t>
      </w:r>
      <w:r w:rsidR="00324B61" w:rsidRPr="00D75461">
        <w:t xml:space="preserve">, </w:t>
      </w:r>
      <w:r w:rsidR="00AB6574">
        <w:rPr>
          <w:i/>
        </w:rPr>
        <w:t>op. cit.</w:t>
      </w:r>
      <w:r w:rsidR="00324B61">
        <w:t>,</w:t>
      </w:r>
      <w:r w:rsidR="00C84EA5">
        <w:t xml:space="preserve"> p</w:t>
      </w:r>
      <w:r w:rsidR="00DA6247">
        <w:t>p</w:t>
      </w:r>
      <w:r w:rsidR="00C84EA5">
        <w:t>.</w:t>
      </w:r>
      <w:r w:rsidR="00324B61">
        <w:t xml:space="preserve"> 544 </w:t>
      </w:r>
      <w:r w:rsidR="00324B61" w:rsidRPr="00D75461">
        <w:t>s.</w:t>
      </w:r>
      <w:r w:rsidR="00200A60">
        <w:t xml:space="preserve"> </w:t>
      </w:r>
      <w:r w:rsidR="00425305">
        <w:t xml:space="preserve">Argomenti a favore dell’equipollenza di notificazione e deposito si ricavano anche dall’art. 170, </w:t>
      </w:r>
      <w:proofErr w:type="spellStart"/>
      <w:r w:rsidR="00425305">
        <w:t>u.c.</w:t>
      </w:r>
      <w:proofErr w:type="spellEnd"/>
      <w:r w:rsidR="00425305">
        <w:t xml:space="preserve">, c.p.c., che consente di comunicare “le comparse e le memorie consentite dal giudice” indifferentemente </w:t>
      </w:r>
      <w:r w:rsidR="00F84587">
        <w:t>con il</w:t>
      </w:r>
      <w:r w:rsidR="00425305">
        <w:t xml:space="preserve"> deposito in cancelleria o</w:t>
      </w:r>
      <w:r w:rsidR="00F84587">
        <w:t xml:space="preserve"> la</w:t>
      </w:r>
      <w:r w:rsidR="00425305">
        <w:t xml:space="preserve"> notificazione, oltre che mediante il loro scambio documentato. </w:t>
      </w:r>
      <w:r w:rsidR="00AB6574">
        <w:t xml:space="preserve">Sulla </w:t>
      </w:r>
      <w:r w:rsidR="00F11139">
        <w:t>natura necessaria</w:t>
      </w:r>
      <w:r w:rsidR="00200A60">
        <w:t xml:space="preserve"> dello strumento notificazione si vedano</w:t>
      </w:r>
      <w:r w:rsidR="00AB6574">
        <w:t xml:space="preserve"> invece</w:t>
      </w:r>
      <w:r w:rsidR="00200A60">
        <w:t xml:space="preserve"> le </w:t>
      </w:r>
      <w:r w:rsidR="00AB6574">
        <w:t xml:space="preserve">contrarie </w:t>
      </w:r>
      <w:r w:rsidR="00200A60">
        <w:t xml:space="preserve">considerazioni di </w:t>
      </w:r>
      <w:proofErr w:type="spellStart"/>
      <w:r w:rsidRPr="00200A60">
        <w:rPr>
          <w:smallCaps/>
        </w:rPr>
        <w:t>Punzi</w:t>
      </w:r>
      <w:proofErr w:type="spellEnd"/>
      <w:r>
        <w:t xml:space="preserve">, </w:t>
      </w:r>
      <w:r>
        <w:rPr>
          <w:i/>
        </w:rPr>
        <w:t xml:space="preserve">Delle comunicazioni </w:t>
      </w:r>
      <w:r w:rsidR="00C05B1E" w:rsidRPr="00F36D42">
        <w:t>cit.</w:t>
      </w:r>
      <w:r>
        <w:t xml:space="preserve">, </w:t>
      </w:r>
      <w:r w:rsidR="00C84EA5">
        <w:t>p</w:t>
      </w:r>
      <w:r w:rsidR="00DA6247">
        <w:t>p</w:t>
      </w:r>
      <w:r w:rsidR="00C84EA5">
        <w:t xml:space="preserve">. </w:t>
      </w:r>
      <w:r>
        <w:t>145</w:t>
      </w:r>
      <w:r w:rsidR="00333960">
        <w:t>7</w:t>
      </w:r>
      <w:r>
        <w:t xml:space="preserve"> ss.</w:t>
      </w:r>
    </w:p>
  </w:footnote>
  <w:footnote w:id="41">
    <w:p w:rsidR="004239FC" w:rsidRDefault="004239FC">
      <w:pPr>
        <w:pStyle w:val="Testonotaapidipagina"/>
      </w:pPr>
      <w:r>
        <w:rPr>
          <w:rStyle w:val="Rimandonotaapidipagina"/>
        </w:rPr>
        <w:footnoteRef/>
      </w:r>
      <w:r>
        <w:t xml:space="preserve"> </w:t>
      </w:r>
      <w:proofErr w:type="spellStart"/>
      <w:r w:rsidRPr="004239FC">
        <w:rPr>
          <w:smallCaps/>
        </w:rPr>
        <w:t>Salvaneschi</w:t>
      </w:r>
      <w:proofErr w:type="spellEnd"/>
      <w:r>
        <w:t xml:space="preserve">, </w:t>
      </w:r>
      <w:r w:rsidRPr="004239FC">
        <w:rPr>
          <w:i/>
        </w:rPr>
        <w:t>op. cit.</w:t>
      </w:r>
      <w:r>
        <w:t xml:space="preserve">, </w:t>
      </w:r>
      <w:r w:rsidR="00DA6247">
        <w:t xml:space="preserve">pp. </w:t>
      </w:r>
      <w:r>
        <w:t>140 ss.</w:t>
      </w:r>
    </w:p>
  </w:footnote>
  <w:footnote w:id="42">
    <w:p w:rsidR="005B0692" w:rsidRPr="003B3109" w:rsidRDefault="005B0692" w:rsidP="007673D4">
      <w:pPr>
        <w:pStyle w:val="Testonotaapidipagina"/>
        <w:jc w:val="both"/>
      </w:pPr>
      <w:r>
        <w:rPr>
          <w:rStyle w:val="Rimandonotaapidipagina"/>
        </w:rPr>
        <w:footnoteRef/>
      </w:r>
      <w:r>
        <w:t xml:space="preserve"> </w:t>
      </w:r>
      <w:r w:rsidR="007673D4" w:rsidRPr="00B73A29">
        <w:t>R</w:t>
      </w:r>
      <w:r w:rsidRPr="00B73A29">
        <w:t xml:space="preserve">ecentemente le sezioni unite hanno escluso la necessità di riportare, </w:t>
      </w:r>
      <w:r w:rsidRPr="003B3109">
        <w:t>nell’atto di citazione introduttivo del giudizio di appello, l’avvertimento di cui all’art. 163, n. 7, c.p.c. (</w:t>
      </w:r>
      <w:proofErr w:type="gramStart"/>
      <w:r w:rsidRPr="003B3109">
        <w:t>Cass.,</w:t>
      </w:r>
      <w:proofErr w:type="gramEnd"/>
      <w:r w:rsidRPr="003B3109">
        <w:t xml:space="preserve"> 18 aprile 2013, n. 9407</w:t>
      </w:r>
      <w:r w:rsidR="00567A72" w:rsidRPr="003B3109">
        <w:t xml:space="preserve">, in </w:t>
      </w:r>
      <w:r w:rsidR="003B3109" w:rsidRPr="003B3109">
        <w:rPr>
          <w:i/>
        </w:rPr>
        <w:t>Guida dir.</w:t>
      </w:r>
      <w:r w:rsidR="00567A72" w:rsidRPr="003B3109">
        <w:t>,</w:t>
      </w:r>
      <w:r w:rsidR="003B3109" w:rsidRPr="003B3109">
        <w:t xml:space="preserve"> 2013, 22, p. 44</w:t>
      </w:r>
      <w:r w:rsidRPr="003B3109">
        <w:t>).</w:t>
      </w:r>
    </w:p>
  </w:footnote>
  <w:footnote w:id="43">
    <w:p w:rsidR="0084302C" w:rsidRPr="00B73A29" w:rsidRDefault="0084302C" w:rsidP="00441BE9">
      <w:pPr>
        <w:pStyle w:val="Testonotaapidipagina"/>
        <w:jc w:val="both"/>
      </w:pPr>
      <w:r w:rsidRPr="003B3109">
        <w:rPr>
          <w:rStyle w:val="Rimandonotaapidipagina"/>
        </w:rPr>
        <w:footnoteRef/>
      </w:r>
      <w:r w:rsidRPr="003B3109">
        <w:t xml:space="preserve"> Sulla sanatoria </w:t>
      </w:r>
      <w:r w:rsidR="00A5523C" w:rsidRPr="003B3109">
        <w:t>dell’</w:t>
      </w:r>
      <w:r w:rsidR="00541BE5" w:rsidRPr="003B3109">
        <w:t xml:space="preserve">atto di impugnazione affetto da vizi che attengono la </w:t>
      </w:r>
      <w:proofErr w:type="spellStart"/>
      <w:r w:rsidR="00541BE5" w:rsidRPr="003B3109">
        <w:rPr>
          <w:i/>
        </w:rPr>
        <w:t>vocatio</w:t>
      </w:r>
      <w:proofErr w:type="spellEnd"/>
      <w:r w:rsidR="00541BE5" w:rsidRPr="003B3109">
        <w:rPr>
          <w:i/>
        </w:rPr>
        <w:t xml:space="preserve"> in </w:t>
      </w:r>
      <w:proofErr w:type="spellStart"/>
      <w:r w:rsidR="00541BE5" w:rsidRPr="003B3109">
        <w:rPr>
          <w:i/>
        </w:rPr>
        <w:t>ius</w:t>
      </w:r>
      <w:proofErr w:type="spellEnd"/>
      <w:r w:rsidR="00541BE5" w:rsidRPr="003B3109">
        <w:rPr>
          <w:i/>
        </w:rPr>
        <w:t xml:space="preserve"> </w:t>
      </w:r>
      <w:r w:rsidR="00541BE5" w:rsidRPr="003B3109">
        <w:t>vedi</w:t>
      </w:r>
      <w:r w:rsidRPr="003B3109">
        <w:t xml:space="preserve"> per tutti </w:t>
      </w:r>
      <w:r w:rsidRPr="003B3109">
        <w:rPr>
          <w:smallCaps/>
        </w:rPr>
        <w:t>Consolo</w:t>
      </w:r>
      <w:r w:rsidRPr="003B3109">
        <w:t xml:space="preserve">, </w:t>
      </w:r>
      <w:r w:rsidRPr="003B3109">
        <w:rPr>
          <w:i/>
        </w:rPr>
        <w:t>L’impugnazione delle sentenze e dei lodi</w:t>
      </w:r>
      <w:r w:rsidRPr="003B3109">
        <w:t xml:space="preserve">, Padova, 2012, </w:t>
      </w:r>
      <w:r w:rsidR="00DA6247" w:rsidRPr="003B3109">
        <w:t>p</w:t>
      </w:r>
      <w:r w:rsidR="00DF2F0F" w:rsidRPr="003B3109">
        <w:t xml:space="preserve">p. </w:t>
      </w:r>
      <w:r w:rsidRPr="003B3109">
        <w:t xml:space="preserve">175 ss. e, in giurisprudenza, </w:t>
      </w:r>
      <w:proofErr w:type="gramStart"/>
      <w:r w:rsidRPr="003B3109">
        <w:t>Cass.,</w:t>
      </w:r>
      <w:proofErr w:type="gramEnd"/>
      <w:r w:rsidRPr="003B3109">
        <w:t xml:space="preserve"> 28</w:t>
      </w:r>
      <w:r w:rsidR="00211EA2" w:rsidRPr="003B3109">
        <w:t xml:space="preserve"> maggio </w:t>
      </w:r>
      <w:r w:rsidRPr="003B3109">
        <w:t xml:space="preserve">2010, n. </w:t>
      </w:r>
      <w:r w:rsidR="007424F9" w:rsidRPr="003B3109">
        <w:t>13128</w:t>
      </w:r>
      <w:r w:rsidR="00567A72" w:rsidRPr="003B3109">
        <w:t xml:space="preserve">, in </w:t>
      </w:r>
      <w:r w:rsidR="00567A72" w:rsidRPr="003B3109">
        <w:rPr>
          <w:i/>
        </w:rPr>
        <w:t xml:space="preserve">Mass. Giust. </w:t>
      </w:r>
      <w:proofErr w:type="gramStart"/>
      <w:r w:rsidR="00567A72" w:rsidRPr="003B3109">
        <w:rPr>
          <w:i/>
        </w:rPr>
        <w:t>civ.</w:t>
      </w:r>
      <w:r w:rsidR="00567A72" w:rsidRPr="003B3109">
        <w:t>,</w:t>
      </w:r>
      <w:proofErr w:type="gramEnd"/>
      <w:r w:rsidR="00567A72" w:rsidRPr="003B3109">
        <w:t xml:space="preserve"> </w:t>
      </w:r>
      <w:r w:rsidR="00D41816" w:rsidRPr="003B3109">
        <w:t>2010</w:t>
      </w:r>
      <w:r w:rsidR="00567A72" w:rsidRPr="003B3109">
        <w:t xml:space="preserve">, p. </w:t>
      </w:r>
      <w:r w:rsidR="00D41816" w:rsidRPr="003B3109">
        <w:t>832</w:t>
      </w:r>
      <w:r w:rsidR="007424F9" w:rsidRPr="003B3109">
        <w:t>; Cass</w:t>
      </w:r>
      <w:r w:rsidR="00BD5803" w:rsidRPr="003B3109">
        <w:t>., 16</w:t>
      </w:r>
      <w:r w:rsidR="00211EA2" w:rsidRPr="003B3109">
        <w:t xml:space="preserve"> ottobre </w:t>
      </w:r>
      <w:r w:rsidR="00BD5803" w:rsidRPr="003B3109">
        <w:t>2009, n. 22024</w:t>
      </w:r>
      <w:r w:rsidR="00567A72" w:rsidRPr="003B3109">
        <w:t xml:space="preserve">, in </w:t>
      </w:r>
      <w:r w:rsidR="00D41816" w:rsidRPr="003B3109">
        <w:rPr>
          <w:i/>
        </w:rPr>
        <w:t>Foro it.</w:t>
      </w:r>
      <w:r w:rsidR="00567A72" w:rsidRPr="003B3109">
        <w:t>,</w:t>
      </w:r>
      <w:r w:rsidR="00D41816" w:rsidRPr="003B3109">
        <w:t xml:space="preserve"> 2010, I, c</w:t>
      </w:r>
      <w:r w:rsidR="00567A72" w:rsidRPr="00B73A29">
        <w:t xml:space="preserve">. </w:t>
      </w:r>
      <w:r w:rsidR="00D41816" w:rsidRPr="00B73A29">
        <w:t xml:space="preserve">3496, con nota di </w:t>
      </w:r>
      <w:r w:rsidR="00D41816" w:rsidRPr="00B73A29">
        <w:rPr>
          <w:smallCaps/>
        </w:rPr>
        <w:t>Balena</w:t>
      </w:r>
      <w:r w:rsidR="00BD5803" w:rsidRPr="00B73A29">
        <w:t xml:space="preserve"> e </w:t>
      </w:r>
      <w:r w:rsidR="007424F9" w:rsidRPr="00B73A29">
        <w:t>Cass.</w:t>
      </w:r>
      <w:r w:rsidR="00BD5803" w:rsidRPr="00B73A29">
        <w:t>, 1</w:t>
      </w:r>
      <w:r w:rsidR="00211EA2" w:rsidRPr="00B73A29">
        <w:t xml:space="preserve"> luglio </w:t>
      </w:r>
      <w:r w:rsidR="00BD5803" w:rsidRPr="00B73A29">
        <w:t>2008, n. 17951</w:t>
      </w:r>
      <w:r w:rsidR="00567A72" w:rsidRPr="00B73A29">
        <w:t xml:space="preserve">, in </w:t>
      </w:r>
      <w:r w:rsidR="00567A72" w:rsidRPr="00B73A29">
        <w:rPr>
          <w:i/>
        </w:rPr>
        <w:t xml:space="preserve">Mass. Giust. </w:t>
      </w:r>
      <w:proofErr w:type="gramStart"/>
      <w:r w:rsidR="00567A72" w:rsidRPr="00B73A29">
        <w:rPr>
          <w:i/>
        </w:rPr>
        <w:t>civ.</w:t>
      </w:r>
      <w:r w:rsidR="00567A72" w:rsidRPr="00B73A29">
        <w:t>,</w:t>
      </w:r>
      <w:proofErr w:type="gramEnd"/>
      <w:r w:rsidR="00567A72" w:rsidRPr="00B73A29">
        <w:t xml:space="preserve"> </w:t>
      </w:r>
      <w:r w:rsidR="00D41816" w:rsidRPr="00B73A29">
        <w:t>2008</w:t>
      </w:r>
      <w:r w:rsidR="00567A72" w:rsidRPr="00B73A29">
        <w:t xml:space="preserve">, p. </w:t>
      </w:r>
      <w:r w:rsidR="00D41816" w:rsidRPr="00B73A29">
        <w:t>1065</w:t>
      </w:r>
      <w:r w:rsidR="00BD5803" w:rsidRPr="00B73A29">
        <w:t>.</w:t>
      </w:r>
    </w:p>
  </w:footnote>
  <w:footnote w:id="44">
    <w:p w:rsidR="00697B1C" w:rsidRPr="00B73A29" w:rsidRDefault="00697B1C" w:rsidP="00697B1C">
      <w:pPr>
        <w:pStyle w:val="Testonotaapidipagina"/>
        <w:jc w:val="both"/>
      </w:pPr>
      <w:r w:rsidRPr="00B73A29">
        <w:rPr>
          <w:rStyle w:val="Rimandonotaapidipagina"/>
        </w:rPr>
        <w:footnoteRef/>
      </w:r>
      <w:r w:rsidRPr="00B73A29">
        <w:t xml:space="preserve"> Corte </w:t>
      </w:r>
      <w:proofErr w:type="gramStart"/>
      <w:r w:rsidRPr="00B73A29">
        <w:t>cost.,</w:t>
      </w:r>
      <w:proofErr w:type="gramEnd"/>
      <w:r w:rsidRPr="00B73A29">
        <w:t xml:space="preserve"> 2 aprile 2004, n. 107, in </w:t>
      </w:r>
      <w:r w:rsidRPr="00B73A29">
        <w:rPr>
          <w:i/>
        </w:rPr>
        <w:t>Foro it.</w:t>
      </w:r>
      <w:r w:rsidRPr="00B73A29">
        <w:t xml:space="preserve">, 2004, I, cc. 1321 ss. con nota di </w:t>
      </w:r>
      <w:r w:rsidRPr="00B73A29">
        <w:rPr>
          <w:smallCaps/>
        </w:rPr>
        <w:t>Caponi</w:t>
      </w:r>
      <w:r w:rsidRPr="00B73A29">
        <w:t xml:space="preserve">, </w:t>
      </w:r>
      <w:r w:rsidRPr="00B73A29">
        <w:rPr>
          <w:i/>
        </w:rPr>
        <w:t>Sul perfezionamento della notificazione e l’iscrizione della causa a ruolo</w:t>
      </w:r>
      <w:r w:rsidRPr="00B73A29">
        <w:t>.</w:t>
      </w:r>
    </w:p>
  </w:footnote>
  <w:footnote w:id="45">
    <w:p w:rsidR="00697B1C" w:rsidRPr="00211EA2" w:rsidRDefault="00697B1C" w:rsidP="00567A72">
      <w:pPr>
        <w:pStyle w:val="Testonotaapidipagina"/>
        <w:jc w:val="both"/>
      </w:pPr>
      <w:r w:rsidRPr="00B73A29">
        <w:rPr>
          <w:rStyle w:val="Rimandonotaapidipagina"/>
        </w:rPr>
        <w:footnoteRef/>
      </w:r>
      <w:r w:rsidRPr="00B73A29">
        <w:t xml:space="preserve"> </w:t>
      </w:r>
      <w:proofErr w:type="gramStart"/>
      <w:r w:rsidRPr="00B73A29">
        <w:t>Cass.,</w:t>
      </w:r>
      <w:proofErr w:type="gramEnd"/>
      <w:r w:rsidRPr="00B73A29">
        <w:t xml:space="preserve"> 17 dicembre 2010, n. 25640</w:t>
      </w:r>
      <w:r w:rsidR="00567A72" w:rsidRPr="00B73A29">
        <w:t>, in</w:t>
      </w:r>
      <w:r w:rsidR="00567A72" w:rsidRPr="00B73A29">
        <w:rPr>
          <w:i/>
        </w:rPr>
        <w:t xml:space="preserve"> G</w:t>
      </w:r>
      <w:r w:rsidR="00D41816" w:rsidRPr="00B73A29">
        <w:rPr>
          <w:i/>
        </w:rPr>
        <w:t>uida dir</w:t>
      </w:r>
      <w:r w:rsidR="00567A72" w:rsidRPr="00B73A29">
        <w:rPr>
          <w:i/>
        </w:rPr>
        <w:t>.</w:t>
      </w:r>
      <w:r w:rsidR="00567A72" w:rsidRPr="00B73A29">
        <w:t xml:space="preserve">, </w:t>
      </w:r>
      <w:r w:rsidR="00D41816" w:rsidRPr="00B73A29">
        <w:t>2011</w:t>
      </w:r>
      <w:r w:rsidR="00567A72" w:rsidRPr="00B73A29">
        <w:t>,</w:t>
      </w:r>
      <w:r w:rsidR="00D41816" w:rsidRPr="00B73A29">
        <w:t xml:space="preserve"> 5,</w:t>
      </w:r>
      <w:r w:rsidR="00567A72" w:rsidRPr="00B73A29">
        <w:t xml:space="preserve"> p. </w:t>
      </w:r>
      <w:r w:rsidR="00D41816" w:rsidRPr="00B73A29">
        <w:t>97</w:t>
      </w:r>
      <w:r w:rsidRPr="00B73A29">
        <w:t>; Cass., 25 gennaio 2010, n. 1310</w:t>
      </w:r>
      <w:r w:rsidR="00567A72" w:rsidRPr="00B73A29">
        <w:t xml:space="preserve">, in </w:t>
      </w:r>
      <w:r w:rsidR="00567A72" w:rsidRPr="00B73A29">
        <w:rPr>
          <w:i/>
        </w:rPr>
        <w:t xml:space="preserve">Mass. Giust. </w:t>
      </w:r>
      <w:proofErr w:type="gramStart"/>
      <w:r w:rsidR="00567A72" w:rsidRPr="00B73A29">
        <w:rPr>
          <w:i/>
        </w:rPr>
        <w:t>civ.</w:t>
      </w:r>
      <w:r w:rsidR="00567A72" w:rsidRPr="00B73A29">
        <w:t>,</w:t>
      </w:r>
      <w:proofErr w:type="gramEnd"/>
      <w:r w:rsidR="00567A72" w:rsidRPr="00B73A29">
        <w:t xml:space="preserve"> </w:t>
      </w:r>
      <w:r w:rsidR="00B73A29" w:rsidRPr="00B73A29">
        <w:t>2010</w:t>
      </w:r>
      <w:r w:rsidR="00567A72" w:rsidRPr="00B73A29">
        <w:t xml:space="preserve">, p. </w:t>
      </w:r>
      <w:r w:rsidR="00B73A29" w:rsidRPr="00B73A29">
        <w:t>292</w:t>
      </w:r>
      <w:r w:rsidRPr="00B73A29">
        <w:t>; Cass., 24 agosto 2007, n. 17958</w:t>
      </w:r>
      <w:r w:rsidR="00567A72" w:rsidRPr="00B73A29">
        <w:t>, in</w:t>
      </w:r>
      <w:r w:rsidR="00B73A29" w:rsidRPr="00B73A29">
        <w:t xml:space="preserve"> </w:t>
      </w:r>
      <w:r w:rsidR="00567A72" w:rsidRPr="00B73A29">
        <w:rPr>
          <w:i/>
        </w:rPr>
        <w:t xml:space="preserve">Giust. </w:t>
      </w:r>
      <w:proofErr w:type="gramStart"/>
      <w:r w:rsidR="00567A72" w:rsidRPr="00B73A29">
        <w:rPr>
          <w:i/>
        </w:rPr>
        <w:t>civ.</w:t>
      </w:r>
      <w:r w:rsidR="00567A72" w:rsidRPr="00B73A29">
        <w:t>,</w:t>
      </w:r>
      <w:proofErr w:type="gramEnd"/>
      <w:r w:rsidR="00B73A29" w:rsidRPr="00B73A29">
        <w:t xml:space="preserve"> 2008</w:t>
      </w:r>
      <w:r w:rsidR="00567A72" w:rsidRPr="00B73A29">
        <w:t>,</w:t>
      </w:r>
      <w:r w:rsidR="00B73A29" w:rsidRPr="00B73A29">
        <w:t xml:space="preserve"> I,</w:t>
      </w:r>
      <w:r w:rsidR="00567A72" w:rsidRPr="00B73A29">
        <w:t xml:space="preserve"> p. </w:t>
      </w:r>
      <w:r w:rsidR="00B73A29" w:rsidRPr="00B73A29">
        <w:t>1959</w:t>
      </w:r>
      <w:r w:rsidRPr="00B73A29">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B3"/>
    <w:rsid w:val="000011F6"/>
    <w:rsid w:val="00001BCD"/>
    <w:rsid w:val="0000484D"/>
    <w:rsid w:val="0000576E"/>
    <w:rsid w:val="000063C7"/>
    <w:rsid w:val="000223A2"/>
    <w:rsid w:val="000245C3"/>
    <w:rsid w:val="00030E26"/>
    <w:rsid w:val="00032A0D"/>
    <w:rsid w:val="0003751B"/>
    <w:rsid w:val="000435B9"/>
    <w:rsid w:val="00045F27"/>
    <w:rsid w:val="00051364"/>
    <w:rsid w:val="000525D0"/>
    <w:rsid w:val="00052E77"/>
    <w:rsid w:val="000660CC"/>
    <w:rsid w:val="00072204"/>
    <w:rsid w:val="0007289A"/>
    <w:rsid w:val="00075A5E"/>
    <w:rsid w:val="00080BE8"/>
    <w:rsid w:val="00081DA2"/>
    <w:rsid w:val="0008314D"/>
    <w:rsid w:val="00083F1B"/>
    <w:rsid w:val="000850EC"/>
    <w:rsid w:val="00087BB0"/>
    <w:rsid w:val="00093B2D"/>
    <w:rsid w:val="00096A5C"/>
    <w:rsid w:val="00096D90"/>
    <w:rsid w:val="000A1715"/>
    <w:rsid w:val="000A3A5C"/>
    <w:rsid w:val="000B0628"/>
    <w:rsid w:val="000B0AEA"/>
    <w:rsid w:val="000B3382"/>
    <w:rsid w:val="000B68BD"/>
    <w:rsid w:val="000B7271"/>
    <w:rsid w:val="000C2BE1"/>
    <w:rsid w:val="000D1AE0"/>
    <w:rsid w:val="000D64F2"/>
    <w:rsid w:val="000E1D7F"/>
    <w:rsid w:val="00103CAE"/>
    <w:rsid w:val="00107CAB"/>
    <w:rsid w:val="001129E6"/>
    <w:rsid w:val="0011343E"/>
    <w:rsid w:val="0011359D"/>
    <w:rsid w:val="00113FCB"/>
    <w:rsid w:val="0011404D"/>
    <w:rsid w:val="00115AC6"/>
    <w:rsid w:val="0011610F"/>
    <w:rsid w:val="001165BF"/>
    <w:rsid w:val="00116661"/>
    <w:rsid w:val="00117303"/>
    <w:rsid w:val="00117FE7"/>
    <w:rsid w:val="00122830"/>
    <w:rsid w:val="00124590"/>
    <w:rsid w:val="001311F6"/>
    <w:rsid w:val="00140BBA"/>
    <w:rsid w:val="00144704"/>
    <w:rsid w:val="001449AA"/>
    <w:rsid w:val="00147C12"/>
    <w:rsid w:val="0015688D"/>
    <w:rsid w:val="00157B21"/>
    <w:rsid w:val="00157B40"/>
    <w:rsid w:val="00166545"/>
    <w:rsid w:val="0017560F"/>
    <w:rsid w:val="001768C6"/>
    <w:rsid w:val="001770A5"/>
    <w:rsid w:val="0018001B"/>
    <w:rsid w:val="00181D25"/>
    <w:rsid w:val="00186FA1"/>
    <w:rsid w:val="00187E2F"/>
    <w:rsid w:val="00190800"/>
    <w:rsid w:val="001933B6"/>
    <w:rsid w:val="00195B28"/>
    <w:rsid w:val="001963BA"/>
    <w:rsid w:val="00196678"/>
    <w:rsid w:val="001976F7"/>
    <w:rsid w:val="001A0423"/>
    <w:rsid w:val="001A37C7"/>
    <w:rsid w:val="001B45E2"/>
    <w:rsid w:val="001C1DB5"/>
    <w:rsid w:val="001C5C8F"/>
    <w:rsid w:val="001D307E"/>
    <w:rsid w:val="001E0B41"/>
    <w:rsid w:val="001E371F"/>
    <w:rsid w:val="001E53D3"/>
    <w:rsid w:val="001E5F87"/>
    <w:rsid w:val="001F085D"/>
    <w:rsid w:val="001F3D8D"/>
    <w:rsid w:val="001F445B"/>
    <w:rsid w:val="001F6C4D"/>
    <w:rsid w:val="001F763A"/>
    <w:rsid w:val="00200A60"/>
    <w:rsid w:val="00202991"/>
    <w:rsid w:val="00211EA2"/>
    <w:rsid w:val="00212EF0"/>
    <w:rsid w:val="002133B9"/>
    <w:rsid w:val="00214A3D"/>
    <w:rsid w:val="00214EA5"/>
    <w:rsid w:val="00214EBC"/>
    <w:rsid w:val="00216E0A"/>
    <w:rsid w:val="002238ED"/>
    <w:rsid w:val="0022417F"/>
    <w:rsid w:val="00233CD2"/>
    <w:rsid w:val="00234790"/>
    <w:rsid w:val="002518E9"/>
    <w:rsid w:val="002634FD"/>
    <w:rsid w:val="0027512D"/>
    <w:rsid w:val="002751C3"/>
    <w:rsid w:val="00277110"/>
    <w:rsid w:val="00281C98"/>
    <w:rsid w:val="00284528"/>
    <w:rsid w:val="002864A1"/>
    <w:rsid w:val="00290416"/>
    <w:rsid w:val="00291307"/>
    <w:rsid w:val="00293855"/>
    <w:rsid w:val="00293967"/>
    <w:rsid w:val="00296458"/>
    <w:rsid w:val="002A530A"/>
    <w:rsid w:val="002A6044"/>
    <w:rsid w:val="002B0DE5"/>
    <w:rsid w:val="002B37C5"/>
    <w:rsid w:val="002C1BE6"/>
    <w:rsid w:val="002C6FC8"/>
    <w:rsid w:val="002D03D7"/>
    <w:rsid w:val="002D3720"/>
    <w:rsid w:val="002D37D3"/>
    <w:rsid w:val="002D6AA4"/>
    <w:rsid w:val="002E02EF"/>
    <w:rsid w:val="002E2E9A"/>
    <w:rsid w:val="002E3039"/>
    <w:rsid w:val="002E74A9"/>
    <w:rsid w:val="002F1673"/>
    <w:rsid w:val="002F24BB"/>
    <w:rsid w:val="002F262D"/>
    <w:rsid w:val="002F28F4"/>
    <w:rsid w:val="002F7BB1"/>
    <w:rsid w:val="00301E1F"/>
    <w:rsid w:val="00305959"/>
    <w:rsid w:val="003073D1"/>
    <w:rsid w:val="003100DE"/>
    <w:rsid w:val="00311172"/>
    <w:rsid w:val="003150D1"/>
    <w:rsid w:val="00316B72"/>
    <w:rsid w:val="00324B61"/>
    <w:rsid w:val="003273E3"/>
    <w:rsid w:val="00333960"/>
    <w:rsid w:val="0033498E"/>
    <w:rsid w:val="00335DB8"/>
    <w:rsid w:val="00337E0A"/>
    <w:rsid w:val="003420D5"/>
    <w:rsid w:val="00342144"/>
    <w:rsid w:val="00343953"/>
    <w:rsid w:val="00343F49"/>
    <w:rsid w:val="0035166D"/>
    <w:rsid w:val="00352C76"/>
    <w:rsid w:val="00356206"/>
    <w:rsid w:val="00360581"/>
    <w:rsid w:val="00364C13"/>
    <w:rsid w:val="00366C97"/>
    <w:rsid w:val="003705A9"/>
    <w:rsid w:val="0037110C"/>
    <w:rsid w:val="003712DA"/>
    <w:rsid w:val="00372758"/>
    <w:rsid w:val="00374136"/>
    <w:rsid w:val="00380BFA"/>
    <w:rsid w:val="00381A4F"/>
    <w:rsid w:val="003855CC"/>
    <w:rsid w:val="0038655B"/>
    <w:rsid w:val="0039097C"/>
    <w:rsid w:val="003A04A2"/>
    <w:rsid w:val="003A189A"/>
    <w:rsid w:val="003A1EC9"/>
    <w:rsid w:val="003A40F5"/>
    <w:rsid w:val="003A4E02"/>
    <w:rsid w:val="003A63F5"/>
    <w:rsid w:val="003B1F0E"/>
    <w:rsid w:val="003B3109"/>
    <w:rsid w:val="003C48AD"/>
    <w:rsid w:val="003C6923"/>
    <w:rsid w:val="003D002D"/>
    <w:rsid w:val="003F0212"/>
    <w:rsid w:val="003F44B9"/>
    <w:rsid w:val="003F5220"/>
    <w:rsid w:val="003F62E7"/>
    <w:rsid w:val="0040170C"/>
    <w:rsid w:val="004051A5"/>
    <w:rsid w:val="00407CFC"/>
    <w:rsid w:val="0041237F"/>
    <w:rsid w:val="00412845"/>
    <w:rsid w:val="0041333B"/>
    <w:rsid w:val="004239FC"/>
    <w:rsid w:val="00425305"/>
    <w:rsid w:val="004336B8"/>
    <w:rsid w:val="0044165F"/>
    <w:rsid w:val="00441BE9"/>
    <w:rsid w:val="004435E1"/>
    <w:rsid w:val="004464C7"/>
    <w:rsid w:val="00447214"/>
    <w:rsid w:val="00451FC7"/>
    <w:rsid w:val="00452B58"/>
    <w:rsid w:val="004606AA"/>
    <w:rsid w:val="00467F70"/>
    <w:rsid w:val="00480768"/>
    <w:rsid w:val="00480C8F"/>
    <w:rsid w:val="00485FC4"/>
    <w:rsid w:val="004A2572"/>
    <w:rsid w:val="004A64DA"/>
    <w:rsid w:val="004A6BC0"/>
    <w:rsid w:val="004B1578"/>
    <w:rsid w:val="004B3FD0"/>
    <w:rsid w:val="004B607A"/>
    <w:rsid w:val="004C0356"/>
    <w:rsid w:val="004C0679"/>
    <w:rsid w:val="004C14A7"/>
    <w:rsid w:val="004C4C8D"/>
    <w:rsid w:val="004C5EE7"/>
    <w:rsid w:val="004C7D30"/>
    <w:rsid w:val="004D5D53"/>
    <w:rsid w:val="004D6FE2"/>
    <w:rsid w:val="004E4BA5"/>
    <w:rsid w:val="004E6AA5"/>
    <w:rsid w:val="004F03C1"/>
    <w:rsid w:val="004F21E1"/>
    <w:rsid w:val="004F2332"/>
    <w:rsid w:val="004F4FCF"/>
    <w:rsid w:val="005009E7"/>
    <w:rsid w:val="00505505"/>
    <w:rsid w:val="005067B2"/>
    <w:rsid w:val="00507D90"/>
    <w:rsid w:val="005104FF"/>
    <w:rsid w:val="0051110F"/>
    <w:rsid w:val="005128F6"/>
    <w:rsid w:val="0051631E"/>
    <w:rsid w:val="00524D11"/>
    <w:rsid w:val="00525F7A"/>
    <w:rsid w:val="00531DF8"/>
    <w:rsid w:val="005332B3"/>
    <w:rsid w:val="00541BE5"/>
    <w:rsid w:val="00544249"/>
    <w:rsid w:val="00544605"/>
    <w:rsid w:val="00544D04"/>
    <w:rsid w:val="00550DC1"/>
    <w:rsid w:val="0055552D"/>
    <w:rsid w:val="00565D60"/>
    <w:rsid w:val="00566EC9"/>
    <w:rsid w:val="005675BA"/>
    <w:rsid w:val="00567A72"/>
    <w:rsid w:val="005706A4"/>
    <w:rsid w:val="005707E4"/>
    <w:rsid w:val="0057332E"/>
    <w:rsid w:val="00580BD5"/>
    <w:rsid w:val="0058282D"/>
    <w:rsid w:val="00584B91"/>
    <w:rsid w:val="005851D2"/>
    <w:rsid w:val="00590854"/>
    <w:rsid w:val="00590C8B"/>
    <w:rsid w:val="00593233"/>
    <w:rsid w:val="0059569C"/>
    <w:rsid w:val="005A1768"/>
    <w:rsid w:val="005A4D40"/>
    <w:rsid w:val="005A52D1"/>
    <w:rsid w:val="005A7394"/>
    <w:rsid w:val="005A7A75"/>
    <w:rsid w:val="005A7C5A"/>
    <w:rsid w:val="005A7F50"/>
    <w:rsid w:val="005B0692"/>
    <w:rsid w:val="005B118E"/>
    <w:rsid w:val="005C2853"/>
    <w:rsid w:val="005C2A82"/>
    <w:rsid w:val="005C3866"/>
    <w:rsid w:val="005C45C1"/>
    <w:rsid w:val="005C558C"/>
    <w:rsid w:val="005C5E4E"/>
    <w:rsid w:val="005D0705"/>
    <w:rsid w:val="005D2324"/>
    <w:rsid w:val="005D517F"/>
    <w:rsid w:val="005D6AC2"/>
    <w:rsid w:val="005E20DF"/>
    <w:rsid w:val="005E31BC"/>
    <w:rsid w:val="005F27CE"/>
    <w:rsid w:val="005F7BA6"/>
    <w:rsid w:val="00601690"/>
    <w:rsid w:val="0060466F"/>
    <w:rsid w:val="006102D9"/>
    <w:rsid w:val="0061258F"/>
    <w:rsid w:val="00617F4E"/>
    <w:rsid w:val="00622190"/>
    <w:rsid w:val="0062457F"/>
    <w:rsid w:val="00624CC6"/>
    <w:rsid w:val="00625A3E"/>
    <w:rsid w:val="006316DF"/>
    <w:rsid w:val="00636196"/>
    <w:rsid w:val="00650038"/>
    <w:rsid w:val="0065117F"/>
    <w:rsid w:val="00651C9E"/>
    <w:rsid w:val="00654506"/>
    <w:rsid w:val="00655777"/>
    <w:rsid w:val="00660A6F"/>
    <w:rsid w:val="00665225"/>
    <w:rsid w:val="006704C8"/>
    <w:rsid w:val="006710FB"/>
    <w:rsid w:val="0067618F"/>
    <w:rsid w:val="0067703E"/>
    <w:rsid w:val="00677840"/>
    <w:rsid w:val="00693D81"/>
    <w:rsid w:val="00695CB2"/>
    <w:rsid w:val="00696DF7"/>
    <w:rsid w:val="00697B1C"/>
    <w:rsid w:val="006A263C"/>
    <w:rsid w:val="006A3554"/>
    <w:rsid w:val="006A5297"/>
    <w:rsid w:val="006A5A2C"/>
    <w:rsid w:val="006B127C"/>
    <w:rsid w:val="006B7E45"/>
    <w:rsid w:val="006C1224"/>
    <w:rsid w:val="006C3111"/>
    <w:rsid w:val="006C7A00"/>
    <w:rsid w:val="006D010F"/>
    <w:rsid w:val="006D2FE4"/>
    <w:rsid w:val="006D40C4"/>
    <w:rsid w:val="006D5D57"/>
    <w:rsid w:val="006D699F"/>
    <w:rsid w:val="006D7D13"/>
    <w:rsid w:val="006E13A2"/>
    <w:rsid w:val="006E1C54"/>
    <w:rsid w:val="006E282B"/>
    <w:rsid w:val="006E64B3"/>
    <w:rsid w:val="006E7E7D"/>
    <w:rsid w:val="006F233D"/>
    <w:rsid w:val="006F2A57"/>
    <w:rsid w:val="006F42E5"/>
    <w:rsid w:val="00701B64"/>
    <w:rsid w:val="00702245"/>
    <w:rsid w:val="007027EC"/>
    <w:rsid w:val="0070757F"/>
    <w:rsid w:val="0071033E"/>
    <w:rsid w:val="007105CC"/>
    <w:rsid w:val="007161DF"/>
    <w:rsid w:val="007170BB"/>
    <w:rsid w:val="007179CD"/>
    <w:rsid w:val="00717DFC"/>
    <w:rsid w:val="00725E16"/>
    <w:rsid w:val="00727EC5"/>
    <w:rsid w:val="0073374B"/>
    <w:rsid w:val="007361A1"/>
    <w:rsid w:val="00736EB7"/>
    <w:rsid w:val="007424F9"/>
    <w:rsid w:val="00743465"/>
    <w:rsid w:val="00746DB4"/>
    <w:rsid w:val="00747B22"/>
    <w:rsid w:val="007662D7"/>
    <w:rsid w:val="007673D4"/>
    <w:rsid w:val="007707C8"/>
    <w:rsid w:val="0077154A"/>
    <w:rsid w:val="00773505"/>
    <w:rsid w:val="007739A5"/>
    <w:rsid w:val="007776B4"/>
    <w:rsid w:val="007810AC"/>
    <w:rsid w:val="007825B5"/>
    <w:rsid w:val="00791972"/>
    <w:rsid w:val="00794329"/>
    <w:rsid w:val="00794AA2"/>
    <w:rsid w:val="007A2185"/>
    <w:rsid w:val="007A2FF8"/>
    <w:rsid w:val="007B349E"/>
    <w:rsid w:val="007D1DB5"/>
    <w:rsid w:val="007E1109"/>
    <w:rsid w:val="007E2C52"/>
    <w:rsid w:val="007E53DA"/>
    <w:rsid w:val="007E74D9"/>
    <w:rsid w:val="007F5A7E"/>
    <w:rsid w:val="007F5ABA"/>
    <w:rsid w:val="00805C5F"/>
    <w:rsid w:val="008171C1"/>
    <w:rsid w:val="00831515"/>
    <w:rsid w:val="00834D8A"/>
    <w:rsid w:val="00837709"/>
    <w:rsid w:val="00840BA9"/>
    <w:rsid w:val="00841F9C"/>
    <w:rsid w:val="0084302C"/>
    <w:rsid w:val="008446E6"/>
    <w:rsid w:val="00844F48"/>
    <w:rsid w:val="008454B2"/>
    <w:rsid w:val="00863F39"/>
    <w:rsid w:val="00865D31"/>
    <w:rsid w:val="008664D9"/>
    <w:rsid w:val="008676C2"/>
    <w:rsid w:val="00871135"/>
    <w:rsid w:val="0087167B"/>
    <w:rsid w:val="0088344D"/>
    <w:rsid w:val="00883856"/>
    <w:rsid w:val="008859E2"/>
    <w:rsid w:val="008905F7"/>
    <w:rsid w:val="00896298"/>
    <w:rsid w:val="008A4A1A"/>
    <w:rsid w:val="008B0A2F"/>
    <w:rsid w:val="008B592F"/>
    <w:rsid w:val="008B6077"/>
    <w:rsid w:val="008B7DF3"/>
    <w:rsid w:val="008C1C35"/>
    <w:rsid w:val="008C257D"/>
    <w:rsid w:val="008C2C1D"/>
    <w:rsid w:val="008D0D54"/>
    <w:rsid w:val="008D4A74"/>
    <w:rsid w:val="008D670A"/>
    <w:rsid w:val="008E15A2"/>
    <w:rsid w:val="008E1922"/>
    <w:rsid w:val="008E1E9F"/>
    <w:rsid w:val="008E487A"/>
    <w:rsid w:val="008E7085"/>
    <w:rsid w:val="008F1E58"/>
    <w:rsid w:val="008F3B3E"/>
    <w:rsid w:val="008F67F8"/>
    <w:rsid w:val="00900431"/>
    <w:rsid w:val="00901791"/>
    <w:rsid w:val="00902EC1"/>
    <w:rsid w:val="009046B3"/>
    <w:rsid w:val="00907215"/>
    <w:rsid w:val="00913D07"/>
    <w:rsid w:val="00917CE5"/>
    <w:rsid w:val="00922A24"/>
    <w:rsid w:val="00923AC0"/>
    <w:rsid w:val="009338E5"/>
    <w:rsid w:val="0093430B"/>
    <w:rsid w:val="0093602F"/>
    <w:rsid w:val="009375D6"/>
    <w:rsid w:val="00950A7B"/>
    <w:rsid w:val="00952D9B"/>
    <w:rsid w:val="00953816"/>
    <w:rsid w:val="00954834"/>
    <w:rsid w:val="00965D2B"/>
    <w:rsid w:val="009723B6"/>
    <w:rsid w:val="009748C1"/>
    <w:rsid w:val="00977B0D"/>
    <w:rsid w:val="00982D5D"/>
    <w:rsid w:val="00984295"/>
    <w:rsid w:val="00984B65"/>
    <w:rsid w:val="00986030"/>
    <w:rsid w:val="00987A02"/>
    <w:rsid w:val="009909BE"/>
    <w:rsid w:val="009917CB"/>
    <w:rsid w:val="00992882"/>
    <w:rsid w:val="00995D86"/>
    <w:rsid w:val="009A0268"/>
    <w:rsid w:val="009A2AB0"/>
    <w:rsid w:val="009A41B8"/>
    <w:rsid w:val="009A5BC5"/>
    <w:rsid w:val="009B36B8"/>
    <w:rsid w:val="009B4963"/>
    <w:rsid w:val="009B6D8E"/>
    <w:rsid w:val="009C375A"/>
    <w:rsid w:val="009C5833"/>
    <w:rsid w:val="009D0A32"/>
    <w:rsid w:val="009E1132"/>
    <w:rsid w:val="009E4AF0"/>
    <w:rsid w:val="009F140B"/>
    <w:rsid w:val="00A1153C"/>
    <w:rsid w:val="00A134D9"/>
    <w:rsid w:val="00A148F4"/>
    <w:rsid w:val="00A17B83"/>
    <w:rsid w:val="00A217A4"/>
    <w:rsid w:val="00A24303"/>
    <w:rsid w:val="00A266D4"/>
    <w:rsid w:val="00A270F5"/>
    <w:rsid w:val="00A27524"/>
    <w:rsid w:val="00A33E25"/>
    <w:rsid w:val="00A40F73"/>
    <w:rsid w:val="00A46A9F"/>
    <w:rsid w:val="00A46FB0"/>
    <w:rsid w:val="00A522A7"/>
    <w:rsid w:val="00A5523C"/>
    <w:rsid w:val="00A55419"/>
    <w:rsid w:val="00A60ABB"/>
    <w:rsid w:val="00A65471"/>
    <w:rsid w:val="00A66008"/>
    <w:rsid w:val="00A67FD7"/>
    <w:rsid w:val="00A769A5"/>
    <w:rsid w:val="00A80EAC"/>
    <w:rsid w:val="00A83466"/>
    <w:rsid w:val="00A87DDC"/>
    <w:rsid w:val="00A9283C"/>
    <w:rsid w:val="00AA1D91"/>
    <w:rsid w:val="00AA3683"/>
    <w:rsid w:val="00AA4467"/>
    <w:rsid w:val="00AA5944"/>
    <w:rsid w:val="00AA7845"/>
    <w:rsid w:val="00AB2686"/>
    <w:rsid w:val="00AB4194"/>
    <w:rsid w:val="00AB6574"/>
    <w:rsid w:val="00AB6B84"/>
    <w:rsid w:val="00AB6FF8"/>
    <w:rsid w:val="00AB7B11"/>
    <w:rsid w:val="00AC21EB"/>
    <w:rsid w:val="00AD2147"/>
    <w:rsid w:val="00AD2BAA"/>
    <w:rsid w:val="00AE0318"/>
    <w:rsid w:val="00AE1258"/>
    <w:rsid w:val="00AE3360"/>
    <w:rsid w:val="00AE3CFC"/>
    <w:rsid w:val="00AE3F2D"/>
    <w:rsid w:val="00AF027A"/>
    <w:rsid w:val="00AF3F0A"/>
    <w:rsid w:val="00AF594E"/>
    <w:rsid w:val="00AF5EAA"/>
    <w:rsid w:val="00AF6A3E"/>
    <w:rsid w:val="00B00F43"/>
    <w:rsid w:val="00B01A34"/>
    <w:rsid w:val="00B02A20"/>
    <w:rsid w:val="00B04092"/>
    <w:rsid w:val="00B07827"/>
    <w:rsid w:val="00B10247"/>
    <w:rsid w:val="00B16869"/>
    <w:rsid w:val="00B16D55"/>
    <w:rsid w:val="00B21071"/>
    <w:rsid w:val="00B23BF9"/>
    <w:rsid w:val="00B3199E"/>
    <w:rsid w:val="00B36E39"/>
    <w:rsid w:val="00B376A5"/>
    <w:rsid w:val="00B37B30"/>
    <w:rsid w:val="00B401D2"/>
    <w:rsid w:val="00B41320"/>
    <w:rsid w:val="00B42967"/>
    <w:rsid w:val="00B459B0"/>
    <w:rsid w:val="00B523AD"/>
    <w:rsid w:val="00B622D5"/>
    <w:rsid w:val="00B64932"/>
    <w:rsid w:val="00B7187D"/>
    <w:rsid w:val="00B73A29"/>
    <w:rsid w:val="00B766E3"/>
    <w:rsid w:val="00B777BF"/>
    <w:rsid w:val="00B8025A"/>
    <w:rsid w:val="00B8067B"/>
    <w:rsid w:val="00B91B61"/>
    <w:rsid w:val="00B9505D"/>
    <w:rsid w:val="00B953DC"/>
    <w:rsid w:val="00B97280"/>
    <w:rsid w:val="00BA0B6D"/>
    <w:rsid w:val="00BA47D7"/>
    <w:rsid w:val="00BA5E89"/>
    <w:rsid w:val="00BB10B8"/>
    <w:rsid w:val="00BB651D"/>
    <w:rsid w:val="00BC0BE3"/>
    <w:rsid w:val="00BC231D"/>
    <w:rsid w:val="00BC375D"/>
    <w:rsid w:val="00BD5803"/>
    <w:rsid w:val="00BD63AA"/>
    <w:rsid w:val="00BD6BB5"/>
    <w:rsid w:val="00BD6DED"/>
    <w:rsid w:val="00BD75B6"/>
    <w:rsid w:val="00BE7E03"/>
    <w:rsid w:val="00BF554A"/>
    <w:rsid w:val="00BF7737"/>
    <w:rsid w:val="00C00C0D"/>
    <w:rsid w:val="00C01FCF"/>
    <w:rsid w:val="00C0403A"/>
    <w:rsid w:val="00C04A79"/>
    <w:rsid w:val="00C057FE"/>
    <w:rsid w:val="00C05B1E"/>
    <w:rsid w:val="00C14EDE"/>
    <w:rsid w:val="00C152CD"/>
    <w:rsid w:val="00C1667D"/>
    <w:rsid w:val="00C300CE"/>
    <w:rsid w:val="00C3247B"/>
    <w:rsid w:val="00C33E7D"/>
    <w:rsid w:val="00C33EAC"/>
    <w:rsid w:val="00C34ADE"/>
    <w:rsid w:val="00C371F3"/>
    <w:rsid w:val="00C4634D"/>
    <w:rsid w:val="00C510A9"/>
    <w:rsid w:val="00C5312B"/>
    <w:rsid w:val="00C60208"/>
    <w:rsid w:val="00C61F06"/>
    <w:rsid w:val="00C65427"/>
    <w:rsid w:val="00C80408"/>
    <w:rsid w:val="00C82A8C"/>
    <w:rsid w:val="00C84DEA"/>
    <w:rsid w:val="00C84EA5"/>
    <w:rsid w:val="00C85EF3"/>
    <w:rsid w:val="00C9024F"/>
    <w:rsid w:val="00C9768C"/>
    <w:rsid w:val="00CA055A"/>
    <w:rsid w:val="00CA099B"/>
    <w:rsid w:val="00CA1299"/>
    <w:rsid w:val="00CA4834"/>
    <w:rsid w:val="00CB4D3B"/>
    <w:rsid w:val="00CB63DC"/>
    <w:rsid w:val="00CC5A5A"/>
    <w:rsid w:val="00CD06CE"/>
    <w:rsid w:val="00CD3C04"/>
    <w:rsid w:val="00CD3D55"/>
    <w:rsid w:val="00CE19F5"/>
    <w:rsid w:val="00CE45B8"/>
    <w:rsid w:val="00CE7061"/>
    <w:rsid w:val="00CE7211"/>
    <w:rsid w:val="00CE74A7"/>
    <w:rsid w:val="00CF4A6A"/>
    <w:rsid w:val="00CF4FE7"/>
    <w:rsid w:val="00D00781"/>
    <w:rsid w:val="00D07045"/>
    <w:rsid w:val="00D10089"/>
    <w:rsid w:val="00D10408"/>
    <w:rsid w:val="00D12782"/>
    <w:rsid w:val="00D17F8F"/>
    <w:rsid w:val="00D22C2E"/>
    <w:rsid w:val="00D23279"/>
    <w:rsid w:val="00D3399C"/>
    <w:rsid w:val="00D33C01"/>
    <w:rsid w:val="00D357BA"/>
    <w:rsid w:val="00D41816"/>
    <w:rsid w:val="00D41F15"/>
    <w:rsid w:val="00D44565"/>
    <w:rsid w:val="00D4457D"/>
    <w:rsid w:val="00D45FF8"/>
    <w:rsid w:val="00D46109"/>
    <w:rsid w:val="00D4669E"/>
    <w:rsid w:val="00D618EF"/>
    <w:rsid w:val="00D61C38"/>
    <w:rsid w:val="00D63308"/>
    <w:rsid w:val="00D64F9F"/>
    <w:rsid w:val="00D66BE3"/>
    <w:rsid w:val="00D73878"/>
    <w:rsid w:val="00D75461"/>
    <w:rsid w:val="00D76994"/>
    <w:rsid w:val="00D80D01"/>
    <w:rsid w:val="00D8417D"/>
    <w:rsid w:val="00D8574C"/>
    <w:rsid w:val="00D860EB"/>
    <w:rsid w:val="00D86F8E"/>
    <w:rsid w:val="00D90410"/>
    <w:rsid w:val="00D9272A"/>
    <w:rsid w:val="00D9376B"/>
    <w:rsid w:val="00DA0B5F"/>
    <w:rsid w:val="00DA6247"/>
    <w:rsid w:val="00DA6DD5"/>
    <w:rsid w:val="00DB10CF"/>
    <w:rsid w:val="00DB1B4C"/>
    <w:rsid w:val="00DC5C46"/>
    <w:rsid w:val="00DD51AD"/>
    <w:rsid w:val="00DD70CE"/>
    <w:rsid w:val="00DE1593"/>
    <w:rsid w:val="00DE1B79"/>
    <w:rsid w:val="00DE2B2B"/>
    <w:rsid w:val="00DE7BB6"/>
    <w:rsid w:val="00DF2F0F"/>
    <w:rsid w:val="00DF564A"/>
    <w:rsid w:val="00DF67F9"/>
    <w:rsid w:val="00E019F3"/>
    <w:rsid w:val="00E110D1"/>
    <w:rsid w:val="00E1123E"/>
    <w:rsid w:val="00E12A93"/>
    <w:rsid w:val="00E12FFB"/>
    <w:rsid w:val="00E17DEB"/>
    <w:rsid w:val="00E2086D"/>
    <w:rsid w:val="00E20E69"/>
    <w:rsid w:val="00E24F76"/>
    <w:rsid w:val="00E26750"/>
    <w:rsid w:val="00E34DEA"/>
    <w:rsid w:val="00E407FF"/>
    <w:rsid w:val="00E50E8E"/>
    <w:rsid w:val="00E5149E"/>
    <w:rsid w:val="00E556D3"/>
    <w:rsid w:val="00E56F8E"/>
    <w:rsid w:val="00E57FC4"/>
    <w:rsid w:val="00E60AA5"/>
    <w:rsid w:val="00E63F71"/>
    <w:rsid w:val="00E6784F"/>
    <w:rsid w:val="00E71C97"/>
    <w:rsid w:val="00E77258"/>
    <w:rsid w:val="00E85302"/>
    <w:rsid w:val="00E9473B"/>
    <w:rsid w:val="00EA1846"/>
    <w:rsid w:val="00EA2D66"/>
    <w:rsid w:val="00EA322D"/>
    <w:rsid w:val="00EA3896"/>
    <w:rsid w:val="00EA493D"/>
    <w:rsid w:val="00EB3294"/>
    <w:rsid w:val="00EB3F75"/>
    <w:rsid w:val="00EC035F"/>
    <w:rsid w:val="00EC0E31"/>
    <w:rsid w:val="00EC1E4D"/>
    <w:rsid w:val="00EC3D4B"/>
    <w:rsid w:val="00EC4F19"/>
    <w:rsid w:val="00EC7856"/>
    <w:rsid w:val="00ED1B0E"/>
    <w:rsid w:val="00ED1D78"/>
    <w:rsid w:val="00ED4A5C"/>
    <w:rsid w:val="00EF4FA6"/>
    <w:rsid w:val="00EF6CFC"/>
    <w:rsid w:val="00EF7CCA"/>
    <w:rsid w:val="00EF7D7D"/>
    <w:rsid w:val="00F01D3B"/>
    <w:rsid w:val="00F022B5"/>
    <w:rsid w:val="00F022F8"/>
    <w:rsid w:val="00F10F1B"/>
    <w:rsid w:val="00F11139"/>
    <w:rsid w:val="00F14B22"/>
    <w:rsid w:val="00F15D8F"/>
    <w:rsid w:val="00F2098C"/>
    <w:rsid w:val="00F2121E"/>
    <w:rsid w:val="00F23C25"/>
    <w:rsid w:val="00F24340"/>
    <w:rsid w:val="00F3127F"/>
    <w:rsid w:val="00F31E08"/>
    <w:rsid w:val="00F336B0"/>
    <w:rsid w:val="00F36D42"/>
    <w:rsid w:val="00F3751E"/>
    <w:rsid w:val="00F41B79"/>
    <w:rsid w:val="00F41DE3"/>
    <w:rsid w:val="00F4463A"/>
    <w:rsid w:val="00F53539"/>
    <w:rsid w:val="00F63A9D"/>
    <w:rsid w:val="00F64A4B"/>
    <w:rsid w:val="00F7549E"/>
    <w:rsid w:val="00F76067"/>
    <w:rsid w:val="00F76843"/>
    <w:rsid w:val="00F84587"/>
    <w:rsid w:val="00F859D2"/>
    <w:rsid w:val="00F90E27"/>
    <w:rsid w:val="00F92727"/>
    <w:rsid w:val="00F94313"/>
    <w:rsid w:val="00F9562F"/>
    <w:rsid w:val="00FA4A5B"/>
    <w:rsid w:val="00FB0477"/>
    <w:rsid w:val="00FB62B2"/>
    <w:rsid w:val="00FB7775"/>
    <w:rsid w:val="00FC4334"/>
    <w:rsid w:val="00FD36EC"/>
    <w:rsid w:val="00FD47A1"/>
    <w:rsid w:val="00FD5630"/>
    <w:rsid w:val="00FE09CA"/>
    <w:rsid w:val="00FE192D"/>
    <w:rsid w:val="00FE2973"/>
    <w:rsid w:val="00FE40AC"/>
    <w:rsid w:val="00FE6AA3"/>
    <w:rsid w:val="00FF4B33"/>
    <w:rsid w:val="00FF7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E8FEB-D3AC-4679-B645-C78B2929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7707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07C8"/>
    <w:rPr>
      <w:sz w:val="20"/>
      <w:szCs w:val="20"/>
    </w:rPr>
  </w:style>
  <w:style w:type="character" w:styleId="Rimandonotaapidipagina">
    <w:name w:val="footnote reference"/>
    <w:basedOn w:val="Carpredefinitoparagrafo"/>
    <w:unhideWhenUsed/>
    <w:rsid w:val="007707C8"/>
    <w:rPr>
      <w:vertAlign w:val="superscript"/>
    </w:rPr>
  </w:style>
  <w:style w:type="paragraph" w:styleId="Testofumetto">
    <w:name w:val="Balloon Text"/>
    <w:basedOn w:val="Normale"/>
    <w:link w:val="TestofumettoCarattere"/>
    <w:uiPriority w:val="99"/>
    <w:semiHidden/>
    <w:unhideWhenUsed/>
    <w:rsid w:val="001B45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5E2"/>
    <w:rPr>
      <w:rFonts w:ascii="Tahoma" w:hAnsi="Tahoma" w:cs="Tahoma"/>
      <w:sz w:val="16"/>
      <w:szCs w:val="16"/>
    </w:rPr>
  </w:style>
  <w:style w:type="character" w:styleId="Rimandocommento">
    <w:name w:val="annotation reference"/>
    <w:basedOn w:val="Carpredefinitoparagrafo"/>
    <w:uiPriority w:val="99"/>
    <w:semiHidden/>
    <w:unhideWhenUsed/>
    <w:rsid w:val="00FB7775"/>
    <w:rPr>
      <w:sz w:val="16"/>
      <w:szCs w:val="16"/>
    </w:rPr>
  </w:style>
  <w:style w:type="paragraph" w:styleId="Testocommento">
    <w:name w:val="annotation text"/>
    <w:basedOn w:val="Normale"/>
    <w:link w:val="TestocommentoCarattere"/>
    <w:uiPriority w:val="99"/>
    <w:semiHidden/>
    <w:unhideWhenUsed/>
    <w:rsid w:val="00FB77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B7775"/>
    <w:rPr>
      <w:sz w:val="20"/>
      <w:szCs w:val="20"/>
    </w:rPr>
  </w:style>
  <w:style w:type="paragraph" w:styleId="Soggettocommento">
    <w:name w:val="annotation subject"/>
    <w:basedOn w:val="Testocommento"/>
    <w:next w:val="Testocommento"/>
    <w:link w:val="SoggettocommentoCarattere"/>
    <w:uiPriority w:val="99"/>
    <w:semiHidden/>
    <w:unhideWhenUsed/>
    <w:rsid w:val="00FB7775"/>
    <w:rPr>
      <w:b/>
      <w:bCs/>
    </w:rPr>
  </w:style>
  <w:style w:type="character" w:customStyle="1" w:styleId="SoggettocommentoCarattere">
    <w:name w:val="Soggetto commento Carattere"/>
    <w:basedOn w:val="TestocommentoCarattere"/>
    <w:link w:val="Soggettocommento"/>
    <w:uiPriority w:val="99"/>
    <w:semiHidden/>
    <w:rsid w:val="00FB7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80870">
      <w:bodyDiv w:val="1"/>
      <w:marLeft w:val="0"/>
      <w:marRight w:val="0"/>
      <w:marTop w:val="0"/>
      <w:marBottom w:val="0"/>
      <w:divBdr>
        <w:top w:val="none" w:sz="0" w:space="0" w:color="auto"/>
        <w:left w:val="none" w:sz="0" w:space="0" w:color="auto"/>
        <w:bottom w:val="none" w:sz="0" w:space="0" w:color="auto"/>
        <w:right w:val="none" w:sz="0" w:space="0" w:color="auto"/>
      </w:divBdr>
      <w:divsChild>
        <w:div w:id="1515194247">
          <w:marLeft w:val="0"/>
          <w:marRight w:val="0"/>
          <w:marTop w:val="0"/>
          <w:marBottom w:val="0"/>
          <w:divBdr>
            <w:top w:val="none" w:sz="0" w:space="0" w:color="auto"/>
            <w:left w:val="none" w:sz="0" w:space="0" w:color="auto"/>
            <w:bottom w:val="none" w:sz="0" w:space="0" w:color="auto"/>
            <w:right w:val="none" w:sz="0" w:space="0" w:color="auto"/>
          </w:divBdr>
        </w:div>
      </w:divsChild>
    </w:div>
    <w:div w:id="1766075757">
      <w:bodyDiv w:val="1"/>
      <w:marLeft w:val="0"/>
      <w:marRight w:val="0"/>
      <w:marTop w:val="0"/>
      <w:marBottom w:val="0"/>
      <w:divBdr>
        <w:top w:val="none" w:sz="0" w:space="0" w:color="auto"/>
        <w:left w:val="none" w:sz="0" w:space="0" w:color="auto"/>
        <w:bottom w:val="none" w:sz="0" w:space="0" w:color="auto"/>
        <w:right w:val="none" w:sz="0" w:space="0" w:color="auto"/>
      </w:divBdr>
      <w:divsChild>
        <w:div w:id="1340505902">
          <w:marLeft w:val="0"/>
          <w:marRight w:val="0"/>
          <w:marTop w:val="0"/>
          <w:marBottom w:val="0"/>
          <w:divBdr>
            <w:top w:val="none" w:sz="0" w:space="0" w:color="auto"/>
            <w:left w:val="none" w:sz="0" w:space="0" w:color="auto"/>
            <w:bottom w:val="none" w:sz="0" w:space="0" w:color="auto"/>
            <w:right w:val="none" w:sz="0" w:space="0" w:color="auto"/>
          </w:divBdr>
        </w:div>
        <w:div w:id="102644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9157-67A8-4FA5-9F3F-148C7CEE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5654</Words>
  <Characters>32229</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Lupano</dc:creator>
  <cp:lastModifiedBy>Matteo Lupano</cp:lastModifiedBy>
  <cp:revision>9</cp:revision>
  <cp:lastPrinted>2014-04-30T15:11:00Z</cp:lastPrinted>
  <dcterms:created xsi:type="dcterms:W3CDTF">2014-05-28T16:58:00Z</dcterms:created>
  <dcterms:modified xsi:type="dcterms:W3CDTF">2016-06-13T09:50:00Z</dcterms:modified>
</cp:coreProperties>
</file>