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28" w:rsidRPr="00F614D7" w:rsidRDefault="007F4E28" w:rsidP="00D64F7C">
      <w:pPr>
        <w:spacing w:after="0" w:line="240" w:lineRule="auto"/>
        <w:jc w:val="center"/>
        <w:rPr>
          <w:rFonts w:ascii="Arial" w:hAnsi="Arial" w:cs="Arial"/>
          <w:b/>
          <w:sz w:val="24"/>
          <w:szCs w:val="24"/>
          <w:lang w:val="en-US"/>
        </w:rPr>
      </w:pPr>
      <w:bookmarkStart w:id="0" w:name="_GoBack"/>
      <w:bookmarkEnd w:id="0"/>
      <w:r w:rsidRPr="00F614D7">
        <w:rPr>
          <w:rFonts w:ascii="Arial" w:hAnsi="Arial" w:cs="Arial"/>
          <w:b/>
          <w:sz w:val="24"/>
          <w:szCs w:val="24"/>
          <w:lang w:val="en-US"/>
        </w:rPr>
        <w:t xml:space="preserve">Lipid metabolism gene expression in </w:t>
      </w:r>
      <w:r w:rsidR="00F614D7">
        <w:rPr>
          <w:rFonts w:ascii="Arial" w:hAnsi="Arial" w:cs="Arial"/>
          <w:b/>
          <w:sz w:val="24"/>
          <w:szCs w:val="24"/>
          <w:lang w:val="en-US"/>
        </w:rPr>
        <w:t>broiler chickens</w:t>
      </w:r>
      <w:r w:rsidRPr="00F614D7">
        <w:rPr>
          <w:rFonts w:ascii="Arial" w:hAnsi="Arial" w:cs="Arial"/>
          <w:b/>
          <w:sz w:val="24"/>
          <w:szCs w:val="24"/>
          <w:lang w:val="en-US"/>
        </w:rPr>
        <w:t xml:space="preserve"> fed mealworm meal</w:t>
      </w:r>
    </w:p>
    <w:p w:rsidR="007F4E28" w:rsidRPr="00B806B1" w:rsidRDefault="007F4E28" w:rsidP="00D64F7C">
      <w:pPr>
        <w:spacing w:after="0" w:line="240" w:lineRule="auto"/>
        <w:jc w:val="center"/>
        <w:rPr>
          <w:rFonts w:ascii="Arial" w:hAnsi="Arial" w:cs="Arial"/>
          <w:lang w:val="en-US"/>
        </w:rPr>
      </w:pPr>
    </w:p>
    <w:p w:rsidR="007F4E28" w:rsidRPr="00083F50" w:rsidRDefault="007F4E28" w:rsidP="00D64F7C">
      <w:pPr>
        <w:autoSpaceDE w:val="0"/>
        <w:autoSpaceDN w:val="0"/>
        <w:adjustRightInd w:val="0"/>
        <w:spacing w:after="0" w:line="240" w:lineRule="auto"/>
        <w:jc w:val="center"/>
        <w:rPr>
          <w:rFonts w:ascii="Arial" w:hAnsi="Arial" w:cs="Arial"/>
          <w:sz w:val="20"/>
          <w:szCs w:val="20"/>
        </w:rPr>
      </w:pPr>
      <w:proofErr w:type="spellStart"/>
      <w:r w:rsidRPr="00B933C4">
        <w:rPr>
          <w:rFonts w:ascii="Arial" w:hAnsi="Arial" w:cs="Arial"/>
          <w:sz w:val="20"/>
          <w:szCs w:val="20"/>
          <w:u w:val="single"/>
        </w:rPr>
        <w:t>Nery</w:t>
      </w:r>
      <w:proofErr w:type="spellEnd"/>
      <w:r w:rsidRPr="00B933C4">
        <w:rPr>
          <w:rFonts w:ascii="Arial" w:hAnsi="Arial" w:cs="Arial"/>
          <w:sz w:val="20"/>
          <w:szCs w:val="20"/>
          <w:u w:val="single"/>
        </w:rPr>
        <w:t xml:space="preserve"> J</w:t>
      </w:r>
      <w:r w:rsidRPr="00083F50">
        <w:rPr>
          <w:rFonts w:ascii="Arial" w:hAnsi="Arial" w:cs="Arial"/>
          <w:sz w:val="20"/>
          <w:szCs w:val="20"/>
          <w:vertAlign w:val="superscript"/>
        </w:rPr>
        <w:t>1</w:t>
      </w:r>
      <w:r w:rsidRPr="00083F50">
        <w:rPr>
          <w:rFonts w:ascii="Arial" w:hAnsi="Arial" w:cs="Arial"/>
          <w:sz w:val="20"/>
          <w:szCs w:val="20"/>
        </w:rPr>
        <w:t>, Soglia D</w:t>
      </w:r>
      <w:r w:rsidRPr="00083F50">
        <w:rPr>
          <w:rFonts w:ascii="Arial" w:hAnsi="Arial" w:cs="Arial"/>
          <w:sz w:val="20"/>
          <w:szCs w:val="20"/>
          <w:vertAlign w:val="superscript"/>
        </w:rPr>
        <w:t>1</w:t>
      </w:r>
      <w:r w:rsidRPr="00083F50">
        <w:rPr>
          <w:rFonts w:ascii="Arial" w:hAnsi="Arial" w:cs="Arial"/>
          <w:sz w:val="20"/>
          <w:szCs w:val="20"/>
        </w:rPr>
        <w:t>, Sartore S</w:t>
      </w:r>
      <w:r w:rsidRPr="00083F50">
        <w:rPr>
          <w:rFonts w:ascii="Arial" w:hAnsi="Arial" w:cs="Arial"/>
          <w:sz w:val="20"/>
          <w:szCs w:val="20"/>
          <w:vertAlign w:val="superscript"/>
        </w:rPr>
        <w:t>1</w:t>
      </w:r>
      <w:r w:rsidRPr="00083F50">
        <w:rPr>
          <w:rFonts w:ascii="Arial" w:hAnsi="Arial" w:cs="Arial"/>
          <w:sz w:val="20"/>
          <w:szCs w:val="20"/>
        </w:rPr>
        <w:t>, Maione S</w:t>
      </w:r>
      <w:r w:rsidRPr="00083F50">
        <w:rPr>
          <w:rFonts w:ascii="Arial" w:hAnsi="Arial" w:cs="Arial"/>
          <w:sz w:val="20"/>
          <w:szCs w:val="20"/>
          <w:vertAlign w:val="superscript"/>
        </w:rPr>
        <w:t>1</w:t>
      </w:r>
      <w:r w:rsidRPr="00083F50">
        <w:rPr>
          <w:rFonts w:ascii="Arial" w:hAnsi="Arial" w:cs="Arial"/>
          <w:sz w:val="20"/>
          <w:szCs w:val="20"/>
        </w:rPr>
        <w:t>, Viola I</w:t>
      </w:r>
      <w:r w:rsidRPr="00083F50">
        <w:rPr>
          <w:rFonts w:ascii="Arial" w:hAnsi="Arial" w:cs="Arial"/>
          <w:sz w:val="20"/>
          <w:szCs w:val="20"/>
          <w:vertAlign w:val="superscript"/>
        </w:rPr>
        <w:t>1</w:t>
      </w:r>
      <w:r w:rsidRPr="00083F50">
        <w:rPr>
          <w:rFonts w:ascii="Arial" w:hAnsi="Arial" w:cs="Arial"/>
          <w:sz w:val="20"/>
          <w:szCs w:val="20"/>
        </w:rPr>
        <w:t xml:space="preserve">, </w:t>
      </w:r>
      <w:proofErr w:type="spellStart"/>
      <w:r w:rsidR="000930B5">
        <w:rPr>
          <w:rFonts w:ascii="Arial" w:hAnsi="Arial" w:cs="Arial"/>
          <w:sz w:val="20"/>
          <w:szCs w:val="20"/>
        </w:rPr>
        <w:t>Dabbou</w:t>
      </w:r>
      <w:proofErr w:type="spellEnd"/>
      <w:r w:rsidR="000930B5">
        <w:rPr>
          <w:rFonts w:ascii="Arial" w:hAnsi="Arial" w:cs="Arial"/>
          <w:sz w:val="20"/>
          <w:szCs w:val="20"/>
        </w:rPr>
        <w:t xml:space="preserve"> S</w:t>
      </w:r>
      <w:r w:rsidR="000930B5" w:rsidRPr="00083F50">
        <w:rPr>
          <w:rFonts w:ascii="Arial" w:hAnsi="Arial" w:cs="Arial"/>
          <w:sz w:val="20"/>
          <w:szCs w:val="20"/>
          <w:vertAlign w:val="superscript"/>
        </w:rPr>
        <w:t>1</w:t>
      </w:r>
      <w:r w:rsidR="000930B5">
        <w:rPr>
          <w:rFonts w:ascii="Arial" w:hAnsi="Arial" w:cs="Arial"/>
          <w:sz w:val="20"/>
          <w:szCs w:val="20"/>
        </w:rPr>
        <w:t xml:space="preserve">, </w:t>
      </w:r>
      <w:r w:rsidRPr="00083F50">
        <w:rPr>
          <w:rFonts w:ascii="Arial" w:hAnsi="Arial" w:cs="Arial"/>
          <w:sz w:val="20"/>
          <w:szCs w:val="20"/>
        </w:rPr>
        <w:t>Sacchi P</w:t>
      </w:r>
      <w:r w:rsidRPr="00083F50">
        <w:rPr>
          <w:rFonts w:ascii="Arial" w:hAnsi="Arial" w:cs="Arial"/>
          <w:sz w:val="20"/>
          <w:szCs w:val="20"/>
          <w:vertAlign w:val="superscript"/>
        </w:rPr>
        <w:t>1</w:t>
      </w:r>
      <w:r w:rsidRPr="00083F50">
        <w:rPr>
          <w:rFonts w:ascii="Arial" w:hAnsi="Arial" w:cs="Arial"/>
          <w:sz w:val="20"/>
          <w:szCs w:val="20"/>
        </w:rPr>
        <w:t>, Rasero R</w:t>
      </w:r>
      <w:r w:rsidRPr="00083F50">
        <w:rPr>
          <w:rFonts w:ascii="Arial" w:hAnsi="Arial" w:cs="Arial"/>
          <w:sz w:val="20"/>
          <w:szCs w:val="20"/>
          <w:vertAlign w:val="superscript"/>
        </w:rPr>
        <w:t>1</w:t>
      </w:r>
      <w:r w:rsidRPr="00083F50">
        <w:rPr>
          <w:rFonts w:ascii="Arial" w:hAnsi="Arial" w:cs="Arial"/>
          <w:sz w:val="20"/>
          <w:szCs w:val="20"/>
        </w:rPr>
        <w:t>,</w:t>
      </w:r>
      <w:r>
        <w:rPr>
          <w:rFonts w:ascii="Arial" w:hAnsi="Arial" w:cs="Arial"/>
          <w:sz w:val="20"/>
          <w:szCs w:val="20"/>
        </w:rPr>
        <w:t xml:space="preserve"> </w:t>
      </w:r>
      <w:r w:rsidRPr="0006338A">
        <w:rPr>
          <w:rFonts w:ascii="Arial" w:hAnsi="Arial" w:cs="Arial"/>
          <w:sz w:val="20"/>
          <w:szCs w:val="20"/>
        </w:rPr>
        <w:t>Valle E</w:t>
      </w:r>
      <w:r w:rsidRPr="0006338A">
        <w:rPr>
          <w:rFonts w:ascii="Arial" w:hAnsi="Arial" w:cs="Arial"/>
          <w:sz w:val="20"/>
          <w:szCs w:val="20"/>
          <w:vertAlign w:val="superscript"/>
        </w:rPr>
        <w:t>1</w:t>
      </w:r>
      <w:r>
        <w:rPr>
          <w:rFonts w:ascii="Arial" w:hAnsi="Arial" w:cs="Arial"/>
          <w:sz w:val="20"/>
          <w:szCs w:val="20"/>
        </w:rPr>
        <w:t>,</w:t>
      </w:r>
      <w:r w:rsidRPr="00083F50">
        <w:rPr>
          <w:rFonts w:ascii="Arial" w:hAnsi="Arial" w:cs="Arial"/>
          <w:sz w:val="20"/>
          <w:szCs w:val="20"/>
        </w:rPr>
        <w:t xml:space="preserve"> </w:t>
      </w:r>
      <w:proofErr w:type="spellStart"/>
      <w:r w:rsidRPr="00083F50">
        <w:rPr>
          <w:rFonts w:ascii="Arial" w:hAnsi="Arial" w:cs="Arial"/>
          <w:sz w:val="20"/>
          <w:szCs w:val="20"/>
        </w:rPr>
        <w:t>Bergero</w:t>
      </w:r>
      <w:proofErr w:type="spellEnd"/>
      <w:r w:rsidRPr="00083F50">
        <w:rPr>
          <w:rFonts w:ascii="Arial" w:hAnsi="Arial" w:cs="Arial"/>
          <w:sz w:val="20"/>
          <w:szCs w:val="20"/>
        </w:rPr>
        <w:t xml:space="preserve"> D</w:t>
      </w:r>
      <w:r w:rsidRPr="00083F50">
        <w:rPr>
          <w:rFonts w:ascii="Arial" w:hAnsi="Arial" w:cs="Arial"/>
          <w:sz w:val="20"/>
          <w:szCs w:val="20"/>
          <w:vertAlign w:val="superscript"/>
        </w:rPr>
        <w:t>1</w:t>
      </w:r>
      <w:r w:rsidRPr="00083F50">
        <w:rPr>
          <w:rFonts w:ascii="Arial" w:hAnsi="Arial" w:cs="Arial"/>
          <w:sz w:val="20"/>
          <w:szCs w:val="20"/>
        </w:rPr>
        <w:t xml:space="preserve">, </w:t>
      </w:r>
      <w:r w:rsidRPr="00597E15">
        <w:rPr>
          <w:rFonts w:ascii="Arial" w:hAnsi="Arial" w:cs="Arial"/>
          <w:sz w:val="20"/>
          <w:szCs w:val="20"/>
        </w:rPr>
        <w:t>Bianchi C</w:t>
      </w:r>
      <w:r w:rsidRPr="00597E15">
        <w:rPr>
          <w:rFonts w:ascii="Arial" w:hAnsi="Arial" w:cs="Arial"/>
          <w:sz w:val="20"/>
          <w:szCs w:val="20"/>
          <w:vertAlign w:val="superscript"/>
        </w:rPr>
        <w:t>1</w:t>
      </w:r>
      <w:r>
        <w:rPr>
          <w:rFonts w:ascii="Arial" w:hAnsi="Arial" w:cs="Arial"/>
          <w:sz w:val="20"/>
          <w:szCs w:val="20"/>
        </w:rPr>
        <w:t>,</w:t>
      </w:r>
      <w:r w:rsidRPr="00597E15">
        <w:rPr>
          <w:rFonts w:ascii="Arial" w:hAnsi="Arial" w:cs="Arial"/>
          <w:sz w:val="20"/>
          <w:szCs w:val="20"/>
        </w:rPr>
        <w:t xml:space="preserve"> Gai F</w:t>
      </w:r>
      <w:r w:rsidRPr="00597E15">
        <w:rPr>
          <w:rFonts w:ascii="Arial" w:hAnsi="Arial" w:cs="Arial"/>
          <w:sz w:val="20"/>
          <w:szCs w:val="20"/>
          <w:vertAlign w:val="superscript"/>
        </w:rPr>
        <w:t>2</w:t>
      </w:r>
      <w:r w:rsidRPr="00597E15">
        <w:rPr>
          <w:rFonts w:ascii="Arial" w:hAnsi="Arial" w:cs="Arial"/>
          <w:sz w:val="20"/>
          <w:szCs w:val="20"/>
        </w:rPr>
        <w:t xml:space="preserve">, </w:t>
      </w:r>
      <w:r>
        <w:rPr>
          <w:rFonts w:ascii="Arial" w:hAnsi="Arial" w:cs="Arial"/>
          <w:sz w:val="20"/>
          <w:szCs w:val="20"/>
        </w:rPr>
        <w:t>Renna M</w:t>
      </w:r>
      <w:r w:rsidRPr="00597E15">
        <w:rPr>
          <w:rFonts w:ascii="Arial" w:hAnsi="Arial" w:cs="Arial"/>
          <w:sz w:val="20"/>
          <w:szCs w:val="20"/>
          <w:vertAlign w:val="superscript"/>
        </w:rPr>
        <w:t>3</w:t>
      </w:r>
      <w:r>
        <w:rPr>
          <w:rFonts w:ascii="Arial" w:hAnsi="Arial" w:cs="Arial"/>
          <w:sz w:val="20"/>
          <w:szCs w:val="20"/>
        </w:rPr>
        <w:t xml:space="preserve">, </w:t>
      </w:r>
      <w:r w:rsidRPr="00597E15">
        <w:rPr>
          <w:rFonts w:ascii="Arial" w:hAnsi="Arial" w:cs="Arial"/>
          <w:sz w:val="20"/>
          <w:szCs w:val="20"/>
        </w:rPr>
        <w:t>Gasco L</w:t>
      </w:r>
      <w:r w:rsidRPr="007578DE">
        <w:rPr>
          <w:rFonts w:ascii="Arial" w:hAnsi="Arial" w:cs="Arial"/>
          <w:sz w:val="20"/>
          <w:szCs w:val="20"/>
          <w:vertAlign w:val="superscript"/>
        </w:rPr>
        <w:t>2,</w:t>
      </w:r>
      <w:r w:rsidRPr="00597E15">
        <w:rPr>
          <w:rFonts w:ascii="Arial" w:hAnsi="Arial" w:cs="Arial"/>
          <w:sz w:val="20"/>
          <w:szCs w:val="20"/>
          <w:vertAlign w:val="superscript"/>
        </w:rPr>
        <w:t>3</w:t>
      </w:r>
      <w:r w:rsidRPr="00597E15">
        <w:rPr>
          <w:rFonts w:ascii="Arial" w:hAnsi="Arial" w:cs="Arial"/>
          <w:sz w:val="20"/>
          <w:szCs w:val="20"/>
        </w:rPr>
        <w:t>, Schia</w:t>
      </w:r>
      <w:r w:rsidRPr="00083F50">
        <w:rPr>
          <w:rFonts w:ascii="Arial" w:hAnsi="Arial" w:cs="Arial"/>
          <w:sz w:val="20"/>
          <w:szCs w:val="20"/>
        </w:rPr>
        <w:t>vone A</w:t>
      </w:r>
      <w:r w:rsidRPr="00083F50">
        <w:rPr>
          <w:rFonts w:ascii="Arial" w:hAnsi="Arial" w:cs="Arial"/>
          <w:sz w:val="20"/>
          <w:szCs w:val="20"/>
          <w:vertAlign w:val="superscript"/>
        </w:rPr>
        <w:t>1</w:t>
      </w:r>
    </w:p>
    <w:p w:rsidR="007F4E28" w:rsidRPr="00B806B1" w:rsidRDefault="007F4E28" w:rsidP="00D64F7C">
      <w:pPr>
        <w:autoSpaceDE w:val="0"/>
        <w:autoSpaceDN w:val="0"/>
        <w:adjustRightInd w:val="0"/>
        <w:spacing w:after="0" w:line="240" w:lineRule="auto"/>
        <w:jc w:val="center"/>
        <w:rPr>
          <w:rFonts w:ascii="Arial" w:hAnsi="Arial" w:cs="Arial"/>
          <w:sz w:val="20"/>
          <w:szCs w:val="20"/>
          <w:lang w:val="en-US"/>
        </w:rPr>
      </w:pPr>
      <w:r w:rsidRPr="00B806B1">
        <w:rPr>
          <w:rFonts w:ascii="Arial" w:hAnsi="Arial" w:cs="Arial"/>
          <w:sz w:val="20"/>
          <w:szCs w:val="20"/>
          <w:vertAlign w:val="superscript"/>
          <w:lang w:val="en-US"/>
        </w:rPr>
        <w:t>1</w:t>
      </w:r>
      <w:r w:rsidRPr="00B806B1">
        <w:rPr>
          <w:rFonts w:ascii="Arial" w:hAnsi="Arial" w:cs="Arial"/>
          <w:sz w:val="20"/>
          <w:szCs w:val="20"/>
          <w:lang w:val="en-US"/>
        </w:rPr>
        <w:t xml:space="preserve">Department of Veterinary Sciences, </w:t>
      </w:r>
      <w:smartTag w:uri="urn:schemas-microsoft-com:office:smarttags" w:element="City">
        <w:r w:rsidRPr="00B806B1">
          <w:rPr>
            <w:rFonts w:ascii="Arial" w:hAnsi="Arial" w:cs="Arial"/>
            <w:sz w:val="20"/>
            <w:szCs w:val="20"/>
            <w:lang w:val="en-US"/>
          </w:rPr>
          <w:t>University of Turin</w:t>
        </w:r>
      </w:smartTag>
      <w:r w:rsidRPr="00B806B1">
        <w:rPr>
          <w:rFonts w:ascii="Arial" w:hAnsi="Arial" w:cs="Arial"/>
          <w:sz w:val="20"/>
          <w:szCs w:val="20"/>
          <w:lang w:val="en-US"/>
        </w:rPr>
        <w:t>, Italy</w:t>
      </w:r>
      <w:r w:rsidR="008104B5">
        <w:rPr>
          <w:rFonts w:ascii="Arial" w:hAnsi="Arial" w:cs="Arial"/>
          <w:sz w:val="20"/>
          <w:szCs w:val="20"/>
          <w:lang w:val="en-US"/>
        </w:rPr>
        <w:t xml:space="preserve">; </w:t>
      </w:r>
      <w:r w:rsidRPr="00B806B1">
        <w:rPr>
          <w:rFonts w:ascii="Arial" w:hAnsi="Arial" w:cs="Arial"/>
          <w:sz w:val="20"/>
          <w:szCs w:val="20"/>
          <w:vertAlign w:val="superscript"/>
          <w:lang w:val="en-US"/>
        </w:rPr>
        <w:t>2</w:t>
      </w:r>
      <w:r w:rsidRPr="00B806B1">
        <w:rPr>
          <w:rFonts w:ascii="Arial" w:hAnsi="Arial" w:cs="Arial"/>
          <w:sz w:val="20"/>
          <w:szCs w:val="20"/>
          <w:lang w:val="en-US"/>
        </w:rPr>
        <w:t xml:space="preserve">Institute of Science of Food Production, National Research Council, </w:t>
      </w:r>
      <w:smartTag w:uri="urn:schemas-microsoft-com:office:smarttags" w:element="City">
        <w:r w:rsidRPr="00B806B1">
          <w:rPr>
            <w:rFonts w:ascii="Arial" w:hAnsi="Arial" w:cs="Arial"/>
            <w:sz w:val="20"/>
            <w:szCs w:val="20"/>
            <w:lang w:val="en-US"/>
          </w:rPr>
          <w:t>Turin</w:t>
        </w:r>
      </w:smartTag>
      <w:r w:rsidRPr="00B806B1">
        <w:rPr>
          <w:rFonts w:ascii="Arial" w:hAnsi="Arial" w:cs="Arial"/>
          <w:sz w:val="20"/>
          <w:szCs w:val="20"/>
          <w:lang w:val="en-US"/>
        </w:rPr>
        <w:t>, Italy</w:t>
      </w:r>
      <w:r w:rsidR="008104B5">
        <w:rPr>
          <w:rFonts w:ascii="Arial" w:hAnsi="Arial" w:cs="Arial"/>
          <w:sz w:val="20"/>
          <w:szCs w:val="20"/>
          <w:lang w:val="en-US"/>
        </w:rPr>
        <w:t xml:space="preserve">; </w:t>
      </w:r>
      <w:r w:rsidRPr="00B806B1">
        <w:rPr>
          <w:rFonts w:ascii="Arial" w:hAnsi="Arial" w:cs="Arial"/>
          <w:sz w:val="20"/>
          <w:szCs w:val="20"/>
          <w:vertAlign w:val="superscript"/>
          <w:lang w:val="en-US"/>
        </w:rPr>
        <w:t>3</w:t>
      </w:r>
      <w:r w:rsidRPr="00B806B1">
        <w:rPr>
          <w:rFonts w:ascii="Arial" w:hAnsi="Arial" w:cs="Arial"/>
          <w:sz w:val="20"/>
          <w:szCs w:val="20"/>
          <w:lang w:val="en-US"/>
        </w:rPr>
        <w:t xml:space="preserve">Department of Agricultural, Forest and Food Sciences, </w:t>
      </w:r>
      <w:smartTag w:uri="urn:schemas-microsoft-com:office:smarttags" w:element="place">
        <w:smartTag w:uri="urn:schemas-microsoft-com:office:smarttags" w:element="City">
          <w:r w:rsidRPr="00B806B1">
            <w:rPr>
              <w:rFonts w:ascii="Arial" w:hAnsi="Arial" w:cs="Arial"/>
              <w:sz w:val="20"/>
              <w:szCs w:val="20"/>
              <w:lang w:val="en-US"/>
            </w:rPr>
            <w:t>University of Turin</w:t>
          </w:r>
        </w:smartTag>
        <w:r w:rsidRPr="00B806B1">
          <w:rPr>
            <w:rFonts w:ascii="Arial" w:hAnsi="Arial" w:cs="Arial"/>
            <w:sz w:val="20"/>
            <w:szCs w:val="20"/>
            <w:lang w:val="en-US"/>
          </w:rPr>
          <w:t xml:space="preserve">, </w:t>
        </w:r>
        <w:smartTag w:uri="urn:schemas-microsoft-com:office:smarttags" w:element="country-region">
          <w:r w:rsidRPr="00B806B1">
            <w:rPr>
              <w:rFonts w:ascii="Arial" w:hAnsi="Arial" w:cs="Arial"/>
              <w:sz w:val="20"/>
              <w:szCs w:val="20"/>
              <w:lang w:val="en-US"/>
            </w:rPr>
            <w:t>Italy</w:t>
          </w:r>
        </w:smartTag>
      </w:smartTag>
    </w:p>
    <w:p w:rsidR="007F4E28" w:rsidRPr="00B933C4" w:rsidRDefault="007F4E28" w:rsidP="00D64F7C">
      <w:pPr>
        <w:autoSpaceDE w:val="0"/>
        <w:autoSpaceDN w:val="0"/>
        <w:adjustRightInd w:val="0"/>
        <w:spacing w:after="0" w:line="240" w:lineRule="auto"/>
        <w:jc w:val="both"/>
        <w:rPr>
          <w:rFonts w:ascii="Arial" w:hAnsi="Arial" w:cs="Arial"/>
          <w:sz w:val="20"/>
          <w:szCs w:val="20"/>
          <w:lang w:val="en-US"/>
        </w:rPr>
      </w:pPr>
    </w:p>
    <w:p w:rsidR="007F4E28" w:rsidRPr="00B933C4" w:rsidRDefault="007F4E28" w:rsidP="00D64F7C">
      <w:pPr>
        <w:spacing w:after="0" w:line="240" w:lineRule="auto"/>
        <w:jc w:val="both"/>
        <w:rPr>
          <w:rFonts w:ascii="Arial" w:hAnsi="Arial" w:cs="Arial"/>
          <w:sz w:val="24"/>
          <w:szCs w:val="24"/>
          <w:lang w:val="en-US"/>
        </w:rPr>
      </w:pPr>
      <w:r w:rsidRPr="00B933C4">
        <w:rPr>
          <w:rFonts w:ascii="Arial" w:hAnsi="Arial" w:cs="Arial"/>
          <w:b/>
          <w:sz w:val="24"/>
          <w:szCs w:val="24"/>
          <w:lang w:val="en-US"/>
        </w:rPr>
        <w:t>Introduction:</w:t>
      </w:r>
      <w:r w:rsidRPr="00B933C4">
        <w:rPr>
          <w:rFonts w:ascii="Arial" w:hAnsi="Arial" w:cs="Arial"/>
          <w:sz w:val="24"/>
          <w:szCs w:val="24"/>
          <w:lang w:val="en-US"/>
        </w:rPr>
        <w:t xml:space="preserve"> Research on the use of insect meal in animal</w:t>
      </w:r>
      <w:r w:rsidR="008104B5">
        <w:rPr>
          <w:rFonts w:ascii="Arial" w:hAnsi="Arial" w:cs="Arial"/>
          <w:sz w:val="24"/>
          <w:szCs w:val="24"/>
          <w:lang w:val="en-US"/>
        </w:rPr>
        <w:t xml:space="preserve"> [1,2]</w:t>
      </w:r>
      <w:r w:rsidRPr="00B933C4">
        <w:rPr>
          <w:rFonts w:ascii="Arial" w:hAnsi="Arial" w:cs="Arial"/>
          <w:sz w:val="24"/>
          <w:szCs w:val="24"/>
          <w:lang w:val="en-US"/>
        </w:rPr>
        <w:t xml:space="preserve"> and human</w:t>
      </w:r>
      <w:r w:rsidR="00693E28">
        <w:rPr>
          <w:rFonts w:ascii="Arial" w:hAnsi="Arial" w:cs="Arial"/>
          <w:sz w:val="24"/>
          <w:szCs w:val="24"/>
          <w:lang w:val="en-US"/>
        </w:rPr>
        <w:t xml:space="preserve"> [3,4]</w:t>
      </w:r>
      <w:r w:rsidRPr="00B933C4">
        <w:rPr>
          <w:rFonts w:ascii="Arial" w:hAnsi="Arial" w:cs="Arial"/>
          <w:sz w:val="24"/>
          <w:szCs w:val="24"/>
          <w:lang w:val="en-US"/>
        </w:rPr>
        <w:t xml:space="preserve"> nutrition is growing over the last decade due to the scarcity of protein sources. The aim of this study was to assess the effect of dietary </w:t>
      </w:r>
      <w:r w:rsidRPr="00B933C4">
        <w:rPr>
          <w:rFonts w:ascii="Arial" w:hAnsi="Arial" w:cs="Arial"/>
          <w:i/>
          <w:sz w:val="24"/>
          <w:szCs w:val="24"/>
          <w:lang w:val="en-US"/>
        </w:rPr>
        <w:t xml:space="preserve">Tenebrio </w:t>
      </w:r>
      <w:proofErr w:type="spellStart"/>
      <w:r w:rsidRPr="00B933C4">
        <w:rPr>
          <w:rFonts w:ascii="Arial" w:hAnsi="Arial" w:cs="Arial"/>
          <w:i/>
          <w:sz w:val="24"/>
          <w:szCs w:val="24"/>
          <w:lang w:val="en-US"/>
        </w:rPr>
        <w:t>molitor</w:t>
      </w:r>
      <w:proofErr w:type="spellEnd"/>
      <w:r w:rsidRPr="00B933C4">
        <w:rPr>
          <w:rFonts w:ascii="Arial" w:hAnsi="Arial" w:cs="Arial"/>
          <w:sz w:val="24"/>
          <w:szCs w:val="24"/>
          <w:lang w:val="en-US"/>
        </w:rPr>
        <w:t xml:space="preserve"> (TM) meal supplementation on lipid metabolism of intestinal mucosa and liver in </w:t>
      </w:r>
      <w:r w:rsidR="00AE0296">
        <w:rPr>
          <w:rFonts w:ascii="Arial" w:hAnsi="Arial" w:cs="Arial"/>
          <w:sz w:val="24"/>
          <w:szCs w:val="24"/>
          <w:lang w:val="en-US"/>
        </w:rPr>
        <w:t>broiler chicken</w:t>
      </w:r>
      <w:r w:rsidRPr="00B933C4">
        <w:rPr>
          <w:rFonts w:ascii="Arial" w:hAnsi="Arial" w:cs="Arial"/>
          <w:sz w:val="24"/>
          <w:szCs w:val="24"/>
          <w:lang w:val="en-US"/>
        </w:rPr>
        <w:t>.</w:t>
      </w:r>
    </w:p>
    <w:p w:rsidR="007F4E28" w:rsidRPr="000E783C" w:rsidRDefault="007F4E28" w:rsidP="00D64F7C">
      <w:pPr>
        <w:autoSpaceDE w:val="0"/>
        <w:autoSpaceDN w:val="0"/>
        <w:adjustRightInd w:val="0"/>
        <w:spacing w:after="0" w:line="240" w:lineRule="auto"/>
        <w:jc w:val="both"/>
        <w:rPr>
          <w:rFonts w:ascii="Arial" w:hAnsi="Arial" w:cs="Arial"/>
          <w:bCs/>
          <w:sz w:val="24"/>
          <w:szCs w:val="24"/>
          <w:lang w:val="en-US"/>
        </w:rPr>
      </w:pPr>
      <w:r w:rsidRPr="00B933C4">
        <w:rPr>
          <w:rFonts w:ascii="Arial" w:hAnsi="Arial" w:cs="Arial"/>
          <w:b/>
          <w:sz w:val="24"/>
          <w:szCs w:val="24"/>
          <w:lang w:val="en-US"/>
        </w:rPr>
        <w:t>Animals, material and methods:</w:t>
      </w:r>
      <w:r w:rsidRPr="00B933C4">
        <w:rPr>
          <w:rFonts w:ascii="Arial" w:hAnsi="Arial" w:cs="Arial"/>
          <w:sz w:val="24"/>
          <w:szCs w:val="24"/>
          <w:lang w:val="en-US"/>
        </w:rPr>
        <w:t xml:space="preserve"> One-day old broiler chicks (Ross 708) were raised in 10 pens (8 birds/pen), and were divided in 2 groups. </w:t>
      </w:r>
      <w:r w:rsidR="00B32508">
        <w:rPr>
          <w:rFonts w:ascii="Arial" w:hAnsi="Arial" w:cs="Arial"/>
          <w:sz w:val="24"/>
          <w:szCs w:val="24"/>
          <w:lang w:val="en-US"/>
        </w:rPr>
        <w:t>Birds</w:t>
      </w:r>
      <w:r w:rsidRPr="00B933C4">
        <w:rPr>
          <w:rFonts w:ascii="Arial" w:hAnsi="Arial" w:cs="Arial"/>
          <w:sz w:val="24"/>
          <w:szCs w:val="24"/>
          <w:lang w:val="en-US"/>
        </w:rPr>
        <w:t xml:space="preserve"> were fed 2 </w:t>
      </w:r>
      <w:proofErr w:type="spellStart"/>
      <w:r w:rsidRPr="00B933C4">
        <w:rPr>
          <w:rFonts w:ascii="Arial" w:hAnsi="Arial" w:cs="Arial"/>
          <w:sz w:val="24"/>
          <w:szCs w:val="24"/>
          <w:lang w:val="en-US"/>
        </w:rPr>
        <w:t>isonitrogenous</w:t>
      </w:r>
      <w:proofErr w:type="spellEnd"/>
      <w:r w:rsidRPr="00B933C4">
        <w:rPr>
          <w:rFonts w:ascii="Arial" w:hAnsi="Arial" w:cs="Arial"/>
          <w:sz w:val="24"/>
          <w:szCs w:val="24"/>
          <w:lang w:val="en-US"/>
        </w:rPr>
        <w:t xml:space="preserve"> and </w:t>
      </w:r>
      <w:proofErr w:type="spellStart"/>
      <w:r w:rsidRPr="00B933C4">
        <w:rPr>
          <w:rFonts w:ascii="Arial" w:hAnsi="Arial" w:cs="Arial"/>
          <w:sz w:val="24"/>
          <w:szCs w:val="24"/>
          <w:lang w:val="en-US"/>
        </w:rPr>
        <w:t>isoenergetic</w:t>
      </w:r>
      <w:proofErr w:type="spellEnd"/>
      <w:r w:rsidRPr="00B933C4">
        <w:rPr>
          <w:rFonts w:ascii="Arial" w:hAnsi="Arial" w:cs="Arial"/>
          <w:sz w:val="24"/>
          <w:szCs w:val="24"/>
          <w:lang w:val="en-US"/>
        </w:rPr>
        <w:t xml:space="preserve"> diets </w:t>
      </w:r>
      <w:r w:rsidRPr="00B933C4">
        <w:rPr>
          <w:rFonts w:ascii="Arial" w:hAnsi="Arial" w:cs="Arial"/>
          <w:bCs/>
          <w:sz w:val="24"/>
          <w:szCs w:val="24"/>
          <w:lang w:val="en-US"/>
        </w:rPr>
        <w:t>(12.9 MJ ME/kg and 23.5 % CP from day 1 until day 12</w:t>
      </w:r>
      <w:r w:rsidR="00EB11F6">
        <w:rPr>
          <w:rFonts w:ascii="Arial" w:hAnsi="Arial" w:cs="Arial"/>
          <w:bCs/>
          <w:sz w:val="24"/>
          <w:szCs w:val="24"/>
          <w:lang w:val="en-US"/>
        </w:rPr>
        <w:t>;</w:t>
      </w:r>
      <w:r w:rsidRPr="00B933C4">
        <w:rPr>
          <w:rFonts w:ascii="Arial" w:hAnsi="Arial" w:cs="Arial"/>
          <w:bCs/>
          <w:sz w:val="24"/>
          <w:szCs w:val="24"/>
          <w:lang w:val="en-US"/>
        </w:rPr>
        <w:t xml:space="preserve"> 13.3 MJ ME/kg and 21.3 % CP from day 12 until day 25</w:t>
      </w:r>
      <w:r w:rsidR="00EB11F6">
        <w:rPr>
          <w:rFonts w:ascii="Arial" w:hAnsi="Arial" w:cs="Arial"/>
          <w:bCs/>
          <w:sz w:val="24"/>
          <w:szCs w:val="24"/>
          <w:lang w:val="en-US"/>
        </w:rPr>
        <w:t>;</w:t>
      </w:r>
      <w:r w:rsidRPr="00B933C4">
        <w:rPr>
          <w:rFonts w:ascii="Arial" w:hAnsi="Arial" w:cs="Arial"/>
          <w:bCs/>
          <w:sz w:val="24"/>
          <w:szCs w:val="24"/>
          <w:lang w:val="en-US"/>
        </w:rPr>
        <w:t xml:space="preserve"> and 13.5 MJ ME/kg and 19.6 % CP from day 25 until </w:t>
      </w:r>
      <w:r w:rsidR="00AE0296">
        <w:rPr>
          <w:rFonts w:ascii="Arial" w:hAnsi="Arial" w:cs="Arial"/>
          <w:bCs/>
          <w:sz w:val="24"/>
          <w:szCs w:val="24"/>
          <w:lang w:val="en-US"/>
        </w:rPr>
        <w:t>day 53</w:t>
      </w:r>
      <w:r w:rsidRPr="00B933C4">
        <w:rPr>
          <w:rFonts w:ascii="Arial" w:hAnsi="Arial" w:cs="Arial"/>
          <w:bCs/>
          <w:sz w:val="24"/>
          <w:szCs w:val="24"/>
          <w:lang w:val="en-US"/>
        </w:rPr>
        <w:t xml:space="preserve">) </w:t>
      </w:r>
      <w:r w:rsidRPr="00B933C4">
        <w:rPr>
          <w:rFonts w:ascii="Arial" w:hAnsi="Arial" w:cs="Arial"/>
          <w:sz w:val="24"/>
          <w:szCs w:val="24"/>
          <w:lang w:val="en-US"/>
        </w:rPr>
        <w:t>containing either 0% (CT) or 15% (TM)</w:t>
      </w:r>
      <w:r w:rsidR="00B32508">
        <w:rPr>
          <w:rFonts w:ascii="Arial" w:hAnsi="Arial" w:cs="Arial"/>
          <w:sz w:val="24"/>
          <w:szCs w:val="24"/>
          <w:lang w:val="en-US"/>
        </w:rPr>
        <w:t xml:space="preserve"> mealworm meal </w:t>
      </w:r>
      <w:r w:rsidR="00776E00" w:rsidRPr="000E783C">
        <w:rPr>
          <w:rFonts w:ascii="Arial" w:hAnsi="Arial" w:cs="Arial"/>
          <w:sz w:val="24"/>
          <w:szCs w:val="24"/>
          <w:lang w:val="en-US"/>
        </w:rPr>
        <w:t>[1]</w:t>
      </w:r>
      <w:r w:rsidR="00B32508" w:rsidRPr="000E783C">
        <w:rPr>
          <w:rFonts w:ascii="Arial" w:hAnsi="Arial" w:cs="Arial"/>
          <w:sz w:val="24"/>
          <w:szCs w:val="24"/>
          <w:lang w:val="en-US"/>
        </w:rPr>
        <w:t>(52.4% CP, 28.0% EE</w:t>
      </w:r>
      <w:r w:rsidR="003823A2" w:rsidRPr="000E783C">
        <w:rPr>
          <w:rFonts w:ascii="Arial" w:hAnsi="Arial" w:cs="Arial"/>
          <w:sz w:val="24"/>
          <w:szCs w:val="24"/>
          <w:lang w:val="en-US"/>
        </w:rPr>
        <w:t xml:space="preserve"> as is, 20.19% TFA, 4.94% SFA,</w:t>
      </w:r>
      <w:r w:rsidR="00A169F2" w:rsidRPr="000E783C">
        <w:rPr>
          <w:rFonts w:ascii="Arial" w:hAnsi="Arial" w:cs="Arial"/>
          <w:sz w:val="24"/>
          <w:szCs w:val="24"/>
          <w:lang w:val="en-US"/>
        </w:rPr>
        <w:t xml:space="preserve"> </w:t>
      </w:r>
      <w:r w:rsidR="003823A2" w:rsidRPr="000E783C">
        <w:rPr>
          <w:rFonts w:ascii="Arial" w:hAnsi="Arial" w:cs="Arial"/>
          <w:sz w:val="24"/>
          <w:szCs w:val="24"/>
          <w:lang w:val="en-US"/>
        </w:rPr>
        <w:t>8.01% MUFA, 7.24% PUFA on DM basis; chitin</w:t>
      </w:r>
      <w:r w:rsidR="00A169F2" w:rsidRPr="000E783C">
        <w:rPr>
          <w:rFonts w:ascii="Arial" w:hAnsi="Arial" w:cs="Arial"/>
          <w:sz w:val="24"/>
          <w:szCs w:val="24"/>
          <w:lang w:val="en-US"/>
        </w:rPr>
        <w:t xml:space="preserve"> [1]</w:t>
      </w:r>
      <w:r w:rsidR="003823A2" w:rsidRPr="000E783C">
        <w:rPr>
          <w:rFonts w:ascii="Arial" w:hAnsi="Arial" w:cs="Arial"/>
          <w:sz w:val="24"/>
          <w:szCs w:val="24"/>
          <w:lang w:val="en-US"/>
        </w:rPr>
        <w:t xml:space="preserve"> </w:t>
      </w:r>
      <w:r w:rsidR="003823A2" w:rsidRPr="000E783C">
        <w:rPr>
          <w:rFonts w:ascii="Arial" w:eastAsia="Times New Roman" w:hAnsi="Arial" w:cs="Arial"/>
          <w:sz w:val="24"/>
          <w:szCs w:val="24"/>
          <w:lang w:val="en-US"/>
        </w:rPr>
        <w:t>46</w:t>
      </w:r>
      <w:r w:rsidR="00D0578B" w:rsidRPr="000E783C">
        <w:rPr>
          <w:rFonts w:ascii="Arial" w:hAnsi="Arial" w:cs="Arial"/>
          <w:sz w:val="24"/>
          <w:szCs w:val="24"/>
          <w:lang w:val="en-US"/>
        </w:rPr>
        <w:t>.</w:t>
      </w:r>
      <w:r w:rsidR="003823A2" w:rsidRPr="000E783C">
        <w:rPr>
          <w:rFonts w:ascii="Arial" w:hAnsi="Arial" w:cs="Arial"/>
          <w:sz w:val="24"/>
          <w:szCs w:val="24"/>
          <w:lang w:val="en-US"/>
        </w:rPr>
        <w:t>2</w:t>
      </w:r>
      <w:r w:rsidR="00A169F2" w:rsidRPr="000E783C">
        <w:rPr>
          <w:rFonts w:ascii="Arial" w:hAnsi="Arial" w:cs="Arial"/>
          <w:sz w:val="24"/>
          <w:szCs w:val="24"/>
          <w:lang w:val="en-US"/>
        </w:rPr>
        <w:t xml:space="preserve"> </w:t>
      </w:r>
      <w:r w:rsidR="003823A2" w:rsidRPr="000E783C">
        <w:rPr>
          <w:rFonts w:ascii="Arial" w:hAnsi="Arial" w:cs="Arial"/>
          <w:sz w:val="24"/>
          <w:szCs w:val="24"/>
          <w:lang w:val="en-US"/>
        </w:rPr>
        <w:t>g/kg as is</w:t>
      </w:r>
      <w:r w:rsidRPr="000E783C">
        <w:rPr>
          <w:rFonts w:ascii="Arial" w:hAnsi="Arial" w:cs="Arial"/>
          <w:sz w:val="24"/>
          <w:szCs w:val="24"/>
          <w:lang w:val="en-US"/>
        </w:rPr>
        <w:t>).</w:t>
      </w:r>
      <w:r w:rsidRPr="000E783C">
        <w:rPr>
          <w:rFonts w:ascii="Arial" w:hAnsi="Arial" w:cs="Arial"/>
          <w:bCs/>
          <w:sz w:val="24"/>
          <w:szCs w:val="24"/>
          <w:lang w:val="en-US"/>
        </w:rPr>
        <w:t xml:space="preserve"> At 53 days of age, 2 broilers/pen were slaughtered. Liver, jejunum, and caecum samples were collected, rinsed in saline solution and </w:t>
      </w:r>
      <w:r w:rsidRPr="000E783C">
        <w:rPr>
          <w:rFonts w:ascii="Arial" w:hAnsi="Arial" w:cs="Arial"/>
          <w:sz w:val="24"/>
          <w:szCs w:val="24"/>
          <w:lang w:val="en-US"/>
        </w:rPr>
        <w:t xml:space="preserve">stored in RNA Later solution </w:t>
      </w:r>
      <w:r w:rsidRPr="000E783C">
        <w:rPr>
          <w:rFonts w:ascii="Arial" w:hAnsi="Arial" w:cs="Arial"/>
          <w:bCs/>
          <w:sz w:val="24"/>
          <w:szCs w:val="24"/>
          <w:lang w:val="en-US"/>
        </w:rPr>
        <w:t xml:space="preserve">at -80°C pending analysis. Pooled samples </w:t>
      </w:r>
      <w:r w:rsidR="000E783C">
        <w:rPr>
          <w:rFonts w:ascii="Arial" w:hAnsi="Arial" w:cs="Arial"/>
          <w:bCs/>
          <w:sz w:val="24"/>
          <w:szCs w:val="24"/>
          <w:lang w:val="en-US"/>
        </w:rPr>
        <w:t>per</w:t>
      </w:r>
      <w:r w:rsidRPr="000E783C">
        <w:rPr>
          <w:rFonts w:ascii="Arial" w:hAnsi="Arial" w:cs="Arial"/>
          <w:bCs/>
          <w:sz w:val="24"/>
          <w:szCs w:val="24"/>
          <w:lang w:val="en-US"/>
        </w:rPr>
        <w:t xml:space="preserve"> treatment were analyzed for </w:t>
      </w:r>
      <w:r w:rsidRPr="000E783C">
        <w:rPr>
          <w:rFonts w:ascii="Arial" w:hAnsi="Arial" w:cs="Arial"/>
          <w:sz w:val="24"/>
          <w:szCs w:val="24"/>
          <w:lang w:val="en-US"/>
        </w:rPr>
        <w:t>RNA-</w:t>
      </w:r>
      <w:proofErr w:type="spellStart"/>
      <w:r w:rsidRPr="000E783C">
        <w:rPr>
          <w:rFonts w:ascii="Arial" w:hAnsi="Arial" w:cs="Arial"/>
          <w:sz w:val="24"/>
          <w:szCs w:val="24"/>
          <w:lang w:val="en-US"/>
        </w:rPr>
        <w:t>seq</w:t>
      </w:r>
      <w:proofErr w:type="spellEnd"/>
      <w:r w:rsidRPr="000E783C">
        <w:rPr>
          <w:rFonts w:ascii="Arial" w:hAnsi="Arial" w:cs="Arial"/>
          <w:sz w:val="24"/>
          <w:szCs w:val="24"/>
          <w:lang w:val="en-US"/>
        </w:rPr>
        <w:t xml:space="preserve"> using </w:t>
      </w:r>
      <w:r w:rsidRPr="000E783C">
        <w:rPr>
          <w:rFonts w:ascii="Arial" w:hAnsi="Arial" w:cs="Arial"/>
          <w:bCs/>
          <w:sz w:val="24"/>
          <w:szCs w:val="24"/>
          <w:lang w:val="en-US"/>
        </w:rPr>
        <w:t xml:space="preserve">Illumina NGS analyzer. Differential expression of genes (DEG) was carried out using </w:t>
      </w:r>
      <w:proofErr w:type="spellStart"/>
      <w:r w:rsidRPr="000E783C">
        <w:rPr>
          <w:rFonts w:ascii="Arial" w:hAnsi="Arial" w:cs="Arial"/>
          <w:bCs/>
          <w:sz w:val="24"/>
          <w:szCs w:val="24"/>
          <w:lang w:val="en-US"/>
        </w:rPr>
        <w:t>Cuffdiff</w:t>
      </w:r>
      <w:proofErr w:type="spellEnd"/>
      <w:r w:rsidRPr="000E783C">
        <w:rPr>
          <w:rFonts w:ascii="Arial" w:hAnsi="Arial" w:cs="Arial"/>
          <w:bCs/>
          <w:sz w:val="24"/>
          <w:szCs w:val="24"/>
          <w:lang w:val="en-US"/>
        </w:rPr>
        <w:t xml:space="preserve">. Fisher test corrected with Bonferroni procedure </w:t>
      </w:r>
      <w:r w:rsidR="00693E28" w:rsidRPr="000E783C">
        <w:rPr>
          <w:rFonts w:ascii="Arial" w:hAnsi="Arial" w:cs="Arial"/>
          <w:bCs/>
          <w:sz w:val="24"/>
          <w:szCs w:val="24"/>
          <w:lang w:val="en-US"/>
        </w:rPr>
        <w:t>[5]</w:t>
      </w:r>
      <w:r w:rsidRPr="000E783C">
        <w:rPr>
          <w:rFonts w:ascii="Arial" w:hAnsi="Arial" w:cs="Arial"/>
          <w:bCs/>
          <w:sz w:val="24"/>
          <w:szCs w:val="24"/>
          <w:lang w:val="en-US"/>
        </w:rPr>
        <w:t xml:space="preserve"> was used for statistical analysis of RNA sequencing data. Significant differences were considered for </w:t>
      </w:r>
      <w:r w:rsidR="007578DE" w:rsidRPr="000E783C">
        <w:rPr>
          <w:rFonts w:ascii="Arial" w:hAnsi="Arial" w:cs="Arial"/>
          <w:bCs/>
          <w:sz w:val="24"/>
          <w:szCs w:val="24"/>
          <w:lang w:val="en-US"/>
        </w:rPr>
        <w:t>p</w:t>
      </w:r>
      <w:r w:rsidRPr="000E783C">
        <w:rPr>
          <w:rFonts w:ascii="Arial" w:hAnsi="Arial" w:cs="Arial"/>
          <w:bCs/>
          <w:sz w:val="24"/>
          <w:szCs w:val="24"/>
          <w:lang w:val="en-US"/>
        </w:rPr>
        <w:t xml:space="preserve"> &lt; 0.05.</w:t>
      </w:r>
    </w:p>
    <w:p w:rsidR="007F4E28" w:rsidRPr="000E783C" w:rsidRDefault="007F4E28" w:rsidP="00D64F7C">
      <w:pPr>
        <w:spacing w:after="0" w:line="240" w:lineRule="auto"/>
        <w:jc w:val="both"/>
        <w:rPr>
          <w:rFonts w:ascii="Arial" w:hAnsi="Arial" w:cs="Arial"/>
          <w:bCs/>
          <w:sz w:val="24"/>
          <w:szCs w:val="24"/>
          <w:lang w:val="en-US"/>
        </w:rPr>
      </w:pPr>
      <w:r w:rsidRPr="000E783C">
        <w:rPr>
          <w:rFonts w:ascii="Arial" w:hAnsi="Arial" w:cs="Arial"/>
          <w:b/>
          <w:bCs/>
          <w:sz w:val="24"/>
          <w:szCs w:val="24"/>
          <w:lang w:val="en-US"/>
        </w:rPr>
        <w:t>Results and discussion:</w:t>
      </w:r>
      <w:r w:rsidRPr="000E783C">
        <w:rPr>
          <w:rFonts w:ascii="Arial" w:hAnsi="Arial" w:cs="Arial"/>
          <w:bCs/>
          <w:sz w:val="24"/>
          <w:szCs w:val="24"/>
          <w:lang w:val="en-US"/>
        </w:rPr>
        <w:t xml:space="preserve"> Performance traits were previously presented </w:t>
      </w:r>
      <w:r w:rsidR="00AE0296" w:rsidRPr="000E783C">
        <w:rPr>
          <w:rFonts w:ascii="Arial" w:hAnsi="Arial" w:cs="Arial"/>
          <w:bCs/>
          <w:sz w:val="24"/>
          <w:szCs w:val="24"/>
          <w:lang w:val="en-US"/>
        </w:rPr>
        <w:t>[1]</w:t>
      </w:r>
      <w:r w:rsidRPr="000E783C">
        <w:rPr>
          <w:rFonts w:ascii="Arial" w:hAnsi="Arial" w:cs="Arial"/>
          <w:bCs/>
          <w:sz w:val="24"/>
          <w:szCs w:val="24"/>
          <w:lang w:val="en-US"/>
        </w:rPr>
        <w:t xml:space="preserve">. Briefly, FCR (p </w:t>
      </w:r>
      <w:r w:rsidR="007578DE" w:rsidRPr="000E783C">
        <w:rPr>
          <w:rFonts w:ascii="Arial" w:hAnsi="Arial" w:cs="Arial"/>
          <w:bCs/>
          <w:sz w:val="24"/>
          <w:szCs w:val="24"/>
          <w:lang w:val="en-US"/>
        </w:rPr>
        <w:t>&lt;</w:t>
      </w:r>
      <w:r w:rsidRPr="000E783C">
        <w:rPr>
          <w:rFonts w:ascii="Arial" w:hAnsi="Arial" w:cs="Arial"/>
          <w:bCs/>
          <w:sz w:val="24"/>
          <w:szCs w:val="24"/>
          <w:lang w:val="en-US"/>
        </w:rPr>
        <w:t xml:space="preserve"> 0.0</w:t>
      </w:r>
      <w:r w:rsidR="007578DE" w:rsidRPr="000E783C">
        <w:rPr>
          <w:rFonts w:ascii="Arial" w:hAnsi="Arial" w:cs="Arial"/>
          <w:bCs/>
          <w:sz w:val="24"/>
          <w:szCs w:val="24"/>
          <w:lang w:val="en-US"/>
        </w:rPr>
        <w:t>1</w:t>
      </w:r>
      <w:r w:rsidRPr="000E783C">
        <w:rPr>
          <w:rFonts w:ascii="Arial" w:hAnsi="Arial" w:cs="Arial"/>
          <w:bCs/>
          <w:sz w:val="24"/>
          <w:szCs w:val="24"/>
          <w:lang w:val="en-US"/>
        </w:rPr>
        <w:t xml:space="preserve">) </w:t>
      </w:r>
      <w:r w:rsidR="00D64F7C" w:rsidRPr="000E783C">
        <w:rPr>
          <w:rFonts w:ascii="Arial" w:hAnsi="Arial" w:cs="Arial"/>
          <w:bCs/>
          <w:sz w:val="24"/>
          <w:szCs w:val="24"/>
          <w:lang w:val="en-US"/>
        </w:rPr>
        <w:t>was</w:t>
      </w:r>
      <w:r w:rsidRPr="000E783C">
        <w:rPr>
          <w:rFonts w:ascii="Arial" w:hAnsi="Arial" w:cs="Arial"/>
          <w:bCs/>
          <w:sz w:val="24"/>
          <w:szCs w:val="24"/>
          <w:lang w:val="en-US"/>
        </w:rPr>
        <w:t xml:space="preserve"> higher in TM compared with CT group. The most important metabolic pathways with DEG between dietary treatments </w:t>
      </w:r>
      <w:r w:rsidR="00AE0296" w:rsidRPr="000E783C">
        <w:rPr>
          <w:rFonts w:ascii="Arial" w:hAnsi="Arial" w:cs="Arial"/>
          <w:bCs/>
          <w:sz w:val="24"/>
          <w:szCs w:val="24"/>
          <w:lang w:val="en-US"/>
        </w:rPr>
        <w:t xml:space="preserve">(table 1) </w:t>
      </w:r>
      <w:r w:rsidRPr="000E783C">
        <w:rPr>
          <w:rFonts w:ascii="Arial" w:hAnsi="Arial" w:cs="Arial"/>
          <w:bCs/>
          <w:sz w:val="24"/>
          <w:szCs w:val="24"/>
          <w:lang w:val="en-US"/>
        </w:rPr>
        <w:t xml:space="preserve">were regulation of lipid metabolism by peroxisome proliferator-activated receptor alpha, fatty acid metabolism, triglyceride metabolism and ketone body metabolism. </w:t>
      </w:r>
    </w:p>
    <w:p w:rsidR="00D64F7C" w:rsidRPr="000E783C" w:rsidRDefault="007F4E28" w:rsidP="00D64F7C">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b/>
          <w:sz w:val="24"/>
          <w:szCs w:val="24"/>
          <w:lang w:val="en-US"/>
        </w:rPr>
        <w:t>Table 1</w:t>
      </w:r>
      <w:r w:rsidR="008104B5" w:rsidRPr="000E783C">
        <w:rPr>
          <w:rFonts w:ascii="Arial" w:hAnsi="Arial" w:cs="Arial"/>
          <w:b/>
          <w:sz w:val="24"/>
          <w:szCs w:val="24"/>
          <w:lang w:val="en-US"/>
        </w:rPr>
        <w:t>.</w:t>
      </w:r>
      <w:r w:rsidRPr="000E783C">
        <w:rPr>
          <w:rFonts w:ascii="Arial" w:hAnsi="Arial" w:cs="Arial"/>
          <w:sz w:val="24"/>
          <w:szCs w:val="24"/>
          <w:lang w:val="en-US"/>
        </w:rPr>
        <w:t xml:space="preserve"> DEG in birds fed TM compared with CT group (log2[fold change])</w:t>
      </w:r>
      <w:r w:rsidR="00D64F7C" w:rsidRPr="000E783C">
        <w:rPr>
          <w:rFonts w:ascii="Arial" w:hAnsi="Arial" w:cs="Arial"/>
          <w:sz w:val="24"/>
          <w:szCs w:val="24"/>
          <w:lang w:val="en-US"/>
        </w:rPr>
        <w:t>.</w:t>
      </w:r>
    </w:p>
    <w:tbl>
      <w:tblPr>
        <w:tblW w:w="0" w:type="auto"/>
        <w:tblLayout w:type="fixed"/>
        <w:tblLook w:val="00A0" w:firstRow="1" w:lastRow="0" w:firstColumn="1" w:lastColumn="0" w:noHBand="0" w:noVBand="0"/>
      </w:tblPr>
      <w:tblGrid>
        <w:gridCol w:w="1384"/>
        <w:gridCol w:w="992"/>
        <w:gridCol w:w="1134"/>
        <w:gridCol w:w="1134"/>
        <w:gridCol w:w="4536"/>
      </w:tblGrid>
      <w:tr w:rsidR="007F4E28" w:rsidRPr="000E783C" w:rsidTr="008104B5">
        <w:tc>
          <w:tcPr>
            <w:tcW w:w="1384" w:type="dxa"/>
            <w:tcBorders>
              <w:top w:val="single" w:sz="12" w:space="0" w:color="auto"/>
              <w:bottom w:val="single" w:sz="12"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Gene</w:t>
            </w:r>
          </w:p>
        </w:tc>
        <w:tc>
          <w:tcPr>
            <w:tcW w:w="992" w:type="dxa"/>
            <w:tcBorders>
              <w:top w:val="single" w:sz="12" w:space="0" w:color="auto"/>
              <w:bottom w:val="single" w:sz="12"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Liver</w:t>
            </w:r>
          </w:p>
        </w:tc>
        <w:tc>
          <w:tcPr>
            <w:tcW w:w="1134" w:type="dxa"/>
            <w:tcBorders>
              <w:top w:val="single" w:sz="12" w:space="0" w:color="auto"/>
              <w:bottom w:val="single" w:sz="12"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Jejunum</w:t>
            </w:r>
          </w:p>
        </w:tc>
        <w:tc>
          <w:tcPr>
            <w:tcW w:w="1134" w:type="dxa"/>
            <w:tcBorders>
              <w:top w:val="single" w:sz="12" w:space="0" w:color="auto"/>
              <w:bottom w:val="single" w:sz="12"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Caecum</w:t>
            </w:r>
          </w:p>
        </w:tc>
        <w:tc>
          <w:tcPr>
            <w:tcW w:w="4536" w:type="dxa"/>
            <w:tcBorders>
              <w:top w:val="single" w:sz="12" w:space="0" w:color="auto"/>
              <w:bottom w:val="single" w:sz="12"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Observations</w:t>
            </w:r>
            <w:r w:rsidR="00D64F7C" w:rsidRPr="000E783C">
              <w:rPr>
                <w:rFonts w:ascii="Arial" w:hAnsi="Arial" w:cs="Arial"/>
                <w:sz w:val="24"/>
                <w:szCs w:val="24"/>
                <w:lang w:val="en-US"/>
              </w:rPr>
              <w:t>,</w:t>
            </w:r>
            <w:r w:rsidR="00B933C4" w:rsidRPr="000E783C">
              <w:rPr>
                <w:rFonts w:ascii="Arial" w:hAnsi="Arial" w:cs="Arial"/>
                <w:sz w:val="24"/>
                <w:szCs w:val="24"/>
                <w:lang w:val="en-US"/>
              </w:rPr>
              <w:t xml:space="preserve"> in birds fed TM</w:t>
            </w:r>
            <w:r w:rsidR="00536303" w:rsidRPr="000E783C">
              <w:rPr>
                <w:rFonts w:ascii="Arial" w:hAnsi="Arial" w:cs="Arial"/>
                <w:sz w:val="24"/>
                <w:szCs w:val="24"/>
                <w:vertAlign w:val="superscript"/>
                <w:lang w:val="en-US"/>
              </w:rPr>
              <w:t>#</w:t>
            </w:r>
          </w:p>
        </w:tc>
      </w:tr>
      <w:tr w:rsidR="007F4E28" w:rsidRPr="000E783C" w:rsidTr="008104B5">
        <w:tc>
          <w:tcPr>
            <w:tcW w:w="1384" w:type="dxa"/>
            <w:tcBorders>
              <w:top w:val="single" w:sz="12" w:space="0" w:color="auto"/>
              <w:bottom w:val="single" w:sz="4"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APOA1</w:t>
            </w:r>
          </w:p>
        </w:tc>
        <w:tc>
          <w:tcPr>
            <w:tcW w:w="992" w:type="dxa"/>
            <w:tcBorders>
              <w:top w:val="single" w:sz="12"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0.59</w:t>
            </w:r>
            <w:r w:rsidRPr="000E783C">
              <w:rPr>
                <w:rFonts w:ascii="Arial" w:hAnsi="Arial" w:cs="Arial"/>
                <w:sz w:val="24"/>
                <w:szCs w:val="24"/>
                <w:vertAlign w:val="superscript"/>
                <w:lang w:val="en-US"/>
              </w:rPr>
              <w:t>***</w:t>
            </w:r>
          </w:p>
        </w:tc>
        <w:tc>
          <w:tcPr>
            <w:tcW w:w="1134" w:type="dxa"/>
            <w:tcBorders>
              <w:top w:val="single" w:sz="12"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-0.27</w:t>
            </w:r>
            <w:r w:rsidRPr="000E783C">
              <w:rPr>
                <w:rFonts w:ascii="Arial" w:hAnsi="Arial" w:cs="Arial"/>
                <w:sz w:val="24"/>
                <w:szCs w:val="24"/>
                <w:vertAlign w:val="superscript"/>
                <w:lang w:val="en-US"/>
              </w:rPr>
              <w:t>***</w:t>
            </w:r>
          </w:p>
        </w:tc>
        <w:tc>
          <w:tcPr>
            <w:tcW w:w="1134" w:type="dxa"/>
            <w:tcBorders>
              <w:top w:val="single" w:sz="12"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4536" w:type="dxa"/>
            <w:tcBorders>
              <w:top w:val="single" w:sz="12" w:space="0" w:color="auto"/>
              <w:bottom w:val="single" w:sz="4" w:space="0" w:color="auto"/>
            </w:tcBorders>
            <w:vAlign w:val="center"/>
          </w:tcPr>
          <w:p w:rsidR="007F4E28" w:rsidRPr="000E783C" w:rsidRDefault="00776E00" w:rsidP="00776E00">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Higher</w:t>
            </w:r>
            <w:r w:rsidR="007F4E28" w:rsidRPr="000E783C">
              <w:rPr>
                <w:rFonts w:ascii="Arial" w:hAnsi="Arial" w:cs="Arial"/>
                <w:sz w:val="24"/>
                <w:szCs w:val="24"/>
                <w:lang w:val="en-US"/>
              </w:rPr>
              <w:t xml:space="preserve"> liver and </w:t>
            </w:r>
            <w:r w:rsidRPr="000E783C">
              <w:rPr>
                <w:rFonts w:ascii="Arial" w:hAnsi="Arial" w:cs="Arial"/>
                <w:sz w:val="24"/>
                <w:szCs w:val="24"/>
                <w:lang w:val="en-US"/>
              </w:rPr>
              <w:t xml:space="preserve">lower </w:t>
            </w:r>
            <w:r w:rsidR="007F4E28" w:rsidRPr="000E783C">
              <w:rPr>
                <w:rFonts w:ascii="Arial" w:hAnsi="Arial" w:cs="Arial"/>
                <w:sz w:val="24"/>
                <w:szCs w:val="24"/>
                <w:lang w:val="en-US"/>
              </w:rPr>
              <w:t>je</w:t>
            </w:r>
            <w:r w:rsidR="00B933C4" w:rsidRPr="000E783C">
              <w:rPr>
                <w:rFonts w:ascii="Arial" w:hAnsi="Arial" w:cs="Arial"/>
                <w:sz w:val="24"/>
                <w:szCs w:val="24"/>
                <w:lang w:val="en-US"/>
              </w:rPr>
              <w:t>junum HDL-cholesterol transport</w:t>
            </w:r>
          </w:p>
        </w:tc>
      </w:tr>
      <w:tr w:rsidR="007F4E28" w:rsidRPr="000E783C" w:rsidTr="008104B5">
        <w:tc>
          <w:tcPr>
            <w:tcW w:w="138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FABP1</w:t>
            </w:r>
          </w:p>
        </w:tc>
        <w:tc>
          <w:tcPr>
            <w:tcW w:w="992"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0.48</w:t>
            </w:r>
            <w:r w:rsidRPr="000E783C">
              <w:rPr>
                <w:rFonts w:ascii="Arial" w:hAnsi="Arial" w:cs="Arial"/>
                <w:sz w:val="24"/>
                <w:szCs w:val="24"/>
                <w:vertAlign w:val="superscript"/>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-1.9</w:t>
            </w:r>
            <w:r w:rsidR="007578DE" w:rsidRPr="000E783C">
              <w:rPr>
                <w:rFonts w:ascii="Arial" w:hAnsi="Arial" w:cs="Arial"/>
                <w:sz w:val="24"/>
                <w:szCs w:val="24"/>
                <w:lang w:val="en-US"/>
              </w:rPr>
              <w:t>0</w:t>
            </w:r>
            <w:r w:rsidRPr="000E783C">
              <w:rPr>
                <w:rFonts w:ascii="Arial" w:hAnsi="Arial" w:cs="Arial"/>
                <w:sz w:val="24"/>
                <w:szCs w:val="24"/>
                <w:vertAlign w:val="superscript"/>
                <w:lang w:val="en-US"/>
              </w:rPr>
              <w:t>***</w:t>
            </w:r>
          </w:p>
        </w:tc>
        <w:tc>
          <w:tcPr>
            <w:tcW w:w="4536" w:type="dxa"/>
            <w:tcBorders>
              <w:top w:val="single" w:sz="4" w:space="0" w:color="auto"/>
              <w:bottom w:val="single" w:sz="4" w:space="0" w:color="auto"/>
            </w:tcBorders>
          </w:tcPr>
          <w:p w:rsidR="007F4E28" w:rsidRPr="000E783C" w:rsidRDefault="00776E00" w:rsidP="00776E00">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sz w:val="24"/>
                <w:szCs w:val="24"/>
                <w:lang w:val="en-US"/>
              </w:rPr>
              <w:t xml:space="preserve">Higher </w:t>
            </w:r>
            <w:r w:rsidR="007F4E28" w:rsidRPr="000E783C">
              <w:rPr>
                <w:rFonts w:ascii="Arial" w:hAnsi="Arial" w:cs="Arial"/>
                <w:sz w:val="24"/>
                <w:szCs w:val="24"/>
                <w:lang w:val="en-US"/>
              </w:rPr>
              <w:t xml:space="preserve">liver </w:t>
            </w:r>
            <w:r w:rsidR="007578DE" w:rsidRPr="000E783C">
              <w:rPr>
                <w:rFonts w:ascii="Arial" w:hAnsi="Arial" w:cs="Arial"/>
                <w:sz w:val="24"/>
                <w:szCs w:val="24"/>
                <w:lang w:val="en-US"/>
              </w:rPr>
              <w:t>LC</w:t>
            </w:r>
            <w:r w:rsidR="007F4E28" w:rsidRPr="000E783C">
              <w:rPr>
                <w:rFonts w:ascii="Arial" w:hAnsi="Arial" w:cs="Arial"/>
                <w:sz w:val="24"/>
                <w:szCs w:val="24"/>
                <w:lang w:val="en-US"/>
              </w:rPr>
              <w:t xml:space="preserve">FA uptake, transport and metabolism, </w:t>
            </w:r>
            <w:r w:rsidRPr="000E783C">
              <w:rPr>
                <w:rFonts w:ascii="Arial" w:hAnsi="Arial" w:cs="Arial"/>
                <w:sz w:val="24"/>
                <w:szCs w:val="24"/>
                <w:lang w:val="en-US"/>
              </w:rPr>
              <w:t xml:space="preserve">and </w:t>
            </w:r>
            <w:r w:rsidR="007F4E28" w:rsidRPr="000E783C">
              <w:rPr>
                <w:rFonts w:ascii="Arial" w:hAnsi="Arial" w:cs="Arial"/>
                <w:sz w:val="24"/>
                <w:szCs w:val="24"/>
                <w:lang w:val="en-US"/>
              </w:rPr>
              <w:t xml:space="preserve">TG catabolism and </w:t>
            </w:r>
            <w:r w:rsidRPr="000E783C">
              <w:rPr>
                <w:rFonts w:ascii="Arial" w:hAnsi="Arial" w:cs="Arial"/>
                <w:sz w:val="24"/>
                <w:szCs w:val="24"/>
                <w:lang w:val="en-US"/>
              </w:rPr>
              <w:t xml:space="preserve">lower </w:t>
            </w:r>
            <w:r w:rsidR="007F4E28" w:rsidRPr="000E783C">
              <w:rPr>
                <w:rFonts w:ascii="Arial" w:hAnsi="Arial" w:cs="Arial"/>
                <w:sz w:val="24"/>
                <w:szCs w:val="24"/>
                <w:lang w:val="en-US"/>
              </w:rPr>
              <w:t xml:space="preserve">caecum </w:t>
            </w:r>
            <w:r w:rsidR="007578DE" w:rsidRPr="000E783C">
              <w:rPr>
                <w:rFonts w:ascii="Arial" w:hAnsi="Arial" w:cs="Arial"/>
                <w:sz w:val="24"/>
                <w:szCs w:val="24"/>
                <w:lang w:val="en-US"/>
              </w:rPr>
              <w:t>LC</w:t>
            </w:r>
            <w:r w:rsidR="00B933C4" w:rsidRPr="000E783C">
              <w:rPr>
                <w:rFonts w:ascii="Arial" w:hAnsi="Arial" w:cs="Arial"/>
                <w:sz w:val="24"/>
                <w:szCs w:val="24"/>
                <w:lang w:val="en-US"/>
              </w:rPr>
              <w:t>FA transport</w:t>
            </w:r>
          </w:p>
        </w:tc>
      </w:tr>
      <w:tr w:rsidR="007F4E28" w:rsidRPr="000E783C" w:rsidTr="008104B5">
        <w:tc>
          <w:tcPr>
            <w:tcW w:w="138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CYP1A1</w:t>
            </w:r>
          </w:p>
        </w:tc>
        <w:tc>
          <w:tcPr>
            <w:tcW w:w="992"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2.25</w:t>
            </w:r>
            <w:r w:rsidRPr="000E783C">
              <w:rPr>
                <w:rFonts w:ascii="Arial" w:hAnsi="Arial" w:cs="Arial"/>
                <w:sz w:val="24"/>
                <w:szCs w:val="24"/>
                <w:vertAlign w:val="superscript"/>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4536" w:type="dxa"/>
            <w:tcBorders>
              <w:top w:val="single" w:sz="4" w:space="0" w:color="auto"/>
              <w:bottom w:val="single" w:sz="4" w:space="0" w:color="auto"/>
            </w:tcBorders>
          </w:tcPr>
          <w:p w:rsidR="007F4E28" w:rsidRPr="000E783C" w:rsidRDefault="00776E00" w:rsidP="00776E00">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sz w:val="24"/>
                <w:szCs w:val="24"/>
                <w:lang w:val="en-US"/>
              </w:rPr>
              <w:t xml:space="preserve">Higher lipid </w:t>
            </w:r>
            <w:r w:rsidR="007F4E28" w:rsidRPr="000E783C">
              <w:rPr>
                <w:rFonts w:ascii="Arial" w:hAnsi="Arial" w:cs="Arial"/>
                <w:sz w:val="24"/>
                <w:szCs w:val="24"/>
                <w:lang w:val="en-US"/>
              </w:rPr>
              <w:t xml:space="preserve">synthesis </w:t>
            </w:r>
          </w:p>
        </w:tc>
      </w:tr>
      <w:tr w:rsidR="007F4E28" w:rsidRPr="000E783C" w:rsidTr="008104B5">
        <w:tc>
          <w:tcPr>
            <w:tcW w:w="138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PLIN2</w:t>
            </w:r>
          </w:p>
        </w:tc>
        <w:tc>
          <w:tcPr>
            <w:tcW w:w="992"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-1.33</w:t>
            </w:r>
            <w:r w:rsidRPr="000E783C">
              <w:rPr>
                <w:rFonts w:ascii="Arial" w:hAnsi="Arial" w:cs="Arial"/>
                <w:sz w:val="24"/>
                <w:szCs w:val="24"/>
                <w:vertAlign w:val="superscript"/>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4536" w:type="dxa"/>
            <w:tcBorders>
              <w:top w:val="single" w:sz="4" w:space="0" w:color="auto"/>
              <w:bottom w:val="single" w:sz="4" w:space="0" w:color="auto"/>
            </w:tcBorders>
          </w:tcPr>
          <w:p w:rsidR="007F4E28" w:rsidRPr="000E783C" w:rsidRDefault="00B933C4" w:rsidP="00D64F7C">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sz w:val="24"/>
                <w:szCs w:val="24"/>
                <w:lang w:val="en-US"/>
              </w:rPr>
              <w:t>Lower lipid accumulation</w:t>
            </w:r>
          </w:p>
        </w:tc>
      </w:tr>
      <w:tr w:rsidR="007F4E28" w:rsidRPr="000E783C" w:rsidTr="008104B5">
        <w:tc>
          <w:tcPr>
            <w:tcW w:w="138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HMGCS1</w:t>
            </w:r>
          </w:p>
        </w:tc>
        <w:tc>
          <w:tcPr>
            <w:tcW w:w="992"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-0.19</w:t>
            </w:r>
            <w:r w:rsidRPr="000E783C">
              <w:rPr>
                <w:rFonts w:ascii="Arial" w:hAnsi="Arial" w:cs="Arial"/>
                <w:sz w:val="24"/>
                <w:szCs w:val="24"/>
                <w:vertAlign w:val="superscript"/>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4536" w:type="dxa"/>
            <w:tcBorders>
              <w:top w:val="single" w:sz="4" w:space="0" w:color="auto"/>
              <w:bottom w:val="single" w:sz="4" w:space="0" w:color="auto"/>
            </w:tcBorders>
          </w:tcPr>
          <w:p w:rsidR="007F4E28" w:rsidRPr="000E783C" w:rsidRDefault="007F4E28" w:rsidP="00D64F7C">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sz w:val="24"/>
                <w:szCs w:val="24"/>
                <w:lang w:val="en-US"/>
              </w:rPr>
              <w:t>-</w:t>
            </w:r>
          </w:p>
        </w:tc>
      </w:tr>
      <w:tr w:rsidR="007F4E28" w:rsidRPr="000E783C" w:rsidTr="008104B5">
        <w:tc>
          <w:tcPr>
            <w:tcW w:w="138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HMGCS2</w:t>
            </w:r>
          </w:p>
        </w:tc>
        <w:tc>
          <w:tcPr>
            <w:tcW w:w="992"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-2.00</w:t>
            </w:r>
            <w:r w:rsidRPr="000E783C">
              <w:rPr>
                <w:rFonts w:ascii="Arial" w:hAnsi="Arial" w:cs="Arial"/>
                <w:sz w:val="24"/>
                <w:szCs w:val="24"/>
                <w:vertAlign w:val="superscript"/>
                <w:lang w:val="en-US"/>
              </w:rPr>
              <w:t>**</w:t>
            </w:r>
          </w:p>
        </w:tc>
        <w:tc>
          <w:tcPr>
            <w:tcW w:w="4536" w:type="dxa"/>
            <w:tcBorders>
              <w:top w:val="single" w:sz="4" w:space="0" w:color="auto"/>
              <w:bottom w:val="single" w:sz="4" w:space="0" w:color="auto"/>
            </w:tcBorders>
          </w:tcPr>
          <w:p w:rsidR="007F4E28" w:rsidRPr="000E783C" w:rsidRDefault="00B933C4" w:rsidP="00D64F7C">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sz w:val="24"/>
                <w:szCs w:val="24"/>
                <w:lang w:val="en-US"/>
              </w:rPr>
              <w:t xml:space="preserve">Lower </w:t>
            </w:r>
            <w:proofErr w:type="spellStart"/>
            <w:r w:rsidRPr="000E783C">
              <w:rPr>
                <w:rFonts w:ascii="Arial" w:hAnsi="Arial" w:cs="Arial"/>
                <w:sz w:val="24"/>
                <w:szCs w:val="24"/>
                <w:lang w:val="en-US"/>
              </w:rPr>
              <w:t>ketogenesis</w:t>
            </w:r>
            <w:proofErr w:type="spellEnd"/>
          </w:p>
        </w:tc>
      </w:tr>
      <w:tr w:rsidR="007F4E28" w:rsidRPr="000E783C" w:rsidTr="008104B5">
        <w:tc>
          <w:tcPr>
            <w:tcW w:w="138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FABP6</w:t>
            </w:r>
          </w:p>
        </w:tc>
        <w:tc>
          <w:tcPr>
            <w:tcW w:w="992"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-0.36</w:t>
            </w:r>
            <w:r w:rsidRPr="000E783C">
              <w:rPr>
                <w:rFonts w:ascii="Arial" w:hAnsi="Arial" w:cs="Arial"/>
                <w:sz w:val="24"/>
                <w:szCs w:val="24"/>
                <w:vertAlign w:val="superscript"/>
                <w:lang w:val="en-US"/>
              </w:rPr>
              <w:t>***</w:t>
            </w:r>
          </w:p>
        </w:tc>
        <w:tc>
          <w:tcPr>
            <w:tcW w:w="1134" w:type="dxa"/>
            <w:tcBorders>
              <w:top w:val="single" w:sz="4" w:space="0" w:color="auto"/>
              <w:bottom w:val="single" w:sz="4"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4536" w:type="dxa"/>
            <w:tcBorders>
              <w:top w:val="single" w:sz="4" w:space="0" w:color="auto"/>
              <w:bottom w:val="single" w:sz="4" w:space="0" w:color="auto"/>
            </w:tcBorders>
          </w:tcPr>
          <w:p w:rsidR="007F4E28" w:rsidRPr="000E783C" w:rsidRDefault="007F4E28" w:rsidP="00D64F7C">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sz w:val="24"/>
                <w:szCs w:val="24"/>
                <w:lang w:val="en-US"/>
              </w:rPr>
              <w:t xml:space="preserve">Lower </w:t>
            </w:r>
            <w:r w:rsidR="007578DE" w:rsidRPr="000E783C">
              <w:rPr>
                <w:rFonts w:ascii="Arial" w:hAnsi="Arial" w:cs="Arial"/>
                <w:sz w:val="24"/>
                <w:szCs w:val="24"/>
                <w:lang w:val="en-US"/>
              </w:rPr>
              <w:t>LC</w:t>
            </w:r>
            <w:r w:rsidRPr="000E783C">
              <w:rPr>
                <w:rFonts w:ascii="Arial" w:hAnsi="Arial" w:cs="Arial"/>
                <w:sz w:val="24"/>
                <w:szCs w:val="24"/>
                <w:lang w:val="en-US"/>
              </w:rPr>
              <w:t xml:space="preserve">FA </w:t>
            </w:r>
            <w:r w:rsidR="007578DE" w:rsidRPr="000E783C">
              <w:rPr>
                <w:rFonts w:ascii="Arial" w:hAnsi="Arial" w:cs="Arial"/>
                <w:sz w:val="24"/>
                <w:szCs w:val="24"/>
                <w:lang w:val="en-US"/>
              </w:rPr>
              <w:t>transport and metabolism</w:t>
            </w:r>
          </w:p>
        </w:tc>
      </w:tr>
      <w:tr w:rsidR="007F4E28" w:rsidRPr="000E783C" w:rsidTr="008104B5">
        <w:tc>
          <w:tcPr>
            <w:tcW w:w="1384" w:type="dxa"/>
            <w:tcBorders>
              <w:top w:val="single" w:sz="4" w:space="0" w:color="auto"/>
              <w:bottom w:val="single" w:sz="12" w:space="0" w:color="auto"/>
            </w:tcBorders>
            <w:vAlign w:val="center"/>
          </w:tcPr>
          <w:p w:rsidR="007F4E28" w:rsidRPr="000E783C" w:rsidRDefault="007F4E28" w:rsidP="00D64F7C">
            <w:pPr>
              <w:autoSpaceDE w:val="0"/>
              <w:autoSpaceDN w:val="0"/>
              <w:adjustRightInd w:val="0"/>
              <w:spacing w:after="0" w:line="240" w:lineRule="auto"/>
              <w:rPr>
                <w:rFonts w:ascii="Arial" w:hAnsi="Arial" w:cs="Arial"/>
                <w:sz w:val="24"/>
                <w:szCs w:val="24"/>
                <w:lang w:val="en-US"/>
              </w:rPr>
            </w:pPr>
            <w:r w:rsidRPr="000E783C">
              <w:rPr>
                <w:rFonts w:ascii="Arial" w:hAnsi="Arial" w:cs="Arial"/>
                <w:sz w:val="24"/>
                <w:szCs w:val="24"/>
                <w:lang w:val="en-US"/>
              </w:rPr>
              <w:t>FABP3</w:t>
            </w:r>
          </w:p>
        </w:tc>
        <w:tc>
          <w:tcPr>
            <w:tcW w:w="992" w:type="dxa"/>
            <w:tcBorders>
              <w:top w:val="single" w:sz="4" w:space="0" w:color="auto"/>
              <w:bottom w:val="single" w:sz="12"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12"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w:t>
            </w:r>
          </w:p>
        </w:tc>
        <w:tc>
          <w:tcPr>
            <w:tcW w:w="1134" w:type="dxa"/>
            <w:tcBorders>
              <w:top w:val="single" w:sz="4" w:space="0" w:color="auto"/>
              <w:bottom w:val="single" w:sz="12" w:space="0" w:color="auto"/>
            </w:tcBorders>
            <w:vAlign w:val="center"/>
          </w:tcPr>
          <w:p w:rsidR="007F4E28" w:rsidRPr="000E783C" w:rsidRDefault="007F4E28" w:rsidP="00D64F7C">
            <w:pPr>
              <w:autoSpaceDE w:val="0"/>
              <w:autoSpaceDN w:val="0"/>
              <w:adjustRightInd w:val="0"/>
              <w:spacing w:after="0" w:line="240" w:lineRule="auto"/>
              <w:jc w:val="center"/>
              <w:rPr>
                <w:rFonts w:ascii="Arial" w:hAnsi="Arial" w:cs="Arial"/>
                <w:sz w:val="24"/>
                <w:szCs w:val="24"/>
                <w:lang w:val="en-US"/>
              </w:rPr>
            </w:pPr>
            <w:r w:rsidRPr="000E783C">
              <w:rPr>
                <w:rFonts w:ascii="Arial" w:hAnsi="Arial" w:cs="Arial"/>
                <w:sz w:val="24"/>
                <w:szCs w:val="24"/>
                <w:lang w:val="en-US"/>
              </w:rPr>
              <w:t>0.43</w:t>
            </w:r>
            <w:r w:rsidRPr="000E783C">
              <w:rPr>
                <w:rFonts w:ascii="Arial" w:hAnsi="Arial" w:cs="Arial"/>
                <w:sz w:val="24"/>
                <w:szCs w:val="24"/>
                <w:vertAlign w:val="superscript"/>
                <w:lang w:val="en-US"/>
              </w:rPr>
              <w:t>*</w:t>
            </w:r>
          </w:p>
        </w:tc>
        <w:tc>
          <w:tcPr>
            <w:tcW w:w="4536" w:type="dxa"/>
            <w:tcBorders>
              <w:top w:val="single" w:sz="4" w:space="0" w:color="auto"/>
              <w:bottom w:val="single" w:sz="12" w:space="0" w:color="auto"/>
            </w:tcBorders>
          </w:tcPr>
          <w:p w:rsidR="007F4E28" w:rsidRPr="000E783C" w:rsidRDefault="007F4E28" w:rsidP="00D64F7C">
            <w:pPr>
              <w:autoSpaceDE w:val="0"/>
              <w:autoSpaceDN w:val="0"/>
              <w:adjustRightInd w:val="0"/>
              <w:spacing w:after="0" w:line="240" w:lineRule="auto"/>
              <w:jc w:val="both"/>
              <w:rPr>
                <w:rFonts w:ascii="Arial" w:hAnsi="Arial" w:cs="Arial"/>
                <w:sz w:val="24"/>
                <w:szCs w:val="24"/>
                <w:lang w:val="en-US"/>
              </w:rPr>
            </w:pPr>
            <w:r w:rsidRPr="000E783C">
              <w:rPr>
                <w:rFonts w:ascii="Arial" w:hAnsi="Arial" w:cs="Arial"/>
                <w:sz w:val="24"/>
                <w:szCs w:val="24"/>
                <w:lang w:val="en-US"/>
              </w:rPr>
              <w:t xml:space="preserve">Higher </w:t>
            </w:r>
            <w:r w:rsidR="00D64F7C" w:rsidRPr="000E783C">
              <w:rPr>
                <w:rFonts w:ascii="Arial" w:hAnsi="Arial" w:cs="Arial"/>
                <w:sz w:val="24"/>
                <w:szCs w:val="24"/>
                <w:lang w:val="en-US"/>
              </w:rPr>
              <w:t xml:space="preserve">LCFA </w:t>
            </w:r>
            <w:r w:rsidR="007578DE" w:rsidRPr="000E783C">
              <w:rPr>
                <w:rFonts w:ascii="Arial" w:hAnsi="Arial" w:cs="Arial"/>
                <w:sz w:val="24"/>
                <w:szCs w:val="24"/>
                <w:lang w:val="en-US"/>
              </w:rPr>
              <w:t>transport and metabolism</w:t>
            </w:r>
          </w:p>
        </w:tc>
      </w:tr>
    </w:tbl>
    <w:p w:rsidR="008104B5" w:rsidRPr="000E783C" w:rsidRDefault="008104B5" w:rsidP="00D64F7C">
      <w:pPr>
        <w:autoSpaceDE w:val="0"/>
        <w:autoSpaceDN w:val="0"/>
        <w:adjustRightInd w:val="0"/>
        <w:spacing w:after="0" w:line="240" w:lineRule="auto"/>
        <w:jc w:val="both"/>
        <w:rPr>
          <w:rFonts w:ascii="Arial" w:hAnsi="Arial" w:cs="Arial"/>
          <w:bCs/>
          <w:sz w:val="24"/>
          <w:szCs w:val="24"/>
          <w:lang w:val="en-US"/>
        </w:rPr>
      </w:pPr>
      <w:r w:rsidRPr="000E783C">
        <w:rPr>
          <w:rFonts w:ascii="Arial" w:hAnsi="Arial" w:cs="Arial"/>
          <w:sz w:val="24"/>
          <w:szCs w:val="24"/>
          <w:vertAlign w:val="superscript"/>
          <w:lang w:val="en-US" w:eastAsia="it-IT"/>
        </w:rPr>
        <w:t>*</w:t>
      </w:r>
      <w:r w:rsidRPr="000E783C">
        <w:rPr>
          <w:rFonts w:ascii="Arial" w:hAnsi="Arial" w:cs="Arial"/>
          <w:sz w:val="24"/>
          <w:szCs w:val="24"/>
          <w:lang w:val="en-US" w:eastAsia="it-IT"/>
        </w:rPr>
        <w:t xml:space="preserve">p &lt; 0.05; **p &lt; 0.01; ***p &lt; 0.001; </w:t>
      </w:r>
      <w:r w:rsidRPr="000E783C">
        <w:rPr>
          <w:rFonts w:ascii="Arial" w:hAnsi="Arial" w:cs="Arial"/>
          <w:sz w:val="24"/>
          <w:szCs w:val="24"/>
          <w:vertAlign w:val="superscript"/>
          <w:lang w:val="en-US"/>
        </w:rPr>
        <w:t>#</w:t>
      </w:r>
      <w:r w:rsidRPr="000E783C">
        <w:rPr>
          <w:rFonts w:ascii="Arial" w:hAnsi="Arial" w:cs="Arial"/>
          <w:bCs/>
          <w:sz w:val="24"/>
          <w:szCs w:val="24"/>
          <w:lang w:val="en-US"/>
        </w:rPr>
        <w:t>HDL, high density lipoprotein; TG, triglyceride; LCFA, long-chain fatty acid.</w:t>
      </w:r>
    </w:p>
    <w:p w:rsidR="000E783C" w:rsidRDefault="007F4E28" w:rsidP="00D64F7C">
      <w:pPr>
        <w:autoSpaceDE w:val="0"/>
        <w:autoSpaceDN w:val="0"/>
        <w:adjustRightInd w:val="0"/>
        <w:spacing w:after="0" w:line="240" w:lineRule="auto"/>
        <w:jc w:val="both"/>
        <w:rPr>
          <w:rFonts w:ascii="Arial" w:hAnsi="Arial" w:cs="Arial"/>
          <w:bCs/>
          <w:sz w:val="24"/>
          <w:szCs w:val="24"/>
          <w:lang w:val="en-US"/>
        </w:rPr>
      </w:pPr>
      <w:r w:rsidRPr="000E783C">
        <w:rPr>
          <w:rFonts w:ascii="Arial" w:hAnsi="Arial" w:cs="Arial"/>
          <w:b/>
          <w:sz w:val="24"/>
          <w:szCs w:val="24"/>
          <w:lang w:val="en-US" w:eastAsia="it-IT"/>
        </w:rPr>
        <w:t>Conclusion:</w:t>
      </w:r>
      <w:r w:rsidRPr="000E783C">
        <w:rPr>
          <w:rFonts w:ascii="Arial" w:hAnsi="Arial" w:cs="Arial"/>
          <w:sz w:val="24"/>
          <w:szCs w:val="24"/>
          <w:lang w:val="en-US" w:eastAsia="it-IT"/>
        </w:rPr>
        <w:t xml:space="preserve"> </w:t>
      </w:r>
      <w:r w:rsidR="00EB11F6" w:rsidRPr="000E783C">
        <w:rPr>
          <w:rFonts w:ascii="Arial" w:hAnsi="Arial" w:cs="Arial"/>
          <w:sz w:val="24"/>
          <w:szCs w:val="24"/>
          <w:lang w:val="en-US" w:eastAsia="it-IT"/>
        </w:rPr>
        <w:t>G</w:t>
      </w:r>
      <w:r w:rsidRPr="000E783C">
        <w:rPr>
          <w:rFonts w:ascii="Arial" w:hAnsi="Arial" w:cs="Arial"/>
          <w:sz w:val="24"/>
          <w:szCs w:val="24"/>
          <w:lang w:val="en-US" w:eastAsia="it-IT"/>
        </w:rPr>
        <w:t>ene expression involved in lipid metabolism could indicate an hepatic anabolic state together with decreased lipid accumulation, and lower transport in distal segments of the intestinal tract of broilers fed TM meal compared with CT diet.</w:t>
      </w:r>
      <w:r w:rsidRPr="000E783C">
        <w:rPr>
          <w:rFonts w:ascii="Arial" w:hAnsi="Arial" w:cs="Arial"/>
          <w:bCs/>
          <w:sz w:val="24"/>
          <w:szCs w:val="24"/>
          <w:lang w:val="en-US"/>
        </w:rPr>
        <w:t xml:space="preserve"> Therefore TM diets </w:t>
      </w:r>
      <w:r w:rsidR="00AE0296" w:rsidRPr="000E783C">
        <w:rPr>
          <w:rFonts w:ascii="Arial" w:hAnsi="Arial" w:cs="Arial"/>
          <w:bCs/>
          <w:sz w:val="24"/>
          <w:szCs w:val="24"/>
          <w:lang w:val="en-US"/>
        </w:rPr>
        <w:t>c</w:t>
      </w:r>
      <w:r w:rsidRPr="000E783C">
        <w:rPr>
          <w:rFonts w:ascii="Arial" w:hAnsi="Arial" w:cs="Arial"/>
          <w:bCs/>
          <w:sz w:val="24"/>
          <w:szCs w:val="24"/>
          <w:lang w:val="en-US"/>
        </w:rPr>
        <w:t xml:space="preserve">ould </w:t>
      </w:r>
      <w:r w:rsidR="00EB11F6" w:rsidRPr="000E783C">
        <w:rPr>
          <w:rFonts w:ascii="Arial" w:hAnsi="Arial" w:cs="Arial"/>
          <w:bCs/>
          <w:sz w:val="24"/>
          <w:szCs w:val="24"/>
          <w:lang w:val="en-US"/>
        </w:rPr>
        <w:t xml:space="preserve">lead to increased fat deposition in peripheral tissues while preventing hepatic fat accumulation </w:t>
      </w:r>
      <w:r w:rsidRPr="000E783C">
        <w:rPr>
          <w:rFonts w:ascii="Arial" w:hAnsi="Arial" w:cs="Arial"/>
          <w:bCs/>
          <w:sz w:val="24"/>
          <w:szCs w:val="24"/>
          <w:lang w:val="en-US"/>
        </w:rPr>
        <w:t>in broilers.</w:t>
      </w:r>
      <w:r w:rsidRPr="00B933C4">
        <w:rPr>
          <w:rFonts w:ascii="Arial" w:hAnsi="Arial" w:cs="Arial"/>
          <w:bCs/>
          <w:sz w:val="24"/>
          <w:szCs w:val="24"/>
          <w:lang w:val="en-US"/>
        </w:rPr>
        <w:t xml:space="preserve"> </w:t>
      </w:r>
    </w:p>
    <w:p w:rsidR="007578DE" w:rsidRPr="00C025E9" w:rsidRDefault="007F4E28" w:rsidP="00D64F7C">
      <w:pPr>
        <w:autoSpaceDE w:val="0"/>
        <w:autoSpaceDN w:val="0"/>
        <w:adjustRightInd w:val="0"/>
        <w:spacing w:after="0" w:line="240" w:lineRule="auto"/>
        <w:jc w:val="both"/>
        <w:rPr>
          <w:rFonts w:ascii="Arial" w:hAnsi="Arial" w:cs="Arial"/>
          <w:bCs/>
          <w:sz w:val="20"/>
          <w:szCs w:val="20"/>
          <w:lang w:val="fr-FR"/>
        </w:rPr>
      </w:pPr>
      <w:proofErr w:type="spellStart"/>
      <w:r w:rsidRPr="00C025E9">
        <w:rPr>
          <w:rFonts w:ascii="Arial" w:hAnsi="Arial" w:cs="Arial"/>
          <w:b/>
          <w:sz w:val="20"/>
          <w:szCs w:val="20"/>
          <w:lang w:val="fr-FR"/>
        </w:rPr>
        <w:t>References</w:t>
      </w:r>
      <w:proofErr w:type="spellEnd"/>
      <w:r w:rsidRPr="00C025E9">
        <w:rPr>
          <w:rFonts w:ascii="Arial" w:hAnsi="Arial" w:cs="Arial"/>
          <w:sz w:val="20"/>
          <w:szCs w:val="20"/>
          <w:lang w:val="fr-FR"/>
        </w:rPr>
        <w:t xml:space="preserve">: </w:t>
      </w:r>
      <w:r w:rsidR="00C025E9" w:rsidRPr="00C025E9">
        <w:rPr>
          <w:rFonts w:ascii="Arial" w:hAnsi="Arial" w:cs="Arial"/>
          <w:sz w:val="20"/>
          <w:szCs w:val="20"/>
          <w:lang w:val="fr-FR"/>
        </w:rPr>
        <w:t>[1]</w:t>
      </w:r>
      <w:r w:rsidR="009E7461">
        <w:rPr>
          <w:rFonts w:ascii="Arial" w:hAnsi="Arial" w:cs="Arial"/>
          <w:sz w:val="20"/>
          <w:szCs w:val="20"/>
          <w:lang w:val="fr-FR"/>
        </w:rPr>
        <w:t xml:space="preserve"> </w:t>
      </w:r>
      <w:proofErr w:type="spellStart"/>
      <w:r w:rsidRPr="00C025E9">
        <w:rPr>
          <w:rFonts w:ascii="Arial" w:hAnsi="Arial" w:cs="Arial"/>
          <w:sz w:val="20"/>
          <w:szCs w:val="20"/>
          <w:lang w:val="fr-FR"/>
        </w:rPr>
        <w:t>Biasato</w:t>
      </w:r>
      <w:proofErr w:type="spellEnd"/>
      <w:r w:rsidRPr="00C025E9">
        <w:rPr>
          <w:rFonts w:ascii="Arial" w:hAnsi="Arial" w:cs="Arial"/>
          <w:sz w:val="20"/>
          <w:szCs w:val="20"/>
          <w:lang w:val="fr-FR"/>
        </w:rPr>
        <w:t xml:space="preserve"> et al. (2018) Poult. </w:t>
      </w:r>
      <w:proofErr w:type="spellStart"/>
      <w:r w:rsidRPr="00C025E9">
        <w:rPr>
          <w:rFonts w:ascii="Arial" w:hAnsi="Arial" w:cs="Arial"/>
          <w:sz w:val="20"/>
          <w:szCs w:val="20"/>
          <w:lang w:val="fr-FR"/>
        </w:rPr>
        <w:t>Sci</w:t>
      </w:r>
      <w:proofErr w:type="spellEnd"/>
      <w:r w:rsidRPr="00C025E9">
        <w:rPr>
          <w:rFonts w:ascii="Arial" w:hAnsi="Arial" w:cs="Arial"/>
          <w:sz w:val="20"/>
          <w:szCs w:val="20"/>
          <w:lang w:val="fr-FR"/>
        </w:rPr>
        <w:t xml:space="preserve">. 97: 540-8; </w:t>
      </w:r>
      <w:r w:rsidR="00C025E9" w:rsidRPr="00C025E9">
        <w:rPr>
          <w:rFonts w:ascii="Arial" w:hAnsi="Arial" w:cs="Arial"/>
          <w:sz w:val="20"/>
          <w:szCs w:val="20"/>
          <w:lang w:val="fr-FR"/>
        </w:rPr>
        <w:t>[2]</w:t>
      </w:r>
      <w:r w:rsidR="009E7461">
        <w:rPr>
          <w:rFonts w:ascii="Arial" w:hAnsi="Arial" w:cs="Arial"/>
          <w:sz w:val="20"/>
          <w:szCs w:val="20"/>
          <w:lang w:val="fr-FR"/>
        </w:rPr>
        <w:t xml:space="preserve"> </w:t>
      </w:r>
      <w:r w:rsidR="00AE0296" w:rsidRPr="00C025E9">
        <w:rPr>
          <w:rFonts w:ascii="Arial" w:hAnsi="Arial" w:cs="Arial"/>
          <w:sz w:val="20"/>
          <w:szCs w:val="20"/>
          <w:lang w:val="fr-FR"/>
        </w:rPr>
        <w:t xml:space="preserve">De Marco et al. (2015) </w:t>
      </w:r>
      <w:proofErr w:type="spellStart"/>
      <w:r w:rsidR="00AE0296" w:rsidRPr="00C025E9">
        <w:rPr>
          <w:rFonts w:ascii="Arial" w:hAnsi="Arial" w:cs="Arial"/>
          <w:sz w:val="20"/>
          <w:szCs w:val="20"/>
          <w:lang w:val="fr-FR"/>
        </w:rPr>
        <w:t>Anim</w:t>
      </w:r>
      <w:proofErr w:type="spellEnd"/>
      <w:r w:rsidR="00AE0296" w:rsidRPr="00C025E9">
        <w:rPr>
          <w:rFonts w:ascii="Arial" w:hAnsi="Arial" w:cs="Arial"/>
          <w:sz w:val="20"/>
          <w:szCs w:val="20"/>
          <w:lang w:val="fr-FR"/>
        </w:rPr>
        <w:t xml:space="preserve">. </w:t>
      </w:r>
      <w:proofErr w:type="spellStart"/>
      <w:r w:rsidR="00AE0296" w:rsidRPr="00C025E9">
        <w:rPr>
          <w:rFonts w:ascii="Arial" w:hAnsi="Arial" w:cs="Arial"/>
          <w:sz w:val="20"/>
          <w:szCs w:val="20"/>
          <w:lang w:val="fr-FR"/>
        </w:rPr>
        <w:t>Feed</w:t>
      </w:r>
      <w:proofErr w:type="spellEnd"/>
      <w:r w:rsidR="00AE0296" w:rsidRPr="00C025E9">
        <w:rPr>
          <w:rFonts w:ascii="Arial" w:hAnsi="Arial" w:cs="Arial"/>
          <w:sz w:val="20"/>
          <w:szCs w:val="20"/>
          <w:lang w:val="fr-FR"/>
        </w:rPr>
        <w:t xml:space="preserve"> </w:t>
      </w:r>
      <w:proofErr w:type="spellStart"/>
      <w:r w:rsidR="00AE0296" w:rsidRPr="00C025E9">
        <w:rPr>
          <w:rFonts w:ascii="Arial" w:hAnsi="Arial" w:cs="Arial"/>
          <w:sz w:val="20"/>
          <w:szCs w:val="20"/>
          <w:lang w:val="fr-FR"/>
        </w:rPr>
        <w:t>Sci</w:t>
      </w:r>
      <w:proofErr w:type="spellEnd"/>
      <w:r w:rsidR="00AE0296" w:rsidRPr="00C025E9">
        <w:rPr>
          <w:rFonts w:ascii="Arial" w:hAnsi="Arial" w:cs="Arial"/>
          <w:sz w:val="20"/>
          <w:szCs w:val="20"/>
          <w:lang w:val="fr-FR"/>
        </w:rPr>
        <w:t xml:space="preserve">. </w:t>
      </w:r>
      <w:proofErr w:type="spellStart"/>
      <w:r w:rsidR="00AE0296" w:rsidRPr="00C025E9">
        <w:rPr>
          <w:rFonts w:ascii="Arial" w:hAnsi="Arial" w:cs="Arial"/>
          <w:sz w:val="20"/>
          <w:szCs w:val="20"/>
          <w:lang w:val="fr-FR"/>
        </w:rPr>
        <w:t>Technol</w:t>
      </w:r>
      <w:proofErr w:type="spellEnd"/>
      <w:r w:rsidR="00AE0296" w:rsidRPr="00C025E9">
        <w:rPr>
          <w:rFonts w:ascii="Arial" w:hAnsi="Arial" w:cs="Arial"/>
          <w:sz w:val="20"/>
          <w:szCs w:val="20"/>
          <w:lang w:val="fr-FR"/>
        </w:rPr>
        <w:t xml:space="preserve">. 209, 211-8; </w:t>
      </w:r>
      <w:r w:rsidR="00C025E9" w:rsidRPr="00C025E9">
        <w:rPr>
          <w:rFonts w:ascii="Arial" w:hAnsi="Arial" w:cs="Arial"/>
          <w:sz w:val="20"/>
          <w:szCs w:val="20"/>
          <w:lang w:val="fr-FR"/>
        </w:rPr>
        <w:t>[3]</w:t>
      </w:r>
      <w:r w:rsidR="009E7461">
        <w:rPr>
          <w:rFonts w:ascii="Arial" w:hAnsi="Arial" w:cs="Arial"/>
          <w:sz w:val="20"/>
          <w:szCs w:val="20"/>
          <w:lang w:val="fr-FR"/>
        </w:rPr>
        <w:t xml:space="preserve"> </w:t>
      </w:r>
      <w:r w:rsidR="00AE0296" w:rsidRPr="00C025E9">
        <w:rPr>
          <w:rFonts w:ascii="Arial" w:hAnsi="Arial" w:cs="Arial"/>
          <w:sz w:val="20"/>
          <w:szCs w:val="20"/>
          <w:lang w:val="fr-FR"/>
        </w:rPr>
        <w:t xml:space="preserve">Payne et al. 2016, </w:t>
      </w:r>
      <w:proofErr w:type="spellStart"/>
      <w:r w:rsidR="00AE0296" w:rsidRPr="00C025E9">
        <w:rPr>
          <w:rFonts w:ascii="Arial" w:hAnsi="Arial" w:cs="Arial"/>
          <w:sz w:val="20"/>
          <w:szCs w:val="20"/>
          <w:lang w:val="fr-FR"/>
        </w:rPr>
        <w:t>Eur</w:t>
      </w:r>
      <w:proofErr w:type="spellEnd"/>
      <w:r w:rsidR="00AE0296" w:rsidRPr="00C025E9">
        <w:rPr>
          <w:rFonts w:ascii="Arial" w:hAnsi="Arial" w:cs="Arial"/>
          <w:sz w:val="20"/>
          <w:szCs w:val="20"/>
          <w:lang w:val="fr-FR"/>
        </w:rPr>
        <w:t xml:space="preserve"> J Clin </w:t>
      </w:r>
      <w:proofErr w:type="spellStart"/>
      <w:r w:rsidR="00AE0296" w:rsidRPr="00C025E9">
        <w:rPr>
          <w:rFonts w:ascii="Arial" w:hAnsi="Arial" w:cs="Arial"/>
          <w:sz w:val="20"/>
          <w:szCs w:val="20"/>
          <w:lang w:val="fr-FR"/>
        </w:rPr>
        <w:t>Nutr</w:t>
      </w:r>
      <w:proofErr w:type="spellEnd"/>
      <w:r w:rsidR="00AE0296" w:rsidRPr="00C025E9">
        <w:rPr>
          <w:rFonts w:ascii="Arial" w:hAnsi="Arial" w:cs="Arial"/>
          <w:sz w:val="20"/>
          <w:szCs w:val="20"/>
          <w:lang w:val="fr-FR"/>
        </w:rPr>
        <w:t xml:space="preserve"> 70, 285-91; </w:t>
      </w:r>
      <w:r w:rsidR="00C025E9" w:rsidRPr="00C025E9">
        <w:rPr>
          <w:rFonts w:ascii="Arial" w:hAnsi="Arial" w:cs="Arial"/>
          <w:sz w:val="20"/>
          <w:szCs w:val="20"/>
          <w:lang w:val="fr-FR"/>
        </w:rPr>
        <w:t>[4]</w:t>
      </w:r>
      <w:r w:rsidR="009E7461">
        <w:rPr>
          <w:rFonts w:ascii="Arial" w:hAnsi="Arial" w:cs="Arial"/>
          <w:sz w:val="20"/>
          <w:szCs w:val="20"/>
          <w:lang w:val="fr-FR"/>
        </w:rPr>
        <w:t xml:space="preserve"> </w:t>
      </w:r>
      <w:proofErr w:type="spellStart"/>
      <w:r w:rsidR="00AE0296" w:rsidRPr="00C025E9">
        <w:rPr>
          <w:rFonts w:ascii="Arial" w:hAnsi="Arial" w:cs="Arial"/>
          <w:sz w:val="20"/>
          <w:szCs w:val="20"/>
          <w:lang w:val="fr-FR"/>
        </w:rPr>
        <w:t>Stoops</w:t>
      </w:r>
      <w:proofErr w:type="spellEnd"/>
      <w:r w:rsidR="00AE0296" w:rsidRPr="00C025E9">
        <w:rPr>
          <w:rFonts w:ascii="Arial" w:hAnsi="Arial" w:cs="Arial"/>
          <w:sz w:val="20"/>
          <w:szCs w:val="20"/>
          <w:lang w:val="fr-FR"/>
        </w:rPr>
        <w:t xml:space="preserve"> et al. 2016 Food </w:t>
      </w:r>
      <w:proofErr w:type="spellStart"/>
      <w:r w:rsidR="00AE0296" w:rsidRPr="00C025E9">
        <w:rPr>
          <w:rFonts w:ascii="Arial" w:hAnsi="Arial" w:cs="Arial"/>
          <w:sz w:val="20"/>
          <w:szCs w:val="20"/>
          <w:lang w:val="fr-FR"/>
        </w:rPr>
        <w:t>Microbiol</w:t>
      </w:r>
      <w:proofErr w:type="spellEnd"/>
      <w:r w:rsidR="00AE0296" w:rsidRPr="00C025E9">
        <w:rPr>
          <w:rFonts w:ascii="Arial" w:hAnsi="Arial" w:cs="Arial"/>
          <w:sz w:val="20"/>
          <w:szCs w:val="20"/>
          <w:lang w:val="fr-FR"/>
        </w:rPr>
        <w:t xml:space="preserve"> 53, 122-7; </w:t>
      </w:r>
      <w:r w:rsidR="00C025E9" w:rsidRPr="00C025E9">
        <w:rPr>
          <w:rFonts w:ascii="Arial" w:hAnsi="Arial" w:cs="Arial"/>
          <w:bCs/>
          <w:sz w:val="20"/>
          <w:szCs w:val="20"/>
          <w:lang w:val="fr-FR"/>
        </w:rPr>
        <w:t>[5]</w:t>
      </w:r>
      <w:r w:rsidR="009E7461">
        <w:rPr>
          <w:rFonts w:ascii="Arial" w:hAnsi="Arial" w:cs="Arial"/>
          <w:bCs/>
          <w:sz w:val="20"/>
          <w:szCs w:val="20"/>
          <w:lang w:val="fr-FR"/>
        </w:rPr>
        <w:t xml:space="preserve"> </w:t>
      </w:r>
      <w:r w:rsidR="00AE0296" w:rsidRPr="00C025E9">
        <w:rPr>
          <w:rFonts w:ascii="Arial" w:hAnsi="Arial" w:cs="Arial"/>
          <w:sz w:val="20"/>
          <w:szCs w:val="20"/>
          <w:lang w:val="fr-FR"/>
        </w:rPr>
        <w:t xml:space="preserve">Xu et al., 2012, BMC </w:t>
      </w:r>
      <w:proofErr w:type="spellStart"/>
      <w:r w:rsidR="00AE0296" w:rsidRPr="00C025E9">
        <w:rPr>
          <w:rFonts w:ascii="Arial" w:hAnsi="Arial" w:cs="Arial"/>
          <w:sz w:val="20"/>
          <w:szCs w:val="20"/>
          <w:lang w:val="fr-FR"/>
        </w:rPr>
        <w:t>Genomics</w:t>
      </w:r>
      <w:proofErr w:type="spellEnd"/>
      <w:r w:rsidR="00AE0296" w:rsidRPr="00C025E9">
        <w:rPr>
          <w:rFonts w:ascii="Arial" w:hAnsi="Arial" w:cs="Arial"/>
          <w:sz w:val="20"/>
          <w:szCs w:val="20"/>
          <w:lang w:val="fr-FR"/>
        </w:rPr>
        <w:t xml:space="preserve"> 13:S2.</w:t>
      </w:r>
    </w:p>
    <w:sectPr w:rsidR="007578DE" w:rsidRPr="00C025E9" w:rsidSect="00B933C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5F" w:rsidRDefault="009E7E5F" w:rsidP="00115349">
      <w:pPr>
        <w:spacing w:after="0" w:line="240" w:lineRule="auto"/>
      </w:pPr>
      <w:r>
        <w:separator/>
      </w:r>
    </w:p>
  </w:endnote>
  <w:endnote w:type="continuationSeparator" w:id="0">
    <w:p w:rsidR="009E7E5F" w:rsidRDefault="009E7E5F" w:rsidP="0011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5F" w:rsidRDefault="009E7E5F" w:rsidP="00115349">
      <w:pPr>
        <w:spacing w:after="0" w:line="240" w:lineRule="auto"/>
      </w:pPr>
      <w:r>
        <w:separator/>
      </w:r>
    </w:p>
  </w:footnote>
  <w:footnote w:type="continuationSeparator" w:id="0">
    <w:p w:rsidR="009E7E5F" w:rsidRDefault="009E7E5F" w:rsidP="00115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9C"/>
    <w:rsid w:val="00023218"/>
    <w:rsid w:val="0005436F"/>
    <w:rsid w:val="0006338A"/>
    <w:rsid w:val="00083F50"/>
    <w:rsid w:val="00087638"/>
    <w:rsid w:val="000930B5"/>
    <w:rsid w:val="000A0511"/>
    <w:rsid w:val="000B39C2"/>
    <w:rsid w:val="000E567F"/>
    <w:rsid w:val="000E783C"/>
    <w:rsid w:val="000F20C7"/>
    <w:rsid w:val="00115349"/>
    <w:rsid w:val="001317C2"/>
    <w:rsid w:val="00132AFB"/>
    <w:rsid w:val="0024383B"/>
    <w:rsid w:val="003823A2"/>
    <w:rsid w:val="00383994"/>
    <w:rsid w:val="004046ED"/>
    <w:rsid w:val="00412090"/>
    <w:rsid w:val="00451F63"/>
    <w:rsid w:val="00486022"/>
    <w:rsid w:val="004B6EBE"/>
    <w:rsid w:val="004F56DC"/>
    <w:rsid w:val="00505D44"/>
    <w:rsid w:val="00505F9C"/>
    <w:rsid w:val="00517310"/>
    <w:rsid w:val="005321A0"/>
    <w:rsid w:val="00536303"/>
    <w:rsid w:val="00572EF4"/>
    <w:rsid w:val="00595E46"/>
    <w:rsid w:val="00597E15"/>
    <w:rsid w:val="005B20D8"/>
    <w:rsid w:val="005C08E4"/>
    <w:rsid w:val="005C100A"/>
    <w:rsid w:val="005D1F88"/>
    <w:rsid w:val="0060756E"/>
    <w:rsid w:val="006145C9"/>
    <w:rsid w:val="00665701"/>
    <w:rsid w:val="0069057A"/>
    <w:rsid w:val="00691968"/>
    <w:rsid w:val="006922CF"/>
    <w:rsid w:val="00693E28"/>
    <w:rsid w:val="006C6904"/>
    <w:rsid w:val="006E218B"/>
    <w:rsid w:val="006F7ADB"/>
    <w:rsid w:val="00725240"/>
    <w:rsid w:val="007578DE"/>
    <w:rsid w:val="00776E00"/>
    <w:rsid w:val="00780A5B"/>
    <w:rsid w:val="00782443"/>
    <w:rsid w:val="007856C4"/>
    <w:rsid w:val="007F1362"/>
    <w:rsid w:val="007F4E28"/>
    <w:rsid w:val="008051C6"/>
    <w:rsid w:val="008104B5"/>
    <w:rsid w:val="00820276"/>
    <w:rsid w:val="00852EBB"/>
    <w:rsid w:val="008D4F83"/>
    <w:rsid w:val="00917F58"/>
    <w:rsid w:val="00923E70"/>
    <w:rsid w:val="00953D00"/>
    <w:rsid w:val="009E7461"/>
    <w:rsid w:val="009E7E5F"/>
    <w:rsid w:val="00A169F2"/>
    <w:rsid w:val="00A253A5"/>
    <w:rsid w:val="00A305F4"/>
    <w:rsid w:val="00A3571A"/>
    <w:rsid w:val="00A71F29"/>
    <w:rsid w:val="00AC224E"/>
    <w:rsid w:val="00AE0296"/>
    <w:rsid w:val="00B050C4"/>
    <w:rsid w:val="00B272A9"/>
    <w:rsid w:val="00B32508"/>
    <w:rsid w:val="00B806B1"/>
    <w:rsid w:val="00B933C4"/>
    <w:rsid w:val="00C025E9"/>
    <w:rsid w:val="00C0530F"/>
    <w:rsid w:val="00C40179"/>
    <w:rsid w:val="00CB2C6D"/>
    <w:rsid w:val="00CF6498"/>
    <w:rsid w:val="00CF78A8"/>
    <w:rsid w:val="00D0578B"/>
    <w:rsid w:val="00D466E4"/>
    <w:rsid w:val="00D64F7C"/>
    <w:rsid w:val="00E07CB6"/>
    <w:rsid w:val="00E63DE8"/>
    <w:rsid w:val="00EB11F6"/>
    <w:rsid w:val="00F22682"/>
    <w:rsid w:val="00F45F65"/>
    <w:rsid w:val="00F614D7"/>
    <w:rsid w:val="00F72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1C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505F9C"/>
    <w:rPr>
      <w:rFonts w:cs="Times New Roman"/>
      <w:sz w:val="16"/>
      <w:szCs w:val="16"/>
    </w:rPr>
  </w:style>
  <w:style w:type="paragraph" w:styleId="Testocommento">
    <w:name w:val="annotation text"/>
    <w:basedOn w:val="Normale"/>
    <w:link w:val="TestocommentoCarattere"/>
    <w:uiPriority w:val="99"/>
    <w:semiHidden/>
    <w:rsid w:val="00505F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05F9C"/>
    <w:rPr>
      <w:rFonts w:cs="Times New Roman"/>
      <w:sz w:val="20"/>
      <w:szCs w:val="20"/>
    </w:rPr>
  </w:style>
  <w:style w:type="table" w:styleId="Grigliatabella">
    <w:name w:val="Table Grid"/>
    <w:basedOn w:val="Tabellanormale"/>
    <w:uiPriority w:val="99"/>
    <w:rsid w:val="00505F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505F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05F9C"/>
    <w:rPr>
      <w:rFonts w:ascii="Tahoma" w:hAnsi="Tahoma" w:cs="Tahoma"/>
      <w:sz w:val="16"/>
      <w:szCs w:val="16"/>
    </w:rPr>
  </w:style>
  <w:style w:type="paragraph" w:styleId="Intestazione">
    <w:name w:val="header"/>
    <w:basedOn w:val="Normale"/>
    <w:link w:val="IntestazioneCarattere"/>
    <w:uiPriority w:val="99"/>
    <w:rsid w:val="001153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15349"/>
    <w:rPr>
      <w:rFonts w:cs="Times New Roman"/>
    </w:rPr>
  </w:style>
  <w:style w:type="paragraph" w:styleId="Pidipagina">
    <w:name w:val="footer"/>
    <w:basedOn w:val="Normale"/>
    <w:link w:val="PidipaginaCarattere"/>
    <w:uiPriority w:val="99"/>
    <w:rsid w:val="001153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15349"/>
    <w:rPr>
      <w:rFonts w:cs="Times New Roman"/>
    </w:rPr>
  </w:style>
  <w:style w:type="paragraph" w:styleId="Soggettocommento">
    <w:name w:val="annotation subject"/>
    <w:basedOn w:val="Testocommento"/>
    <w:next w:val="Testocommento"/>
    <w:link w:val="SoggettocommentoCarattere"/>
    <w:uiPriority w:val="99"/>
    <w:semiHidden/>
    <w:rsid w:val="00505D44"/>
    <w:rPr>
      <w:b/>
      <w:bCs/>
    </w:rPr>
  </w:style>
  <w:style w:type="character" w:customStyle="1" w:styleId="SoggettocommentoCarattere">
    <w:name w:val="Soggetto commento Carattere"/>
    <w:basedOn w:val="TestocommentoCarattere"/>
    <w:link w:val="Soggettocommento"/>
    <w:uiPriority w:val="99"/>
    <w:semiHidden/>
    <w:locked/>
    <w:rsid w:val="00505D4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1C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505F9C"/>
    <w:rPr>
      <w:rFonts w:cs="Times New Roman"/>
      <w:sz w:val="16"/>
      <w:szCs w:val="16"/>
    </w:rPr>
  </w:style>
  <w:style w:type="paragraph" w:styleId="Testocommento">
    <w:name w:val="annotation text"/>
    <w:basedOn w:val="Normale"/>
    <w:link w:val="TestocommentoCarattere"/>
    <w:uiPriority w:val="99"/>
    <w:semiHidden/>
    <w:rsid w:val="00505F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05F9C"/>
    <w:rPr>
      <w:rFonts w:cs="Times New Roman"/>
      <w:sz w:val="20"/>
      <w:szCs w:val="20"/>
    </w:rPr>
  </w:style>
  <w:style w:type="table" w:styleId="Grigliatabella">
    <w:name w:val="Table Grid"/>
    <w:basedOn w:val="Tabellanormale"/>
    <w:uiPriority w:val="99"/>
    <w:rsid w:val="00505F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505F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05F9C"/>
    <w:rPr>
      <w:rFonts w:ascii="Tahoma" w:hAnsi="Tahoma" w:cs="Tahoma"/>
      <w:sz w:val="16"/>
      <w:szCs w:val="16"/>
    </w:rPr>
  </w:style>
  <w:style w:type="paragraph" w:styleId="Intestazione">
    <w:name w:val="header"/>
    <w:basedOn w:val="Normale"/>
    <w:link w:val="IntestazioneCarattere"/>
    <w:uiPriority w:val="99"/>
    <w:rsid w:val="001153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15349"/>
    <w:rPr>
      <w:rFonts w:cs="Times New Roman"/>
    </w:rPr>
  </w:style>
  <w:style w:type="paragraph" w:styleId="Pidipagina">
    <w:name w:val="footer"/>
    <w:basedOn w:val="Normale"/>
    <w:link w:val="PidipaginaCarattere"/>
    <w:uiPriority w:val="99"/>
    <w:rsid w:val="001153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15349"/>
    <w:rPr>
      <w:rFonts w:cs="Times New Roman"/>
    </w:rPr>
  </w:style>
  <w:style w:type="paragraph" w:styleId="Soggettocommento">
    <w:name w:val="annotation subject"/>
    <w:basedOn w:val="Testocommento"/>
    <w:next w:val="Testocommento"/>
    <w:link w:val="SoggettocommentoCarattere"/>
    <w:uiPriority w:val="99"/>
    <w:semiHidden/>
    <w:rsid w:val="00505D44"/>
    <w:rPr>
      <w:b/>
      <w:bCs/>
    </w:rPr>
  </w:style>
  <w:style w:type="character" w:customStyle="1" w:styleId="SoggettocommentoCarattere">
    <w:name w:val="Soggetto commento Carattere"/>
    <w:basedOn w:val="TestocommentoCarattere"/>
    <w:link w:val="Soggettocommento"/>
    <w:uiPriority w:val="99"/>
    <w:semiHidden/>
    <w:locked/>
    <w:rsid w:val="00505D4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Lipid metabolism gene expression in poultry fed mealworm meal</vt:lpstr>
    </vt:vector>
  </TitlesOfParts>
  <Company>Olidata S.p.A.</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metabolism gene expression in poultry fed mealworm meal</dc:title>
  <dc:creator>Nery</dc:creator>
  <cp:lastModifiedBy>Nery</cp:lastModifiedBy>
  <cp:revision>2</cp:revision>
  <cp:lastPrinted>2018-04-05T12:37:00Z</cp:lastPrinted>
  <dcterms:created xsi:type="dcterms:W3CDTF">2019-01-08T15:24:00Z</dcterms:created>
  <dcterms:modified xsi:type="dcterms:W3CDTF">2019-01-08T15:24:00Z</dcterms:modified>
</cp:coreProperties>
</file>