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E0" w:rsidRPr="006D7825" w:rsidRDefault="001248E0" w:rsidP="001248E0">
      <w:pPr>
        <w:spacing w:after="0" w:line="480" w:lineRule="auto"/>
        <w:rPr>
          <w:rFonts w:ascii="Times New Roman" w:hAnsi="Times New Roman"/>
          <w:b/>
          <w:sz w:val="24"/>
          <w:szCs w:val="24"/>
          <w:lang w:val="en-US"/>
        </w:rPr>
      </w:pPr>
      <w:r w:rsidRPr="006D7825">
        <w:rPr>
          <w:rFonts w:ascii="Times New Roman" w:hAnsi="Times New Roman"/>
          <w:b/>
          <w:sz w:val="24"/>
          <w:szCs w:val="24"/>
          <w:lang w:val="en-US"/>
        </w:rPr>
        <w:t>Analytical and clinical evaluation of a novel assay for anti-HBc IgG measurement in serum of subjects with overt and occult HBV infection</w:t>
      </w:r>
    </w:p>
    <w:p w:rsidR="001248E0" w:rsidRPr="006D7825" w:rsidRDefault="001248E0" w:rsidP="001248E0">
      <w:pPr>
        <w:spacing w:after="0" w:line="480" w:lineRule="auto"/>
        <w:rPr>
          <w:rFonts w:ascii="Times New Roman" w:hAnsi="Times New Roman"/>
          <w:b/>
          <w:sz w:val="24"/>
          <w:szCs w:val="24"/>
          <w:lang w:val="en-US"/>
        </w:rPr>
      </w:pPr>
    </w:p>
    <w:p w:rsidR="001248E0" w:rsidRPr="006D7825" w:rsidRDefault="001248E0" w:rsidP="001248E0">
      <w:pPr>
        <w:spacing w:after="0" w:line="480" w:lineRule="auto"/>
        <w:rPr>
          <w:rFonts w:ascii="Times New Roman" w:hAnsi="Times New Roman"/>
          <w:sz w:val="24"/>
          <w:szCs w:val="24"/>
          <w:lang w:val="en-US"/>
        </w:rPr>
      </w:pPr>
      <w:r w:rsidRPr="006D7825">
        <w:rPr>
          <w:rFonts w:ascii="Times New Roman" w:hAnsi="Times New Roman"/>
          <w:sz w:val="24"/>
          <w:szCs w:val="24"/>
          <w:lang w:val="en-US"/>
        </w:rPr>
        <w:t>Running title: anti-HBc IgG levels in overt and occult HBV</w:t>
      </w:r>
    </w:p>
    <w:p w:rsidR="001248E0" w:rsidRPr="006D7825" w:rsidRDefault="001248E0" w:rsidP="001248E0">
      <w:pPr>
        <w:spacing w:after="0" w:line="480" w:lineRule="auto"/>
        <w:rPr>
          <w:rFonts w:ascii="Times New Roman" w:hAnsi="Times New Roman"/>
          <w:sz w:val="24"/>
          <w:szCs w:val="24"/>
          <w:lang w:val="en-US"/>
        </w:rPr>
      </w:pPr>
    </w:p>
    <w:p w:rsidR="001248E0" w:rsidRPr="006D7825" w:rsidRDefault="001248E0" w:rsidP="001248E0">
      <w:pPr>
        <w:spacing w:after="0" w:line="480" w:lineRule="auto"/>
        <w:rPr>
          <w:rFonts w:ascii="Times New Roman" w:hAnsi="Times New Roman"/>
          <w:sz w:val="24"/>
          <w:szCs w:val="24"/>
        </w:rPr>
      </w:pPr>
      <w:r w:rsidRPr="006D7825">
        <w:rPr>
          <w:rFonts w:ascii="Times New Roman" w:hAnsi="Times New Roman"/>
          <w:sz w:val="24"/>
          <w:szCs w:val="24"/>
        </w:rPr>
        <w:t>Gian Paolo Caviglia</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r w:rsidRPr="006D7825">
        <w:rPr>
          <w:rFonts w:ascii="Times New Roman" w:hAnsi="Times New Roman"/>
          <w:sz w:val="24"/>
          <w:szCs w:val="24"/>
        </w:rPr>
        <w:t>*, Antonella Olivero</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r w:rsidRPr="006D7825">
        <w:rPr>
          <w:rFonts w:ascii="Times New Roman" w:hAnsi="Times New Roman"/>
          <w:sz w:val="24"/>
          <w:szCs w:val="24"/>
        </w:rPr>
        <w:t>, Alessia Ciancio</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r w:rsidRPr="006D7825">
        <w:rPr>
          <w:rFonts w:ascii="Times New Roman" w:hAnsi="Times New Roman"/>
          <w:sz w:val="24"/>
          <w:szCs w:val="24"/>
        </w:rPr>
        <w:t>, Francesco Tandoi</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b</w:t>
      </w:r>
      <w:r w:rsidRPr="006D7825">
        <w:rPr>
          <w:rFonts w:ascii="Times New Roman" w:hAnsi="Times New Roman"/>
          <w:sz w:val="24"/>
          <w:szCs w:val="24"/>
        </w:rPr>
        <w:t>, Giulia Troshina</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r w:rsidRPr="006D7825">
        <w:rPr>
          <w:rFonts w:ascii="Times New Roman" w:hAnsi="Times New Roman"/>
          <w:sz w:val="24"/>
          <w:szCs w:val="24"/>
        </w:rPr>
        <w:t>, Chiara Rosso</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r w:rsidRPr="006D7825">
        <w:rPr>
          <w:rFonts w:ascii="Times New Roman" w:hAnsi="Times New Roman"/>
          <w:sz w:val="24"/>
          <w:szCs w:val="24"/>
        </w:rPr>
        <w:t>, Maria L. Abate</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r w:rsidRPr="006D7825">
        <w:rPr>
          <w:rFonts w:ascii="Times New Roman" w:hAnsi="Times New Roman"/>
          <w:sz w:val="24"/>
          <w:szCs w:val="24"/>
        </w:rPr>
        <w:t>, Ramy Younes</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r w:rsidRPr="006D7825">
        <w:rPr>
          <w:rFonts w:ascii="Times New Roman" w:hAnsi="Times New Roman"/>
          <w:sz w:val="24"/>
          <w:szCs w:val="24"/>
        </w:rPr>
        <w:t>, Davide G. Ribaldone</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r w:rsidRPr="006D7825">
        <w:rPr>
          <w:rFonts w:ascii="Times New Roman" w:hAnsi="Times New Roman"/>
          <w:sz w:val="24"/>
          <w:szCs w:val="24"/>
        </w:rPr>
        <w:t>, Antonina Smedile</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r w:rsidRPr="006D7825">
        <w:rPr>
          <w:rFonts w:ascii="Times New Roman" w:hAnsi="Times New Roman"/>
          <w:sz w:val="24"/>
          <w:szCs w:val="24"/>
        </w:rPr>
        <w:t>, Mario Rizzetto</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r w:rsidRPr="006D7825">
        <w:rPr>
          <w:rFonts w:ascii="Times New Roman" w:hAnsi="Times New Roman"/>
          <w:sz w:val="24"/>
          <w:szCs w:val="24"/>
        </w:rPr>
        <w:t>, Renato Romagnoli</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b</w:t>
      </w:r>
      <w:r w:rsidRPr="006D7825">
        <w:rPr>
          <w:rFonts w:ascii="Times New Roman" w:hAnsi="Times New Roman"/>
          <w:sz w:val="24"/>
          <w:szCs w:val="24"/>
        </w:rPr>
        <w:t>, Giorgio M. Saracco</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r w:rsidRPr="006D7825">
        <w:rPr>
          <w:rFonts w:ascii="Times New Roman" w:hAnsi="Times New Roman"/>
          <w:sz w:val="24"/>
          <w:szCs w:val="24"/>
        </w:rPr>
        <w:t>, Elisabetta Bugianesi</w:t>
      </w:r>
      <w:r w:rsidR="00F76C0B" w:rsidRPr="006D7825">
        <w:rPr>
          <w:rFonts w:ascii="Times New Roman" w:hAnsi="Times New Roman"/>
          <w:sz w:val="24"/>
          <w:szCs w:val="24"/>
        </w:rPr>
        <w:t xml:space="preserve"> </w:t>
      </w:r>
      <w:r w:rsidRPr="006D7825">
        <w:rPr>
          <w:rFonts w:ascii="Times New Roman" w:hAnsi="Times New Roman"/>
          <w:sz w:val="24"/>
          <w:szCs w:val="24"/>
          <w:vertAlign w:val="superscript"/>
        </w:rPr>
        <w:t>a</w:t>
      </w:r>
    </w:p>
    <w:p w:rsidR="001248E0" w:rsidRPr="006D7825" w:rsidRDefault="001248E0" w:rsidP="001248E0">
      <w:pPr>
        <w:spacing w:after="0" w:line="480" w:lineRule="auto"/>
        <w:rPr>
          <w:rFonts w:ascii="Times New Roman" w:hAnsi="Times New Roman"/>
          <w:sz w:val="24"/>
          <w:szCs w:val="24"/>
        </w:rPr>
      </w:pPr>
    </w:p>
    <w:p w:rsidR="001248E0" w:rsidRPr="006D7825" w:rsidRDefault="001248E0" w:rsidP="001248E0">
      <w:pPr>
        <w:spacing w:after="0" w:line="480" w:lineRule="auto"/>
        <w:rPr>
          <w:rFonts w:ascii="Times New Roman" w:hAnsi="Times New Roman"/>
          <w:i/>
          <w:sz w:val="24"/>
          <w:szCs w:val="24"/>
          <w:vertAlign w:val="superscript"/>
          <w:lang w:val="en-US"/>
        </w:rPr>
      </w:pPr>
      <w:r w:rsidRPr="006D7825">
        <w:rPr>
          <w:rFonts w:ascii="Times New Roman" w:hAnsi="Times New Roman"/>
          <w:i/>
          <w:sz w:val="24"/>
          <w:szCs w:val="24"/>
          <w:vertAlign w:val="superscript"/>
          <w:lang w:val="en-US"/>
        </w:rPr>
        <w:t>a</w:t>
      </w:r>
      <w:r w:rsidR="00F76C0B" w:rsidRPr="006D7825">
        <w:rPr>
          <w:rFonts w:ascii="Times New Roman" w:hAnsi="Times New Roman"/>
          <w:i/>
          <w:sz w:val="24"/>
          <w:szCs w:val="24"/>
          <w:vertAlign w:val="superscript"/>
          <w:lang w:val="en-US"/>
        </w:rPr>
        <w:t xml:space="preserve"> </w:t>
      </w:r>
      <w:r w:rsidRPr="006D7825">
        <w:rPr>
          <w:rFonts w:ascii="Times New Roman" w:hAnsi="Times New Roman"/>
          <w:i/>
          <w:sz w:val="24"/>
          <w:szCs w:val="24"/>
          <w:lang w:val="en-US"/>
        </w:rPr>
        <w:t>Department of Medical Sciences, University of Turin, Gastroenterology Division of Città della Salute e della Scienza of Turin, University Hospital, Turin, Italy</w:t>
      </w:r>
    </w:p>
    <w:p w:rsidR="001248E0" w:rsidRPr="006D7825" w:rsidRDefault="001248E0" w:rsidP="001248E0">
      <w:pPr>
        <w:spacing w:after="0" w:line="480" w:lineRule="auto"/>
        <w:rPr>
          <w:rFonts w:ascii="Times New Roman" w:hAnsi="Times New Roman"/>
          <w:i/>
          <w:color w:val="0000FF"/>
          <w:sz w:val="24"/>
          <w:szCs w:val="24"/>
          <w:u w:val="single"/>
          <w:lang w:val="en-US"/>
        </w:rPr>
      </w:pPr>
      <w:r w:rsidRPr="006D7825">
        <w:rPr>
          <w:rFonts w:ascii="Times New Roman" w:hAnsi="Times New Roman"/>
          <w:i/>
          <w:sz w:val="24"/>
          <w:szCs w:val="24"/>
          <w:vertAlign w:val="superscript"/>
          <w:lang w:val="en-US"/>
        </w:rPr>
        <w:t>b</w:t>
      </w:r>
      <w:r w:rsidR="00F76C0B" w:rsidRPr="006D7825">
        <w:rPr>
          <w:rFonts w:ascii="Times New Roman" w:hAnsi="Times New Roman"/>
          <w:i/>
          <w:sz w:val="24"/>
          <w:szCs w:val="24"/>
          <w:vertAlign w:val="superscript"/>
          <w:lang w:val="en-US"/>
        </w:rPr>
        <w:t xml:space="preserve"> </w:t>
      </w:r>
      <w:r w:rsidRPr="006D7825">
        <w:rPr>
          <w:rFonts w:ascii="Times New Roman" w:hAnsi="Times New Roman"/>
          <w:i/>
          <w:sz w:val="24"/>
          <w:szCs w:val="24"/>
          <w:lang w:val="en-US"/>
        </w:rPr>
        <w:t>General Surgery 2U, Liver Transplant Center - A.O.U. Città della Salute e della Scienza di Torino, Molinette Hospital, Department of Surgical Sciences, University of Turin, Turin, Italy</w:t>
      </w:r>
    </w:p>
    <w:p w:rsidR="001248E0" w:rsidRPr="006D7825" w:rsidRDefault="001248E0" w:rsidP="001248E0">
      <w:pPr>
        <w:spacing w:after="0" w:line="480" w:lineRule="auto"/>
        <w:rPr>
          <w:rFonts w:ascii="Times New Roman" w:hAnsi="Times New Roman"/>
          <w:color w:val="0000FF"/>
          <w:sz w:val="24"/>
          <w:szCs w:val="24"/>
          <w:u w:val="single"/>
          <w:lang w:val="en-US"/>
        </w:rPr>
      </w:pPr>
    </w:p>
    <w:p w:rsidR="00F76C0B" w:rsidRPr="006D7825" w:rsidRDefault="00F76C0B" w:rsidP="00F76C0B">
      <w:pPr>
        <w:spacing w:after="0" w:line="480" w:lineRule="auto"/>
        <w:rPr>
          <w:rFonts w:ascii="Times New Roman" w:hAnsi="Times New Roman"/>
          <w:sz w:val="24"/>
          <w:szCs w:val="24"/>
          <w:lang w:val="en-US"/>
        </w:rPr>
      </w:pPr>
      <w:r w:rsidRPr="006D7825">
        <w:rPr>
          <w:rFonts w:ascii="Times New Roman" w:hAnsi="Times New Roman"/>
          <w:sz w:val="24"/>
          <w:szCs w:val="24"/>
          <w:lang w:val="en-GB"/>
        </w:rPr>
        <w:t xml:space="preserve">* </w:t>
      </w:r>
      <w:r w:rsidR="00411D7B" w:rsidRPr="006D7825">
        <w:rPr>
          <w:rFonts w:ascii="Times New Roman" w:hAnsi="Times New Roman"/>
          <w:sz w:val="24"/>
          <w:szCs w:val="24"/>
          <w:lang w:val="en-GB"/>
        </w:rPr>
        <w:t>Corresponding author</w:t>
      </w:r>
      <w:r w:rsidR="001248E0" w:rsidRPr="006D7825">
        <w:rPr>
          <w:rFonts w:ascii="Times New Roman" w:hAnsi="Times New Roman"/>
          <w:sz w:val="24"/>
          <w:szCs w:val="24"/>
          <w:lang w:val="en-GB"/>
        </w:rPr>
        <w:t>:</w:t>
      </w:r>
      <w:r w:rsidR="0009296F" w:rsidRPr="006D7825">
        <w:rPr>
          <w:rFonts w:ascii="Times New Roman" w:hAnsi="Times New Roman"/>
          <w:sz w:val="24"/>
          <w:szCs w:val="24"/>
          <w:lang w:val="en-US"/>
        </w:rPr>
        <w:t xml:space="preserve"> Tel: +39-</w:t>
      </w:r>
      <w:r w:rsidRPr="006D7825">
        <w:rPr>
          <w:rFonts w:ascii="Times New Roman" w:hAnsi="Times New Roman"/>
          <w:sz w:val="24"/>
          <w:szCs w:val="24"/>
          <w:lang w:val="en-US"/>
        </w:rPr>
        <w:t>11-</w:t>
      </w:r>
      <w:r w:rsidR="001248E0" w:rsidRPr="006D7825">
        <w:rPr>
          <w:rFonts w:ascii="Times New Roman" w:hAnsi="Times New Roman"/>
          <w:sz w:val="24"/>
          <w:szCs w:val="24"/>
          <w:lang w:val="en-US"/>
        </w:rPr>
        <w:t>633</w:t>
      </w:r>
      <w:r w:rsidRPr="006D7825">
        <w:rPr>
          <w:rFonts w:ascii="Times New Roman" w:hAnsi="Times New Roman"/>
          <w:sz w:val="24"/>
          <w:szCs w:val="24"/>
          <w:lang w:val="en-US"/>
        </w:rPr>
        <w:t xml:space="preserve">-3922. </w:t>
      </w:r>
    </w:p>
    <w:p w:rsidR="001248E0" w:rsidRPr="006D7825" w:rsidRDefault="00F76C0B" w:rsidP="00F76C0B">
      <w:pPr>
        <w:spacing w:after="0" w:line="480" w:lineRule="auto"/>
        <w:rPr>
          <w:rFonts w:ascii="Times New Roman" w:hAnsi="Times New Roman"/>
          <w:sz w:val="24"/>
          <w:szCs w:val="24"/>
          <w:lang w:val="en-GB"/>
        </w:rPr>
      </w:pPr>
      <w:r w:rsidRPr="006D7825">
        <w:rPr>
          <w:rFonts w:ascii="Times New Roman" w:hAnsi="Times New Roman"/>
          <w:i/>
          <w:sz w:val="24"/>
          <w:szCs w:val="24"/>
          <w:lang w:val="en-US"/>
        </w:rPr>
        <w:t>E-mail address:</w:t>
      </w:r>
      <w:r w:rsidRPr="006D7825">
        <w:rPr>
          <w:rFonts w:ascii="Times New Roman" w:hAnsi="Times New Roman"/>
          <w:sz w:val="24"/>
          <w:szCs w:val="24"/>
          <w:lang w:val="en-US"/>
        </w:rPr>
        <w:t xml:space="preserve"> </w:t>
      </w:r>
      <w:r w:rsidRPr="006D7825">
        <w:rPr>
          <w:rStyle w:val="Collegamentoipertestuale"/>
          <w:rFonts w:ascii="Times New Roman" w:hAnsi="Times New Roman"/>
          <w:color w:val="auto"/>
          <w:sz w:val="24"/>
          <w:szCs w:val="24"/>
          <w:u w:val="none"/>
          <w:lang w:val="en-US"/>
        </w:rPr>
        <w:t>gianpaolo.caviglia@unito.it</w:t>
      </w:r>
      <w:r w:rsidRPr="006D7825">
        <w:rPr>
          <w:rFonts w:ascii="Times New Roman" w:hAnsi="Times New Roman"/>
          <w:sz w:val="24"/>
          <w:szCs w:val="24"/>
          <w:lang w:val="en-US"/>
        </w:rPr>
        <w:t xml:space="preserve"> (G.P. Caviglia)</w:t>
      </w:r>
    </w:p>
    <w:p w:rsidR="001248E0" w:rsidRPr="006D7825" w:rsidRDefault="001248E0" w:rsidP="001248E0">
      <w:pPr>
        <w:spacing w:after="0" w:line="480" w:lineRule="auto"/>
        <w:rPr>
          <w:rFonts w:ascii="Times New Roman" w:hAnsi="Times New Roman"/>
          <w:sz w:val="24"/>
          <w:szCs w:val="24"/>
          <w:lang w:val="en-US"/>
        </w:rPr>
      </w:pPr>
    </w:p>
    <w:p w:rsidR="001248E0" w:rsidRPr="006D7825" w:rsidRDefault="001248E0" w:rsidP="001248E0">
      <w:pPr>
        <w:spacing w:after="0" w:line="480" w:lineRule="auto"/>
        <w:rPr>
          <w:rFonts w:ascii="Times New Roman" w:hAnsi="Times New Roman"/>
          <w:sz w:val="24"/>
          <w:szCs w:val="24"/>
          <w:lang w:val="en-US"/>
        </w:rPr>
      </w:pPr>
      <w:r w:rsidRPr="006D7825">
        <w:rPr>
          <w:rFonts w:ascii="Times New Roman" w:hAnsi="Times New Roman"/>
          <w:sz w:val="24"/>
          <w:szCs w:val="24"/>
          <w:lang w:val="en-US"/>
        </w:rPr>
        <w:t>Abstract word count</w:t>
      </w:r>
      <w:r w:rsidR="0009296F" w:rsidRPr="006D7825">
        <w:rPr>
          <w:rFonts w:ascii="Times New Roman" w:hAnsi="Times New Roman"/>
          <w:sz w:val="24"/>
          <w:szCs w:val="24"/>
          <w:lang w:val="en-US"/>
        </w:rPr>
        <w:t>: 149</w:t>
      </w:r>
    </w:p>
    <w:p w:rsidR="001248E0" w:rsidRPr="006D7825" w:rsidRDefault="0009296F" w:rsidP="001248E0">
      <w:pPr>
        <w:spacing w:after="0" w:line="480" w:lineRule="auto"/>
        <w:rPr>
          <w:rFonts w:ascii="Times New Roman" w:hAnsi="Times New Roman"/>
          <w:sz w:val="24"/>
          <w:szCs w:val="24"/>
          <w:lang w:val="en-US"/>
        </w:rPr>
      </w:pPr>
      <w:r w:rsidRPr="006D7825">
        <w:rPr>
          <w:rFonts w:ascii="Times New Roman" w:hAnsi="Times New Roman"/>
          <w:sz w:val="24"/>
          <w:szCs w:val="24"/>
          <w:lang w:val="en-US"/>
        </w:rPr>
        <w:t>Main body word count: 2647</w:t>
      </w:r>
    </w:p>
    <w:p w:rsidR="001248E0" w:rsidRPr="006D7825" w:rsidRDefault="001248E0" w:rsidP="001248E0">
      <w:pPr>
        <w:spacing w:after="0" w:line="480" w:lineRule="auto"/>
        <w:rPr>
          <w:rFonts w:ascii="Times New Roman" w:hAnsi="Times New Roman"/>
          <w:sz w:val="24"/>
          <w:szCs w:val="24"/>
          <w:lang w:val="en-US"/>
        </w:rPr>
      </w:pPr>
    </w:p>
    <w:p w:rsidR="001248E0" w:rsidRPr="006D7825" w:rsidRDefault="001248E0" w:rsidP="001248E0">
      <w:pPr>
        <w:spacing w:after="0" w:line="480" w:lineRule="auto"/>
        <w:rPr>
          <w:rFonts w:ascii="Times New Roman" w:hAnsi="Times New Roman"/>
          <w:sz w:val="24"/>
          <w:szCs w:val="24"/>
          <w:lang w:val="en-US"/>
        </w:rPr>
      </w:pPr>
      <w:r w:rsidRPr="006D7825">
        <w:rPr>
          <w:rFonts w:ascii="Times New Roman" w:hAnsi="Times New Roman"/>
          <w:b/>
          <w:sz w:val="24"/>
          <w:szCs w:val="24"/>
          <w:lang w:val="en-US"/>
        </w:rPr>
        <w:t>Acknowledgements</w:t>
      </w:r>
    </w:p>
    <w:p w:rsidR="001248E0" w:rsidRPr="006D7825" w:rsidRDefault="001248E0" w:rsidP="001248E0">
      <w:pPr>
        <w:spacing w:after="0" w:line="480" w:lineRule="auto"/>
        <w:rPr>
          <w:rFonts w:ascii="Times New Roman" w:hAnsi="Times New Roman"/>
          <w:b/>
          <w:sz w:val="24"/>
          <w:szCs w:val="24"/>
          <w:lang w:val="en-US"/>
        </w:rPr>
      </w:pPr>
      <w:r w:rsidRPr="006D7825">
        <w:rPr>
          <w:rFonts w:ascii="Times New Roman" w:hAnsi="Times New Roman"/>
          <w:sz w:val="24"/>
          <w:szCs w:val="24"/>
          <w:lang w:val="en-US"/>
        </w:rPr>
        <w:t xml:space="preserve">Part of the results have been presented at The International Liver Congress™, 10-14 April 2019. Authors thank Dr. Laura Vernoux (Fujirebio Europe) and Dr. Corinna Orsini (Fujirebio Italia) for </w:t>
      </w:r>
      <w:r w:rsidRPr="006D7825">
        <w:rPr>
          <w:rFonts w:ascii="Times New Roman" w:hAnsi="Times New Roman"/>
          <w:sz w:val="24"/>
          <w:szCs w:val="24"/>
          <w:lang w:val="en-US"/>
        </w:rPr>
        <w:lastRenderedPageBreak/>
        <w:t>providing reagents and technical support. The Lumipulse</w:t>
      </w:r>
      <w:r w:rsidRPr="006D7825">
        <w:rPr>
          <w:rFonts w:ascii="Times New Roman" w:hAnsi="Times New Roman"/>
          <w:sz w:val="24"/>
          <w:szCs w:val="24"/>
          <w:vertAlign w:val="superscript"/>
          <w:lang w:val="en-US"/>
        </w:rPr>
        <w:t>®</w:t>
      </w:r>
      <w:r w:rsidRPr="006D7825">
        <w:rPr>
          <w:rFonts w:ascii="Times New Roman" w:hAnsi="Times New Roman"/>
          <w:sz w:val="24"/>
          <w:szCs w:val="24"/>
          <w:lang w:val="en-US"/>
        </w:rPr>
        <w:t xml:space="preserve"> G HBcAb-N assay is currently not commercially available in Europe, only in Japan.</w:t>
      </w:r>
    </w:p>
    <w:p w:rsidR="001248E0" w:rsidRPr="006D7825" w:rsidRDefault="001248E0" w:rsidP="001248E0">
      <w:pPr>
        <w:spacing w:after="0" w:line="480" w:lineRule="auto"/>
        <w:rPr>
          <w:rFonts w:ascii="Times New Roman" w:hAnsi="Times New Roman"/>
          <w:b/>
          <w:sz w:val="24"/>
          <w:szCs w:val="24"/>
          <w:lang w:val="en-US"/>
        </w:rPr>
      </w:pPr>
    </w:p>
    <w:p w:rsidR="001248E0" w:rsidRPr="006D7825" w:rsidRDefault="00C7657C" w:rsidP="001248E0">
      <w:pPr>
        <w:spacing w:after="0" w:line="480" w:lineRule="auto"/>
        <w:rPr>
          <w:rFonts w:ascii="Times New Roman" w:hAnsi="Times New Roman"/>
          <w:sz w:val="24"/>
          <w:szCs w:val="24"/>
          <w:lang w:val="en-US"/>
        </w:rPr>
      </w:pPr>
      <w:r w:rsidRPr="006D7825">
        <w:rPr>
          <w:rFonts w:ascii="Times New Roman" w:hAnsi="Times New Roman"/>
          <w:b/>
          <w:sz w:val="24"/>
          <w:szCs w:val="24"/>
          <w:lang w:val="en-US"/>
        </w:rPr>
        <w:t>Conflict of Interest</w:t>
      </w:r>
    </w:p>
    <w:p w:rsidR="001248E0" w:rsidRPr="006D7825" w:rsidRDefault="001C3F50" w:rsidP="001248E0">
      <w:pPr>
        <w:spacing w:after="0" w:line="480" w:lineRule="auto"/>
        <w:rPr>
          <w:rFonts w:ascii="Times New Roman" w:hAnsi="Times New Roman"/>
          <w:b/>
          <w:sz w:val="24"/>
          <w:szCs w:val="24"/>
          <w:lang w:val="en-US"/>
        </w:rPr>
      </w:pPr>
      <w:r w:rsidRPr="006D7825">
        <w:rPr>
          <w:rFonts w:ascii="Times New Roman" w:hAnsi="Times New Roman"/>
          <w:sz w:val="24"/>
          <w:szCs w:val="24"/>
          <w:lang w:val="en-US"/>
        </w:rPr>
        <w:t>Gian Paolo Caviglia</w:t>
      </w:r>
      <w:r w:rsidR="001248E0" w:rsidRPr="006D7825">
        <w:rPr>
          <w:rFonts w:ascii="Times New Roman" w:hAnsi="Times New Roman"/>
          <w:sz w:val="24"/>
          <w:szCs w:val="24"/>
          <w:lang w:val="en-US"/>
        </w:rPr>
        <w:t xml:space="preserve"> received research grants from Fujirebio Europe.</w:t>
      </w:r>
      <w:r w:rsidRPr="006D7825">
        <w:rPr>
          <w:rFonts w:ascii="Times New Roman" w:hAnsi="Times New Roman"/>
          <w:sz w:val="24"/>
          <w:szCs w:val="24"/>
          <w:lang w:val="en-US"/>
        </w:rPr>
        <w:t xml:space="preserve"> All other authors have no conflict of interest to disclose.</w:t>
      </w:r>
    </w:p>
    <w:p w:rsidR="001248E0" w:rsidRPr="006D7825" w:rsidRDefault="001248E0" w:rsidP="001248E0">
      <w:pPr>
        <w:spacing w:after="0" w:line="480" w:lineRule="auto"/>
        <w:rPr>
          <w:rFonts w:ascii="Times New Roman" w:hAnsi="Times New Roman"/>
          <w:b/>
          <w:sz w:val="24"/>
          <w:szCs w:val="24"/>
          <w:lang w:val="en-US"/>
        </w:rPr>
      </w:pPr>
    </w:p>
    <w:p w:rsidR="001248E0" w:rsidRPr="006D7825" w:rsidRDefault="001248E0" w:rsidP="001248E0">
      <w:pPr>
        <w:spacing w:after="0" w:line="480" w:lineRule="auto"/>
        <w:rPr>
          <w:rFonts w:ascii="Times New Roman" w:hAnsi="Times New Roman"/>
          <w:sz w:val="24"/>
          <w:szCs w:val="24"/>
          <w:lang w:val="en-US"/>
        </w:rPr>
      </w:pPr>
      <w:r w:rsidRPr="006D7825">
        <w:rPr>
          <w:rFonts w:ascii="Times New Roman" w:hAnsi="Times New Roman"/>
          <w:b/>
          <w:sz w:val="24"/>
          <w:szCs w:val="24"/>
          <w:lang w:val="en-US"/>
        </w:rPr>
        <w:t>Funding sources</w:t>
      </w:r>
    </w:p>
    <w:p w:rsidR="001248E0" w:rsidRPr="006D7825" w:rsidRDefault="001248E0" w:rsidP="001248E0">
      <w:pPr>
        <w:spacing w:after="0" w:line="480" w:lineRule="auto"/>
        <w:rPr>
          <w:rFonts w:ascii="Times New Roman" w:hAnsi="Times New Roman"/>
          <w:b/>
          <w:sz w:val="24"/>
          <w:szCs w:val="24"/>
          <w:lang w:val="en-US"/>
        </w:rPr>
      </w:pPr>
      <w:r w:rsidRPr="006D7825">
        <w:rPr>
          <w:rFonts w:ascii="Times New Roman" w:hAnsi="Times New Roman"/>
          <w:sz w:val="24"/>
          <w:szCs w:val="24"/>
          <w:lang w:val="en-US"/>
        </w:rPr>
        <w:t>This work was supported by grants from University of Torino, Research Fund ID #OLIA_RILO_17_03 and by grants from Fujirebio Europe, agreement CMD LV01-10-02517.</w:t>
      </w:r>
    </w:p>
    <w:p w:rsidR="001248E0" w:rsidRPr="006D7825" w:rsidRDefault="001248E0" w:rsidP="001248E0">
      <w:pPr>
        <w:spacing w:after="0" w:line="480" w:lineRule="auto"/>
        <w:rPr>
          <w:rFonts w:ascii="Times New Roman" w:hAnsi="Times New Roman"/>
          <w:b/>
          <w:sz w:val="24"/>
          <w:szCs w:val="24"/>
          <w:lang w:val="en-US"/>
        </w:rPr>
      </w:pPr>
    </w:p>
    <w:p w:rsidR="001248E0" w:rsidRPr="006D7825" w:rsidRDefault="001248E0" w:rsidP="001248E0">
      <w:pPr>
        <w:spacing w:after="0" w:line="480" w:lineRule="auto"/>
        <w:rPr>
          <w:rFonts w:ascii="Times New Roman" w:hAnsi="Times New Roman"/>
          <w:b/>
          <w:sz w:val="24"/>
          <w:szCs w:val="24"/>
          <w:lang w:val="en-US"/>
        </w:rPr>
      </w:pPr>
      <w:r w:rsidRPr="006D7825">
        <w:rPr>
          <w:rFonts w:ascii="Times New Roman" w:hAnsi="Times New Roman"/>
          <w:b/>
          <w:sz w:val="24"/>
          <w:szCs w:val="24"/>
          <w:lang w:val="en-US"/>
        </w:rPr>
        <w:t>Abbreviations</w:t>
      </w:r>
      <w:r w:rsidRPr="006D7825">
        <w:rPr>
          <w:rFonts w:ascii="Times New Roman" w:hAnsi="Times New Roman"/>
          <w:sz w:val="24"/>
          <w:szCs w:val="24"/>
          <w:lang w:val="en-US"/>
        </w:rPr>
        <w:t>: ALT, alanine aminotransferase; anti-HBc, antibodies to hepatitis B core antigen; anti-HBe, antibodies to hepatitis B e antigen; anti-HBs, antibodies to hepatitis B surface antigen; cccDNA, covalently closed circular DNA; CH, chronic hepatitis; CHB, chronic hepatitis B; CI, chronic infection; CLEIA, chemiluminescent enzyme immunoassay; COI, cut-off index; CV, coefficient of variation; ddPCR, droplet digital polymerase chain reaction; HBcrAg, hepatitis B core-related antigen; HBeAg, hepatitis B e antigen; HBsAg, hepatitis B surface antigen; HBV, hepatitis B virus; LLoD, lower limit of detection; LLoQ, lower limit of quantitation; SD, standard deviation.</w:t>
      </w:r>
    </w:p>
    <w:p w:rsidR="00E12E00" w:rsidRPr="006D7825" w:rsidRDefault="00E12E00">
      <w:pPr>
        <w:suppressAutoHyphens w:val="0"/>
        <w:spacing w:after="160" w:line="259" w:lineRule="auto"/>
      </w:pPr>
    </w:p>
    <w:p w:rsidR="005B0FBB" w:rsidRPr="006D7825" w:rsidRDefault="005B0FBB">
      <w:pPr>
        <w:suppressAutoHyphens w:val="0"/>
        <w:spacing w:after="160" w:line="259" w:lineRule="auto"/>
      </w:pPr>
      <w:r w:rsidRPr="006D7825">
        <w:br w:type="page"/>
      </w:r>
    </w:p>
    <w:p w:rsidR="005B0FBB" w:rsidRPr="006D7825" w:rsidRDefault="005B0FBB" w:rsidP="005B0FBB">
      <w:pPr>
        <w:pageBreakBefore/>
        <w:spacing w:after="0" w:line="480" w:lineRule="auto"/>
        <w:rPr>
          <w:rFonts w:ascii="Times New Roman" w:hAnsi="Times New Roman"/>
          <w:sz w:val="24"/>
          <w:szCs w:val="24"/>
          <w:lang w:val="en-US"/>
        </w:rPr>
      </w:pPr>
      <w:r w:rsidRPr="006D7825">
        <w:rPr>
          <w:rFonts w:ascii="Times New Roman" w:hAnsi="Times New Roman"/>
          <w:b/>
          <w:sz w:val="24"/>
          <w:szCs w:val="24"/>
          <w:lang w:val="en-US"/>
        </w:rPr>
        <w:lastRenderedPageBreak/>
        <w:t>ABSTRACT</w:t>
      </w:r>
    </w:p>
    <w:p w:rsidR="005B0FBB" w:rsidRPr="006D7825" w:rsidRDefault="005B0FBB" w:rsidP="005B0FBB">
      <w:pPr>
        <w:spacing w:after="0" w:line="480" w:lineRule="auto"/>
        <w:rPr>
          <w:rFonts w:ascii="Times New Roman" w:hAnsi="Times New Roman"/>
          <w:i/>
          <w:sz w:val="24"/>
          <w:szCs w:val="24"/>
          <w:lang w:val="en-US"/>
        </w:rPr>
      </w:pPr>
      <w:r w:rsidRPr="006D7825">
        <w:rPr>
          <w:rFonts w:ascii="Times New Roman" w:hAnsi="Times New Roman"/>
          <w:i/>
          <w:sz w:val="24"/>
          <w:szCs w:val="24"/>
          <w:lang w:val="en-US"/>
        </w:rPr>
        <w:t>Objectives:</w:t>
      </w:r>
      <w:r w:rsidRPr="006D7825">
        <w:rPr>
          <w:rFonts w:ascii="Times New Roman" w:hAnsi="Times New Roman"/>
          <w:sz w:val="24"/>
          <w:szCs w:val="24"/>
          <w:lang w:val="en-US"/>
        </w:rPr>
        <w:t xml:space="preserve"> We assessed the analytical and clinical performance of</w:t>
      </w:r>
      <w:r w:rsidRPr="006D7825">
        <w:rPr>
          <w:lang w:val="en-US"/>
        </w:rPr>
        <w:t xml:space="preserve"> </w:t>
      </w:r>
      <w:r w:rsidRPr="006D7825">
        <w:rPr>
          <w:rFonts w:ascii="Times New Roman" w:hAnsi="Times New Roman"/>
          <w:sz w:val="24"/>
          <w:szCs w:val="24"/>
          <w:lang w:val="en-US"/>
        </w:rPr>
        <w:t>the Lumipulse</w:t>
      </w:r>
      <w:r w:rsidRPr="006D7825">
        <w:rPr>
          <w:rFonts w:ascii="Times New Roman" w:hAnsi="Times New Roman"/>
          <w:sz w:val="24"/>
          <w:szCs w:val="24"/>
          <w:vertAlign w:val="superscript"/>
          <w:lang w:val="en-US"/>
        </w:rPr>
        <w:t>®</w:t>
      </w:r>
      <w:r w:rsidR="0009296F" w:rsidRPr="006D7825">
        <w:rPr>
          <w:rFonts w:ascii="Times New Roman" w:hAnsi="Times New Roman"/>
          <w:sz w:val="24"/>
          <w:szCs w:val="24"/>
          <w:vertAlign w:val="superscript"/>
          <w:lang w:val="en-US"/>
        </w:rPr>
        <w:t xml:space="preserve"> </w:t>
      </w:r>
      <w:r w:rsidRPr="006D7825">
        <w:rPr>
          <w:rFonts w:ascii="Times New Roman" w:hAnsi="Times New Roman"/>
          <w:sz w:val="24"/>
          <w:szCs w:val="24"/>
          <w:lang w:val="en-US"/>
        </w:rPr>
        <w:t xml:space="preserve">G HBcAb-N (Fujirebio, Japan) assay for IgG antibodies to hepatitis B core antigen (anti-HBc IgG) measurement in serum of subjects with overt and occult HBV infection (OBI). </w:t>
      </w:r>
    </w:p>
    <w:p w:rsidR="005B0FBB" w:rsidRPr="006D7825" w:rsidRDefault="005B0FBB" w:rsidP="005B0FBB">
      <w:pPr>
        <w:spacing w:after="0" w:line="480" w:lineRule="auto"/>
        <w:rPr>
          <w:rFonts w:ascii="Times New Roman" w:hAnsi="Times New Roman"/>
          <w:i/>
          <w:sz w:val="24"/>
          <w:szCs w:val="24"/>
          <w:lang w:val="en-US"/>
        </w:rPr>
      </w:pPr>
      <w:r w:rsidRPr="006D7825">
        <w:rPr>
          <w:rFonts w:ascii="Times New Roman" w:hAnsi="Times New Roman"/>
          <w:i/>
          <w:sz w:val="24"/>
          <w:szCs w:val="24"/>
          <w:lang w:val="en-US"/>
        </w:rPr>
        <w:t xml:space="preserve">Materials/methods: </w:t>
      </w:r>
      <w:r w:rsidR="004209E1" w:rsidRPr="006D7825">
        <w:rPr>
          <w:rFonts w:ascii="Times New Roman" w:hAnsi="Times New Roman"/>
          <w:sz w:val="24"/>
          <w:szCs w:val="24"/>
          <w:lang w:val="en-US"/>
        </w:rPr>
        <w:t>Serum a</w:t>
      </w:r>
      <w:r w:rsidRPr="006D7825">
        <w:rPr>
          <w:rFonts w:ascii="Times New Roman" w:hAnsi="Times New Roman"/>
          <w:sz w:val="24"/>
          <w:szCs w:val="24"/>
          <w:lang w:val="en-US"/>
        </w:rPr>
        <w:t xml:space="preserve">nti-HBc IgG was assessed </w:t>
      </w:r>
      <w:r w:rsidR="004209E1" w:rsidRPr="006D7825">
        <w:rPr>
          <w:rFonts w:ascii="Times New Roman" w:hAnsi="Times New Roman"/>
          <w:sz w:val="24"/>
          <w:szCs w:val="24"/>
          <w:lang w:val="en-US"/>
        </w:rPr>
        <w:t xml:space="preserve">in 181 anti-HBc-positive subjects: 119 </w:t>
      </w:r>
      <w:r w:rsidRPr="006D7825">
        <w:rPr>
          <w:rFonts w:ascii="Times New Roman" w:hAnsi="Times New Roman"/>
          <w:sz w:val="24"/>
          <w:szCs w:val="24"/>
          <w:lang w:val="en-US"/>
        </w:rPr>
        <w:t>chronic hepatitis B (CHB) patients</w:t>
      </w:r>
      <w:r w:rsidR="004209E1" w:rsidRPr="006D7825">
        <w:rPr>
          <w:rFonts w:ascii="Times New Roman" w:hAnsi="Times New Roman"/>
          <w:sz w:val="24"/>
          <w:szCs w:val="24"/>
          <w:lang w:val="en-US"/>
        </w:rPr>
        <w:t xml:space="preserve"> in different </w:t>
      </w:r>
      <w:r w:rsidR="00FE43C4" w:rsidRPr="006D7825">
        <w:rPr>
          <w:rFonts w:ascii="Times New Roman" w:hAnsi="Times New Roman"/>
          <w:sz w:val="24"/>
          <w:szCs w:val="24"/>
          <w:lang w:val="en-US"/>
        </w:rPr>
        <w:t>infection phases</w:t>
      </w:r>
      <w:r w:rsidR="004209E1" w:rsidRPr="006D7825">
        <w:rPr>
          <w:rFonts w:ascii="Times New Roman" w:hAnsi="Times New Roman"/>
          <w:sz w:val="24"/>
          <w:szCs w:val="24"/>
          <w:lang w:val="en-US"/>
        </w:rPr>
        <w:t xml:space="preserve"> and </w:t>
      </w:r>
      <w:r w:rsidRPr="006D7825">
        <w:rPr>
          <w:rFonts w:ascii="Times New Roman" w:hAnsi="Times New Roman"/>
          <w:sz w:val="24"/>
          <w:szCs w:val="24"/>
          <w:lang w:val="en-US"/>
        </w:rPr>
        <w:t xml:space="preserve">62 subjects (35 CHB and 27 OBI) with available liver specimens for HBV covalently-close-circular (ccc)DNA analysis. </w:t>
      </w:r>
    </w:p>
    <w:p w:rsidR="005B0FBB" w:rsidRPr="006D7825" w:rsidRDefault="005B0FBB" w:rsidP="005B0FBB">
      <w:pPr>
        <w:spacing w:after="0" w:line="480" w:lineRule="auto"/>
        <w:rPr>
          <w:rFonts w:ascii="Times New Roman" w:hAnsi="Times New Roman"/>
          <w:i/>
          <w:sz w:val="24"/>
          <w:szCs w:val="24"/>
          <w:lang w:val="en-US"/>
        </w:rPr>
      </w:pPr>
      <w:r w:rsidRPr="006D7825">
        <w:rPr>
          <w:rFonts w:ascii="Times New Roman" w:hAnsi="Times New Roman"/>
          <w:i/>
          <w:sz w:val="24"/>
          <w:szCs w:val="24"/>
          <w:lang w:val="en-US"/>
        </w:rPr>
        <w:t xml:space="preserve">Results: </w:t>
      </w:r>
      <w:r w:rsidRPr="006D7825">
        <w:rPr>
          <w:rFonts w:ascii="Times New Roman" w:hAnsi="Times New Roman"/>
          <w:sz w:val="24"/>
          <w:szCs w:val="24"/>
          <w:lang w:val="en-US"/>
        </w:rPr>
        <w:t>The anti-HBc IgG assay showed a linear dynamic range (R</w:t>
      </w:r>
      <w:r w:rsidRPr="006D7825">
        <w:rPr>
          <w:rFonts w:ascii="Times New Roman" w:hAnsi="Times New Roman"/>
          <w:sz w:val="24"/>
          <w:szCs w:val="24"/>
          <w:vertAlign w:val="superscript"/>
          <w:lang w:val="en-US"/>
        </w:rPr>
        <w:t>2</w:t>
      </w:r>
      <w:r w:rsidRPr="006D7825">
        <w:rPr>
          <w:rFonts w:ascii="Times New Roman" w:hAnsi="Times New Roman"/>
          <w:sz w:val="24"/>
          <w:szCs w:val="24"/>
          <w:lang w:val="en-US"/>
        </w:rPr>
        <w:t>=0.9967); lower limit of detection and quantitation were 0.5 IU/mL and 0.8 IU/mL. Reproducibility was 4.9% and accuracy 98.7%. Anti-HBc IgG levels varied according to HBV infection phase, linearly declined during antiviral treatment and resulted correlated to intrahepatic HBV cccDNA (</w:t>
      </w:r>
      <w:r w:rsidRPr="006D7825">
        <w:rPr>
          <w:rFonts w:ascii="Times New Roman" w:hAnsi="Times New Roman"/>
          <w:i/>
          <w:sz w:val="24"/>
          <w:szCs w:val="24"/>
          <w:lang w:val="en-US"/>
        </w:rPr>
        <w:t>r</w:t>
      </w:r>
      <w:r w:rsidRPr="006D7825">
        <w:rPr>
          <w:rFonts w:ascii="Times New Roman" w:hAnsi="Times New Roman"/>
          <w:sz w:val="24"/>
          <w:szCs w:val="24"/>
          <w:lang w:val="en-US"/>
        </w:rPr>
        <w:t xml:space="preserve">=0.752,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&lt;0.001). </w:t>
      </w:r>
    </w:p>
    <w:p w:rsidR="005B0FBB" w:rsidRPr="006D7825" w:rsidRDefault="005B0FBB" w:rsidP="005B0FBB">
      <w:pPr>
        <w:spacing w:after="0" w:line="480" w:lineRule="auto"/>
        <w:rPr>
          <w:rFonts w:ascii="Times New Roman" w:hAnsi="Times New Roman"/>
          <w:i/>
          <w:sz w:val="24"/>
          <w:szCs w:val="24"/>
          <w:lang w:val="en-US"/>
        </w:rPr>
      </w:pPr>
      <w:r w:rsidRPr="006D7825">
        <w:rPr>
          <w:rFonts w:ascii="Times New Roman" w:hAnsi="Times New Roman"/>
          <w:i/>
          <w:sz w:val="24"/>
          <w:szCs w:val="24"/>
          <w:lang w:val="en-US"/>
        </w:rPr>
        <w:t xml:space="preserve">Conclusions: </w:t>
      </w:r>
      <w:r w:rsidRPr="006D7825">
        <w:rPr>
          <w:rFonts w:ascii="Times New Roman" w:hAnsi="Times New Roman"/>
          <w:sz w:val="24"/>
          <w:szCs w:val="24"/>
          <w:lang w:val="en-US"/>
        </w:rPr>
        <w:t>The quantitative anti-HBc IgG assay exhibited appropriate analytical performance and may represent a diagnostic complement in CHB patients and OBI subjects.</w:t>
      </w:r>
    </w:p>
    <w:p w:rsidR="005B0FBB" w:rsidRPr="006D7825" w:rsidRDefault="005B0FBB" w:rsidP="005B0FBB">
      <w:pPr>
        <w:rPr>
          <w:rFonts w:ascii="Times New Roman" w:hAnsi="Times New Roman"/>
          <w:b/>
          <w:sz w:val="24"/>
          <w:szCs w:val="24"/>
          <w:lang w:val="en-US"/>
        </w:rPr>
      </w:pPr>
    </w:p>
    <w:p w:rsidR="005B0FBB" w:rsidRPr="006D7825" w:rsidRDefault="005B0FBB" w:rsidP="005B0FBB">
      <w:pPr>
        <w:spacing w:after="0" w:line="480" w:lineRule="auto"/>
        <w:rPr>
          <w:rFonts w:ascii="Times New Roman" w:hAnsi="Times New Roman"/>
          <w:sz w:val="24"/>
          <w:szCs w:val="24"/>
          <w:lang w:val="en-US"/>
        </w:rPr>
      </w:pPr>
      <w:r w:rsidRPr="006D7825">
        <w:rPr>
          <w:rFonts w:ascii="Times New Roman" w:hAnsi="Times New Roman"/>
          <w:i/>
          <w:sz w:val="24"/>
          <w:szCs w:val="24"/>
          <w:lang w:val="en-US"/>
        </w:rPr>
        <w:t>Keywords:</w:t>
      </w:r>
      <w:r w:rsidRPr="006D7825">
        <w:rPr>
          <w:rFonts w:ascii="Times New Roman" w:hAnsi="Times New Roman"/>
          <w:sz w:val="24"/>
          <w:szCs w:val="24"/>
          <w:lang w:val="en-US"/>
        </w:rPr>
        <w:t xml:space="preserve"> Anti-HBc, ddPCR, HBcrAg, HBsAg, HBV cccDNA</w:t>
      </w:r>
    </w:p>
    <w:p w:rsidR="005B0FBB" w:rsidRPr="006D7825" w:rsidRDefault="005B0FBB">
      <w:pPr>
        <w:suppressAutoHyphens w:val="0"/>
        <w:spacing w:after="160" w:line="259" w:lineRule="auto"/>
      </w:pPr>
      <w:r w:rsidRPr="006D7825">
        <w:br w:type="page"/>
      </w:r>
    </w:p>
    <w:p w:rsidR="005B0FBB" w:rsidRPr="006D7825" w:rsidRDefault="005B0FBB" w:rsidP="005B0FBB">
      <w:pPr>
        <w:pageBreakBefore/>
        <w:spacing w:after="0" w:line="480" w:lineRule="auto"/>
        <w:rPr>
          <w:rFonts w:ascii="Times New Roman" w:hAnsi="Times New Roman"/>
          <w:b/>
          <w:sz w:val="24"/>
          <w:szCs w:val="24"/>
          <w:lang w:val="en-US"/>
        </w:rPr>
      </w:pPr>
      <w:r w:rsidRPr="006D7825">
        <w:rPr>
          <w:rFonts w:ascii="Times New Roman" w:hAnsi="Times New Roman"/>
          <w:b/>
          <w:sz w:val="24"/>
          <w:szCs w:val="24"/>
          <w:lang w:val="en-US"/>
        </w:rPr>
        <w:lastRenderedPageBreak/>
        <w:t>1. Introduction</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The proteins of hepatitis B virus (HBV) nucleocapsid are highly immunogenic and can elicit a strong B-cell immune response resulting in high levels of antibodies to th</w:t>
      </w:r>
      <w:r w:rsidR="00F76C0B" w:rsidRPr="006D7825">
        <w:rPr>
          <w:rFonts w:ascii="Times New Roman" w:hAnsi="Times New Roman"/>
          <w:sz w:val="24"/>
          <w:szCs w:val="24"/>
          <w:lang w:val="en-US"/>
        </w:rPr>
        <w:t>e HB core antigen (anti-HBc) (Coffin et al. 2019)</w:t>
      </w:r>
      <w:r w:rsidRPr="006D7825">
        <w:rPr>
          <w:rFonts w:ascii="Times New Roman" w:hAnsi="Times New Roman"/>
          <w:sz w:val="24"/>
          <w:szCs w:val="24"/>
          <w:lang w:val="en-US"/>
        </w:rPr>
        <w:t>.</w:t>
      </w:r>
      <w:r w:rsidRPr="006D7825">
        <w:rPr>
          <w:rFonts w:ascii="Times New Roman" w:hAnsi="Times New Roman"/>
          <w:sz w:val="24"/>
          <w:szCs w:val="24"/>
          <w:vertAlign w:val="superscript"/>
          <w:lang w:val="en-US"/>
        </w:rPr>
        <w:t xml:space="preserve"> </w:t>
      </w:r>
      <w:r w:rsidRPr="006D7825">
        <w:rPr>
          <w:rFonts w:ascii="Times New Roman" w:hAnsi="Times New Roman"/>
          <w:sz w:val="24"/>
          <w:szCs w:val="24"/>
          <w:lang w:val="en-US"/>
        </w:rPr>
        <w:t>Anti-HBc antibodies are widely used for screening and diagnosis of HBV infection together with hepatit</w:t>
      </w:r>
      <w:r w:rsidR="00F76C0B" w:rsidRPr="006D7825">
        <w:rPr>
          <w:rFonts w:ascii="Times New Roman" w:hAnsi="Times New Roman"/>
          <w:sz w:val="24"/>
          <w:szCs w:val="24"/>
          <w:lang w:val="en-US"/>
        </w:rPr>
        <w:t>is B surface antigen (HBsAg) (Rodella et al. 2006)</w:t>
      </w:r>
      <w:r w:rsidRPr="006D7825">
        <w:rPr>
          <w:rFonts w:ascii="Times New Roman" w:hAnsi="Times New Roman"/>
          <w:sz w:val="24"/>
          <w:szCs w:val="24"/>
          <w:lang w:val="en-US"/>
        </w:rPr>
        <w:t>. While the IgG type anti-HBc is predominant in chronic HBV infe</w:t>
      </w:r>
      <w:r w:rsidR="0051355A" w:rsidRPr="006D7825">
        <w:rPr>
          <w:rFonts w:ascii="Times New Roman" w:hAnsi="Times New Roman"/>
          <w:sz w:val="24"/>
          <w:szCs w:val="24"/>
          <w:lang w:val="en-US"/>
        </w:rPr>
        <w:t>ction (CHB) and in occult/resolved HBV infection</w:t>
      </w:r>
      <w:r w:rsidRPr="006D7825">
        <w:rPr>
          <w:rFonts w:ascii="Times New Roman" w:hAnsi="Times New Roman"/>
          <w:sz w:val="24"/>
          <w:szCs w:val="24"/>
          <w:lang w:val="en-US"/>
        </w:rPr>
        <w:t>, the anti-HBc of IgM type is raised to high titers in acute HBV infection and is di</w:t>
      </w:r>
      <w:r w:rsidR="00F76C0B" w:rsidRPr="006D7825">
        <w:rPr>
          <w:rFonts w:ascii="Times New Roman" w:hAnsi="Times New Roman"/>
          <w:sz w:val="24"/>
          <w:szCs w:val="24"/>
          <w:lang w:val="en-US"/>
        </w:rPr>
        <w:t>agnostic of this condition (</w:t>
      </w:r>
      <w:r w:rsidR="0051355A" w:rsidRPr="006D7825">
        <w:rPr>
          <w:rFonts w:ascii="Times New Roman" w:hAnsi="Times New Roman"/>
          <w:sz w:val="24"/>
          <w:szCs w:val="24"/>
          <w:lang w:val="en-US"/>
        </w:rPr>
        <w:t>Höner Zu Siederdissen et al. 2018</w:t>
      </w:r>
      <w:r w:rsidR="00F76C0B" w:rsidRPr="006D7825">
        <w:rPr>
          <w:rFonts w:ascii="Times New Roman" w:hAnsi="Times New Roman"/>
          <w:sz w:val="24"/>
          <w:szCs w:val="24"/>
          <w:lang w:val="en-US"/>
        </w:rPr>
        <w:t>; Trépo et al. 2014)</w:t>
      </w:r>
      <w:r w:rsidRPr="006D7825">
        <w:rPr>
          <w:rFonts w:ascii="Times New Roman" w:hAnsi="Times New Roman"/>
          <w:sz w:val="24"/>
          <w:szCs w:val="24"/>
          <w:lang w:val="en-US"/>
        </w:rPr>
        <w:t>.</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Recent studies showed that total anti-HBc levels vary among t</w:t>
      </w:r>
      <w:r w:rsidR="00F76C0B" w:rsidRPr="006D7825">
        <w:rPr>
          <w:rFonts w:ascii="Times New Roman" w:hAnsi="Times New Roman"/>
          <w:sz w:val="24"/>
          <w:szCs w:val="24"/>
          <w:lang w:val="en-US"/>
        </w:rPr>
        <w:t>he different phases of CHB (Yuan et al. 2015; Song et al. 2015)</w:t>
      </w:r>
      <w:r w:rsidRPr="006D7825">
        <w:rPr>
          <w:rFonts w:ascii="Times New Roman" w:hAnsi="Times New Roman"/>
          <w:sz w:val="24"/>
          <w:szCs w:val="24"/>
          <w:lang w:val="en-US"/>
        </w:rPr>
        <w:t>; they may help to predict hepatitis B e antigen (HBeAg) seroconversion in patients treated with peg-interferon or nuc</w:t>
      </w:r>
      <w:r w:rsidR="00F76C0B" w:rsidRPr="006D7825">
        <w:rPr>
          <w:rFonts w:ascii="Times New Roman" w:hAnsi="Times New Roman"/>
          <w:sz w:val="24"/>
          <w:szCs w:val="24"/>
          <w:lang w:val="en-US"/>
        </w:rPr>
        <w:t>leos(t)ide analogues (NAs) (</w:t>
      </w:r>
      <w:r w:rsidR="00B664C2" w:rsidRPr="006D7825">
        <w:rPr>
          <w:rFonts w:ascii="Times New Roman" w:hAnsi="Times New Roman"/>
          <w:sz w:val="24"/>
          <w:szCs w:val="24"/>
          <w:lang w:val="en-US"/>
        </w:rPr>
        <w:t>Yuan et al. 2013; Fan et al. 2016)</w:t>
      </w:r>
      <w:r w:rsidRPr="006D7825">
        <w:rPr>
          <w:rFonts w:ascii="Times New Roman" w:hAnsi="Times New Roman"/>
          <w:sz w:val="24"/>
          <w:szCs w:val="24"/>
          <w:lang w:val="en-US"/>
        </w:rPr>
        <w:t>, and are associated with inflammatory activity and significant fibrosis in tre</w:t>
      </w:r>
      <w:r w:rsidR="00B664C2" w:rsidRPr="006D7825">
        <w:rPr>
          <w:rFonts w:ascii="Times New Roman" w:hAnsi="Times New Roman"/>
          <w:sz w:val="24"/>
          <w:szCs w:val="24"/>
          <w:lang w:val="en-US"/>
        </w:rPr>
        <w:t>atment naïve CHB patients (Li et al. 2016; Li et al. 2017)</w:t>
      </w:r>
      <w:r w:rsidRPr="006D7825">
        <w:rPr>
          <w:rFonts w:ascii="Times New Roman" w:hAnsi="Times New Roman"/>
          <w:sz w:val="24"/>
          <w:szCs w:val="24"/>
          <w:lang w:val="en-US"/>
        </w:rPr>
        <w:t>.</w:t>
      </w:r>
      <w:r w:rsidRPr="006D7825">
        <w:rPr>
          <w:rFonts w:ascii="Times New Roman" w:hAnsi="Times New Roman"/>
          <w:sz w:val="24"/>
          <w:szCs w:val="24"/>
          <w:vertAlign w:val="superscript"/>
          <w:lang w:val="en-US"/>
        </w:rPr>
        <w:t xml:space="preserve"> </w:t>
      </w:r>
      <w:r w:rsidRPr="006D7825">
        <w:rPr>
          <w:rFonts w:ascii="Times New Roman" w:hAnsi="Times New Roman"/>
          <w:sz w:val="24"/>
          <w:szCs w:val="24"/>
          <w:lang w:val="en-US"/>
        </w:rPr>
        <w:t>In HBsAg-negative subjects, the presence of anti-HBc antibodies is considered a surrogate of oc</w:t>
      </w:r>
      <w:r w:rsidR="00B664C2" w:rsidRPr="006D7825">
        <w:rPr>
          <w:rFonts w:ascii="Times New Roman" w:hAnsi="Times New Roman"/>
          <w:sz w:val="24"/>
          <w:szCs w:val="24"/>
          <w:lang w:val="en-US"/>
        </w:rPr>
        <w:t>cult HBV infection (OBI) (Raimondo et al. 2008; Tandoi et al. 2014)</w:t>
      </w:r>
      <w:r w:rsidRPr="006D7825">
        <w:rPr>
          <w:rFonts w:ascii="Times New Roman" w:hAnsi="Times New Roman"/>
          <w:sz w:val="24"/>
          <w:szCs w:val="24"/>
          <w:lang w:val="en-US"/>
        </w:rPr>
        <w:t>. Guidelines suggest that anti-HBc-positive patients undergoing pharmacological immunosuppression should receive pre-emptive therapy or prophylaxis according to t</w:t>
      </w:r>
      <w:r w:rsidR="00B664C2" w:rsidRPr="006D7825">
        <w:rPr>
          <w:rFonts w:ascii="Times New Roman" w:hAnsi="Times New Roman"/>
          <w:sz w:val="24"/>
          <w:szCs w:val="24"/>
          <w:lang w:val="en-US"/>
        </w:rPr>
        <w:t>he risk of HBV reactivation (Perrillo et al. 2015)</w:t>
      </w:r>
      <w:r w:rsidRPr="006D7825">
        <w:rPr>
          <w:rFonts w:ascii="Times New Roman" w:hAnsi="Times New Roman"/>
          <w:sz w:val="24"/>
          <w:szCs w:val="24"/>
          <w:lang w:val="en-US"/>
        </w:rPr>
        <w:t>; the risk is determined not only by the immunosuppressive potential of therapy but also by the presence of higher levels of replication-competent HBV covalently-closed-circul</w:t>
      </w:r>
      <w:r w:rsidR="00B664C2" w:rsidRPr="006D7825">
        <w:rPr>
          <w:rFonts w:ascii="Times New Roman" w:hAnsi="Times New Roman"/>
          <w:sz w:val="24"/>
          <w:szCs w:val="24"/>
          <w:lang w:val="en-US"/>
        </w:rPr>
        <w:t>ar (ccc)DNA in the liver (EASL 2017; Raimondo et al. 2019; Caviglia et al. 2018)</w:t>
      </w:r>
      <w:r w:rsidRPr="006D7825">
        <w:rPr>
          <w:rFonts w:ascii="Times New Roman" w:hAnsi="Times New Roman"/>
          <w:sz w:val="24"/>
          <w:szCs w:val="24"/>
          <w:lang w:val="en-US"/>
        </w:rPr>
        <w:t xml:space="preserve">. </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Commercial assays for anti-HBc antibodies measure predominantly the IgG component but also antibodies of other immunoglobulin classes; as a matter of fact, anti-HBc IgM can be detected in the serum of CHB patients reflecting disease</w:t>
      </w:r>
      <w:r w:rsidR="00B664C2" w:rsidRPr="006D7825">
        <w:rPr>
          <w:rFonts w:ascii="Times New Roman" w:hAnsi="Times New Roman"/>
          <w:sz w:val="24"/>
          <w:szCs w:val="24"/>
          <w:lang w:val="en-US"/>
        </w:rPr>
        <w:t xml:space="preserve"> remission and reactivation (Park et al. 2015)</w:t>
      </w:r>
      <w:r w:rsidRPr="006D7825">
        <w:rPr>
          <w:rFonts w:ascii="Times New Roman" w:hAnsi="Times New Roman"/>
          <w:sz w:val="24"/>
          <w:szCs w:val="24"/>
          <w:lang w:val="en-US"/>
        </w:rPr>
        <w:t xml:space="preserve">. Recently, a qualitative chemiluminescence enzyme immunoassay (CLEIA) that detects anti-HBc IgG only, has </w:t>
      </w:r>
      <w:r w:rsidRPr="006D7825">
        <w:rPr>
          <w:rFonts w:ascii="Times New Roman" w:hAnsi="Times New Roman"/>
          <w:sz w:val="24"/>
          <w:szCs w:val="24"/>
          <w:lang w:val="en-US"/>
        </w:rPr>
        <w:lastRenderedPageBreak/>
        <w:t>been developed</w:t>
      </w:r>
      <w:r w:rsidR="00B664C2" w:rsidRPr="006D7825">
        <w:rPr>
          <w:rFonts w:ascii="Times New Roman" w:hAnsi="Times New Roman"/>
          <w:sz w:val="24"/>
          <w:szCs w:val="24"/>
          <w:lang w:val="en-US"/>
        </w:rPr>
        <w:t xml:space="preserve"> (Kobayashi et al. 2015)</w:t>
      </w:r>
      <w:r w:rsidRPr="006D7825">
        <w:rPr>
          <w:rFonts w:ascii="Times New Roman" w:hAnsi="Times New Roman"/>
          <w:sz w:val="24"/>
          <w:szCs w:val="24"/>
          <w:lang w:val="en-US"/>
        </w:rPr>
        <w:t xml:space="preserve">. Our aim was to assess the analytical and clinical performance of anti-HBc IgG quantitation in serum of patients with overt and occult HBV infection. </w:t>
      </w:r>
    </w:p>
    <w:p w:rsidR="005B0FBB" w:rsidRPr="006D7825" w:rsidRDefault="005B0FBB" w:rsidP="005B0FBB">
      <w:pPr>
        <w:spacing w:after="0" w:line="480" w:lineRule="auto"/>
        <w:rPr>
          <w:rFonts w:ascii="Times New Roman" w:hAnsi="Times New Roman"/>
          <w:sz w:val="24"/>
          <w:szCs w:val="24"/>
          <w:lang w:val="en-US"/>
        </w:rPr>
      </w:pPr>
    </w:p>
    <w:p w:rsidR="005B0FBB" w:rsidRPr="006D7825" w:rsidRDefault="005B0FBB" w:rsidP="005B0FBB">
      <w:pPr>
        <w:spacing w:after="0" w:line="480" w:lineRule="auto"/>
        <w:rPr>
          <w:rFonts w:ascii="Times New Roman" w:hAnsi="Times New Roman"/>
          <w:b/>
          <w:sz w:val="24"/>
          <w:szCs w:val="24"/>
          <w:lang w:val="en-US"/>
        </w:rPr>
      </w:pPr>
      <w:r w:rsidRPr="006D7825">
        <w:rPr>
          <w:rFonts w:ascii="Times New Roman" w:hAnsi="Times New Roman"/>
          <w:b/>
          <w:sz w:val="24"/>
          <w:szCs w:val="24"/>
          <w:lang w:val="en-US"/>
        </w:rPr>
        <w:t>2. Materials and methods</w:t>
      </w:r>
    </w:p>
    <w:p w:rsidR="005B0FBB" w:rsidRPr="006D7825" w:rsidRDefault="005B0FBB" w:rsidP="005B0FBB">
      <w:pPr>
        <w:spacing w:after="0" w:line="480" w:lineRule="auto"/>
        <w:rPr>
          <w:rFonts w:ascii="Times New Roman" w:hAnsi="Times New Roman"/>
          <w:i/>
          <w:sz w:val="24"/>
          <w:szCs w:val="24"/>
          <w:lang w:val="en-US"/>
        </w:rPr>
      </w:pPr>
      <w:r w:rsidRPr="006D7825">
        <w:rPr>
          <w:rFonts w:ascii="Times New Roman" w:hAnsi="Times New Roman"/>
          <w:i/>
          <w:sz w:val="24"/>
          <w:szCs w:val="24"/>
          <w:lang w:val="en-US"/>
        </w:rPr>
        <w:t>2.1. Patients</w:t>
      </w:r>
    </w:p>
    <w:p w:rsidR="005B0FBB" w:rsidRPr="006D7825" w:rsidRDefault="003C78BC"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 xml:space="preserve">A total of </w:t>
      </w:r>
      <w:r w:rsidR="00041E9F" w:rsidRPr="006D7825">
        <w:rPr>
          <w:rFonts w:ascii="Times New Roman" w:hAnsi="Times New Roman"/>
          <w:sz w:val="24"/>
          <w:szCs w:val="24"/>
          <w:lang w:val="en-US"/>
        </w:rPr>
        <w:t>181 anti-HBc-positive subj</w:t>
      </w:r>
      <w:r w:rsidRPr="006D7825">
        <w:rPr>
          <w:rFonts w:ascii="Times New Roman" w:hAnsi="Times New Roman"/>
          <w:sz w:val="24"/>
          <w:szCs w:val="24"/>
          <w:lang w:val="en-US"/>
        </w:rPr>
        <w:t xml:space="preserve">ects were included in the study. A cohort of </w:t>
      </w:r>
      <w:r w:rsidR="005B0FBB" w:rsidRPr="006D7825">
        <w:rPr>
          <w:rFonts w:ascii="Times New Roman" w:hAnsi="Times New Roman"/>
          <w:sz w:val="24"/>
          <w:szCs w:val="24"/>
          <w:lang w:val="en-US"/>
        </w:rPr>
        <w:t>119</w:t>
      </w:r>
      <w:r w:rsidRPr="006D7825">
        <w:rPr>
          <w:rFonts w:ascii="Times New Roman" w:hAnsi="Times New Roman"/>
          <w:sz w:val="24"/>
          <w:szCs w:val="24"/>
          <w:lang w:val="en-US"/>
        </w:rPr>
        <w:t xml:space="preserve"> untreated</w:t>
      </w:r>
      <w:r w:rsidR="005B0FBB" w:rsidRPr="006D7825">
        <w:rPr>
          <w:rFonts w:ascii="Times New Roman" w:hAnsi="Times New Roman"/>
          <w:sz w:val="24"/>
          <w:szCs w:val="24"/>
          <w:lang w:val="en-US"/>
        </w:rPr>
        <w:t xml:space="preserve"> CHB patients were retrospectively </w:t>
      </w:r>
      <w:r w:rsidRPr="006D7825">
        <w:rPr>
          <w:rFonts w:ascii="Times New Roman" w:hAnsi="Times New Roman"/>
          <w:sz w:val="24"/>
          <w:szCs w:val="24"/>
          <w:lang w:val="en-US"/>
        </w:rPr>
        <w:t>enrolled</w:t>
      </w:r>
      <w:r w:rsidR="005B0FBB" w:rsidRPr="006D7825">
        <w:rPr>
          <w:rFonts w:ascii="Times New Roman" w:hAnsi="Times New Roman"/>
          <w:sz w:val="24"/>
          <w:szCs w:val="24"/>
          <w:lang w:val="en-US"/>
        </w:rPr>
        <w:t xml:space="preserve"> </w:t>
      </w:r>
      <w:r w:rsidRPr="006D7825">
        <w:rPr>
          <w:rFonts w:ascii="Times New Roman" w:hAnsi="Times New Roman"/>
          <w:sz w:val="24"/>
          <w:szCs w:val="24"/>
          <w:lang w:val="en-US"/>
        </w:rPr>
        <w:t xml:space="preserve">and </w:t>
      </w:r>
      <w:r w:rsidR="005B0FBB" w:rsidRPr="006D7825">
        <w:rPr>
          <w:rFonts w:ascii="Times New Roman" w:hAnsi="Times New Roman"/>
          <w:sz w:val="24"/>
          <w:szCs w:val="24"/>
          <w:lang w:val="en-US"/>
        </w:rPr>
        <w:t>classified into the different phases of CHB infection according to EASL clinical practice guidelines</w:t>
      </w:r>
      <w:r w:rsidR="00B664C2" w:rsidRPr="006D7825">
        <w:rPr>
          <w:rFonts w:ascii="Times New Roman" w:hAnsi="Times New Roman"/>
          <w:sz w:val="24"/>
          <w:szCs w:val="24"/>
          <w:vertAlign w:val="superscript"/>
          <w:lang w:val="en-US"/>
        </w:rPr>
        <w:t xml:space="preserve"> </w:t>
      </w:r>
      <w:r w:rsidR="00B664C2" w:rsidRPr="006D7825">
        <w:rPr>
          <w:rFonts w:ascii="Times New Roman" w:hAnsi="Times New Roman"/>
          <w:sz w:val="24"/>
          <w:szCs w:val="24"/>
          <w:lang w:val="en-US"/>
        </w:rPr>
        <w:t>(EASL 2017)</w:t>
      </w:r>
      <w:r w:rsidR="005B0FBB" w:rsidRPr="006D7825">
        <w:rPr>
          <w:rFonts w:ascii="Times New Roman" w:hAnsi="Times New Roman"/>
          <w:sz w:val="24"/>
          <w:szCs w:val="24"/>
          <w:lang w:val="en-US"/>
        </w:rPr>
        <w:t xml:space="preserve"> (13 HBeAg+ chronic hepatitis [CH], 51 HBeAg- CH, 55 HBeAg- chronic infection [CI]). </w:t>
      </w:r>
      <w:r w:rsidR="00041E9F" w:rsidRPr="006D7825">
        <w:rPr>
          <w:rFonts w:ascii="Times New Roman" w:hAnsi="Times New Roman"/>
          <w:sz w:val="24"/>
          <w:szCs w:val="24"/>
          <w:lang w:val="en-US"/>
        </w:rPr>
        <w:t>The 51</w:t>
      </w:r>
      <w:r w:rsidR="005B0FBB" w:rsidRPr="006D7825">
        <w:rPr>
          <w:rFonts w:ascii="Times New Roman" w:hAnsi="Times New Roman"/>
          <w:sz w:val="24"/>
          <w:szCs w:val="24"/>
          <w:lang w:val="en-US"/>
        </w:rPr>
        <w:t xml:space="preserve"> </w:t>
      </w:r>
      <w:r w:rsidR="002223D5" w:rsidRPr="006D7825">
        <w:rPr>
          <w:rFonts w:ascii="Times New Roman" w:hAnsi="Times New Roman"/>
          <w:sz w:val="24"/>
          <w:szCs w:val="24"/>
          <w:lang w:val="en-US"/>
        </w:rPr>
        <w:t>patients with HBeAg- CH</w:t>
      </w:r>
      <w:r w:rsidR="005B0FBB" w:rsidRPr="006D7825">
        <w:rPr>
          <w:rFonts w:ascii="Times New Roman" w:hAnsi="Times New Roman"/>
          <w:sz w:val="24"/>
          <w:szCs w:val="24"/>
          <w:lang w:val="en-US"/>
        </w:rPr>
        <w:t xml:space="preserve"> underwent antiviral treatment with NAs and serum samples were collected </w:t>
      </w:r>
      <w:r w:rsidRPr="006D7825">
        <w:rPr>
          <w:rFonts w:ascii="Times New Roman" w:hAnsi="Times New Roman"/>
          <w:sz w:val="24"/>
          <w:szCs w:val="24"/>
          <w:lang w:val="en-US"/>
        </w:rPr>
        <w:t xml:space="preserve">also </w:t>
      </w:r>
      <w:r w:rsidR="005B0FBB" w:rsidRPr="006D7825">
        <w:rPr>
          <w:rFonts w:ascii="Times New Roman" w:hAnsi="Times New Roman"/>
          <w:sz w:val="24"/>
          <w:szCs w:val="24"/>
          <w:lang w:val="en-US"/>
        </w:rPr>
        <w:t>at 6, 12, 36 and 60 months of therapy.</w:t>
      </w:r>
      <w:r w:rsidRPr="006D7825">
        <w:rPr>
          <w:rFonts w:ascii="Times New Roman" w:hAnsi="Times New Roman"/>
          <w:sz w:val="24"/>
          <w:szCs w:val="24"/>
          <w:lang w:val="en-US"/>
        </w:rPr>
        <w:t xml:space="preserve"> All patients had no evidence of liver cirrhosis on the basis of liver biopsy, liver elastography (FibroScan</w:t>
      </w:r>
      <w:r w:rsidRPr="006D7825">
        <w:rPr>
          <w:rFonts w:ascii="Times New Roman" w:hAnsi="Times New Roman"/>
          <w:sz w:val="24"/>
          <w:szCs w:val="24"/>
          <w:vertAlign w:val="superscript"/>
          <w:lang w:val="en-US"/>
        </w:rPr>
        <w:t>®</w:t>
      </w:r>
      <w:r w:rsidRPr="006D7825">
        <w:rPr>
          <w:rFonts w:ascii="Times New Roman" w:hAnsi="Times New Roman"/>
          <w:sz w:val="24"/>
          <w:szCs w:val="24"/>
          <w:lang w:val="en-US"/>
        </w:rPr>
        <w:t>, Echosens, Paris, France) or liver echography.</w:t>
      </w:r>
      <w:r w:rsidRPr="006D7825">
        <w:rPr>
          <w:lang w:val="en-US"/>
        </w:rPr>
        <w:t xml:space="preserve"> </w:t>
      </w:r>
      <w:r w:rsidRPr="006D7825">
        <w:rPr>
          <w:rFonts w:ascii="Times New Roman" w:hAnsi="Times New Roman"/>
          <w:sz w:val="24"/>
          <w:szCs w:val="24"/>
          <w:lang w:val="en-US"/>
        </w:rPr>
        <w:t>Data on HBV genotype was available in the majority of the patients (n = 105 [88.2%]); they were mostly infected with HBV genotype D (n = 96 [91.4%]).</w:t>
      </w:r>
      <w:r w:rsidR="005B0FBB" w:rsidRPr="006D7825">
        <w:rPr>
          <w:rFonts w:ascii="Times New Roman" w:hAnsi="Times New Roman"/>
          <w:sz w:val="24"/>
          <w:szCs w:val="24"/>
          <w:lang w:val="en-US"/>
        </w:rPr>
        <w:t xml:space="preserve"> We further included in the study a cohort of 27 previously investigated anti-HBc-positive liver donors with detectable intrahepatic HBV ccc</w:t>
      </w:r>
      <w:r w:rsidR="00B664C2" w:rsidRPr="006D7825">
        <w:rPr>
          <w:rFonts w:ascii="Times New Roman" w:hAnsi="Times New Roman"/>
          <w:sz w:val="24"/>
          <w:szCs w:val="24"/>
          <w:lang w:val="en-US"/>
        </w:rPr>
        <w:t>DNA (OBI) (Caviglia et al. 2018)</w:t>
      </w:r>
      <w:r w:rsidR="005B0FBB" w:rsidRPr="006D7825">
        <w:rPr>
          <w:rFonts w:ascii="Times New Roman" w:hAnsi="Times New Roman"/>
          <w:sz w:val="24"/>
          <w:szCs w:val="24"/>
          <w:lang w:val="en-US"/>
        </w:rPr>
        <w:t>, and a distinct group of 35 chronic HBsAg carriers (overt infection) with matched serum and liver tissue samples collected at routine liver biopsies or at surgical procedures. All patients gave their written informed consent and the study was approved by the Ethics Committee of the Città della Salute e della Scienza - University Hospital of Turin.</w:t>
      </w:r>
    </w:p>
    <w:p w:rsidR="005B0FBB" w:rsidRPr="006D7825" w:rsidRDefault="005B0FBB" w:rsidP="005B0FBB">
      <w:pPr>
        <w:spacing w:after="0" w:line="480" w:lineRule="auto"/>
        <w:rPr>
          <w:rFonts w:ascii="Times New Roman" w:hAnsi="Times New Roman"/>
          <w:sz w:val="24"/>
          <w:szCs w:val="24"/>
          <w:lang w:val="en-US"/>
        </w:rPr>
      </w:pPr>
    </w:p>
    <w:p w:rsidR="005B0FBB" w:rsidRPr="006D7825" w:rsidRDefault="005B0FBB" w:rsidP="005B0FBB">
      <w:pPr>
        <w:spacing w:after="0" w:line="480" w:lineRule="auto"/>
        <w:rPr>
          <w:rFonts w:ascii="Times New Roman" w:hAnsi="Times New Roman"/>
          <w:i/>
          <w:sz w:val="24"/>
          <w:szCs w:val="24"/>
          <w:lang w:val="en-US"/>
        </w:rPr>
      </w:pPr>
      <w:r w:rsidRPr="006D7825">
        <w:rPr>
          <w:rFonts w:ascii="Times New Roman" w:hAnsi="Times New Roman"/>
          <w:i/>
          <w:sz w:val="24"/>
          <w:szCs w:val="24"/>
          <w:lang w:val="en-US"/>
        </w:rPr>
        <w:t>2.2. Evaluation of the quantitative capacity of anti-HBc IgG assay</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The Lumipulse</w:t>
      </w:r>
      <w:r w:rsidRPr="006D7825">
        <w:rPr>
          <w:rFonts w:ascii="Times New Roman" w:hAnsi="Times New Roman"/>
          <w:sz w:val="24"/>
          <w:szCs w:val="24"/>
          <w:vertAlign w:val="superscript"/>
          <w:lang w:val="en-US"/>
        </w:rPr>
        <w:t>®</w:t>
      </w:r>
      <w:r w:rsidRPr="006D7825">
        <w:rPr>
          <w:rFonts w:ascii="Times New Roman" w:hAnsi="Times New Roman"/>
          <w:sz w:val="24"/>
          <w:szCs w:val="24"/>
          <w:lang w:val="en-US"/>
        </w:rPr>
        <w:t xml:space="preserve"> G HBcAb-N assay (Fujirebio, Tokyo, Japan) was selected for our biomarker research study in consideration that is specific for the detection of IgG class of anti-HBc in serum. The assay is based on a fully automated two-step sandwich CLEIA technology working on LUMIPULSE</w:t>
      </w:r>
      <w:r w:rsidRPr="006D7825">
        <w:rPr>
          <w:rFonts w:ascii="Times New Roman" w:hAnsi="Times New Roman"/>
          <w:sz w:val="24"/>
          <w:szCs w:val="24"/>
          <w:vertAlign w:val="superscript"/>
          <w:lang w:val="en-US"/>
        </w:rPr>
        <w:t>®</w:t>
      </w:r>
      <w:r w:rsidRPr="006D7825">
        <w:rPr>
          <w:rFonts w:ascii="Times New Roman" w:hAnsi="Times New Roman"/>
          <w:sz w:val="24"/>
          <w:szCs w:val="24"/>
          <w:lang w:val="en-US"/>
        </w:rPr>
        <w:t xml:space="preserve"> </w:t>
      </w:r>
      <w:r w:rsidRPr="006D7825">
        <w:rPr>
          <w:rFonts w:ascii="Times New Roman" w:hAnsi="Times New Roman"/>
          <w:sz w:val="24"/>
          <w:szCs w:val="24"/>
          <w:lang w:val="en-US"/>
        </w:rPr>
        <w:lastRenderedPageBreak/>
        <w:t>G system. Default anti-HBc IgG results are automatically reported as cut-off index (COI), calculated as a multiple of the cut-off value obtained from calibration data (COI = S/C x 0.09). The First International Standard for anti-HBc (NIBSC code 95/522,</w:t>
      </w:r>
      <w:r w:rsidRPr="006D7825">
        <w:rPr>
          <w:lang w:val="en-US"/>
        </w:rPr>
        <w:t xml:space="preserve"> </w:t>
      </w:r>
      <w:r w:rsidRPr="006D7825">
        <w:rPr>
          <w:rFonts w:ascii="Times New Roman" w:hAnsi="Times New Roman"/>
          <w:sz w:val="24"/>
          <w:szCs w:val="24"/>
          <w:lang w:val="en-US"/>
        </w:rPr>
        <w:t>National Institute for Biological Standards and Control, Potters Bar, UK) was used for standard curve calibration. Quantitative anti-HBc IgG results were reported as IU/mL.</w:t>
      </w:r>
    </w:p>
    <w:p w:rsidR="005B0FBB" w:rsidRPr="006D7825" w:rsidRDefault="005B0FBB" w:rsidP="005B0FBB">
      <w:pPr>
        <w:spacing w:after="0" w:line="480" w:lineRule="auto"/>
        <w:rPr>
          <w:rFonts w:ascii="Times New Roman" w:hAnsi="Times New Roman"/>
          <w:sz w:val="24"/>
          <w:szCs w:val="24"/>
          <w:lang w:val="en-US"/>
        </w:rPr>
      </w:pPr>
    </w:p>
    <w:p w:rsidR="005B0FBB" w:rsidRPr="006D7825" w:rsidRDefault="005B0FBB" w:rsidP="005B0FBB">
      <w:pPr>
        <w:spacing w:after="0" w:line="480" w:lineRule="auto"/>
        <w:rPr>
          <w:rFonts w:ascii="Times New Roman" w:hAnsi="Times New Roman"/>
          <w:i/>
          <w:sz w:val="24"/>
          <w:szCs w:val="24"/>
          <w:lang w:val="en-US"/>
        </w:rPr>
      </w:pPr>
      <w:r w:rsidRPr="006D7825">
        <w:rPr>
          <w:rFonts w:ascii="Times New Roman" w:hAnsi="Times New Roman"/>
          <w:i/>
          <w:sz w:val="24"/>
          <w:szCs w:val="24"/>
          <w:lang w:val="en-US"/>
        </w:rPr>
        <w:t>2.3. HBV virological and serological assays</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Serum HBV DNA was detected and quantified by a fully automated qPCR system (COBAS Amplicor-COBAS TaqMan, Roche, Switzerland). Results were expressed in IU/mL; the lower limit of detection (LLoD) and quantitation (LLoQ) were 9 IU/mL and 20 IU/mL, respectively. Serum HBsAg and hepatitis B core-related antigen (HBcrAg) were determined by CLEIA on LUMIPULSE</w:t>
      </w:r>
      <w:r w:rsidRPr="006D7825">
        <w:rPr>
          <w:rFonts w:ascii="Times New Roman" w:hAnsi="Times New Roman"/>
          <w:sz w:val="24"/>
          <w:szCs w:val="24"/>
          <w:vertAlign w:val="superscript"/>
          <w:lang w:val="en-US"/>
        </w:rPr>
        <w:t>®</w:t>
      </w:r>
      <w:r w:rsidRPr="006D7825">
        <w:rPr>
          <w:rFonts w:ascii="Times New Roman" w:hAnsi="Times New Roman"/>
          <w:sz w:val="24"/>
          <w:szCs w:val="24"/>
          <w:lang w:val="en-US"/>
        </w:rPr>
        <w:t xml:space="preserve"> G600 II analyzer (Fujirebio, Tokyo, Japan). HBcrAg values (Lumipulse® G HBcrAg) were expressed as Log U/ml and the LLoD was 2.0 Log U/mL (measurement</w:t>
      </w:r>
      <w:r w:rsidR="00B664C2" w:rsidRPr="006D7825">
        <w:rPr>
          <w:rFonts w:ascii="Times New Roman" w:hAnsi="Times New Roman"/>
          <w:sz w:val="24"/>
          <w:szCs w:val="24"/>
          <w:lang w:val="en-US"/>
        </w:rPr>
        <w:t xml:space="preserve"> range: 3.0 - 7.0 Log U/ml) (Caviglia et al. 2017)</w:t>
      </w:r>
      <w:r w:rsidRPr="006D7825">
        <w:rPr>
          <w:rFonts w:ascii="Times New Roman" w:hAnsi="Times New Roman"/>
          <w:sz w:val="24"/>
          <w:szCs w:val="24"/>
          <w:lang w:val="en-US"/>
        </w:rPr>
        <w:t>. Serum HBsAg was measured with the HQ assay (Lumipulse</w:t>
      </w:r>
      <w:r w:rsidRPr="006D7825">
        <w:rPr>
          <w:rFonts w:ascii="Times New Roman" w:hAnsi="Times New Roman"/>
          <w:sz w:val="24"/>
          <w:szCs w:val="24"/>
          <w:vertAlign w:val="superscript"/>
          <w:lang w:val="en-US"/>
        </w:rPr>
        <w:t>®</w:t>
      </w:r>
      <w:r w:rsidRPr="006D7825">
        <w:rPr>
          <w:rFonts w:ascii="Times New Roman" w:hAnsi="Times New Roman"/>
          <w:sz w:val="24"/>
          <w:szCs w:val="24"/>
          <w:lang w:val="en-US"/>
        </w:rPr>
        <w:t xml:space="preserve"> G HBsAg-Quant); the analytic</w:t>
      </w:r>
      <w:r w:rsidR="00B664C2" w:rsidRPr="006D7825">
        <w:rPr>
          <w:rFonts w:ascii="Times New Roman" w:hAnsi="Times New Roman"/>
          <w:sz w:val="24"/>
          <w:szCs w:val="24"/>
          <w:lang w:val="en-US"/>
        </w:rPr>
        <w:t>al sensitivity was 5 mIU/ml (Shinkai et al. 2013)</w:t>
      </w:r>
      <w:r w:rsidRPr="006D7825">
        <w:rPr>
          <w:rFonts w:ascii="Times New Roman" w:hAnsi="Times New Roman"/>
          <w:sz w:val="24"/>
          <w:szCs w:val="24"/>
          <w:lang w:val="en-US"/>
        </w:rPr>
        <w:t xml:space="preserve">. </w:t>
      </w:r>
    </w:p>
    <w:p w:rsidR="005B0FBB" w:rsidRPr="006D7825" w:rsidRDefault="005B0FBB" w:rsidP="005B0FBB">
      <w:pPr>
        <w:spacing w:after="0" w:line="480" w:lineRule="auto"/>
        <w:rPr>
          <w:rFonts w:ascii="Times New Roman" w:hAnsi="Times New Roman"/>
          <w:b/>
          <w:sz w:val="24"/>
          <w:szCs w:val="24"/>
          <w:lang w:val="en-US"/>
        </w:rPr>
      </w:pPr>
    </w:p>
    <w:p w:rsidR="005B0FBB" w:rsidRPr="006D7825" w:rsidRDefault="005B0FBB" w:rsidP="005B0FBB">
      <w:pPr>
        <w:rPr>
          <w:rFonts w:ascii="Times New Roman" w:hAnsi="Times New Roman"/>
          <w:i/>
          <w:sz w:val="24"/>
          <w:szCs w:val="24"/>
          <w:lang w:val="en-US"/>
        </w:rPr>
      </w:pPr>
      <w:r w:rsidRPr="006D7825">
        <w:rPr>
          <w:rFonts w:ascii="Times New Roman" w:hAnsi="Times New Roman"/>
          <w:i/>
          <w:sz w:val="24"/>
          <w:szCs w:val="24"/>
          <w:lang w:val="en-US"/>
        </w:rPr>
        <w:t>2.4. Quantitation of intrahepatic HBV cccDNA</w:t>
      </w:r>
    </w:p>
    <w:p w:rsidR="005B0FBB" w:rsidRPr="006D7825" w:rsidRDefault="005B0FBB" w:rsidP="005B0FBB">
      <w:pPr>
        <w:spacing w:after="0" w:line="480" w:lineRule="auto"/>
        <w:ind w:firstLine="720"/>
        <w:rPr>
          <w:rFonts w:ascii="Times New Roman" w:hAnsi="Times New Roman"/>
          <w:b/>
          <w:sz w:val="24"/>
          <w:szCs w:val="24"/>
          <w:lang w:val="en-US"/>
        </w:rPr>
      </w:pPr>
      <w:r w:rsidRPr="006D7825">
        <w:rPr>
          <w:rFonts w:ascii="Times New Roman" w:hAnsi="Times New Roman"/>
          <w:sz w:val="24"/>
          <w:szCs w:val="24"/>
          <w:lang w:val="en-US"/>
        </w:rPr>
        <w:t>Intrahepatic HBV cccDNA was quantitated using a droplet digital PCR (ddPCR)-based met</w:t>
      </w:r>
      <w:r w:rsidR="00B664C2" w:rsidRPr="006D7825">
        <w:rPr>
          <w:rFonts w:ascii="Times New Roman" w:hAnsi="Times New Roman"/>
          <w:sz w:val="24"/>
          <w:szCs w:val="24"/>
          <w:lang w:val="en-US"/>
        </w:rPr>
        <w:t>hod as previously described (Caviglia et al. 2018)</w:t>
      </w:r>
      <w:r w:rsidRPr="006D7825">
        <w:rPr>
          <w:rFonts w:ascii="Times New Roman" w:hAnsi="Times New Roman"/>
          <w:sz w:val="24"/>
          <w:szCs w:val="24"/>
          <w:lang w:val="en-US"/>
        </w:rPr>
        <w:t>. Before amplification, intrahepatic total DNA was treated overnight at 37°C with 10 U of plasmid-safe ATP dependent DNase (Epicentre, Madison, Wisconsin, USA) to digest single-strand DNA and linear double-strand DNA. Intrahepatic HBV cccDNA was quantified by QX200</w:t>
      </w:r>
      <w:r w:rsidRPr="006D7825">
        <w:rPr>
          <w:rFonts w:ascii="Times New Roman" w:hAnsi="Times New Roman"/>
          <w:sz w:val="24"/>
          <w:szCs w:val="24"/>
          <w:vertAlign w:val="superscript"/>
          <w:lang w:val="en-US"/>
        </w:rPr>
        <w:t>TM</w:t>
      </w:r>
      <w:r w:rsidRPr="006D7825">
        <w:rPr>
          <w:rFonts w:ascii="Times New Roman" w:hAnsi="Times New Roman"/>
          <w:sz w:val="24"/>
          <w:szCs w:val="24"/>
          <w:lang w:val="en-US"/>
        </w:rPr>
        <w:t xml:space="preserve"> ddPCR System (Bio-Rad, Hercules, California, USA) and normalized to cell number by RPP30 copy number variation assay (Bio-Rad, Pleasanton, California, USA). The LLoQ and LLoD were 3.8 and 0.8 copies/10</w:t>
      </w:r>
      <w:r w:rsidRPr="006D7825">
        <w:rPr>
          <w:rFonts w:ascii="Times New Roman" w:hAnsi="Times New Roman"/>
          <w:sz w:val="24"/>
          <w:szCs w:val="24"/>
          <w:vertAlign w:val="superscript"/>
          <w:lang w:val="en-US"/>
        </w:rPr>
        <w:t>5</w:t>
      </w:r>
      <w:r w:rsidRPr="006D7825">
        <w:rPr>
          <w:rFonts w:ascii="Times New Roman" w:hAnsi="Times New Roman"/>
          <w:sz w:val="24"/>
          <w:szCs w:val="24"/>
          <w:lang w:val="en-US"/>
        </w:rPr>
        <w:t xml:space="preserve"> cells, respectively. </w:t>
      </w:r>
    </w:p>
    <w:p w:rsidR="005B0FBB" w:rsidRPr="006D7825" w:rsidRDefault="005B0FBB" w:rsidP="005B0FBB">
      <w:pPr>
        <w:rPr>
          <w:rFonts w:ascii="Times New Roman" w:hAnsi="Times New Roman"/>
          <w:b/>
          <w:sz w:val="24"/>
          <w:szCs w:val="24"/>
          <w:lang w:val="en-US"/>
        </w:rPr>
      </w:pPr>
    </w:p>
    <w:p w:rsidR="005B0FBB" w:rsidRPr="006D7825" w:rsidRDefault="005B0FBB" w:rsidP="005B0FBB">
      <w:pPr>
        <w:rPr>
          <w:rFonts w:ascii="Times New Roman" w:hAnsi="Times New Roman"/>
          <w:i/>
          <w:sz w:val="24"/>
          <w:szCs w:val="24"/>
          <w:lang w:val="en-US"/>
        </w:rPr>
      </w:pPr>
      <w:r w:rsidRPr="006D7825">
        <w:rPr>
          <w:rFonts w:ascii="Times New Roman" w:hAnsi="Times New Roman"/>
          <w:i/>
          <w:sz w:val="24"/>
          <w:szCs w:val="24"/>
          <w:lang w:val="en-US"/>
        </w:rPr>
        <w:t>2.5. Statistical analysis</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Continuous variables were expressed as mean ± standard deviation (SD) or median and 95% confidence interval (CI) according to data normality. Normal distribution was checked by the D’Agostino-Pearson normality test. For the characterization of quantitative anti-HBc IgG method, the coefficient of determination (R</w:t>
      </w:r>
      <w:r w:rsidRPr="006D7825">
        <w:rPr>
          <w:rFonts w:ascii="Times New Roman" w:hAnsi="Times New Roman"/>
          <w:sz w:val="24"/>
          <w:szCs w:val="24"/>
          <w:vertAlign w:val="superscript"/>
          <w:lang w:val="en-US"/>
        </w:rPr>
        <w:t>2</w:t>
      </w:r>
      <w:r w:rsidRPr="006D7825">
        <w:rPr>
          <w:rFonts w:ascii="Times New Roman" w:hAnsi="Times New Roman"/>
          <w:sz w:val="24"/>
          <w:szCs w:val="24"/>
          <w:lang w:val="en-US"/>
        </w:rPr>
        <w:t xml:space="preserve">) was assessed by linear regression analysis, whereas LLoQ and LLoD were determined by probit regression analysis. LLoQ and LLoD were defined as the lowest concentration at which 95% and 50% of positive samples were detected, respectively. Mann-Whitney </w:t>
      </w:r>
      <w:r w:rsidRPr="006D7825">
        <w:rPr>
          <w:rFonts w:ascii="Times New Roman" w:hAnsi="Times New Roman"/>
          <w:i/>
          <w:sz w:val="24"/>
          <w:szCs w:val="24"/>
          <w:lang w:val="en-US"/>
        </w:rPr>
        <w:t>U</w:t>
      </w:r>
      <w:r w:rsidRPr="006D7825">
        <w:rPr>
          <w:rFonts w:ascii="Times New Roman" w:hAnsi="Times New Roman"/>
          <w:sz w:val="24"/>
          <w:szCs w:val="24"/>
          <w:lang w:val="en-US"/>
        </w:rPr>
        <w:t xml:space="preserve"> test or Student’s </w:t>
      </w:r>
      <w:r w:rsidRPr="006D7825">
        <w:rPr>
          <w:rFonts w:ascii="Times New Roman" w:hAnsi="Times New Roman"/>
          <w:i/>
          <w:sz w:val="24"/>
          <w:szCs w:val="24"/>
          <w:lang w:val="en-US"/>
        </w:rPr>
        <w:t>t</w:t>
      </w:r>
      <w:r w:rsidRPr="006D7825">
        <w:rPr>
          <w:rFonts w:ascii="Times New Roman" w:hAnsi="Times New Roman"/>
          <w:sz w:val="24"/>
          <w:szCs w:val="24"/>
          <w:lang w:val="en-US"/>
        </w:rPr>
        <w:t>-test were used to analyze continuous variables when necessary. Fisher’s exact test was used to compare categorical variables. Correlation between continuous variables was tested by Pearson’s correlation coefficient (</w:t>
      </w:r>
      <w:r w:rsidRPr="006D7825">
        <w:rPr>
          <w:rFonts w:ascii="Times New Roman" w:hAnsi="Times New Roman"/>
          <w:i/>
          <w:sz w:val="24"/>
          <w:szCs w:val="24"/>
          <w:lang w:val="en-US"/>
        </w:rPr>
        <w:t>r</w:t>
      </w:r>
      <w:r w:rsidRPr="006D7825">
        <w:rPr>
          <w:rFonts w:ascii="Times New Roman" w:hAnsi="Times New Roman"/>
          <w:sz w:val="24"/>
          <w:szCs w:val="24"/>
          <w:lang w:val="en-US"/>
        </w:rPr>
        <w:t>) or Spearman’s statistics (</w:t>
      </w:r>
      <w:r w:rsidRPr="006D7825">
        <w:rPr>
          <w:rFonts w:ascii="Times New Roman" w:hAnsi="Times New Roman"/>
          <w:i/>
          <w:sz w:val="24"/>
          <w:szCs w:val="24"/>
          <w:lang w:val="en-US"/>
        </w:rPr>
        <w:t>r</w:t>
      </w:r>
      <w:r w:rsidRPr="006D7825">
        <w:rPr>
          <w:rFonts w:ascii="Times New Roman" w:hAnsi="Times New Roman"/>
          <w:i/>
          <w:sz w:val="24"/>
          <w:szCs w:val="24"/>
          <w:vertAlign w:val="subscript"/>
          <w:lang w:val="en-US"/>
        </w:rPr>
        <w:t>s</w:t>
      </w:r>
      <w:r w:rsidRPr="006D7825">
        <w:rPr>
          <w:rFonts w:ascii="Times New Roman" w:hAnsi="Times New Roman"/>
          <w:sz w:val="24"/>
          <w:szCs w:val="24"/>
          <w:lang w:val="en-US"/>
        </w:rPr>
        <w:t xml:space="preserve">). Repeated measure ANOVA was performed to evaluate biomarkers kinetics. A </w:t>
      </w:r>
      <w:r w:rsidRPr="006D7825">
        <w:rPr>
          <w:rFonts w:ascii="Times New Roman" w:hAnsi="Times New Roman"/>
          <w:i/>
          <w:sz w:val="24"/>
          <w:szCs w:val="24"/>
          <w:lang w:val="en-US"/>
        </w:rPr>
        <w:t xml:space="preserve">P </w:t>
      </w:r>
      <w:r w:rsidRPr="006D7825">
        <w:rPr>
          <w:rFonts w:ascii="Times New Roman" w:hAnsi="Times New Roman"/>
          <w:sz w:val="24"/>
          <w:szCs w:val="24"/>
          <w:lang w:val="en-US"/>
        </w:rPr>
        <w:t>value &lt;0.05 was considered statistically significant. All statistical analyses were performed using MedCalc</w:t>
      </w:r>
      <w:r w:rsidRPr="006D7825">
        <w:rPr>
          <w:rFonts w:ascii="Times New Roman" w:hAnsi="Times New Roman"/>
          <w:sz w:val="24"/>
          <w:szCs w:val="24"/>
          <w:vertAlign w:val="superscript"/>
          <w:lang w:val="en-US"/>
        </w:rPr>
        <w:t>®</w:t>
      </w:r>
      <w:r w:rsidRPr="006D7825">
        <w:rPr>
          <w:rFonts w:ascii="Times New Roman" w:hAnsi="Times New Roman"/>
          <w:sz w:val="24"/>
          <w:szCs w:val="24"/>
          <w:lang w:val="en-US"/>
        </w:rPr>
        <w:t xml:space="preserve"> software, version 18.9. (MedCalc, Ostend, Belgium).</w:t>
      </w:r>
    </w:p>
    <w:p w:rsidR="005B0FBB" w:rsidRPr="006D7825" w:rsidRDefault="005B0FBB" w:rsidP="005B0FBB">
      <w:pPr>
        <w:spacing w:after="0" w:line="480" w:lineRule="auto"/>
        <w:rPr>
          <w:rFonts w:ascii="Times New Roman" w:hAnsi="Times New Roman"/>
          <w:sz w:val="24"/>
          <w:szCs w:val="24"/>
          <w:lang w:val="en-US"/>
        </w:rPr>
      </w:pPr>
    </w:p>
    <w:p w:rsidR="005B0FBB" w:rsidRPr="006D7825" w:rsidRDefault="005B0FBB" w:rsidP="005B0FBB">
      <w:pPr>
        <w:spacing w:after="0" w:line="480" w:lineRule="auto"/>
        <w:rPr>
          <w:rFonts w:ascii="Times New Roman" w:hAnsi="Times New Roman"/>
          <w:b/>
          <w:sz w:val="24"/>
          <w:szCs w:val="24"/>
          <w:lang w:val="en-US"/>
        </w:rPr>
      </w:pPr>
      <w:r w:rsidRPr="006D7825">
        <w:rPr>
          <w:rFonts w:ascii="Times New Roman" w:hAnsi="Times New Roman"/>
          <w:b/>
          <w:sz w:val="24"/>
          <w:szCs w:val="24"/>
          <w:lang w:val="en-US"/>
        </w:rPr>
        <w:t>3. Results</w:t>
      </w:r>
    </w:p>
    <w:p w:rsidR="005B0FBB" w:rsidRPr="006D7825" w:rsidRDefault="005B0FBB" w:rsidP="005B0FBB">
      <w:pPr>
        <w:spacing w:after="0" w:line="480" w:lineRule="auto"/>
        <w:rPr>
          <w:rFonts w:ascii="Times New Roman" w:hAnsi="Times New Roman"/>
          <w:i/>
          <w:sz w:val="24"/>
          <w:szCs w:val="24"/>
          <w:lang w:val="en-US"/>
        </w:rPr>
      </w:pPr>
      <w:r w:rsidRPr="006D7825">
        <w:rPr>
          <w:rFonts w:ascii="Times New Roman" w:hAnsi="Times New Roman"/>
          <w:i/>
          <w:sz w:val="24"/>
          <w:szCs w:val="24"/>
          <w:lang w:val="en-US"/>
        </w:rPr>
        <w:t>3.1. Analytical performance of the quantitative anti-HBc IgG assay</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Two-fold serial dilutions of the First International Standard for anti-HBc were used to calibrate the assay (Table S1). The standard curve showed a high accuracy (R</w:t>
      </w:r>
      <w:r w:rsidRPr="006D7825">
        <w:rPr>
          <w:rFonts w:ascii="Times New Roman" w:hAnsi="Times New Roman"/>
          <w:sz w:val="24"/>
          <w:szCs w:val="24"/>
          <w:vertAlign w:val="superscript"/>
          <w:lang w:val="en-US"/>
        </w:rPr>
        <w:t>2</w:t>
      </w:r>
      <w:r w:rsidRPr="006D7825">
        <w:rPr>
          <w:rFonts w:ascii="Times New Roman" w:hAnsi="Times New Roman"/>
          <w:sz w:val="24"/>
          <w:szCs w:val="24"/>
          <w:lang w:val="en-US"/>
        </w:rPr>
        <w:t xml:space="preserve"> = 0.9967) and no significant deviation from linearity (Cusum test for linearity, </w:t>
      </w:r>
      <w:r w:rsidRPr="006D7825">
        <w:rPr>
          <w:rFonts w:ascii="Times New Roman" w:hAnsi="Times New Roman"/>
          <w:i/>
          <w:sz w:val="24"/>
          <w:szCs w:val="24"/>
          <w:lang w:val="en-US"/>
        </w:rPr>
        <w:t xml:space="preserve">P </w:t>
      </w:r>
      <w:r w:rsidRPr="006D7825">
        <w:rPr>
          <w:rFonts w:ascii="Times New Roman" w:hAnsi="Times New Roman"/>
          <w:sz w:val="24"/>
          <w:szCs w:val="24"/>
          <w:lang w:val="en-US"/>
        </w:rPr>
        <w:t>= 0.360) (Figure 1A). An optimal concordance (</w:t>
      </w:r>
      <w:r w:rsidRPr="006D7825">
        <w:rPr>
          <w:rFonts w:ascii="Times New Roman" w:hAnsi="Times New Roman"/>
          <w:i/>
          <w:sz w:val="24"/>
          <w:szCs w:val="24"/>
          <w:lang w:val="en-US"/>
        </w:rPr>
        <w:t>p</w:t>
      </w:r>
      <w:r w:rsidRPr="006D7825">
        <w:rPr>
          <w:rFonts w:ascii="Times New Roman" w:hAnsi="Times New Roman"/>
          <w:i/>
          <w:sz w:val="24"/>
          <w:szCs w:val="24"/>
          <w:vertAlign w:val="subscript"/>
          <w:lang w:val="en-US"/>
        </w:rPr>
        <w:t xml:space="preserve">c </w:t>
      </w:r>
      <w:r w:rsidRPr="006D7825">
        <w:rPr>
          <w:rFonts w:ascii="Times New Roman" w:hAnsi="Times New Roman"/>
          <w:sz w:val="24"/>
          <w:szCs w:val="24"/>
          <w:lang w:val="en-US"/>
        </w:rPr>
        <w:t>= 0.9951) was observed between the concentration expressed in IU/mL and the anti-HBc concentration automatically calculated from the COI (Figure 1B), and no differences were observed between serial dilutions of the International Standard for anti-HBc</w:t>
      </w:r>
      <w:r w:rsidRPr="006D7825">
        <w:rPr>
          <w:lang w:val="en-US"/>
        </w:rPr>
        <w:t xml:space="preserve"> </w:t>
      </w:r>
      <w:r w:rsidRPr="006D7825">
        <w:rPr>
          <w:rFonts w:ascii="Times New Roman" w:hAnsi="Times New Roman"/>
          <w:sz w:val="24"/>
          <w:szCs w:val="24"/>
          <w:lang w:val="en-US"/>
        </w:rPr>
        <w:t>and anti-HBc-positive samples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 0.159) (Figure 1C). The LLoD and LLoQ were 0.8 IU/mL and 0.5 IU/mL, respectively (Table S2) (Figure 1D). No </w:t>
      </w:r>
      <w:r w:rsidRPr="006D7825">
        <w:rPr>
          <w:rFonts w:ascii="Times New Roman" w:hAnsi="Times New Roman"/>
          <w:sz w:val="24"/>
          <w:szCs w:val="24"/>
          <w:lang w:val="en-US"/>
        </w:rPr>
        <w:lastRenderedPageBreak/>
        <w:t xml:space="preserve">reactivity for anti-HBc IgG was observed from testing 68 anti-HBc-negative serum samples (specificity 100%). </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To evaluate intra-assay precision (repeatability), five replicates of two anti-HBc-positive samples were tested in the same experiment, while for inter-assay precision (reproducibility), individual experiments with two anti-HBc-positive samples were performed on five different days. The mean coefficient of variation (CV)</w:t>
      </w:r>
      <w:r w:rsidR="002223D5" w:rsidRPr="006D7825">
        <w:rPr>
          <w:rFonts w:ascii="Times New Roman" w:hAnsi="Times New Roman"/>
          <w:sz w:val="24"/>
          <w:szCs w:val="24"/>
          <w:lang w:val="en-US"/>
        </w:rPr>
        <w:t xml:space="preserve"> was 3.7% and 4.9% for intra-</w:t>
      </w:r>
      <w:r w:rsidRPr="006D7825">
        <w:rPr>
          <w:rFonts w:ascii="Times New Roman" w:hAnsi="Times New Roman"/>
          <w:sz w:val="24"/>
          <w:szCs w:val="24"/>
          <w:lang w:val="en-US"/>
        </w:rPr>
        <w:t xml:space="preserve"> and inter-run tests, respectively.</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To assess the accuracy of recovery, different volumes of the First International Standard for anti-HBc were added in a serum sample negative for anti-HBc antibodies, in order to obtain different antibody concentration ranging from 1.6 IU/mL to 50 IU/mL (Table S3). The accuracy of quantitative anti-HBc IgG assay was calculated as the mean recovery percentage of all the measurements, corresponding to 98.7%.</w:t>
      </w:r>
    </w:p>
    <w:p w:rsidR="005B0FBB" w:rsidRPr="006D7825" w:rsidRDefault="005B0FBB" w:rsidP="005B0FBB">
      <w:pPr>
        <w:spacing w:after="0" w:line="480" w:lineRule="auto"/>
        <w:rPr>
          <w:rFonts w:ascii="Times New Roman" w:hAnsi="Times New Roman"/>
          <w:sz w:val="24"/>
          <w:szCs w:val="24"/>
          <w:lang w:val="en-US"/>
        </w:rPr>
      </w:pPr>
    </w:p>
    <w:p w:rsidR="005B0FBB" w:rsidRPr="006D7825" w:rsidRDefault="005B0FBB" w:rsidP="005B0FBB">
      <w:pPr>
        <w:spacing w:after="0" w:line="480" w:lineRule="auto"/>
        <w:rPr>
          <w:rFonts w:ascii="Times New Roman" w:hAnsi="Times New Roman"/>
          <w:i/>
          <w:sz w:val="24"/>
          <w:szCs w:val="24"/>
          <w:lang w:val="en-US"/>
        </w:rPr>
      </w:pPr>
      <w:r w:rsidRPr="006D7825">
        <w:rPr>
          <w:rFonts w:ascii="Times New Roman" w:hAnsi="Times New Roman"/>
          <w:i/>
          <w:sz w:val="24"/>
          <w:szCs w:val="24"/>
          <w:lang w:val="en-GB"/>
        </w:rPr>
        <w:t>3.2. Measurement of anti-HBc IgG in the different phases of HBV infection and comparison with HBV serological markers</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The characteristics of the patients are reported in Table 1. Patients with overt HBV infection (n = 119, 3.72 ± 0.63 Log ng/mL) had significantly higher anti-HBc IgG values compared to subjects with OBI (n = 27, 1.21 ± 0.61 Log ng/mL)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&lt; 0.001). Among untreated patients with CHB, the mean anti-HBc IgG values varied significantly through the different phases of CHB infection, with higher values in CH phases (n = 64, 4.03 ± 0.45 Log ng/mL) and lower in HBeAg- CI phase (n = 55, 3.35 ± 0.61 Log ng/mL)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&lt; 0.001) (Figure 2). To note, HBeAg- CH patients on long term treatment with NAs (60 months), exhibited mean anti-HBc IgG values lower than those observed in patients with HBeAg- CI (2.90 ± 0.51 ng/mL </w:t>
      </w:r>
      <w:r w:rsidRPr="006D7825">
        <w:rPr>
          <w:rFonts w:ascii="Times New Roman" w:hAnsi="Times New Roman"/>
          <w:i/>
          <w:sz w:val="24"/>
          <w:szCs w:val="24"/>
          <w:lang w:val="en-US"/>
        </w:rPr>
        <w:t>vs.</w:t>
      </w:r>
      <w:r w:rsidRPr="006D7825">
        <w:rPr>
          <w:rFonts w:ascii="Times New Roman" w:hAnsi="Times New Roman"/>
          <w:sz w:val="24"/>
          <w:szCs w:val="24"/>
          <w:lang w:val="en-US"/>
        </w:rPr>
        <w:t xml:space="preserve"> 3.35 ± 0.61 ng/mL, respectively;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&lt; 0.001). </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In patients with CHB, the measure of anti-HBc IgG showed a good correlation with that of HBV DNA (</w:t>
      </w:r>
      <w:r w:rsidRPr="006D7825">
        <w:rPr>
          <w:rFonts w:ascii="Times New Roman" w:hAnsi="Times New Roman"/>
          <w:i/>
          <w:sz w:val="24"/>
          <w:szCs w:val="24"/>
          <w:lang w:val="en-US"/>
        </w:rPr>
        <w:t>r</w:t>
      </w:r>
      <w:r w:rsidRPr="006D7825">
        <w:rPr>
          <w:rFonts w:ascii="Times New Roman" w:hAnsi="Times New Roman"/>
          <w:sz w:val="24"/>
          <w:szCs w:val="24"/>
          <w:lang w:val="en-US"/>
        </w:rPr>
        <w:t xml:space="preserve"> = 0.560, 95%CI 0.422 - 0.672,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&lt; 0.001) and ALT (</w:t>
      </w:r>
      <w:r w:rsidRPr="006D7825">
        <w:rPr>
          <w:rFonts w:ascii="Times New Roman" w:hAnsi="Times New Roman"/>
          <w:i/>
          <w:sz w:val="24"/>
          <w:szCs w:val="24"/>
          <w:lang w:val="en-US"/>
        </w:rPr>
        <w:t>r</w:t>
      </w:r>
      <w:r w:rsidRPr="006D7825">
        <w:rPr>
          <w:rFonts w:ascii="Times New Roman" w:hAnsi="Times New Roman"/>
          <w:i/>
          <w:sz w:val="24"/>
          <w:szCs w:val="24"/>
          <w:vertAlign w:val="subscript"/>
          <w:lang w:val="en-US"/>
        </w:rPr>
        <w:t>s</w:t>
      </w:r>
      <w:r w:rsidRPr="006D7825">
        <w:rPr>
          <w:rFonts w:ascii="Times New Roman" w:hAnsi="Times New Roman"/>
          <w:sz w:val="24"/>
          <w:szCs w:val="24"/>
          <w:lang w:val="en-US"/>
        </w:rPr>
        <w:t xml:space="preserve"> = 0.571, 95%CI 0.436 - 0.682,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w:t>
      </w:r>
      <w:r w:rsidRPr="006D7825">
        <w:rPr>
          <w:rFonts w:ascii="Times New Roman" w:hAnsi="Times New Roman"/>
          <w:sz w:val="24"/>
          <w:szCs w:val="24"/>
          <w:lang w:val="en-US"/>
        </w:rPr>
        <w:lastRenderedPageBreak/>
        <w:t>&lt; 0.001), but a moderate correlation with the measure of HBsAg (</w:t>
      </w:r>
      <w:r w:rsidRPr="006D7825">
        <w:rPr>
          <w:rFonts w:ascii="Times New Roman" w:hAnsi="Times New Roman"/>
          <w:i/>
          <w:sz w:val="24"/>
          <w:szCs w:val="24"/>
          <w:lang w:val="en-US"/>
        </w:rPr>
        <w:t>r</w:t>
      </w:r>
      <w:r w:rsidRPr="006D7825">
        <w:rPr>
          <w:rFonts w:ascii="Times New Roman" w:hAnsi="Times New Roman"/>
          <w:sz w:val="24"/>
          <w:szCs w:val="24"/>
          <w:lang w:val="en-US"/>
        </w:rPr>
        <w:t xml:space="preserve"> = 0.374, 95%CI 0.208 - 0.519,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&lt; 0.001) and HBcrAg (</w:t>
      </w:r>
      <w:r w:rsidRPr="006D7825">
        <w:rPr>
          <w:rFonts w:ascii="Times New Roman" w:hAnsi="Times New Roman"/>
          <w:i/>
          <w:sz w:val="24"/>
          <w:szCs w:val="24"/>
          <w:lang w:val="en-US"/>
        </w:rPr>
        <w:t>r</w:t>
      </w:r>
      <w:r w:rsidRPr="006D7825">
        <w:rPr>
          <w:rFonts w:ascii="Times New Roman" w:hAnsi="Times New Roman"/>
          <w:sz w:val="24"/>
          <w:szCs w:val="24"/>
          <w:lang w:val="en-US"/>
        </w:rPr>
        <w:t xml:space="preserve"> = 0.397, 95%CI 0.234 - 0.538,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&lt; 0.001) (Figure S1).</w:t>
      </w:r>
    </w:p>
    <w:p w:rsidR="005B0FBB" w:rsidRPr="006D7825" w:rsidRDefault="005B0FBB" w:rsidP="005B0FBB">
      <w:pPr>
        <w:spacing w:after="0" w:line="480" w:lineRule="auto"/>
        <w:ind w:firstLine="720"/>
        <w:rPr>
          <w:rFonts w:ascii="Times New Roman" w:hAnsi="Times New Roman"/>
          <w:sz w:val="24"/>
          <w:szCs w:val="24"/>
          <w:lang w:val="en-US"/>
        </w:rPr>
      </w:pPr>
    </w:p>
    <w:p w:rsidR="005B0FBB" w:rsidRPr="006D7825" w:rsidRDefault="005B0FBB" w:rsidP="005B0FBB">
      <w:pPr>
        <w:spacing w:after="0" w:line="480" w:lineRule="auto"/>
        <w:rPr>
          <w:rFonts w:ascii="Times New Roman" w:hAnsi="Times New Roman"/>
          <w:i/>
          <w:sz w:val="24"/>
          <w:szCs w:val="24"/>
          <w:lang w:val="en-US"/>
        </w:rPr>
      </w:pPr>
      <w:r w:rsidRPr="006D7825">
        <w:rPr>
          <w:rFonts w:ascii="Times New Roman" w:hAnsi="Times New Roman"/>
          <w:i/>
          <w:sz w:val="24"/>
          <w:szCs w:val="24"/>
          <w:lang w:val="en-US"/>
        </w:rPr>
        <w:t>3.3. Kinetics of anti-HBc IgG in patients treated with NAs</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 xml:space="preserve">A total of 255 sequential serum samples collected from 51 patients with HBeAg- CH who underwent NAs treatment were analyzed for HBV DNA, HBsAg, HBcrAg and anti-HBc IgG levels. The patients were followed for a median of 9 (8 - 12) years; during the follow up, 3 out of 51 (5.9%) cleared HBsAg. The mean HBV DNA, HBsAg, HBcrAg and anti-HBc IgG values at the different time-points (baseline, 6, 12, 36 and 60 months on treatment) are reported in Table S4. We observed a significant decline of all biomarkers from baseline to 60 months of therapy (Figure 3); anti-HBc IgG measures progressively declined with a linear trend (linear fit, </w:t>
      </w:r>
      <w:r w:rsidRPr="006D7825">
        <w:rPr>
          <w:rFonts w:ascii="Times New Roman" w:hAnsi="Times New Roman"/>
          <w:i/>
          <w:sz w:val="24"/>
          <w:szCs w:val="24"/>
          <w:lang w:val="en-US"/>
        </w:rPr>
        <w:t>r</w:t>
      </w:r>
      <w:r w:rsidRPr="006D7825">
        <w:rPr>
          <w:rFonts w:ascii="Times New Roman" w:hAnsi="Times New Roman"/>
          <w:sz w:val="24"/>
          <w:szCs w:val="24"/>
          <w:lang w:val="en-US"/>
        </w:rPr>
        <w:t xml:space="preserve"> = 0.958,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&lt; 0.001) from baseline to 60M of therapy (repeated measures ANOVA,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&lt; 0.001).</w:t>
      </w:r>
    </w:p>
    <w:p w:rsidR="005B0FBB" w:rsidRPr="006D7825" w:rsidRDefault="005B0FBB" w:rsidP="005B0FBB">
      <w:pPr>
        <w:spacing w:after="0" w:line="480" w:lineRule="auto"/>
        <w:rPr>
          <w:rFonts w:ascii="Times New Roman" w:hAnsi="Times New Roman"/>
          <w:sz w:val="24"/>
          <w:szCs w:val="24"/>
          <w:lang w:val="en-US"/>
        </w:rPr>
      </w:pPr>
    </w:p>
    <w:p w:rsidR="005B0FBB" w:rsidRPr="006D7825" w:rsidRDefault="005B0FBB" w:rsidP="005B0FBB">
      <w:pPr>
        <w:spacing w:after="0" w:line="480" w:lineRule="auto"/>
        <w:rPr>
          <w:rFonts w:ascii="Times New Roman" w:hAnsi="Times New Roman"/>
          <w:i/>
          <w:sz w:val="24"/>
          <w:szCs w:val="24"/>
          <w:lang w:val="en-US"/>
        </w:rPr>
      </w:pPr>
      <w:r w:rsidRPr="006D7825">
        <w:rPr>
          <w:rFonts w:ascii="Times New Roman" w:hAnsi="Times New Roman"/>
          <w:i/>
          <w:sz w:val="24"/>
          <w:szCs w:val="24"/>
          <w:lang w:val="en-US"/>
        </w:rPr>
        <w:t>3.4. Correlation of anti-HBc IgG and intrahepatic HBV cccDNA</w:t>
      </w:r>
    </w:p>
    <w:p w:rsidR="005B0FBB" w:rsidRPr="006D7825" w:rsidRDefault="00070022"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Table 1</w:t>
      </w:r>
      <w:r w:rsidR="005B0FBB" w:rsidRPr="006D7825">
        <w:rPr>
          <w:rFonts w:ascii="Times New Roman" w:hAnsi="Times New Roman"/>
          <w:sz w:val="24"/>
          <w:szCs w:val="24"/>
          <w:lang w:val="en-US"/>
        </w:rPr>
        <w:t xml:space="preserve"> summarizes the characteristics of the subjects with overt (n = 35) and occult HBV infection (n = 27) in whom intrahepatic HBV cccDNA was evaluated. </w:t>
      </w:r>
      <w:r w:rsidR="005B0FBB" w:rsidRPr="006D7825">
        <w:rPr>
          <w:rFonts w:ascii="Times New Roman" w:hAnsi="Times New Roman"/>
          <w:sz w:val="24"/>
          <w:szCs w:val="24"/>
          <w:lang w:val="en-GB"/>
        </w:rPr>
        <w:t>In liver specimens, the mean HBV cccDNA levels were 3.11 ± 1.14 Log copies/10</w:t>
      </w:r>
      <w:r w:rsidR="005B0FBB" w:rsidRPr="006D7825">
        <w:rPr>
          <w:rFonts w:ascii="Times New Roman" w:hAnsi="Times New Roman"/>
          <w:sz w:val="24"/>
          <w:szCs w:val="24"/>
          <w:vertAlign w:val="superscript"/>
          <w:lang w:val="en-GB"/>
        </w:rPr>
        <w:t>5</w:t>
      </w:r>
      <w:r w:rsidR="005B0FBB" w:rsidRPr="006D7825">
        <w:rPr>
          <w:rFonts w:ascii="Times New Roman" w:hAnsi="Times New Roman"/>
          <w:sz w:val="24"/>
          <w:szCs w:val="24"/>
          <w:lang w:val="en-GB"/>
        </w:rPr>
        <w:t xml:space="preserve"> cells in patients with overt HBV infection and 1.22 ± 0.70 Log copies/10</w:t>
      </w:r>
      <w:r w:rsidR="005B0FBB" w:rsidRPr="006D7825">
        <w:rPr>
          <w:rFonts w:ascii="Times New Roman" w:hAnsi="Times New Roman"/>
          <w:sz w:val="24"/>
          <w:szCs w:val="24"/>
          <w:vertAlign w:val="superscript"/>
          <w:lang w:val="en-GB"/>
        </w:rPr>
        <w:t>5</w:t>
      </w:r>
      <w:r w:rsidR="005B0FBB" w:rsidRPr="006D7825">
        <w:rPr>
          <w:rFonts w:ascii="Times New Roman" w:hAnsi="Times New Roman"/>
          <w:sz w:val="24"/>
          <w:szCs w:val="24"/>
          <w:lang w:val="en-GB"/>
        </w:rPr>
        <w:t xml:space="preserve"> cells in subjects with OBI (</w:t>
      </w:r>
      <w:r w:rsidR="005B0FBB" w:rsidRPr="006D7825">
        <w:rPr>
          <w:rFonts w:ascii="Times New Roman" w:hAnsi="Times New Roman"/>
          <w:i/>
          <w:sz w:val="24"/>
          <w:szCs w:val="24"/>
          <w:lang w:val="en-GB"/>
        </w:rPr>
        <w:t>P</w:t>
      </w:r>
      <w:r w:rsidR="005B0FBB" w:rsidRPr="006D7825">
        <w:rPr>
          <w:rFonts w:ascii="Times New Roman" w:hAnsi="Times New Roman"/>
          <w:sz w:val="24"/>
          <w:szCs w:val="24"/>
          <w:lang w:val="en-GB"/>
        </w:rPr>
        <w:t xml:space="preserve"> &lt; 0.001). In serum samples, the corresponding anti-HBc IgG values were 3.68 ± 0.83 Log IU/mL and 1.21 ± 0.61 Log IU/mL, respectively (</w:t>
      </w:r>
      <w:r w:rsidR="005B0FBB" w:rsidRPr="006D7825">
        <w:rPr>
          <w:rFonts w:ascii="Times New Roman" w:hAnsi="Times New Roman"/>
          <w:i/>
          <w:sz w:val="24"/>
          <w:szCs w:val="24"/>
          <w:lang w:val="en-GB"/>
        </w:rPr>
        <w:t>P</w:t>
      </w:r>
      <w:r w:rsidR="005B0FBB" w:rsidRPr="006D7825">
        <w:rPr>
          <w:rFonts w:ascii="Times New Roman" w:hAnsi="Times New Roman"/>
          <w:sz w:val="24"/>
          <w:szCs w:val="24"/>
          <w:lang w:val="en-GB"/>
        </w:rPr>
        <w:t xml:space="preserve"> &lt; 0.001). In the whole cohort (n = 62), intrahepatic HBV cccDNA showed a positive correlation with anti-HBc IgG serum levels (</w:t>
      </w:r>
      <w:r w:rsidR="005B0FBB" w:rsidRPr="006D7825">
        <w:rPr>
          <w:rFonts w:ascii="Times New Roman" w:hAnsi="Times New Roman"/>
          <w:i/>
          <w:sz w:val="24"/>
          <w:szCs w:val="24"/>
          <w:lang w:val="en-GB"/>
        </w:rPr>
        <w:t>r</w:t>
      </w:r>
      <w:r w:rsidR="005B0FBB" w:rsidRPr="006D7825">
        <w:rPr>
          <w:rFonts w:ascii="Times New Roman" w:hAnsi="Times New Roman"/>
          <w:sz w:val="24"/>
          <w:szCs w:val="24"/>
          <w:lang w:val="en-GB"/>
        </w:rPr>
        <w:t xml:space="preserve"> = 0.785, 95%CI 0.666 - 0.865) (Figure 4); in the subgroup of patients with overt infection, HBV cccDNA values were significantly correlated with HBsAg (</w:t>
      </w:r>
      <w:r w:rsidR="005B0FBB" w:rsidRPr="006D7825">
        <w:rPr>
          <w:rFonts w:ascii="Times New Roman" w:hAnsi="Times New Roman"/>
          <w:i/>
          <w:sz w:val="24"/>
          <w:szCs w:val="24"/>
          <w:lang w:val="en-GB"/>
        </w:rPr>
        <w:t xml:space="preserve">r </w:t>
      </w:r>
      <w:r w:rsidR="005B0FBB" w:rsidRPr="006D7825">
        <w:rPr>
          <w:rFonts w:ascii="Times New Roman" w:hAnsi="Times New Roman"/>
          <w:sz w:val="24"/>
          <w:szCs w:val="24"/>
          <w:lang w:val="en-GB"/>
        </w:rPr>
        <w:t xml:space="preserve">= 0.624, 95%CI 0.367 - 0.792, </w:t>
      </w:r>
      <w:r w:rsidR="005B0FBB" w:rsidRPr="006D7825">
        <w:rPr>
          <w:rFonts w:ascii="Times New Roman" w:hAnsi="Times New Roman"/>
          <w:i/>
          <w:sz w:val="24"/>
          <w:szCs w:val="24"/>
          <w:lang w:val="en-GB"/>
        </w:rPr>
        <w:t>P</w:t>
      </w:r>
      <w:r w:rsidR="005B0FBB" w:rsidRPr="006D7825">
        <w:rPr>
          <w:rFonts w:ascii="Times New Roman" w:hAnsi="Times New Roman"/>
          <w:sz w:val="24"/>
          <w:szCs w:val="24"/>
          <w:lang w:val="en-GB"/>
        </w:rPr>
        <w:t xml:space="preserve"> &lt; 0.001), HBcrAg (</w:t>
      </w:r>
      <w:r w:rsidR="005B0FBB" w:rsidRPr="006D7825">
        <w:rPr>
          <w:rFonts w:ascii="Times New Roman" w:hAnsi="Times New Roman"/>
          <w:i/>
          <w:sz w:val="24"/>
          <w:szCs w:val="24"/>
          <w:lang w:val="en-GB"/>
        </w:rPr>
        <w:t>r</w:t>
      </w:r>
      <w:r w:rsidR="005B0FBB" w:rsidRPr="006D7825">
        <w:rPr>
          <w:rFonts w:ascii="Times New Roman" w:hAnsi="Times New Roman"/>
          <w:sz w:val="24"/>
          <w:szCs w:val="24"/>
          <w:lang w:val="en-GB"/>
        </w:rPr>
        <w:t xml:space="preserve"> = 0.733, 95%CI 0.589 - 0.857, </w:t>
      </w:r>
      <w:r w:rsidR="005B0FBB" w:rsidRPr="006D7825">
        <w:rPr>
          <w:rFonts w:ascii="Times New Roman" w:hAnsi="Times New Roman"/>
          <w:i/>
          <w:sz w:val="24"/>
          <w:szCs w:val="24"/>
          <w:lang w:val="en-GB"/>
        </w:rPr>
        <w:t>P</w:t>
      </w:r>
      <w:r w:rsidR="005B0FBB" w:rsidRPr="006D7825">
        <w:rPr>
          <w:rFonts w:ascii="Times New Roman" w:hAnsi="Times New Roman"/>
          <w:sz w:val="24"/>
          <w:szCs w:val="24"/>
          <w:lang w:val="en-GB"/>
        </w:rPr>
        <w:t xml:space="preserve"> &lt; 0.001) and anti-HBc IgG (</w:t>
      </w:r>
      <w:r w:rsidR="005B0FBB" w:rsidRPr="006D7825">
        <w:rPr>
          <w:rFonts w:ascii="Times New Roman" w:hAnsi="Times New Roman"/>
          <w:i/>
          <w:sz w:val="24"/>
          <w:szCs w:val="24"/>
          <w:lang w:val="en-GB"/>
        </w:rPr>
        <w:t>r</w:t>
      </w:r>
      <w:r w:rsidR="005B0FBB" w:rsidRPr="006D7825">
        <w:rPr>
          <w:rFonts w:ascii="Times New Roman" w:hAnsi="Times New Roman"/>
          <w:sz w:val="24"/>
          <w:szCs w:val="24"/>
          <w:lang w:val="en-GB"/>
        </w:rPr>
        <w:t xml:space="preserve"> = 0.553, 95%CI 0.270 - 0.748, </w:t>
      </w:r>
      <w:r w:rsidR="005B0FBB" w:rsidRPr="006D7825">
        <w:rPr>
          <w:rFonts w:ascii="Times New Roman" w:hAnsi="Times New Roman"/>
          <w:i/>
          <w:sz w:val="24"/>
          <w:szCs w:val="24"/>
          <w:lang w:val="en-GB"/>
        </w:rPr>
        <w:t>P</w:t>
      </w:r>
      <w:r w:rsidR="005B0FBB" w:rsidRPr="006D7825">
        <w:rPr>
          <w:rFonts w:ascii="Times New Roman" w:hAnsi="Times New Roman"/>
          <w:sz w:val="24"/>
          <w:szCs w:val="24"/>
          <w:lang w:val="en-GB"/>
        </w:rPr>
        <w:t xml:space="preserve"> &lt; 0.001).</w:t>
      </w:r>
    </w:p>
    <w:p w:rsidR="005B0FBB" w:rsidRPr="006D7825" w:rsidRDefault="005B0FBB" w:rsidP="005B0FBB">
      <w:pPr>
        <w:spacing w:after="0" w:line="480" w:lineRule="auto"/>
        <w:rPr>
          <w:rFonts w:ascii="Times New Roman" w:hAnsi="Times New Roman"/>
          <w:sz w:val="24"/>
          <w:szCs w:val="24"/>
          <w:lang w:val="en-US"/>
        </w:rPr>
      </w:pPr>
    </w:p>
    <w:p w:rsidR="005B0FBB" w:rsidRPr="006D7825" w:rsidRDefault="005B0FBB" w:rsidP="005B0FBB">
      <w:pPr>
        <w:spacing w:after="0" w:line="480" w:lineRule="auto"/>
        <w:rPr>
          <w:rFonts w:ascii="Times New Roman" w:hAnsi="Times New Roman"/>
          <w:sz w:val="24"/>
          <w:szCs w:val="24"/>
          <w:lang w:val="en-US"/>
        </w:rPr>
      </w:pPr>
      <w:r w:rsidRPr="006D7825">
        <w:rPr>
          <w:rFonts w:ascii="Times New Roman" w:hAnsi="Times New Roman"/>
          <w:b/>
          <w:sz w:val="24"/>
          <w:szCs w:val="24"/>
          <w:lang w:val="en-US"/>
        </w:rPr>
        <w:t xml:space="preserve">4. Discussion </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In the present study, we characterized an assay for the measurement of anti-HBc IgG in serum of patients with overt and occult HBV infection using the CLEIA assay Lumipulse</w:t>
      </w:r>
      <w:r w:rsidRPr="006D7825">
        <w:rPr>
          <w:rFonts w:ascii="Times New Roman" w:hAnsi="Times New Roman"/>
          <w:sz w:val="24"/>
          <w:szCs w:val="24"/>
          <w:vertAlign w:val="superscript"/>
          <w:lang w:val="en-US"/>
        </w:rPr>
        <w:t>®</w:t>
      </w:r>
      <w:r w:rsidRPr="006D7825">
        <w:rPr>
          <w:rFonts w:ascii="Times New Roman" w:hAnsi="Times New Roman"/>
          <w:sz w:val="24"/>
          <w:szCs w:val="24"/>
          <w:lang w:val="en-US"/>
        </w:rPr>
        <w:t xml:space="preserve"> G HBcAb-N, specifically developed for the detection of IgG type HBc antibody and we observed that anti-HBc IgG serum levels were related to the phase of HBV infection, to the treatment status and to the reservoir of intrahepatic HBV cccDNA.</w:t>
      </w:r>
    </w:p>
    <w:p w:rsidR="001F1D41" w:rsidRPr="006D7825" w:rsidRDefault="005B0FBB" w:rsidP="001F1D41">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 xml:space="preserve">The quantitative anti-HBc IgG assay was calibrated against the First WHO International Standard for anti-HBc and showed an excellent analytical performance; the calibration curve was linear within an analytical range set from 0.8 IU/mL to 50 IU/mL. </w:t>
      </w:r>
      <w:r w:rsidR="001F1D41" w:rsidRPr="006D7825">
        <w:rPr>
          <w:rFonts w:ascii="Times New Roman" w:hAnsi="Times New Roman"/>
          <w:sz w:val="24"/>
          <w:szCs w:val="24"/>
          <w:lang w:val="en-US"/>
        </w:rPr>
        <w:t>The CV</w:t>
      </w:r>
      <w:r w:rsidR="00041E9F" w:rsidRPr="006D7825">
        <w:rPr>
          <w:rFonts w:ascii="Times New Roman" w:hAnsi="Times New Roman"/>
          <w:sz w:val="24"/>
          <w:szCs w:val="24"/>
          <w:lang w:val="en-US"/>
        </w:rPr>
        <w:t>s</w:t>
      </w:r>
      <w:r w:rsidR="001F1D41" w:rsidRPr="006D7825">
        <w:rPr>
          <w:rFonts w:ascii="Times New Roman" w:hAnsi="Times New Roman"/>
          <w:sz w:val="24"/>
          <w:szCs w:val="24"/>
          <w:lang w:val="en-US"/>
        </w:rPr>
        <w:t xml:space="preserve"> for repeatability and reproducibility </w:t>
      </w:r>
      <w:r w:rsidR="00041E9F" w:rsidRPr="006D7825">
        <w:rPr>
          <w:rFonts w:ascii="Times New Roman" w:hAnsi="Times New Roman"/>
          <w:sz w:val="24"/>
          <w:szCs w:val="24"/>
          <w:lang w:val="en-US"/>
        </w:rPr>
        <w:t>were</w:t>
      </w:r>
      <w:r w:rsidR="001F1D41" w:rsidRPr="006D7825">
        <w:rPr>
          <w:rFonts w:ascii="Times New Roman" w:hAnsi="Times New Roman"/>
          <w:sz w:val="24"/>
          <w:szCs w:val="24"/>
          <w:lang w:val="en-US"/>
        </w:rPr>
        <w:t xml:space="preserve"> 3.7% and 4.9%, far below the general accepted criterion of 10%. </w:t>
      </w:r>
      <w:r w:rsidR="00AC2B8A" w:rsidRPr="006D7825">
        <w:rPr>
          <w:rFonts w:ascii="Times New Roman" w:hAnsi="Times New Roman"/>
          <w:sz w:val="24"/>
          <w:szCs w:val="24"/>
          <w:lang w:val="en-US"/>
        </w:rPr>
        <w:t xml:space="preserve">In terms of reliability, the intra- </w:t>
      </w:r>
      <w:r w:rsidR="003C78BC" w:rsidRPr="006D7825">
        <w:rPr>
          <w:rFonts w:ascii="Times New Roman" w:hAnsi="Times New Roman"/>
          <w:sz w:val="24"/>
          <w:szCs w:val="24"/>
          <w:lang w:val="en-US"/>
        </w:rPr>
        <w:t>and inter-</w:t>
      </w:r>
      <w:r w:rsidR="00AC2B8A" w:rsidRPr="006D7825">
        <w:rPr>
          <w:rFonts w:ascii="Times New Roman" w:hAnsi="Times New Roman"/>
          <w:sz w:val="24"/>
          <w:szCs w:val="24"/>
          <w:lang w:val="en-US"/>
        </w:rPr>
        <w:t>assay variation &lt; 5%</w:t>
      </w:r>
      <w:r w:rsidR="001F1D41" w:rsidRPr="006D7825">
        <w:rPr>
          <w:rFonts w:ascii="Times New Roman" w:hAnsi="Times New Roman"/>
          <w:sz w:val="24"/>
          <w:szCs w:val="24"/>
          <w:lang w:val="en-US"/>
        </w:rPr>
        <w:t xml:space="preserve"> </w:t>
      </w:r>
      <w:r w:rsidR="00041E9F" w:rsidRPr="006D7825">
        <w:rPr>
          <w:rFonts w:ascii="Times New Roman" w:hAnsi="Times New Roman"/>
          <w:sz w:val="24"/>
          <w:szCs w:val="24"/>
          <w:lang w:val="en-US"/>
        </w:rPr>
        <w:t>denote</w:t>
      </w:r>
      <w:r w:rsidR="001F1D41" w:rsidRPr="006D7825">
        <w:rPr>
          <w:rFonts w:ascii="Times New Roman" w:hAnsi="Times New Roman"/>
          <w:sz w:val="24"/>
          <w:szCs w:val="24"/>
          <w:lang w:val="en-US"/>
        </w:rPr>
        <w:t xml:space="preserve"> a high precision and consistency</w:t>
      </w:r>
      <w:r w:rsidR="00AC2B8A" w:rsidRPr="006D7825">
        <w:rPr>
          <w:rFonts w:ascii="Times New Roman" w:hAnsi="Times New Roman"/>
          <w:sz w:val="24"/>
          <w:szCs w:val="24"/>
          <w:lang w:val="en-US"/>
        </w:rPr>
        <w:t xml:space="preserve"> of the method.</w:t>
      </w:r>
    </w:p>
    <w:p w:rsidR="005B0FBB" w:rsidRPr="006D7825" w:rsidRDefault="005B0FBB" w:rsidP="001F1D41">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 xml:space="preserve">In the clinical setting, we observed that anti-HBc IgG levels varied among the different phases of CHB infection, increasing significantly from patients with CI to those with CH; in addition, anti-HBc IgG levels were more than 100-fold higher in patients with overt HBV infection compared to subjects with OBI. In accordance with our findings, Song </w:t>
      </w:r>
      <w:r w:rsidRPr="006D7825">
        <w:rPr>
          <w:rFonts w:ascii="Times New Roman" w:hAnsi="Times New Roman"/>
          <w:i/>
          <w:sz w:val="24"/>
          <w:szCs w:val="24"/>
          <w:lang w:val="en-US"/>
        </w:rPr>
        <w:t>et al.</w:t>
      </w:r>
      <w:r w:rsidRPr="006D7825">
        <w:rPr>
          <w:rFonts w:ascii="Times New Roman" w:hAnsi="Times New Roman"/>
          <w:sz w:val="24"/>
          <w:szCs w:val="24"/>
          <w:lang w:val="en-US"/>
        </w:rPr>
        <w:t xml:space="preserve"> reported that the levels of total anti-HBc increased stepwise from subjects with past HBV infection to subjects with OBI and further from patients</w:t>
      </w:r>
      <w:r w:rsidR="00B664C2" w:rsidRPr="006D7825">
        <w:rPr>
          <w:rFonts w:ascii="Times New Roman" w:hAnsi="Times New Roman"/>
          <w:sz w:val="24"/>
          <w:szCs w:val="24"/>
          <w:lang w:val="en-US"/>
        </w:rPr>
        <w:t xml:space="preserve"> with CI to patients with CH (Song et al. 2015)</w:t>
      </w:r>
      <w:r w:rsidRPr="006D7825">
        <w:rPr>
          <w:rFonts w:ascii="Times New Roman" w:hAnsi="Times New Roman"/>
          <w:sz w:val="24"/>
          <w:szCs w:val="24"/>
          <w:lang w:val="en-US"/>
        </w:rPr>
        <w:t>. Results from previous reports support the concept that quantitative anti-HBc levels are closely associated to liver disease activity in patients with CHB; indeed, it has been reported that total anti-HBc levels were strongly correlated with ALT values and liver inflammation activity in both HB</w:t>
      </w:r>
      <w:r w:rsidR="00704A33" w:rsidRPr="006D7825">
        <w:rPr>
          <w:rFonts w:ascii="Times New Roman" w:hAnsi="Times New Roman"/>
          <w:sz w:val="24"/>
          <w:szCs w:val="24"/>
          <w:lang w:val="en-US"/>
        </w:rPr>
        <w:t>eAg+ and HBeAg- patients (Yuan et al. 2015; Song et al. 2015; Li et al. 2016)</w:t>
      </w:r>
      <w:r w:rsidRPr="006D7825">
        <w:rPr>
          <w:rFonts w:ascii="Times New Roman" w:hAnsi="Times New Roman"/>
          <w:sz w:val="24"/>
          <w:szCs w:val="24"/>
          <w:lang w:val="en-US"/>
        </w:rPr>
        <w:t>. In agreement with these findings, we observed a positive correlation between the serum values of anti-HBc IgG and ALT (</w:t>
      </w:r>
      <w:r w:rsidRPr="006D7825">
        <w:rPr>
          <w:rFonts w:ascii="Times New Roman" w:hAnsi="Times New Roman"/>
          <w:i/>
          <w:sz w:val="24"/>
          <w:szCs w:val="24"/>
          <w:lang w:val="en-US"/>
        </w:rPr>
        <w:t>r</w:t>
      </w:r>
      <w:r w:rsidRPr="006D7825">
        <w:rPr>
          <w:rFonts w:ascii="Times New Roman" w:hAnsi="Times New Roman"/>
          <w:i/>
          <w:sz w:val="24"/>
          <w:szCs w:val="24"/>
          <w:vertAlign w:val="subscript"/>
          <w:lang w:val="en-US"/>
        </w:rPr>
        <w:t>s</w:t>
      </w:r>
      <w:r w:rsidRPr="006D7825">
        <w:rPr>
          <w:rFonts w:ascii="Times New Roman" w:hAnsi="Times New Roman"/>
          <w:sz w:val="24"/>
          <w:szCs w:val="24"/>
          <w:lang w:val="en-US"/>
        </w:rPr>
        <w:t xml:space="preserve"> = 0.570). Likely, the release of core proteins during liver </w:t>
      </w:r>
      <w:r w:rsidRPr="006D7825">
        <w:rPr>
          <w:rFonts w:ascii="Times New Roman" w:hAnsi="Times New Roman"/>
          <w:sz w:val="24"/>
          <w:szCs w:val="24"/>
          <w:lang w:val="en-US"/>
        </w:rPr>
        <w:lastRenderedPageBreak/>
        <w:t>tissue necrosis may induce a strong B cell immune response resulting in high levels of antibodies production.</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In patients with HBeAg- CH treated with NAs, anti-HBc IgG levels progressively declined with a linear fashion throughout 60 months of antiviral treatment reaching values even lower than those observed in serum samples of patients with HBeAg- CI; the HBV DNA and HBcrAg exhibited a marked decline in the first year of treatment and the HBsAg remained almost unvaried. Interestingly, it has been reported that baseline serum levels of total anti-HBc could predict the clearance of HBsAg and anti-HBs seroconversion in patients treated long-term with NAs and that they were associated with a reduced risk of clinical relapse after discon</w:t>
      </w:r>
      <w:r w:rsidR="00704A33" w:rsidRPr="006D7825">
        <w:rPr>
          <w:rFonts w:ascii="Times New Roman" w:hAnsi="Times New Roman"/>
          <w:sz w:val="24"/>
          <w:szCs w:val="24"/>
          <w:lang w:val="en-US"/>
        </w:rPr>
        <w:t>tinuing antiviral therapy (Yuan et al. 2015; Chi et al. 2019)</w:t>
      </w:r>
      <w:r w:rsidRPr="006D7825">
        <w:rPr>
          <w:rFonts w:ascii="Times New Roman" w:hAnsi="Times New Roman"/>
          <w:sz w:val="24"/>
          <w:szCs w:val="24"/>
          <w:lang w:val="en-US"/>
        </w:rPr>
        <w:t>. Unfortunately, we could not evaluate this issue as in our series only 3 of 51 treated patients experienced HBsAg clearance without anti-HBs seroconversion; long-term prospective studies should address this issue in larger cohort of patients.</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Finally, in the overall cohort of subjects with overt and occult HBV infection we observed a strong correlation between anti-HBc IgG serum levels and HBV cccDNA values (</w:t>
      </w:r>
      <w:r w:rsidRPr="006D7825">
        <w:rPr>
          <w:rFonts w:ascii="Times New Roman" w:hAnsi="Times New Roman"/>
          <w:i/>
          <w:sz w:val="24"/>
          <w:szCs w:val="24"/>
          <w:lang w:val="en-US"/>
        </w:rPr>
        <w:t>r</w:t>
      </w:r>
      <w:r w:rsidRPr="006D7825">
        <w:rPr>
          <w:rFonts w:ascii="Times New Roman" w:hAnsi="Times New Roman"/>
          <w:sz w:val="24"/>
          <w:szCs w:val="24"/>
          <w:lang w:val="en-US"/>
        </w:rPr>
        <w:t xml:space="preserve"> = 0.785). As a matter of fact, non-invasive circulating biomarkers able to accurately reflect the HBV cccDNA pool may play a crucial role for the definition of novel treatments endpoints in patients with CHB and for the management of subjects with OBI at risk of viral reactivation. So far, HBcrAg appears the most reliable surrogate for both HBV cccDNA pool and transcriptional activ</w:t>
      </w:r>
      <w:r w:rsidR="00704A33" w:rsidRPr="006D7825">
        <w:rPr>
          <w:rFonts w:ascii="Times New Roman" w:hAnsi="Times New Roman"/>
          <w:sz w:val="24"/>
          <w:szCs w:val="24"/>
          <w:lang w:val="en-US"/>
        </w:rPr>
        <w:t>ity in patients with CHB (Suzuki et al. 2009; Chen et al. 2017; Testoni et al. 2019; Chen et al. 2019)</w:t>
      </w:r>
      <w:r w:rsidRPr="006D7825">
        <w:rPr>
          <w:rFonts w:ascii="Times New Roman" w:hAnsi="Times New Roman"/>
          <w:sz w:val="24"/>
          <w:szCs w:val="24"/>
          <w:lang w:val="en-US"/>
        </w:rPr>
        <w:t>. Consistently, in such patients we observed that HBcrAg achieved the best correlation with HBV cccDNA (</w:t>
      </w:r>
      <w:r w:rsidRPr="006D7825">
        <w:rPr>
          <w:rFonts w:ascii="Times New Roman" w:hAnsi="Times New Roman"/>
          <w:i/>
          <w:sz w:val="24"/>
          <w:szCs w:val="24"/>
          <w:lang w:val="en-GB"/>
        </w:rPr>
        <w:t>r</w:t>
      </w:r>
      <w:r w:rsidRPr="006D7825">
        <w:rPr>
          <w:rFonts w:ascii="Times New Roman" w:hAnsi="Times New Roman"/>
          <w:sz w:val="24"/>
          <w:szCs w:val="24"/>
          <w:lang w:val="en-GB"/>
        </w:rPr>
        <w:t xml:space="preserve"> = 0.733)</w:t>
      </w:r>
      <w:r w:rsidRPr="006D7825">
        <w:rPr>
          <w:rFonts w:ascii="Times New Roman" w:hAnsi="Times New Roman"/>
          <w:sz w:val="24"/>
          <w:szCs w:val="24"/>
          <w:lang w:val="en-US"/>
        </w:rPr>
        <w:t>, followed by HBsAg (</w:t>
      </w:r>
      <w:r w:rsidRPr="006D7825">
        <w:rPr>
          <w:rFonts w:ascii="Times New Roman" w:hAnsi="Times New Roman"/>
          <w:i/>
          <w:sz w:val="24"/>
          <w:szCs w:val="24"/>
          <w:lang w:val="en-GB"/>
        </w:rPr>
        <w:t xml:space="preserve">r </w:t>
      </w:r>
      <w:r w:rsidRPr="006D7825">
        <w:rPr>
          <w:rFonts w:ascii="Times New Roman" w:hAnsi="Times New Roman"/>
          <w:sz w:val="24"/>
          <w:szCs w:val="24"/>
          <w:lang w:val="en-GB"/>
        </w:rPr>
        <w:t>= 0.624)</w:t>
      </w:r>
      <w:r w:rsidRPr="006D7825">
        <w:rPr>
          <w:rFonts w:ascii="Times New Roman" w:hAnsi="Times New Roman"/>
          <w:sz w:val="24"/>
          <w:szCs w:val="24"/>
          <w:lang w:val="en-US"/>
        </w:rPr>
        <w:t xml:space="preserve"> and anti-HBc IgG (</w:t>
      </w:r>
      <w:r w:rsidRPr="006D7825">
        <w:rPr>
          <w:rFonts w:ascii="Times New Roman" w:hAnsi="Times New Roman"/>
          <w:i/>
          <w:sz w:val="24"/>
          <w:szCs w:val="24"/>
          <w:lang w:val="en-GB"/>
        </w:rPr>
        <w:t>r</w:t>
      </w:r>
      <w:r w:rsidRPr="006D7825">
        <w:rPr>
          <w:rFonts w:ascii="Times New Roman" w:hAnsi="Times New Roman"/>
          <w:sz w:val="24"/>
          <w:szCs w:val="24"/>
          <w:lang w:val="en-GB"/>
        </w:rPr>
        <w:t xml:space="preserve"> = 0.553)</w:t>
      </w:r>
      <w:r w:rsidRPr="006D7825">
        <w:rPr>
          <w:rFonts w:ascii="Times New Roman" w:hAnsi="Times New Roman"/>
          <w:sz w:val="24"/>
          <w:szCs w:val="24"/>
          <w:lang w:val="en-US"/>
        </w:rPr>
        <w:t>. However, in subjects with resolved HBV infection, the clinical</w:t>
      </w:r>
      <w:r w:rsidR="00704A33" w:rsidRPr="006D7825">
        <w:rPr>
          <w:rFonts w:ascii="Times New Roman" w:hAnsi="Times New Roman"/>
          <w:sz w:val="24"/>
          <w:szCs w:val="24"/>
          <w:lang w:val="en-US"/>
        </w:rPr>
        <w:t xml:space="preserve"> value of HBcrAg is limited (van Halewijin et al. 2019)</w:t>
      </w:r>
      <w:r w:rsidRPr="006D7825">
        <w:rPr>
          <w:rFonts w:ascii="Times New Roman" w:hAnsi="Times New Roman"/>
          <w:sz w:val="24"/>
          <w:szCs w:val="24"/>
          <w:lang w:val="en-US"/>
        </w:rPr>
        <w:t xml:space="preserve">, and liver tissue samples for the detection of HBV cccDNA are often not available. Considering that anti-HBc is widely recognized as surrogate of OBI, antibody titer may reflect the residual production of HBV core </w:t>
      </w:r>
      <w:r w:rsidRPr="006D7825">
        <w:rPr>
          <w:rFonts w:ascii="Times New Roman" w:hAnsi="Times New Roman"/>
          <w:sz w:val="24"/>
          <w:szCs w:val="24"/>
          <w:lang w:val="en-US"/>
        </w:rPr>
        <w:lastRenderedPageBreak/>
        <w:t>antigens and consequently, intrahepatic replication-competent HBV cccDNA. This aspect may have relevant clinical implication particularly in OBI patients receiving cancer chemotherapy or other immunos</w:t>
      </w:r>
      <w:r w:rsidR="00704A33" w:rsidRPr="006D7825">
        <w:rPr>
          <w:rFonts w:ascii="Times New Roman" w:hAnsi="Times New Roman"/>
          <w:sz w:val="24"/>
          <w:szCs w:val="24"/>
          <w:lang w:val="en-US"/>
        </w:rPr>
        <w:t>uppressive agents. Indeed, it has been</w:t>
      </w:r>
      <w:r w:rsidRPr="006D7825">
        <w:rPr>
          <w:rFonts w:ascii="Times New Roman" w:hAnsi="Times New Roman"/>
          <w:sz w:val="24"/>
          <w:szCs w:val="24"/>
          <w:lang w:val="en-US"/>
        </w:rPr>
        <w:t xml:space="preserve"> reported that higher total anti-HBc levels at baseline were able to predict HBV reactivation</w:t>
      </w:r>
      <w:r w:rsidRPr="006D7825">
        <w:rPr>
          <w:lang w:val="en-US"/>
        </w:rPr>
        <w:t xml:space="preserve"> </w:t>
      </w:r>
      <w:r w:rsidRPr="006D7825">
        <w:rPr>
          <w:rFonts w:ascii="Times New Roman" w:hAnsi="Times New Roman"/>
          <w:sz w:val="24"/>
          <w:szCs w:val="24"/>
          <w:lang w:val="en-US"/>
        </w:rPr>
        <w:t>in patients with lymphoma and resolved HBV infection receiving r</w:t>
      </w:r>
      <w:r w:rsidR="00704A33" w:rsidRPr="006D7825">
        <w:rPr>
          <w:rFonts w:ascii="Times New Roman" w:hAnsi="Times New Roman"/>
          <w:sz w:val="24"/>
          <w:szCs w:val="24"/>
          <w:lang w:val="en-US"/>
        </w:rPr>
        <w:t>ituximab-based chemotherapy (Yang et al. 2018)</w:t>
      </w:r>
      <w:r w:rsidRPr="006D7825">
        <w:rPr>
          <w:rFonts w:ascii="Times New Roman" w:hAnsi="Times New Roman"/>
          <w:sz w:val="24"/>
          <w:szCs w:val="24"/>
          <w:lang w:val="en-US"/>
        </w:rPr>
        <w:t>; these findings suggest that anti-HBc quantitation may allow to further stratify the risk of viral reactivation and thus to tailor the prophylactic strategy.</w:t>
      </w:r>
    </w:p>
    <w:p w:rsidR="005B0FBB" w:rsidRPr="006D7825" w:rsidRDefault="005B0FBB" w:rsidP="005B0FBB">
      <w:pPr>
        <w:spacing w:after="0" w:line="480" w:lineRule="auto"/>
        <w:ind w:firstLine="720"/>
        <w:rPr>
          <w:rFonts w:ascii="Times New Roman" w:hAnsi="Times New Roman"/>
          <w:sz w:val="24"/>
          <w:szCs w:val="24"/>
          <w:lang w:val="en-US"/>
        </w:rPr>
      </w:pPr>
      <w:r w:rsidRPr="006D7825">
        <w:rPr>
          <w:rFonts w:ascii="Times New Roman" w:hAnsi="Times New Roman"/>
          <w:sz w:val="24"/>
          <w:szCs w:val="24"/>
          <w:lang w:val="en-US"/>
        </w:rPr>
        <w:t>In conclusion, we evaluated the quantitative capacity of the Lumipulse</w:t>
      </w:r>
      <w:r w:rsidRPr="006D7825">
        <w:rPr>
          <w:rFonts w:ascii="Times New Roman" w:hAnsi="Times New Roman"/>
          <w:sz w:val="24"/>
          <w:szCs w:val="24"/>
          <w:vertAlign w:val="superscript"/>
          <w:lang w:val="en-US"/>
        </w:rPr>
        <w:t>®</w:t>
      </w:r>
      <w:r w:rsidRPr="006D7825">
        <w:rPr>
          <w:rFonts w:ascii="Times New Roman" w:hAnsi="Times New Roman"/>
          <w:sz w:val="24"/>
          <w:szCs w:val="24"/>
          <w:lang w:val="en-US"/>
        </w:rPr>
        <w:t xml:space="preserve"> G HBcAb-N assay that exhibited appropriate analytical performance and may represent a diagnostic complement for the management of both patients with CHB and subjects with OBI. In particular, the quantitation of serum anti-HBc IgG may provide additional information on both the immune response of the host and the HBV persistence reservoir. </w:t>
      </w:r>
    </w:p>
    <w:p w:rsidR="005B0FBB" w:rsidRPr="006D7825" w:rsidRDefault="005B0FBB" w:rsidP="005B0FBB">
      <w:pPr>
        <w:pageBreakBefore/>
        <w:spacing w:after="0" w:line="480" w:lineRule="auto"/>
        <w:rPr>
          <w:rFonts w:ascii="Times New Roman" w:hAnsi="Times New Roman"/>
          <w:sz w:val="24"/>
          <w:szCs w:val="24"/>
          <w:lang w:val="en-US"/>
        </w:rPr>
      </w:pPr>
      <w:r w:rsidRPr="006D7825">
        <w:rPr>
          <w:rFonts w:ascii="Times New Roman" w:hAnsi="Times New Roman"/>
          <w:b/>
          <w:sz w:val="24"/>
          <w:szCs w:val="24"/>
          <w:lang w:val="en-US"/>
        </w:rPr>
        <w:lastRenderedPageBreak/>
        <w:t>References</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rPr>
        <w:t xml:space="preserve">Caviglia GP, Abate ML, Noviello D, Olivero A, Rosso C, Troshina G, et al. </w:t>
      </w:r>
      <w:r w:rsidRPr="006D7825">
        <w:rPr>
          <w:rFonts w:ascii="Times New Roman" w:hAnsi="Times New Roman"/>
          <w:sz w:val="24"/>
          <w:szCs w:val="24"/>
          <w:lang w:val="en-US"/>
        </w:rPr>
        <w:t>Hepatitis B core-related antigen kinetics in chronic hepatitis B virus genotype D-infected patients treated with nucleos(t)ide analogues or pegylated-interferon-α. Hepatol Res 2017;47:747-54.</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rPr>
        <w:t xml:space="preserve">Caviglia GP, Abate ML, Tandoi F, Ciancio A, Amoroso A, Salizzoni M, et al. </w:t>
      </w:r>
      <w:r w:rsidRPr="006D7825">
        <w:rPr>
          <w:rFonts w:ascii="Times New Roman" w:hAnsi="Times New Roman"/>
          <w:sz w:val="24"/>
          <w:szCs w:val="24"/>
          <w:lang w:val="en-US"/>
        </w:rPr>
        <w:t>Quantitation of HBV cccDNA in anti-HBc-positive liver donors by droplet digital PCR: A new tool to detect occult infection. J Hepatol 2018;69:301-7.</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lang w:val="en-US"/>
        </w:rPr>
        <w:t>Chen E-Q, Feng S, Wang M-L, Liang LB, Zhou LY, Du LY, et al. Serum hepatitis B core-related antigen is a satisfactory surrogate marker of intrahepatic covalently closed circular DNA in chronic hepatitis B. Sci Rep 2017;7:173.</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lang w:val="en-US"/>
        </w:rPr>
        <w:t>Chen EQ, Wang ML, Tao YC, Wu DB, Liao J, He M, Tang H. Serum HBcrAg is better than HBV RNA and HBsAg in reflecting intrahepatic covalently closed circular DNA. J Viral Hepat 2019;26:586-95.</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rPr>
        <w:t xml:space="preserve">Chi H, Li Z, Hansen BE, Yu T, Zhang X, Sun J, et al. </w:t>
      </w:r>
      <w:r w:rsidRPr="006D7825">
        <w:rPr>
          <w:rFonts w:ascii="Times New Roman" w:hAnsi="Times New Roman"/>
          <w:sz w:val="24"/>
          <w:szCs w:val="24"/>
          <w:lang w:val="en-US"/>
        </w:rPr>
        <w:t>Serum Level of Antibodies Against Hepatitis B Core Protein Is Associated With Clinical Relapse After Discontinuation of Nucleos(t)ide Analogue Therapy. Clin Gastroenterol Hepatol 2019;17:182-91.</w:t>
      </w:r>
    </w:p>
    <w:p w:rsidR="005B0FBB" w:rsidRPr="006D7825" w:rsidRDefault="005B0FBB" w:rsidP="00DE3DD2">
      <w:pPr>
        <w:spacing w:after="0" w:line="480" w:lineRule="auto"/>
        <w:ind w:left="709" w:hanging="709"/>
        <w:rPr>
          <w:rFonts w:ascii="Times New Roman" w:hAnsi="Times New Roman"/>
          <w:sz w:val="24"/>
          <w:szCs w:val="24"/>
          <w:lang w:val="en-US"/>
        </w:rPr>
      </w:pPr>
      <w:r w:rsidRPr="006D7825">
        <w:rPr>
          <w:rFonts w:ascii="Times New Roman" w:hAnsi="Times New Roman"/>
          <w:sz w:val="24"/>
          <w:szCs w:val="24"/>
          <w:lang w:val="en-US"/>
        </w:rPr>
        <w:t xml:space="preserve">Coffin CS, Zhou K, Terrault NA. New and Old Biomarkers for Diagnosis and Management of Chronic Hepatitis B Virus Infection. </w:t>
      </w:r>
      <w:r w:rsidR="003E405F" w:rsidRPr="006D7825">
        <w:rPr>
          <w:rFonts w:ascii="Times New Roman" w:hAnsi="Times New Roman"/>
          <w:sz w:val="24"/>
          <w:szCs w:val="24"/>
          <w:lang w:val="en-US"/>
        </w:rPr>
        <w:t>Gastroenterology 2019;156:355-</w:t>
      </w:r>
      <w:r w:rsidRPr="006D7825">
        <w:rPr>
          <w:rFonts w:ascii="Times New Roman" w:hAnsi="Times New Roman"/>
          <w:sz w:val="24"/>
          <w:szCs w:val="24"/>
          <w:lang w:val="en-US"/>
        </w:rPr>
        <w:t>68.</w:t>
      </w:r>
    </w:p>
    <w:p w:rsidR="00DE3DD2" w:rsidRPr="006D7825" w:rsidRDefault="00DE3DD2" w:rsidP="00DE3DD2">
      <w:pPr>
        <w:spacing w:after="0" w:line="480" w:lineRule="auto"/>
        <w:ind w:left="709" w:hanging="709"/>
        <w:rPr>
          <w:rFonts w:ascii="Times New Roman" w:hAnsi="Times New Roman"/>
          <w:sz w:val="24"/>
          <w:szCs w:val="24"/>
        </w:rPr>
      </w:pPr>
      <w:r w:rsidRPr="006D7825">
        <w:rPr>
          <w:rFonts w:ascii="Times New Roman" w:hAnsi="Times New Roman"/>
          <w:sz w:val="24"/>
          <w:szCs w:val="24"/>
          <w:lang w:val="en-US"/>
        </w:rPr>
        <w:t>European Association for the Study of the Liver. EASL 2017 Clinical Practice Guidelines on the management of hepatitis B virus infection. J Hepatol 2017;67:370-98.</w:t>
      </w:r>
    </w:p>
    <w:p w:rsidR="00DE3DD2" w:rsidRPr="006D7825" w:rsidRDefault="00DE3DD2" w:rsidP="00DE3DD2">
      <w:pPr>
        <w:spacing w:after="0" w:line="480" w:lineRule="auto"/>
        <w:ind w:left="720" w:hanging="709"/>
        <w:rPr>
          <w:rFonts w:ascii="Times New Roman" w:hAnsi="Times New Roman"/>
          <w:sz w:val="24"/>
          <w:szCs w:val="24"/>
        </w:rPr>
      </w:pPr>
      <w:r w:rsidRPr="006D7825">
        <w:rPr>
          <w:rFonts w:ascii="Times New Roman" w:hAnsi="Times New Roman"/>
          <w:sz w:val="24"/>
          <w:szCs w:val="24"/>
          <w:lang w:val="en-US"/>
        </w:rPr>
        <w:t>Fan R, Sun J, Yuan Q, Xie Q, Bai X, Ning Q, et al. Baseline quantitative hepatitis B core antibody titre alone strongly predicts HBeAg seroconversion across chronic hepatitis B patients treated with peginterferon or nucleos(t)ide analogues. Gut 2016;65:313-20.</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lang w:val="en-US"/>
        </w:rPr>
        <w:lastRenderedPageBreak/>
        <w:t>Höner Zu Siederdissen C, Maasoumy B, Cornberg M. New viral biomarkers for Hepatitis B: Are we able to change practice?J Viral Hepat 2018;25:1226-35.</w:t>
      </w:r>
    </w:p>
    <w:p w:rsidR="00DE3DD2" w:rsidRPr="006D7825" w:rsidRDefault="00DE3DD2" w:rsidP="00DE3DD2">
      <w:pPr>
        <w:spacing w:after="0" w:line="480" w:lineRule="auto"/>
        <w:ind w:left="720" w:hanging="709"/>
        <w:rPr>
          <w:rFonts w:ascii="Times New Roman" w:hAnsi="Times New Roman"/>
          <w:sz w:val="24"/>
          <w:szCs w:val="24"/>
        </w:rPr>
      </w:pPr>
      <w:r w:rsidRPr="006D7825">
        <w:rPr>
          <w:rFonts w:ascii="Times New Roman" w:hAnsi="Times New Roman"/>
          <w:sz w:val="24"/>
          <w:szCs w:val="24"/>
        </w:rPr>
        <w:t>Kobayashi E, Deguchi M, Kagita M,</w:t>
      </w:r>
      <w:r w:rsidRPr="006D7825">
        <w:t xml:space="preserve"> </w:t>
      </w:r>
      <w:r w:rsidRPr="006D7825">
        <w:rPr>
          <w:rFonts w:ascii="Times New Roman" w:hAnsi="Times New Roman"/>
          <w:sz w:val="24"/>
          <w:szCs w:val="24"/>
        </w:rPr>
        <w:t xml:space="preserve">Yoshioka N, Kita M, Asari S, et al. </w:t>
      </w:r>
      <w:r w:rsidRPr="006D7825">
        <w:rPr>
          <w:rFonts w:ascii="Times New Roman" w:hAnsi="Times New Roman"/>
          <w:sz w:val="24"/>
          <w:szCs w:val="24"/>
          <w:lang w:val="en-US"/>
        </w:rPr>
        <w:t>Performance evaluation of four dominant anti-hepatitis B core antigen (HBcAb) kits in Japan for preventing de novo hepatitis B virus (HBV) infection. Clin Lab 2015;61:77-85.</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rPr>
        <w:t xml:space="preserve">Li MR, Lu JH, Ye LH, Sun XL, Zheng YH, Liu ZQ, et al. </w:t>
      </w:r>
      <w:r w:rsidRPr="006D7825">
        <w:rPr>
          <w:rFonts w:ascii="Times New Roman" w:hAnsi="Times New Roman"/>
          <w:sz w:val="24"/>
          <w:szCs w:val="24"/>
          <w:lang w:val="en-US"/>
        </w:rPr>
        <w:t xml:space="preserve">Quantitative hepatitis B core antibody level is associated with inflammatory activity in treatment-naïve chronic hepatitis B patients. Medicine (Baltimore) 2016;95:e4422. </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lang w:val="en-US"/>
        </w:rPr>
        <w:t>Li MR, Zheng HW, Lu JH, Ma SM, Ye LH, Liu ZQ, et al. Serum hepatitis B core antibody titer use in screening for significant fibrosis in treatment-naïve patients with chronic hepatitis B. Oncotarget 2017;8:11063-70.</w:t>
      </w:r>
    </w:p>
    <w:p w:rsidR="00DE3DD2" w:rsidRPr="006D7825" w:rsidRDefault="00DE3DD2" w:rsidP="00DE3DD2">
      <w:pPr>
        <w:spacing w:after="0" w:line="480" w:lineRule="auto"/>
        <w:ind w:left="720" w:hanging="709"/>
        <w:rPr>
          <w:rFonts w:ascii="Times New Roman" w:hAnsi="Times New Roman"/>
          <w:sz w:val="24"/>
          <w:szCs w:val="24"/>
        </w:rPr>
      </w:pPr>
      <w:r w:rsidRPr="006D7825">
        <w:rPr>
          <w:rFonts w:ascii="Times New Roman" w:hAnsi="Times New Roman"/>
          <w:sz w:val="24"/>
          <w:szCs w:val="24"/>
          <w:lang w:val="en-US"/>
        </w:rPr>
        <w:t>Park JW, Kwak KM, Kim SE, Jang MK, Kim DJ, Lee MS, et al. Differentiation of acute and chronic hepatitis B in IgM anti-HBc positive patients. World J Gastroenterol 2015;21:3953-9.</w:t>
      </w:r>
    </w:p>
    <w:p w:rsidR="00DE3DD2" w:rsidRPr="006D7825" w:rsidRDefault="00DE3DD2" w:rsidP="00DE3DD2">
      <w:pPr>
        <w:spacing w:after="0" w:line="480" w:lineRule="auto"/>
        <w:ind w:left="709" w:hanging="709"/>
        <w:rPr>
          <w:rFonts w:ascii="Times New Roman" w:hAnsi="Times New Roman"/>
          <w:sz w:val="24"/>
          <w:szCs w:val="24"/>
          <w:lang w:val="en-US"/>
        </w:rPr>
      </w:pPr>
      <w:r w:rsidRPr="006D7825">
        <w:rPr>
          <w:rFonts w:ascii="Times New Roman" w:hAnsi="Times New Roman"/>
          <w:sz w:val="24"/>
          <w:szCs w:val="24"/>
          <w:lang w:val="en-US"/>
        </w:rPr>
        <w:t>Perrillo RP, Gish R, Falck-Ytter YT. American Gastroenterological Association Institute technical review on prevention and treatment of hepatitis B virus reactivation during immunosuppressive drug therapy. Gastroenterology 2015;148:221-44.</w:t>
      </w:r>
    </w:p>
    <w:p w:rsidR="00DE3DD2" w:rsidRPr="006D7825" w:rsidRDefault="00DE3DD2" w:rsidP="00DE3DD2">
      <w:pPr>
        <w:spacing w:after="0" w:line="480" w:lineRule="auto"/>
        <w:ind w:left="720" w:hanging="709"/>
        <w:rPr>
          <w:rFonts w:ascii="Times New Roman" w:hAnsi="Times New Roman"/>
          <w:sz w:val="24"/>
          <w:szCs w:val="24"/>
        </w:rPr>
      </w:pPr>
      <w:r w:rsidRPr="006D7825">
        <w:rPr>
          <w:rFonts w:ascii="Times New Roman" w:hAnsi="Times New Roman"/>
          <w:sz w:val="24"/>
          <w:szCs w:val="24"/>
        </w:rPr>
        <w:t>Raimondo G, Locarnini S, Pollicino T,</w:t>
      </w:r>
      <w:r w:rsidRPr="006D7825">
        <w:t xml:space="preserve"> </w:t>
      </w:r>
      <w:r w:rsidRPr="006D7825">
        <w:rPr>
          <w:rFonts w:ascii="Times New Roman" w:hAnsi="Times New Roman"/>
          <w:sz w:val="24"/>
          <w:szCs w:val="24"/>
        </w:rPr>
        <w:t xml:space="preserve">Levrero M, Zoulim F, Lok AS; Taormina Workshop on Occult HBV Infection Faculty Members. </w:t>
      </w:r>
      <w:r w:rsidRPr="006D7825">
        <w:rPr>
          <w:rFonts w:ascii="Times New Roman" w:hAnsi="Times New Roman"/>
          <w:sz w:val="24"/>
          <w:szCs w:val="24"/>
          <w:lang w:val="en-US"/>
        </w:rPr>
        <w:t>Update of the statements on biology and clinical impact of occult hepatitis B virus infection. J Hepatol 2019;71:397-408.</w:t>
      </w:r>
    </w:p>
    <w:p w:rsidR="00DE3DD2" w:rsidRPr="006D7825" w:rsidRDefault="00DE3DD2" w:rsidP="00DE3DD2">
      <w:pPr>
        <w:spacing w:after="0" w:line="480" w:lineRule="auto"/>
        <w:ind w:left="720" w:hanging="709"/>
        <w:rPr>
          <w:rFonts w:ascii="Times New Roman" w:hAnsi="Times New Roman"/>
          <w:sz w:val="24"/>
          <w:szCs w:val="24"/>
        </w:rPr>
      </w:pPr>
      <w:r w:rsidRPr="006D7825">
        <w:rPr>
          <w:rFonts w:ascii="Times New Roman" w:hAnsi="Times New Roman"/>
          <w:sz w:val="24"/>
          <w:szCs w:val="24"/>
        </w:rPr>
        <w:t xml:space="preserve">Raimondo G, Navarra G, Mondello S, Costantino L, Colloredo G, Cucinotta E, et al. </w:t>
      </w:r>
      <w:r w:rsidRPr="006D7825">
        <w:rPr>
          <w:rFonts w:ascii="Times New Roman" w:hAnsi="Times New Roman"/>
          <w:sz w:val="24"/>
          <w:szCs w:val="24"/>
          <w:lang w:val="en-US"/>
        </w:rPr>
        <w:t>Occult hepatitis B virus in liver tissue of individuals without hepatic disease. J Hepatol 2008;48:743-6.</w:t>
      </w:r>
    </w:p>
    <w:p w:rsidR="005B0FBB" w:rsidRPr="006D7825" w:rsidRDefault="005B0FBB" w:rsidP="00DE3DD2">
      <w:pPr>
        <w:spacing w:after="0" w:line="480" w:lineRule="auto"/>
        <w:ind w:left="709" w:hanging="709"/>
        <w:rPr>
          <w:rFonts w:ascii="Times New Roman" w:hAnsi="Times New Roman"/>
          <w:sz w:val="24"/>
          <w:szCs w:val="24"/>
          <w:lang w:val="en-US"/>
        </w:rPr>
      </w:pPr>
      <w:r w:rsidRPr="006D7825">
        <w:rPr>
          <w:rFonts w:ascii="Times New Roman" w:hAnsi="Times New Roman"/>
          <w:sz w:val="24"/>
          <w:szCs w:val="24"/>
          <w:lang w:val="en-US"/>
        </w:rPr>
        <w:t xml:space="preserve">Rodella A, Galli C, Terlenghi L, Perandin F, Bonfanti C, Manca N. Quantitative analysis of HBsAg, IgM anti-HBc and anti-HBc avidity in acute and chronic hepatitis B. </w:t>
      </w:r>
      <w:r w:rsidR="003E405F" w:rsidRPr="006D7825">
        <w:rPr>
          <w:rFonts w:ascii="Times New Roman" w:hAnsi="Times New Roman"/>
          <w:sz w:val="24"/>
          <w:szCs w:val="24"/>
          <w:lang w:val="en-US"/>
        </w:rPr>
        <w:t>J Clin Virol 2006;37:206-</w:t>
      </w:r>
      <w:r w:rsidRPr="006D7825">
        <w:rPr>
          <w:rFonts w:ascii="Times New Roman" w:hAnsi="Times New Roman"/>
          <w:sz w:val="24"/>
          <w:szCs w:val="24"/>
          <w:lang w:val="en-US"/>
        </w:rPr>
        <w:t>12.</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lang w:val="en-US"/>
        </w:rPr>
        <w:lastRenderedPageBreak/>
        <w:t>Shinkai N, Matsuura K, Sugauchi F, Watanabe T, Murakami S, Iio E, et al. Application of a newly developed high-sensitivity HBsAg chemiluminescent enzyme immunoassay for hepatitis B patients with HBsAg seroclearance. J Clin Microbiol 2013;51:3484–91.</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lang w:val="en-US"/>
        </w:rPr>
        <w:t>Song LW, Liu PG, Liu CJ,</w:t>
      </w:r>
      <w:r w:rsidRPr="006D7825">
        <w:t xml:space="preserve"> </w:t>
      </w:r>
      <w:r w:rsidRPr="006D7825">
        <w:rPr>
          <w:rFonts w:ascii="Times New Roman" w:hAnsi="Times New Roman"/>
          <w:sz w:val="24"/>
          <w:szCs w:val="24"/>
          <w:lang w:val="en-US"/>
        </w:rPr>
        <w:t>Zhang TY, Cheng XD, Wu HL, et al. Quantitative hepatitis B core antibody levels in the natural history of hepatitis B virus infection. Clin Microbiol Infect 2015;21:197-203.</w:t>
      </w:r>
    </w:p>
    <w:p w:rsidR="00DE3DD2" w:rsidRPr="006D7825" w:rsidRDefault="00DE3DD2" w:rsidP="00DE3DD2">
      <w:pPr>
        <w:spacing w:after="0" w:line="480" w:lineRule="auto"/>
        <w:ind w:left="709" w:hanging="709"/>
        <w:rPr>
          <w:rFonts w:ascii="Times New Roman" w:hAnsi="Times New Roman"/>
          <w:sz w:val="24"/>
          <w:szCs w:val="24"/>
          <w:lang w:val="en-US"/>
        </w:rPr>
      </w:pPr>
      <w:r w:rsidRPr="006D7825">
        <w:rPr>
          <w:rFonts w:ascii="Times New Roman" w:hAnsi="Times New Roman"/>
          <w:sz w:val="24"/>
          <w:szCs w:val="24"/>
          <w:lang w:val="en-US"/>
        </w:rPr>
        <w:t>Suzuki F, Miyakoshi H, Kobayashi M, Kumada H. Correlation between serum hepatitis B virus core-related antigen and intrahepatic covalently closed circular DNA in chronic hepatitis B patients. J Med Virol 2009;81:27-33.</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rPr>
        <w:t xml:space="preserve">Tandoi F, Caviglia GP, Pittaluga F, Abate ML, Smedile A, Romagnoli R, et al. </w:t>
      </w:r>
      <w:r w:rsidRPr="006D7825">
        <w:rPr>
          <w:rFonts w:ascii="Times New Roman" w:hAnsi="Times New Roman"/>
          <w:sz w:val="24"/>
          <w:szCs w:val="24"/>
          <w:lang w:val="en-US"/>
        </w:rPr>
        <w:t>Prediction of occult hepatitis B virus infection in liver transplant donors through hepatitis B virus blood markers. Dig Liver Dis 2014;46:1020-4.</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lang w:val="en-US"/>
        </w:rPr>
        <w:t>Testoni B, Lebossé F, Scholtes C, Berby F, Miaglia C, Subic M, et al. Serum hepatitis B core-related antigen (HBcrAg) correlates with covalently closed circular DNA transcriptional activity in chronic hepatitis B patients. J Hepatol 2019;70:615-25.</w:t>
      </w:r>
    </w:p>
    <w:p w:rsidR="005B0FBB" w:rsidRPr="006D7825" w:rsidRDefault="005B0FBB" w:rsidP="00DE3DD2">
      <w:pPr>
        <w:spacing w:after="0" w:line="480" w:lineRule="auto"/>
        <w:ind w:left="720" w:hanging="709"/>
        <w:rPr>
          <w:rFonts w:ascii="Times New Roman" w:hAnsi="Times New Roman"/>
          <w:sz w:val="24"/>
          <w:szCs w:val="24"/>
        </w:rPr>
      </w:pPr>
      <w:r w:rsidRPr="006D7825">
        <w:rPr>
          <w:rFonts w:ascii="Times New Roman" w:hAnsi="Times New Roman"/>
          <w:sz w:val="24"/>
          <w:szCs w:val="24"/>
          <w:lang w:val="en-US"/>
        </w:rPr>
        <w:t xml:space="preserve">Trépo C, Chan HL, Lok A. Hepatitis B virus infection. </w:t>
      </w:r>
      <w:r w:rsidR="003E405F" w:rsidRPr="006D7825">
        <w:rPr>
          <w:rFonts w:ascii="Times New Roman" w:hAnsi="Times New Roman"/>
          <w:sz w:val="24"/>
          <w:szCs w:val="24"/>
        </w:rPr>
        <w:t>Lancet 2014;384:2053-</w:t>
      </w:r>
      <w:r w:rsidRPr="006D7825">
        <w:rPr>
          <w:rFonts w:ascii="Times New Roman" w:hAnsi="Times New Roman"/>
          <w:sz w:val="24"/>
          <w:szCs w:val="24"/>
        </w:rPr>
        <w:t>63.</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lang w:val="en-US"/>
        </w:rPr>
        <w:t>van Halewijin GJ, Geurtsvankessel CH, Klaasse J, van Oord GW, de Knegt RJ, van Campenhout MJ, et al. Diagnostic and analytical performance of hepatitis B core related antigen immunoassay in hepatitis B patients. J Clin Virol 2019;114:1-5.</w:t>
      </w:r>
    </w:p>
    <w:p w:rsidR="00DE3DD2" w:rsidRPr="006D7825" w:rsidRDefault="00DE3DD2"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lang w:val="en-US"/>
        </w:rPr>
        <w:t>Yang HC, Tsou HH, Pei SN, Chang CS, Chen JH, Yao M, et al. Quantification of HBV core antibodies may help predict HBV reactivation in patients with lymphoma and resolved HBV infection. J Hepatol 2018;69:286-92.</w:t>
      </w:r>
    </w:p>
    <w:p w:rsidR="005B0FBB" w:rsidRPr="006D7825" w:rsidRDefault="005B0FBB"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rPr>
        <w:lastRenderedPageBreak/>
        <w:t xml:space="preserve">Yuan Q, Song LW, Cavallone D, </w:t>
      </w:r>
      <w:r w:rsidR="003E405F" w:rsidRPr="006D7825">
        <w:rPr>
          <w:rFonts w:ascii="Times New Roman" w:hAnsi="Times New Roman"/>
          <w:sz w:val="24"/>
          <w:szCs w:val="24"/>
        </w:rPr>
        <w:t xml:space="preserve">Moriconi F, Cherubini B, Colombatto P, </w:t>
      </w:r>
      <w:r w:rsidRPr="006D7825">
        <w:rPr>
          <w:rFonts w:ascii="Times New Roman" w:hAnsi="Times New Roman"/>
          <w:sz w:val="24"/>
          <w:szCs w:val="24"/>
        </w:rPr>
        <w:t xml:space="preserve">et al. </w:t>
      </w:r>
      <w:r w:rsidRPr="006D7825">
        <w:rPr>
          <w:rFonts w:ascii="Times New Roman" w:hAnsi="Times New Roman"/>
          <w:sz w:val="24"/>
          <w:szCs w:val="24"/>
          <w:lang w:val="en-US"/>
        </w:rPr>
        <w:t xml:space="preserve">Total hepatitis B core antigen antibody, a quantitative non-invasive marker of hepatitis B virus induced liver disease. </w:t>
      </w:r>
      <w:r w:rsidR="003E405F" w:rsidRPr="006D7825">
        <w:rPr>
          <w:rFonts w:ascii="Times New Roman" w:hAnsi="Times New Roman"/>
          <w:sz w:val="24"/>
          <w:szCs w:val="24"/>
          <w:lang w:val="en-US"/>
        </w:rPr>
        <w:t>PLoS One</w:t>
      </w:r>
      <w:r w:rsidRPr="006D7825">
        <w:rPr>
          <w:rFonts w:ascii="Times New Roman" w:hAnsi="Times New Roman"/>
          <w:sz w:val="24"/>
          <w:szCs w:val="24"/>
          <w:lang w:val="en-US"/>
        </w:rPr>
        <w:t xml:space="preserve"> 2015;10:e0130209.</w:t>
      </w:r>
    </w:p>
    <w:p w:rsidR="005B0FBB" w:rsidRPr="006D7825" w:rsidRDefault="005B0FBB" w:rsidP="00DE3DD2">
      <w:pPr>
        <w:spacing w:after="0" w:line="480" w:lineRule="auto"/>
        <w:ind w:left="720" w:hanging="709"/>
        <w:rPr>
          <w:rFonts w:ascii="Times New Roman" w:hAnsi="Times New Roman"/>
          <w:sz w:val="24"/>
          <w:szCs w:val="24"/>
          <w:lang w:val="en-US"/>
        </w:rPr>
      </w:pPr>
      <w:r w:rsidRPr="006D7825">
        <w:rPr>
          <w:rFonts w:ascii="Times New Roman" w:hAnsi="Times New Roman"/>
          <w:sz w:val="24"/>
          <w:szCs w:val="24"/>
          <w:lang w:val="en-US"/>
        </w:rPr>
        <w:t xml:space="preserve">Yuan Q, Song LW, Liu CJ, </w:t>
      </w:r>
      <w:r w:rsidR="003E405F" w:rsidRPr="006D7825">
        <w:rPr>
          <w:rFonts w:ascii="Times New Roman" w:hAnsi="Times New Roman"/>
          <w:sz w:val="24"/>
          <w:szCs w:val="24"/>
          <w:lang w:val="en-US"/>
        </w:rPr>
        <w:t xml:space="preserve">Li Z, Liu PG, Huang CH, </w:t>
      </w:r>
      <w:r w:rsidRPr="006D7825">
        <w:rPr>
          <w:rFonts w:ascii="Times New Roman" w:hAnsi="Times New Roman"/>
          <w:sz w:val="24"/>
          <w:szCs w:val="24"/>
          <w:lang w:val="en-US"/>
        </w:rPr>
        <w:t xml:space="preserve">et al. Quantitative hepatitis B core antibody level may help predict treatment response in chronic hepatitis B patients. </w:t>
      </w:r>
      <w:r w:rsidR="003E405F" w:rsidRPr="006D7825">
        <w:rPr>
          <w:rFonts w:ascii="Times New Roman" w:hAnsi="Times New Roman"/>
          <w:sz w:val="24"/>
          <w:szCs w:val="24"/>
          <w:lang w:val="en-US"/>
        </w:rPr>
        <w:t>Gut 2013;62:182-</w:t>
      </w:r>
      <w:r w:rsidRPr="006D7825">
        <w:rPr>
          <w:rFonts w:ascii="Times New Roman" w:hAnsi="Times New Roman"/>
          <w:sz w:val="24"/>
          <w:szCs w:val="24"/>
          <w:lang w:val="en-US"/>
        </w:rPr>
        <w:t xml:space="preserve">4. </w:t>
      </w:r>
    </w:p>
    <w:p w:rsidR="005B0FBB" w:rsidRPr="006D7825" w:rsidRDefault="005B0FBB" w:rsidP="005B0FBB">
      <w:pPr>
        <w:suppressLineNumbers/>
        <w:tabs>
          <w:tab w:val="center" w:pos="4986"/>
          <w:tab w:val="right" w:pos="9972"/>
        </w:tabs>
        <w:spacing w:after="0" w:line="100" w:lineRule="atLeast"/>
      </w:pPr>
    </w:p>
    <w:p w:rsidR="005B0FBB" w:rsidRPr="006D7825" w:rsidRDefault="005B0FBB" w:rsidP="005B0FBB">
      <w:pPr>
        <w:sectPr w:rsidR="005B0FBB" w:rsidRPr="006D7825">
          <w:footerReference w:type="default" r:id="rId8"/>
          <w:pgSz w:w="12240" w:h="15840"/>
          <w:pgMar w:top="1417" w:right="1134" w:bottom="1134" w:left="1134" w:header="720" w:footer="708" w:gutter="0"/>
          <w:lnNumType w:countBy="1" w:distance="283" w:restart="continuous"/>
          <w:cols w:space="720"/>
          <w:docGrid w:linePitch="600" w:charSpace="36864"/>
        </w:sectPr>
      </w:pPr>
    </w:p>
    <w:p w:rsidR="005B0FBB" w:rsidRPr="006D7825" w:rsidRDefault="005B0FBB" w:rsidP="005B0FBB">
      <w:pPr>
        <w:spacing w:after="0" w:line="480" w:lineRule="auto"/>
        <w:rPr>
          <w:rFonts w:ascii="Times New Roman" w:hAnsi="Times New Roman"/>
          <w:b/>
          <w:sz w:val="24"/>
          <w:szCs w:val="24"/>
          <w:lang w:val="en-US"/>
        </w:rPr>
      </w:pPr>
      <w:r w:rsidRPr="006D7825">
        <w:rPr>
          <w:rFonts w:ascii="Times New Roman" w:hAnsi="Times New Roman"/>
          <w:b/>
          <w:sz w:val="24"/>
          <w:szCs w:val="24"/>
          <w:lang w:val="en-US"/>
        </w:rPr>
        <w:lastRenderedPageBreak/>
        <w:t xml:space="preserve">Table 1 </w:t>
      </w:r>
    </w:p>
    <w:p w:rsidR="00070022" w:rsidRPr="006D7825" w:rsidRDefault="005B0FBB" w:rsidP="005B0FBB">
      <w:pPr>
        <w:spacing w:after="0" w:line="480" w:lineRule="auto"/>
        <w:rPr>
          <w:rFonts w:ascii="Times New Roman" w:hAnsi="Times New Roman"/>
          <w:sz w:val="24"/>
          <w:szCs w:val="24"/>
          <w:lang w:val="en-US"/>
        </w:rPr>
      </w:pPr>
      <w:r w:rsidRPr="006D7825">
        <w:rPr>
          <w:rFonts w:ascii="Times New Roman" w:hAnsi="Times New Roman"/>
          <w:sz w:val="24"/>
          <w:szCs w:val="24"/>
          <w:lang w:val="en-US"/>
        </w:rPr>
        <w:t xml:space="preserve">Demographic, clinical and virological features of </w:t>
      </w:r>
      <w:r w:rsidR="00800C86" w:rsidRPr="006D7825">
        <w:rPr>
          <w:rFonts w:ascii="Times New Roman" w:hAnsi="Times New Roman"/>
          <w:sz w:val="24"/>
          <w:szCs w:val="24"/>
          <w:lang w:val="en-US"/>
        </w:rPr>
        <w:t xml:space="preserve">the 181 anti-HBc-positive subjects included in the study: </w:t>
      </w:r>
      <w:r w:rsidR="00070022" w:rsidRPr="006D7825">
        <w:rPr>
          <w:rFonts w:ascii="Times New Roman" w:hAnsi="Times New Roman"/>
          <w:sz w:val="24"/>
          <w:szCs w:val="24"/>
          <w:lang w:val="en-US"/>
        </w:rPr>
        <w:t xml:space="preserve">(A) </w:t>
      </w:r>
      <w:r w:rsidRPr="006D7825">
        <w:rPr>
          <w:rFonts w:ascii="Times New Roman" w:hAnsi="Times New Roman"/>
          <w:sz w:val="24"/>
          <w:szCs w:val="24"/>
          <w:lang w:val="en-US"/>
        </w:rPr>
        <w:t xml:space="preserve">the cross-sectional cohort </w:t>
      </w:r>
      <w:r w:rsidR="00800C86" w:rsidRPr="006D7825">
        <w:rPr>
          <w:rFonts w:ascii="Times New Roman" w:hAnsi="Times New Roman"/>
          <w:sz w:val="24"/>
          <w:szCs w:val="24"/>
          <w:lang w:val="en-US"/>
        </w:rPr>
        <w:t xml:space="preserve">of CHB patients in </w:t>
      </w:r>
      <w:r w:rsidRPr="006D7825">
        <w:rPr>
          <w:rFonts w:ascii="Times New Roman" w:hAnsi="Times New Roman"/>
          <w:sz w:val="24"/>
          <w:szCs w:val="24"/>
          <w:lang w:val="en-US"/>
        </w:rPr>
        <w:t>different phases of HBV infection</w:t>
      </w:r>
      <w:r w:rsidR="00070022" w:rsidRPr="006D7825">
        <w:rPr>
          <w:rFonts w:ascii="Times New Roman" w:hAnsi="Times New Roman"/>
          <w:sz w:val="24"/>
          <w:szCs w:val="24"/>
          <w:lang w:val="en-US"/>
        </w:rPr>
        <w:t xml:space="preserve"> </w:t>
      </w:r>
      <w:r w:rsidR="00800C86" w:rsidRPr="006D7825">
        <w:rPr>
          <w:rFonts w:ascii="Times New Roman" w:hAnsi="Times New Roman"/>
          <w:sz w:val="24"/>
          <w:szCs w:val="24"/>
          <w:lang w:val="en-US"/>
        </w:rPr>
        <w:t xml:space="preserve">and </w:t>
      </w:r>
      <w:r w:rsidR="00070022" w:rsidRPr="006D7825">
        <w:rPr>
          <w:rFonts w:ascii="Times New Roman" w:hAnsi="Times New Roman"/>
          <w:sz w:val="24"/>
          <w:szCs w:val="24"/>
          <w:lang w:val="en-US"/>
        </w:rPr>
        <w:t xml:space="preserve">(B) the </w:t>
      </w:r>
      <w:r w:rsidR="00800C86" w:rsidRPr="006D7825">
        <w:rPr>
          <w:rFonts w:ascii="Times New Roman" w:hAnsi="Times New Roman"/>
          <w:sz w:val="24"/>
          <w:szCs w:val="24"/>
          <w:lang w:val="en-US"/>
        </w:rPr>
        <w:t xml:space="preserve">cohort of </w:t>
      </w:r>
      <w:r w:rsidR="00070022" w:rsidRPr="006D7825">
        <w:rPr>
          <w:rFonts w:ascii="Times New Roman" w:hAnsi="Times New Roman"/>
          <w:sz w:val="24"/>
          <w:szCs w:val="24"/>
          <w:lang w:val="en-US"/>
        </w:rPr>
        <w:t>subjects with overt and occult HBV infection in whom intrahepatic HBV cccDNA was evaluated.</w:t>
      </w:r>
    </w:p>
    <w:tbl>
      <w:tblPr>
        <w:tblW w:w="14459" w:type="dxa"/>
        <w:tblLayout w:type="fixed"/>
        <w:tblLook w:val="0000" w:firstRow="0" w:lastRow="0" w:firstColumn="0" w:lastColumn="0" w:noHBand="0" w:noVBand="0"/>
      </w:tblPr>
      <w:tblGrid>
        <w:gridCol w:w="3170"/>
        <w:gridCol w:w="1640"/>
        <w:gridCol w:w="1715"/>
        <w:gridCol w:w="1490"/>
        <w:gridCol w:w="1476"/>
        <w:gridCol w:w="432"/>
        <w:gridCol w:w="1701"/>
        <w:gridCol w:w="1417"/>
        <w:gridCol w:w="1418"/>
      </w:tblGrid>
      <w:tr w:rsidR="00070022" w:rsidRPr="006D7825" w:rsidTr="00070022">
        <w:tc>
          <w:tcPr>
            <w:tcW w:w="3170" w:type="dxa"/>
            <w:tcBorders>
              <w:top w:val="single" w:sz="4" w:space="0" w:color="auto"/>
            </w:tcBorders>
            <w:shd w:val="clear" w:color="auto" w:fill="auto"/>
          </w:tcPr>
          <w:p w:rsidR="00070022" w:rsidRPr="006D7825" w:rsidRDefault="00070022" w:rsidP="001672BC">
            <w:pPr>
              <w:snapToGrid w:val="0"/>
              <w:spacing w:after="0" w:line="480" w:lineRule="auto"/>
              <w:rPr>
                <w:lang w:val="en-US"/>
              </w:rPr>
            </w:pPr>
          </w:p>
        </w:tc>
        <w:tc>
          <w:tcPr>
            <w:tcW w:w="6321" w:type="dxa"/>
            <w:gridSpan w:val="4"/>
            <w:tcBorders>
              <w:top w:val="single" w:sz="4" w:space="0" w:color="auto"/>
              <w:bottom w:val="single" w:sz="4" w:space="0" w:color="auto"/>
            </w:tcBorders>
            <w:shd w:val="clear" w:color="auto" w:fill="auto"/>
          </w:tcPr>
          <w:p w:rsidR="00070022" w:rsidRPr="006D7825" w:rsidRDefault="00070022" w:rsidP="00070022">
            <w:pPr>
              <w:spacing w:after="0" w:line="480" w:lineRule="auto"/>
              <w:rPr>
                <w:rFonts w:ascii="Times New Roman" w:hAnsi="Times New Roman"/>
                <w:b/>
                <w:i/>
                <w:sz w:val="24"/>
                <w:szCs w:val="24"/>
                <w:lang w:val="en-US"/>
              </w:rPr>
            </w:pPr>
            <w:r w:rsidRPr="006D7825">
              <w:rPr>
                <w:rFonts w:ascii="Times New Roman" w:hAnsi="Times New Roman"/>
                <w:b/>
                <w:sz w:val="24"/>
                <w:szCs w:val="24"/>
                <w:lang w:val="en-US"/>
              </w:rPr>
              <w:t>(A) Cross sectional cohort</w:t>
            </w:r>
          </w:p>
        </w:tc>
        <w:tc>
          <w:tcPr>
            <w:tcW w:w="432" w:type="dxa"/>
            <w:tcBorders>
              <w:top w:val="single" w:sz="4" w:space="0" w:color="auto"/>
            </w:tcBorders>
          </w:tcPr>
          <w:p w:rsidR="00070022" w:rsidRPr="006D7825" w:rsidRDefault="00070022" w:rsidP="001672BC">
            <w:pPr>
              <w:spacing w:after="0" w:line="480" w:lineRule="auto"/>
              <w:jc w:val="center"/>
              <w:rPr>
                <w:rFonts w:ascii="Times New Roman" w:hAnsi="Times New Roman"/>
                <w:b/>
                <w:sz w:val="24"/>
                <w:szCs w:val="24"/>
                <w:lang w:val="en-US"/>
              </w:rPr>
            </w:pPr>
          </w:p>
        </w:tc>
        <w:tc>
          <w:tcPr>
            <w:tcW w:w="4536" w:type="dxa"/>
            <w:gridSpan w:val="3"/>
            <w:tcBorders>
              <w:top w:val="single" w:sz="4" w:space="0" w:color="auto"/>
              <w:bottom w:val="single" w:sz="4" w:space="0" w:color="auto"/>
            </w:tcBorders>
          </w:tcPr>
          <w:p w:rsidR="00070022" w:rsidRPr="006D7825" w:rsidRDefault="00070022" w:rsidP="00070022">
            <w:pPr>
              <w:spacing w:after="0" w:line="480" w:lineRule="auto"/>
              <w:rPr>
                <w:rFonts w:ascii="Times New Roman" w:hAnsi="Times New Roman"/>
                <w:sz w:val="24"/>
                <w:szCs w:val="24"/>
                <w:lang w:val="en-US"/>
              </w:rPr>
            </w:pPr>
            <w:r w:rsidRPr="006D7825">
              <w:rPr>
                <w:rFonts w:ascii="Times New Roman" w:hAnsi="Times New Roman"/>
                <w:b/>
                <w:sz w:val="24"/>
                <w:szCs w:val="24"/>
                <w:lang w:val="en-US"/>
              </w:rPr>
              <w:t>(B)</w:t>
            </w:r>
            <w:r w:rsidRPr="006D7825">
              <w:rPr>
                <w:rFonts w:ascii="Times New Roman" w:hAnsi="Times New Roman"/>
                <w:sz w:val="24"/>
                <w:szCs w:val="24"/>
                <w:lang w:val="en-US"/>
              </w:rPr>
              <w:t xml:space="preserve"> </w:t>
            </w:r>
            <w:r w:rsidR="00A77B2E" w:rsidRPr="006D7825">
              <w:rPr>
                <w:rFonts w:ascii="Times New Roman" w:hAnsi="Times New Roman"/>
                <w:b/>
                <w:sz w:val="24"/>
                <w:szCs w:val="24"/>
                <w:lang w:val="en-US"/>
              </w:rPr>
              <w:t>I</w:t>
            </w:r>
            <w:r w:rsidRPr="006D7825">
              <w:rPr>
                <w:rFonts w:ascii="Times New Roman" w:hAnsi="Times New Roman"/>
                <w:b/>
                <w:sz w:val="24"/>
                <w:szCs w:val="24"/>
                <w:lang w:val="en-US"/>
              </w:rPr>
              <w:t>ntrahepatic HBV cccDNA evaluation</w:t>
            </w:r>
          </w:p>
        </w:tc>
      </w:tr>
      <w:tr w:rsidR="00070022" w:rsidRPr="006D7825" w:rsidTr="00070022">
        <w:tc>
          <w:tcPr>
            <w:tcW w:w="3170" w:type="dxa"/>
            <w:tcBorders>
              <w:bottom w:val="single" w:sz="4" w:space="0" w:color="000000"/>
            </w:tcBorders>
            <w:shd w:val="clear" w:color="auto" w:fill="auto"/>
          </w:tcPr>
          <w:p w:rsidR="00070022" w:rsidRPr="006D7825" w:rsidRDefault="00070022" w:rsidP="001672BC">
            <w:pPr>
              <w:snapToGrid w:val="0"/>
              <w:spacing w:after="0" w:line="480" w:lineRule="auto"/>
              <w:rPr>
                <w:lang w:val="en-US"/>
              </w:rPr>
            </w:pPr>
          </w:p>
        </w:tc>
        <w:tc>
          <w:tcPr>
            <w:tcW w:w="1640" w:type="dxa"/>
            <w:tcBorders>
              <w:top w:val="single" w:sz="4" w:space="0" w:color="auto"/>
              <w:bottom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b/>
                <w:sz w:val="24"/>
                <w:szCs w:val="24"/>
                <w:lang w:val="en-US"/>
              </w:rPr>
            </w:pPr>
            <w:r w:rsidRPr="006D7825">
              <w:rPr>
                <w:rFonts w:ascii="Times New Roman" w:hAnsi="Times New Roman"/>
                <w:b/>
                <w:sz w:val="24"/>
                <w:szCs w:val="24"/>
                <w:lang w:val="en-US"/>
              </w:rPr>
              <w:t>HBeAg+ CH</w:t>
            </w:r>
          </w:p>
        </w:tc>
        <w:tc>
          <w:tcPr>
            <w:tcW w:w="1715" w:type="dxa"/>
            <w:tcBorders>
              <w:top w:val="single" w:sz="4" w:space="0" w:color="auto"/>
              <w:bottom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b/>
                <w:sz w:val="24"/>
                <w:szCs w:val="24"/>
                <w:lang w:val="en-US"/>
              </w:rPr>
            </w:pPr>
            <w:r w:rsidRPr="006D7825">
              <w:rPr>
                <w:rFonts w:ascii="Times New Roman" w:hAnsi="Times New Roman"/>
                <w:b/>
                <w:sz w:val="24"/>
                <w:szCs w:val="24"/>
                <w:lang w:val="en-US"/>
              </w:rPr>
              <w:t>HBeAg- CH</w:t>
            </w:r>
          </w:p>
        </w:tc>
        <w:tc>
          <w:tcPr>
            <w:tcW w:w="1490" w:type="dxa"/>
            <w:tcBorders>
              <w:top w:val="single" w:sz="4" w:space="0" w:color="auto"/>
              <w:bottom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b/>
                <w:sz w:val="24"/>
                <w:szCs w:val="24"/>
                <w:lang w:val="en-US"/>
              </w:rPr>
            </w:pPr>
            <w:r w:rsidRPr="006D7825">
              <w:rPr>
                <w:rFonts w:ascii="Times New Roman" w:hAnsi="Times New Roman"/>
                <w:b/>
                <w:sz w:val="24"/>
                <w:szCs w:val="24"/>
                <w:lang w:val="en-US"/>
              </w:rPr>
              <w:t>HBeAg- CI</w:t>
            </w:r>
          </w:p>
        </w:tc>
        <w:tc>
          <w:tcPr>
            <w:tcW w:w="1476" w:type="dxa"/>
            <w:tcBorders>
              <w:top w:val="single" w:sz="4" w:space="0" w:color="auto"/>
              <w:bottom w:val="single" w:sz="4" w:space="0" w:color="000000"/>
            </w:tcBorders>
          </w:tcPr>
          <w:p w:rsidR="00070022" w:rsidRPr="006D7825" w:rsidRDefault="00070022" w:rsidP="001672BC">
            <w:pPr>
              <w:spacing w:after="0" w:line="480" w:lineRule="auto"/>
              <w:jc w:val="center"/>
              <w:rPr>
                <w:lang w:val="en-US"/>
              </w:rPr>
            </w:pPr>
            <w:r w:rsidRPr="006D7825">
              <w:rPr>
                <w:rFonts w:ascii="Times New Roman" w:hAnsi="Times New Roman"/>
                <w:b/>
                <w:i/>
                <w:sz w:val="24"/>
                <w:szCs w:val="24"/>
                <w:lang w:val="en-US"/>
              </w:rPr>
              <w:t>P</w:t>
            </w:r>
            <w:r w:rsidRPr="006D7825">
              <w:rPr>
                <w:rFonts w:ascii="Times New Roman" w:hAnsi="Times New Roman"/>
                <w:b/>
                <w:sz w:val="24"/>
                <w:szCs w:val="24"/>
                <w:lang w:val="en-US"/>
              </w:rPr>
              <w:t xml:space="preserve"> value</w:t>
            </w:r>
          </w:p>
        </w:tc>
        <w:tc>
          <w:tcPr>
            <w:tcW w:w="432" w:type="dxa"/>
            <w:tcBorders>
              <w:bottom w:val="single" w:sz="4" w:space="0" w:color="000000"/>
            </w:tcBorders>
          </w:tcPr>
          <w:p w:rsidR="00070022" w:rsidRPr="006D7825" w:rsidRDefault="00070022" w:rsidP="001672BC">
            <w:pPr>
              <w:spacing w:after="0" w:line="480" w:lineRule="auto"/>
              <w:jc w:val="center"/>
              <w:rPr>
                <w:rFonts w:ascii="Times New Roman" w:hAnsi="Times New Roman"/>
                <w:b/>
                <w:sz w:val="24"/>
                <w:szCs w:val="24"/>
                <w:lang w:val="en-US"/>
              </w:rPr>
            </w:pPr>
          </w:p>
        </w:tc>
        <w:tc>
          <w:tcPr>
            <w:tcW w:w="1701" w:type="dxa"/>
            <w:tcBorders>
              <w:top w:val="single" w:sz="4" w:space="0" w:color="auto"/>
              <w:bottom w:val="single" w:sz="4" w:space="0" w:color="000000"/>
            </w:tcBorders>
          </w:tcPr>
          <w:p w:rsidR="00070022" w:rsidRPr="006D7825" w:rsidRDefault="00070022" w:rsidP="001672BC">
            <w:pPr>
              <w:spacing w:after="0" w:line="480" w:lineRule="auto"/>
              <w:jc w:val="center"/>
              <w:rPr>
                <w:rFonts w:ascii="Times New Roman" w:hAnsi="Times New Roman"/>
                <w:b/>
                <w:sz w:val="24"/>
                <w:szCs w:val="24"/>
                <w:lang w:val="en-US"/>
              </w:rPr>
            </w:pPr>
            <w:r w:rsidRPr="006D7825">
              <w:rPr>
                <w:rFonts w:ascii="Times New Roman" w:hAnsi="Times New Roman"/>
                <w:b/>
                <w:sz w:val="24"/>
                <w:szCs w:val="24"/>
                <w:lang w:val="en-US"/>
              </w:rPr>
              <w:t xml:space="preserve">Overt HBV </w:t>
            </w:r>
          </w:p>
        </w:tc>
        <w:tc>
          <w:tcPr>
            <w:tcW w:w="1417" w:type="dxa"/>
            <w:tcBorders>
              <w:top w:val="single" w:sz="4" w:space="0" w:color="auto"/>
              <w:bottom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b/>
                <w:i/>
                <w:sz w:val="24"/>
                <w:szCs w:val="24"/>
                <w:lang w:val="en-US"/>
              </w:rPr>
            </w:pPr>
            <w:r w:rsidRPr="006D7825">
              <w:rPr>
                <w:rFonts w:ascii="Times New Roman" w:hAnsi="Times New Roman"/>
                <w:b/>
                <w:sz w:val="24"/>
                <w:szCs w:val="24"/>
                <w:lang w:val="en-US"/>
              </w:rPr>
              <w:t>OBI</w:t>
            </w:r>
          </w:p>
        </w:tc>
        <w:tc>
          <w:tcPr>
            <w:tcW w:w="1418" w:type="dxa"/>
            <w:tcBorders>
              <w:top w:val="single" w:sz="4" w:space="0" w:color="auto"/>
              <w:bottom w:val="single" w:sz="4" w:space="0" w:color="000000"/>
            </w:tcBorders>
          </w:tcPr>
          <w:p w:rsidR="00070022" w:rsidRPr="006D7825" w:rsidRDefault="00070022" w:rsidP="001672BC">
            <w:pPr>
              <w:spacing w:after="0" w:line="480" w:lineRule="auto"/>
              <w:jc w:val="center"/>
              <w:rPr>
                <w:rFonts w:ascii="Times New Roman" w:hAnsi="Times New Roman"/>
                <w:b/>
                <w:sz w:val="24"/>
                <w:szCs w:val="24"/>
                <w:lang w:val="en-US"/>
              </w:rPr>
            </w:pPr>
            <w:r w:rsidRPr="006D7825">
              <w:rPr>
                <w:rFonts w:ascii="Times New Roman" w:hAnsi="Times New Roman"/>
                <w:b/>
                <w:i/>
                <w:sz w:val="24"/>
                <w:szCs w:val="24"/>
                <w:lang w:val="en-US"/>
              </w:rPr>
              <w:t xml:space="preserve">P </w:t>
            </w:r>
            <w:r w:rsidRPr="006D7825">
              <w:rPr>
                <w:rFonts w:ascii="Times New Roman" w:hAnsi="Times New Roman"/>
                <w:b/>
                <w:sz w:val="24"/>
                <w:szCs w:val="24"/>
                <w:lang w:val="en-US"/>
              </w:rPr>
              <w:t>value</w:t>
            </w:r>
          </w:p>
        </w:tc>
      </w:tr>
      <w:tr w:rsidR="00070022" w:rsidRPr="006D7825" w:rsidTr="00070022">
        <w:tc>
          <w:tcPr>
            <w:tcW w:w="3170" w:type="dxa"/>
            <w:tcBorders>
              <w:top w:val="single" w:sz="4" w:space="0" w:color="000000"/>
            </w:tcBorders>
            <w:shd w:val="clear" w:color="auto" w:fill="auto"/>
          </w:tcPr>
          <w:p w:rsidR="00070022" w:rsidRPr="006D7825" w:rsidRDefault="00070022" w:rsidP="001672BC">
            <w:pPr>
              <w:spacing w:after="0" w:line="480" w:lineRule="auto"/>
              <w:rPr>
                <w:rFonts w:ascii="Times New Roman" w:hAnsi="Times New Roman"/>
                <w:sz w:val="24"/>
                <w:szCs w:val="24"/>
                <w:lang w:val="en-US"/>
              </w:rPr>
            </w:pPr>
            <w:r w:rsidRPr="006D7825">
              <w:rPr>
                <w:rFonts w:ascii="Times New Roman" w:hAnsi="Times New Roman"/>
                <w:sz w:val="24"/>
                <w:szCs w:val="24"/>
                <w:lang w:val="en-US"/>
              </w:rPr>
              <w:t>Number</w:t>
            </w:r>
          </w:p>
        </w:tc>
        <w:tc>
          <w:tcPr>
            <w:tcW w:w="1640" w:type="dxa"/>
            <w:tcBorders>
              <w:top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13</w:t>
            </w:r>
          </w:p>
        </w:tc>
        <w:tc>
          <w:tcPr>
            <w:tcW w:w="1715" w:type="dxa"/>
            <w:tcBorders>
              <w:top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51</w:t>
            </w:r>
          </w:p>
        </w:tc>
        <w:tc>
          <w:tcPr>
            <w:tcW w:w="1490" w:type="dxa"/>
            <w:tcBorders>
              <w:top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55</w:t>
            </w:r>
          </w:p>
        </w:tc>
        <w:tc>
          <w:tcPr>
            <w:tcW w:w="1476" w:type="dxa"/>
            <w:tcBorders>
              <w:top w:val="single" w:sz="4" w:space="0" w:color="000000"/>
            </w:tcBorders>
          </w:tcPr>
          <w:p w:rsidR="00070022" w:rsidRPr="006D7825" w:rsidRDefault="00070022" w:rsidP="001672BC">
            <w:pPr>
              <w:snapToGrid w:val="0"/>
              <w:spacing w:after="0" w:line="480" w:lineRule="auto"/>
              <w:jc w:val="center"/>
              <w:rPr>
                <w:rFonts w:ascii="Times New Roman" w:hAnsi="Times New Roman"/>
                <w:sz w:val="24"/>
                <w:szCs w:val="24"/>
                <w:lang w:val="en-US"/>
              </w:rPr>
            </w:pPr>
          </w:p>
        </w:tc>
        <w:tc>
          <w:tcPr>
            <w:tcW w:w="432" w:type="dxa"/>
            <w:tcBorders>
              <w:top w:val="single" w:sz="4" w:space="0" w:color="000000"/>
            </w:tcBorders>
          </w:tcPr>
          <w:p w:rsidR="00070022" w:rsidRPr="006D7825" w:rsidRDefault="00070022" w:rsidP="001672BC">
            <w:pPr>
              <w:spacing w:after="0" w:line="480" w:lineRule="auto"/>
              <w:jc w:val="center"/>
              <w:rPr>
                <w:rFonts w:ascii="Times New Roman" w:hAnsi="Times New Roman"/>
                <w:sz w:val="24"/>
                <w:szCs w:val="24"/>
                <w:lang w:val="en-US"/>
              </w:rPr>
            </w:pPr>
          </w:p>
        </w:tc>
        <w:tc>
          <w:tcPr>
            <w:tcW w:w="1701" w:type="dxa"/>
            <w:tcBorders>
              <w:top w:val="single" w:sz="4" w:space="0" w:color="000000"/>
            </w:tcBorders>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35</w:t>
            </w:r>
          </w:p>
        </w:tc>
        <w:tc>
          <w:tcPr>
            <w:tcW w:w="1417" w:type="dxa"/>
            <w:tcBorders>
              <w:top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27</w:t>
            </w:r>
          </w:p>
        </w:tc>
        <w:tc>
          <w:tcPr>
            <w:tcW w:w="1418" w:type="dxa"/>
            <w:tcBorders>
              <w:top w:val="single" w:sz="4" w:space="0" w:color="000000"/>
            </w:tcBorders>
          </w:tcPr>
          <w:p w:rsidR="00070022" w:rsidRPr="006D7825" w:rsidRDefault="00070022" w:rsidP="001672BC">
            <w:pPr>
              <w:spacing w:after="0" w:line="480" w:lineRule="auto"/>
              <w:jc w:val="center"/>
              <w:rPr>
                <w:rFonts w:ascii="Times New Roman" w:hAnsi="Times New Roman"/>
                <w:sz w:val="24"/>
                <w:szCs w:val="24"/>
                <w:lang w:val="en-US"/>
              </w:rPr>
            </w:pPr>
          </w:p>
        </w:tc>
      </w:tr>
      <w:tr w:rsidR="00070022" w:rsidRPr="006D7825" w:rsidTr="00070022">
        <w:tc>
          <w:tcPr>
            <w:tcW w:w="3170" w:type="dxa"/>
            <w:shd w:val="clear" w:color="auto" w:fill="auto"/>
          </w:tcPr>
          <w:p w:rsidR="00070022" w:rsidRPr="006D7825" w:rsidRDefault="00070022" w:rsidP="001672BC">
            <w:pPr>
              <w:spacing w:after="0" w:line="480" w:lineRule="auto"/>
              <w:rPr>
                <w:rFonts w:ascii="Times New Roman" w:hAnsi="Times New Roman"/>
                <w:sz w:val="24"/>
                <w:szCs w:val="24"/>
                <w:lang w:val="en-US"/>
              </w:rPr>
            </w:pPr>
            <w:r w:rsidRPr="006D7825">
              <w:rPr>
                <w:rFonts w:ascii="Times New Roman" w:hAnsi="Times New Roman"/>
                <w:sz w:val="24"/>
                <w:szCs w:val="24"/>
                <w:lang w:val="en-US"/>
              </w:rPr>
              <w:t>Age, years</w:t>
            </w:r>
          </w:p>
        </w:tc>
        <w:tc>
          <w:tcPr>
            <w:tcW w:w="164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38 (28 - 45)</w:t>
            </w:r>
          </w:p>
        </w:tc>
        <w:tc>
          <w:tcPr>
            <w:tcW w:w="1715"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49 (45 - 55)</w:t>
            </w:r>
          </w:p>
        </w:tc>
        <w:tc>
          <w:tcPr>
            <w:tcW w:w="149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40 (38 - 44)</w:t>
            </w:r>
          </w:p>
        </w:tc>
        <w:tc>
          <w:tcPr>
            <w:tcW w:w="1476" w:type="dxa"/>
          </w:tcPr>
          <w:p w:rsidR="00070022" w:rsidRPr="006D7825" w:rsidRDefault="00070022" w:rsidP="001672BC">
            <w:pPr>
              <w:spacing w:after="0" w:line="480" w:lineRule="auto"/>
              <w:jc w:val="center"/>
            </w:pPr>
            <w:r w:rsidRPr="006D7825">
              <w:rPr>
                <w:rFonts w:ascii="Times New Roman" w:hAnsi="Times New Roman"/>
                <w:sz w:val="24"/>
                <w:szCs w:val="24"/>
                <w:lang w:val="en-US"/>
              </w:rPr>
              <w:t xml:space="preserve">&lt;0.001 </w:t>
            </w:r>
            <w:r w:rsidRPr="006D7825">
              <w:rPr>
                <w:rFonts w:ascii="Times New Roman" w:hAnsi="Times New Roman"/>
                <w:sz w:val="24"/>
                <w:szCs w:val="24"/>
                <w:vertAlign w:val="superscript"/>
                <w:lang w:val="en-US"/>
              </w:rPr>
              <w:t>b</w:t>
            </w:r>
          </w:p>
        </w:tc>
        <w:tc>
          <w:tcPr>
            <w:tcW w:w="432" w:type="dxa"/>
          </w:tcPr>
          <w:p w:rsidR="00070022" w:rsidRPr="006D7825" w:rsidRDefault="00070022" w:rsidP="001672BC">
            <w:pPr>
              <w:spacing w:after="0" w:line="480" w:lineRule="auto"/>
              <w:jc w:val="center"/>
              <w:rPr>
                <w:rFonts w:ascii="Times New Roman" w:hAnsi="Times New Roman"/>
                <w:sz w:val="24"/>
                <w:szCs w:val="24"/>
                <w:lang w:val="en-US"/>
              </w:rPr>
            </w:pPr>
          </w:p>
        </w:tc>
        <w:tc>
          <w:tcPr>
            <w:tcW w:w="1701" w:type="dxa"/>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52 (42 - 56)</w:t>
            </w:r>
          </w:p>
        </w:tc>
        <w:tc>
          <w:tcPr>
            <w:tcW w:w="1417"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63 (53 - 70)</w:t>
            </w:r>
          </w:p>
        </w:tc>
        <w:tc>
          <w:tcPr>
            <w:tcW w:w="1418" w:type="dxa"/>
          </w:tcPr>
          <w:p w:rsidR="00070022" w:rsidRPr="006D7825" w:rsidRDefault="00070022" w:rsidP="001672BC">
            <w:pPr>
              <w:spacing w:after="0" w:line="480" w:lineRule="auto"/>
              <w:jc w:val="center"/>
              <w:rPr>
                <w:rFonts w:ascii="Times New Roman" w:hAnsi="Times New Roman"/>
                <w:sz w:val="24"/>
                <w:szCs w:val="24"/>
                <w:vertAlign w:val="superscript"/>
                <w:lang w:val="en-US"/>
              </w:rPr>
            </w:pPr>
            <w:r w:rsidRPr="006D7825">
              <w:rPr>
                <w:rFonts w:ascii="Times New Roman" w:hAnsi="Times New Roman"/>
                <w:sz w:val="24"/>
                <w:szCs w:val="24"/>
                <w:lang w:val="en-US"/>
              </w:rPr>
              <w:t xml:space="preserve">0.001 </w:t>
            </w:r>
            <w:r w:rsidRPr="006D7825">
              <w:rPr>
                <w:rFonts w:ascii="Times New Roman" w:hAnsi="Times New Roman"/>
                <w:sz w:val="24"/>
                <w:szCs w:val="24"/>
                <w:vertAlign w:val="superscript"/>
                <w:lang w:val="en-US"/>
              </w:rPr>
              <w:t>e</w:t>
            </w:r>
          </w:p>
        </w:tc>
      </w:tr>
      <w:tr w:rsidR="00070022" w:rsidRPr="006D7825" w:rsidTr="00070022">
        <w:tc>
          <w:tcPr>
            <w:tcW w:w="3170" w:type="dxa"/>
            <w:shd w:val="clear" w:color="auto" w:fill="auto"/>
          </w:tcPr>
          <w:p w:rsidR="00070022" w:rsidRPr="006D7825" w:rsidRDefault="00070022" w:rsidP="001672BC">
            <w:pPr>
              <w:spacing w:after="0" w:line="480" w:lineRule="auto"/>
              <w:rPr>
                <w:rFonts w:ascii="Times New Roman" w:hAnsi="Times New Roman"/>
                <w:sz w:val="24"/>
                <w:szCs w:val="24"/>
                <w:lang w:val="en-US"/>
              </w:rPr>
            </w:pPr>
            <w:r w:rsidRPr="006D7825">
              <w:rPr>
                <w:rFonts w:ascii="Times New Roman" w:hAnsi="Times New Roman"/>
                <w:sz w:val="24"/>
                <w:szCs w:val="24"/>
                <w:lang w:val="en-US"/>
              </w:rPr>
              <w:t>Gender, M/F</w:t>
            </w:r>
          </w:p>
        </w:tc>
        <w:tc>
          <w:tcPr>
            <w:tcW w:w="164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10/3</w:t>
            </w:r>
          </w:p>
        </w:tc>
        <w:tc>
          <w:tcPr>
            <w:tcW w:w="1715"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41/10</w:t>
            </w:r>
          </w:p>
        </w:tc>
        <w:tc>
          <w:tcPr>
            <w:tcW w:w="149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27/28</w:t>
            </w:r>
          </w:p>
        </w:tc>
        <w:tc>
          <w:tcPr>
            <w:tcW w:w="1476" w:type="dxa"/>
          </w:tcPr>
          <w:p w:rsidR="00070022" w:rsidRPr="006D7825" w:rsidRDefault="00070022" w:rsidP="001672BC">
            <w:pPr>
              <w:spacing w:after="0" w:line="480" w:lineRule="auto"/>
              <w:jc w:val="center"/>
            </w:pPr>
            <w:r w:rsidRPr="006D7825">
              <w:rPr>
                <w:rFonts w:ascii="Times New Roman" w:hAnsi="Times New Roman"/>
                <w:sz w:val="24"/>
                <w:szCs w:val="24"/>
                <w:lang w:val="en-US"/>
              </w:rPr>
              <w:t xml:space="preserve">0.005 </w:t>
            </w:r>
            <w:r w:rsidRPr="006D7825">
              <w:rPr>
                <w:rFonts w:ascii="Times New Roman" w:hAnsi="Times New Roman"/>
                <w:sz w:val="24"/>
                <w:szCs w:val="24"/>
                <w:vertAlign w:val="superscript"/>
                <w:lang w:val="en-US"/>
              </w:rPr>
              <w:t>c</w:t>
            </w:r>
          </w:p>
        </w:tc>
        <w:tc>
          <w:tcPr>
            <w:tcW w:w="432" w:type="dxa"/>
          </w:tcPr>
          <w:p w:rsidR="00070022" w:rsidRPr="006D7825" w:rsidRDefault="00070022" w:rsidP="001672BC">
            <w:pPr>
              <w:spacing w:after="0" w:line="480" w:lineRule="auto"/>
              <w:jc w:val="center"/>
              <w:rPr>
                <w:rFonts w:ascii="Times New Roman" w:hAnsi="Times New Roman"/>
                <w:sz w:val="24"/>
                <w:szCs w:val="24"/>
                <w:lang w:val="en-US"/>
              </w:rPr>
            </w:pPr>
          </w:p>
        </w:tc>
        <w:tc>
          <w:tcPr>
            <w:tcW w:w="1701" w:type="dxa"/>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26/9</w:t>
            </w:r>
          </w:p>
        </w:tc>
        <w:tc>
          <w:tcPr>
            <w:tcW w:w="1417"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15/12</w:t>
            </w:r>
          </w:p>
        </w:tc>
        <w:tc>
          <w:tcPr>
            <w:tcW w:w="1418" w:type="dxa"/>
          </w:tcPr>
          <w:p w:rsidR="00070022" w:rsidRPr="006D7825" w:rsidRDefault="00070022" w:rsidP="001672BC">
            <w:pPr>
              <w:spacing w:after="0" w:line="480" w:lineRule="auto"/>
              <w:jc w:val="center"/>
              <w:rPr>
                <w:rFonts w:ascii="Times New Roman" w:hAnsi="Times New Roman"/>
                <w:sz w:val="24"/>
                <w:szCs w:val="24"/>
                <w:vertAlign w:val="superscript"/>
                <w:lang w:val="en-US"/>
              </w:rPr>
            </w:pPr>
            <w:r w:rsidRPr="006D7825">
              <w:rPr>
                <w:rFonts w:ascii="Times New Roman" w:hAnsi="Times New Roman"/>
                <w:sz w:val="24"/>
                <w:szCs w:val="24"/>
                <w:lang w:val="en-US"/>
              </w:rPr>
              <w:t xml:space="preserve">0.177 </w:t>
            </w:r>
            <w:r w:rsidRPr="006D7825">
              <w:rPr>
                <w:rFonts w:ascii="Times New Roman" w:hAnsi="Times New Roman"/>
                <w:sz w:val="24"/>
                <w:szCs w:val="24"/>
                <w:vertAlign w:val="superscript"/>
                <w:lang w:val="en-US"/>
              </w:rPr>
              <w:t>f</w:t>
            </w:r>
          </w:p>
        </w:tc>
      </w:tr>
      <w:tr w:rsidR="00070022" w:rsidRPr="006D7825" w:rsidTr="00070022">
        <w:tc>
          <w:tcPr>
            <w:tcW w:w="3170" w:type="dxa"/>
            <w:shd w:val="clear" w:color="auto" w:fill="auto"/>
          </w:tcPr>
          <w:p w:rsidR="00070022" w:rsidRPr="006D7825" w:rsidRDefault="00070022" w:rsidP="001672BC">
            <w:pPr>
              <w:spacing w:after="0" w:line="480" w:lineRule="auto"/>
              <w:rPr>
                <w:rFonts w:ascii="Times New Roman" w:hAnsi="Times New Roman"/>
                <w:sz w:val="24"/>
                <w:szCs w:val="24"/>
                <w:lang w:val="en-US"/>
              </w:rPr>
            </w:pPr>
            <w:r w:rsidRPr="006D7825">
              <w:rPr>
                <w:rFonts w:ascii="Times New Roman" w:hAnsi="Times New Roman"/>
                <w:sz w:val="24"/>
                <w:szCs w:val="24"/>
                <w:lang w:val="en-US"/>
              </w:rPr>
              <w:t>ALT, U/L</w:t>
            </w:r>
          </w:p>
        </w:tc>
        <w:tc>
          <w:tcPr>
            <w:tcW w:w="164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106 (59 - 123)</w:t>
            </w:r>
          </w:p>
        </w:tc>
        <w:tc>
          <w:tcPr>
            <w:tcW w:w="1715"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103 (57 - 133)</w:t>
            </w:r>
          </w:p>
        </w:tc>
        <w:tc>
          <w:tcPr>
            <w:tcW w:w="149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22 (19 - 25)</w:t>
            </w:r>
          </w:p>
        </w:tc>
        <w:tc>
          <w:tcPr>
            <w:tcW w:w="1476" w:type="dxa"/>
          </w:tcPr>
          <w:p w:rsidR="00070022" w:rsidRPr="006D7825" w:rsidRDefault="00070022" w:rsidP="001672BC">
            <w:pPr>
              <w:spacing w:after="0" w:line="480" w:lineRule="auto"/>
              <w:jc w:val="center"/>
            </w:pPr>
            <w:r w:rsidRPr="006D7825">
              <w:rPr>
                <w:rFonts w:ascii="Times New Roman" w:hAnsi="Times New Roman"/>
                <w:sz w:val="24"/>
                <w:szCs w:val="24"/>
                <w:lang w:val="en-US"/>
              </w:rPr>
              <w:t xml:space="preserve">&lt;0.001 </w:t>
            </w:r>
            <w:r w:rsidRPr="006D7825">
              <w:rPr>
                <w:rFonts w:ascii="Times New Roman" w:hAnsi="Times New Roman"/>
                <w:sz w:val="24"/>
                <w:szCs w:val="24"/>
                <w:vertAlign w:val="superscript"/>
                <w:lang w:val="en-US"/>
              </w:rPr>
              <w:t>b</w:t>
            </w:r>
          </w:p>
        </w:tc>
        <w:tc>
          <w:tcPr>
            <w:tcW w:w="432" w:type="dxa"/>
          </w:tcPr>
          <w:p w:rsidR="00070022" w:rsidRPr="006D7825" w:rsidRDefault="00070022" w:rsidP="001672BC">
            <w:pPr>
              <w:spacing w:after="0" w:line="480" w:lineRule="auto"/>
              <w:jc w:val="center"/>
              <w:rPr>
                <w:rFonts w:ascii="Times New Roman" w:hAnsi="Times New Roman"/>
                <w:sz w:val="24"/>
                <w:szCs w:val="24"/>
                <w:lang w:val="en-US"/>
              </w:rPr>
            </w:pPr>
          </w:p>
        </w:tc>
        <w:tc>
          <w:tcPr>
            <w:tcW w:w="1701" w:type="dxa"/>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3.11 ± 1.14</w:t>
            </w:r>
          </w:p>
        </w:tc>
        <w:tc>
          <w:tcPr>
            <w:tcW w:w="1417"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NA</w:t>
            </w:r>
          </w:p>
        </w:tc>
        <w:tc>
          <w:tcPr>
            <w:tcW w:w="1418" w:type="dxa"/>
          </w:tcPr>
          <w:p w:rsidR="00070022" w:rsidRPr="006D7825" w:rsidRDefault="00070022" w:rsidP="001672BC">
            <w:pPr>
              <w:spacing w:after="0" w:line="480" w:lineRule="auto"/>
              <w:jc w:val="center"/>
              <w:rPr>
                <w:rFonts w:ascii="Times New Roman" w:hAnsi="Times New Roman"/>
                <w:sz w:val="24"/>
                <w:szCs w:val="24"/>
                <w:vertAlign w:val="superscript"/>
                <w:lang w:val="en-US"/>
              </w:rPr>
            </w:pPr>
            <w:r w:rsidRPr="006D7825">
              <w:rPr>
                <w:rFonts w:ascii="Times New Roman" w:hAnsi="Times New Roman"/>
                <w:sz w:val="24"/>
                <w:szCs w:val="24"/>
                <w:lang w:val="en-US"/>
              </w:rPr>
              <w:t xml:space="preserve">&lt;0.001 </w:t>
            </w:r>
            <w:r w:rsidRPr="006D7825">
              <w:rPr>
                <w:rFonts w:ascii="Times New Roman" w:hAnsi="Times New Roman"/>
                <w:sz w:val="24"/>
                <w:szCs w:val="24"/>
                <w:vertAlign w:val="superscript"/>
                <w:lang w:val="en-US"/>
              </w:rPr>
              <w:t>g</w:t>
            </w:r>
          </w:p>
        </w:tc>
      </w:tr>
      <w:tr w:rsidR="00070022" w:rsidRPr="006D7825" w:rsidTr="00070022">
        <w:tc>
          <w:tcPr>
            <w:tcW w:w="3170" w:type="dxa"/>
            <w:shd w:val="clear" w:color="auto" w:fill="auto"/>
          </w:tcPr>
          <w:p w:rsidR="00070022" w:rsidRPr="006D7825" w:rsidRDefault="00070022" w:rsidP="001672BC">
            <w:pPr>
              <w:spacing w:after="0" w:line="480" w:lineRule="auto"/>
              <w:rPr>
                <w:rFonts w:ascii="Times New Roman" w:hAnsi="Times New Roman"/>
                <w:sz w:val="24"/>
                <w:szCs w:val="24"/>
                <w:lang w:val="en-US"/>
              </w:rPr>
            </w:pPr>
            <w:r w:rsidRPr="006D7825">
              <w:rPr>
                <w:rFonts w:ascii="Times New Roman" w:hAnsi="Times New Roman"/>
                <w:sz w:val="24"/>
                <w:szCs w:val="24"/>
                <w:lang w:val="en-US"/>
              </w:rPr>
              <w:t>HBV DNA, Log IU/mL</w:t>
            </w:r>
          </w:p>
        </w:tc>
        <w:tc>
          <w:tcPr>
            <w:tcW w:w="164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7.75 ± 0.82</w:t>
            </w:r>
          </w:p>
        </w:tc>
        <w:tc>
          <w:tcPr>
            <w:tcW w:w="1715"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6.24 ± 1.36</w:t>
            </w:r>
          </w:p>
        </w:tc>
        <w:tc>
          <w:tcPr>
            <w:tcW w:w="149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2.74 ± 0.91</w:t>
            </w:r>
          </w:p>
        </w:tc>
        <w:tc>
          <w:tcPr>
            <w:tcW w:w="1476" w:type="dxa"/>
          </w:tcPr>
          <w:p w:rsidR="00070022" w:rsidRPr="006D7825" w:rsidRDefault="00070022" w:rsidP="001672BC">
            <w:pPr>
              <w:spacing w:after="0" w:line="480" w:lineRule="auto"/>
              <w:jc w:val="center"/>
            </w:pPr>
            <w:r w:rsidRPr="006D7825">
              <w:rPr>
                <w:rFonts w:ascii="Times New Roman" w:hAnsi="Times New Roman"/>
                <w:sz w:val="24"/>
                <w:szCs w:val="24"/>
                <w:lang w:val="en-US"/>
              </w:rPr>
              <w:t xml:space="preserve">&lt;0.001 </w:t>
            </w:r>
            <w:r w:rsidRPr="006D7825">
              <w:rPr>
                <w:rFonts w:ascii="Times New Roman" w:hAnsi="Times New Roman"/>
                <w:sz w:val="24"/>
                <w:szCs w:val="24"/>
                <w:vertAlign w:val="superscript"/>
                <w:lang w:val="en-US"/>
              </w:rPr>
              <w:t>d</w:t>
            </w:r>
          </w:p>
        </w:tc>
        <w:tc>
          <w:tcPr>
            <w:tcW w:w="432" w:type="dxa"/>
          </w:tcPr>
          <w:p w:rsidR="00070022" w:rsidRPr="006D7825" w:rsidRDefault="00070022" w:rsidP="001672BC">
            <w:pPr>
              <w:spacing w:after="0" w:line="480" w:lineRule="auto"/>
              <w:jc w:val="center"/>
              <w:rPr>
                <w:rFonts w:ascii="Times New Roman" w:hAnsi="Times New Roman"/>
                <w:sz w:val="24"/>
                <w:szCs w:val="24"/>
                <w:lang w:val="en-US"/>
              </w:rPr>
            </w:pPr>
          </w:p>
        </w:tc>
        <w:tc>
          <w:tcPr>
            <w:tcW w:w="1701" w:type="dxa"/>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5.48 ± 2.27</w:t>
            </w:r>
          </w:p>
        </w:tc>
        <w:tc>
          <w:tcPr>
            <w:tcW w:w="1417"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 xml:space="preserve">NQ </w:t>
            </w:r>
            <w:r w:rsidRPr="006D7825">
              <w:rPr>
                <w:rFonts w:ascii="Times New Roman" w:hAnsi="Times New Roman"/>
                <w:sz w:val="24"/>
                <w:szCs w:val="24"/>
                <w:vertAlign w:val="superscript"/>
                <w:lang w:val="en-US"/>
              </w:rPr>
              <w:t>a</w:t>
            </w:r>
          </w:p>
        </w:tc>
        <w:tc>
          <w:tcPr>
            <w:tcW w:w="1418" w:type="dxa"/>
          </w:tcPr>
          <w:p w:rsidR="00070022" w:rsidRPr="006D7825" w:rsidRDefault="00070022" w:rsidP="001672BC">
            <w:pPr>
              <w:spacing w:after="0" w:line="480" w:lineRule="auto"/>
              <w:jc w:val="center"/>
              <w:rPr>
                <w:rFonts w:ascii="Times New Roman" w:hAnsi="Times New Roman"/>
                <w:sz w:val="24"/>
                <w:szCs w:val="24"/>
                <w:lang w:val="en-US"/>
              </w:rPr>
            </w:pPr>
          </w:p>
        </w:tc>
      </w:tr>
      <w:tr w:rsidR="00070022" w:rsidRPr="006D7825" w:rsidTr="00070022">
        <w:tc>
          <w:tcPr>
            <w:tcW w:w="3170" w:type="dxa"/>
            <w:shd w:val="clear" w:color="auto" w:fill="auto"/>
          </w:tcPr>
          <w:p w:rsidR="00070022" w:rsidRPr="006D7825" w:rsidRDefault="00070022" w:rsidP="001672BC">
            <w:pPr>
              <w:spacing w:after="0" w:line="480" w:lineRule="auto"/>
              <w:rPr>
                <w:rFonts w:ascii="Times New Roman" w:hAnsi="Times New Roman"/>
                <w:sz w:val="24"/>
                <w:szCs w:val="24"/>
                <w:lang w:val="en-US"/>
              </w:rPr>
            </w:pPr>
            <w:r w:rsidRPr="006D7825">
              <w:rPr>
                <w:rFonts w:ascii="Times New Roman" w:hAnsi="Times New Roman"/>
                <w:sz w:val="24"/>
                <w:szCs w:val="24"/>
                <w:lang w:val="en-US"/>
              </w:rPr>
              <w:t>HBsAg, Log IU/mL</w:t>
            </w:r>
          </w:p>
        </w:tc>
        <w:tc>
          <w:tcPr>
            <w:tcW w:w="164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4.47 ± 0.79</w:t>
            </w:r>
          </w:p>
        </w:tc>
        <w:tc>
          <w:tcPr>
            <w:tcW w:w="1715"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3.67 ± 0.51</w:t>
            </w:r>
          </w:p>
        </w:tc>
        <w:tc>
          <w:tcPr>
            <w:tcW w:w="149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2.62 ± 1.17</w:t>
            </w:r>
          </w:p>
        </w:tc>
        <w:tc>
          <w:tcPr>
            <w:tcW w:w="1476" w:type="dxa"/>
          </w:tcPr>
          <w:p w:rsidR="00070022" w:rsidRPr="006D7825" w:rsidRDefault="00070022" w:rsidP="001672BC">
            <w:pPr>
              <w:spacing w:after="0" w:line="480" w:lineRule="auto"/>
              <w:jc w:val="center"/>
            </w:pPr>
            <w:r w:rsidRPr="006D7825">
              <w:rPr>
                <w:rFonts w:ascii="Times New Roman" w:hAnsi="Times New Roman"/>
                <w:sz w:val="24"/>
                <w:szCs w:val="24"/>
                <w:lang w:val="en-US"/>
              </w:rPr>
              <w:t xml:space="preserve">&lt;0.001 </w:t>
            </w:r>
            <w:r w:rsidRPr="006D7825">
              <w:rPr>
                <w:rFonts w:ascii="Times New Roman" w:hAnsi="Times New Roman"/>
                <w:sz w:val="24"/>
                <w:szCs w:val="24"/>
                <w:vertAlign w:val="superscript"/>
                <w:lang w:val="en-US"/>
              </w:rPr>
              <w:t>d</w:t>
            </w:r>
          </w:p>
        </w:tc>
        <w:tc>
          <w:tcPr>
            <w:tcW w:w="432" w:type="dxa"/>
          </w:tcPr>
          <w:p w:rsidR="00070022" w:rsidRPr="006D7825" w:rsidRDefault="00070022" w:rsidP="001672BC">
            <w:pPr>
              <w:spacing w:after="0" w:line="480" w:lineRule="auto"/>
              <w:jc w:val="center"/>
              <w:rPr>
                <w:rFonts w:ascii="Times New Roman" w:hAnsi="Times New Roman"/>
                <w:sz w:val="24"/>
                <w:szCs w:val="24"/>
                <w:lang w:val="en-US"/>
              </w:rPr>
            </w:pPr>
          </w:p>
        </w:tc>
        <w:tc>
          <w:tcPr>
            <w:tcW w:w="1701" w:type="dxa"/>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3.13 ± 1.31</w:t>
            </w:r>
          </w:p>
        </w:tc>
        <w:tc>
          <w:tcPr>
            <w:tcW w:w="1417"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UD</w:t>
            </w:r>
          </w:p>
        </w:tc>
        <w:tc>
          <w:tcPr>
            <w:tcW w:w="1418" w:type="dxa"/>
          </w:tcPr>
          <w:p w:rsidR="00070022" w:rsidRPr="006D7825" w:rsidRDefault="00070022" w:rsidP="001672BC">
            <w:pPr>
              <w:spacing w:after="0" w:line="480" w:lineRule="auto"/>
              <w:jc w:val="center"/>
              <w:rPr>
                <w:rFonts w:ascii="Times New Roman" w:hAnsi="Times New Roman"/>
                <w:sz w:val="24"/>
                <w:szCs w:val="24"/>
                <w:lang w:val="en-US"/>
              </w:rPr>
            </w:pPr>
          </w:p>
        </w:tc>
      </w:tr>
      <w:tr w:rsidR="00070022" w:rsidRPr="006D7825" w:rsidTr="00070022">
        <w:tc>
          <w:tcPr>
            <w:tcW w:w="3170" w:type="dxa"/>
            <w:shd w:val="clear" w:color="auto" w:fill="auto"/>
          </w:tcPr>
          <w:p w:rsidR="00070022" w:rsidRPr="006D7825" w:rsidRDefault="00070022" w:rsidP="001672BC">
            <w:pPr>
              <w:spacing w:after="0" w:line="480" w:lineRule="auto"/>
              <w:rPr>
                <w:rFonts w:ascii="Times New Roman" w:hAnsi="Times New Roman"/>
                <w:sz w:val="24"/>
                <w:szCs w:val="24"/>
                <w:lang w:val="en-US"/>
              </w:rPr>
            </w:pPr>
            <w:r w:rsidRPr="006D7825">
              <w:rPr>
                <w:rFonts w:ascii="Times New Roman" w:hAnsi="Times New Roman"/>
                <w:sz w:val="24"/>
                <w:szCs w:val="24"/>
                <w:lang w:val="en-US"/>
              </w:rPr>
              <w:t>HBcrAg, Log U/mL</w:t>
            </w:r>
          </w:p>
        </w:tc>
        <w:tc>
          <w:tcPr>
            <w:tcW w:w="164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6.9 ± 0.3</w:t>
            </w:r>
          </w:p>
        </w:tc>
        <w:tc>
          <w:tcPr>
            <w:tcW w:w="1715"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4.8 ± 1.5</w:t>
            </w:r>
          </w:p>
        </w:tc>
        <w:tc>
          <w:tcPr>
            <w:tcW w:w="1490"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2.4 ± 0.7</w:t>
            </w:r>
          </w:p>
        </w:tc>
        <w:tc>
          <w:tcPr>
            <w:tcW w:w="1476" w:type="dxa"/>
          </w:tcPr>
          <w:p w:rsidR="00070022" w:rsidRPr="006D7825" w:rsidRDefault="00070022" w:rsidP="001672BC">
            <w:pPr>
              <w:spacing w:after="0" w:line="480" w:lineRule="auto"/>
              <w:jc w:val="center"/>
            </w:pPr>
            <w:r w:rsidRPr="006D7825">
              <w:rPr>
                <w:rFonts w:ascii="Times New Roman" w:hAnsi="Times New Roman"/>
                <w:sz w:val="24"/>
                <w:szCs w:val="24"/>
                <w:lang w:val="en-US"/>
              </w:rPr>
              <w:t xml:space="preserve">&lt;0.001 </w:t>
            </w:r>
            <w:r w:rsidRPr="006D7825">
              <w:rPr>
                <w:rFonts w:ascii="Times New Roman" w:hAnsi="Times New Roman"/>
                <w:sz w:val="24"/>
                <w:szCs w:val="24"/>
                <w:vertAlign w:val="superscript"/>
                <w:lang w:val="en-US"/>
              </w:rPr>
              <w:t>d</w:t>
            </w:r>
          </w:p>
        </w:tc>
        <w:tc>
          <w:tcPr>
            <w:tcW w:w="432" w:type="dxa"/>
          </w:tcPr>
          <w:p w:rsidR="00070022" w:rsidRPr="006D7825" w:rsidRDefault="00070022" w:rsidP="001672BC">
            <w:pPr>
              <w:spacing w:after="0" w:line="480" w:lineRule="auto"/>
              <w:jc w:val="center"/>
              <w:rPr>
                <w:rFonts w:ascii="Times New Roman" w:hAnsi="Times New Roman"/>
                <w:sz w:val="24"/>
                <w:szCs w:val="24"/>
                <w:lang w:val="en-US"/>
              </w:rPr>
            </w:pPr>
          </w:p>
        </w:tc>
        <w:tc>
          <w:tcPr>
            <w:tcW w:w="1701" w:type="dxa"/>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3.8 ± 1.8</w:t>
            </w:r>
          </w:p>
        </w:tc>
        <w:tc>
          <w:tcPr>
            <w:tcW w:w="1417" w:type="dxa"/>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UD</w:t>
            </w:r>
          </w:p>
        </w:tc>
        <w:tc>
          <w:tcPr>
            <w:tcW w:w="1418" w:type="dxa"/>
          </w:tcPr>
          <w:p w:rsidR="00070022" w:rsidRPr="006D7825" w:rsidRDefault="00070022" w:rsidP="001672BC">
            <w:pPr>
              <w:spacing w:after="0" w:line="480" w:lineRule="auto"/>
              <w:jc w:val="center"/>
              <w:rPr>
                <w:rFonts w:ascii="Times New Roman" w:hAnsi="Times New Roman"/>
                <w:sz w:val="24"/>
                <w:szCs w:val="24"/>
                <w:lang w:val="en-US"/>
              </w:rPr>
            </w:pPr>
          </w:p>
        </w:tc>
      </w:tr>
      <w:tr w:rsidR="00070022" w:rsidRPr="006D7825" w:rsidTr="00070022">
        <w:tc>
          <w:tcPr>
            <w:tcW w:w="3170" w:type="dxa"/>
            <w:tcBorders>
              <w:bottom w:val="single" w:sz="4" w:space="0" w:color="000000"/>
            </w:tcBorders>
            <w:shd w:val="clear" w:color="auto" w:fill="auto"/>
          </w:tcPr>
          <w:p w:rsidR="00070022" w:rsidRPr="006D7825" w:rsidRDefault="00070022" w:rsidP="001672BC">
            <w:pPr>
              <w:spacing w:after="0" w:line="480" w:lineRule="auto"/>
              <w:rPr>
                <w:rFonts w:ascii="Times New Roman" w:hAnsi="Times New Roman"/>
                <w:sz w:val="24"/>
                <w:szCs w:val="24"/>
                <w:lang w:val="en-US"/>
              </w:rPr>
            </w:pPr>
            <w:r w:rsidRPr="006D7825">
              <w:rPr>
                <w:rFonts w:ascii="Times New Roman" w:hAnsi="Times New Roman"/>
                <w:sz w:val="24"/>
                <w:szCs w:val="24"/>
                <w:lang w:val="en-US"/>
              </w:rPr>
              <w:t>Anti-HBc IgG, Log IU/mL</w:t>
            </w:r>
          </w:p>
        </w:tc>
        <w:tc>
          <w:tcPr>
            <w:tcW w:w="1640" w:type="dxa"/>
            <w:tcBorders>
              <w:bottom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4.06 ± 0.69</w:t>
            </w:r>
          </w:p>
        </w:tc>
        <w:tc>
          <w:tcPr>
            <w:tcW w:w="1715" w:type="dxa"/>
            <w:tcBorders>
              <w:bottom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4.02 ± 0.38</w:t>
            </w:r>
          </w:p>
        </w:tc>
        <w:tc>
          <w:tcPr>
            <w:tcW w:w="1490" w:type="dxa"/>
            <w:tcBorders>
              <w:bottom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3.35 ± 0.61</w:t>
            </w:r>
          </w:p>
        </w:tc>
        <w:tc>
          <w:tcPr>
            <w:tcW w:w="1476" w:type="dxa"/>
            <w:tcBorders>
              <w:bottom w:val="single" w:sz="4" w:space="0" w:color="000000"/>
            </w:tcBorders>
          </w:tcPr>
          <w:p w:rsidR="00070022" w:rsidRPr="006D7825" w:rsidRDefault="00070022" w:rsidP="001672BC">
            <w:pPr>
              <w:spacing w:after="0" w:line="480" w:lineRule="auto"/>
              <w:jc w:val="center"/>
            </w:pPr>
            <w:r w:rsidRPr="006D7825">
              <w:rPr>
                <w:rFonts w:ascii="Times New Roman" w:hAnsi="Times New Roman"/>
                <w:sz w:val="24"/>
                <w:szCs w:val="24"/>
                <w:lang w:val="en-US"/>
              </w:rPr>
              <w:t xml:space="preserve">&lt;0.001 </w:t>
            </w:r>
            <w:r w:rsidRPr="006D7825">
              <w:rPr>
                <w:rFonts w:ascii="Times New Roman" w:hAnsi="Times New Roman"/>
                <w:sz w:val="24"/>
                <w:szCs w:val="24"/>
                <w:vertAlign w:val="superscript"/>
                <w:lang w:val="en-US"/>
              </w:rPr>
              <w:t>d</w:t>
            </w:r>
          </w:p>
        </w:tc>
        <w:tc>
          <w:tcPr>
            <w:tcW w:w="432" w:type="dxa"/>
            <w:tcBorders>
              <w:bottom w:val="single" w:sz="4" w:space="0" w:color="000000"/>
            </w:tcBorders>
          </w:tcPr>
          <w:p w:rsidR="00070022" w:rsidRPr="006D7825" w:rsidRDefault="00070022" w:rsidP="001672BC">
            <w:pPr>
              <w:spacing w:after="0" w:line="480" w:lineRule="auto"/>
              <w:jc w:val="center"/>
              <w:rPr>
                <w:rFonts w:ascii="Times New Roman" w:hAnsi="Times New Roman"/>
                <w:sz w:val="24"/>
                <w:szCs w:val="24"/>
                <w:lang w:val="en-US"/>
              </w:rPr>
            </w:pPr>
          </w:p>
        </w:tc>
        <w:tc>
          <w:tcPr>
            <w:tcW w:w="1701" w:type="dxa"/>
            <w:tcBorders>
              <w:bottom w:val="single" w:sz="4" w:space="0" w:color="000000"/>
            </w:tcBorders>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3.68 ± 0.83</w:t>
            </w:r>
          </w:p>
        </w:tc>
        <w:tc>
          <w:tcPr>
            <w:tcW w:w="1417" w:type="dxa"/>
            <w:tcBorders>
              <w:bottom w:val="single" w:sz="4" w:space="0" w:color="000000"/>
            </w:tcBorders>
            <w:shd w:val="clear" w:color="auto" w:fill="auto"/>
          </w:tcPr>
          <w:p w:rsidR="00070022" w:rsidRPr="006D7825" w:rsidRDefault="00070022" w:rsidP="001672BC">
            <w:pPr>
              <w:spacing w:after="0" w:line="480" w:lineRule="auto"/>
              <w:jc w:val="center"/>
              <w:rPr>
                <w:rFonts w:ascii="Times New Roman" w:hAnsi="Times New Roman"/>
                <w:sz w:val="24"/>
                <w:szCs w:val="24"/>
                <w:lang w:val="en-US"/>
              </w:rPr>
            </w:pPr>
            <w:r w:rsidRPr="006D7825">
              <w:rPr>
                <w:rFonts w:ascii="Times New Roman" w:hAnsi="Times New Roman"/>
                <w:sz w:val="24"/>
                <w:szCs w:val="24"/>
                <w:lang w:val="en-US"/>
              </w:rPr>
              <w:t>1.21 ± 0.61</w:t>
            </w:r>
          </w:p>
        </w:tc>
        <w:tc>
          <w:tcPr>
            <w:tcW w:w="1418" w:type="dxa"/>
            <w:tcBorders>
              <w:bottom w:val="single" w:sz="4" w:space="0" w:color="000000"/>
            </w:tcBorders>
          </w:tcPr>
          <w:p w:rsidR="00070022" w:rsidRPr="006D7825" w:rsidRDefault="00070022" w:rsidP="001672BC">
            <w:pPr>
              <w:spacing w:after="0" w:line="480" w:lineRule="auto"/>
              <w:jc w:val="center"/>
              <w:rPr>
                <w:rFonts w:ascii="Times New Roman" w:hAnsi="Times New Roman"/>
                <w:sz w:val="24"/>
                <w:szCs w:val="24"/>
                <w:vertAlign w:val="superscript"/>
                <w:lang w:val="en-US"/>
              </w:rPr>
            </w:pPr>
            <w:r w:rsidRPr="006D7825">
              <w:rPr>
                <w:rFonts w:ascii="Times New Roman" w:hAnsi="Times New Roman"/>
                <w:sz w:val="24"/>
                <w:szCs w:val="24"/>
                <w:lang w:val="en-US"/>
              </w:rPr>
              <w:t xml:space="preserve">&lt;0.001 </w:t>
            </w:r>
            <w:r w:rsidRPr="006D7825">
              <w:rPr>
                <w:rFonts w:ascii="Times New Roman" w:hAnsi="Times New Roman"/>
                <w:sz w:val="24"/>
                <w:szCs w:val="24"/>
                <w:vertAlign w:val="superscript"/>
                <w:lang w:val="en-US"/>
              </w:rPr>
              <w:t>g</w:t>
            </w:r>
          </w:p>
        </w:tc>
      </w:tr>
    </w:tbl>
    <w:p w:rsidR="005B0FBB" w:rsidRPr="006D7825" w:rsidRDefault="005B0FBB" w:rsidP="005B0FBB">
      <w:pPr>
        <w:spacing w:after="0" w:line="480" w:lineRule="auto"/>
        <w:rPr>
          <w:rFonts w:ascii="Times New Roman" w:eastAsia="MS Mincho" w:hAnsi="Times New Roman"/>
          <w:sz w:val="24"/>
          <w:szCs w:val="24"/>
          <w:vertAlign w:val="superscript"/>
          <w:lang w:val="en-US"/>
        </w:rPr>
      </w:pPr>
      <w:r w:rsidRPr="006D7825">
        <w:rPr>
          <w:rFonts w:ascii="Times New Roman" w:eastAsia="MS Mincho" w:hAnsi="Times New Roman"/>
          <w:sz w:val="24"/>
          <w:szCs w:val="24"/>
          <w:lang w:val="en-US"/>
        </w:rPr>
        <w:t>Data are expressed as mean ± SD for normal continuous variables and as median (95% CI) for continuous non-normal variables.</w:t>
      </w:r>
    </w:p>
    <w:p w:rsidR="00070022" w:rsidRPr="006D7825" w:rsidRDefault="005B0FBB" w:rsidP="00070022">
      <w:pPr>
        <w:spacing w:line="480" w:lineRule="auto"/>
        <w:rPr>
          <w:rFonts w:ascii="Times New Roman" w:hAnsi="Times New Roman"/>
          <w:sz w:val="24"/>
          <w:szCs w:val="24"/>
          <w:lang w:val="en-US"/>
        </w:rPr>
      </w:pPr>
      <w:r w:rsidRPr="006D7825">
        <w:rPr>
          <w:rFonts w:ascii="Times New Roman" w:eastAsia="MS Mincho" w:hAnsi="Times New Roman"/>
          <w:sz w:val="24"/>
          <w:szCs w:val="24"/>
          <w:vertAlign w:val="superscript"/>
          <w:lang w:val="en-US"/>
        </w:rPr>
        <w:t>a</w:t>
      </w:r>
      <w:r w:rsidR="009653A9" w:rsidRPr="006D7825">
        <w:rPr>
          <w:rFonts w:ascii="Times New Roman" w:eastAsia="MS Mincho" w:hAnsi="Times New Roman"/>
          <w:sz w:val="24"/>
          <w:szCs w:val="24"/>
          <w:vertAlign w:val="superscript"/>
          <w:lang w:val="en-US"/>
        </w:rPr>
        <w:t xml:space="preserve"> </w:t>
      </w:r>
      <w:r w:rsidRPr="006D7825">
        <w:rPr>
          <w:rFonts w:ascii="Times New Roman" w:eastAsia="MS Mincho" w:hAnsi="Times New Roman"/>
          <w:sz w:val="24"/>
          <w:szCs w:val="24"/>
          <w:lang w:val="en-US"/>
        </w:rPr>
        <w:t xml:space="preserve">Five subjects had detectable serum HBV DNA (&lt;20 IU/mL), while 22 subjects where serum HBV DNA negative. </w:t>
      </w:r>
      <w:r w:rsidRPr="006D7825">
        <w:rPr>
          <w:rFonts w:ascii="Times New Roman" w:hAnsi="Times New Roman"/>
          <w:sz w:val="24"/>
          <w:szCs w:val="24"/>
          <w:vertAlign w:val="superscript"/>
          <w:lang w:val="en-US"/>
        </w:rPr>
        <w:t>b</w:t>
      </w:r>
      <w:r w:rsidR="009653A9" w:rsidRPr="006D7825">
        <w:rPr>
          <w:rFonts w:ascii="Times New Roman" w:hAnsi="Times New Roman"/>
          <w:sz w:val="24"/>
          <w:szCs w:val="24"/>
          <w:vertAlign w:val="superscript"/>
          <w:lang w:val="en-US"/>
        </w:rPr>
        <w:t xml:space="preserve">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value calculated by Kruskal Wallis. </w:t>
      </w:r>
      <w:r w:rsidRPr="006D7825">
        <w:rPr>
          <w:rFonts w:ascii="Times New Roman" w:eastAsia="MS Mincho" w:hAnsi="Times New Roman"/>
          <w:sz w:val="24"/>
          <w:szCs w:val="24"/>
          <w:vertAlign w:val="superscript"/>
          <w:lang w:val="en-US"/>
        </w:rPr>
        <w:t>c</w:t>
      </w:r>
      <w:r w:rsidR="009653A9" w:rsidRPr="006D7825">
        <w:rPr>
          <w:rFonts w:ascii="Times New Roman" w:eastAsia="MS Mincho" w:hAnsi="Times New Roman"/>
          <w:sz w:val="24"/>
          <w:szCs w:val="24"/>
          <w:vertAlign w:val="superscript"/>
          <w:lang w:val="en-US"/>
        </w:rPr>
        <w:t xml:space="preserve">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value calculated by χ</w:t>
      </w:r>
      <w:r w:rsidRPr="006D7825">
        <w:rPr>
          <w:rFonts w:ascii="Times New Roman" w:hAnsi="Times New Roman"/>
          <w:sz w:val="24"/>
          <w:szCs w:val="24"/>
          <w:vertAlign w:val="superscript"/>
          <w:lang w:val="en-US"/>
        </w:rPr>
        <w:t>2</w:t>
      </w:r>
      <w:r w:rsidRPr="006D7825">
        <w:rPr>
          <w:rFonts w:ascii="Times New Roman" w:hAnsi="Times New Roman"/>
          <w:sz w:val="24"/>
          <w:szCs w:val="24"/>
          <w:lang w:val="en-US"/>
        </w:rPr>
        <w:t xml:space="preserve">-test. </w:t>
      </w:r>
      <w:r w:rsidRPr="006D7825">
        <w:rPr>
          <w:rFonts w:ascii="Times New Roman" w:hAnsi="Times New Roman"/>
          <w:sz w:val="24"/>
          <w:szCs w:val="24"/>
          <w:vertAlign w:val="superscript"/>
          <w:lang w:val="en-US"/>
        </w:rPr>
        <w:t>d</w:t>
      </w:r>
      <w:r w:rsidR="009653A9" w:rsidRPr="006D7825">
        <w:rPr>
          <w:rFonts w:ascii="Times New Roman" w:hAnsi="Times New Roman"/>
          <w:sz w:val="24"/>
          <w:szCs w:val="24"/>
          <w:vertAlign w:val="superscript"/>
          <w:lang w:val="en-US"/>
        </w:rPr>
        <w:t xml:space="preserve">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value calculated by one-way analysis of variance.</w:t>
      </w:r>
      <w:r w:rsidRPr="006D7825">
        <w:rPr>
          <w:rFonts w:ascii="Times New Roman" w:eastAsia="MS Mincho" w:hAnsi="Times New Roman"/>
          <w:sz w:val="24"/>
          <w:szCs w:val="24"/>
          <w:lang w:val="en-US"/>
        </w:rPr>
        <w:t xml:space="preserve"> </w:t>
      </w:r>
      <w:r w:rsidR="00070022" w:rsidRPr="006D7825">
        <w:rPr>
          <w:rFonts w:ascii="Times New Roman" w:hAnsi="Times New Roman"/>
          <w:sz w:val="24"/>
          <w:szCs w:val="24"/>
          <w:vertAlign w:val="superscript"/>
          <w:lang w:val="en-US" w:eastAsia="en-US"/>
        </w:rPr>
        <w:t xml:space="preserve">e </w:t>
      </w:r>
      <w:r w:rsidR="00070022" w:rsidRPr="006D7825">
        <w:rPr>
          <w:rFonts w:ascii="Times New Roman" w:hAnsi="Times New Roman"/>
          <w:i/>
          <w:sz w:val="24"/>
          <w:szCs w:val="24"/>
          <w:lang w:val="en-US" w:eastAsia="en-US"/>
        </w:rPr>
        <w:t>P</w:t>
      </w:r>
      <w:r w:rsidR="00070022" w:rsidRPr="006D7825">
        <w:rPr>
          <w:rFonts w:ascii="Times New Roman" w:hAnsi="Times New Roman"/>
          <w:sz w:val="24"/>
          <w:szCs w:val="24"/>
          <w:lang w:val="en-US" w:eastAsia="en-US"/>
        </w:rPr>
        <w:t xml:space="preserve"> value calculated by Mann-Whitney </w:t>
      </w:r>
      <w:r w:rsidR="00070022" w:rsidRPr="006D7825">
        <w:rPr>
          <w:rFonts w:ascii="Times New Roman" w:hAnsi="Times New Roman"/>
          <w:i/>
          <w:sz w:val="24"/>
          <w:szCs w:val="24"/>
          <w:lang w:val="en-US" w:eastAsia="en-US"/>
        </w:rPr>
        <w:t>U</w:t>
      </w:r>
      <w:r w:rsidR="00070022" w:rsidRPr="006D7825">
        <w:rPr>
          <w:rFonts w:ascii="Times New Roman" w:hAnsi="Times New Roman"/>
          <w:sz w:val="24"/>
          <w:szCs w:val="24"/>
          <w:lang w:val="en-US" w:eastAsia="en-US"/>
        </w:rPr>
        <w:t xml:space="preserve"> test. </w:t>
      </w:r>
      <w:r w:rsidR="00070022" w:rsidRPr="006D7825">
        <w:rPr>
          <w:rFonts w:ascii="Times New Roman" w:hAnsi="Times New Roman"/>
          <w:sz w:val="24"/>
          <w:szCs w:val="24"/>
          <w:vertAlign w:val="superscript"/>
          <w:lang w:val="en-US" w:eastAsia="en-US"/>
        </w:rPr>
        <w:t xml:space="preserve">f </w:t>
      </w:r>
      <w:r w:rsidR="00070022" w:rsidRPr="006D7825">
        <w:rPr>
          <w:rFonts w:ascii="Times New Roman" w:hAnsi="Times New Roman"/>
          <w:i/>
          <w:sz w:val="24"/>
          <w:szCs w:val="24"/>
          <w:lang w:val="en-US" w:eastAsia="en-US"/>
        </w:rPr>
        <w:t>P</w:t>
      </w:r>
      <w:r w:rsidR="00070022" w:rsidRPr="006D7825">
        <w:rPr>
          <w:rFonts w:ascii="Times New Roman" w:hAnsi="Times New Roman"/>
          <w:sz w:val="24"/>
          <w:szCs w:val="24"/>
          <w:lang w:val="en-US" w:eastAsia="en-US"/>
        </w:rPr>
        <w:t xml:space="preserve"> value calculated by Fisher’s exact test. </w:t>
      </w:r>
      <w:r w:rsidR="00070022" w:rsidRPr="006D7825">
        <w:rPr>
          <w:rFonts w:ascii="Times New Roman" w:hAnsi="Times New Roman"/>
          <w:sz w:val="24"/>
          <w:szCs w:val="24"/>
          <w:vertAlign w:val="superscript"/>
          <w:lang w:val="en-US" w:eastAsia="en-US"/>
        </w:rPr>
        <w:t xml:space="preserve">g </w:t>
      </w:r>
      <w:r w:rsidR="00070022" w:rsidRPr="006D7825">
        <w:rPr>
          <w:rFonts w:ascii="Times New Roman" w:hAnsi="Times New Roman"/>
          <w:i/>
          <w:sz w:val="24"/>
          <w:szCs w:val="24"/>
          <w:lang w:val="en-US" w:eastAsia="en-US"/>
        </w:rPr>
        <w:t>P</w:t>
      </w:r>
      <w:r w:rsidR="00070022" w:rsidRPr="006D7825">
        <w:rPr>
          <w:rFonts w:ascii="Times New Roman" w:hAnsi="Times New Roman"/>
          <w:sz w:val="24"/>
          <w:szCs w:val="24"/>
          <w:lang w:val="en-US" w:eastAsia="en-US"/>
        </w:rPr>
        <w:t xml:space="preserve"> value calculated by Student’s </w:t>
      </w:r>
      <w:r w:rsidR="00070022" w:rsidRPr="006D7825">
        <w:rPr>
          <w:rFonts w:ascii="Times New Roman" w:hAnsi="Times New Roman"/>
          <w:i/>
          <w:sz w:val="24"/>
          <w:szCs w:val="24"/>
          <w:lang w:val="en-US" w:eastAsia="en-US"/>
        </w:rPr>
        <w:t>t</w:t>
      </w:r>
      <w:r w:rsidR="00070022" w:rsidRPr="006D7825">
        <w:rPr>
          <w:rFonts w:ascii="Times New Roman" w:hAnsi="Times New Roman"/>
          <w:sz w:val="24"/>
          <w:szCs w:val="24"/>
          <w:lang w:val="en-US" w:eastAsia="en-US"/>
        </w:rPr>
        <w:t>-test.</w:t>
      </w:r>
      <w:r w:rsidR="00070022" w:rsidRPr="006D7825">
        <w:rPr>
          <w:rFonts w:ascii="Times New Roman" w:hAnsi="Times New Roman"/>
          <w:sz w:val="24"/>
          <w:szCs w:val="24"/>
          <w:lang w:val="en-US"/>
        </w:rPr>
        <w:t xml:space="preserve"> </w:t>
      </w:r>
      <w:r w:rsidRPr="006D7825">
        <w:rPr>
          <w:rFonts w:ascii="Times New Roman" w:eastAsia="MS Mincho" w:hAnsi="Times New Roman"/>
          <w:sz w:val="24"/>
          <w:szCs w:val="24"/>
          <w:lang w:val="en-US"/>
        </w:rPr>
        <w:t xml:space="preserve">Abbreviations: ALT, alanine </w:t>
      </w:r>
      <w:r w:rsidRPr="006D7825">
        <w:rPr>
          <w:rFonts w:ascii="Times New Roman" w:eastAsia="MS Mincho" w:hAnsi="Times New Roman"/>
          <w:sz w:val="24"/>
          <w:szCs w:val="24"/>
          <w:lang w:val="en-US"/>
        </w:rPr>
        <w:lastRenderedPageBreak/>
        <w:t xml:space="preserve">aminotransferase; </w:t>
      </w:r>
      <w:r w:rsidRPr="006D7825">
        <w:rPr>
          <w:rFonts w:ascii="Times New Roman" w:hAnsi="Times New Roman"/>
          <w:sz w:val="24"/>
          <w:szCs w:val="24"/>
          <w:lang w:val="en-US"/>
        </w:rPr>
        <w:t>anti-HBc, antibody to hepatitis B core antigen;</w:t>
      </w:r>
      <w:r w:rsidR="00A77B2E" w:rsidRPr="006D7825">
        <w:rPr>
          <w:rFonts w:ascii="Times New Roman" w:hAnsi="Times New Roman"/>
          <w:sz w:val="24"/>
          <w:szCs w:val="24"/>
          <w:lang w:val="en-US"/>
        </w:rPr>
        <w:t xml:space="preserve"> cccDNA, covalently-closed-circular DNA;</w:t>
      </w:r>
      <w:r w:rsidRPr="006D7825">
        <w:rPr>
          <w:rFonts w:ascii="Times New Roman" w:hAnsi="Times New Roman"/>
          <w:sz w:val="24"/>
          <w:szCs w:val="24"/>
          <w:lang w:val="en-US"/>
        </w:rPr>
        <w:t xml:space="preserve"> CH, chronic hepatitis; CI, chronic infection; F, female; HBcrAg, hepatitis B core-related antigen; HBeAg, hepatitis B e antigen; HBsAg, hepatitis B surface antigen; HBV, hepatitis B virus; NA, not available; NQ, not quantifiable; M, male; UD, undetectable. </w:t>
      </w:r>
    </w:p>
    <w:p w:rsidR="00A77B2E" w:rsidRPr="006D7825" w:rsidRDefault="00A77B2E" w:rsidP="00070022">
      <w:pPr>
        <w:spacing w:line="480" w:lineRule="auto"/>
        <w:rPr>
          <w:rFonts w:ascii="Times New Roman" w:hAnsi="Times New Roman"/>
          <w:sz w:val="24"/>
          <w:szCs w:val="24"/>
          <w:lang w:val="en-US"/>
        </w:rPr>
        <w:sectPr w:rsidR="00A77B2E" w:rsidRPr="006D7825">
          <w:footerReference w:type="default" r:id="rId9"/>
          <w:pgSz w:w="15840" w:h="12240" w:orient="landscape"/>
          <w:pgMar w:top="1134" w:right="1418" w:bottom="1134" w:left="1134" w:header="720" w:footer="709" w:gutter="0"/>
          <w:lnNumType w:countBy="1" w:distance="283" w:restart="continuous"/>
          <w:cols w:space="720"/>
          <w:docGrid w:linePitch="600" w:charSpace="36864"/>
        </w:sectPr>
      </w:pPr>
    </w:p>
    <w:p w:rsidR="005B0FBB" w:rsidRPr="006D7825" w:rsidRDefault="005B0FBB" w:rsidP="005B0FBB">
      <w:pPr>
        <w:spacing w:after="0" w:line="480" w:lineRule="auto"/>
        <w:rPr>
          <w:rFonts w:ascii="Times New Roman" w:hAnsi="Times New Roman"/>
          <w:sz w:val="24"/>
          <w:szCs w:val="24"/>
          <w:lang w:val="en-US"/>
        </w:rPr>
      </w:pPr>
      <w:r w:rsidRPr="006D7825">
        <w:rPr>
          <w:rFonts w:ascii="Times New Roman" w:hAnsi="Times New Roman"/>
          <w:b/>
          <w:sz w:val="24"/>
          <w:szCs w:val="24"/>
          <w:lang w:val="en-US"/>
        </w:rPr>
        <w:lastRenderedPageBreak/>
        <w:t xml:space="preserve">Fig. 1. </w:t>
      </w:r>
      <w:r w:rsidRPr="006D7825">
        <w:rPr>
          <w:rFonts w:ascii="Times New Roman" w:hAnsi="Times New Roman"/>
          <w:sz w:val="24"/>
          <w:szCs w:val="24"/>
          <w:lang w:val="en-US"/>
        </w:rPr>
        <w:t>Analytical performance of the quantitative anti-HBc IgG assay. (A) Calibration curve build on a two-fold dilution of the First International Standard for anti-HBc (50 IU/mL) against the raw fluorescence units (FU) of the assay. (B) Concordance analysis of anti-HBc IgG values expressed in IU/mL and the anti-HBc titer automatically calculated as cut-off index (COI). (C) To investigate dilution parallelism, three serum samples positive for anti-HBc (S#21, S#37 and S#139) were pre-diluted depending on their initial concentration to reach the upper limit of the analytical range (≈50 IU/mL). Then, five serial two-fold dilutions were applied to each sample and to the International Standard for anti-HBc. (D)</w:t>
      </w:r>
      <w:r w:rsidRPr="006D7825">
        <w:rPr>
          <w:lang w:val="en-US"/>
        </w:rPr>
        <w:t xml:space="preserve"> </w:t>
      </w:r>
      <w:r w:rsidRPr="006D7825">
        <w:rPr>
          <w:rFonts w:ascii="Times New Roman" w:hAnsi="Times New Roman"/>
          <w:sz w:val="24"/>
          <w:szCs w:val="24"/>
          <w:lang w:val="en-US"/>
        </w:rPr>
        <w:t>Probit regression analysis was performed to determine LLoQ and LLoD; replicates of a serially diluted anti-HBc-positive serum were tested and we considered valid the calculated concentrations that differed no more than two fold from the expected concentrations. Abbreviations: Anti-HBc, antibody to hepatitis B core antigen; HBcrAg, hepatitis B core-related antigen; HBsAg, hepatitis B surface antigen; HBV, hepatitis B virus; LLoD, lower limit of detection; LLoQ, lower limit of quantitation.</w:t>
      </w:r>
    </w:p>
    <w:p w:rsidR="005B0FBB" w:rsidRPr="006D7825" w:rsidRDefault="005B0FBB" w:rsidP="005B0FBB">
      <w:pPr>
        <w:pageBreakBefore/>
        <w:spacing w:after="0" w:line="480" w:lineRule="auto"/>
        <w:rPr>
          <w:lang w:val="en-US"/>
        </w:rPr>
      </w:pPr>
      <w:r w:rsidRPr="006D7825">
        <w:rPr>
          <w:rFonts w:ascii="Times New Roman" w:hAnsi="Times New Roman"/>
          <w:b/>
          <w:sz w:val="24"/>
          <w:szCs w:val="24"/>
          <w:lang w:val="en-US"/>
        </w:rPr>
        <w:lastRenderedPageBreak/>
        <w:t xml:space="preserve">Fig. 2. </w:t>
      </w:r>
      <w:r w:rsidRPr="006D7825">
        <w:rPr>
          <w:rFonts w:ascii="Times New Roman" w:hAnsi="Times New Roman"/>
          <w:sz w:val="24"/>
          <w:szCs w:val="24"/>
          <w:lang w:val="en-US"/>
        </w:rPr>
        <w:t>Anti-HBc IgG levels according to different phases of HBV infection and biomarkers correlation.</w:t>
      </w:r>
      <w:r w:rsidRPr="006D7825">
        <w:rPr>
          <w:rFonts w:ascii="Times New Roman" w:hAnsi="Times New Roman"/>
          <w:b/>
          <w:sz w:val="24"/>
          <w:szCs w:val="24"/>
          <w:lang w:val="en-US"/>
        </w:rPr>
        <w:t xml:space="preserve"> </w:t>
      </w:r>
      <w:r w:rsidRPr="006D7825">
        <w:rPr>
          <w:rFonts w:ascii="Times New Roman" w:hAnsi="Times New Roman"/>
          <w:i/>
          <w:sz w:val="24"/>
          <w:szCs w:val="24"/>
          <w:lang w:val="en-US"/>
        </w:rPr>
        <w:t>P</w:t>
      </w:r>
      <w:r w:rsidRPr="006D7825">
        <w:rPr>
          <w:rFonts w:ascii="Times New Roman" w:hAnsi="Times New Roman"/>
          <w:sz w:val="24"/>
          <w:szCs w:val="24"/>
          <w:lang w:val="en-US"/>
        </w:rPr>
        <w:t xml:space="preserve"> values of comparison between groups have been calculated by paired or unpaired Student </w:t>
      </w:r>
      <w:r w:rsidRPr="006D7825">
        <w:rPr>
          <w:rFonts w:ascii="Times New Roman" w:hAnsi="Times New Roman"/>
          <w:i/>
          <w:sz w:val="24"/>
          <w:szCs w:val="24"/>
          <w:lang w:val="en-US"/>
        </w:rPr>
        <w:t>t</w:t>
      </w:r>
      <w:r w:rsidRPr="006D7825">
        <w:rPr>
          <w:rFonts w:ascii="Times New Roman" w:hAnsi="Times New Roman"/>
          <w:sz w:val="24"/>
          <w:szCs w:val="24"/>
          <w:lang w:val="en-US"/>
        </w:rPr>
        <w:t>-test. Abbreviations: Anti-HBc, antibody to hepatitis B core antigen; CH, chronic hepatitis; CI, chronic infection; HBeAg, hepatitis B e antigen; HBV, hepatitis B virus; NAs, nucles(t)ide analogues; OBI, occult HBV infection.</w:t>
      </w:r>
    </w:p>
    <w:p w:rsidR="005B0FBB" w:rsidRPr="006D7825" w:rsidRDefault="005B0FBB" w:rsidP="005B0FBB">
      <w:pPr>
        <w:pageBreakBefore/>
        <w:spacing w:after="0" w:line="480" w:lineRule="auto"/>
        <w:rPr>
          <w:lang w:val="en-US"/>
        </w:rPr>
      </w:pPr>
      <w:r w:rsidRPr="006D7825">
        <w:rPr>
          <w:rFonts w:ascii="Times New Roman" w:hAnsi="Times New Roman"/>
          <w:b/>
          <w:sz w:val="24"/>
          <w:szCs w:val="24"/>
          <w:lang w:val="en-US"/>
        </w:rPr>
        <w:lastRenderedPageBreak/>
        <w:t xml:space="preserve">Fig. 3. </w:t>
      </w:r>
      <w:r w:rsidRPr="006D7825">
        <w:rPr>
          <w:rFonts w:ascii="Times New Roman" w:hAnsi="Times New Roman"/>
          <w:sz w:val="24"/>
          <w:szCs w:val="24"/>
          <w:lang w:val="en-US"/>
        </w:rPr>
        <w:t>Kinetics of HBV biomarkers in patients with HBeAg- CH treated with nucleos(t)ide analogues. Abbreviations: Anti-HBc, antibody to hepatitis B core antigen; HBcrAg, hepatitis B core-related antigen; HBeAg, hepatitis B e antigen; HBsAg, hepatitis B surface antigen; HBV, hepatitis B virus; M, month.</w:t>
      </w:r>
    </w:p>
    <w:p w:rsidR="005B0FBB" w:rsidRPr="005B0FBB" w:rsidRDefault="005B0FBB" w:rsidP="005B0FBB">
      <w:pPr>
        <w:pageBreakBefore/>
        <w:spacing w:after="0" w:line="480" w:lineRule="auto"/>
        <w:rPr>
          <w:lang w:val="en-US"/>
        </w:rPr>
      </w:pPr>
      <w:r w:rsidRPr="006D7825">
        <w:rPr>
          <w:rFonts w:ascii="Times New Roman" w:hAnsi="Times New Roman"/>
          <w:b/>
          <w:sz w:val="24"/>
          <w:szCs w:val="24"/>
          <w:lang w:val="en-US"/>
        </w:rPr>
        <w:lastRenderedPageBreak/>
        <w:t xml:space="preserve">Fig. 4. </w:t>
      </w:r>
      <w:r w:rsidRPr="006D7825">
        <w:rPr>
          <w:rFonts w:ascii="Times New Roman" w:hAnsi="Times New Roman"/>
          <w:sz w:val="24"/>
          <w:szCs w:val="24"/>
          <w:lang w:val="en-US"/>
        </w:rPr>
        <w:t>Correlation between intrahepatic HBV cccDNA and anti-HBc IgG serum levels. Correlation coefficient (</w:t>
      </w:r>
      <w:r w:rsidRPr="006D7825">
        <w:rPr>
          <w:rFonts w:ascii="Times New Roman" w:hAnsi="Times New Roman"/>
          <w:i/>
          <w:sz w:val="24"/>
          <w:szCs w:val="24"/>
          <w:lang w:val="en-US"/>
        </w:rPr>
        <w:t>r</w:t>
      </w:r>
      <w:r w:rsidRPr="006D7825">
        <w:rPr>
          <w:rFonts w:ascii="Times New Roman" w:hAnsi="Times New Roman"/>
          <w:sz w:val="24"/>
          <w:szCs w:val="24"/>
          <w:lang w:val="en-US"/>
        </w:rPr>
        <w:t xml:space="preserve">) was assessed by Pearson’s correlation test. </w:t>
      </w:r>
      <w:r w:rsidR="00A77B2E" w:rsidRPr="006D7825">
        <w:rPr>
          <w:rFonts w:ascii="Times New Roman" w:hAnsi="Times New Roman"/>
          <w:sz w:val="24"/>
          <w:szCs w:val="24"/>
          <w:lang w:val="en-US"/>
        </w:rPr>
        <w:t xml:space="preserve">Abbreviations: </w:t>
      </w:r>
      <w:r w:rsidRPr="006D7825">
        <w:rPr>
          <w:rFonts w:ascii="Times New Roman" w:hAnsi="Times New Roman"/>
          <w:sz w:val="24"/>
          <w:szCs w:val="24"/>
          <w:lang w:val="en-US"/>
        </w:rPr>
        <w:t>Anti-HBc, antibody to hepatitis B core antigen; HBV cccDNA, hepatitis B virus covalently-closed-circular DNA.</w:t>
      </w:r>
      <w:bookmarkStart w:id="0" w:name="_GoBack"/>
      <w:bookmarkEnd w:id="0"/>
    </w:p>
    <w:p w:rsidR="00BF4911" w:rsidRDefault="00A462AB"/>
    <w:sectPr w:rsidR="00BF4911" w:rsidSect="001248E0">
      <w:footerReference w:type="default" r:id="rId10"/>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AB" w:rsidRDefault="00A462AB" w:rsidP="001248E0">
      <w:pPr>
        <w:spacing w:after="0" w:line="240" w:lineRule="auto"/>
      </w:pPr>
      <w:r>
        <w:separator/>
      </w:r>
    </w:p>
  </w:endnote>
  <w:endnote w:type="continuationSeparator" w:id="0">
    <w:p w:rsidR="00A462AB" w:rsidRDefault="00A462AB" w:rsidP="0012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BB" w:rsidRDefault="005B0FBB">
    <w:pPr>
      <w:pStyle w:val="Pidipagina"/>
      <w:jc w:val="right"/>
    </w:pPr>
    <w:r>
      <w:fldChar w:fldCharType="begin"/>
    </w:r>
    <w:r>
      <w:instrText>PAGE   \* MERGEFORMAT</w:instrText>
    </w:r>
    <w:r>
      <w:fldChar w:fldCharType="separate"/>
    </w:r>
    <w:r w:rsidR="006D7825">
      <w:rPr>
        <w:noProof/>
      </w:rPr>
      <w:t>16</w:t>
    </w:r>
    <w:r>
      <w:fldChar w:fldCharType="end"/>
    </w:r>
  </w:p>
  <w:p w:rsidR="005B0FBB" w:rsidRDefault="005B0F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BB" w:rsidRDefault="005B0FBB">
    <w:pPr>
      <w:pStyle w:val="Pidipagina"/>
    </w:pPr>
    <w:r>
      <w:fldChar w:fldCharType="begin"/>
    </w:r>
    <w:r>
      <w:instrText xml:space="preserve"> PAGE </w:instrText>
    </w:r>
    <w:r>
      <w:fldChar w:fldCharType="separate"/>
    </w:r>
    <w:r w:rsidR="006D7825">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789668"/>
      <w:docPartObj>
        <w:docPartGallery w:val="Page Numbers (Bottom of Page)"/>
        <w:docPartUnique/>
      </w:docPartObj>
    </w:sdtPr>
    <w:sdtEndPr/>
    <w:sdtContent>
      <w:p w:rsidR="001248E0" w:rsidRDefault="001248E0">
        <w:pPr>
          <w:pStyle w:val="Pidipagina"/>
          <w:jc w:val="right"/>
        </w:pPr>
        <w:r>
          <w:fldChar w:fldCharType="begin"/>
        </w:r>
        <w:r>
          <w:instrText>PAGE   \* MERGEFORMAT</w:instrText>
        </w:r>
        <w:r>
          <w:fldChar w:fldCharType="separate"/>
        </w:r>
        <w:r w:rsidR="006D7825">
          <w:rPr>
            <w:noProof/>
          </w:rPr>
          <w:t>22</w:t>
        </w:r>
        <w:r>
          <w:fldChar w:fldCharType="end"/>
        </w:r>
      </w:p>
    </w:sdtContent>
  </w:sdt>
  <w:p w:rsidR="001248E0" w:rsidRDefault="001248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AB" w:rsidRDefault="00A462AB" w:rsidP="001248E0">
      <w:pPr>
        <w:spacing w:after="0" w:line="240" w:lineRule="auto"/>
      </w:pPr>
      <w:r>
        <w:separator/>
      </w:r>
    </w:p>
  </w:footnote>
  <w:footnote w:type="continuationSeparator" w:id="0">
    <w:p w:rsidR="00A462AB" w:rsidRDefault="00A462AB" w:rsidP="00124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1EB84E"/>
    <w:name w:val="WW8Num1"/>
    <w:lvl w:ilvl="0">
      <w:start w:val="1"/>
      <w:numFmt w:val="decimal"/>
      <w:lvlText w:val="[%1]"/>
      <w:lvlJc w:val="left"/>
      <w:pPr>
        <w:tabs>
          <w:tab w:val="num" w:pos="0"/>
        </w:tabs>
        <w:ind w:left="720" w:hanging="360"/>
      </w:pPr>
      <w:rPr>
        <w:rFonts w:cs="Calibri" w:hint="default"/>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4384AF4"/>
    <w:multiLevelType w:val="hybridMultilevel"/>
    <w:tmpl w:val="877E6084"/>
    <w:lvl w:ilvl="0" w:tplc="6072896C">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E932AE"/>
    <w:multiLevelType w:val="hybridMultilevel"/>
    <w:tmpl w:val="EAB6FAAE"/>
    <w:lvl w:ilvl="0" w:tplc="47E8E9F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C47F02"/>
    <w:multiLevelType w:val="multilevel"/>
    <w:tmpl w:val="911EB84E"/>
    <w:lvl w:ilvl="0">
      <w:start w:val="1"/>
      <w:numFmt w:val="decimal"/>
      <w:lvlText w:val="[%1]"/>
      <w:lvlJc w:val="left"/>
      <w:pPr>
        <w:tabs>
          <w:tab w:val="num" w:pos="0"/>
        </w:tabs>
        <w:ind w:left="720" w:hanging="360"/>
      </w:pPr>
      <w:rPr>
        <w:rFonts w:cs="Calibri" w:hint="default"/>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08"/>
    <w:rsid w:val="00041E9F"/>
    <w:rsid w:val="00070022"/>
    <w:rsid w:val="0009296F"/>
    <w:rsid w:val="001248E0"/>
    <w:rsid w:val="001672BC"/>
    <w:rsid w:val="001C3F50"/>
    <w:rsid w:val="001F1D41"/>
    <w:rsid w:val="002223D5"/>
    <w:rsid w:val="00246D77"/>
    <w:rsid w:val="003C78BC"/>
    <w:rsid w:val="003E09DF"/>
    <w:rsid w:val="003E405F"/>
    <w:rsid w:val="00411D7B"/>
    <w:rsid w:val="004209E1"/>
    <w:rsid w:val="004822A6"/>
    <w:rsid w:val="0051355A"/>
    <w:rsid w:val="00564DE5"/>
    <w:rsid w:val="00571C36"/>
    <w:rsid w:val="005B00A7"/>
    <w:rsid w:val="005B0FBB"/>
    <w:rsid w:val="005D1D29"/>
    <w:rsid w:val="006733DF"/>
    <w:rsid w:val="00681A98"/>
    <w:rsid w:val="006C7BA6"/>
    <w:rsid w:val="006D7825"/>
    <w:rsid w:val="00704A33"/>
    <w:rsid w:val="007749F1"/>
    <w:rsid w:val="00800C86"/>
    <w:rsid w:val="00926108"/>
    <w:rsid w:val="009653A9"/>
    <w:rsid w:val="009A36BB"/>
    <w:rsid w:val="00A462AB"/>
    <w:rsid w:val="00A77B2E"/>
    <w:rsid w:val="00AB7C44"/>
    <w:rsid w:val="00AC2B8A"/>
    <w:rsid w:val="00B664C2"/>
    <w:rsid w:val="00BC0136"/>
    <w:rsid w:val="00C13DC7"/>
    <w:rsid w:val="00C618BA"/>
    <w:rsid w:val="00C7657C"/>
    <w:rsid w:val="00DE3DD2"/>
    <w:rsid w:val="00DF6C8B"/>
    <w:rsid w:val="00E12E00"/>
    <w:rsid w:val="00E35B24"/>
    <w:rsid w:val="00E71E9E"/>
    <w:rsid w:val="00F76C0B"/>
    <w:rsid w:val="00FE43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AC318-1F75-4FD9-86FA-4169CD33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0022"/>
    <w:pPr>
      <w:suppressAutoHyphens/>
      <w:spacing w:after="200" w:line="276"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8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8E0"/>
    <w:rPr>
      <w:rFonts w:ascii="Calibri" w:eastAsia="Calibri" w:hAnsi="Calibri" w:cs="Times New Roman"/>
      <w:lang w:eastAsia="ar-SA"/>
    </w:rPr>
  </w:style>
  <w:style w:type="paragraph" w:styleId="Pidipagina">
    <w:name w:val="footer"/>
    <w:basedOn w:val="Normale"/>
    <w:link w:val="PidipaginaCarattere"/>
    <w:uiPriority w:val="99"/>
    <w:unhideWhenUsed/>
    <w:rsid w:val="001248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8E0"/>
    <w:rPr>
      <w:rFonts w:ascii="Calibri" w:eastAsia="Calibri" w:hAnsi="Calibri" w:cs="Times New Roman"/>
      <w:lang w:eastAsia="ar-SA"/>
    </w:rPr>
  </w:style>
  <w:style w:type="character" w:styleId="Numeroriga">
    <w:name w:val="line number"/>
    <w:basedOn w:val="Carpredefinitoparagrafo"/>
    <w:uiPriority w:val="99"/>
    <w:semiHidden/>
    <w:unhideWhenUsed/>
    <w:rsid w:val="001248E0"/>
  </w:style>
  <w:style w:type="paragraph" w:styleId="Testofumetto">
    <w:name w:val="Balloon Text"/>
    <w:basedOn w:val="Normale"/>
    <w:link w:val="TestofumettoCarattere"/>
    <w:uiPriority w:val="99"/>
    <w:semiHidden/>
    <w:unhideWhenUsed/>
    <w:rsid w:val="00F76C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C0B"/>
    <w:rPr>
      <w:rFonts w:ascii="Segoe UI" w:eastAsia="Calibri" w:hAnsi="Segoe UI" w:cs="Segoe UI"/>
      <w:sz w:val="18"/>
      <w:szCs w:val="18"/>
      <w:lang w:eastAsia="ar-SA"/>
    </w:rPr>
  </w:style>
  <w:style w:type="paragraph" w:styleId="Paragrafoelenco">
    <w:name w:val="List Paragraph"/>
    <w:basedOn w:val="Normale"/>
    <w:uiPriority w:val="34"/>
    <w:qFormat/>
    <w:rsid w:val="00F76C0B"/>
    <w:pPr>
      <w:ind w:left="720"/>
      <w:contextualSpacing/>
    </w:pPr>
  </w:style>
  <w:style w:type="character" w:styleId="Collegamentoipertestuale">
    <w:name w:val="Hyperlink"/>
    <w:basedOn w:val="Carpredefinitoparagrafo"/>
    <w:uiPriority w:val="99"/>
    <w:unhideWhenUsed/>
    <w:rsid w:val="00F76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F6BB-1BB7-498C-A6F1-9A370160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4514</Words>
  <Characters>25731</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Università di Torino</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di Medicina Torino</dc:creator>
  <cp:keywords/>
  <dc:description/>
  <cp:lastModifiedBy>Polo di Medicina Torino</cp:lastModifiedBy>
  <cp:revision>2</cp:revision>
  <cp:lastPrinted>2019-12-18T16:41:00Z</cp:lastPrinted>
  <dcterms:created xsi:type="dcterms:W3CDTF">2020-01-09T09:34:00Z</dcterms:created>
  <dcterms:modified xsi:type="dcterms:W3CDTF">2020-01-09T09:34:00Z</dcterms:modified>
</cp:coreProperties>
</file>